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6E9C1">
      <w:pPr>
        <w:pStyle w:val="6"/>
        <w:keepNext w:val="0"/>
        <w:keepLines w:val="0"/>
        <w:pageBreakBefore w:val="0"/>
        <w:widowControl w:val="0"/>
        <w:kinsoku/>
        <w:wordWrap/>
        <w:overflowPunct/>
        <w:topLinePunct w:val="0"/>
        <w:autoSpaceDE w:val="0"/>
        <w:autoSpaceDN w:val="0"/>
        <w:bidi w:val="0"/>
        <w:adjustRightInd w:val="0"/>
        <w:snapToGrid/>
        <w:spacing w:line="960" w:lineRule="auto"/>
        <w:ind w:firstLine="0"/>
        <w:jc w:val="center"/>
        <w:textAlignment w:val="auto"/>
        <w:rPr>
          <w:rFonts w:hint="eastAsia" w:ascii="宋体" w:hAnsi="宋体" w:eastAsia="宋体" w:cs="宋体"/>
          <w:b/>
          <w:color w:val="000000" w:themeColor="text1"/>
          <w:sz w:val="48"/>
          <w:szCs w:val="72"/>
          <w:lang w:eastAsia="zh-CN"/>
          <w14:textFill>
            <w14:solidFill>
              <w14:schemeClr w14:val="tx1"/>
            </w14:solidFill>
          </w14:textFill>
        </w:rPr>
      </w:pPr>
      <w:r>
        <w:rPr>
          <w:rFonts w:hint="eastAsia" w:hAnsi="宋体" w:cs="宋体"/>
          <w:b/>
          <w:color w:val="000000" w:themeColor="text1"/>
          <w:sz w:val="48"/>
          <w:szCs w:val="72"/>
          <w:lang w:eastAsia="zh-CN"/>
          <w14:textFill>
            <w14:solidFill>
              <w14:schemeClr w14:val="tx1"/>
            </w14:solidFill>
          </w14:textFill>
        </w:rPr>
        <w:t>喀什地区大数据中心餐饮服务项目（二次）</w:t>
      </w:r>
    </w:p>
    <w:p w14:paraId="5DDA6784">
      <w:pPr>
        <w:pStyle w:val="6"/>
        <w:keepNext w:val="0"/>
        <w:keepLines w:val="0"/>
        <w:pageBreakBefore w:val="0"/>
        <w:widowControl w:val="0"/>
        <w:kinsoku/>
        <w:wordWrap/>
        <w:overflowPunct/>
        <w:topLinePunct w:val="0"/>
        <w:autoSpaceDE w:val="0"/>
        <w:autoSpaceDN w:val="0"/>
        <w:bidi w:val="0"/>
        <w:adjustRightInd w:val="0"/>
        <w:snapToGrid/>
        <w:spacing w:line="960" w:lineRule="auto"/>
        <w:ind w:firstLine="0"/>
        <w:jc w:val="center"/>
        <w:textAlignment w:val="auto"/>
        <w:rPr>
          <w:rFonts w:hint="default" w:ascii="宋体" w:hAnsi="宋体" w:eastAsia="宋体" w:cs="宋体"/>
          <w:b/>
          <w:color w:val="000000" w:themeColor="text1"/>
          <w:sz w:val="48"/>
          <w:szCs w:val="72"/>
          <w:lang w:val="en-US" w:eastAsia="zh-CN"/>
          <w14:textFill>
            <w14:solidFill>
              <w14:schemeClr w14:val="tx1"/>
            </w14:solidFill>
          </w14:textFill>
        </w:rPr>
      </w:pPr>
      <w:r>
        <w:rPr>
          <w:rFonts w:hint="eastAsia" w:ascii="宋体" w:hAnsi="宋体" w:eastAsia="宋体" w:cs="宋体"/>
          <w:b/>
          <w:color w:val="000000" w:themeColor="text1"/>
          <w:sz w:val="48"/>
          <w:szCs w:val="72"/>
          <w:lang w:eastAsia="zh-CN"/>
          <w14:textFill>
            <w14:solidFill>
              <w14:schemeClr w14:val="tx1"/>
            </w14:solidFill>
          </w14:textFill>
        </w:rPr>
        <w:t>项目编号：</w:t>
      </w:r>
      <w:r>
        <w:rPr>
          <w:rFonts w:hint="eastAsia" w:hAnsi="宋体" w:cs="宋体"/>
          <w:b/>
          <w:color w:val="000000" w:themeColor="text1"/>
          <w:sz w:val="48"/>
          <w:szCs w:val="72"/>
          <w:lang w:eastAsia="zh-CN"/>
          <w14:textFill>
            <w14:solidFill>
              <w14:schemeClr w14:val="tx1"/>
            </w14:solidFill>
          </w14:textFill>
        </w:rPr>
        <w:t>XJHYCG-(CS)2026-02-01</w:t>
      </w:r>
    </w:p>
    <w:p w14:paraId="3FE49983">
      <w:pPr>
        <w:pStyle w:val="49"/>
        <w:rPr>
          <w:rFonts w:hint="eastAsia"/>
          <w:color w:val="000000" w:themeColor="text1"/>
          <w14:textFill>
            <w14:solidFill>
              <w14:schemeClr w14:val="tx1"/>
            </w14:solidFill>
          </w14:textFill>
        </w:rPr>
      </w:pPr>
    </w:p>
    <w:p w14:paraId="600CEA24">
      <w:pPr>
        <w:pStyle w:val="49"/>
        <w:rPr>
          <w:rFonts w:hint="eastAsia"/>
          <w:color w:val="000000" w:themeColor="text1"/>
          <w14:textFill>
            <w14:solidFill>
              <w14:schemeClr w14:val="tx1"/>
            </w14:solidFill>
          </w14:textFill>
        </w:rPr>
      </w:pPr>
    </w:p>
    <w:p w14:paraId="0DB2D620">
      <w:pPr>
        <w:pStyle w:val="49"/>
        <w:rPr>
          <w:rFonts w:hint="eastAsia"/>
          <w:color w:val="000000" w:themeColor="text1"/>
          <w14:textFill>
            <w14:solidFill>
              <w14:schemeClr w14:val="tx1"/>
            </w14:solidFill>
          </w14:textFill>
        </w:rPr>
      </w:pPr>
    </w:p>
    <w:p w14:paraId="585A9C64">
      <w:pPr>
        <w:pStyle w:val="49"/>
        <w:rPr>
          <w:rFonts w:hint="eastAsia"/>
          <w:color w:val="000000" w:themeColor="text1"/>
          <w14:textFill>
            <w14:solidFill>
              <w14:schemeClr w14:val="tx1"/>
            </w14:solidFill>
          </w14:textFill>
        </w:rPr>
      </w:pPr>
    </w:p>
    <w:p w14:paraId="35F38C30">
      <w:pPr>
        <w:pStyle w:val="49"/>
        <w:rPr>
          <w:rFonts w:hint="eastAsia"/>
          <w:color w:val="000000" w:themeColor="text1"/>
          <w14:textFill>
            <w14:solidFill>
              <w14:schemeClr w14:val="tx1"/>
            </w14:solidFill>
          </w14:textFill>
        </w:rPr>
      </w:pPr>
    </w:p>
    <w:p w14:paraId="46A2B2F9">
      <w:pPr>
        <w:pStyle w:val="49"/>
        <w:rPr>
          <w:rFonts w:hint="eastAsia"/>
          <w:color w:val="000000" w:themeColor="text1"/>
          <w14:textFill>
            <w14:solidFill>
              <w14:schemeClr w14:val="tx1"/>
            </w14:solidFill>
          </w14:textFill>
        </w:rPr>
      </w:pPr>
    </w:p>
    <w:p w14:paraId="22CEFF6F">
      <w:pPr>
        <w:pStyle w:val="6"/>
        <w:spacing w:line="720" w:lineRule="auto"/>
        <w:jc w:val="center"/>
        <w:rPr>
          <w:rFonts w:hint="eastAsia" w:hAnsi="宋体" w:cs="宋体"/>
          <w:b/>
          <w:color w:val="000000" w:themeColor="text1"/>
          <w:sz w:val="72"/>
          <w:szCs w:val="72"/>
          <w14:textFill>
            <w14:solidFill>
              <w14:schemeClr w14:val="tx1"/>
            </w14:solidFill>
          </w14:textFill>
        </w:rPr>
      </w:pPr>
      <w:r>
        <w:rPr>
          <w:rFonts w:hint="eastAsia" w:hAnsi="宋体" w:cs="宋体"/>
          <w:b/>
          <w:color w:val="000000" w:themeColor="text1"/>
          <w:sz w:val="72"/>
          <w:szCs w:val="72"/>
          <w14:textFill>
            <w14:solidFill>
              <w14:schemeClr w14:val="tx1"/>
            </w14:solidFill>
          </w14:textFill>
        </w:rPr>
        <w:t>磋</w:t>
      </w:r>
    </w:p>
    <w:p w14:paraId="535A84DC">
      <w:pPr>
        <w:pStyle w:val="6"/>
        <w:spacing w:line="720" w:lineRule="auto"/>
        <w:jc w:val="center"/>
        <w:rPr>
          <w:rFonts w:hint="eastAsia" w:hAnsi="宋体" w:cs="宋体"/>
          <w:b/>
          <w:color w:val="000000" w:themeColor="text1"/>
          <w:sz w:val="72"/>
          <w:szCs w:val="72"/>
          <w14:textFill>
            <w14:solidFill>
              <w14:schemeClr w14:val="tx1"/>
            </w14:solidFill>
          </w14:textFill>
        </w:rPr>
      </w:pPr>
      <w:r>
        <w:rPr>
          <w:rFonts w:hint="eastAsia" w:hAnsi="宋体" w:cs="宋体"/>
          <w:b/>
          <w:color w:val="000000" w:themeColor="text1"/>
          <w:sz w:val="72"/>
          <w:szCs w:val="72"/>
          <w14:textFill>
            <w14:solidFill>
              <w14:schemeClr w14:val="tx1"/>
            </w14:solidFill>
          </w14:textFill>
        </w:rPr>
        <w:t>商</w:t>
      </w:r>
    </w:p>
    <w:p w14:paraId="3B3B56BA">
      <w:pPr>
        <w:pStyle w:val="6"/>
        <w:spacing w:line="720" w:lineRule="auto"/>
        <w:jc w:val="center"/>
        <w:rPr>
          <w:rFonts w:hint="eastAsia" w:hAnsi="宋体" w:cs="宋体"/>
          <w:b/>
          <w:color w:val="000000" w:themeColor="text1"/>
          <w:sz w:val="72"/>
          <w:szCs w:val="72"/>
          <w14:textFill>
            <w14:solidFill>
              <w14:schemeClr w14:val="tx1"/>
            </w14:solidFill>
          </w14:textFill>
        </w:rPr>
      </w:pPr>
      <w:r>
        <w:rPr>
          <w:rFonts w:hint="eastAsia" w:hAnsi="宋体" w:cs="宋体"/>
          <w:b/>
          <w:color w:val="000000" w:themeColor="text1"/>
          <w:sz w:val="72"/>
          <w:szCs w:val="72"/>
          <w14:textFill>
            <w14:solidFill>
              <w14:schemeClr w14:val="tx1"/>
            </w14:solidFill>
          </w14:textFill>
        </w:rPr>
        <w:t>文</w:t>
      </w:r>
    </w:p>
    <w:p w14:paraId="2AFA28B5">
      <w:pPr>
        <w:pStyle w:val="6"/>
        <w:spacing w:line="720" w:lineRule="auto"/>
        <w:jc w:val="center"/>
        <w:rPr>
          <w:rFonts w:hint="eastAsia" w:hAnsi="宋体" w:cs="宋体"/>
          <w:b/>
          <w:color w:val="000000" w:themeColor="text1"/>
          <w:sz w:val="72"/>
          <w:szCs w:val="72"/>
          <w14:textFill>
            <w14:solidFill>
              <w14:schemeClr w14:val="tx1"/>
            </w14:solidFill>
          </w14:textFill>
        </w:rPr>
      </w:pPr>
      <w:r>
        <w:rPr>
          <w:rFonts w:hint="eastAsia" w:hAnsi="宋体" w:cs="宋体"/>
          <w:b/>
          <w:color w:val="000000" w:themeColor="text1"/>
          <w:sz w:val="72"/>
          <w:szCs w:val="72"/>
          <w14:textFill>
            <w14:solidFill>
              <w14:schemeClr w14:val="tx1"/>
            </w14:solidFill>
          </w14:textFill>
        </w:rPr>
        <w:t>件</w:t>
      </w:r>
    </w:p>
    <w:p w14:paraId="2AF643DA">
      <w:pPr>
        <w:pStyle w:val="6"/>
        <w:ind w:firstLine="0"/>
        <w:rPr>
          <w:rFonts w:hint="eastAsia" w:hAnsi="宋体" w:cs="宋体"/>
          <w:color w:val="000000" w:themeColor="text1"/>
          <w14:textFill>
            <w14:solidFill>
              <w14:schemeClr w14:val="tx1"/>
            </w14:solidFill>
          </w14:textFill>
        </w:rPr>
      </w:pPr>
    </w:p>
    <w:p w14:paraId="2142EC9F">
      <w:pPr>
        <w:spacing w:line="360" w:lineRule="auto"/>
        <w:jc w:val="left"/>
        <w:rPr>
          <w:rFonts w:hint="eastAsia" w:ascii="宋体" w:hAnsi="宋体" w:cs="宋体"/>
          <w:b/>
          <w:bCs/>
          <w:color w:val="000000" w:themeColor="text1"/>
          <w:sz w:val="30"/>
          <w14:textFill>
            <w14:solidFill>
              <w14:schemeClr w14:val="tx1"/>
            </w14:solidFill>
          </w14:textFill>
        </w:rPr>
      </w:pPr>
    </w:p>
    <w:p w14:paraId="0EF26A6A">
      <w:pPr>
        <w:pStyle w:val="27"/>
        <w:rPr>
          <w:rFonts w:hint="eastAsia"/>
          <w:color w:val="000000" w:themeColor="text1"/>
          <w14:textFill>
            <w14:solidFill>
              <w14:schemeClr w14:val="tx1"/>
            </w14:solidFill>
          </w14:textFill>
        </w:rPr>
      </w:pPr>
    </w:p>
    <w:p w14:paraId="529B3281">
      <w:pPr>
        <w:pStyle w:val="27"/>
        <w:rPr>
          <w:rFonts w:hint="eastAsia"/>
          <w:color w:val="000000" w:themeColor="text1"/>
          <w14:textFill>
            <w14:solidFill>
              <w14:schemeClr w14:val="tx1"/>
            </w14:solidFill>
          </w14:textFill>
        </w:rPr>
      </w:pPr>
    </w:p>
    <w:p w14:paraId="1151EF22">
      <w:pPr>
        <w:pStyle w:val="27"/>
        <w:rPr>
          <w:rFonts w:hint="eastAsia"/>
          <w:color w:val="000000" w:themeColor="text1"/>
          <w14:textFill>
            <w14:solidFill>
              <w14:schemeClr w14:val="tx1"/>
            </w14:solidFill>
          </w14:textFill>
        </w:rPr>
      </w:pPr>
    </w:p>
    <w:p w14:paraId="0212F020">
      <w:pPr>
        <w:spacing w:line="360" w:lineRule="auto"/>
        <w:jc w:val="left"/>
        <w:rPr>
          <w:rFonts w:hint="eastAsia" w:ascii="宋体" w:hAnsi="宋体" w:eastAsia="宋体" w:cs="宋体"/>
          <w:b/>
          <w:bCs/>
          <w:color w:val="000000" w:themeColor="text1"/>
          <w:sz w:val="30"/>
          <w:lang w:eastAsia="zh-CN"/>
          <w14:textFill>
            <w14:solidFill>
              <w14:schemeClr w14:val="tx1"/>
            </w14:solidFill>
          </w14:textFill>
        </w:rPr>
      </w:pPr>
      <w:r>
        <w:rPr>
          <w:rFonts w:hint="eastAsia" w:ascii="宋体" w:hAnsi="宋体" w:cs="宋体"/>
          <w:b/>
          <w:bCs/>
          <w:color w:val="000000" w:themeColor="text1"/>
          <w:sz w:val="30"/>
          <w14:textFill>
            <w14:solidFill>
              <w14:schemeClr w14:val="tx1"/>
            </w14:solidFill>
          </w14:textFill>
        </w:rPr>
        <w:t>招   标   人：</w:t>
      </w:r>
      <w:r>
        <w:rPr>
          <w:rFonts w:hint="eastAsia" w:ascii="宋体" w:hAnsi="宋体" w:cs="宋体"/>
          <w:b/>
          <w:bCs/>
          <w:color w:val="000000" w:themeColor="text1"/>
          <w:sz w:val="30"/>
          <w:lang w:eastAsia="zh-CN"/>
          <w14:textFill>
            <w14:solidFill>
              <w14:schemeClr w14:val="tx1"/>
            </w14:solidFill>
          </w14:textFill>
        </w:rPr>
        <w:t>喀什地区数字化发展局</w:t>
      </w:r>
    </w:p>
    <w:p w14:paraId="48C6A5B5">
      <w:pPr>
        <w:spacing w:line="360" w:lineRule="auto"/>
        <w:jc w:val="left"/>
        <w:rPr>
          <w:rFonts w:hint="eastAsia" w:ascii="宋体" w:hAnsi="宋体" w:cs="宋体"/>
          <w:b/>
          <w:bCs/>
          <w:color w:val="000000" w:themeColor="text1"/>
          <w:sz w:val="30"/>
          <w14:textFill>
            <w14:solidFill>
              <w14:schemeClr w14:val="tx1"/>
            </w14:solidFill>
          </w14:textFill>
        </w:rPr>
      </w:pPr>
      <w:r>
        <w:rPr>
          <w:rFonts w:hint="eastAsia" w:ascii="宋体" w:hAnsi="宋体" w:cs="宋体"/>
          <w:b/>
          <w:bCs/>
          <w:color w:val="000000" w:themeColor="text1"/>
          <w:sz w:val="30"/>
          <w14:textFill>
            <w14:solidFill>
              <w14:schemeClr w14:val="tx1"/>
            </w14:solidFill>
          </w14:textFill>
        </w:rPr>
        <w:t>采购代理机构：新疆宏宇建设工程项目管理有限责任公司</w:t>
      </w:r>
    </w:p>
    <w:p w14:paraId="50C0FA45">
      <w:pPr>
        <w:spacing w:line="360" w:lineRule="auto"/>
        <w:ind w:left="2108" w:hanging="2100" w:hangingChars="700"/>
        <w:jc w:val="left"/>
        <w:rPr>
          <w:rFonts w:hint="eastAsia" w:ascii="宋体" w:hAnsi="宋体" w:eastAsia="宋体" w:cs="宋体"/>
          <w:b/>
          <w:bCs/>
          <w:color w:val="000000" w:themeColor="text1"/>
          <w:sz w:val="30"/>
          <w:lang w:eastAsia="zh-CN"/>
          <w14:textFill>
            <w14:solidFill>
              <w14:schemeClr w14:val="tx1"/>
            </w14:solidFill>
          </w14:textFill>
        </w:rPr>
      </w:pPr>
      <w:r>
        <w:rPr>
          <w:rFonts w:hint="eastAsia" w:ascii="宋体" w:hAnsi="宋体" w:cs="宋体"/>
          <w:b/>
          <w:bCs/>
          <w:color w:val="000000" w:themeColor="text1"/>
          <w:sz w:val="30"/>
          <w14:textFill>
            <w14:solidFill>
              <w14:schemeClr w14:val="tx1"/>
            </w14:solidFill>
          </w14:textFill>
        </w:rPr>
        <w:t>代理机构地址：</w:t>
      </w:r>
      <w:r>
        <w:rPr>
          <w:rFonts w:hint="eastAsia" w:ascii="宋体" w:hAnsi="宋体" w:cs="宋体"/>
          <w:b/>
          <w:bCs/>
          <w:color w:val="000000" w:themeColor="text1"/>
          <w:sz w:val="30"/>
          <w:lang w:eastAsia="zh-CN"/>
          <w14:textFill>
            <w14:solidFill>
              <w14:schemeClr w14:val="tx1"/>
            </w14:solidFill>
          </w14:textFill>
        </w:rPr>
        <w:t>喀什市深喀大道西泓世贸大厦406室</w:t>
      </w:r>
    </w:p>
    <w:p w14:paraId="11AD4FC8">
      <w:pPr>
        <w:spacing w:line="360" w:lineRule="auto"/>
        <w:jc w:val="left"/>
        <w:rPr>
          <w:rFonts w:hint="eastAsia" w:ascii="宋体" w:hAnsi="宋体" w:eastAsia="宋体" w:cs="宋体"/>
          <w:b/>
          <w:bCs/>
          <w:color w:val="000000" w:themeColor="text1"/>
          <w:sz w:val="30"/>
          <w:szCs w:val="30"/>
          <w:u w:val="single"/>
          <w:lang w:eastAsia="zh-CN"/>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联   系   人：</w:t>
      </w:r>
      <w:r>
        <w:rPr>
          <w:rFonts w:hint="eastAsia" w:ascii="宋体" w:hAnsi="宋体" w:cs="宋体"/>
          <w:b/>
          <w:bCs/>
          <w:color w:val="000000" w:themeColor="text1"/>
          <w:sz w:val="30"/>
          <w:lang w:val="en-US" w:eastAsia="zh-CN"/>
          <w14:textFill>
            <w14:solidFill>
              <w14:schemeClr w14:val="tx1"/>
            </w14:solidFill>
          </w14:textFill>
        </w:rPr>
        <w:t>张戈</w:t>
      </w:r>
    </w:p>
    <w:p w14:paraId="1E80BCCE">
      <w:pPr>
        <w:spacing w:line="360" w:lineRule="auto"/>
        <w:jc w:val="left"/>
        <w:rPr>
          <w:rFonts w:hint="eastAsia"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联  系 电 话：</w:t>
      </w:r>
      <w:r>
        <w:rPr>
          <w:rFonts w:hint="eastAsia" w:ascii="宋体" w:hAnsi="宋体" w:cs="宋体"/>
          <w:b/>
          <w:bCs/>
          <w:color w:val="000000" w:themeColor="text1"/>
          <w:sz w:val="30"/>
          <w14:textFill>
            <w14:solidFill>
              <w14:schemeClr w14:val="tx1"/>
            </w14:solidFill>
          </w14:textFill>
        </w:rPr>
        <w:t>19909980987</w:t>
      </w:r>
      <w:r>
        <w:rPr>
          <w:rFonts w:hint="eastAsia" w:ascii="宋体" w:hAnsi="宋体" w:cs="宋体"/>
          <w:b/>
          <w:bCs/>
          <w:color w:val="000000" w:themeColor="text1"/>
          <w:sz w:val="30"/>
          <w:szCs w:val="30"/>
          <w14:textFill>
            <w14:solidFill>
              <w14:schemeClr w14:val="tx1"/>
            </w14:solidFill>
          </w14:textFill>
        </w:rPr>
        <w:t xml:space="preserve"> </w:t>
      </w:r>
    </w:p>
    <w:p w14:paraId="3C9CBA51">
      <w:pPr>
        <w:pStyle w:val="27"/>
        <w:rPr>
          <w:rFonts w:hint="eastAsia"/>
          <w:color w:val="000000" w:themeColor="text1"/>
          <w14:textFill>
            <w14:solidFill>
              <w14:schemeClr w14:val="tx1"/>
            </w14:solidFill>
          </w14:textFill>
        </w:rPr>
      </w:pPr>
    </w:p>
    <w:p w14:paraId="1E978F7F">
      <w:pPr>
        <w:spacing w:line="600" w:lineRule="exact"/>
        <w:jc w:val="center"/>
        <w:rPr>
          <w:rFonts w:hint="eastAsia"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发  出 日 期：</w:t>
      </w:r>
      <w:r>
        <w:rPr>
          <w:rFonts w:hint="eastAsia" w:ascii="宋体" w:hAnsi="宋体" w:cs="宋体"/>
          <w:b/>
          <w:bCs/>
          <w:color w:val="000000" w:themeColor="text1"/>
          <w:sz w:val="30"/>
          <w:szCs w:val="30"/>
          <w:u w:val="none"/>
          <w14:textFill>
            <w14:solidFill>
              <w14:schemeClr w14:val="tx1"/>
            </w14:solidFill>
          </w14:textFill>
        </w:rPr>
        <w:t>202</w:t>
      </w:r>
      <w:r>
        <w:rPr>
          <w:rFonts w:hint="eastAsia" w:ascii="宋体" w:hAnsi="宋体" w:cs="宋体"/>
          <w:b/>
          <w:bCs/>
          <w:color w:val="000000" w:themeColor="text1"/>
          <w:sz w:val="30"/>
          <w:szCs w:val="30"/>
          <w:u w:val="none"/>
          <w:lang w:val="en-US" w:eastAsia="zh-CN"/>
          <w14:textFill>
            <w14:solidFill>
              <w14:schemeClr w14:val="tx1"/>
            </w14:solidFill>
          </w14:textFill>
        </w:rPr>
        <w:t>6</w:t>
      </w:r>
      <w:r>
        <w:rPr>
          <w:rFonts w:hint="eastAsia" w:ascii="宋体" w:hAnsi="宋体" w:cs="宋体"/>
          <w:b/>
          <w:bCs/>
          <w:color w:val="000000" w:themeColor="text1"/>
          <w:sz w:val="30"/>
          <w:szCs w:val="30"/>
          <w:u w:val="none"/>
          <w14:textFill>
            <w14:solidFill>
              <w14:schemeClr w14:val="tx1"/>
            </w14:solidFill>
          </w14:textFill>
        </w:rPr>
        <w:t>年</w:t>
      </w:r>
      <w:r>
        <w:rPr>
          <w:rFonts w:hint="eastAsia" w:ascii="宋体" w:hAnsi="宋体" w:cs="宋体"/>
          <w:b/>
          <w:bCs/>
          <w:color w:val="000000" w:themeColor="text1"/>
          <w:sz w:val="30"/>
          <w:szCs w:val="30"/>
          <w:u w:val="none"/>
          <w:lang w:val="en-US" w:eastAsia="zh-CN"/>
          <w14:textFill>
            <w14:solidFill>
              <w14:schemeClr w14:val="tx1"/>
            </w14:solidFill>
          </w14:textFill>
        </w:rPr>
        <w:t>5</w:t>
      </w:r>
      <w:r>
        <w:rPr>
          <w:rFonts w:hint="eastAsia" w:ascii="宋体" w:hAnsi="宋体" w:cs="宋体"/>
          <w:b/>
          <w:bCs/>
          <w:color w:val="000000" w:themeColor="text1"/>
          <w:sz w:val="30"/>
          <w:szCs w:val="30"/>
          <w:u w:val="none"/>
          <w14:textFill>
            <w14:solidFill>
              <w14:schemeClr w14:val="tx1"/>
            </w14:solidFill>
          </w14:textFill>
        </w:rPr>
        <w:t>月</w:t>
      </w:r>
    </w:p>
    <w:p w14:paraId="18316DBF">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p>
    <w:p w14:paraId="00C22612">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p>
    <w:p w14:paraId="57A95765">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p>
    <w:p w14:paraId="007D345A">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p>
    <w:p w14:paraId="2BEF1B10">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p>
    <w:p w14:paraId="08425AB1">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p>
    <w:p w14:paraId="7695780C">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p>
    <w:p w14:paraId="4A01FF67">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p>
    <w:p w14:paraId="03575449">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p>
    <w:p w14:paraId="1F7751E7">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p>
    <w:p w14:paraId="2AC6C59C">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p>
    <w:p w14:paraId="67185C9A">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p>
    <w:p w14:paraId="12411F0B">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p>
    <w:p w14:paraId="164D82A6">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p>
    <w:p w14:paraId="396810D1">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p>
    <w:p w14:paraId="48C870BE">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p>
    <w:p w14:paraId="5E6096E3">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p>
    <w:p w14:paraId="39BE37FA">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p>
    <w:p w14:paraId="0AD36AC2">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p>
    <w:p w14:paraId="44F1485A">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p>
    <w:p w14:paraId="166EC12A">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p>
    <w:p w14:paraId="17AC6A3F">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p>
    <w:p w14:paraId="473E9268">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目  录</w:t>
      </w:r>
    </w:p>
    <w:p w14:paraId="61DA9869">
      <w:pPr>
        <w:pStyle w:val="24"/>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fldChar w:fldCharType="begin"/>
      </w:r>
      <w:r>
        <w:rPr>
          <w:rFonts w:hint="eastAsia" w:ascii="宋体" w:hAnsi="宋体" w:eastAsia="宋体" w:cs="宋体"/>
          <w:color w:val="000000" w:themeColor="text1"/>
          <w:kern w:val="0"/>
          <w:szCs w:val="21"/>
          <w:highlight w:val="none"/>
          <w14:textFill>
            <w14:solidFill>
              <w14:schemeClr w14:val="tx1"/>
            </w14:solidFill>
          </w14:textFill>
        </w:rPr>
        <w:instrText xml:space="preserve"> TOC \o "1-3" \h \z \u </w:instrText>
      </w:r>
      <w:r>
        <w:rPr>
          <w:rFonts w:hint="eastAsia" w:ascii="宋体" w:hAnsi="宋体" w:eastAsia="宋体" w:cs="宋体"/>
          <w:color w:val="000000" w:themeColor="text1"/>
          <w:kern w:val="0"/>
          <w:szCs w:val="21"/>
          <w:highlight w:val="none"/>
          <w14:textFill>
            <w14:solidFill>
              <w14:schemeClr w14:val="tx1"/>
            </w14:solidFill>
          </w14:textFill>
        </w:rPr>
        <w:fldChar w:fldCharType="separate"/>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_Toc25817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第1章   投标人须知</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_Toc25817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1</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5154F644">
      <w:pPr>
        <w:pStyle w:val="30"/>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_Toc22145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一 总 则</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_Toc22145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1</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1C6C94C1">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_Toc5999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1.采购人、采购代理机构及投标人</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_Toc5999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1</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6891D429">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_Toc4322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2.资金来源</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_Toc4322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1</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1E57D7E1">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_Toc13828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3.投标费用</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_Toc13828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1</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35E87B71">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_Toc32665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4.适用法律</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_Toc32665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1</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5A4C12EB">
      <w:pPr>
        <w:pStyle w:val="30"/>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_Toc28572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 xml:space="preserve">二 </w:t>
      </w:r>
      <w:r>
        <w:rPr>
          <w:rFonts w:hint="eastAsia" w:ascii="宋体" w:hAnsi="宋体" w:cs="宋体"/>
          <w:b/>
          <w:bCs/>
          <w:color w:val="000000" w:themeColor="text1"/>
          <w:sz w:val="24"/>
          <w:szCs w:val="32"/>
          <w:highlight w:val="none"/>
          <w:lang w:val="en-US" w:eastAsia="zh-CN"/>
          <w14:textFill>
            <w14:solidFill>
              <w14:schemeClr w14:val="tx1"/>
            </w14:solidFill>
          </w14:textFill>
        </w:rPr>
        <w:t>磋商</w:t>
      </w:r>
      <w:r>
        <w:rPr>
          <w:rFonts w:hint="eastAsia" w:ascii="宋体" w:hAnsi="宋体" w:eastAsia="宋体" w:cs="宋体"/>
          <w:b/>
          <w:bCs/>
          <w:color w:val="000000" w:themeColor="text1"/>
          <w:sz w:val="24"/>
          <w:szCs w:val="32"/>
          <w:highlight w:val="none"/>
          <w14:textFill>
            <w14:solidFill>
              <w14:schemeClr w14:val="tx1"/>
            </w14:solidFill>
          </w14:textFill>
        </w:rPr>
        <w:t>文件</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cs="宋体"/>
          <w:b/>
          <w:bCs/>
          <w:color w:val="000000" w:themeColor="text1"/>
          <w:sz w:val="24"/>
          <w:szCs w:val="32"/>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42EF5F5A">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_Toc4671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5.</w:t>
      </w:r>
      <w:r>
        <w:rPr>
          <w:rFonts w:hint="eastAsia" w:ascii="宋体" w:hAnsi="宋体" w:cs="宋体"/>
          <w:b/>
          <w:bCs/>
          <w:color w:val="000000" w:themeColor="text1"/>
          <w:sz w:val="24"/>
          <w:szCs w:val="32"/>
          <w:highlight w:val="none"/>
          <w:lang w:val="en-US" w:eastAsia="zh-CN"/>
          <w14:textFill>
            <w14:solidFill>
              <w14:schemeClr w14:val="tx1"/>
            </w14:solidFill>
          </w14:textFill>
        </w:rPr>
        <w:t>磋商</w:t>
      </w:r>
      <w:r>
        <w:rPr>
          <w:rFonts w:hint="eastAsia" w:ascii="宋体" w:hAnsi="宋体" w:eastAsia="宋体" w:cs="宋体"/>
          <w:b/>
          <w:bCs/>
          <w:color w:val="000000" w:themeColor="text1"/>
          <w:sz w:val="24"/>
          <w:szCs w:val="32"/>
          <w:highlight w:val="none"/>
          <w14:textFill>
            <w14:solidFill>
              <w14:schemeClr w14:val="tx1"/>
            </w14:solidFill>
          </w14:textFill>
        </w:rPr>
        <w:t>文件构成</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_Toc4671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2</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59E0BBEA">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_Toc1922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6.</w:t>
      </w:r>
      <w:r>
        <w:rPr>
          <w:rFonts w:hint="eastAsia" w:ascii="宋体" w:hAnsi="宋体" w:cs="宋体"/>
          <w:b/>
          <w:bCs/>
          <w:color w:val="000000" w:themeColor="text1"/>
          <w:sz w:val="24"/>
          <w:szCs w:val="32"/>
          <w:highlight w:val="none"/>
          <w:lang w:val="en-US" w:eastAsia="zh-CN"/>
          <w14:textFill>
            <w14:solidFill>
              <w14:schemeClr w14:val="tx1"/>
            </w14:solidFill>
          </w14:textFill>
        </w:rPr>
        <w:t>磋商</w:t>
      </w:r>
      <w:r>
        <w:rPr>
          <w:rFonts w:hint="eastAsia" w:ascii="宋体" w:hAnsi="宋体" w:eastAsia="宋体" w:cs="宋体"/>
          <w:b/>
          <w:bCs/>
          <w:color w:val="000000" w:themeColor="text1"/>
          <w:sz w:val="24"/>
          <w:szCs w:val="32"/>
          <w:highlight w:val="none"/>
          <w14:textFill>
            <w14:solidFill>
              <w14:schemeClr w14:val="tx1"/>
            </w14:solidFill>
          </w14:textFill>
        </w:rPr>
        <w:t>文件的澄清与修改</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_Toc1922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2</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21F17722">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_Toc12448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7.投标截止时间的顺延</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_Toc12448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2</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2CE57D25">
      <w:pPr>
        <w:pStyle w:val="30"/>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_Toc31039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 xml:space="preserve">三 </w:t>
      </w:r>
      <w:r>
        <w:rPr>
          <w:rFonts w:hint="eastAsia" w:ascii="宋体" w:hAnsi="宋体" w:cs="宋体"/>
          <w:b/>
          <w:bCs/>
          <w:color w:val="000000" w:themeColor="text1"/>
          <w:sz w:val="24"/>
          <w:szCs w:val="32"/>
          <w:highlight w:val="none"/>
          <w:lang w:eastAsia="zh-CN"/>
          <w14:textFill>
            <w14:solidFill>
              <w14:schemeClr w14:val="tx1"/>
            </w14:solidFill>
          </w14:textFill>
        </w:rPr>
        <w:t>响应文件</w:t>
      </w:r>
      <w:r>
        <w:rPr>
          <w:rFonts w:hint="eastAsia" w:ascii="宋体" w:hAnsi="宋体" w:eastAsia="宋体" w:cs="宋体"/>
          <w:b/>
          <w:bCs/>
          <w:color w:val="000000" w:themeColor="text1"/>
          <w:sz w:val="24"/>
          <w:szCs w:val="32"/>
          <w:highlight w:val="none"/>
          <w14:textFill>
            <w14:solidFill>
              <w14:schemeClr w14:val="tx1"/>
            </w14:solidFill>
          </w14:textFill>
        </w:rPr>
        <w:t>的编制</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_Toc31039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2</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2D42F4AF">
      <w:pPr>
        <w:pStyle w:val="15"/>
        <w:keepNext w:val="0"/>
        <w:keepLines w:val="0"/>
        <w:pageBreakBefore w:val="0"/>
        <w:widowControl w:val="0"/>
        <w:tabs>
          <w:tab w:val="right" w:pos="3600"/>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_Toc30570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8.</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t>投标范围及</w:t>
      </w:r>
      <w:r>
        <w:rPr>
          <w:rFonts w:hint="eastAsia" w:ascii="宋体" w:hAnsi="宋体" w:cs="宋体"/>
          <w:b/>
          <w:bCs/>
          <w:color w:val="000000" w:themeColor="text1"/>
          <w:sz w:val="24"/>
          <w:szCs w:val="32"/>
          <w:highlight w:val="none"/>
          <w:lang w:val="en-US" w:eastAsia="zh-CN"/>
          <w14:textFill>
            <w14:solidFill>
              <w14:schemeClr w14:val="tx1"/>
            </w14:solidFill>
          </w14:textFill>
        </w:rPr>
        <w:t>响应</w:t>
      </w:r>
      <w:r>
        <w:rPr>
          <w:rFonts w:hint="eastAsia" w:ascii="宋体" w:hAnsi="宋体" w:eastAsia="宋体" w:cs="宋体"/>
          <w:b/>
          <w:bCs/>
          <w:color w:val="000000" w:themeColor="text1"/>
          <w:sz w:val="24"/>
          <w:szCs w:val="32"/>
          <w:highlight w:val="none"/>
          <w14:textFill>
            <w14:solidFill>
              <w14:schemeClr w14:val="tx1"/>
            </w14:solidFill>
          </w14:textFill>
        </w:rPr>
        <w:t>文件中标准和计量单位的使用</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_Toc30570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2</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663B91EA">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_Toc18692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9.</w:t>
      </w:r>
      <w:r>
        <w:rPr>
          <w:rFonts w:hint="eastAsia" w:ascii="宋体" w:hAnsi="宋体" w:cs="宋体"/>
          <w:b/>
          <w:bCs/>
          <w:color w:val="000000" w:themeColor="text1"/>
          <w:sz w:val="24"/>
          <w:szCs w:val="32"/>
          <w:highlight w:val="none"/>
          <w:lang w:val="en-US" w:eastAsia="zh-CN"/>
          <w14:textFill>
            <w14:solidFill>
              <w14:schemeClr w14:val="tx1"/>
            </w14:solidFill>
          </w14:textFill>
        </w:rPr>
        <w:t>响应</w:t>
      </w:r>
      <w:r>
        <w:rPr>
          <w:rFonts w:hint="eastAsia" w:ascii="宋体" w:hAnsi="宋体" w:eastAsia="宋体" w:cs="宋体"/>
          <w:b/>
          <w:bCs/>
          <w:color w:val="000000" w:themeColor="text1"/>
          <w:sz w:val="24"/>
          <w:szCs w:val="32"/>
          <w:highlight w:val="none"/>
          <w14:textFill>
            <w14:solidFill>
              <w14:schemeClr w14:val="tx1"/>
            </w14:solidFill>
          </w14:textFill>
        </w:rPr>
        <w:t>文件构成</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_Toc18692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2</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37880AB5">
      <w:pPr>
        <w:pStyle w:val="15"/>
        <w:keepNext w:val="0"/>
        <w:keepLines w:val="0"/>
        <w:pageBreakBefore w:val="0"/>
        <w:widowControl w:val="0"/>
        <w:tabs>
          <w:tab w:val="right" w:pos="3600"/>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_Toc13143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10.</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t>证明投标标的的合格性和符合</w:t>
      </w:r>
      <w:r>
        <w:rPr>
          <w:rFonts w:hint="eastAsia" w:ascii="宋体" w:hAnsi="宋体" w:cs="宋体"/>
          <w:b/>
          <w:bCs/>
          <w:color w:val="000000" w:themeColor="text1"/>
          <w:sz w:val="24"/>
          <w:szCs w:val="32"/>
          <w:highlight w:val="none"/>
          <w:lang w:eastAsia="zh-CN"/>
          <w14:textFill>
            <w14:solidFill>
              <w14:schemeClr w14:val="tx1"/>
            </w14:solidFill>
          </w14:textFill>
        </w:rPr>
        <w:t>磋商文件</w:t>
      </w:r>
      <w:r>
        <w:rPr>
          <w:rFonts w:hint="eastAsia" w:ascii="宋体" w:hAnsi="宋体" w:eastAsia="宋体" w:cs="宋体"/>
          <w:b/>
          <w:bCs/>
          <w:color w:val="000000" w:themeColor="text1"/>
          <w:sz w:val="24"/>
          <w:szCs w:val="32"/>
          <w:highlight w:val="none"/>
          <w14:textFill>
            <w14:solidFill>
              <w14:schemeClr w14:val="tx1"/>
            </w14:solidFill>
          </w14:textFill>
        </w:rPr>
        <w:t>规定的技术文件</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cs="宋体"/>
          <w:b/>
          <w:bCs/>
          <w:color w:val="000000" w:themeColor="text1"/>
          <w:sz w:val="24"/>
          <w:szCs w:val="32"/>
          <w:highlight w:val="none"/>
          <w:lang w:val="en-US" w:eastAsia="zh-CN"/>
          <w14:textFill>
            <w14:solidFill>
              <w14:schemeClr w14:val="tx1"/>
            </w14:solidFill>
          </w14:textFill>
        </w:rPr>
        <w:t>3</w: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69E2932D">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_Toc19624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11.投标报价</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_Toc19624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3</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276866D5">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_Toc22212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12.投标保证金</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_Toc22212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3</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5D594EC6">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_Toc22901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13.投标有效期</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cs="宋体"/>
          <w:b/>
          <w:bCs/>
          <w:color w:val="000000" w:themeColor="text1"/>
          <w:sz w:val="24"/>
          <w:szCs w:val="32"/>
          <w:highlight w:val="none"/>
          <w:lang w:val="en-US" w:eastAsia="zh-CN"/>
          <w14:textFill>
            <w14:solidFill>
              <w14:schemeClr w14:val="tx1"/>
            </w14:solidFill>
          </w14:textFill>
        </w:rPr>
        <w:t>4</w: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33CC1FDC">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_Toc17609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14.</w:t>
      </w:r>
      <w:r>
        <w:rPr>
          <w:rFonts w:hint="eastAsia" w:ascii="宋体" w:hAnsi="宋体" w:cs="宋体"/>
          <w:b/>
          <w:bCs/>
          <w:color w:val="000000" w:themeColor="text1"/>
          <w:sz w:val="24"/>
          <w:szCs w:val="32"/>
          <w:highlight w:val="none"/>
          <w:lang w:val="en-US" w:eastAsia="zh-CN"/>
          <w14:textFill>
            <w14:solidFill>
              <w14:schemeClr w14:val="tx1"/>
            </w14:solidFill>
          </w14:textFill>
        </w:rPr>
        <w:t>响应</w:t>
      </w:r>
      <w:r>
        <w:rPr>
          <w:rFonts w:hint="eastAsia" w:ascii="宋体" w:hAnsi="宋体" w:eastAsia="宋体" w:cs="宋体"/>
          <w:b/>
          <w:bCs/>
          <w:color w:val="000000" w:themeColor="text1"/>
          <w:sz w:val="24"/>
          <w:szCs w:val="32"/>
          <w:highlight w:val="none"/>
          <w14:textFill>
            <w14:solidFill>
              <w14:schemeClr w14:val="tx1"/>
            </w14:solidFill>
          </w14:textFill>
        </w:rPr>
        <w:t>文件的签署及规定</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_Toc17609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4</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779D072C">
      <w:pPr>
        <w:pStyle w:val="30"/>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_Toc25925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 xml:space="preserve">四 </w:t>
      </w:r>
      <w:r>
        <w:rPr>
          <w:rFonts w:hint="eastAsia" w:ascii="宋体" w:hAnsi="宋体" w:cs="宋体"/>
          <w:b/>
          <w:bCs/>
          <w:color w:val="000000" w:themeColor="text1"/>
          <w:sz w:val="24"/>
          <w:szCs w:val="32"/>
          <w:highlight w:val="none"/>
          <w:lang w:val="en-US" w:eastAsia="zh-CN"/>
          <w14:textFill>
            <w14:solidFill>
              <w14:schemeClr w14:val="tx1"/>
            </w14:solidFill>
          </w14:textFill>
        </w:rPr>
        <w:t>响应</w:t>
      </w:r>
      <w:r>
        <w:rPr>
          <w:rFonts w:hint="eastAsia" w:ascii="宋体" w:hAnsi="宋体" w:eastAsia="宋体" w:cs="宋体"/>
          <w:b/>
          <w:bCs/>
          <w:color w:val="000000" w:themeColor="text1"/>
          <w:sz w:val="24"/>
          <w:szCs w:val="32"/>
          <w:highlight w:val="none"/>
          <w14:textFill>
            <w14:solidFill>
              <w14:schemeClr w14:val="tx1"/>
            </w14:solidFill>
          </w14:textFill>
        </w:rPr>
        <w:t>文件的递交</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_Toc25925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4</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016CCEC5">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_Toc26195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15.</w:t>
      </w:r>
      <w:r>
        <w:rPr>
          <w:rFonts w:hint="eastAsia" w:ascii="宋体" w:hAnsi="宋体" w:cs="宋体"/>
          <w:b/>
          <w:bCs/>
          <w:color w:val="000000" w:themeColor="text1"/>
          <w:sz w:val="24"/>
          <w:szCs w:val="32"/>
          <w:highlight w:val="none"/>
          <w:lang w:val="en-US" w:eastAsia="zh-CN"/>
          <w14:textFill>
            <w14:solidFill>
              <w14:schemeClr w14:val="tx1"/>
            </w14:solidFill>
          </w14:textFill>
        </w:rPr>
        <w:t>响应</w:t>
      </w:r>
      <w:r>
        <w:rPr>
          <w:rFonts w:hint="eastAsia" w:ascii="宋体" w:hAnsi="宋体" w:eastAsia="宋体" w:cs="宋体"/>
          <w:b/>
          <w:bCs/>
          <w:color w:val="000000" w:themeColor="text1"/>
          <w:sz w:val="24"/>
          <w:szCs w:val="32"/>
          <w:highlight w:val="none"/>
          <w14:textFill>
            <w14:solidFill>
              <w14:schemeClr w14:val="tx1"/>
            </w14:solidFill>
          </w14:textFill>
        </w:rPr>
        <w:t>文件的密封和标记</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_Toc26195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4</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4AAAFD36">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_Toc24017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16.投标截止</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cs="宋体"/>
          <w:b/>
          <w:bCs/>
          <w:color w:val="000000" w:themeColor="text1"/>
          <w:sz w:val="24"/>
          <w:szCs w:val="32"/>
          <w:highlight w:val="none"/>
          <w:lang w:val="en-US" w:eastAsia="zh-CN"/>
          <w14:textFill>
            <w14:solidFill>
              <w14:schemeClr w14:val="tx1"/>
            </w14:solidFill>
          </w14:textFill>
        </w:rPr>
        <w:t>5</w: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19BE62EE">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_Toc24785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17.</w:t>
      </w:r>
      <w:r>
        <w:rPr>
          <w:rFonts w:hint="eastAsia" w:ascii="宋体" w:hAnsi="宋体" w:cs="宋体"/>
          <w:b/>
          <w:bCs/>
          <w:color w:val="000000" w:themeColor="text1"/>
          <w:sz w:val="24"/>
          <w:szCs w:val="32"/>
          <w:highlight w:val="none"/>
          <w:lang w:val="en-US" w:eastAsia="zh-CN"/>
          <w14:textFill>
            <w14:solidFill>
              <w14:schemeClr w14:val="tx1"/>
            </w14:solidFill>
          </w14:textFill>
        </w:rPr>
        <w:t>响应</w:t>
      </w:r>
      <w:r>
        <w:rPr>
          <w:rFonts w:hint="eastAsia" w:ascii="宋体" w:hAnsi="宋体" w:eastAsia="宋体" w:cs="宋体"/>
          <w:b/>
          <w:bCs/>
          <w:color w:val="000000" w:themeColor="text1"/>
          <w:sz w:val="24"/>
          <w:szCs w:val="32"/>
          <w:highlight w:val="none"/>
          <w14:textFill>
            <w14:solidFill>
              <w14:schemeClr w14:val="tx1"/>
            </w14:solidFill>
          </w14:textFill>
        </w:rPr>
        <w:t>文件的接收、修改与撤回</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cs="宋体"/>
          <w:b/>
          <w:bCs/>
          <w:color w:val="000000" w:themeColor="text1"/>
          <w:sz w:val="24"/>
          <w:szCs w:val="32"/>
          <w:highlight w:val="none"/>
          <w:lang w:val="en-US" w:eastAsia="zh-CN"/>
          <w14:textFill>
            <w14:solidFill>
              <w14:schemeClr w14:val="tx1"/>
            </w14:solidFill>
          </w14:textFill>
        </w:rPr>
        <w:t>5</w: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7FF7AC4F">
      <w:pPr>
        <w:pStyle w:val="30"/>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_Toc20246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五 开标及评标</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_Toc20246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5</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5D87A8E0">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_Toc17257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18. 开标</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_Toc17257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5</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534F32F6">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_Toc31290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19.资格审查及组建评标委员会</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cs="宋体"/>
          <w:b/>
          <w:bCs/>
          <w:color w:val="000000" w:themeColor="text1"/>
          <w:sz w:val="24"/>
          <w:szCs w:val="32"/>
          <w:highlight w:val="none"/>
          <w:lang w:val="en-US" w:eastAsia="zh-CN"/>
          <w14:textFill>
            <w14:solidFill>
              <w14:schemeClr w14:val="tx1"/>
            </w14:solidFill>
          </w14:textFill>
        </w:rPr>
        <w:t>6</w: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20737196">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_Toc26332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20.</w:t>
      </w:r>
      <w:r>
        <w:rPr>
          <w:rFonts w:hint="eastAsia" w:ascii="宋体" w:hAnsi="宋体" w:cs="宋体"/>
          <w:b/>
          <w:bCs/>
          <w:color w:val="000000" w:themeColor="text1"/>
          <w:sz w:val="24"/>
          <w:szCs w:val="32"/>
          <w:highlight w:val="none"/>
          <w:lang w:eastAsia="zh-CN"/>
          <w14:textFill>
            <w14:solidFill>
              <w14:schemeClr w14:val="tx1"/>
            </w14:solidFill>
          </w14:textFill>
        </w:rPr>
        <w:t>响应文件</w:t>
      </w:r>
      <w:r>
        <w:rPr>
          <w:rFonts w:hint="eastAsia" w:ascii="宋体" w:hAnsi="宋体" w:eastAsia="宋体" w:cs="宋体"/>
          <w:b/>
          <w:bCs/>
          <w:color w:val="000000" w:themeColor="text1"/>
          <w:sz w:val="24"/>
          <w:szCs w:val="32"/>
          <w:highlight w:val="none"/>
          <w14:textFill>
            <w14:solidFill>
              <w14:schemeClr w14:val="tx1"/>
            </w14:solidFill>
          </w14:textFill>
        </w:rPr>
        <w:t>符合性审查与澄清</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cs="宋体"/>
          <w:b/>
          <w:bCs/>
          <w:color w:val="000000" w:themeColor="text1"/>
          <w:sz w:val="24"/>
          <w:szCs w:val="32"/>
          <w:highlight w:val="none"/>
          <w:lang w:val="en-US" w:eastAsia="zh-CN"/>
          <w14:textFill>
            <w14:solidFill>
              <w14:schemeClr w14:val="tx1"/>
            </w14:solidFill>
          </w14:textFill>
        </w:rPr>
        <w:t>6</w: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56CD9B77">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_Toc18529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21.投标偏离</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cs="宋体"/>
          <w:b/>
          <w:bCs/>
          <w:color w:val="000000" w:themeColor="text1"/>
          <w:sz w:val="24"/>
          <w:szCs w:val="32"/>
          <w:highlight w:val="none"/>
          <w:lang w:val="en-US" w:eastAsia="zh-CN"/>
          <w14:textFill>
            <w14:solidFill>
              <w14:schemeClr w14:val="tx1"/>
            </w14:solidFill>
          </w14:textFill>
        </w:rPr>
        <w:t>7</w: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1E6316B0">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_Toc23936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22.投标无效</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cs="宋体"/>
          <w:b/>
          <w:bCs/>
          <w:color w:val="000000" w:themeColor="text1"/>
          <w:sz w:val="24"/>
          <w:szCs w:val="32"/>
          <w:highlight w:val="none"/>
          <w:lang w:val="en-US" w:eastAsia="zh-CN"/>
          <w14:textFill>
            <w14:solidFill>
              <w14:schemeClr w14:val="tx1"/>
            </w14:solidFill>
          </w14:textFill>
        </w:rPr>
        <w:t>7</w: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121CABDE">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_Toc8521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23.比较与评价</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cs="宋体"/>
          <w:b/>
          <w:bCs/>
          <w:color w:val="000000" w:themeColor="text1"/>
          <w:sz w:val="24"/>
          <w:szCs w:val="32"/>
          <w:highlight w:val="none"/>
          <w:lang w:val="en-US" w:eastAsia="zh-CN"/>
          <w14:textFill>
            <w14:solidFill>
              <w14:schemeClr w14:val="tx1"/>
            </w14:solidFill>
          </w14:textFill>
        </w:rPr>
        <w:t>7</w: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69595EF6">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_Toc31728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24.废标</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_Toc31728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7</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2FDE5233">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_Toc11175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25.保密原则</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cs="宋体"/>
          <w:b/>
          <w:bCs/>
          <w:color w:val="000000" w:themeColor="text1"/>
          <w:sz w:val="24"/>
          <w:szCs w:val="32"/>
          <w:highlight w:val="none"/>
          <w:lang w:val="en-US" w:eastAsia="zh-CN"/>
          <w14:textFill>
            <w14:solidFill>
              <w14:schemeClr w14:val="tx1"/>
            </w14:solidFill>
          </w14:textFill>
        </w:rPr>
        <w:t>7</w: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196B03AC">
      <w:pPr>
        <w:pStyle w:val="30"/>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_Toc2153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六</w:t>
      </w:r>
      <w:r>
        <w:rPr>
          <w:rFonts w:hint="eastAsia" w:ascii="宋体" w:hAnsi="宋体" w:cs="宋体"/>
          <w:b/>
          <w:bCs/>
          <w:color w:val="000000" w:themeColor="text1"/>
          <w:sz w:val="24"/>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32"/>
          <w:highlight w:val="none"/>
          <w14:textFill>
            <w14:solidFill>
              <w14:schemeClr w14:val="tx1"/>
            </w14:solidFill>
          </w14:textFill>
        </w:rPr>
        <w:t>确定中标</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cs="宋体"/>
          <w:b/>
          <w:bCs/>
          <w:color w:val="000000" w:themeColor="text1"/>
          <w:sz w:val="24"/>
          <w:szCs w:val="32"/>
          <w:highlight w:val="none"/>
          <w:lang w:val="en-US" w:eastAsia="zh-CN"/>
          <w14:textFill>
            <w14:solidFill>
              <w14:schemeClr w14:val="tx1"/>
            </w14:solidFill>
          </w14:textFill>
        </w:rPr>
        <w:t>8</w: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1DEB5B9B">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_Toc28066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26.中标候选人的确定原则及标准</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cs="宋体"/>
          <w:b/>
          <w:bCs/>
          <w:color w:val="000000" w:themeColor="text1"/>
          <w:sz w:val="24"/>
          <w:szCs w:val="32"/>
          <w:highlight w:val="none"/>
          <w:lang w:val="en-US" w:eastAsia="zh-CN"/>
          <w14:textFill>
            <w14:solidFill>
              <w14:schemeClr w14:val="tx1"/>
            </w14:solidFill>
          </w14:textFill>
        </w:rPr>
        <w:t>8</w: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77065742">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_Toc19950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27.确定中标候选人和中标人</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cs="宋体"/>
          <w:b/>
          <w:bCs/>
          <w:color w:val="000000" w:themeColor="text1"/>
          <w:sz w:val="24"/>
          <w:szCs w:val="32"/>
          <w:highlight w:val="none"/>
          <w:lang w:val="en-US" w:eastAsia="zh-CN"/>
          <w14:textFill>
            <w14:solidFill>
              <w14:schemeClr w14:val="tx1"/>
            </w14:solidFill>
          </w14:textFill>
        </w:rPr>
        <w:t>8</w: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7B45FC6A">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_Toc13782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28.采购任务取消</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_Toc13782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8</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4B9B0ED6">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_Toc31142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29.成交通知书和结果通知书</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_Toc31142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8</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77E12556">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_Toc14795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30.签订合同</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cs="宋体"/>
          <w:b/>
          <w:bCs/>
          <w:color w:val="000000" w:themeColor="text1"/>
          <w:sz w:val="24"/>
          <w:szCs w:val="32"/>
          <w:highlight w:val="none"/>
          <w:lang w:val="en-US" w:eastAsia="zh-CN"/>
          <w14:textFill>
            <w14:solidFill>
              <w14:schemeClr w14:val="tx1"/>
            </w14:solidFill>
          </w14:textFill>
        </w:rPr>
        <w:t>8</w: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7C31C09D">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_Toc7188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31.履约保证金</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_Toc7188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8</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3D31AA0F">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_Toc31936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32.中标服务费</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cs="宋体"/>
          <w:b/>
          <w:bCs/>
          <w:color w:val="000000" w:themeColor="text1"/>
          <w:sz w:val="24"/>
          <w:szCs w:val="32"/>
          <w:highlight w:val="none"/>
          <w:lang w:val="en-US" w:eastAsia="zh-CN"/>
          <w14:textFill>
            <w14:solidFill>
              <w14:schemeClr w14:val="tx1"/>
            </w14:solidFill>
          </w14:textFill>
        </w:rPr>
        <w:t>8</w: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7B123142">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_Toc13588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33.政府采购信用担保</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cs="宋体"/>
          <w:b/>
          <w:bCs/>
          <w:color w:val="000000" w:themeColor="text1"/>
          <w:sz w:val="24"/>
          <w:szCs w:val="32"/>
          <w:highlight w:val="none"/>
          <w:lang w:val="en-US" w:eastAsia="zh-CN"/>
          <w14:textFill>
            <w14:solidFill>
              <w14:schemeClr w14:val="tx1"/>
            </w14:solidFill>
          </w14:textFill>
        </w:rPr>
        <w:t>8</w: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4D605FD3">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_Toc27198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34.廉洁自律规定</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cs="宋体"/>
          <w:b/>
          <w:bCs/>
          <w:color w:val="000000" w:themeColor="text1"/>
          <w:sz w:val="24"/>
          <w:szCs w:val="32"/>
          <w:highlight w:val="none"/>
          <w:lang w:val="en-US" w:eastAsia="zh-CN"/>
          <w14:textFill>
            <w14:solidFill>
              <w14:schemeClr w14:val="tx1"/>
            </w14:solidFill>
          </w14:textFill>
        </w:rPr>
        <w:t>9</w: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2FF45DC2">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_Toc10437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35.人员回避</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cs="宋体"/>
          <w:b/>
          <w:bCs/>
          <w:color w:val="000000" w:themeColor="text1"/>
          <w:sz w:val="24"/>
          <w:szCs w:val="32"/>
          <w:highlight w:val="none"/>
          <w:lang w:val="en-US" w:eastAsia="zh-CN"/>
          <w14:textFill>
            <w14:solidFill>
              <w14:schemeClr w14:val="tx1"/>
            </w14:solidFill>
          </w14:textFill>
        </w:rPr>
        <w:t>9</w: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02FDE8DA">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_Toc10700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36.质疑与接收</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_Toc10700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9</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23383EC1">
      <w:pPr>
        <w:pStyle w:val="24"/>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_Toc19692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 xml:space="preserve">第2章 </w:t>
      </w:r>
      <w:r>
        <w:rPr>
          <w:rFonts w:hint="eastAsia" w:ascii="宋体" w:hAnsi="宋体" w:cs="宋体"/>
          <w:b/>
          <w:bCs/>
          <w:color w:val="000000" w:themeColor="text1"/>
          <w:sz w:val="24"/>
          <w:szCs w:val="32"/>
          <w:highlight w:val="none"/>
          <w:lang w:eastAsia="zh-CN"/>
          <w14:textFill>
            <w14:solidFill>
              <w14:schemeClr w14:val="tx1"/>
            </w14:solidFill>
          </w14:textFill>
        </w:rPr>
        <w:t>响应文件</w:t>
      </w:r>
      <w:r>
        <w:rPr>
          <w:rFonts w:hint="eastAsia" w:ascii="宋体" w:hAnsi="宋体" w:eastAsia="宋体" w:cs="宋体"/>
          <w:b/>
          <w:bCs/>
          <w:color w:val="000000" w:themeColor="text1"/>
          <w:sz w:val="24"/>
          <w:szCs w:val="32"/>
          <w:highlight w:val="none"/>
          <w14:textFill>
            <w14:solidFill>
              <w14:schemeClr w14:val="tx1"/>
            </w14:solidFill>
          </w14:textFill>
        </w:rPr>
        <w:t>格式</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_Toc19692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13</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467DBC85">
      <w:pPr>
        <w:pStyle w:val="24"/>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000000" w:themeColor="text1"/>
          <w:sz w:val="24"/>
          <w:szCs w:val="32"/>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_Toc30462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第3章</w:t>
      </w: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32"/>
          <w:highlight w:val="none"/>
          <w:lang w:eastAsia="zh-CN"/>
          <w14:textFill>
            <w14:solidFill>
              <w14:schemeClr w14:val="tx1"/>
            </w14:solidFill>
          </w14:textFill>
        </w:rPr>
        <w:t>招标公告</w:t>
      </w:r>
      <w:r>
        <w:rPr>
          <w:rFonts w:hint="eastAsia" w:ascii="宋体" w:hAnsi="宋体" w:eastAsia="宋体" w:cs="宋体"/>
          <w:b/>
          <w:bCs/>
          <w:color w:val="000000" w:themeColor="text1"/>
          <w:sz w:val="24"/>
          <w:szCs w:val="32"/>
          <w:highlight w:val="none"/>
          <w14:textFill>
            <w14:solidFill>
              <w14:schemeClr w14:val="tx1"/>
            </w14:solidFill>
          </w14:textFill>
        </w:rPr>
        <w:t xml:space="preserve"> </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cs="宋体"/>
          <w:b/>
          <w:bCs/>
          <w:color w:val="000000" w:themeColor="text1"/>
          <w:sz w:val="24"/>
          <w:szCs w:val="32"/>
          <w:highlight w:val="none"/>
          <w:lang w:val="en-US" w:eastAsia="zh-CN"/>
          <w14:textFill>
            <w14:solidFill>
              <w14:schemeClr w14:val="tx1"/>
            </w14:solidFill>
          </w14:textFill>
        </w:rPr>
        <w:t>3</w: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r>
        <w:rPr>
          <w:rFonts w:hint="eastAsia" w:ascii="宋体" w:hAnsi="宋体" w:cs="宋体"/>
          <w:b/>
          <w:bCs/>
          <w:color w:val="000000" w:themeColor="text1"/>
          <w:kern w:val="0"/>
          <w:sz w:val="24"/>
          <w:szCs w:val="24"/>
          <w:highlight w:val="none"/>
          <w:lang w:val="en-US" w:eastAsia="zh-CN"/>
          <w14:textFill>
            <w14:solidFill>
              <w14:schemeClr w14:val="tx1"/>
            </w14:solidFill>
          </w14:textFill>
        </w:rPr>
        <w:t>4</w:t>
      </w:r>
    </w:p>
    <w:p w14:paraId="555EE251">
      <w:pPr>
        <w:pStyle w:val="24"/>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_Toc20439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40"/>
          <w:highlight w:val="none"/>
          <w14:textFill>
            <w14:solidFill>
              <w14:schemeClr w14:val="tx1"/>
            </w14:solidFill>
          </w14:textFill>
        </w:rPr>
        <w:t xml:space="preserve">第4章 </w:t>
      </w:r>
      <w:r>
        <w:rPr>
          <w:rFonts w:hint="eastAsia" w:ascii="宋体" w:hAnsi="宋体" w:eastAsia="宋体" w:cs="宋体"/>
          <w:b/>
          <w:bCs/>
          <w:color w:val="000000" w:themeColor="text1"/>
          <w:sz w:val="24"/>
          <w:szCs w:val="32"/>
          <w:highlight w:val="none"/>
          <w14:textFill>
            <w14:solidFill>
              <w14:schemeClr w14:val="tx1"/>
            </w14:solidFill>
          </w14:textFill>
        </w:rPr>
        <w:t>投标人须知资料表</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_Toc20439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3</w:t>
      </w:r>
      <w:r>
        <w:rPr>
          <w:rFonts w:hint="eastAsia" w:ascii="宋体" w:hAnsi="宋体" w:cs="宋体"/>
          <w:b/>
          <w:bCs/>
          <w:color w:val="000000" w:themeColor="text1"/>
          <w:sz w:val="24"/>
          <w:szCs w:val="32"/>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2D7FD520">
      <w:pPr>
        <w:pStyle w:val="24"/>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_Toc22779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 xml:space="preserve">第5章 </w:t>
      </w:r>
      <w:r>
        <w:rPr>
          <w:rFonts w:hint="eastAsia" w:ascii="宋体" w:hAnsi="宋体" w:cs="宋体"/>
          <w:b/>
          <w:bCs/>
          <w:color w:val="000000" w:themeColor="text1"/>
          <w:sz w:val="24"/>
          <w:szCs w:val="32"/>
          <w:highlight w:val="none"/>
          <w:lang w:eastAsia="zh-CN"/>
          <w14:textFill>
            <w14:solidFill>
              <w14:schemeClr w14:val="tx1"/>
            </w14:solidFill>
          </w14:textFill>
        </w:rPr>
        <w:t>服务需求一览表及项目要求</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eastAsia="宋体" w:cs="宋体"/>
          <w:b/>
          <w:bCs/>
          <w:color w:val="000000" w:themeColor="text1"/>
          <w:sz w:val="24"/>
          <w:szCs w:val="32"/>
          <w:highlight w:val="none"/>
          <w14:textFill>
            <w14:solidFill>
              <w14:schemeClr w14:val="tx1"/>
            </w14:solidFill>
          </w14:textFill>
        </w:rPr>
        <w:fldChar w:fldCharType="begin"/>
      </w:r>
      <w:r>
        <w:rPr>
          <w:rFonts w:hint="eastAsia" w:ascii="宋体" w:hAnsi="宋体" w:eastAsia="宋体" w:cs="宋体"/>
          <w:b/>
          <w:bCs/>
          <w:color w:val="000000" w:themeColor="text1"/>
          <w:sz w:val="24"/>
          <w:szCs w:val="32"/>
          <w:highlight w:val="none"/>
          <w14:textFill>
            <w14:solidFill>
              <w14:schemeClr w14:val="tx1"/>
            </w14:solidFill>
          </w14:textFill>
        </w:rPr>
        <w:instrText xml:space="preserve"> PAGEREF _Toc22779 </w:instrText>
      </w:r>
      <w:r>
        <w:rPr>
          <w:rFonts w:hint="eastAsia" w:ascii="宋体" w:hAnsi="宋体" w:eastAsia="宋体" w:cs="宋体"/>
          <w:b/>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38</w:t>
      </w:r>
      <w:r>
        <w:rPr>
          <w:rFonts w:hint="eastAsia" w:ascii="宋体" w:hAnsi="宋体" w:eastAsia="宋体" w:cs="宋体"/>
          <w:b/>
          <w:bCs/>
          <w:color w:val="000000" w:themeColor="text1"/>
          <w:sz w:val="24"/>
          <w:szCs w:val="32"/>
          <w:highlight w:val="none"/>
          <w14:textFill>
            <w14:solidFill>
              <w14:schemeClr w14:val="tx1"/>
            </w14:solidFill>
          </w14:textFill>
        </w:rPr>
        <w:fldChar w:fldCharType="end"/>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p>
    <w:p w14:paraId="3E93B814">
      <w:pPr>
        <w:pStyle w:val="24"/>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_Toc23331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第6章 评标方法和标准</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cs="宋体"/>
          <w:b/>
          <w:bCs/>
          <w:color w:val="000000" w:themeColor="text1"/>
          <w:sz w:val="24"/>
          <w:szCs w:val="32"/>
          <w:highlight w:val="none"/>
          <w:lang w:val="en-US" w:eastAsia="zh-CN"/>
          <w14:textFill>
            <w14:solidFill>
              <w14:schemeClr w14:val="tx1"/>
            </w14:solidFill>
          </w14:textFill>
        </w:rPr>
        <w:t>4</w: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r>
        <w:rPr>
          <w:rFonts w:hint="eastAsia" w:ascii="宋体" w:hAnsi="宋体" w:cs="宋体"/>
          <w:b/>
          <w:bCs/>
          <w:color w:val="000000" w:themeColor="text1"/>
          <w:kern w:val="0"/>
          <w:sz w:val="24"/>
          <w:szCs w:val="24"/>
          <w:highlight w:val="none"/>
          <w:lang w:val="en-US" w:eastAsia="zh-CN"/>
          <w14:textFill>
            <w14:solidFill>
              <w14:schemeClr w14:val="tx1"/>
            </w14:solidFill>
          </w14:textFill>
        </w:rPr>
        <w:t>3</w:t>
      </w:r>
    </w:p>
    <w:p w14:paraId="12238BED">
      <w:pPr>
        <w:pStyle w:val="24"/>
        <w:keepNext w:val="0"/>
        <w:keepLines w:val="0"/>
        <w:pageBreakBefore w:val="0"/>
        <w:widowControl w:val="0"/>
        <w:tabs>
          <w:tab w:val="right" w:leader="dot" w:pos="8312"/>
        </w:tabs>
        <w:kinsoku/>
        <w:overflowPunct/>
        <w:bidi w:val="0"/>
        <w:spacing w:line="360" w:lineRule="auto"/>
        <w:rPr>
          <w:rFonts w:hint="eastAsia"/>
          <w:color w:val="000000" w:themeColor="text1"/>
          <w:lang w:val="en-US" w:eastAsia="zh-CN"/>
          <w14:textFill>
            <w14:solidFill>
              <w14:schemeClr w14:val="tx1"/>
            </w14:solidFill>
          </w14:textFill>
        </w:rPr>
        <w:sectPr>
          <w:headerReference r:id="rId3" w:type="default"/>
          <w:footerReference r:id="rId4" w:type="default"/>
          <w:pgSz w:w="11906" w:h="16838"/>
          <w:pgMar w:top="1440" w:right="1701" w:bottom="1440" w:left="1701"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szCs w:val="24"/>
          <w:highlight w:val="none"/>
          <w14:textFill>
            <w14:solidFill>
              <w14:schemeClr w14:val="tx1"/>
            </w14:solidFill>
          </w14:textFill>
        </w:rPr>
        <w:instrText xml:space="preserve"> HYPERLINK \l _Toc23331 </w:instrTex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32"/>
          <w:highlight w:val="none"/>
          <w14:textFill>
            <w14:solidFill>
              <w14:schemeClr w14:val="tx1"/>
            </w14:solidFill>
          </w14:textFill>
        </w:rPr>
        <w:t>第</w:t>
      </w: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7</w:t>
      </w:r>
      <w:r>
        <w:rPr>
          <w:rFonts w:hint="eastAsia" w:ascii="宋体" w:hAnsi="宋体" w:eastAsia="宋体" w:cs="宋体"/>
          <w:b/>
          <w:bCs/>
          <w:color w:val="000000" w:themeColor="text1"/>
          <w:sz w:val="24"/>
          <w:szCs w:val="32"/>
          <w:highlight w:val="none"/>
          <w14:textFill>
            <w14:solidFill>
              <w14:schemeClr w14:val="tx1"/>
            </w14:solidFill>
          </w14:textFill>
        </w:rPr>
        <w:t xml:space="preserve">章 </w:t>
      </w: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政府采购合同</w:t>
      </w:r>
      <w:r>
        <w:rPr>
          <w:rFonts w:hint="eastAsia" w:ascii="宋体" w:hAnsi="宋体" w:eastAsia="宋体" w:cs="宋体"/>
          <w:b/>
          <w:bCs/>
          <w:color w:val="000000" w:themeColor="text1"/>
          <w:sz w:val="24"/>
          <w:szCs w:val="32"/>
          <w:highlight w:val="none"/>
          <w14:textFill>
            <w14:solidFill>
              <w14:schemeClr w14:val="tx1"/>
            </w14:solidFill>
          </w14:textFill>
        </w:rPr>
        <w:tab/>
      </w:r>
      <w:r>
        <w:rPr>
          <w:rFonts w:hint="eastAsia" w:ascii="宋体" w:hAnsi="宋体" w:cs="宋体"/>
          <w:b/>
          <w:bCs/>
          <w:color w:val="000000" w:themeColor="text1"/>
          <w:sz w:val="24"/>
          <w:szCs w:val="32"/>
          <w:highlight w:val="none"/>
          <w:lang w:val="en-US" w:eastAsia="zh-CN"/>
          <w14:textFill>
            <w14:solidFill>
              <w14:schemeClr w14:val="tx1"/>
            </w14:solidFill>
          </w14:textFill>
        </w:rPr>
        <w:t>5</w:t>
      </w:r>
      <w:r>
        <w:rPr>
          <w:rFonts w:hint="eastAsia" w:ascii="宋体" w:hAnsi="宋体" w:eastAsia="宋体" w:cs="宋体"/>
          <w:b/>
          <w:bCs/>
          <w:color w:val="000000" w:themeColor="text1"/>
          <w:kern w:val="0"/>
          <w:sz w:val="24"/>
          <w:szCs w:val="24"/>
          <w:highlight w:val="none"/>
          <w14:textFill>
            <w14:solidFill>
              <w14:schemeClr w14:val="tx1"/>
            </w14:solidFill>
          </w14:textFill>
        </w:rPr>
        <w:fldChar w:fldCharType="end"/>
      </w:r>
      <w:r>
        <w:rPr>
          <w:rFonts w:hint="eastAsia" w:ascii="宋体" w:hAnsi="宋体" w:cs="宋体"/>
          <w:b/>
          <w:bCs/>
          <w:color w:val="000000" w:themeColor="text1"/>
          <w:kern w:val="0"/>
          <w:sz w:val="24"/>
          <w:szCs w:val="24"/>
          <w:highlight w:val="none"/>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ab/>
      </w:r>
    </w:p>
    <w:p w14:paraId="1C276A20">
      <w:pPr>
        <w:pStyle w:val="3"/>
        <w:keepNext w:val="0"/>
        <w:keepLines w:val="0"/>
        <w:pageBreakBefore w:val="0"/>
        <w:widowControl w:val="0"/>
        <w:numPr>
          <w:ilvl w:val="0"/>
          <w:numId w:val="1"/>
        </w:numPr>
        <w:tabs>
          <w:tab w:val="left" w:pos="0"/>
          <w:tab w:val="clear" w:pos="3134"/>
        </w:tabs>
        <w:kinsoku/>
        <w:overflowPunct/>
        <w:bidi w:val="0"/>
        <w:spacing w:before="0" w:after="0" w:line="240" w:lineRule="atLeast"/>
        <w:ind w:left="4650" w:leftChars="0" w:hanging="3134"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fldChar w:fldCharType="end"/>
      </w:r>
      <w:bookmarkStart w:id="0" w:name="_Toc25817"/>
      <w:bookmarkStart w:id="1" w:name="_Toc17230"/>
      <w:bookmarkStart w:id="2" w:name="_Toc22782"/>
      <w:bookmarkStart w:id="3" w:name="_Toc216582804"/>
      <w:r>
        <w:rPr>
          <w:rFonts w:hint="eastAsia" w:ascii="宋体" w:hAnsi="宋体" w:eastAsia="宋体" w:cs="宋体"/>
          <w:color w:val="000000" w:themeColor="text1"/>
          <w:sz w:val="32"/>
          <w:szCs w:val="20"/>
          <w:highlight w:val="none"/>
          <w14:textFill>
            <w14:solidFill>
              <w14:schemeClr w14:val="tx1"/>
            </w14:solidFill>
          </w14:textFill>
        </w:rPr>
        <w:t xml:space="preserve"> </w:t>
      </w:r>
      <w:bookmarkStart w:id="4" w:name="_Toc515647756"/>
      <w:r>
        <w:rPr>
          <w:rFonts w:hint="eastAsia" w:ascii="宋体" w:hAnsi="宋体" w:eastAsia="宋体" w:cs="宋体"/>
          <w:color w:val="000000" w:themeColor="text1"/>
          <w:sz w:val="32"/>
          <w:szCs w:val="20"/>
          <w:highlight w:val="none"/>
          <w14:textFill>
            <w14:solidFill>
              <w14:schemeClr w14:val="tx1"/>
            </w14:solidFill>
          </w14:textFill>
        </w:rPr>
        <w:t>投标人须知</w:t>
      </w:r>
      <w:bookmarkEnd w:id="0"/>
      <w:bookmarkEnd w:id="1"/>
      <w:bookmarkEnd w:id="2"/>
      <w:bookmarkEnd w:id="3"/>
      <w:bookmarkEnd w:id="4"/>
    </w:p>
    <w:p w14:paraId="449CCE9F">
      <w:pPr>
        <w:pStyle w:val="4"/>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000000" w:themeColor="text1"/>
          <w:highlight w:val="none"/>
          <w14:textFill>
            <w14:solidFill>
              <w14:schemeClr w14:val="tx1"/>
            </w14:solidFill>
          </w14:textFill>
        </w:rPr>
      </w:pPr>
      <w:bookmarkStart w:id="5" w:name="_Toc520356143"/>
      <w:bookmarkStart w:id="6" w:name="_Toc515647757"/>
      <w:bookmarkStart w:id="7" w:name="_Toc216582805"/>
      <w:bookmarkStart w:id="8" w:name="_Toc22145"/>
      <w:bookmarkStart w:id="9" w:name="_Toc21215"/>
      <w:bookmarkStart w:id="10" w:name="_Toc21015"/>
      <w:r>
        <w:rPr>
          <w:rFonts w:hint="eastAsia" w:ascii="宋体" w:hAnsi="宋体" w:eastAsia="宋体" w:cs="宋体"/>
          <w:color w:val="000000" w:themeColor="text1"/>
          <w:sz w:val="28"/>
          <w:highlight w:val="none"/>
          <w14:textFill>
            <w14:solidFill>
              <w14:schemeClr w14:val="tx1"/>
            </w14:solidFill>
          </w14:textFill>
        </w:rPr>
        <w:t xml:space="preserve">一   </w:t>
      </w:r>
      <w:bookmarkEnd w:id="5"/>
      <w:bookmarkEnd w:id="6"/>
      <w:bookmarkEnd w:id="7"/>
      <w:r>
        <w:rPr>
          <w:rFonts w:hint="eastAsia" w:ascii="宋体" w:hAnsi="宋体" w:eastAsia="宋体" w:cs="宋体"/>
          <w:color w:val="000000" w:themeColor="text1"/>
          <w:sz w:val="28"/>
          <w:highlight w:val="none"/>
          <w14:textFill>
            <w14:solidFill>
              <w14:schemeClr w14:val="tx1"/>
            </w14:solidFill>
          </w14:textFill>
        </w:rPr>
        <w:t>总 则</w:t>
      </w:r>
      <w:bookmarkEnd w:id="8"/>
      <w:bookmarkEnd w:id="9"/>
      <w:bookmarkEnd w:id="10"/>
    </w:p>
    <w:p w14:paraId="41948ACC">
      <w:pPr>
        <w:pStyle w:val="5"/>
        <w:keepNext w:val="0"/>
        <w:keepLines w:val="0"/>
        <w:pageBreakBefore w:val="0"/>
        <w:widowControl w:val="0"/>
        <w:kinsoku/>
        <w:overflowPunct/>
        <w:bidi w:val="0"/>
        <w:spacing w:before="0" w:after="0" w:line="240" w:lineRule="atLeast"/>
        <w:rPr>
          <w:rFonts w:hint="eastAsia" w:ascii="宋体" w:hAnsi="宋体" w:eastAsia="宋体" w:cs="宋体"/>
          <w:color w:val="000000" w:themeColor="text1"/>
          <w:highlight w:val="none"/>
          <w:u w:val="none"/>
          <w14:textFill>
            <w14:solidFill>
              <w14:schemeClr w14:val="tx1"/>
            </w14:solidFill>
          </w14:textFill>
        </w:rPr>
      </w:pPr>
      <w:bookmarkStart w:id="11" w:name="_Toc520356144"/>
      <w:bookmarkStart w:id="12" w:name="_Toc32189"/>
      <w:bookmarkStart w:id="13" w:name="_Toc32623"/>
      <w:bookmarkStart w:id="14" w:name="_Toc515647758"/>
      <w:bookmarkStart w:id="15" w:name="_Toc5999"/>
      <w:r>
        <w:rPr>
          <w:rFonts w:hint="eastAsia" w:ascii="宋体" w:hAnsi="宋体" w:eastAsia="宋体" w:cs="宋体"/>
          <w:color w:val="000000" w:themeColor="text1"/>
          <w:highlight w:val="none"/>
          <w:u w:val="none"/>
          <w14:textFill>
            <w14:solidFill>
              <w14:schemeClr w14:val="tx1"/>
            </w14:solidFill>
          </w14:textFill>
        </w:rPr>
        <w:t>1.采购人、采购代理机构及</w:t>
      </w:r>
      <w:bookmarkEnd w:id="11"/>
      <w:r>
        <w:rPr>
          <w:rFonts w:hint="eastAsia" w:ascii="宋体" w:hAnsi="宋体" w:eastAsia="宋体" w:cs="宋体"/>
          <w:color w:val="000000" w:themeColor="text1"/>
          <w:highlight w:val="none"/>
          <w:u w:val="none"/>
          <w14:textFill>
            <w14:solidFill>
              <w14:schemeClr w14:val="tx1"/>
            </w14:solidFill>
          </w14:textFill>
        </w:rPr>
        <w:t>投标人</w:t>
      </w:r>
      <w:bookmarkEnd w:id="12"/>
      <w:bookmarkEnd w:id="13"/>
      <w:bookmarkEnd w:id="14"/>
      <w:bookmarkEnd w:id="15"/>
    </w:p>
    <w:p w14:paraId="5E38E19E">
      <w:pPr>
        <w:numPr>
          <w:ilvl w:val="1"/>
          <w:numId w:val="0"/>
        </w:numPr>
        <w:tabs>
          <w:tab w:val="left" w:pos="0"/>
        </w:tabs>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16" w:name="_Toc12139"/>
      <w:bookmarkStart w:id="17" w:name="_Toc515647759"/>
      <w:bookmarkStart w:id="18" w:name="_Toc5286"/>
      <w:bookmarkStart w:id="19" w:name="_Toc4322"/>
      <w:r>
        <w:rPr>
          <w:rFonts w:hint="eastAsia" w:ascii="宋体" w:hAnsi="宋体" w:cs="宋体"/>
          <w:color w:val="000000" w:themeColor="text1"/>
          <w:sz w:val="24"/>
          <w:highlight w:val="none"/>
          <w14:textFill>
            <w14:solidFill>
              <w14:schemeClr w14:val="tx1"/>
            </w14:solidFill>
          </w14:textFill>
        </w:rPr>
        <w:t>1.1    采购人：是指依法开展政府采购活动的国家机关、事业单位、团体组织。</w:t>
      </w:r>
    </w:p>
    <w:p w14:paraId="13BA6B34">
      <w:pPr>
        <w:tabs>
          <w:tab w:val="left" w:pos="0"/>
        </w:tabs>
        <w:spacing w:line="240" w:lineRule="atLeast"/>
        <w:ind w:firstLine="840" w:firstLine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本项目的采购人见</w:t>
      </w:r>
      <w:r>
        <w:rPr>
          <w:rFonts w:hint="eastAsia" w:ascii="宋体" w:hAnsi="宋体" w:cs="宋体"/>
          <w:color w:val="000000" w:themeColor="text1"/>
          <w:sz w:val="24"/>
          <w:highlight w:val="none"/>
          <w:u w:val="single"/>
          <w:lang w:eastAsia="zh-CN"/>
          <w14:textFill>
            <w14:solidFill>
              <w14:schemeClr w14:val="tx1"/>
            </w14:solidFill>
          </w14:textFill>
        </w:rPr>
        <w:t>投标人须知资料表</w:t>
      </w:r>
      <w:r>
        <w:rPr>
          <w:rFonts w:hint="eastAsia" w:ascii="宋体" w:hAnsi="宋体" w:cs="宋体"/>
          <w:color w:val="000000" w:themeColor="text1"/>
          <w:sz w:val="24"/>
          <w:highlight w:val="none"/>
          <w14:textFill>
            <w14:solidFill>
              <w14:schemeClr w14:val="tx1"/>
            </w14:solidFill>
          </w14:textFill>
        </w:rPr>
        <w:t>。</w:t>
      </w:r>
    </w:p>
    <w:p w14:paraId="69A5D117">
      <w:pPr>
        <w:numPr>
          <w:ilvl w:val="1"/>
          <w:numId w:val="0"/>
        </w:numPr>
        <w:tabs>
          <w:tab w:val="left" w:pos="0"/>
        </w:tabs>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    采购代理机构：是指在集中采购机构或从事采购代理业务的社会中介机构。本项目的采购代理机构见</w:t>
      </w:r>
      <w:r>
        <w:rPr>
          <w:rFonts w:hint="eastAsia" w:ascii="宋体" w:hAnsi="宋体" w:cs="宋体"/>
          <w:color w:val="000000" w:themeColor="text1"/>
          <w:sz w:val="24"/>
          <w:highlight w:val="none"/>
          <w:u w:val="single"/>
          <w:lang w:eastAsia="zh-CN"/>
          <w14:textFill>
            <w14:solidFill>
              <w14:schemeClr w14:val="tx1"/>
            </w14:solidFill>
          </w14:textFill>
        </w:rPr>
        <w:t>投标人须知资料表</w:t>
      </w:r>
      <w:r>
        <w:rPr>
          <w:rFonts w:hint="eastAsia" w:ascii="宋体" w:hAnsi="宋体" w:cs="宋体"/>
          <w:color w:val="000000" w:themeColor="text1"/>
          <w:sz w:val="24"/>
          <w:highlight w:val="none"/>
          <w14:textFill>
            <w14:solidFill>
              <w14:schemeClr w14:val="tx1"/>
            </w14:solidFill>
          </w14:textFill>
        </w:rPr>
        <w:t>。</w:t>
      </w:r>
    </w:p>
    <w:p w14:paraId="5367A920">
      <w:pPr>
        <w:numPr>
          <w:ilvl w:val="1"/>
          <w:numId w:val="0"/>
        </w:num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1.3    </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：是指向采购人提供服务、工程或者服务的法人、非法人组织或者自然人。本项目的</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及其服务须满足以下条件：</w:t>
      </w:r>
    </w:p>
    <w:p w14:paraId="20F3CEBA">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在中华人民共和国境内注册，能够独立承担民事责任，有生产或供应能力的本国</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w:t>
      </w:r>
    </w:p>
    <w:p w14:paraId="041640DF">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  具备《中华人民共和国政府采购法》第二十二条关于</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条件的规定，遵守本项目采购人本级和上级财政部门政府采购的有关规定。</w:t>
      </w:r>
    </w:p>
    <w:p w14:paraId="1C05AD27">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  以采购代理机构认可的方式获得了本项目的</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w:t>
      </w:r>
    </w:p>
    <w:p w14:paraId="5C54DB16">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1.3.4  符合</w:t>
      </w:r>
      <w:r>
        <w:rPr>
          <w:rFonts w:hint="eastAsia" w:ascii="宋体" w:hAnsi="宋体" w:cs="宋体"/>
          <w:color w:val="000000" w:themeColor="text1"/>
          <w:sz w:val="24"/>
          <w:highlight w:val="none"/>
          <w:u w:val="single"/>
          <w:lang w:eastAsia="zh-CN"/>
          <w14:textFill>
            <w14:solidFill>
              <w14:schemeClr w14:val="tx1"/>
            </w14:solidFill>
          </w14:textFill>
        </w:rPr>
        <w:t>投标人须知资料表</w:t>
      </w:r>
      <w:r>
        <w:rPr>
          <w:rFonts w:hint="eastAsia" w:ascii="宋体" w:hAnsi="宋体" w:cs="宋体"/>
          <w:color w:val="000000" w:themeColor="text1"/>
          <w:sz w:val="24"/>
          <w:highlight w:val="none"/>
          <w14:textFill>
            <w14:solidFill>
              <w14:schemeClr w14:val="tx1"/>
            </w14:solidFill>
          </w14:textFill>
        </w:rPr>
        <w:t>中规定的其他要求。</w:t>
      </w:r>
    </w:p>
    <w:p w14:paraId="61329DD0">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1.3.5  若</w:t>
      </w:r>
      <w:r>
        <w:rPr>
          <w:rFonts w:hint="eastAsia" w:ascii="宋体" w:hAnsi="宋体" w:cs="宋体"/>
          <w:color w:val="000000" w:themeColor="text1"/>
          <w:sz w:val="24"/>
          <w:highlight w:val="none"/>
          <w:u w:val="single"/>
          <w:lang w:eastAsia="zh-CN"/>
          <w14:textFill>
            <w14:solidFill>
              <w14:schemeClr w14:val="tx1"/>
            </w14:solidFill>
          </w14:textFill>
        </w:rPr>
        <w:t>投标人须知资料表</w:t>
      </w:r>
      <w:r>
        <w:rPr>
          <w:rFonts w:hint="eastAsia" w:ascii="宋体" w:hAnsi="宋体" w:cs="宋体"/>
          <w:color w:val="000000" w:themeColor="text1"/>
          <w:sz w:val="24"/>
          <w:highlight w:val="none"/>
          <w14:textFill>
            <w14:solidFill>
              <w14:schemeClr w14:val="tx1"/>
            </w14:solidFill>
          </w14:textFill>
        </w:rPr>
        <w:t>中写明允许采购进口产品，</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应保证所投产品可履行合法报通关手续进入中国关境内。若</w:t>
      </w:r>
      <w:r>
        <w:rPr>
          <w:rFonts w:hint="eastAsia" w:ascii="宋体" w:hAnsi="宋体" w:cs="宋体"/>
          <w:color w:val="000000" w:themeColor="text1"/>
          <w:sz w:val="24"/>
          <w:highlight w:val="none"/>
          <w:u w:val="single"/>
          <w:lang w:eastAsia="zh-CN"/>
          <w14:textFill>
            <w14:solidFill>
              <w14:schemeClr w14:val="tx1"/>
            </w14:solidFill>
          </w14:textFill>
        </w:rPr>
        <w:t>投标人须知资料表</w:t>
      </w:r>
      <w:r>
        <w:rPr>
          <w:rFonts w:hint="eastAsia" w:ascii="宋体" w:hAnsi="宋体" w:cs="宋体"/>
          <w:color w:val="000000" w:themeColor="text1"/>
          <w:sz w:val="24"/>
          <w:highlight w:val="none"/>
          <w14:textFill>
            <w14:solidFill>
              <w14:schemeClr w14:val="tx1"/>
            </w14:solidFill>
          </w14:textFill>
        </w:rPr>
        <w:t>中未写明允许采购进口产品，如</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所投产品为进口产品，其</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将被认定为</w:t>
      </w:r>
      <w:r>
        <w:rPr>
          <w:rFonts w:hint="eastAsia" w:ascii="宋体" w:hAnsi="宋体" w:cs="宋体"/>
          <w:b/>
          <w:bCs/>
          <w:color w:val="000000" w:themeColor="text1"/>
          <w:sz w:val="24"/>
          <w:highlight w:val="none"/>
          <w:lang w:eastAsia="zh-CN"/>
          <w14:textFill>
            <w14:solidFill>
              <w14:schemeClr w14:val="tx1"/>
            </w14:solidFill>
          </w14:textFill>
        </w:rPr>
        <w:t>投标无效</w:t>
      </w:r>
      <w:r>
        <w:rPr>
          <w:rFonts w:hint="eastAsia" w:ascii="宋体" w:hAnsi="宋体" w:cs="宋体"/>
          <w:color w:val="000000" w:themeColor="text1"/>
          <w:sz w:val="24"/>
          <w:highlight w:val="none"/>
          <w14:textFill>
            <w14:solidFill>
              <w14:schemeClr w14:val="tx1"/>
            </w14:solidFill>
          </w14:textFill>
        </w:rPr>
        <w:t>。</w:t>
      </w:r>
      <w:bookmarkStart w:id="609" w:name="_GoBack"/>
      <w:bookmarkEnd w:id="609"/>
    </w:p>
    <w:p w14:paraId="083A0128">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1.3.6  若</w:t>
      </w:r>
      <w:r>
        <w:rPr>
          <w:rFonts w:hint="eastAsia" w:ascii="宋体" w:hAnsi="宋体" w:cs="宋体"/>
          <w:color w:val="000000" w:themeColor="text1"/>
          <w:sz w:val="24"/>
          <w:highlight w:val="none"/>
          <w:u w:val="single"/>
          <w:lang w:eastAsia="zh-CN"/>
          <w14:textFill>
            <w14:solidFill>
              <w14:schemeClr w14:val="tx1"/>
            </w14:solidFill>
          </w14:textFill>
        </w:rPr>
        <w:t>投标人须知资料表</w:t>
      </w:r>
      <w:r>
        <w:rPr>
          <w:rFonts w:hint="eastAsia" w:ascii="宋体" w:hAnsi="宋体" w:cs="宋体"/>
          <w:color w:val="000000" w:themeColor="text1"/>
          <w:sz w:val="24"/>
          <w:highlight w:val="none"/>
          <w14:textFill>
            <w14:solidFill>
              <w14:schemeClr w14:val="tx1"/>
            </w14:solidFill>
          </w14:textFill>
        </w:rPr>
        <w:t>中写明专门面向中小企业采购的，如</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为非中小企业且所投产品为非中小企业产品，其</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将被认定为</w:t>
      </w:r>
      <w:r>
        <w:rPr>
          <w:rFonts w:hint="eastAsia" w:ascii="宋体" w:hAnsi="宋体" w:cs="宋体"/>
          <w:b/>
          <w:bCs/>
          <w:color w:val="000000" w:themeColor="text1"/>
          <w:sz w:val="24"/>
          <w:highlight w:val="none"/>
          <w:lang w:eastAsia="zh-CN"/>
          <w14:textFill>
            <w14:solidFill>
              <w14:schemeClr w14:val="tx1"/>
            </w14:solidFill>
          </w14:textFill>
        </w:rPr>
        <w:t>投标无效</w:t>
      </w:r>
      <w:r>
        <w:rPr>
          <w:rFonts w:hint="eastAsia" w:ascii="宋体" w:hAnsi="宋体" w:cs="宋体"/>
          <w:color w:val="000000" w:themeColor="text1"/>
          <w:sz w:val="24"/>
          <w:highlight w:val="none"/>
          <w14:textFill>
            <w14:solidFill>
              <w14:schemeClr w14:val="tx1"/>
            </w14:solidFill>
          </w14:textFill>
        </w:rPr>
        <w:t>。</w:t>
      </w:r>
    </w:p>
    <w:p w14:paraId="04BA5996">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1.4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本项目不允许联合体投标。</w:t>
      </w:r>
    </w:p>
    <w:p w14:paraId="78133DF1">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    单位负责人为同一人或者存在直接控股、管理关系的不同</w:t>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，其相关</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将被认定为</w:t>
      </w:r>
      <w:r>
        <w:rPr>
          <w:rFonts w:hint="eastAsia" w:ascii="宋体" w:hAnsi="宋体" w:cs="宋体"/>
          <w:b/>
          <w:bCs/>
          <w:color w:val="000000" w:themeColor="text1"/>
          <w:sz w:val="24"/>
          <w:highlight w:val="none"/>
          <w:lang w:eastAsia="zh-CN"/>
          <w14:textFill>
            <w14:solidFill>
              <w14:schemeClr w14:val="tx1"/>
            </w14:solidFill>
          </w14:textFill>
        </w:rPr>
        <w:t>投标无效</w:t>
      </w:r>
      <w:r>
        <w:rPr>
          <w:rFonts w:hint="eastAsia" w:ascii="宋体" w:hAnsi="宋体" w:cs="宋体"/>
          <w:color w:val="000000" w:themeColor="text1"/>
          <w:sz w:val="24"/>
          <w:highlight w:val="none"/>
          <w14:textFill>
            <w14:solidFill>
              <w14:schemeClr w14:val="tx1"/>
            </w14:solidFill>
          </w14:textFill>
        </w:rPr>
        <w:t>。</w:t>
      </w:r>
    </w:p>
    <w:p w14:paraId="40186BA3">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    为本项目提供过整体设计、规范编制或者项目管理、监理、检测等要求的</w:t>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，不得再参加本项目上述服务以外的其他采购活动。否则其</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将被认定为</w:t>
      </w:r>
      <w:r>
        <w:rPr>
          <w:rFonts w:hint="eastAsia" w:ascii="宋体" w:hAnsi="宋体" w:cs="宋体"/>
          <w:b/>
          <w:bCs/>
          <w:color w:val="000000" w:themeColor="text1"/>
          <w:sz w:val="24"/>
          <w:highlight w:val="none"/>
          <w:lang w:eastAsia="zh-CN"/>
          <w14:textFill>
            <w14:solidFill>
              <w14:schemeClr w14:val="tx1"/>
            </w14:solidFill>
          </w14:textFill>
        </w:rPr>
        <w:t>投标无效</w:t>
      </w:r>
      <w:r>
        <w:rPr>
          <w:rFonts w:hint="eastAsia" w:ascii="宋体" w:hAnsi="宋体" w:cs="宋体"/>
          <w:color w:val="000000" w:themeColor="text1"/>
          <w:sz w:val="24"/>
          <w:highlight w:val="none"/>
          <w14:textFill>
            <w14:solidFill>
              <w14:schemeClr w14:val="tx1"/>
            </w14:solidFill>
          </w14:textFill>
        </w:rPr>
        <w:t>。</w:t>
      </w:r>
    </w:p>
    <w:p w14:paraId="106BF099">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投标人在投标过程中不得向采购人提供或给予影响其正常决策行为的任何有价值物品或服务。一经发现，其投标将被认定为</w:t>
      </w:r>
      <w:r>
        <w:rPr>
          <w:rFonts w:hint="eastAsia" w:ascii="宋体" w:hAnsi="宋体" w:eastAsia="宋体" w:cs="宋体"/>
          <w:b/>
          <w:bCs/>
          <w:color w:val="000000" w:themeColor="text1"/>
          <w:sz w:val="24"/>
          <w:highlight w:val="none"/>
          <w:lang w:eastAsia="zh-CN"/>
          <w14:textFill>
            <w14:solidFill>
              <w14:schemeClr w14:val="tx1"/>
            </w14:solidFill>
          </w14:textFill>
        </w:rPr>
        <w:t>投</w:t>
      </w:r>
      <w:r>
        <w:rPr>
          <w:rFonts w:hint="eastAsia" w:ascii="宋体" w:hAnsi="宋体" w:cs="宋体"/>
          <w:b/>
          <w:bCs/>
          <w:color w:val="000000" w:themeColor="text1"/>
          <w:sz w:val="24"/>
          <w:highlight w:val="none"/>
          <w:lang w:eastAsia="zh-CN"/>
          <w14:textFill>
            <w14:solidFill>
              <w14:schemeClr w14:val="tx1"/>
            </w14:solidFill>
          </w14:textFill>
        </w:rPr>
        <w:t>标无效</w:t>
      </w:r>
      <w:r>
        <w:rPr>
          <w:rFonts w:hint="eastAsia" w:ascii="宋体" w:hAnsi="宋体" w:cs="宋体"/>
          <w:color w:val="000000" w:themeColor="text1"/>
          <w:sz w:val="24"/>
          <w:highlight w:val="none"/>
          <w14:textFill>
            <w14:solidFill>
              <w14:schemeClr w14:val="tx1"/>
            </w14:solidFill>
          </w14:textFill>
        </w:rPr>
        <w:t>。</w:t>
      </w:r>
    </w:p>
    <w:p w14:paraId="0E617A14">
      <w:pPr>
        <w:pStyle w:val="5"/>
        <w:keepNext w:val="0"/>
        <w:keepLines w:val="0"/>
        <w:pageBreakBefore w:val="0"/>
        <w:widowControl w:val="0"/>
        <w:kinsoku/>
        <w:overflowPunct/>
        <w:bidi w:val="0"/>
        <w:spacing w:before="0" w:after="0" w:line="240" w:lineRule="atLeast"/>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2.资金来源</w:t>
      </w:r>
      <w:bookmarkEnd w:id="16"/>
      <w:bookmarkEnd w:id="17"/>
      <w:bookmarkEnd w:id="18"/>
      <w:bookmarkEnd w:id="19"/>
    </w:p>
    <w:p w14:paraId="3D5E3E68">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20" w:name="_Toc20526"/>
      <w:bookmarkStart w:id="21" w:name="_Toc13828"/>
      <w:bookmarkStart w:id="22" w:name="_Toc520356145"/>
      <w:bookmarkStart w:id="23" w:name="_Toc515647760"/>
      <w:bookmarkStart w:id="24" w:name="_Toc15936"/>
      <w:r>
        <w:rPr>
          <w:rFonts w:hint="eastAsia" w:ascii="宋体" w:hAnsi="宋体" w:cs="宋体"/>
          <w:color w:val="000000" w:themeColor="text1"/>
          <w:sz w:val="24"/>
          <w:highlight w:val="none"/>
          <w14:textFill>
            <w14:solidFill>
              <w14:schemeClr w14:val="tx1"/>
            </w14:solidFill>
          </w14:textFill>
        </w:rPr>
        <w:t>2.1</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本项目的采购人已获得足以支付本次招标后所签订的合同项下的资金（包括财政性资金和本项目采购中无法与财政性资金分割的非财政性资金）。</w:t>
      </w:r>
    </w:p>
    <w:p w14:paraId="2A5A7D81">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    项目预算金额和分项或分包最高限价</w:t>
      </w:r>
      <w:r>
        <w:rPr>
          <w:rFonts w:hint="eastAsia" w:ascii="宋体" w:hAnsi="宋体" w:cs="宋体"/>
          <w:color w:val="000000" w:themeColor="text1"/>
          <w:sz w:val="24"/>
          <w:highlight w:val="none"/>
          <w:u w:val="single"/>
          <w14:textFill>
            <w14:solidFill>
              <w14:schemeClr w14:val="tx1"/>
            </w14:solidFill>
          </w14:textFill>
        </w:rPr>
        <w:t>见</w:t>
      </w:r>
      <w:r>
        <w:rPr>
          <w:rFonts w:hint="eastAsia" w:ascii="宋体" w:hAnsi="宋体" w:cs="宋体"/>
          <w:color w:val="000000" w:themeColor="text1"/>
          <w:sz w:val="24"/>
          <w:highlight w:val="none"/>
          <w:u w:val="single"/>
          <w:lang w:eastAsia="zh-CN"/>
          <w14:textFill>
            <w14:solidFill>
              <w14:schemeClr w14:val="tx1"/>
            </w14:solidFill>
          </w14:textFill>
        </w:rPr>
        <w:t>投标人须知资料表</w:t>
      </w:r>
      <w:r>
        <w:rPr>
          <w:rFonts w:hint="eastAsia" w:ascii="宋体" w:hAnsi="宋体" w:cs="宋体"/>
          <w:color w:val="000000" w:themeColor="text1"/>
          <w:sz w:val="24"/>
          <w:highlight w:val="none"/>
          <w14:textFill>
            <w14:solidFill>
              <w14:schemeClr w14:val="tx1"/>
            </w14:solidFill>
          </w14:textFill>
        </w:rPr>
        <w:t>。</w:t>
      </w:r>
    </w:p>
    <w:p w14:paraId="74E8F9E6">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2.3    </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报价超过</w:t>
      </w:r>
      <w:r>
        <w:rPr>
          <w:rFonts w:hint="eastAsia" w:ascii="宋体" w:hAnsi="宋体" w:cs="宋体"/>
          <w:color w:val="000000" w:themeColor="text1"/>
          <w:sz w:val="24"/>
          <w:highlight w:val="none"/>
          <w:lang w:val="en-US"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规定的预算金额或者分项、分包最高限价的，其</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将被认定为</w:t>
      </w:r>
      <w:r>
        <w:rPr>
          <w:rFonts w:hint="eastAsia" w:ascii="宋体" w:hAnsi="宋体" w:cs="宋体"/>
          <w:b/>
          <w:bCs/>
          <w:color w:val="000000" w:themeColor="text1"/>
          <w:sz w:val="24"/>
          <w:highlight w:val="none"/>
          <w:lang w:eastAsia="zh-CN"/>
          <w14:textFill>
            <w14:solidFill>
              <w14:schemeClr w14:val="tx1"/>
            </w14:solidFill>
          </w14:textFill>
        </w:rPr>
        <w:t>投标无效</w:t>
      </w:r>
      <w:r>
        <w:rPr>
          <w:rFonts w:hint="eastAsia" w:ascii="宋体" w:hAnsi="宋体" w:cs="宋体"/>
          <w:color w:val="000000" w:themeColor="text1"/>
          <w:sz w:val="24"/>
          <w:highlight w:val="none"/>
          <w14:textFill>
            <w14:solidFill>
              <w14:schemeClr w14:val="tx1"/>
            </w14:solidFill>
          </w14:textFill>
        </w:rPr>
        <w:t>。</w:t>
      </w:r>
    </w:p>
    <w:p w14:paraId="7CB0A553">
      <w:pPr>
        <w:pStyle w:val="5"/>
        <w:keepNext w:val="0"/>
        <w:keepLines w:val="0"/>
        <w:pageBreakBefore w:val="0"/>
        <w:widowControl w:val="0"/>
        <w:kinsoku/>
        <w:overflowPunct/>
        <w:bidi w:val="0"/>
        <w:spacing w:before="0" w:after="0" w:line="240" w:lineRule="atLeast"/>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3.投标费用</w:t>
      </w:r>
      <w:bookmarkEnd w:id="20"/>
      <w:bookmarkEnd w:id="21"/>
      <w:bookmarkEnd w:id="22"/>
      <w:bookmarkEnd w:id="23"/>
      <w:bookmarkEnd w:id="24"/>
    </w:p>
    <w:p w14:paraId="35D41AD0">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25" w:name="_Toc515647761"/>
      <w:bookmarkStart w:id="26" w:name="_Toc32665"/>
      <w:bookmarkStart w:id="27" w:name="_Toc6116"/>
      <w:bookmarkStart w:id="28" w:name="_Toc4463"/>
      <w:r>
        <w:rPr>
          <w:rFonts w:hint="eastAsia" w:ascii="宋体" w:hAnsi="宋体" w:cs="宋体"/>
          <w:color w:val="000000" w:themeColor="text1"/>
          <w:sz w:val="24"/>
          <w:highlight w:val="none"/>
          <w14:textFill>
            <w14:solidFill>
              <w14:schemeClr w14:val="tx1"/>
            </w14:solidFill>
          </w14:textFill>
        </w:rPr>
        <w:t>3.1</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不论</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的结果如何，</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应承担所有与准备和参加</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有关的费用。</w:t>
      </w:r>
    </w:p>
    <w:p w14:paraId="72B2CCB6">
      <w:pPr>
        <w:pStyle w:val="5"/>
        <w:keepNext w:val="0"/>
        <w:keepLines w:val="0"/>
        <w:pageBreakBefore w:val="0"/>
        <w:widowControl w:val="0"/>
        <w:kinsoku/>
        <w:overflowPunct/>
        <w:bidi w:val="0"/>
        <w:spacing w:before="0" w:after="0" w:line="240" w:lineRule="atLeast"/>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4.适用法律</w:t>
      </w:r>
      <w:bookmarkEnd w:id="25"/>
      <w:bookmarkEnd w:id="26"/>
      <w:bookmarkEnd w:id="27"/>
      <w:bookmarkEnd w:id="28"/>
    </w:p>
    <w:p w14:paraId="3F769FAE">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29" w:name="_Toc4365"/>
      <w:bookmarkStart w:id="30" w:name="_Toc28572"/>
      <w:bookmarkStart w:id="31" w:name="_Toc515647762"/>
      <w:bookmarkStart w:id="32" w:name="_Toc21566"/>
      <w:bookmarkStart w:id="33" w:name="_Toc520356146"/>
      <w:bookmarkStart w:id="34" w:name="_Toc216582806"/>
      <w:r>
        <w:rPr>
          <w:rFonts w:hint="eastAsia" w:ascii="宋体" w:hAnsi="宋体" w:cs="宋体"/>
          <w:color w:val="000000" w:themeColor="text1"/>
          <w:sz w:val="24"/>
          <w:highlight w:val="none"/>
          <w14:textFill>
            <w14:solidFill>
              <w14:schemeClr w14:val="tx1"/>
            </w14:solidFill>
          </w14:textFill>
        </w:rPr>
        <w:t>4.1    本项目采购人、采购代理机构、</w:t>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磋商小组</w:t>
      </w:r>
      <w:r>
        <w:rPr>
          <w:rFonts w:hint="eastAsia" w:ascii="宋体" w:hAnsi="宋体" w:cs="宋体"/>
          <w:color w:val="000000" w:themeColor="text1"/>
          <w:sz w:val="24"/>
          <w:highlight w:val="none"/>
          <w14:textFill>
            <w14:solidFill>
              <w14:schemeClr w14:val="tx1"/>
            </w14:solidFill>
          </w14:textFill>
        </w:rPr>
        <w:t>的相关行为均受《中华人民共和国政府采购法》、《中华人民共和国政府采购法实施条例》及本项目本级和上级财政部门政府采购有关规定的约束，其权利受到上述法律法规的保护。</w:t>
      </w:r>
    </w:p>
    <w:p w14:paraId="04A37D84">
      <w:pPr>
        <w:pStyle w:val="4"/>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000000" w:themeColor="text1"/>
          <w:sz w:val="28"/>
          <w:highlight w:val="none"/>
          <w14:textFill>
            <w14:solidFill>
              <w14:schemeClr w14:val="tx1"/>
            </w14:solidFill>
          </w14:textFill>
        </w:rPr>
      </w:pPr>
    </w:p>
    <w:p w14:paraId="7EE702DE">
      <w:pPr>
        <w:pStyle w:val="4"/>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000000" w:themeColor="text1"/>
          <w:sz w:val="28"/>
          <w:highlight w:val="none"/>
          <w:lang w:eastAsia="zh-CN"/>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 xml:space="preserve">二   </w:t>
      </w:r>
      <w:bookmarkEnd w:id="29"/>
      <w:bookmarkEnd w:id="30"/>
      <w:bookmarkEnd w:id="31"/>
      <w:bookmarkEnd w:id="32"/>
      <w:bookmarkEnd w:id="33"/>
      <w:bookmarkEnd w:id="34"/>
      <w:r>
        <w:rPr>
          <w:rFonts w:hint="eastAsia" w:ascii="宋体" w:hAnsi="宋体" w:eastAsia="宋体" w:cs="宋体"/>
          <w:color w:val="000000" w:themeColor="text1"/>
          <w:sz w:val="28"/>
          <w:highlight w:val="none"/>
          <w:lang w:eastAsia="zh-CN"/>
          <w14:textFill>
            <w14:solidFill>
              <w14:schemeClr w14:val="tx1"/>
            </w14:solidFill>
          </w14:textFill>
        </w:rPr>
        <w:t>磋商文件</w:t>
      </w:r>
    </w:p>
    <w:p w14:paraId="6D670B0E">
      <w:pPr>
        <w:pStyle w:val="5"/>
        <w:keepNext w:val="0"/>
        <w:keepLines w:val="0"/>
        <w:pageBreakBefore w:val="0"/>
        <w:widowControl w:val="0"/>
        <w:kinsoku/>
        <w:overflowPunct/>
        <w:bidi w:val="0"/>
        <w:spacing w:before="0" w:after="0" w:line="240" w:lineRule="atLeast"/>
        <w:rPr>
          <w:rFonts w:hint="eastAsia" w:ascii="宋体" w:hAnsi="宋体" w:eastAsia="宋体" w:cs="宋体"/>
          <w:color w:val="000000" w:themeColor="text1"/>
          <w:highlight w:val="none"/>
          <w:u w:val="none"/>
          <w14:textFill>
            <w14:solidFill>
              <w14:schemeClr w14:val="tx1"/>
            </w14:solidFill>
          </w14:textFill>
        </w:rPr>
      </w:pPr>
      <w:bookmarkStart w:id="35" w:name="_Toc14084"/>
      <w:bookmarkStart w:id="36" w:name="_Toc515647763"/>
      <w:bookmarkStart w:id="37" w:name="_Toc520356147"/>
      <w:bookmarkStart w:id="38" w:name="_Toc4671"/>
      <w:bookmarkStart w:id="39" w:name="_Toc25743"/>
      <w:r>
        <w:rPr>
          <w:rFonts w:hint="eastAsia" w:ascii="宋体" w:hAnsi="宋体" w:eastAsia="宋体" w:cs="宋体"/>
          <w:color w:val="000000" w:themeColor="text1"/>
          <w:highlight w:val="none"/>
          <w:u w:val="none"/>
          <w14:textFill>
            <w14:solidFill>
              <w14:schemeClr w14:val="tx1"/>
            </w14:solidFill>
          </w14:textFill>
        </w:rPr>
        <w:t>5.</w:t>
      </w:r>
      <w:r>
        <w:rPr>
          <w:rFonts w:hint="eastAsia" w:hAnsi="宋体" w:cs="宋体"/>
          <w:color w:val="000000" w:themeColor="text1"/>
          <w:highlight w:val="none"/>
          <w:u w:val="none"/>
          <w:lang w:val="en-US" w:eastAsia="zh-CN"/>
          <w14:textFill>
            <w14:solidFill>
              <w14:schemeClr w14:val="tx1"/>
            </w14:solidFill>
          </w14:textFill>
        </w:rPr>
        <w:t>磋商</w:t>
      </w:r>
      <w:r>
        <w:rPr>
          <w:rFonts w:hint="eastAsia" w:ascii="宋体" w:hAnsi="宋体" w:eastAsia="宋体" w:cs="宋体"/>
          <w:color w:val="000000" w:themeColor="text1"/>
          <w:highlight w:val="none"/>
          <w:u w:val="none"/>
          <w14:textFill>
            <w14:solidFill>
              <w14:schemeClr w14:val="tx1"/>
            </w14:solidFill>
          </w14:textFill>
        </w:rPr>
        <w:t>文件构成</w:t>
      </w:r>
      <w:bookmarkEnd w:id="35"/>
      <w:bookmarkEnd w:id="36"/>
      <w:bookmarkEnd w:id="37"/>
      <w:bookmarkEnd w:id="38"/>
      <w:bookmarkEnd w:id="39"/>
    </w:p>
    <w:p w14:paraId="652F7A51">
      <w:pPr>
        <w:spacing w:line="240" w:lineRule="atLeast"/>
        <w:ind w:left="840" w:hanging="840" w:hangingChars="3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磋商文件分为7章，内容如下：</w:t>
      </w:r>
    </w:p>
    <w:p w14:paraId="3909B58A">
      <w:pPr>
        <w:tabs>
          <w:tab w:val="left" w:pos="0"/>
        </w:tabs>
        <w:spacing w:line="240" w:lineRule="atLeast"/>
        <w:ind w:left="840" w:leftChars="4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第1章 投标人须知</w:t>
      </w:r>
    </w:p>
    <w:p w14:paraId="655CF30C">
      <w:pPr>
        <w:spacing w:line="240" w:lineRule="atLeast"/>
        <w:ind w:left="960" w:leftChars="400" w:hanging="120" w:hanging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第2章 响应文件格式</w:t>
      </w:r>
    </w:p>
    <w:p w14:paraId="0219B059">
      <w:pPr>
        <w:spacing w:line="240" w:lineRule="atLeast"/>
        <w:ind w:left="960" w:leftChars="400" w:hanging="120" w:hanging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第3章 磋商邀请</w:t>
      </w:r>
    </w:p>
    <w:p w14:paraId="1FB05BBC">
      <w:pPr>
        <w:spacing w:line="240" w:lineRule="atLeast"/>
        <w:ind w:left="960" w:leftChars="400" w:hanging="120" w:hanging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第4章 投标人须知资料表</w:t>
      </w:r>
    </w:p>
    <w:p w14:paraId="33D6EA56">
      <w:pPr>
        <w:spacing w:line="240" w:lineRule="atLeast"/>
        <w:ind w:left="960" w:leftChars="400" w:hanging="120" w:hanging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第5章 服务需求一览表及项目要求</w:t>
      </w:r>
    </w:p>
    <w:p w14:paraId="74BC3B20">
      <w:pPr>
        <w:spacing w:line="240" w:lineRule="atLeast"/>
        <w:ind w:left="960" w:leftChars="400" w:hanging="120" w:hanging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第6章 评审方法和标准</w:t>
      </w:r>
    </w:p>
    <w:p w14:paraId="10A6114B">
      <w:pPr>
        <w:spacing w:line="240" w:lineRule="atLeast"/>
        <w:ind w:left="960" w:leftChars="400" w:hanging="120" w:hangingChars="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第7章 政府采购合同</w:t>
      </w:r>
    </w:p>
    <w:p w14:paraId="18A47291">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40" w:name="_Toc515904805"/>
      <w:bookmarkStart w:id="41" w:name="_Toc520356148"/>
      <w:bookmarkStart w:id="42" w:name="_Toc9232"/>
      <w:bookmarkStart w:id="43" w:name="_Toc1922"/>
      <w:bookmarkStart w:id="44" w:name="_Toc26044"/>
      <w:r>
        <w:rPr>
          <w:rFonts w:hint="eastAsia" w:ascii="宋体" w:hAnsi="宋体" w:cs="宋体"/>
          <w:color w:val="000000" w:themeColor="text1"/>
          <w:sz w:val="24"/>
          <w:highlight w:val="none"/>
          <w14:textFill>
            <w14:solidFill>
              <w14:schemeClr w14:val="tx1"/>
            </w14:solidFill>
          </w14:textFill>
        </w:rPr>
        <w:t>5.2</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如本文件的前后内容不一致，以最后描述为准。</w:t>
      </w:r>
    </w:p>
    <w:p w14:paraId="3BBEA0B5">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5.3    </w:t>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应认真阅读</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所有的事项、格式、条款和技术规范等。如</w:t>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没有按照</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要求提交全部资料，或者</w:t>
      </w:r>
      <w:r>
        <w:rPr>
          <w:rFonts w:hint="eastAsia" w:ascii="宋体" w:hAnsi="宋体" w:cs="宋体"/>
          <w:color w:val="000000" w:themeColor="text1"/>
          <w:sz w:val="24"/>
          <w:highlight w:val="none"/>
          <w:lang w:val="en-US" w:eastAsia="zh-CN"/>
          <w14:textFill>
            <w14:solidFill>
              <w14:schemeClr w14:val="tx1"/>
            </w14:solidFill>
          </w14:textFill>
        </w:rPr>
        <w:t>响应</w:t>
      </w:r>
      <w:r>
        <w:rPr>
          <w:rFonts w:hint="eastAsia" w:ascii="宋体" w:hAnsi="宋体" w:cs="宋体"/>
          <w:color w:val="000000" w:themeColor="text1"/>
          <w:sz w:val="24"/>
          <w:highlight w:val="none"/>
          <w:lang w:eastAsia="zh-CN"/>
          <w14:textFill>
            <w14:solidFill>
              <w14:schemeClr w14:val="tx1"/>
            </w14:solidFill>
          </w14:textFill>
        </w:rPr>
        <w:t>文件</w:t>
      </w:r>
      <w:r>
        <w:rPr>
          <w:rFonts w:hint="eastAsia" w:ascii="宋体" w:hAnsi="宋体" w:cs="宋体"/>
          <w:color w:val="000000" w:themeColor="text1"/>
          <w:sz w:val="24"/>
          <w:highlight w:val="none"/>
          <w14:textFill>
            <w14:solidFill>
              <w14:schemeClr w14:val="tx1"/>
            </w14:solidFill>
          </w14:textFill>
        </w:rPr>
        <w:t>没有对</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在各方面都做出实质性响应，可能导致其</w:t>
      </w:r>
      <w:r>
        <w:rPr>
          <w:rFonts w:hint="eastAsia" w:ascii="宋体" w:hAnsi="宋体" w:cs="宋体"/>
          <w:color w:val="000000" w:themeColor="text1"/>
          <w:sz w:val="24"/>
          <w:highlight w:val="none"/>
          <w:lang w:val="en-US"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将被认定为</w:t>
      </w:r>
      <w:r>
        <w:rPr>
          <w:rFonts w:hint="eastAsia" w:ascii="宋体" w:hAnsi="宋体" w:cs="宋体"/>
          <w:b/>
          <w:bCs/>
          <w:color w:val="000000" w:themeColor="text1"/>
          <w:sz w:val="24"/>
          <w:highlight w:val="none"/>
          <w:lang w:eastAsia="zh-CN"/>
          <w14:textFill>
            <w14:solidFill>
              <w14:schemeClr w14:val="tx1"/>
            </w14:solidFill>
          </w14:textFill>
        </w:rPr>
        <w:t>投标无效</w:t>
      </w:r>
      <w:r>
        <w:rPr>
          <w:rFonts w:hint="eastAsia" w:ascii="宋体" w:hAnsi="宋体" w:cs="宋体"/>
          <w:color w:val="000000" w:themeColor="text1"/>
          <w:sz w:val="24"/>
          <w:highlight w:val="none"/>
          <w14:textFill>
            <w14:solidFill>
              <w14:schemeClr w14:val="tx1"/>
            </w14:solidFill>
          </w14:textFill>
        </w:rPr>
        <w:t>。</w:t>
      </w:r>
    </w:p>
    <w:p w14:paraId="10CC57DD">
      <w:pPr>
        <w:pStyle w:val="5"/>
        <w:keepNext w:val="0"/>
        <w:keepLines w:val="0"/>
        <w:pageBreakBefore w:val="0"/>
        <w:widowControl w:val="0"/>
        <w:kinsoku/>
        <w:overflowPunct/>
        <w:bidi w:val="0"/>
        <w:spacing w:before="0" w:after="0" w:line="240" w:lineRule="atLeast"/>
        <w:rPr>
          <w:rFonts w:hint="eastAsia" w:ascii="宋体" w:hAnsi="宋体" w:eastAsia="宋体" w:cs="宋体"/>
          <w:color w:val="000000" w:themeColor="text1"/>
          <w:sz w:val="24"/>
          <w:szCs w:val="20"/>
          <w:highlight w:val="none"/>
          <w:u w:val="none"/>
          <w14:textFill>
            <w14:solidFill>
              <w14:schemeClr w14:val="tx1"/>
            </w14:solidFill>
          </w14:textFill>
        </w:rPr>
      </w:pPr>
      <w:r>
        <w:rPr>
          <w:rFonts w:hint="eastAsia" w:ascii="宋体" w:hAnsi="宋体" w:eastAsia="宋体" w:cs="宋体"/>
          <w:color w:val="000000" w:themeColor="text1"/>
          <w:sz w:val="24"/>
          <w:szCs w:val="20"/>
          <w:highlight w:val="none"/>
          <w:u w:val="none"/>
          <w14:textFill>
            <w14:solidFill>
              <w14:schemeClr w14:val="tx1"/>
            </w14:solidFill>
          </w14:textFill>
        </w:rPr>
        <w:t>6.</w:t>
      </w:r>
      <w:r>
        <w:rPr>
          <w:rFonts w:hint="eastAsia" w:hAnsi="宋体" w:cs="宋体"/>
          <w:color w:val="000000" w:themeColor="text1"/>
          <w:sz w:val="24"/>
          <w:szCs w:val="20"/>
          <w:highlight w:val="none"/>
          <w:u w:val="none"/>
          <w:lang w:val="en-US" w:eastAsia="zh-CN"/>
          <w14:textFill>
            <w14:solidFill>
              <w14:schemeClr w14:val="tx1"/>
            </w14:solidFill>
          </w14:textFill>
        </w:rPr>
        <w:t>磋商</w:t>
      </w:r>
      <w:r>
        <w:rPr>
          <w:rFonts w:hint="eastAsia" w:ascii="宋体" w:hAnsi="宋体" w:eastAsia="宋体" w:cs="宋体"/>
          <w:color w:val="000000" w:themeColor="text1"/>
          <w:sz w:val="24"/>
          <w:szCs w:val="20"/>
          <w:highlight w:val="none"/>
          <w:u w:val="none"/>
          <w14:textFill>
            <w14:solidFill>
              <w14:schemeClr w14:val="tx1"/>
            </w14:solidFill>
          </w14:textFill>
        </w:rPr>
        <w:t>文件的澄清</w:t>
      </w:r>
      <w:bookmarkEnd w:id="40"/>
      <w:bookmarkEnd w:id="41"/>
      <w:r>
        <w:rPr>
          <w:rFonts w:hint="eastAsia" w:ascii="宋体" w:hAnsi="宋体" w:eastAsia="宋体" w:cs="宋体"/>
          <w:color w:val="000000" w:themeColor="text1"/>
          <w:sz w:val="24"/>
          <w:szCs w:val="20"/>
          <w:highlight w:val="none"/>
          <w:u w:val="none"/>
          <w14:textFill>
            <w14:solidFill>
              <w14:schemeClr w14:val="tx1"/>
            </w14:solidFill>
          </w14:textFill>
        </w:rPr>
        <w:t>与修改</w:t>
      </w:r>
      <w:bookmarkEnd w:id="42"/>
      <w:bookmarkEnd w:id="43"/>
      <w:bookmarkEnd w:id="44"/>
    </w:p>
    <w:p w14:paraId="75969673">
      <w:pPr>
        <w:pStyle w:val="6"/>
        <w:ind w:left="840" w:hanging="840" w:hangingChars="350"/>
        <w:rPr>
          <w:rFonts w:hint="eastAsia" w:hAnsi="宋体" w:cs="宋体"/>
          <w:color w:val="000000" w:themeColor="text1"/>
          <w:szCs w:val="24"/>
          <w14:textFill>
            <w14:solidFill>
              <w14:schemeClr w14:val="tx1"/>
            </w14:solidFill>
          </w14:textFill>
        </w:rPr>
      </w:pPr>
      <w:bookmarkStart w:id="45" w:name="_Toc520356149"/>
      <w:bookmarkStart w:id="46" w:name="_Toc515904806"/>
      <w:bookmarkStart w:id="47" w:name="_Ref467378678"/>
      <w:bookmarkStart w:id="48" w:name="_Toc25635"/>
      <w:bookmarkStart w:id="49" w:name="_Toc12448"/>
      <w:bookmarkStart w:id="50" w:name="_Toc14569"/>
      <w:r>
        <w:rPr>
          <w:rFonts w:hint="eastAsia" w:hAnsi="宋体" w:cs="宋体"/>
          <w:color w:val="000000" w:themeColor="text1"/>
          <w:szCs w:val="24"/>
          <w14:textFill>
            <w14:solidFill>
              <w14:schemeClr w14:val="tx1"/>
            </w14:solidFill>
          </w14:textFill>
        </w:rPr>
        <w:t>6.1    为了保证对磋商文件的澄清和修改满足法律的时限要求，任何要求对磋商文件进行澄清的</w:t>
      </w:r>
      <w:r>
        <w:rPr>
          <w:rFonts w:hint="eastAsia" w:hAnsi="宋体" w:cs="宋体"/>
          <w:color w:val="000000" w:themeColor="text1"/>
          <w:szCs w:val="24"/>
          <w:lang w:eastAsia="zh-CN"/>
          <w14:textFill>
            <w14:solidFill>
              <w14:schemeClr w14:val="tx1"/>
            </w14:solidFill>
          </w14:textFill>
        </w:rPr>
        <w:t>投标人</w:t>
      </w:r>
      <w:r>
        <w:rPr>
          <w:rFonts w:hint="eastAsia" w:hAnsi="宋体" w:cs="宋体"/>
          <w:color w:val="000000" w:themeColor="text1"/>
          <w:szCs w:val="24"/>
          <w14:textFill>
            <w14:solidFill>
              <w14:schemeClr w14:val="tx1"/>
            </w14:solidFill>
          </w14:textFill>
        </w:rPr>
        <w:t>，均应在磋商截止期</w:t>
      </w:r>
      <w:r>
        <w:rPr>
          <w:rFonts w:hint="eastAsia" w:hAnsi="宋体" w:cs="宋体"/>
          <w:color w:val="000000" w:themeColor="text1"/>
          <w:szCs w:val="24"/>
          <w:lang w:val="en-US" w:eastAsia="zh-CN"/>
          <w14:textFill>
            <w14:solidFill>
              <w14:schemeClr w14:val="tx1"/>
            </w14:solidFill>
          </w14:textFill>
        </w:rPr>
        <w:t>五</w:t>
      </w:r>
      <w:r>
        <w:rPr>
          <w:rFonts w:hint="eastAsia" w:hAnsi="宋体" w:cs="宋体"/>
          <w:color w:val="000000" w:themeColor="text1"/>
          <w:szCs w:val="24"/>
          <w14:textFill>
            <w14:solidFill>
              <w14:schemeClr w14:val="tx1"/>
            </w14:solidFill>
          </w14:textFill>
        </w:rPr>
        <w:t>日前，以书面形式将澄清要求通知采购人或采购代理机构。</w:t>
      </w:r>
    </w:p>
    <w:p w14:paraId="180E9C5E">
      <w:pPr>
        <w:pStyle w:val="6"/>
        <w:ind w:left="840" w:hanging="840" w:hangingChars="35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6.2</w:t>
      </w:r>
      <w:r>
        <w:rPr>
          <w:rFonts w:hint="eastAsia" w:hAnsi="宋体" w:cs="宋体"/>
          <w:color w:val="000000" w:themeColor="text1"/>
          <w:szCs w:val="24"/>
          <w14:textFill>
            <w14:solidFill>
              <w14:schemeClr w14:val="tx1"/>
            </w14:solidFill>
          </w14:textFill>
        </w:rPr>
        <w:tab/>
      </w:r>
      <w:r>
        <w:rPr>
          <w:rFonts w:hint="eastAsia" w:hAnsi="宋体" w:cs="宋体"/>
          <w:color w:val="000000" w:themeColor="text1"/>
          <w:szCs w:val="24"/>
          <w14:textFill>
            <w14:solidFill>
              <w14:schemeClr w14:val="tx1"/>
            </w14:solidFill>
          </w14:textFill>
        </w:rPr>
        <w:t>采购人可主动地或在解答</w:t>
      </w:r>
      <w:r>
        <w:rPr>
          <w:rFonts w:hint="eastAsia" w:hAnsi="宋体" w:cs="宋体"/>
          <w:color w:val="000000" w:themeColor="text1"/>
          <w:szCs w:val="24"/>
          <w:lang w:eastAsia="zh-CN"/>
          <w14:textFill>
            <w14:solidFill>
              <w14:schemeClr w14:val="tx1"/>
            </w14:solidFill>
          </w14:textFill>
        </w:rPr>
        <w:t>投标人</w:t>
      </w:r>
      <w:r>
        <w:rPr>
          <w:rFonts w:hint="eastAsia" w:hAnsi="宋体" w:cs="宋体"/>
          <w:color w:val="000000" w:themeColor="text1"/>
          <w:szCs w:val="24"/>
          <w14:textFill>
            <w14:solidFill>
              <w14:schemeClr w14:val="tx1"/>
            </w14:solidFill>
          </w14:textFill>
        </w:rPr>
        <w:t>提出的澄清问题时对磋商文件进行澄清或修改。采购代理机构将以发布澄清（更正）公告的方式，澄清或修改磋商文件，澄清或修改内容作为磋商文件的组成部分。</w:t>
      </w:r>
    </w:p>
    <w:p w14:paraId="300F934B">
      <w:pPr>
        <w:pStyle w:val="6"/>
        <w:ind w:left="840" w:hanging="840" w:hangingChars="35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6.3</w:t>
      </w:r>
      <w:r>
        <w:rPr>
          <w:rFonts w:hint="eastAsia" w:hAnsi="宋体" w:cs="宋体"/>
          <w:color w:val="000000" w:themeColor="text1"/>
          <w:szCs w:val="24"/>
          <w14:textFill>
            <w14:solidFill>
              <w14:schemeClr w14:val="tx1"/>
            </w14:solidFill>
          </w14:textFill>
        </w:rPr>
        <w:tab/>
      </w:r>
      <w:r>
        <w:rPr>
          <w:rFonts w:hint="eastAsia" w:hAnsi="宋体" w:cs="宋体"/>
          <w:color w:val="000000" w:themeColor="text1"/>
          <w:szCs w:val="24"/>
          <w14:textFill>
            <w14:solidFill>
              <w14:schemeClr w14:val="tx1"/>
            </w14:solidFill>
          </w14:textFill>
        </w:rPr>
        <w:t>澄清或者修改的内容可能影响</w:t>
      </w:r>
      <w:r>
        <w:rPr>
          <w:rFonts w:hint="eastAsia" w:hAnsi="宋体" w:cs="宋体"/>
          <w:color w:val="000000" w:themeColor="text1"/>
          <w:szCs w:val="24"/>
          <w:lang w:val="en-US" w:eastAsia="zh-CN"/>
          <w14:textFill>
            <w14:solidFill>
              <w14:schemeClr w14:val="tx1"/>
            </w14:solidFill>
          </w14:textFill>
        </w:rPr>
        <w:t>响应</w:t>
      </w:r>
      <w:r>
        <w:rPr>
          <w:rFonts w:hint="eastAsia" w:hAnsi="宋体" w:cs="宋体"/>
          <w:color w:val="000000" w:themeColor="text1"/>
          <w:szCs w:val="24"/>
          <w14:textFill>
            <w14:solidFill>
              <w14:schemeClr w14:val="tx1"/>
            </w14:solidFill>
          </w14:textFill>
        </w:rPr>
        <w:t>文件编制的，采购代理机构将以书面形式通知所有购买磋商文件的</w:t>
      </w:r>
      <w:r>
        <w:rPr>
          <w:rFonts w:hint="eastAsia" w:hAnsi="宋体" w:cs="宋体"/>
          <w:color w:val="000000" w:themeColor="text1"/>
          <w:szCs w:val="24"/>
          <w:highlight w:val="none"/>
          <w14:textFill>
            <w14:solidFill>
              <w14:schemeClr w14:val="tx1"/>
            </w14:solidFill>
          </w14:textFill>
        </w:rPr>
        <w:t>的潜在</w:t>
      </w:r>
      <w:r>
        <w:rPr>
          <w:rFonts w:hint="eastAsia" w:hAnsi="宋体" w:cs="宋体"/>
          <w:color w:val="000000" w:themeColor="text1"/>
          <w:szCs w:val="24"/>
          <w:highlight w:val="none"/>
          <w:lang w:val="en-US" w:eastAsia="zh-CN"/>
          <w14:textFill>
            <w14:solidFill>
              <w14:schemeClr w14:val="tx1"/>
            </w14:solidFill>
          </w14:textFill>
        </w:rPr>
        <w:t>投标人</w:t>
      </w:r>
      <w:r>
        <w:rPr>
          <w:rFonts w:hint="eastAsia" w:hAnsi="宋体" w:cs="宋体"/>
          <w:color w:val="000000" w:themeColor="text1"/>
          <w:szCs w:val="24"/>
          <w14:textFill>
            <w14:solidFill>
              <w14:schemeClr w14:val="tx1"/>
            </w14:solidFill>
          </w14:textFill>
        </w:rPr>
        <w:t>，并对其具有约束力。</w:t>
      </w:r>
      <w:r>
        <w:rPr>
          <w:rFonts w:hint="eastAsia" w:hAnsi="宋体" w:cs="宋体"/>
          <w:color w:val="000000" w:themeColor="text1"/>
          <w:szCs w:val="24"/>
          <w:lang w:eastAsia="zh-CN"/>
          <w14:textFill>
            <w14:solidFill>
              <w14:schemeClr w14:val="tx1"/>
            </w14:solidFill>
          </w14:textFill>
        </w:rPr>
        <w:t>投标人</w:t>
      </w:r>
      <w:r>
        <w:rPr>
          <w:rFonts w:hint="eastAsia" w:hAnsi="宋体" w:cs="宋体"/>
          <w:color w:val="000000" w:themeColor="text1"/>
          <w:szCs w:val="24"/>
          <w14:textFill>
            <w14:solidFill>
              <w14:schemeClr w14:val="tx1"/>
            </w14:solidFill>
          </w14:textFill>
        </w:rPr>
        <w:t>在收到上述通知后，应及时向采购代理机构回函确认。</w:t>
      </w:r>
    </w:p>
    <w:p w14:paraId="7064D508">
      <w:pPr>
        <w:pStyle w:val="5"/>
        <w:keepNext w:val="0"/>
        <w:keepLines w:val="0"/>
        <w:pageBreakBefore w:val="0"/>
        <w:widowControl w:val="0"/>
        <w:tabs>
          <w:tab w:val="left" w:pos="900"/>
        </w:tabs>
        <w:kinsoku/>
        <w:overflowPunct/>
        <w:bidi w:val="0"/>
        <w:spacing w:before="0" w:after="0" w:line="240" w:lineRule="atLeast"/>
        <w:rPr>
          <w:rFonts w:hint="eastAsia" w:ascii="宋体" w:hAnsi="宋体" w:eastAsia="宋体" w:cs="宋体"/>
          <w:color w:val="000000" w:themeColor="text1"/>
          <w:sz w:val="24"/>
          <w:szCs w:val="20"/>
          <w:highlight w:val="none"/>
          <w:u w:val="none"/>
          <w14:textFill>
            <w14:solidFill>
              <w14:schemeClr w14:val="tx1"/>
            </w14:solidFill>
          </w14:textFill>
        </w:rPr>
      </w:pPr>
      <w:r>
        <w:rPr>
          <w:rFonts w:hint="eastAsia" w:ascii="宋体" w:hAnsi="宋体" w:eastAsia="宋体" w:cs="宋体"/>
          <w:color w:val="000000" w:themeColor="text1"/>
          <w:sz w:val="24"/>
          <w:szCs w:val="20"/>
          <w:highlight w:val="none"/>
          <w:u w:val="none"/>
          <w14:textFill>
            <w14:solidFill>
              <w14:schemeClr w14:val="tx1"/>
            </w14:solidFill>
          </w14:textFill>
        </w:rPr>
        <w:t>7</w:t>
      </w:r>
      <w:bookmarkEnd w:id="45"/>
      <w:bookmarkEnd w:id="46"/>
      <w:bookmarkEnd w:id="47"/>
      <w:r>
        <w:rPr>
          <w:rFonts w:hint="eastAsia" w:ascii="宋体" w:hAnsi="宋体" w:eastAsia="宋体" w:cs="宋体"/>
          <w:color w:val="000000" w:themeColor="text1"/>
          <w:sz w:val="24"/>
          <w:szCs w:val="20"/>
          <w:highlight w:val="none"/>
          <w:u w:val="none"/>
          <w14:textFill>
            <w14:solidFill>
              <w14:schemeClr w14:val="tx1"/>
            </w14:solidFill>
          </w14:textFill>
        </w:rPr>
        <w:t>.投标截止时间的顺延</w:t>
      </w:r>
      <w:bookmarkEnd w:id="48"/>
      <w:bookmarkEnd w:id="49"/>
      <w:bookmarkEnd w:id="50"/>
    </w:p>
    <w:p w14:paraId="5B3D53D8">
      <w:pPr>
        <w:spacing w:line="240" w:lineRule="atLeast"/>
        <w:ind w:left="840" w:hanging="840" w:hangingChars="350"/>
        <w:rPr>
          <w:rFonts w:hint="eastAsia" w:ascii="宋体" w:hAnsi="宋体" w:cs="宋体"/>
          <w:color w:val="000000" w:themeColor="text1"/>
          <w:sz w:val="24"/>
          <w14:textFill>
            <w14:solidFill>
              <w14:schemeClr w14:val="tx1"/>
            </w14:solidFill>
          </w14:textFill>
        </w:rPr>
      </w:pPr>
      <w:bookmarkStart w:id="51" w:name="_Toc516367020"/>
      <w:bookmarkStart w:id="52" w:name="_Toc515647766"/>
      <w:bookmarkStart w:id="53" w:name="_Toc30808"/>
      <w:bookmarkStart w:id="54" w:name="_Toc216582807"/>
      <w:bookmarkStart w:id="55" w:name="_Toc7636"/>
      <w:bookmarkStart w:id="56" w:name="_Toc31039"/>
      <w:bookmarkStart w:id="57" w:name="_Toc520356150"/>
      <w:r>
        <w:rPr>
          <w:rFonts w:hint="eastAsia" w:ascii="宋体" w:hAnsi="宋体" w:cs="宋体"/>
          <w:color w:val="000000" w:themeColor="text1"/>
          <w:sz w:val="24"/>
          <w14:textFill>
            <w14:solidFill>
              <w14:schemeClr w14:val="tx1"/>
            </w14:solidFill>
          </w14:textFill>
        </w:rPr>
        <w:t>7.1</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为使</w:t>
      </w:r>
      <w:r>
        <w:rPr>
          <w:rFonts w:hint="eastAsia" w:ascii="宋体" w:hAnsi="宋体" w:cs="宋体"/>
          <w:color w:val="000000" w:themeColor="text1"/>
          <w:sz w:val="24"/>
          <w:lang w:val="en-US" w:eastAsia="zh-CN"/>
          <w14:textFill>
            <w14:solidFill>
              <w14:schemeClr w14:val="tx1"/>
            </w14:solidFill>
          </w14:textFill>
        </w:rPr>
        <w:t>投标人</w:t>
      </w:r>
      <w:r>
        <w:rPr>
          <w:rFonts w:hint="eastAsia" w:ascii="宋体" w:hAnsi="宋体" w:cs="宋体"/>
          <w:color w:val="000000" w:themeColor="text1"/>
          <w:sz w:val="24"/>
          <w14:textFill>
            <w14:solidFill>
              <w14:schemeClr w14:val="tx1"/>
            </w14:solidFill>
          </w14:textFill>
        </w:rPr>
        <w:t>准备磋商时有足够的时间对磋商文件的澄清或者修改部分进行研究，采购人将依法决定是否顺延</w:t>
      </w:r>
      <w:r>
        <w:rPr>
          <w:rFonts w:hint="eastAsia" w:ascii="宋体" w:hAnsi="宋体" w:cs="宋体"/>
          <w:color w:val="000000" w:themeColor="text1"/>
          <w:sz w:val="24"/>
          <w:lang w:val="en-US" w:eastAsia="zh-CN"/>
          <w14:textFill>
            <w14:solidFill>
              <w14:schemeClr w14:val="tx1"/>
            </w14:solidFill>
          </w14:textFill>
        </w:rPr>
        <w:t>投标</w:t>
      </w:r>
      <w:r>
        <w:rPr>
          <w:rFonts w:hint="eastAsia" w:ascii="宋体" w:hAnsi="宋体" w:cs="宋体"/>
          <w:color w:val="000000" w:themeColor="text1"/>
          <w:sz w:val="24"/>
          <w14:textFill>
            <w14:solidFill>
              <w14:schemeClr w14:val="tx1"/>
            </w14:solidFill>
          </w14:textFill>
        </w:rPr>
        <w:t>截止时间。</w:t>
      </w:r>
    </w:p>
    <w:p w14:paraId="79FAC801">
      <w:pPr>
        <w:pStyle w:val="4"/>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 xml:space="preserve">三   </w:t>
      </w:r>
      <w:bookmarkEnd w:id="51"/>
      <w:r>
        <w:rPr>
          <w:rFonts w:hint="eastAsia" w:ascii="宋体" w:hAnsi="宋体" w:eastAsia="宋体" w:cs="宋体"/>
          <w:color w:val="000000" w:themeColor="text1"/>
          <w:sz w:val="28"/>
          <w:highlight w:val="none"/>
          <w:lang w:eastAsia="zh-CN"/>
          <w14:textFill>
            <w14:solidFill>
              <w14:schemeClr w14:val="tx1"/>
            </w14:solidFill>
          </w14:textFill>
        </w:rPr>
        <w:t>响应文件</w:t>
      </w:r>
      <w:r>
        <w:rPr>
          <w:rFonts w:hint="eastAsia" w:ascii="宋体" w:hAnsi="宋体" w:eastAsia="宋体" w:cs="宋体"/>
          <w:color w:val="000000" w:themeColor="text1"/>
          <w:sz w:val="28"/>
          <w:highlight w:val="none"/>
          <w14:textFill>
            <w14:solidFill>
              <w14:schemeClr w14:val="tx1"/>
            </w14:solidFill>
          </w14:textFill>
        </w:rPr>
        <w:t>的编制</w:t>
      </w:r>
      <w:bookmarkEnd w:id="52"/>
      <w:bookmarkEnd w:id="53"/>
      <w:bookmarkEnd w:id="54"/>
      <w:bookmarkEnd w:id="55"/>
      <w:bookmarkEnd w:id="56"/>
      <w:bookmarkEnd w:id="57"/>
    </w:p>
    <w:p w14:paraId="22C3152C">
      <w:pPr>
        <w:pStyle w:val="5"/>
        <w:keepNext w:val="0"/>
        <w:keepLines w:val="0"/>
        <w:pageBreakBefore w:val="0"/>
        <w:widowControl w:val="0"/>
        <w:tabs>
          <w:tab w:val="left" w:pos="900"/>
        </w:tabs>
        <w:kinsoku/>
        <w:wordWrap/>
        <w:overflowPunct/>
        <w:topLinePunct w:val="0"/>
        <w:autoSpaceDE w:val="0"/>
        <w:autoSpaceDN w:val="0"/>
        <w:bidi w:val="0"/>
        <w:adjustRightInd w:val="0"/>
        <w:snapToGrid/>
        <w:spacing w:before="0" w:after="0" w:line="240" w:lineRule="atLeast"/>
        <w:ind w:left="0" w:hanging="964" w:hangingChars="400"/>
        <w:textAlignment w:val="auto"/>
        <w:rPr>
          <w:rFonts w:hint="eastAsia" w:ascii="宋体" w:hAnsi="宋体" w:eastAsia="宋体" w:cs="宋体"/>
          <w:color w:val="000000" w:themeColor="text1"/>
          <w:highlight w:val="none"/>
          <w:u w:val="none"/>
          <w14:textFill>
            <w14:solidFill>
              <w14:schemeClr w14:val="tx1"/>
            </w14:solidFill>
          </w14:textFill>
        </w:rPr>
      </w:pPr>
      <w:bookmarkStart w:id="58" w:name="_Toc3553"/>
      <w:bookmarkStart w:id="59" w:name="_Toc30570"/>
      <w:bookmarkStart w:id="60" w:name="_Toc520356151"/>
      <w:bookmarkStart w:id="61" w:name="_Toc516367021"/>
      <w:bookmarkStart w:id="62" w:name="_Toc515647767"/>
      <w:bookmarkStart w:id="63" w:name="_Toc7786"/>
      <w:r>
        <w:rPr>
          <w:rFonts w:hint="eastAsia" w:ascii="宋体" w:hAnsi="宋体" w:eastAsia="宋体" w:cs="宋体"/>
          <w:color w:val="000000" w:themeColor="text1"/>
          <w:highlight w:val="none"/>
          <w:u w:val="none"/>
          <w14:textFill>
            <w14:solidFill>
              <w14:schemeClr w14:val="tx1"/>
            </w14:solidFill>
          </w14:textFill>
        </w:rPr>
        <w:t>8.投标范围及</w:t>
      </w:r>
      <w:r>
        <w:rPr>
          <w:rFonts w:hint="eastAsia" w:hAnsi="宋体" w:cs="宋体"/>
          <w:color w:val="000000" w:themeColor="text1"/>
          <w:highlight w:val="none"/>
          <w:u w:val="none"/>
          <w:lang w:eastAsia="zh-CN"/>
          <w14:textFill>
            <w14:solidFill>
              <w14:schemeClr w14:val="tx1"/>
            </w14:solidFill>
          </w14:textFill>
        </w:rPr>
        <w:t>响应文件</w:t>
      </w:r>
      <w:r>
        <w:rPr>
          <w:rFonts w:hint="eastAsia" w:ascii="宋体" w:hAnsi="宋体" w:eastAsia="宋体" w:cs="宋体"/>
          <w:color w:val="000000" w:themeColor="text1"/>
          <w:highlight w:val="none"/>
          <w:u w:val="none"/>
          <w14:textFill>
            <w14:solidFill>
              <w14:schemeClr w14:val="tx1"/>
            </w14:solidFill>
          </w14:textFill>
        </w:rPr>
        <w:t>中标准和计量单位的使用</w:t>
      </w:r>
      <w:bookmarkEnd w:id="58"/>
      <w:bookmarkEnd w:id="59"/>
      <w:bookmarkEnd w:id="60"/>
      <w:bookmarkEnd w:id="61"/>
      <w:bookmarkEnd w:id="62"/>
      <w:bookmarkEnd w:id="63"/>
    </w:p>
    <w:p w14:paraId="224F8120">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64" w:name="_Toc516367022"/>
      <w:bookmarkStart w:id="65" w:name="_Ref467306195"/>
      <w:bookmarkStart w:id="66" w:name="_Ref467306676"/>
      <w:bookmarkStart w:id="67" w:name="_Toc18692"/>
      <w:bookmarkStart w:id="68" w:name="_Toc28307"/>
      <w:bookmarkStart w:id="69" w:name="_Toc10364"/>
      <w:bookmarkStart w:id="70" w:name="_Toc520356152"/>
      <w:bookmarkStart w:id="71" w:name="_Toc515647768"/>
      <w:bookmarkStart w:id="72" w:name="_Toc515647769"/>
      <w:bookmarkStart w:id="73" w:name="_Toc13143"/>
      <w:bookmarkStart w:id="74" w:name="_Toc4601"/>
      <w:bookmarkStart w:id="75" w:name="_Toc10379"/>
      <w:bookmarkStart w:id="76" w:name="_Toc520356153"/>
      <w:bookmarkStart w:id="77" w:name="_Toc516367023"/>
      <w:r>
        <w:rPr>
          <w:rFonts w:hint="eastAsia" w:ascii="宋体" w:hAnsi="宋体" w:cs="宋体"/>
          <w:color w:val="000000" w:themeColor="text1"/>
          <w:sz w:val="24"/>
          <w:highlight w:val="none"/>
          <w14:textFill>
            <w14:solidFill>
              <w14:schemeClr w14:val="tx1"/>
            </w14:solidFill>
          </w14:textFill>
        </w:rPr>
        <w:t>8.1</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项目有分包的，</w:t>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可对</w:t>
      </w:r>
      <w:r>
        <w:rPr>
          <w:rFonts w:hint="eastAsia" w:ascii="宋体" w:hAnsi="宋体" w:cs="宋体"/>
          <w:color w:val="000000" w:themeColor="text1"/>
          <w:sz w:val="24"/>
          <w:highlight w:val="none"/>
          <w:lang w:val="en-US" w:eastAsia="zh-CN"/>
          <w14:textFill>
            <w14:solidFill>
              <w14:schemeClr w14:val="tx1"/>
            </w14:solidFill>
          </w14:textFill>
        </w:rPr>
        <w:t>磋商</w:t>
      </w:r>
      <w:r>
        <w:rPr>
          <w:rFonts w:hint="eastAsia" w:ascii="宋体" w:hAnsi="宋体" w:cs="宋体"/>
          <w:color w:val="000000" w:themeColor="text1"/>
          <w:sz w:val="24"/>
          <w:highlight w:val="none"/>
          <w:lang w:eastAsia="zh-CN"/>
          <w14:textFill>
            <w14:solidFill>
              <w14:schemeClr w14:val="tx1"/>
            </w14:solidFill>
          </w14:textFill>
        </w:rPr>
        <w:t>文件</w:t>
      </w:r>
      <w:r>
        <w:rPr>
          <w:rFonts w:hint="eastAsia" w:ascii="宋体" w:hAnsi="宋体" w:cs="宋体"/>
          <w:color w:val="000000" w:themeColor="text1"/>
          <w:sz w:val="24"/>
          <w:highlight w:val="none"/>
          <w14:textFill>
            <w14:solidFill>
              <w14:schemeClr w14:val="tx1"/>
            </w14:solidFill>
          </w14:textFill>
        </w:rPr>
        <w:t>其中某一个或几个分包进行</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，除非在</w:t>
      </w:r>
      <w:r>
        <w:rPr>
          <w:rFonts w:hint="eastAsia" w:ascii="宋体" w:hAnsi="宋体" w:cs="宋体"/>
          <w:color w:val="000000" w:themeColor="text1"/>
          <w:sz w:val="24"/>
          <w:highlight w:val="none"/>
          <w:u w:val="single"/>
          <w:lang w:eastAsia="zh-CN"/>
          <w14:textFill>
            <w14:solidFill>
              <w14:schemeClr w14:val="tx1"/>
            </w14:solidFill>
          </w14:textFill>
        </w:rPr>
        <w:t>投标人须知资料表</w:t>
      </w:r>
      <w:r>
        <w:rPr>
          <w:rFonts w:hint="eastAsia" w:ascii="宋体" w:hAnsi="宋体" w:cs="宋体"/>
          <w:color w:val="000000" w:themeColor="text1"/>
          <w:sz w:val="24"/>
          <w:highlight w:val="none"/>
          <w14:textFill>
            <w14:solidFill>
              <w14:schemeClr w14:val="tx1"/>
            </w14:solidFill>
          </w14:textFill>
        </w:rPr>
        <w:t>中另有规定。</w:t>
      </w:r>
    </w:p>
    <w:p w14:paraId="455A6864">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8.2    </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lang w:val="en-US" w:eastAsia="zh-CN"/>
          <w14:textFill>
            <w14:solidFill>
              <w14:schemeClr w14:val="tx1"/>
            </w14:solidFill>
          </w14:textFill>
        </w:rPr>
        <w:t>人应当对所投分包</w:t>
      </w:r>
      <w:r>
        <w:rPr>
          <w:rFonts w:hint="eastAsia" w:ascii="宋体" w:hAnsi="宋体" w:cs="宋体"/>
          <w:color w:val="000000" w:themeColor="text1"/>
          <w:sz w:val="24"/>
          <w:highlight w:val="none"/>
          <w:lang w:val="en-US" w:eastAsia="zh-CN"/>
          <w14:textFill>
            <w14:solidFill>
              <w14:schemeClr w14:val="tx1"/>
            </w14:solidFill>
          </w14:textFill>
        </w:rPr>
        <w:t>磋商</w:t>
      </w:r>
      <w:r>
        <w:rPr>
          <w:rFonts w:hint="eastAsia" w:ascii="宋体" w:hAnsi="宋体" w:eastAsia="宋体" w:cs="宋体"/>
          <w:color w:val="000000" w:themeColor="text1"/>
          <w:sz w:val="24"/>
          <w:highlight w:val="none"/>
          <w:lang w:val="en-US" w:eastAsia="zh-CN"/>
          <w14:textFill>
            <w14:solidFill>
              <w14:schemeClr w14:val="tx1"/>
            </w14:solidFill>
          </w14:textFill>
        </w:rPr>
        <w:t>文件中“</w:t>
      </w:r>
      <w:r>
        <w:rPr>
          <w:rFonts w:hint="eastAsia" w:ascii="宋体" w:hAnsi="宋体" w:cs="宋体"/>
          <w:color w:val="000000" w:themeColor="text1"/>
          <w:sz w:val="24"/>
          <w:highlight w:val="none"/>
          <w:lang w:val="en-US" w:eastAsia="zh-CN"/>
          <w14:textFill>
            <w14:solidFill>
              <w14:schemeClr w14:val="tx1"/>
            </w14:solidFill>
          </w14:textFill>
        </w:rPr>
        <w:t>服务需求</w:t>
      </w:r>
      <w:r>
        <w:rPr>
          <w:rFonts w:hint="eastAsia" w:ascii="宋体" w:hAnsi="宋体" w:eastAsia="宋体" w:cs="宋体"/>
          <w:color w:val="000000" w:themeColor="text1"/>
          <w:sz w:val="24"/>
          <w:highlight w:val="none"/>
          <w:lang w:val="en-US" w:eastAsia="zh-CN"/>
          <w14:textFill>
            <w14:solidFill>
              <w14:schemeClr w14:val="tx1"/>
            </w14:solidFill>
          </w14:textFill>
        </w:rPr>
        <w:t>一览表及项目要求”所列的所有内容进行投标，如仅响应分包中的部分内容，其投标将被认定为</w:t>
      </w:r>
      <w:r>
        <w:rPr>
          <w:rFonts w:hint="eastAsia" w:ascii="宋体" w:hAnsi="宋体" w:cs="宋体"/>
          <w:b/>
          <w:bCs/>
          <w:color w:val="000000" w:themeColor="text1"/>
          <w:sz w:val="24"/>
          <w:highlight w:val="none"/>
          <w:lang w:eastAsia="zh-CN"/>
          <w14:textFill>
            <w14:solidFill>
              <w14:schemeClr w14:val="tx1"/>
            </w14:solidFill>
          </w14:textFill>
        </w:rPr>
        <w:t>投标无效</w:t>
      </w:r>
      <w:r>
        <w:rPr>
          <w:rFonts w:hint="eastAsia" w:ascii="宋体" w:hAnsi="宋体" w:cs="宋体"/>
          <w:color w:val="000000" w:themeColor="text1"/>
          <w:sz w:val="24"/>
          <w:highlight w:val="none"/>
          <w14:textFill>
            <w14:solidFill>
              <w14:schemeClr w14:val="tx1"/>
            </w14:solidFill>
          </w14:textFill>
        </w:rPr>
        <w:t>。</w:t>
      </w:r>
    </w:p>
    <w:p w14:paraId="6087DC55">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8.3    无论</w:t>
      </w:r>
      <w:r>
        <w:rPr>
          <w:rFonts w:hint="eastAsia" w:ascii="宋体" w:hAnsi="宋体" w:cs="宋体"/>
          <w:color w:val="000000" w:themeColor="text1"/>
          <w:sz w:val="24"/>
          <w:highlight w:val="none"/>
          <w:lang w:val="en-US" w:eastAsia="zh-CN"/>
          <w14:textFill>
            <w14:solidFill>
              <w14:schemeClr w14:val="tx1"/>
            </w14:solidFill>
          </w14:textFill>
        </w:rPr>
        <w:t>磋商</w:t>
      </w:r>
      <w:r>
        <w:rPr>
          <w:rFonts w:hint="eastAsia" w:ascii="宋体" w:hAnsi="宋体" w:eastAsia="宋体" w:cs="宋体"/>
          <w:color w:val="000000" w:themeColor="text1"/>
          <w:sz w:val="24"/>
          <w:highlight w:val="none"/>
          <w:lang w:eastAsia="zh-CN"/>
          <w14:textFill>
            <w14:solidFill>
              <w14:schemeClr w14:val="tx1"/>
            </w14:solidFill>
          </w14:textFill>
        </w:rPr>
        <w:t>文件第5章</w:t>
      </w:r>
      <w:r>
        <w:rPr>
          <w:rFonts w:hint="eastAsia" w:ascii="宋体" w:hAnsi="宋体" w:cs="宋体"/>
          <w:color w:val="000000" w:themeColor="text1"/>
          <w:sz w:val="24"/>
          <w:highlight w:val="none"/>
          <w:lang w:val="en-US" w:eastAsia="zh-CN"/>
          <w14:textFill>
            <w14:solidFill>
              <w14:schemeClr w14:val="tx1"/>
            </w14:solidFill>
          </w14:textFill>
        </w:rPr>
        <w:t>服务需求</w:t>
      </w:r>
      <w:r>
        <w:rPr>
          <w:rFonts w:hint="eastAsia" w:ascii="宋体" w:hAnsi="宋体" w:eastAsia="宋体" w:cs="宋体"/>
          <w:color w:val="000000" w:themeColor="text1"/>
          <w:sz w:val="24"/>
          <w:highlight w:val="none"/>
          <w:lang w:eastAsia="zh-CN"/>
          <w14:textFill>
            <w14:solidFill>
              <w14:schemeClr w14:val="tx1"/>
            </w14:solidFill>
          </w14:textFill>
        </w:rPr>
        <w:t>一览表及项目要求中是否要求，</w:t>
      </w:r>
      <w:r>
        <w:rPr>
          <w:rFonts w:hint="eastAsia" w:ascii="宋体" w:hAnsi="宋体" w:eastAsia="宋体" w:cs="宋体"/>
          <w:color w:val="000000" w:themeColor="text1"/>
          <w:sz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highlight w:val="none"/>
          <w:lang w:eastAsia="zh-CN"/>
          <w14:textFill>
            <w14:solidFill>
              <w14:schemeClr w14:val="tx1"/>
            </w14:solidFill>
          </w14:textFill>
        </w:rPr>
        <w:t>所投要求均应符合国家强制性标准。</w:t>
      </w:r>
    </w:p>
    <w:p w14:paraId="0C851E82">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8.4    除</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中有特殊要求外，响应文件中所使用的计量单位，应采用中华人民共和国法定计量单位。</w:t>
      </w:r>
    </w:p>
    <w:p w14:paraId="32B1F31E">
      <w:pPr>
        <w:pStyle w:val="5"/>
        <w:tabs>
          <w:tab w:val="left" w:pos="900"/>
        </w:tabs>
        <w:spacing w:before="0" w:after="0" w:line="240" w:lineRule="atLeast"/>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9.</w:t>
      </w:r>
      <w:bookmarkEnd w:id="64"/>
      <w:bookmarkEnd w:id="65"/>
      <w:bookmarkEnd w:id="66"/>
      <w:r>
        <w:rPr>
          <w:rFonts w:hint="eastAsia" w:hAnsi="宋体" w:cs="宋体"/>
          <w:color w:val="000000" w:themeColor="text1"/>
          <w:highlight w:val="none"/>
          <w:u w:val="none"/>
          <w:lang w:eastAsia="zh-CN"/>
          <w14:textFill>
            <w14:solidFill>
              <w14:schemeClr w14:val="tx1"/>
            </w14:solidFill>
          </w14:textFill>
        </w:rPr>
        <w:t>响应文件</w:t>
      </w:r>
      <w:r>
        <w:rPr>
          <w:rFonts w:hint="eastAsia" w:ascii="宋体" w:hAnsi="宋体" w:eastAsia="宋体" w:cs="宋体"/>
          <w:color w:val="000000" w:themeColor="text1"/>
          <w:highlight w:val="none"/>
          <w:u w:val="none"/>
          <w14:textFill>
            <w14:solidFill>
              <w14:schemeClr w14:val="tx1"/>
            </w14:solidFill>
          </w14:textFill>
        </w:rPr>
        <w:t>构成</w:t>
      </w:r>
      <w:bookmarkEnd w:id="67"/>
      <w:bookmarkEnd w:id="68"/>
      <w:bookmarkEnd w:id="69"/>
      <w:bookmarkEnd w:id="70"/>
      <w:bookmarkEnd w:id="71"/>
    </w:p>
    <w:p w14:paraId="3153A00F">
      <w:pPr>
        <w:keepNext w:val="0"/>
        <w:keepLines w:val="0"/>
        <w:pageBreakBefore w:val="0"/>
        <w:widowControl w:val="0"/>
        <w:kinsoku/>
        <w:wordWrap/>
        <w:overflowPunct/>
        <w:topLinePunct w:val="0"/>
        <w:autoSpaceDE/>
        <w:autoSpaceDN/>
        <w:bidi w:val="0"/>
        <w:adjustRightInd/>
        <w:snapToGrid/>
        <w:spacing w:line="240" w:lineRule="atLeast"/>
        <w:ind w:left="960" w:hanging="840" w:hangingChars="3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9.1    </w:t>
      </w:r>
      <w:r>
        <w:rPr>
          <w:rFonts w:hint="eastAsia" w:ascii="宋体" w:hAnsi="宋体" w:eastAsia="宋体" w:cs="宋体"/>
          <w:b/>
          <w:bCs/>
          <w:color w:val="000000" w:themeColor="text1"/>
          <w:sz w:val="24"/>
          <w:highlight w:val="none"/>
          <w14:textFill>
            <w14:solidFill>
              <w14:schemeClr w14:val="tx1"/>
            </w14:solidFill>
          </w14:textFill>
        </w:rPr>
        <w:t>投标人应完整地按</w:t>
      </w:r>
      <w:r>
        <w:rPr>
          <w:rFonts w:hint="eastAsia" w:ascii="宋体" w:hAnsi="宋体" w:eastAsia="宋体" w:cs="宋体"/>
          <w:b/>
          <w:bCs/>
          <w:color w:val="000000" w:themeColor="text1"/>
          <w:sz w:val="24"/>
          <w:highlight w:val="none"/>
          <w:lang w:val="en-US" w:eastAsia="zh-CN"/>
          <w14:textFill>
            <w14:solidFill>
              <w14:schemeClr w14:val="tx1"/>
            </w14:solidFill>
          </w14:textFill>
        </w:rPr>
        <w:t>磋商</w:t>
      </w:r>
      <w:r>
        <w:rPr>
          <w:rFonts w:hint="eastAsia" w:ascii="宋体" w:hAnsi="宋体" w:eastAsia="宋体" w:cs="宋体"/>
          <w:b/>
          <w:bCs/>
          <w:color w:val="000000" w:themeColor="text1"/>
          <w:sz w:val="24"/>
          <w:highlight w:val="none"/>
          <w14:textFill>
            <w14:solidFill>
              <w14:schemeClr w14:val="tx1"/>
            </w14:solidFill>
          </w14:textFill>
        </w:rPr>
        <w:t>文件提供的</w:t>
      </w:r>
      <w:r>
        <w:rPr>
          <w:rFonts w:hint="eastAsia" w:ascii="宋体" w:hAnsi="宋体" w:eastAsia="宋体" w:cs="宋体"/>
          <w:b/>
          <w:bCs/>
          <w:color w:val="000000" w:themeColor="text1"/>
          <w:sz w:val="24"/>
          <w:highlight w:val="none"/>
          <w:lang w:val="en-US" w:eastAsia="zh-CN"/>
          <w14:textFill>
            <w14:solidFill>
              <w14:schemeClr w14:val="tx1"/>
            </w14:solidFill>
          </w14:textFill>
        </w:rPr>
        <w:t>响应</w:t>
      </w:r>
      <w:r>
        <w:rPr>
          <w:rFonts w:hint="eastAsia" w:ascii="宋体" w:hAnsi="宋体" w:eastAsia="宋体" w:cs="宋体"/>
          <w:b/>
          <w:bCs/>
          <w:color w:val="000000" w:themeColor="text1"/>
          <w:sz w:val="24"/>
          <w:highlight w:val="none"/>
          <w14:textFill>
            <w14:solidFill>
              <w14:schemeClr w14:val="tx1"/>
            </w14:solidFill>
          </w14:textFill>
        </w:rPr>
        <w:t>文件格式及要求编写</w:t>
      </w:r>
      <w:r>
        <w:rPr>
          <w:rFonts w:hint="eastAsia" w:ascii="宋体" w:hAnsi="宋体" w:eastAsia="宋体" w:cs="宋体"/>
          <w:b/>
          <w:bCs/>
          <w:color w:val="000000" w:themeColor="text1"/>
          <w:sz w:val="24"/>
          <w:highlight w:val="none"/>
          <w:lang w:val="en-US" w:eastAsia="zh-CN"/>
          <w14:textFill>
            <w14:solidFill>
              <w14:schemeClr w14:val="tx1"/>
            </w14:solidFill>
          </w14:textFill>
        </w:rPr>
        <w:t>响应</w:t>
      </w:r>
      <w:r>
        <w:rPr>
          <w:rFonts w:hint="eastAsia" w:ascii="宋体" w:hAnsi="宋体" w:eastAsia="宋体" w:cs="宋体"/>
          <w:b/>
          <w:bCs/>
          <w:color w:val="000000" w:themeColor="text1"/>
          <w:sz w:val="24"/>
          <w:highlight w:val="none"/>
          <w14:textFill>
            <w14:solidFill>
              <w14:schemeClr w14:val="tx1"/>
            </w14:solidFill>
          </w14:textFill>
        </w:rPr>
        <w:t xml:space="preserve">文件， </w:t>
      </w:r>
      <w:r>
        <w:rPr>
          <w:rFonts w:hint="eastAsia" w:ascii="宋体" w:hAnsi="宋体" w:eastAsia="宋体" w:cs="宋体"/>
          <w:b/>
          <w:bCs/>
          <w:color w:val="000000" w:themeColor="text1"/>
          <w:sz w:val="24"/>
          <w:highlight w:val="none"/>
          <w:lang w:val="en-US" w:eastAsia="zh-CN"/>
          <w14:textFill>
            <w14:solidFill>
              <w14:schemeClr w14:val="tx1"/>
            </w14:solidFill>
          </w14:textFill>
        </w:rPr>
        <w:t>响应</w:t>
      </w:r>
      <w:r>
        <w:rPr>
          <w:rFonts w:hint="eastAsia" w:ascii="宋体" w:hAnsi="宋体" w:eastAsia="宋体" w:cs="宋体"/>
          <w:b/>
          <w:bCs/>
          <w:color w:val="000000" w:themeColor="text1"/>
          <w:sz w:val="24"/>
          <w:highlight w:val="none"/>
          <w14:textFill>
            <w14:solidFill>
              <w14:schemeClr w14:val="tx1"/>
            </w14:solidFill>
          </w14:textFill>
        </w:rPr>
        <w:t>文件应包括“ 开标一览表及资格证明文件” 和“ 商务及技术文件” 两部分。</w:t>
      </w:r>
    </w:p>
    <w:p w14:paraId="7BE19BD0">
      <w:pPr>
        <w:keepNext w:val="0"/>
        <w:keepLines w:val="0"/>
        <w:pageBreakBefore w:val="0"/>
        <w:widowControl w:val="0"/>
        <w:kinsoku/>
        <w:wordWrap/>
        <w:overflowPunct/>
        <w:topLinePunct w:val="0"/>
        <w:autoSpaceDE/>
        <w:autoSpaceDN/>
        <w:bidi w:val="0"/>
        <w:adjustRightInd/>
        <w:snapToGrid/>
        <w:spacing w:line="240" w:lineRule="atLeast"/>
        <w:ind w:left="960" w:hanging="840" w:hangingChars="3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9.2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上述文件应按照</w:t>
      </w:r>
      <w:r>
        <w:rPr>
          <w:rFonts w:hint="eastAsia" w:ascii="宋体" w:hAnsi="宋体" w:eastAsia="宋体" w:cs="宋体"/>
          <w:color w:val="000000" w:themeColor="text1"/>
          <w:sz w:val="24"/>
          <w:highlight w:val="none"/>
          <w:lang w:val="en-US"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文件规定的格式填写、签署和盖章。若投标人未依照要求制作</w:t>
      </w:r>
      <w:r>
        <w:rPr>
          <w:rFonts w:hint="eastAsia" w:ascii="宋体" w:hAnsi="宋体" w:eastAsia="宋体" w:cs="宋体"/>
          <w:color w:val="000000" w:themeColor="text1"/>
          <w:sz w:val="24"/>
          <w:highlight w:val="none"/>
          <w:lang w:val="en-US"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文件的，则视为不响应</w:t>
      </w:r>
      <w:r>
        <w:rPr>
          <w:rFonts w:hint="eastAsia" w:ascii="宋体" w:hAnsi="宋体" w:eastAsia="宋体" w:cs="宋体"/>
          <w:color w:val="000000" w:themeColor="text1"/>
          <w:sz w:val="24"/>
          <w:highlight w:val="none"/>
          <w:lang w:val="en-US"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文件编制</w:t>
      </w:r>
      <w:r>
        <w:rPr>
          <w:rFonts w:hint="eastAsia" w:ascii="宋体" w:hAnsi="宋体" w:eastAsia="宋体" w:cs="宋体"/>
          <w:color w:val="000000" w:themeColor="text1"/>
          <w:sz w:val="24"/>
          <w:highlight w:val="none"/>
          <w:lang w:val="en-US"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文件的要求，</w:t>
      </w:r>
      <w:bookmarkStart w:id="78" w:name="bookmark14"/>
      <w:bookmarkEnd w:id="78"/>
      <w:r>
        <w:rPr>
          <w:rFonts w:hint="eastAsia" w:ascii="宋体" w:hAnsi="宋体" w:eastAsia="宋体" w:cs="宋体"/>
          <w:color w:val="000000" w:themeColor="text1"/>
          <w:sz w:val="24"/>
          <w:highlight w:val="none"/>
          <w14:textFill>
            <w14:solidFill>
              <w14:schemeClr w14:val="tx1"/>
            </w14:solidFill>
          </w14:textFill>
        </w:rPr>
        <w:t>为</w:t>
      </w:r>
      <w:r>
        <w:rPr>
          <w:rFonts w:hint="eastAsia" w:ascii="宋体" w:hAnsi="宋体" w:eastAsia="宋体" w:cs="宋体"/>
          <w:b/>
          <w:bCs/>
          <w:color w:val="000000" w:themeColor="text1"/>
          <w:sz w:val="24"/>
          <w:highlight w:val="none"/>
          <w14:textFill>
            <w14:solidFill>
              <w14:schemeClr w14:val="tx1"/>
            </w14:solidFill>
          </w14:textFill>
        </w:rPr>
        <w:t>无效投标</w:t>
      </w:r>
      <w:r>
        <w:rPr>
          <w:rFonts w:hint="eastAsia" w:ascii="宋体" w:hAnsi="宋体" w:eastAsia="宋体" w:cs="宋体"/>
          <w:color w:val="000000" w:themeColor="text1"/>
          <w:sz w:val="24"/>
          <w:highlight w:val="none"/>
          <w14:textFill>
            <w14:solidFill>
              <w14:schemeClr w14:val="tx1"/>
            </w14:solidFill>
          </w14:textFill>
        </w:rPr>
        <w:t>。</w:t>
      </w:r>
    </w:p>
    <w:p w14:paraId="0799A972">
      <w:pPr>
        <w:pStyle w:val="5"/>
        <w:keepNext w:val="0"/>
        <w:keepLines w:val="0"/>
        <w:pageBreakBefore w:val="0"/>
        <w:widowControl w:val="0"/>
        <w:tabs>
          <w:tab w:val="left" w:pos="900"/>
        </w:tabs>
        <w:kinsoku/>
        <w:wordWrap/>
        <w:overflowPunct/>
        <w:topLinePunct w:val="0"/>
        <w:bidi w:val="0"/>
        <w:snapToGrid/>
        <w:spacing w:before="0" w:after="0" w:line="240" w:lineRule="atLeast"/>
        <w:ind w:left="960" w:hanging="964" w:hangingChars="400"/>
        <w:textAlignment w:val="auto"/>
        <w:rPr>
          <w:rFonts w:hint="eastAsia" w:ascii="宋体" w:hAnsi="宋体" w:eastAsia="宋体" w:cs="宋体"/>
          <w:b/>
          <w:bCs w:val="0"/>
          <w:color w:val="000000" w:themeColor="text1"/>
          <w:highlight w:val="none"/>
          <w:u w:val="none"/>
          <w14:textFill>
            <w14:solidFill>
              <w14:schemeClr w14:val="tx1"/>
            </w14:solidFill>
          </w14:textFill>
        </w:rPr>
      </w:pPr>
      <w:r>
        <w:rPr>
          <w:rFonts w:hint="eastAsia" w:ascii="宋体" w:hAnsi="宋体" w:eastAsia="宋体" w:cs="宋体"/>
          <w:b/>
          <w:bCs w:val="0"/>
          <w:color w:val="000000" w:themeColor="text1"/>
          <w:highlight w:val="none"/>
          <w:u w:val="none"/>
          <w14:textFill>
            <w14:solidFill>
              <w14:schemeClr w14:val="tx1"/>
            </w14:solidFill>
          </w14:textFill>
        </w:rPr>
        <w:t>10</w:t>
      </w:r>
      <w:r>
        <w:rPr>
          <w:rFonts w:hint="eastAsia" w:hAnsi="宋体" w:cs="宋体"/>
          <w:b/>
          <w:bCs w:val="0"/>
          <w:color w:val="000000" w:themeColor="text1"/>
          <w:highlight w:val="none"/>
          <w:u w:val="none"/>
          <w:lang w:eastAsia="zh-CN"/>
          <w14:textFill>
            <w14:solidFill>
              <w14:schemeClr w14:val="tx1"/>
            </w14:solidFill>
          </w14:textFill>
        </w:rPr>
        <w:t>.</w:t>
      </w:r>
      <w:r>
        <w:rPr>
          <w:rFonts w:hint="eastAsia" w:ascii="宋体" w:hAnsi="宋体" w:eastAsia="宋体" w:cs="宋体"/>
          <w:b/>
          <w:bCs w:val="0"/>
          <w:color w:val="000000" w:themeColor="text1"/>
          <w:highlight w:val="none"/>
          <w:u w:val="none"/>
          <w14:textFill>
            <w14:solidFill>
              <w14:schemeClr w14:val="tx1"/>
            </w14:solidFill>
          </w14:textFill>
        </w:rPr>
        <w:t>证明投标标的的合格性和符合</w:t>
      </w:r>
      <w:r>
        <w:rPr>
          <w:rFonts w:hint="eastAsia" w:hAnsi="宋体" w:cs="宋体"/>
          <w:b/>
          <w:bCs w:val="0"/>
          <w:color w:val="000000" w:themeColor="text1"/>
          <w:highlight w:val="none"/>
          <w:u w:val="none"/>
          <w:lang w:val="en-US" w:eastAsia="zh-CN"/>
          <w14:textFill>
            <w14:solidFill>
              <w14:schemeClr w14:val="tx1"/>
            </w14:solidFill>
          </w14:textFill>
        </w:rPr>
        <w:t>磋商</w:t>
      </w:r>
      <w:r>
        <w:rPr>
          <w:rFonts w:hint="eastAsia" w:ascii="宋体" w:hAnsi="宋体" w:eastAsia="宋体" w:cs="宋体"/>
          <w:b/>
          <w:bCs w:val="0"/>
          <w:color w:val="000000" w:themeColor="text1"/>
          <w:highlight w:val="none"/>
          <w:u w:val="none"/>
          <w14:textFill>
            <w14:solidFill>
              <w14:schemeClr w14:val="tx1"/>
            </w14:solidFill>
          </w14:textFill>
        </w:rPr>
        <w:t>文件规定的技术文件</w:t>
      </w:r>
      <w:bookmarkEnd w:id="72"/>
      <w:bookmarkEnd w:id="73"/>
      <w:bookmarkEnd w:id="74"/>
      <w:bookmarkEnd w:id="75"/>
      <w:bookmarkEnd w:id="76"/>
      <w:bookmarkEnd w:id="77"/>
    </w:p>
    <w:p w14:paraId="3351E24C">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79" w:name="_Toc520356155"/>
      <w:bookmarkStart w:id="80" w:name="_Toc23231"/>
      <w:bookmarkStart w:id="81" w:name="_Toc2248"/>
      <w:bookmarkStart w:id="82" w:name="_Toc19624"/>
      <w:bookmarkStart w:id="83" w:name="_Toc515647770"/>
      <w:r>
        <w:rPr>
          <w:rFonts w:hint="eastAsia" w:ascii="宋体" w:hAnsi="宋体" w:cs="宋体"/>
          <w:color w:val="000000" w:themeColor="text1"/>
          <w:sz w:val="24"/>
          <w:highlight w:val="none"/>
          <w14:textFill>
            <w14:solidFill>
              <w14:schemeClr w14:val="tx1"/>
            </w14:solidFill>
          </w14:textFill>
        </w:rPr>
        <w:t>10.1</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应提交证明文件，证明其</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内容符合</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规定。该证明文件是响应文件的一部分。</w:t>
      </w:r>
    </w:p>
    <w:p w14:paraId="21579E02">
      <w:pPr>
        <w:spacing w:line="240" w:lineRule="atLeast"/>
        <w:ind w:left="840" w:hanging="840" w:hangingChars="350"/>
        <w:rPr>
          <w:rFonts w:hint="eastAsia" w:ascii="宋体" w:hAnsi="宋体" w:eastAsia="宋体" w:cs="宋体"/>
          <w:color w:val="000000" w:themeColor="text1"/>
          <w:sz w:val="24"/>
          <w:highlight w:val="none"/>
          <w:lang w:eastAsia="zh-CN"/>
          <w14:textFill>
            <w14:solidFill>
              <w14:schemeClr w14:val="tx1"/>
            </w14:solidFill>
          </w14:textFill>
        </w:rPr>
      </w:pPr>
      <w:bookmarkStart w:id="84" w:name="_Ref467306244"/>
      <w:r>
        <w:rPr>
          <w:rFonts w:hint="eastAsia" w:ascii="宋体" w:hAnsi="宋体" w:cs="宋体"/>
          <w:color w:val="000000" w:themeColor="text1"/>
          <w:sz w:val="24"/>
          <w:highlight w:val="none"/>
          <w14:textFill>
            <w14:solidFill>
              <w14:schemeClr w14:val="tx1"/>
            </w14:solidFill>
          </w14:textFill>
        </w:rPr>
        <w:t>10.2</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上款所述的证明文</w:t>
      </w:r>
      <w:r>
        <w:rPr>
          <w:rFonts w:hint="eastAsia" w:ascii="宋体" w:hAnsi="宋体" w:eastAsia="宋体" w:cs="宋体"/>
          <w:color w:val="000000" w:themeColor="text1"/>
          <w:sz w:val="24"/>
          <w:highlight w:val="none"/>
          <w14:textFill>
            <w14:solidFill>
              <w14:schemeClr w14:val="tx1"/>
            </w14:solidFill>
          </w14:textFill>
        </w:rPr>
        <w:t>件，</w:t>
      </w:r>
      <w:bookmarkEnd w:id="84"/>
      <w:r>
        <w:rPr>
          <w:rFonts w:hint="eastAsia" w:ascii="宋体" w:hAnsi="宋体" w:eastAsia="宋体" w:cs="宋体"/>
          <w:color w:val="000000" w:themeColor="text1"/>
          <w:sz w:val="24"/>
          <w:highlight w:val="none"/>
          <w14:textFill>
            <w14:solidFill>
              <w14:schemeClr w14:val="tx1"/>
            </w14:solidFill>
          </w14:textFill>
        </w:rPr>
        <w:t>可以是文字资料、图纸和数据，它包括：</w:t>
      </w:r>
    </w:p>
    <w:p w14:paraId="36861595">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10.2.1 </w:t>
      </w:r>
      <w:r>
        <w:rPr>
          <w:rFonts w:hint="eastAsia" w:ascii="宋体" w:hAnsi="宋体" w:eastAsia="宋体" w:cs="宋体"/>
          <w:color w:val="000000" w:themeColor="text1"/>
          <w:sz w:val="24"/>
          <w:highlight w:val="none"/>
          <w14:textFill>
            <w14:solidFill>
              <w14:schemeClr w14:val="tx1"/>
            </w14:solidFill>
          </w14:textFill>
        </w:rPr>
        <w:t>货物主要技术指标和性能的详细说明；</w:t>
      </w:r>
    </w:p>
    <w:p w14:paraId="6BFE3A56">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10.2.2 </w:t>
      </w:r>
      <w:r>
        <w:rPr>
          <w:rFonts w:hint="eastAsia" w:ascii="宋体" w:hAnsi="宋体" w:eastAsia="宋体" w:cs="宋体"/>
          <w:color w:val="000000" w:themeColor="text1"/>
          <w:sz w:val="24"/>
          <w:highlight w:val="none"/>
          <w14:textFill>
            <w14:solidFill>
              <w14:schemeClr w14:val="tx1"/>
            </w14:solidFill>
          </w14:textFill>
        </w:rPr>
        <w:t>货物从买方开始使用至</w:t>
      </w:r>
      <w:r>
        <w:rPr>
          <w:rFonts w:hint="eastAsia" w:ascii="宋体" w:hAnsi="宋体" w:cs="宋体"/>
          <w:color w:val="000000" w:themeColor="text1"/>
          <w:sz w:val="24"/>
          <w:highlight w:val="none"/>
          <w:lang w:val="en-US"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文件规定的保质期内正常、连续地使用所必须的备件和专用工具清单，包括备件和专用工具的货源及现行价格；</w:t>
      </w:r>
    </w:p>
    <w:p w14:paraId="14E259A7">
      <w:pPr>
        <w:spacing w:line="240" w:lineRule="atLeast"/>
        <w:ind w:left="840" w:hanging="840" w:hangingChars="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10.2.3 对照</w:t>
      </w:r>
      <w:r>
        <w:rPr>
          <w:rFonts w:hint="eastAsia" w:ascii="宋体" w:hAnsi="宋体" w:eastAsia="宋体" w:cs="宋体"/>
          <w:color w:val="000000" w:themeColor="text1"/>
          <w:sz w:val="24"/>
          <w:highlight w:val="none"/>
          <w:lang w:val="en-US" w:eastAsia="zh-CN"/>
          <w14:textFill>
            <w14:solidFill>
              <w14:schemeClr w14:val="tx1"/>
            </w14:solidFill>
          </w14:textFill>
        </w:rPr>
        <w:t>磋商文件</w:t>
      </w:r>
      <w:r>
        <w:rPr>
          <w:rFonts w:hint="eastAsia" w:ascii="宋体" w:hAnsi="宋体" w:eastAsia="宋体" w:cs="宋体"/>
          <w:color w:val="000000" w:themeColor="text1"/>
          <w:sz w:val="24"/>
          <w:highlight w:val="none"/>
          <w14:textFill>
            <w14:solidFill>
              <w14:schemeClr w14:val="tx1"/>
            </w14:solidFill>
          </w14:textFill>
        </w:rPr>
        <w:t>技术规格，逐条说明所提供</w:t>
      </w:r>
      <w:r>
        <w:rPr>
          <w:rFonts w:hint="eastAsia" w:ascii="宋体" w:hAnsi="宋体" w:eastAsia="宋体" w:cs="宋体"/>
          <w:color w:val="000000" w:themeColor="text1"/>
          <w:sz w:val="24"/>
          <w:highlight w:val="none"/>
          <w:lang w:eastAsia="zh-CN"/>
          <w14:textFill>
            <w14:solidFill>
              <w14:schemeClr w14:val="tx1"/>
            </w14:solidFill>
          </w14:textFill>
        </w:rPr>
        <w:t>服务</w:t>
      </w:r>
      <w:r>
        <w:rPr>
          <w:rFonts w:hint="eastAsia" w:ascii="宋体" w:hAnsi="宋体" w:eastAsia="宋体" w:cs="宋体"/>
          <w:color w:val="000000" w:themeColor="text1"/>
          <w:sz w:val="24"/>
          <w:highlight w:val="none"/>
          <w14:textFill>
            <w14:solidFill>
              <w14:schemeClr w14:val="tx1"/>
            </w14:solidFill>
          </w14:textFill>
        </w:rPr>
        <w:t>及伴随的工程和</w:t>
      </w:r>
      <w:r>
        <w:rPr>
          <w:rFonts w:hint="eastAsia" w:ascii="宋体" w:hAnsi="宋体" w:eastAsia="宋体" w:cs="宋体"/>
          <w:color w:val="000000" w:themeColor="text1"/>
          <w:sz w:val="24"/>
          <w:highlight w:val="none"/>
          <w:lang w:eastAsia="zh-CN"/>
          <w14:textFill>
            <w14:solidFill>
              <w14:schemeClr w14:val="tx1"/>
            </w14:solidFill>
          </w14:textFill>
        </w:rPr>
        <w:t>服务</w:t>
      </w:r>
      <w:r>
        <w:rPr>
          <w:rFonts w:hint="eastAsia" w:ascii="宋体" w:hAnsi="宋体" w:eastAsia="宋体" w:cs="宋体"/>
          <w:color w:val="000000" w:themeColor="text1"/>
          <w:sz w:val="24"/>
          <w:highlight w:val="none"/>
          <w14:textFill>
            <w14:solidFill>
              <w14:schemeClr w14:val="tx1"/>
            </w14:solidFill>
          </w14:textFill>
        </w:rPr>
        <w:t>已对</w:t>
      </w:r>
      <w:r>
        <w:rPr>
          <w:rFonts w:hint="eastAsia" w:ascii="宋体" w:hAnsi="宋体" w:eastAsia="宋体" w:cs="宋体"/>
          <w:color w:val="000000" w:themeColor="text1"/>
          <w:sz w:val="24"/>
          <w:highlight w:val="none"/>
          <w:lang w:val="en-US" w:eastAsia="zh-CN"/>
          <w14:textFill>
            <w14:solidFill>
              <w14:schemeClr w14:val="tx1"/>
            </w14:solidFill>
          </w14:textFill>
        </w:rPr>
        <w:t>磋商文件</w:t>
      </w:r>
      <w:r>
        <w:rPr>
          <w:rFonts w:hint="eastAsia" w:ascii="宋体" w:hAnsi="宋体" w:eastAsia="宋体" w:cs="宋体"/>
          <w:color w:val="000000" w:themeColor="text1"/>
          <w:sz w:val="24"/>
          <w:highlight w:val="none"/>
          <w14:textFill>
            <w14:solidFill>
              <w14:schemeClr w14:val="tx1"/>
            </w14:solidFill>
          </w14:textFill>
        </w:rPr>
        <w:t>的技术规格做出了实质性的响应，或申明与技术规格条文的偏差和例外。</w:t>
      </w:r>
    </w:p>
    <w:p w14:paraId="56CA5015">
      <w:pPr>
        <w:spacing w:line="240" w:lineRule="atLeast"/>
        <w:ind w:left="840" w:hanging="840" w:hangingChars="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10.3</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14:paraId="6621FE66">
      <w:pPr>
        <w:pStyle w:val="5"/>
        <w:keepNext w:val="0"/>
        <w:keepLines w:val="0"/>
        <w:pageBreakBefore w:val="0"/>
        <w:widowControl w:val="0"/>
        <w:kinsoku/>
        <w:overflowPunct/>
        <w:bidi w:val="0"/>
        <w:spacing w:before="0" w:after="0" w:line="240" w:lineRule="atLeast"/>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11.投标报价</w:t>
      </w:r>
      <w:bookmarkEnd w:id="79"/>
      <w:bookmarkEnd w:id="80"/>
      <w:bookmarkEnd w:id="81"/>
      <w:bookmarkEnd w:id="82"/>
      <w:bookmarkEnd w:id="83"/>
    </w:p>
    <w:p w14:paraId="39311000">
      <w:pPr>
        <w:spacing w:line="240" w:lineRule="atLeast"/>
        <w:ind w:left="840" w:hanging="840" w:hangingChars="350"/>
        <w:rPr>
          <w:rFonts w:hint="eastAsia" w:ascii="宋体" w:hAnsi="宋体" w:eastAsia="宋体" w:cs="宋体"/>
          <w:color w:val="000000" w:themeColor="text1"/>
          <w:sz w:val="24"/>
          <w:highlight w:val="none"/>
          <w14:textFill>
            <w14:solidFill>
              <w14:schemeClr w14:val="tx1"/>
            </w14:solidFill>
          </w14:textFill>
        </w:rPr>
      </w:pPr>
      <w:bookmarkStart w:id="85" w:name="_Toc515647771"/>
      <w:bookmarkStart w:id="86" w:name="_Ref467306513"/>
      <w:bookmarkStart w:id="87" w:name="_Toc17788"/>
      <w:bookmarkStart w:id="88" w:name="_Toc520356156"/>
      <w:bookmarkStart w:id="89" w:name="_Toc11514"/>
      <w:bookmarkStart w:id="90" w:name="_Toc22212"/>
      <w:r>
        <w:rPr>
          <w:rFonts w:hint="eastAsia" w:ascii="宋体" w:hAnsi="宋体" w:eastAsia="宋体" w:cs="宋体"/>
          <w:color w:val="000000" w:themeColor="text1"/>
          <w:sz w:val="24"/>
          <w:highlight w:val="none"/>
          <w14:textFill>
            <w14:solidFill>
              <w14:schemeClr w14:val="tx1"/>
            </w14:solidFill>
          </w14:textFill>
        </w:rPr>
        <w:t>11.1   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宋体" w:hAnsi="宋体" w:eastAsia="宋体" w:cs="宋体"/>
          <w:b/>
          <w:bCs/>
          <w:color w:val="000000" w:themeColor="text1"/>
          <w:sz w:val="24"/>
          <w:highlight w:val="none"/>
          <w14:textFill>
            <w14:solidFill>
              <w14:schemeClr w14:val="tx1"/>
            </w14:solidFill>
          </w14:textFill>
        </w:rPr>
        <w:t>投标无效</w:t>
      </w:r>
      <w:r>
        <w:rPr>
          <w:rFonts w:hint="eastAsia" w:ascii="宋体" w:hAnsi="宋体" w:eastAsia="宋体" w:cs="宋体"/>
          <w:color w:val="000000" w:themeColor="text1"/>
          <w:sz w:val="24"/>
          <w:highlight w:val="none"/>
          <w14:textFill>
            <w14:solidFill>
              <w14:schemeClr w14:val="tx1"/>
            </w14:solidFill>
          </w14:textFill>
        </w:rPr>
        <w:t>。</w:t>
      </w:r>
    </w:p>
    <w:p w14:paraId="2B515572">
      <w:pPr>
        <w:spacing w:line="240" w:lineRule="atLeast"/>
        <w:ind w:left="840" w:hanging="840" w:hangingChars="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11.2   投标人应在投标分项报价表上标明分项服务的价格（如适用）和总价，并由法定代表人或其委托代理人签署。</w:t>
      </w:r>
    </w:p>
    <w:p w14:paraId="6D68DFE2">
      <w:pPr>
        <w:spacing w:line="240" w:lineRule="atLeast"/>
        <w:ind w:left="840" w:hanging="840" w:hangingChars="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11.3   采购人不接受具有附加条件的报价。</w:t>
      </w:r>
    </w:p>
    <w:p w14:paraId="566B1C92">
      <w:pPr>
        <w:spacing w:line="240" w:lineRule="atLeast"/>
        <w:ind w:left="840" w:hanging="840" w:hangingChars="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11.4   投标人所报的各分项投标报价在合同履行过程中是固定不变的，不得以任何理由予以变更。任何包含价格调整要求的投标，将被认定为</w:t>
      </w:r>
      <w:r>
        <w:rPr>
          <w:rFonts w:hint="eastAsia" w:ascii="宋体" w:hAnsi="宋体" w:eastAsia="宋体" w:cs="宋体"/>
          <w:b/>
          <w:bCs/>
          <w:color w:val="000000" w:themeColor="text1"/>
          <w:sz w:val="24"/>
          <w:highlight w:val="none"/>
          <w14:textFill>
            <w14:solidFill>
              <w14:schemeClr w14:val="tx1"/>
            </w14:solidFill>
          </w14:textFill>
        </w:rPr>
        <w:t>投标无效</w:t>
      </w:r>
      <w:r>
        <w:rPr>
          <w:rFonts w:hint="eastAsia" w:ascii="宋体" w:hAnsi="宋体" w:eastAsia="宋体" w:cs="宋体"/>
          <w:color w:val="000000" w:themeColor="text1"/>
          <w:sz w:val="24"/>
          <w:highlight w:val="none"/>
          <w14:textFill>
            <w14:solidFill>
              <w14:schemeClr w14:val="tx1"/>
            </w14:solidFill>
          </w14:textFill>
        </w:rPr>
        <w:t>。</w:t>
      </w:r>
    </w:p>
    <w:p w14:paraId="0B34693D">
      <w:pPr>
        <w:spacing w:line="240" w:lineRule="atLeast"/>
        <w:ind w:left="840" w:hanging="840" w:hangingChars="3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 xml:space="preserve">   竞争性磋商采用两次报价的方式。</w:t>
      </w:r>
    </w:p>
    <w:p w14:paraId="4424A82F">
      <w:pPr>
        <w:keepNext w:val="0"/>
        <w:keepLines w:val="0"/>
        <w:pageBreakBefore w:val="0"/>
        <w:widowControl w:val="0"/>
        <w:kinsoku/>
        <w:wordWrap/>
        <w:overflowPunct/>
        <w:topLinePunct w:val="0"/>
        <w:autoSpaceDE/>
        <w:autoSpaceDN/>
        <w:bidi w:val="0"/>
        <w:adjustRightInd/>
        <w:snapToGrid/>
        <w:spacing w:line="240" w:lineRule="atLeast"/>
        <w:ind w:left="840" w:leftChars="400"/>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二次报价为最终报价，磋商小组所有成员集中与单一</w:t>
      </w:r>
      <w:r>
        <w:rPr>
          <w:rFonts w:hint="eastAsia" w:ascii="宋体" w:hAnsi="宋体" w:cs="宋体"/>
          <w:b/>
          <w:bCs/>
          <w:color w:val="000000" w:themeColor="text1"/>
          <w:sz w:val="24"/>
          <w:lang w:eastAsia="zh-CN"/>
          <w14:textFill>
            <w14:solidFill>
              <w14:schemeClr w14:val="tx1"/>
            </w14:solidFill>
          </w14:textFill>
        </w:rPr>
        <w:t>投标人</w:t>
      </w:r>
      <w:r>
        <w:rPr>
          <w:rFonts w:hint="eastAsia" w:ascii="宋体" w:hAnsi="宋体" w:cs="宋体"/>
          <w:b/>
          <w:bCs/>
          <w:color w:val="000000" w:themeColor="text1"/>
          <w:sz w:val="24"/>
          <w14:textFill>
            <w14:solidFill>
              <w14:schemeClr w14:val="tx1"/>
            </w14:solidFill>
          </w14:textFill>
        </w:rPr>
        <w:t>分别或对本项目存在的共性问题共同进行磋商，并给予所有参加磋商的</w:t>
      </w:r>
      <w:r>
        <w:rPr>
          <w:rFonts w:hint="eastAsia" w:ascii="宋体" w:hAnsi="宋体" w:cs="宋体"/>
          <w:b/>
          <w:bCs/>
          <w:color w:val="000000" w:themeColor="text1"/>
          <w:sz w:val="24"/>
          <w:lang w:eastAsia="zh-CN"/>
          <w14:textFill>
            <w14:solidFill>
              <w14:schemeClr w14:val="tx1"/>
            </w14:solidFill>
          </w14:textFill>
        </w:rPr>
        <w:t>投标人</w:t>
      </w:r>
      <w:r>
        <w:rPr>
          <w:rFonts w:hint="eastAsia" w:ascii="宋体" w:hAnsi="宋体" w:cs="宋体"/>
          <w:b/>
          <w:bCs/>
          <w:color w:val="000000" w:themeColor="text1"/>
          <w:sz w:val="24"/>
          <w14:textFill>
            <w14:solidFill>
              <w14:schemeClr w14:val="tx1"/>
            </w14:solidFill>
          </w14:textFill>
        </w:rPr>
        <w:t>平等的磋商机会， 磋商小组要求所有实质性响应的</w:t>
      </w:r>
      <w:r>
        <w:rPr>
          <w:rFonts w:hint="eastAsia" w:ascii="宋体" w:hAnsi="宋体" w:cs="宋体"/>
          <w:b/>
          <w:bCs/>
          <w:color w:val="000000" w:themeColor="text1"/>
          <w:sz w:val="24"/>
          <w:lang w:eastAsia="zh-CN"/>
          <w14:textFill>
            <w14:solidFill>
              <w14:schemeClr w14:val="tx1"/>
            </w14:solidFill>
          </w14:textFill>
        </w:rPr>
        <w:t>投标人</w:t>
      </w:r>
      <w:r>
        <w:rPr>
          <w:rFonts w:hint="eastAsia" w:ascii="宋体" w:hAnsi="宋体" w:cs="宋体"/>
          <w:b/>
          <w:bCs/>
          <w:color w:val="000000" w:themeColor="text1"/>
          <w:sz w:val="24"/>
          <w14:textFill>
            <w14:solidFill>
              <w14:schemeClr w14:val="tx1"/>
            </w14:solidFill>
          </w14:textFill>
        </w:rPr>
        <w:t>在规定时间内提交最后报价，最后报价是</w:t>
      </w:r>
      <w:r>
        <w:rPr>
          <w:rFonts w:hint="eastAsia" w:ascii="宋体" w:hAnsi="宋体" w:cs="宋体"/>
          <w:b/>
          <w:bCs/>
          <w:color w:val="000000" w:themeColor="text1"/>
          <w:sz w:val="24"/>
          <w:lang w:eastAsia="zh-CN"/>
          <w14:textFill>
            <w14:solidFill>
              <w14:schemeClr w14:val="tx1"/>
            </w14:solidFill>
          </w14:textFill>
        </w:rPr>
        <w:t>投标人</w:t>
      </w:r>
      <w:r>
        <w:rPr>
          <w:rFonts w:hint="eastAsia" w:ascii="宋体" w:hAnsi="宋体" w:cs="宋体"/>
          <w:b/>
          <w:bCs/>
          <w:color w:val="000000" w:themeColor="text1"/>
          <w:sz w:val="24"/>
          <w14:textFill>
            <w14:solidFill>
              <w14:schemeClr w14:val="tx1"/>
            </w14:solidFill>
          </w14:textFill>
        </w:rPr>
        <w:t>响应文件的有效组成部分，经磋商确定最终采购需求和提交最后报价的</w:t>
      </w:r>
      <w:r>
        <w:rPr>
          <w:rFonts w:hint="eastAsia" w:ascii="宋体" w:hAnsi="宋体" w:cs="宋体"/>
          <w:b/>
          <w:bCs/>
          <w:color w:val="000000" w:themeColor="text1"/>
          <w:sz w:val="24"/>
          <w:lang w:eastAsia="zh-CN"/>
          <w14:textFill>
            <w14:solidFill>
              <w14:schemeClr w14:val="tx1"/>
            </w14:solidFill>
          </w14:textFill>
        </w:rPr>
        <w:t>投标人</w:t>
      </w:r>
      <w:r>
        <w:rPr>
          <w:rFonts w:hint="eastAsia" w:ascii="宋体" w:hAnsi="宋体" w:cs="宋体"/>
          <w:b/>
          <w:bCs/>
          <w:color w:val="000000" w:themeColor="text1"/>
          <w:sz w:val="24"/>
          <w14:textFill>
            <w14:solidFill>
              <w14:schemeClr w14:val="tx1"/>
            </w14:solidFill>
          </w14:textFill>
        </w:rPr>
        <w:t>后，由磋商小组采用综合评分法对提交最后报价的</w:t>
      </w:r>
      <w:r>
        <w:rPr>
          <w:rFonts w:hint="eastAsia" w:ascii="宋体" w:hAnsi="宋体" w:cs="宋体"/>
          <w:b/>
          <w:bCs/>
          <w:color w:val="000000" w:themeColor="text1"/>
          <w:sz w:val="24"/>
          <w:lang w:eastAsia="zh-CN"/>
          <w14:textFill>
            <w14:solidFill>
              <w14:schemeClr w14:val="tx1"/>
            </w14:solidFill>
          </w14:textFill>
        </w:rPr>
        <w:t>投标人</w:t>
      </w:r>
      <w:r>
        <w:rPr>
          <w:rFonts w:hint="eastAsia" w:ascii="宋体" w:hAnsi="宋体" w:cs="宋体"/>
          <w:b/>
          <w:bCs/>
          <w:color w:val="000000" w:themeColor="text1"/>
          <w:sz w:val="24"/>
          <w14:textFill>
            <w14:solidFill>
              <w14:schemeClr w14:val="tx1"/>
            </w14:solidFill>
          </w14:textFill>
        </w:rPr>
        <w:t>的响应文件和最后报价进行综合评分。磋商小组应当从服务质量和合同履约能力均能满足采购文件实质性响应要求的</w:t>
      </w:r>
      <w:r>
        <w:rPr>
          <w:rFonts w:hint="eastAsia" w:ascii="宋体" w:hAnsi="宋体" w:cs="宋体"/>
          <w:b/>
          <w:bCs/>
          <w:color w:val="000000" w:themeColor="text1"/>
          <w:sz w:val="24"/>
          <w:lang w:eastAsia="zh-CN"/>
          <w14:textFill>
            <w14:solidFill>
              <w14:schemeClr w14:val="tx1"/>
            </w14:solidFill>
          </w14:textFill>
        </w:rPr>
        <w:t>投标人</w:t>
      </w:r>
      <w:r>
        <w:rPr>
          <w:rFonts w:hint="eastAsia" w:ascii="宋体" w:hAnsi="宋体" w:cs="宋体"/>
          <w:b/>
          <w:bCs/>
          <w:color w:val="000000" w:themeColor="text1"/>
          <w:sz w:val="24"/>
          <w14:textFill>
            <w14:solidFill>
              <w14:schemeClr w14:val="tx1"/>
            </w14:solidFill>
          </w14:textFill>
        </w:rPr>
        <w:t>中，按照综合评分由低到高的顺序提出成交候选人，并编写评审报告，将结果通知所有参加磋商的未成交的</w:t>
      </w:r>
      <w:r>
        <w:rPr>
          <w:rFonts w:hint="eastAsia" w:ascii="宋体" w:hAnsi="宋体" w:cs="宋体"/>
          <w:b/>
          <w:bCs/>
          <w:color w:val="000000" w:themeColor="text1"/>
          <w:sz w:val="24"/>
          <w:lang w:eastAsia="zh-CN"/>
          <w14:textFill>
            <w14:solidFill>
              <w14:schemeClr w14:val="tx1"/>
            </w14:solidFill>
          </w14:textFill>
        </w:rPr>
        <w:t>投标人</w:t>
      </w:r>
      <w:r>
        <w:rPr>
          <w:rFonts w:hint="eastAsia" w:ascii="宋体" w:hAnsi="宋体" w:cs="宋体"/>
          <w:b/>
          <w:bCs/>
          <w:color w:val="000000" w:themeColor="text1"/>
          <w:sz w:val="24"/>
          <w14:textFill>
            <w14:solidFill>
              <w14:schemeClr w14:val="tx1"/>
            </w14:solidFill>
          </w14:textFill>
        </w:rPr>
        <w:t>；</w:t>
      </w:r>
    </w:p>
    <w:p w14:paraId="3FF8A13E">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12.投标保证金</w:t>
      </w:r>
      <w:bookmarkEnd w:id="85"/>
      <w:bookmarkEnd w:id="86"/>
      <w:bookmarkEnd w:id="87"/>
      <w:bookmarkEnd w:id="88"/>
      <w:bookmarkEnd w:id="89"/>
      <w:bookmarkEnd w:id="90"/>
    </w:p>
    <w:p w14:paraId="2776EC66">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91" w:name="_Ref467306302"/>
      <w:bookmarkStart w:id="92" w:name="_Toc32569"/>
      <w:bookmarkStart w:id="93" w:name="_Toc520356157"/>
      <w:bookmarkStart w:id="94" w:name="_Toc23590"/>
      <w:bookmarkStart w:id="95" w:name="_Toc515647772"/>
      <w:bookmarkStart w:id="96" w:name="_Toc22901"/>
      <w:r>
        <w:rPr>
          <w:rFonts w:hint="eastAsia" w:ascii="宋体" w:hAnsi="宋体" w:cs="宋体"/>
          <w:color w:val="000000" w:themeColor="text1"/>
          <w:sz w:val="24"/>
          <w:highlight w:val="none"/>
          <w14:textFill>
            <w14:solidFill>
              <w14:schemeClr w14:val="tx1"/>
            </w14:solidFill>
          </w14:textFill>
        </w:rPr>
        <w:t>12.1</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应提交</w:t>
      </w:r>
      <w:r>
        <w:rPr>
          <w:rFonts w:hint="eastAsia" w:ascii="宋体" w:hAnsi="宋体" w:cs="宋体"/>
          <w:color w:val="000000" w:themeColor="text1"/>
          <w:sz w:val="24"/>
          <w:highlight w:val="none"/>
          <w:u w:val="single"/>
          <w:lang w:eastAsia="zh-CN"/>
          <w14:textFill>
            <w14:solidFill>
              <w14:schemeClr w14:val="tx1"/>
            </w14:solidFill>
          </w14:textFill>
        </w:rPr>
        <w:t>投标人须知资料表</w:t>
      </w:r>
      <w:r>
        <w:rPr>
          <w:rFonts w:hint="eastAsia" w:ascii="宋体" w:hAnsi="宋体" w:cs="宋体"/>
          <w:color w:val="000000" w:themeColor="text1"/>
          <w:sz w:val="24"/>
          <w:highlight w:val="none"/>
          <w14:textFill>
            <w14:solidFill>
              <w14:schemeClr w14:val="tx1"/>
            </w14:solidFill>
          </w14:textFill>
        </w:rPr>
        <w:t>中规定的</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保证金</w:t>
      </w:r>
      <w:bookmarkEnd w:id="91"/>
      <w:r>
        <w:rPr>
          <w:rFonts w:hint="eastAsia" w:ascii="宋体" w:hAnsi="宋体" w:cs="宋体"/>
          <w:color w:val="000000" w:themeColor="text1"/>
          <w:sz w:val="24"/>
          <w:highlight w:val="none"/>
          <w14:textFill>
            <w14:solidFill>
              <w14:schemeClr w14:val="tx1"/>
            </w14:solidFill>
          </w14:textFill>
        </w:rPr>
        <w:t>，并作为其</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的一部分。</w:t>
      </w:r>
    </w:p>
    <w:p w14:paraId="01CD9534">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12.2</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存在下列情形的，</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保证金不予退还：</w:t>
      </w:r>
    </w:p>
    <w:p w14:paraId="7DB2DBD2">
      <w:pPr>
        <w:pStyle w:val="16"/>
        <w:tabs>
          <w:tab w:val="left" w:pos="2240"/>
        </w:tabs>
        <w:spacing w:line="240" w:lineRule="atLeast"/>
        <w:ind w:left="838" w:leftChars="342" w:hanging="120" w:hangingChars="5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（1）在</w:t>
      </w:r>
      <w:r>
        <w:rPr>
          <w:rFonts w:hint="eastAsia" w:hAnsi="宋体" w:cs="宋体"/>
          <w:color w:val="000000" w:themeColor="text1"/>
          <w:sz w:val="24"/>
          <w:highlight w:val="none"/>
          <w:lang w:val="en-US" w:eastAsia="zh-CN"/>
          <w14:textFill>
            <w14:solidFill>
              <w14:schemeClr w14:val="tx1"/>
            </w14:solidFill>
          </w14:textFill>
        </w:rPr>
        <w:t>投标</w:t>
      </w:r>
      <w:r>
        <w:rPr>
          <w:rFonts w:hint="eastAsia" w:hAnsi="宋体" w:cs="宋体"/>
          <w:color w:val="000000" w:themeColor="text1"/>
          <w:sz w:val="24"/>
          <w:highlight w:val="none"/>
          <w14:textFill>
            <w14:solidFill>
              <w14:schemeClr w14:val="tx1"/>
            </w14:solidFill>
          </w14:textFill>
        </w:rPr>
        <w:t>有效期内，撤销</w:t>
      </w:r>
      <w:r>
        <w:rPr>
          <w:rFonts w:hint="eastAsia" w:hAnsi="宋体" w:cs="宋体"/>
          <w:color w:val="000000" w:themeColor="text1"/>
          <w:sz w:val="24"/>
          <w:highlight w:val="none"/>
          <w:lang w:val="en-US" w:eastAsia="zh-CN"/>
          <w14:textFill>
            <w14:solidFill>
              <w14:schemeClr w14:val="tx1"/>
            </w14:solidFill>
          </w14:textFill>
        </w:rPr>
        <w:t>投标</w:t>
      </w:r>
      <w:r>
        <w:rPr>
          <w:rFonts w:hint="eastAsia" w:hAnsi="宋体" w:cs="宋体"/>
          <w:color w:val="000000" w:themeColor="text1"/>
          <w:sz w:val="24"/>
          <w:highlight w:val="none"/>
          <w14:textFill>
            <w14:solidFill>
              <w14:schemeClr w14:val="tx1"/>
            </w14:solidFill>
          </w14:textFill>
        </w:rPr>
        <w:t>的；</w:t>
      </w:r>
    </w:p>
    <w:p w14:paraId="230120F8">
      <w:pPr>
        <w:pStyle w:val="16"/>
        <w:tabs>
          <w:tab w:val="left" w:pos="2240"/>
        </w:tabs>
        <w:spacing w:line="240" w:lineRule="atLeast"/>
        <w:ind w:left="838" w:leftChars="342" w:hanging="120" w:hangingChars="5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（2）成交后不按本须知第30条的规定与采购人签订合同的；</w:t>
      </w:r>
    </w:p>
    <w:p w14:paraId="61316906">
      <w:pPr>
        <w:pStyle w:val="16"/>
        <w:tabs>
          <w:tab w:val="left" w:pos="2240"/>
        </w:tabs>
        <w:spacing w:line="240" w:lineRule="atLeast"/>
        <w:ind w:left="838" w:leftChars="342" w:hanging="120" w:hangingChars="5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（3）成交后不按本须知第31条的规定提交履约保证金的；</w:t>
      </w:r>
    </w:p>
    <w:p w14:paraId="5206623B">
      <w:pPr>
        <w:pStyle w:val="16"/>
        <w:tabs>
          <w:tab w:val="left" w:pos="2240"/>
        </w:tabs>
        <w:spacing w:line="240" w:lineRule="atLeast"/>
        <w:ind w:left="838" w:leftChars="342" w:hanging="120" w:hangingChars="5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（4）成交后不按本须知第32条的规定缴纳</w:t>
      </w:r>
      <w:r>
        <w:rPr>
          <w:rFonts w:hint="eastAsia" w:hAnsi="宋体" w:cs="宋体"/>
          <w:color w:val="000000" w:themeColor="text1"/>
          <w:sz w:val="24"/>
          <w:highlight w:val="none"/>
          <w:lang w:val="en-US" w:eastAsia="zh-CN"/>
          <w14:textFill>
            <w14:solidFill>
              <w14:schemeClr w14:val="tx1"/>
            </w14:solidFill>
          </w14:textFill>
        </w:rPr>
        <w:t>招标</w:t>
      </w:r>
      <w:r>
        <w:rPr>
          <w:rFonts w:hint="eastAsia" w:hAnsi="宋体" w:cs="宋体"/>
          <w:color w:val="000000" w:themeColor="text1"/>
          <w:sz w:val="24"/>
          <w:highlight w:val="none"/>
          <w14:textFill>
            <w14:solidFill>
              <w14:schemeClr w14:val="tx1"/>
            </w14:solidFill>
          </w14:textFill>
        </w:rPr>
        <w:t>服务费的；</w:t>
      </w:r>
    </w:p>
    <w:p w14:paraId="40E4C101">
      <w:pPr>
        <w:pStyle w:val="16"/>
        <w:tabs>
          <w:tab w:val="left" w:pos="2240"/>
        </w:tabs>
        <w:spacing w:line="240" w:lineRule="atLeast"/>
        <w:ind w:left="838" w:leftChars="342" w:hanging="120" w:hangingChars="5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（5）存在其他违法违规行为的。</w:t>
      </w:r>
    </w:p>
    <w:p w14:paraId="743A888F">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97" w:name="_Ref467306336"/>
      <w:r>
        <w:rPr>
          <w:rFonts w:hint="eastAsia" w:ascii="宋体" w:hAnsi="宋体" w:cs="宋体"/>
          <w:color w:val="000000" w:themeColor="text1"/>
          <w:sz w:val="24"/>
          <w:highlight w:val="none"/>
          <w14:textFill>
            <w14:solidFill>
              <w14:schemeClr w14:val="tx1"/>
            </w14:solidFill>
          </w14:textFill>
        </w:rPr>
        <w:t>12.3</w:t>
      </w:r>
      <w:r>
        <w:rPr>
          <w:rFonts w:hint="eastAsia" w:ascii="宋体" w:hAnsi="宋体" w:cs="宋体"/>
          <w:color w:val="000000" w:themeColor="text1"/>
          <w:sz w:val="24"/>
          <w:highlight w:val="none"/>
          <w14:textFill>
            <w14:solidFill>
              <w14:schemeClr w14:val="tx1"/>
            </w14:solidFill>
          </w14:textFill>
        </w:rPr>
        <w:tab/>
      </w:r>
      <w:bookmarkEnd w:id="97"/>
      <w:r>
        <w:rPr>
          <w:rFonts w:hint="eastAsia" w:ascii="宋体" w:hAnsi="宋体" w:cs="宋体"/>
          <w:color w:val="000000" w:themeColor="text1"/>
          <w:sz w:val="24"/>
          <w:highlight w:val="none"/>
          <w14:textFill>
            <w14:solidFill>
              <w14:schemeClr w14:val="tx1"/>
            </w14:solidFill>
          </w14:textFill>
        </w:rPr>
        <w:t>政府采购信用担保试点范围内的项目，接受符合财政部门规定的政府采购</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担保函。</w:t>
      </w:r>
    </w:p>
    <w:p w14:paraId="28C4151E">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12.4</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未按本须知第12.1和12.3条规定提交</w:t>
      </w:r>
      <w:r>
        <w:rPr>
          <w:rFonts w:hint="eastAsia" w:ascii="宋体" w:hAnsi="宋体" w:cs="宋体"/>
          <w:color w:val="000000" w:themeColor="text1"/>
          <w:sz w:val="24"/>
          <w:highlight w:val="none"/>
          <w:lang w:eastAsia="zh-CN"/>
          <w14:textFill>
            <w14:solidFill>
              <w14:schemeClr w14:val="tx1"/>
            </w14:solidFill>
          </w14:textFill>
        </w:rPr>
        <w:t>投标保证金</w:t>
      </w:r>
      <w:r>
        <w:rPr>
          <w:rFonts w:hint="eastAsia" w:ascii="宋体" w:hAnsi="宋体" w:cs="宋体"/>
          <w:color w:val="000000" w:themeColor="text1"/>
          <w:sz w:val="24"/>
          <w:highlight w:val="none"/>
          <w14:textFill>
            <w14:solidFill>
              <w14:schemeClr w14:val="tx1"/>
            </w14:solidFill>
          </w14:textFill>
        </w:rPr>
        <w:t>的，其</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将被认定为</w:t>
      </w:r>
      <w:r>
        <w:rPr>
          <w:rFonts w:hint="eastAsia" w:ascii="宋体" w:hAnsi="宋体" w:cs="宋体"/>
          <w:b/>
          <w:bCs/>
          <w:color w:val="000000" w:themeColor="text1"/>
          <w:sz w:val="24"/>
          <w:highlight w:val="none"/>
          <w:lang w:eastAsia="zh-CN"/>
          <w14:textFill>
            <w14:solidFill>
              <w14:schemeClr w14:val="tx1"/>
            </w14:solidFill>
          </w14:textFill>
        </w:rPr>
        <w:t>投标无效</w:t>
      </w:r>
      <w:r>
        <w:rPr>
          <w:rFonts w:hint="eastAsia" w:ascii="宋体" w:hAnsi="宋体" w:cs="宋体"/>
          <w:color w:val="000000" w:themeColor="text1"/>
          <w:sz w:val="24"/>
          <w:highlight w:val="none"/>
          <w14:textFill>
            <w14:solidFill>
              <w14:schemeClr w14:val="tx1"/>
            </w14:solidFill>
          </w14:textFill>
        </w:rPr>
        <w:t>。</w:t>
      </w:r>
    </w:p>
    <w:p w14:paraId="59C81F56">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12.4.1 采用电汇形式的，一般可以实时入账。</w:t>
      </w:r>
    </w:p>
    <w:p w14:paraId="56A37040">
      <w:pPr>
        <w:spacing w:line="240" w:lineRule="atLeast"/>
        <w:ind w:left="840" w:hanging="840" w:hangingChars="3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12.4.2 采用支票形式的，</w:t>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则应充分考虑支票入账时间，以确保</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保证金能按时进入指定账户。根据银行信息交换和付款时间，支票从递交至实际入账一般需要4-5个工作日。如</w:t>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未及时提交支票或支票不符合银行委托收款要求（如污损、折叠、胶装等），导致</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保证金不能按时进入指定账户的，将按照</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的第22.2条相关规定处理。</w:t>
      </w:r>
    </w:p>
    <w:p w14:paraId="56F94D80">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12.5   联合体</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的，可以由联合体中的一方或者共同提交</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保证金。以一方名义提交</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保证金的，对联合体各方均具有约束力。</w:t>
      </w:r>
    </w:p>
    <w:p w14:paraId="5A5EB7FC">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12.6</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保证金的退还</w:t>
      </w:r>
    </w:p>
    <w:p w14:paraId="352C4392">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12.6.1 成交</w:t>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应在与采购人签订合同之日起5个工作日内，及时联系保证金收受机构办理</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保证金无息退还手续。</w:t>
      </w:r>
    </w:p>
    <w:p w14:paraId="5744ED24">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12.6.2 未</w:t>
      </w:r>
      <w:r>
        <w:rPr>
          <w:rFonts w:hint="eastAsia" w:ascii="宋体" w:hAnsi="宋体" w:cs="宋体"/>
          <w:color w:val="000000" w:themeColor="text1"/>
          <w:sz w:val="24"/>
          <w:highlight w:val="none"/>
          <w:lang w:val="en-US" w:eastAsia="zh-CN"/>
          <w14:textFill>
            <w14:solidFill>
              <w14:schemeClr w14:val="tx1"/>
            </w14:solidFill>
          </w14:textFill>
        </w:rPr>
        <w:t>中标投标人</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lang w:eastAsia="zh-CN"/>
          <w14:textFill>
            <w14:solidFill>
              <w14:schemeClr w14:val="tx1"/>
            </w14:solidFill>
          </w14:textFill>
        </w:rPr>
        <w:t>投标保证金</w:t>
      </w:r>
      <w:r>
        <w:rPr>
          <w:rFonts w:hint="eastAsia" w:ascii="宋体" w:hAnsi="宋体" w:cs="宋体"/>
          <w:color w:val="000000" w:themeColor="text1"/>
          <w:sz w:val="24"/>
          <w:highlight w:val="none"/>
          <w14:textFill>
            <w14:solidFill>
              <w14:schemeClr w14:val="tx1"/>
            </w14:solidFill>
          </w14:textFill>
        </w:rPr>
        <w:t>将在成交通知书发出之日暨成交结果公告公布之日起5个工作日内无息退还。</w:t>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应及时联系保证金收受机构办理退还</w:t>
      </w:r>
      <w:r>
        <w:rPr>
          <w:rFonts w:hint="eastAsia" w:ascii="宋体" w:hAnsi="宋体" w:cs="宋体"/>
          <w:color w:val="000000" w:themeColor="text1"/>
          <w:sz w:val="24"/>
          <w:highlight w:val="none"/>
          <w:lang w:eastAsia="zh-CN"/>
          <w14:textFill>
            <w14:solidFill>
              <w14:schemeClr w14:val="tx1"/>
            </w14:solidFill>
          </w14:textFill>
        </w:rPr>
        <w:t>投标保证金</w:t>
      </w:r>
      <w:r>
        <w:rPr>
          <w:rFonts w:hint="eastAsia" w:ascii="宋体" w:hAnsi="宋体" w:cs="宋体"/>
          <w:color w:val="000000" w:themeColor="text1"/>
          <w:sz w:val="24"/>
          <w:highlight w:val="none"/>
          <w14:textFill>
            <w14:solidFill>
              <w14:schemeClr w14:val="tx1"/>
            </w14:solidFill>
          </w14:textFill>
        </w:rPr>
        <w:t>手续。</w:t>
      </w:r>
    </w:p>
    <w:p w14:paraId="3B331DFC">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12.6.3 政府采购</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担保函不予退回。</w:t>
      </w:r>
    </w:p>
    <w:p w14:paraId="0CE1077C">
      <w:pPr>
        <w:spacing w:line="240" w:lineRule="atLeast"/>
        <w:ind w:left="840" w:hanging="840" w:hangingChars="3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12.7   因</w:t>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自身原因导致无法及时退还的，采购人或采购代理机构将不承担相应责任</w:t>
      </w:r>
      <w:r>
        <w:rPr>
          <w:rFonts w:hint="eastAsia" w:ascii="宋体" w:hAnsi="宋体" w:cs="宋体"/>
          <w:color w:val="000000" w:themeColor="text1"/>
          <w:sz w:val="24"/>
          <w14:textFill>
            <w14:solidFill>
              <w14:schemeClr w14:val="tx1"/>
            </w14:solidFill>
          </w14:textFill>
        </w:rPr>
        <w:t>。</w:t>
      </w:r>
    </w:p>
    <w:p w14:paraId="794A4A0C">
      <w:pPr>
        <w:pStyle w:val="5"/>
        <w:keepNext w:val="0"/>
        <w:keepLines w:val="0"/>
        <w:pageBreakBefore w:val="0"/>
        <w:widowControl w:val="0"/>
        <w:kinsoku/>
        <w:overflowPunct/>
        <w:bidi w:val="0"/>
        <w:spacing w:before="0" w:after="0" w:line="240" w:lineRule="atLeast"/>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13.投标有效期</w:t>
      </w:r>
      <w:bookmarkEnd w:id="92"/>
      <w:bookmarkEnd w:id="93"/>
      <w:bookmarkEnd w:id="94"/>
      <w:bookmarkEnd w:id="95"/>
      <w:bookmarkEnd w:id="96"/>
    </w:p>
    <w:p w14:paraId="30CD6D8D">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98" w:name="_Toc520356158"/>
      <w:bookmarkStart w:id="99" w:name="_Toc493"/>
      <w:bookmarkStart w:id="100" w:name="_Toc515647773"/>
      <w:bookmarkStart w:id="101" w:name="_Toc17074"/>
      <w:bookmarkStart w:id="102" w:name="_Toc17609"/>
      <w:bookmarkStart w:id="103" w:name="_Toc515647774"/>
      <w:bookmarkStart w:id="104" w:name="_Toc16865"/>
      <w:bookmarkStart w:id="105" w:name="_Toc11179"/>
      <w:bookmarkStart w:id="106" w:name="_Toc520356159"/>
      <w:bookmarkStart w:id="107" w:name="_Toc25925"/>
      <w:bookmarkStart w:id="108" w:name="_Toc216582808"/>
      <w:r>
        <w:rPr>
          <w:rFonts w:hint="eastAsia" w:ascii="宋体" w:hAnsi="宋体" w:cs="宋体"/>
          <w:color w:val="000000" w:themeColor="text1"/>
          <w:sz w:val="24"/>
          <w:highlight w:val="none"/>
          <w14:textFill>
            <w14:solidFill>
              <w14:schemeClr w14:val="tx1"/>
            </w14:solidFill>
          </w14:textFill>
        </w:rPr>
        <w:t>13.1</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应在</w:t>
      </w:r>
      <w:r>
        <w:rPr>
          <w:rFonts w:hint="eastAsia" w:ascii="宋体" w:hAnsi="宋体" w:cs="宋体"/>
          <w:color w:val="000000" w:themeColor="text1"/>
          <w:sz w:val="24"/>
          <w:highlight w:val="none"/>
          <w:u w:val="single"/>
          <w:lang w:eastAsia="zh-CN"/>
          <w14:textFill>
            <w14:solidFill>
              <w14:schemeClr w14:val="tx1"/>
            </w14:solidFill>
          </w14:textFill>
        </w:rPr>
        <w:t>投标人须知资料表</w:t>
      </w:r>
      <w:r>
        <w:rPr>
          <w:rFonts w:hint="eastAsia" w:ascii="宋体" w:hAnsi="宋体" w:cs="宋体"/>
          <w:color w:val="000000" w:themeColor="text1"/>
          <w:sz w:val="24"/>
          <w:highlight w:val="none"/>
          <w14:textFill>
            <w14:solidFill>
              <w14:schemeClr w14:val="tx1"/>
            </w14:solidFill>
          </w14:textFill>
        </w:rPr>
        <w:t>中规定时间内保持有效。</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有效期不满足要求的</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，其</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将被认定为</w:t>
      </w:r>
      <w:r>
        <w:rPr>
          <w:rFonts w:hint="eastAsia" w:ascii="宋体" w:hAnsi="宋体" w:cs="宋体"/>
          <w:b/>
          <w:bCs/>
          <w:color w:val="000000" w:themeColor="text1"/>
          <w:sz w:val="24"/>
          <w:highlight w:val="none"/>
          <w:lang w:eastAsia="zh-CN"/>
          <w14:textFill>
            <w14:solidFill>
              <w14:schemeClr w14:val="tx1"/>
            </w14:solidFill>
          </w14:textFill>
        </w:rPr>
        <w:t>投标无效</w:t>
      </w:r>
      <w:r>
        <w:rPr>
          <w:rFonts w:hint="eastAsia" w:ascii="宋体" w:hAnsi="宋体" w:cs="宋体"/>
          <w:color w:val="000000" w:themeColor="text1"/>
          <w:sz w:val="24"/>
          <w:highlight w:val="none"/>
          <w14:textFill>
            <w14:solidFill>
              <w14:schemeClr w14:val="tx1"/>
            </w14:solidFill>
          </w14:textFill>
        </w:rPr>
        <w:t>。</w:t>
      </w:r>
    </w:p>
    <w:p w14:paraId="56C26644">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为保证有充分时间签订合同，采购人或采购代理机构可根据实际情况，在原</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有效期截止之前，要求</w:t>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延长响应文件的有效期。接受该要求的</w:t>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将不会被要求和允许修正其</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，且本须知中有关</w:t>
      </w:r>
      <w:r>
        <w:rPr>
          <w:rFonts w:hint="eastAsia" w:ascii="宋体" w:hAnsi="宋体" w:cs="宋体"/>
          <w:color w:val="000000" w:themeColor="text1"/>
          <w:sz w:val="24"/>
          <w:highlight w:val="none"/>
          <w:lang w:eastAsia="zh-CN"/>
          <w14:textFill>
            <w14:solidFill>
              <w14:schemeClr w14:val="tx1"/>
            </w14:solidFill>
          </w14:textFill>
        </w:rPr>
        <w:t>投标保证金</w:t>
      </w:r>
      <w:r>
        <w:rPr>
          <w:rFonts w:hint="eastAsia" w:ascii="宋体" w:hAnsi="宋体" w:cs="宋体"/>
          <w:color w:val="000000" w:themeColor="text1"/>
          <w:sz w:val="24"/>
          <w:highlight w:val="none"/>
          <w14:textFill>
            <w14:solidFill>
              <w14:schemeClr w14:val="tx1"/>
            </w14:solidFill>
          </w14:textFill>
        </w:rPr>
        <w:t>的要求须在延长的有效期内继续有效。</w:t>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可以拒绝延长</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有效期的要求，其</w:t>
      </w:r>
      <w:r>
        <w:rPr>
          <w:rFonts w:hint="eastAsia" w:ascii="宋体" w:hAnsi="宋体" w:cs="宋体"/>
          <w:color w:val="000000" w:themeColor="text1"/>
          <w:sz w:val="24"/>
          <w:highlight w:val="none"/>
          <w:lang w:eastAsia="zh-CN"/>
          <w14:textFill>
            <w14:solidFill>
              <w14:schemeClr w14:val="tx1"/>
            </w14:solidFill>
          </w14:textFill>
        </w:rPr>
        <w:t>投标保证金</w:t>
      </w:r>
      <w:r>
        <w:rPr>
          <w:rFonts w:hint="eastAsia" w:ascii="宋体" w:hAnsi="宋体" w:cs="宋体"/>
          <w:color w:val="000000" w:themeColor="text1"/>
          <w:sz w:val="24"/>
          <w:highlight w:val="none"/>
          <w14:textFill>
            <w14:solidFill>
              <w14:schemeClr w14:val="tx1"/>
            </w14:solidFill>
          </w14:textFill>
        </w:rPr>
        <w:t>将及时无息退还。上述要求和答复都应以书面形式提交。</w:t>
      </w:r>
    </w:p>
    <w:p w14:paraId="0AD3EB04">
      <w:pPr>
        <w:pStyle w:val="5"/>
        <w:spacing w:before="0" w:after="0" w:line="240" w:lineRule="atLeast"/>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14.</w:t>
      </w:r>
      <w:r>
        <w:rPr>
          <w:rFonts w:hint="eastAsia" w:hAnsi="宋体" w:cs="宋体"/>
          <w:color w:val="000000" w:themeColor="text1"/>
          <w:highlight w:val="none"/>
          <w:u w:val="none"/>
          <w:lang w:eastAsia="zh-CN"/>
          <w14:textFill>
            <w14:solidFill>
              <w14:schemeClr w14:val="tx1"/>
            </w14:solidFill>
          </w14:textFill>
        </w:rPr>
        <w:t>响应文件</w:t>
      </w:r>
      <w:r>
        <w:rPr>
          <w:rFonts w:hint="eastAsia" w:ascii="宋体" w:hAnsi="宋体" w:eastAsia="宋体" w:cs="宋体"/>
          <w:color w:val="000000" w:themeColor="text1"/>
          <w:highlight w:val="none"/>
          <w:u w:val="none"/>
          <w14:textFill>
            <w14:solidFill>
              <w14:schemeClr w14:val="tx1"/>
            </w14:solidFill>
          </w14:textFill>
        </w:rPr>
        <w:t>的签署</w:t>
      </w:r>
      <w:bookmarkEnd w:id="98"/>
      <w:r>
        <w:rPr>
          <w:rFonts w:hint="eastAsia" w:ascii="宋体" w:hAnsi="宋体" w:eastAsia="宋体" w:cs="宋体"/>
          <w:color w:val="000000" w:themeColor="text1"/>
          <w:highlight w:val="none"/>
          <w:u w:val="none"/>
          <w14:textFill>
            <w14:solidFill>
              <w14:schemeClr w14:val="tx1"/>
            </w14:solidFill>
          </w14:textFill>
        </w:rPr>
        <w:t>及规定</w:t>
      </w:r>
      <w:bookmarkEnd w:id="99"/>
      <w:bookmarkEnd w:id="100"/>
      <w:bookmarkEnd w:id="101"/>
      <w:bookmarkEnd w:id="102"/>
    </w:p>
    <w:p w14:paraId="4CA8F3DD">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投标人应按</w:t>
      </w:r>
      <w:r>
        <w:rPr>
          <w:rFonts w:hint="eastAsia" w:ascii="宋体" w:hAnsi="宋体" w:cs="宋体"/>
          <w:color w:val="000000" w:themeColor="text1"/>
          <w:sz w:val="24"/>
          <w:highlight w:val="none"/>
          <w:u w:val="single"/>
          <w14:textFill>
            <w14:solidFill>
              <w14:schemeClr w14:val="tx1"/>
            </w14:solidFill>
          </w14:textFill>
        </w:rPr>
        <w:t>投标人须知资料表中</w:t>
      </w:r>
      <w:r>
        <w:rPr>
          <w:rFonts w:hint="eastAsia" w:ascii="宋体" w:hAnsi="宋体" w:cs="宋体"/>
          <w:color w:val="000000" w:themeColor="text1"/>
          <w:sz w:val="24"/>
          <w:highlight w:val="none"/>
          <w14:textFill>
            <w14:solidFill>
              <w14:schemeClr w14:val="tx1"/>
            </w14:solidFill>
          </w14:textFill>
        </w:rPr>
        <w:t>的规定，准备和递交（加密上传）电子响应文件。</w:t>
      </w:r>
    </w:p>
    <w:p w14:paraId="4D72E4F8">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   所有响应文件应按照</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规定的格式填写、签署和盖章。</w:t>
      </w:r>
    </w:p>
    <w:p w14:paraId="4553A45D">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响应文件因字迹潦草、表达不清或未按照</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规定的格式填写、签署和盖章所引起的后果由</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负责。</w:t>
      </w:r>
    </w:p>
    <w:p w14:paraId="3505E72B">
      <w:pPr>
        <w:pStyle w:val="4"/>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 xml:space="preserve">四   </w:t>
      </w:r>
      <w:r>
        <w:rPr>
          <w:rFonts w:hint="eastAsia" w:ascii="宋体" w:hAnsi="宋体" w:eastAsia="宋体" w:cs="宋体"/>
          <w:color w:val="000000" w:themeColor="text1"/>
          <w:sz w:val="28"/>
          <w:highlight w:val="none"/>
          <w:lang w:eastAsia="zh-CN"/>
          <w14:textFill>
            <w14:solidFill>
              <w14:schemeClr w14:val="tx1"/>
            </w14:solidFill>
          </w14:textFill>
        </w:rPr>
        <w:t>响应文件</w:t>
      </w:r>
      <w:r>
        <w:rPr>
          <w:rFonts w:hint="eastAsia" w:ascii="宋体" w:hAnsi="宋体" w:eastAsia="宋体" w:cs="宋体"/>
          <w:color w:val="000000" w:themeColor="text1"/>
          <w:sz w:val="28"/>
          <w:highlight w:val="none"/>
          <w14:textFill>
            <w14:solidFill>
              <w14:schemeClr w14:val="tx1"/>
            </w14:solidFill>
          </w14:textFill>
        </w:rPr>
        <w:t>的递交</w:t>
      </w:r>
      <w:bookmarkEnd w:id="103"/>
      <w:bookmarkEnd w:id="104"/>
      <w:bookmarkEnd w:id="105"/>
      <w:bookmarkEnd w:id="106"/>
      <w:bookmarkEnd w:id="107"/>
      <w:bookmarkEnd w:id="108"/>
    </w:p>
    <w:p w14:paraId="34CBE726">
      <w:pPr>
        <w:pStyle w:val="5"/>
        <w:spacing w:before="0" w:after="0" w:line="240" w:lineRule="atLeast"/>
        <w:rPr>
          <w:rFonts w:hint="eastAsia" w:ascii="宋体" w:hAnsi="宋体" w:eastAsia="宋体" w:cs="宋体"/>
          <w:color w:val="000000" w:themeColor="text1"/>
          <w:highlight w:val="none"/>
          <w:u w:val="none"/>
          <w14:textFill>
            <w14:solidFill>
              <w14:schemeClr w14:val="tx1"/>
            </w14:solidFill>
          </w14:textFill>
        </w:rPr>
      </w:pPr>
      <w:bookmarkStart w:id="109" w:name="_Toc520356160"/>
      <w:bookmarkStart w:id="110" w:name="_Toc32337"/>
      <w:bookmarkStart w:id="111" w:name="_Toc21645"/>
      <w:bookmarkStart w:id="112" w:name="_Toc26195"/>
      <w:bookmarkStart w:id="113" w:name="_Toc515647775"/>
      <w:bookmarkStart w:id="114" w:name="_Toc520356161"/>
      <w:bookmarkStart w:id="115" w:name="_Toc515647776"/>
      <w:bookmarkStart w:id="116" w:name="_Toc24017"/>
      <w:bookmarkStart w:id="117" w:name="_Toc12751"/>
      <w:bookmarkStart w:id="118" w:name="_Toc9840"/>
      <w:r>
        <w:rPr>
          <w:rFonts w:hint="eastAsia" w:ascii="宋体" w:hAnsi="宋体" w:eastAsia="宋体" w:cs="宋体"/>
          <w:color w:val="000000" w:themeColor="text1"/>
          <w:highlight w:val="none"/>
          <w:u w:val="none"/>
          <w14:textFill>
            <w14:solidFill>
              <w14:schemeClr w14:val="tx1"/>
            </w14:solidFill>
          </w14:textFill>
        </w:rPr>
        <w:t>15.</w:t>
      </w:r>
      <w:r>
        <w:rPr>
          <w:rFonts w:hint="eastAsia" w:hAnsi="宋体" w:cs="宋体"/>
          <w:color w:val="000000" w:themeColor="text1"/>
          <w:highlight w:val="none"/>
          <w:u w:val="none"/>
          <w:lang w:eastAsia="zh-CN"/>
          <w14:textFill>
            <w14:solidFill>
              <w14:schemeClr w14:val="tx1"/>
            </w14:solidFill>
          </w14:textFill>
        </w:rPr>
        <w:t>响应文件</w:t>
      </w:r>
      <w:r>
        <w:rPr>
          <w:rFonts w:hint="eastAsia" w:ascii="宋体" w:hAnsi="宋体" w:eastAsia="宋体" w:cs="宋体"/>
          <w:color w:val="000000" w:themeColor="text1"/>
          <w:highlight w:val="none"/>
          <w:u w:val="none"/>
          <w14:textFill>
            <w14:solidFill>
              <w14:schemeClr w14:val="tx1"/>
            </w14:solidFill>
          </w14:textFill>
        </w:rPr>
        <w:t>的密封和标记</w:t>
      </w:r>
      <w:bookmarkEnd w:id="109"/>
      <w:bookmarkEnd w:id="110"/>
      <w:bookmarkEnd w:id="111"/>
      <w:bookmarkEnd w:id="112"/>
      <w:bookmarkEnd w:id="113"/>
    </w:p>
    <w:p w14:paraId="6C7B4335">
      <w:pPr>
        <w:spacing w:line="240" w:lineRule="atLeast"/>
        <w:ind w:left="840" w:hanging="840" w:hangingChars="35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w:t>
      </w:r>
      <w:r>
        <w:rPr>
          <w:rFonts w:hint="eastAsia" w:ascii="宋体" w:hAnsi="宋体" w:cs="宋体"/>
          <w:b/>
          <w:bCs/>
          <w:color w:val="000000" w:themeColor="text1"/>
          <w:sz w:val="24"/>
          <w:highlight w:val="none"/>
          <w14:textFill>
            <w14:solidFill>
              <w14:schemeClr w14:val="tx1"/>
            </w14:solidFill>
          </w14:textFill>
        </w:rPr>
        <w:t xml:space="preserve">   投标人应完整地按</w:t>
      </w:r>
      <w:r>
        <w:rPr>
          <w:rFonts w:hint="eastAsia" w:ascii="宋体" w:hAnsi="宋体" w:cs="宋体"/>
          <w:b/>
          <w:bCs/>
          <w:color w:val="000000" w:themeColor="text1"/>
          <w:sz w:val="24"/>
          <w:highlight w:val="none"/>
          <w:lang w:val="en-US" w:eastAsia="zh-CN"/>
          <w14:textFill>
            <w14:solidFill>
              <w14:schemeClr w14:val="tx1"/>
            </w14:solidFill>
          </w14:textFill>
        </w:rPr>
        <w:t>磋商文件</w:t>
      </w:r>
      <w:r>
        <w:rPr>
          <w:rFonts w:hint="eastAsia" w:ascii="宋体" w:hAnsi="宋体" w:cs="宋体"/>
          <w:b/>
          <w:bCs/>
          <w:color w:val="000000" w:themeColor="text1"/>
          <w:sz w:val="24"/>
          <w:highlight w:val="none"/>
          <w14:textFill>
            <w14:solidFill>
              <w14:schemeClr w14:val="tx1"/>
            </w14:solidFill>
          </w14:textFill>
        </w:rPr>
        <w:t xml:space="preserve">提供的响应文件格式及要求编写响应文件， </w:t>
      </w:r>
      <w:r>
        <w:rPr>
          <w:rFonts w:hint="eastAsia" w:ascii="宋体" w:hAnsi="宋体" w:eastAsia="宋体" w:cs="宋体"/>
          <w:b/>
          <w:bCs/>
          <w:color w:val="000000" w:themeColor="text1"/>
          <w:sz w:val="24"/>
          <w:highlight w:val="none"/>
          <w:lang w:val="en-US" w:eastAsia="zh-CN"/>
          <w14:textFill>
            <w14:solidFill>
              <w14:schemeClr w14:val="tx1"/>
            </w14:solidFill>
          </w14:textFill>
        </w:rPr>
        <w:t>响应文件应包括“开标一览表及资格证明文件”和“商务及技术文件”两部分，投标人须在投标截止时间前完成在系统上递交电子投标文件</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两部分</w:t>
      </w:r>
      <w:r>
        <w:rPr>
          <w:rFonts w:hint="eastAsia" w:ascii="宋体" w:hAnsi="宋体" w:eastAsia="宋体" w:cs="宋体"/>
          <w:b/>
          <w:bCs/>
          <w:color w:val="000000" w:themeColor="text1"/>
          <w:sz w:val="24"/>
          <w:highlight w:val="none"/>
          <w:lang w:val="en-US" w:eastAsia="zh-CN"/>
          <w14:textFill>
            <w14:solidFill>
              <w14:schemeClr w14:val="tx1"/>
            </w14:solidFill>
          </w14:textFill>
        </w:rPr>
        <w:t>合并生成</w:t>
      </w:r>
      <w:r>
        <w:rPr>
          <w:rFonts w:hint="eastAsia" w:ascii="宋体" w:hAnsi="宋体" w:cs="宋体"/>
          <w:b/>
          <w:bCs/>
          <w:color w:val="000000" w:themeColor="text1"/>
          <w:sz w:val="24"/>
          <w:highlight w:val="none"/>
          <w:lang w:val="en-US" w:eastAsia="zh-CN"/>
          <w14:textFill>
            <w14:solidFill>
              <w14:schemeClr w14:val="tx1"/>
            </w14:solidFill>
          </w14:textFill>
        </w:rPr>
        <w:t>，需带有投标文件格式要求的封皮）</w:t>
      </w:r>
      <w:r>
        <w:rPr>
          <w:rFonts w:hint="eastAsia" w:ascii="宋体" w:hAnsi="宋体" w:eastAsia="宋体" w:cs="宋体"/>
          <w:b/>
          <w:bCs/>
          <w:color w:val="000000" w:themeColor="text1"/>
          <w:sz w:val="24"/>
          <w:highlight w:val="none"/>
          <w:lang w:val="en-US" w:eastAsia="zh-CN"/>
          <w14:textFill>
            <w14:solidFill>
              <w14:schemeClr w14:val="tx1"/>
            </w14:solidFill>
          </w14:textFill>
        </w:rPr>
        <w:t>。投标人的电子投标文件是经过CA证书加密后上传提交的，任何单位或个人均无法在投标截止时间</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即开标时间</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之前查看或篡改，不存在泄密风险。</w:t>
      </w:r>
    </w:p>
    <w:p w14:paraId="1E20DED8">
      <w:pPr>
        <w:pStyle w:val="5"/>
        <w:keepNext w:val="0"/>
        <w:keepLines w:val="0"/>
        <w:pageBreakBefore w:val="0"/>
        <w:widowControl w:val="0"/>
        <w:kinsoku/>
        <w:wordWrap/>
        <w:overflowPunct/>
        <w:topLinePunct w:val="0"/>
        <w:bidi w:val="0"/>
        <w:snapToGrid/>
        <w:spacing w:before="0" w:after="0" w:line="240" w:lineRule="atLeast"/>
        <w:ind w:left="960" w:hanging="964" w:hangingChars="400"/>
        <w:textAlignment w:val="auto"/>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16.投标截止</w:t>
      </w:r>
      <w:bookmarkEnd w:id="114"/>
      <w:bookmarkEnd w:id="115"/>
      <w:bookmarkEnd w:id="116"/>
      <w:bookmarkEnd w:id="117"/>
      <w:bookmarkEnd w:id="118"/>
    </w:p>
    <w:p w14:paraId="42B9027C">
      <w:pPr>
        <w:keepNext w:val="0"/>
        <w:keepLines w:val="0"/>
        <w:pageBreakBefore w:val="0"/>
        <w:widowControl w:val="0"/>
        <w:kinsoku/>
        <w:wordWrap/>
        <w:overflowPunct/>
        <w:topLinePunct w:val="0"/>
        <w:autoSpaceDE/>
        <w:autoSpaceDN/>
        <w:bidi w:val="0"/>
        <w:adjustRightInd/>
        <w:snapToGrid/>
        <w:spacing w:line="240" w:lineRule="atLeast"/>
        <w:ind w:left="840" w:leftChars="0" w:hanging="840" w:hangingChars="35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bookmarkStart w:id="119" w:name="_Toc520356162"/>
      <w:bookmarkStart w:id="120" w:name="_Toc24275"/>
      <w:bookmarkStart w:id="121" w:name="_Toc3653"/>
      <w:bookmarkStart w:id="122" w:name="_Toc18537"/>
      <w:bookmarkStart w:id="123" w:name="_Toc17389"/>
      <w:bookmarkStart w:id="124" w:name="_Toc515647777"/>
      <w:bookmarkStart w:id="125" w:name="_Toc29943"/>
      <w:r>
        <w:rPr>
          <w:rFonts w:hint="eastAsia" w:ascii="宋体" w:hAnsi="宋体" w:eastAsia="宋体" w:cs="宋体"/>
          <w:b w:val="0"/>
          <w:bCs w:val="0"/>
          <w:color w:val="000000" w:themeColor="text1"/>
          <w:sz w:val="24"/>
          <w:highlight w:val="none"/>
          <w:lang w:val="en-US" w:eastAsia="zh-CN"/>
          <w14:textFill>
            <w14:solidFill>
              <w14:schemeClr w14:val="tx1"/>
            </w14:solidFill>
          </w14:textFill>
        </w:rPr>
        <w:t>16.1</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ab/>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投标人应在磋商文件中规定的截止时间前，将电子投标文件上传到政采云平台。</w:t>
      </w:r>
    </w:p>
    <w:p w14:paraId="34A59B38">
      <w:pPr>
        <w:keepNext w:val="0"/>
        <w:keepLines w:val="0"/>
        <w:pageBreakBefore w:val="0"/>
        <w:widowControl w:val="0"/>
        <w:kinsoku/>
        <w:wordWrap/>
        <w:overflowPunct/>
        <w:topLinePunct w:val="0"/>
        <w:autoSpaceDE/>
        <w:autoSpaceDN/>
        <w:bidi w:val="0"/>
        <w:adjustRightInd/>
        <w:snapToGrid/>
        <w:spacing w:line="240" w:lineRule="atLeast"/>
        <w:ind w:left="840" w:leftChars="0" w:hanging="840" w:hangingChars="350"/>
        <w:textAlignment w:val="auto"/>
        <w:rPr>
          <w:rFonts w:hint="eastAsia"/>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16.2</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ab/>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采购人和采购代理机构有权按本须知的规定，延迟投标截止时间。在此情况下，采购人、采购代理机构和投标人受投标截止时间制约的所有权利和义务均应延长至新的截止时间。</w:t>
      </w:r>
      <w:bookmarkEnd w:id="119"/>
      <w:bookmarkEnd w:id="120"/>
      <w:bookmarkEnd w:id="121"/>
      <w:bookmarkEnd w:id="122"/>
      <w:bookmarkEnd w:id="123"/>
      <w:bookmarkEnd w:id="124"/>
      <w:bookmarkEnd w:id="125"/>
    </w:p>
    <w:p w14:paraId="785BCFEE">
      <w:pPr>
        <w:pageBreakBefore w:val="0"/>
        <w:widowControl w:val="0"/>
        <w:kinsoku/>
        <w:wordWrap/>
        <w:overflowPunct/>
        <w:topLinePunct w:val="0"/>
        <w:bidi w:val="0"/>
        <w:snapToGrid/>
        <w:spacing w:line="240" w:lineRule="atLeast"/>
        <w:ind w:left="964" w:leftChars="0" w:hanging="964" w:hangingChars="400"/>
        <w:textAlignment w:val="auto"/>
        <w:rPr>
          <w:rFonts w:hint="eastAsia"/>
          <w:color w:val="000000" w:themeColor="text1"/>
          <w14:textFill>
            <w14:solidFill>
              <w14:schemeClr w14:val="tx1"/>
            </w14:solidFill>
          </w14:textFill>
        </w:rPr>
      </w:pPr>
      <w:bookmarkStart w:id="126" w:name="_Toc518923081"/>
      <w:bookmarkStart w:id="127" w:name="_Toc16710"/>
      <w:r>
        <w:rPr>
          <w:rFonts w:hint="eastAsia" w:ascii="宋体" w:hAnsi="宋体" w:eastAsia="宋体" w:cs="宋体"/>
          <w:b/>
          <w:bCs/>
          <w:color w:val="000000" w:themeColor="text1"/>
          <w:sz w:val="24"/>
          <w:highlight w:val="none"/>
          <w:lang w:val="en-US" w:eastAsia="zh-CN"/>
          <w14:textFill>
            <w14:solidFill>
              <w14:schemeClr w14:val="tx1"/>
            </w14:solidFill>
          </w14:textFill>
        </w:rPr>
        <w:t>17.</w:t>
      </w:r>
      <w:r>
        <w:rPr>
          <w:rFonts w:hint="eastAsia" w:ascii="宋体" w:hAnsi="宋体" w:cs="宋体"/>
          <w:b/>
          <w:bCs/>
          <w:color w:val="000000" w:themeColor="text1"/>
          <w:sz w:val="24"/>
          <w:szCs w:val="32"/>
          <w:highlight w:val="none"/>
          <w:lang w:val="en-US" w:eastAsia="zh-CN"/>
          <w14:textFill>
            <w14:solidFill>
              <w14:schemeClr w14:val="tx1"/>
            </w14:solidFill>
          </w14:textFill>
        </w:rPr>
        <w:t>响应</w:t>
      </w:r>
      <w:r>
        <w:rPr>
          <w:rFonts w:hint="eastAsia" w:ascii="宋体" w:hAnsi="宋体" w:eastAsia="宋体" w:cs="宋体"/>
          <w:b/>
          <w:bCs/>
          <w:color w:val="000000" w:themeColor="text1"/>
          <w:sz w:val="24"/>
          <w:highlight w:val="none"/>
          <w:lang w:val="en-US" w:eastAsia="zh-CN"/>
          <w14:textFill>
            <w14:solidFill>
              <w14:schemeClr w14:val="tx1"/>
            </w14:solidFill>
          </w14:textFill>
        </w:rPr>
        <w:t>文件的接收、修改、撤回</w:t>
      </w:r>
      <w:bookmarkEnd w:id="126"/>
      <w:r>
        <w:rPr>
          <w:rFonts w:hint="eastAsia" w:ascii="宋体" w:hAnsi="宋体" w:eastAsia="宋体" w:cs="宋体"/>
          <w:b/>
          <w:bCs/>
          <w:color w:val="000000" w:themeColor="text1"/>
          <w:sz w:val="24"/>
          <w:highlight w:val="none"/>
          <w:lang w:val="en-US" w:eastAsia="zh-CN"/>
          <w14:textFill>
            <w14:solidFill>
              <w14:schemeClr w14:val="tx1"/>
            </w14:solidFill>
          </w14:textFill>
        </w:rPr>
        <w:t>与解密</w:t>
      </w:r>
      <w:bookmarkEnd w:id="127"/>
    </w:p>
    <w:p w14:paraId="7B38362D">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128" w:name="_Toc520356163"/>
      <w:bookmarkStart w:id="129" w:name="_Toc515647778"/>
      <w:bookmarkStart w:id="130" w:name="_Toc20246"/>
      <w:bookmarkStart w:id="131" w:name="_Toc216582809"/>
      <w:bookmarkStart w:id="132" w:name="_Toc12436"/>
      <w:bookmarkStart w:id="133" w:name="_Toc28398"/>
      <w:r>
        <w:rPr>
          <w:rFonts w:hint="eastAsia" w:ascii="宋体" w:hAnsi="宋体" w:cs="宋体"/>
          <w:color w:val="000000" w:themeColor="text1"/>
          <w:sz w:val="24"/>
          <w:highlight w:val="none"/>
          <w14:textFill>
            <w14:solidFill>
              <w14:schemeClr w14:val="tx1"/>
            </w14:solidFill>
          </w14:textFill>
        </w:rPr>
        <w:t>17.1</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在响应文件提交截止时间前，投标人须将</w:t>
      </w:r>
      <w:r>
        <w:rPr>
          <w:rFonts w:hint="eastAsia" w:ascii="宋体" w:hAnsi="宋体" w:eastAsia="宋体" w:cs="宋体"/>
          <w:b/>
          <w:bCs/>
          <w:color w:val="000000" w:themeColor="text1"/>
          <w:sz w:val="24"/>
          <w:highlight w:val="none"/>
          <w14:textFill>
            <w14:solidFill>
              <w14:schemeClr w14:val="tx1"/>
            </w14:solidFill>
          </w14:textFill>
        </w:rPr>
        <w:t>“ 开标一览表及资格证明文件” 和“ 商务及技术文件” 两部分</w:t>
      </w:r>
      <w:r>
        <w:rPr>
          <w:rFonts w:hint="eastAsia" w:ascii="宋体" w:hAnsi="宋体" w:eastAsia="宋体" w:cs="宋体"/>
          <w:b/>
          <w:bCs/>
          <w:color w:val="000000" w:themeColor="text1"/>
          <w:sz w:val="24"/>
          <w:highlight w:val="none"/>
          <w:lang w:val="en-US" w:eastAsia="zh-CN"/>
          <w14:textFill>
            <w14:solidFill>
              <w14:schemeClr w14:val="tx1"/>
            </w14:solidFill>
          </w14:textFill>
        </w:rPr>
        <w:t>合并生成</w:t>
      </w:r>
      <w:r>
        <w:rPr>
          <w:rFonts w:hint="eastAsia" w:ascii="宋体" w:hAnsi="宋体" w:eastAsia="宋体" w:cs="宋体"/>
          <w:b/>
          <w:bCs/>
          <w:color w:val="000000" w:themeColor="text1"/>
          <w:sz w:val="24"/>
          <w:highlight w:val="none"/>
          <w14:textFill>
            <w14:solidFill>
              <w14:schemeClr w14:val="tx1"/>
            </w14:solidFill>
          </w14:textFill>
        </w:rPr>
        <w:t>上传至政采云平台</w:t>
      </w:r>
      <w:r>
        <w:rPr>
          <w:rFonts w:hint="eastAsia" w:ascii="宋体" w:hAnsi="宋体" w:cs="宋体"/>
          <w:color w:val="000000" w:themeColor="text1"/>
          <w:sz w:val="24"/>
          <w:highlight w:val="none"/>
          <w14:textFill>
            <w14:solidFill>
              <w14:schemeClr w14:val="tx1"/>
            </w14:solidFill>
          </w14:textFill>
        </w:rPr>
        <w:t>。时间以政采云平台项目采购系统服务器从中国科学院国家授时中心取得的北京时间为准，投标截止时间结束后，系统将不允许投标人上传响应文件，已上传响应文件但未完成传输的文件系统将拒绝接收。</w:t>
      </w:r>
    </w:p>
    <w:p w14:paraId="64C6FAB6">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代理机构对因不可抗力事件造成的响应文件的损坏、丢失的，不承担责任。</w:t>
      </w:r>
    </w:p>
    <w:p w14:paraId="7C999DC5">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   出现下述情形之一，属于未成功提交响应文件，按</w:t>
      </w:r>
      <w:r>
        <w:rPr>
          <w:rFonts w:hint="eastAsia" w:ascii="宋体" w:hAnsi="宋体" w:cs="宋体"/>
          <w:b/>
          <w:bCs/>
          <w:color w:val="000000" w:themeColor="text1"/>
          <w:sz w:val="24"/>
          <w:highlight w:val="none"/>
          <w14:textFill>
            <w14:solidFill>
              <w14:schemeClr w14:val="tx1"/>
            </w14:solidFill>
          </w14:textFill>
        </w:rPr>
        <w:t>无效投标</w:t>
      </w:r>
      <w:r>
        <w:rPr>
          <w:rFonts w:hint="eastAsia" w:ascii="宋体" w:hAnsi="宋体" w:cs="宋体"/>
          <w:color w:val="000000" w:themeColor="text1"/>
          <w:sz w:val="24"/>
          <w:highlight w:val="none"/>
          <w14:textFill>
            <w14:solidFill>
              <w14:schemeClr w14:val="tx1"/>
            </w14:solidFill>
          </w14:textFill>
        </w:rPr>
        <w:t xml:space="preserve">处理： </w:t>
      </w:r>
    </w:p>
    <w:p w14:paraId="5482FD5B">
      <w:pPr>
        <w:spacing w:line="240" w:lineRule="atLeast"/>
        <w:ind w:left="1558" w:leftChars="342"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（1）至提交响应文件截止时间，响应文件未完整上传的。 </w:t>
      </w:r>
    </w:p>
    <w:p w14:paraId="6259AF75">
      <w:pPr>
        <w:spacing w:line="240" w:lineRule="atLeast"/>
        <w:ind w:left="735" w:left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（2）响应文件未按投标格式中注明需签字盖章的要求进行签名（含电子签名）和加盖电子印章，或签名（含电子签名）或电子印章不完整的。 </w:t>
      </w:r>
    </w:p>
    <w:p w14:paraId="7391AF5F">
      <w:pPr>
        <w:spacing w:line="240" w:lineRule="atLeast"/>
        <w:ind w:left="1558" w:leftChars="342"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（3）响应文件损坏或格式不正确的。 </w:t>
      </w:r>
    </w:p>
    <w:p w14:paraId="71689287">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在提交响应文件截止时间前，投标人可以修改或撤回未解密的电子响应文件，并于提交响应文件截止时间前将修改后重新生成的电子响应文件上传至政采云平台项目采购系统，到达响应文件提交截止时间后，将不允许修改或撤回。</w:t>
      </w:r>
    </w:p>
    <w:p w14:paraId="058EFD18">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在提交响应文件截止时间后，投标人不得补充、修改和更换响应文件。</w:t>
      </w:r>
    </w:p>
    <w:p w14:paraId="46BA16EA">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   到达开标时间后，投标人需使用上传响应文件的同一数字证书解密，投标人须在采购代理机构规定的时间内完成响应文件解密，投标人因非系统原因导致的逾期未解密响应文件，将作</w:t>
      </w:r>
      <w:r>
        <w:rPr>
          <w:rFonts w:hint="eastAsia" w:ascii="宋体" w:hAnsi="宋体" w:cs="宋体"/>
          <w:b/>
          <w:bCs/>
          <w:color w:val="000000" w:themeColor="text1"/>
          <w:sz w:val="24"/>
          <w:highlight w:val="none"/>
          <w14:textFill>
            <w14:solidFill>
              <w14:schemeClr w14:val="tx1"/>
            </w14:solidFill>
          </w14:textFill>
        </w:rPr>
        <w:t>无效投标</w:t>
      </w:r>
      <w:r>
        <w:rPr>
          <w:rFonts w:hint="eastAsia" w:ascii="宋体" w:hAnsi="宋体" w:cs="宋体"/>
          <w:color w:val="000000" w:themeColor="text1"/>
          <w:sz w:val="24"/>
          <w:highlight w:val="none"/>
          <w14:textFill>
            <w14:solidFill>
              <w14:schemeClr w14:val="tx1"/>
            </w14:solidFill>
          </w14:textFill>
        </w:rPr>
        <w:t>处理。</w:t>
      </w:r>
    </w:p>
    <w:p w14:paraId="588F5B41">
      <w:pPr>
        <w:pStyle w:val="4"/>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五   开标及评标</w:t>
      </w:r>
      <w:bookmarkEnd w:id="128"/>
      <w:bookmarkEnd w:id="129"/>
      <w:bookmarkEnd w:id="130"/>
      <w:bookmarkEnd w:id="131"/>
      <w:bookmarkEnd w:id="132"/>
      <w:bookmarkEnd w:id="133"/>
    </w:p>
    <w:p w14:paraId="17B66378">
      <w:pPr>
        <w:pStyle w:val="5"/>
        <w:keepNext w:val="0"/>
        <w:keepLines w:val="0"/>
        <w:pageBreakBefore w:val="0"/>
        <w:widowControl w:val="0"/>
        <w:kinsoku/>
        <w:wordWrap/>
        <w:overflowPunct/>
        <w:topLinePunct w:val="0"/>
        <w:bidi w:val="0"/>
        <w:snapToGrid/>
        <w:spacing w:before="0" w:after="0" w:line="240" w:lineRule="atLeast"/>
        <w:ind w:left="960" w:hanging="964" w:hangingChars="400"/>
        <w:textAlignment w:val="auto"/>
        <w:rPr>
          <w:rFonts w:hint="eastAsia" w:ascii="宋体" w:hAnsi="宋体" w:eastAsia="宋体" w:cs="宋体"/>
          <w:color w:val="000000" w:themeColor="text1"/>
          <w:highlight w:val="none"/>
          <w:u w:val="none"/>
          <w14:textFill>
            <w14:solidFill>
              <w14:schemeClr w14:val="tx1"/>
            </w14:solidFill>
          </w14:textFill>
        </w:rPr>
      </w:pPr>
      <w:bookmarkStart w:id="134" w:name="_Toc17257"/>
      <w:bookmarkStart w:id="135" w:name="_Toc520356164"/>
      <w:bookmarkStart w:id="136" w:name="_Toc515647779"/>
      <w:bookmarkStart w:id="137" w:name="_Toc25345"/>
      <w:bookmarkStart w:id="138" w:name="_Toc7186"/>
      <w:r>
        <w:rPr>
          <w:rFonts w:hint="eastAsia" w:ascii="宋体" w:hAnsi="宋体" w:eastAsia="宋体" w:cs="宋体"/>
          <w:color w:val="000000" w:themeColor="text1"/>
          <w:highlight w:val="none"/>
          <w:u w:val="none"/>
          <w:lang w:val="en-US" w:eastAsia="zh-CN"/>
          <w14:textFill>
            <w14:solidFill>
              <w14:schemeClr w14:val="tx1"/>
            </w14:solidFill>
          </w14:textFill>
        </w:rPr>
        <w:t>18.</w:t>
      </w:r>
      <w:r>
        <w:rPr>
          <w:rFonts w:hint="eastAsia" w:ascii="宋体" w:hAnsi="宋体" w:eastAsia="宋体" w:cs="宋体"/>
          <w:color w:val="000000" w:themeColor="text1"/>
          <w:highlight w:val="none"/>
          <w:u w:val="none"/>
          <w14:textFill>
            <w14:solidFill>
              <w14:schemeClr w14:val="tx1"/>
            </w14:solidFill>
          </w14:textFill>
        </w:rPr>
        <w:t>开标</w:t>
      </w:r>
      <w:bookmarkEnd w:id="134"/>
      <w:bookmarkEnd w:id="135"/>
      <w:bookmarkEnd w:id="136"/>
      <w:bookmarkEnd w:id="137"/>
      <w:bookmarkEnd w:id="138"/>
    </w:p>
    <w:p w14:paraId="078BB352">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139" w:name="_Toc520356165"/>
      <w:bookmarkStart w:id="140" w:name="_Toc31290"/>
      <w:bookmarkStart w:id="141" w:name="_Toc21372"/>
      <w:bookmarkStart w:id="142" w:name="_Toc515647780"/>
      <w:bookmarkStart w:id="143" w:name="_Toc19296"/>
      <w:r>
        <w:rPr>
          <w:rFonts w:hint="eastAsia" w:ascii="宋体" w:hAnsi="宋体" w:cs="宋体"/>
          <w:color w:val="000000" w:themeColor="text1"/>
          <w:sz w:val="24"/>
          <w:highlight w:val="none"/>
          <w14:textFill>
            <w14:solidFill>
              <w14:schemeClr w14:val="tx1"/>
            </w14:solidFill>
          </w14:textFill>
        </w:rPr>
        <w:t>18.1</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采购人和采购代理机构将按投标人须知资料表中规定的开标时间和地点组织开标。  </w:t>
      </w:r>
    </w:p>
    <w:p w14:paraId="22541861">
      <w:pPr>
        <w:spacing w:line="240" w:lineRule="atLeast"/>
        <w:ind w:firstLine="840" w:firstLine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投标人不足3家的，不得开标。</w:t>
      </w:r>
    </w:p>
    <w:p w14:paraId="68F027FA">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   投标人应当按照本</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载明的时间和模式等要求参加开标。开标时，投标人应当使用上传本项目（采购包）电子响应文件时加密所用数字证书在开始解密后按照代理机构规定的时间内完成电子响应文件的解密，如遇不可抗力等其他特殊情况，采购代理机构可视情况延长解密时间。投标人未携带数字证书或其他非系统原因导致的在规定时间内未解密响应文件，将作无效投标处理。（采用不见面电子开标，各投标人在参加开标以前须自行对使用电脑的网络环境、驱动安装、客户端安装以及数字证书的有效性等进行检测，确保可以正常使用）。</w:t>
      </w:r>
    </w:p>
    <w:p w14:paraId="7912260B">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   采购人或采购代理机构将对开标过程进行记录，由参加开标的各投标人代表和相关工作人员签字确认，并存档备查。</w:t>
      </w:r>
    </w:p>
    <w:p w14:paraId="4AA15108">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18.4   投标人代表对开标过程和开标记录有疑义，以及认为采购人、采购代理机构相关工作人员有需要回避的情形的，应当场提出询问或者回避申请。</w:t>
      </w:r>
    </w:p>
    <w:p w14:paraId="0877740E">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19.</w:t>
      </w:r>
      <w:bookmarkEnd w:id="139"/>
      <w:r>
        <w:rPr>
          <w:rFonts w:hint="eastAsia" w:ascii="宋体" w:hAnsi="宋体" w:eastAsia="宋体" w:cs="宋体"/>
          <w:color w:val="000000" w:themeColor="text1"/>
          <w:highlight w:val="none"/>
          <w:u w:val="none"/>
          <w14:textFill>
            <w14:solidFill>
              <w14:schemeClr w14:val="tx1"/>
            </w14:solidFill>
          </w14:textFill>
        </w:rPr>
        <w:t>资格审查及组建评标委员会</w:t>
      </w:r>
      <w:bookmarkEnd w:id="140"/>
      <w:bookmarkEnd w:id="141"/>
      <w:bookmarkEnd w:id="142"/>
      <w:bookmarkEnd w:id="143"/>
    </w:p>
    <w:p w14:paraId="381CBE23">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144" w:name="_Toc520356166"/>
      <w:bookmarkStart w:id="145" w:name="_Toc28479"/>
      <w:bookmarkStart w:id="146" w:name="_Toc19949"/>
      <w:bookmarkStart w:id="147" w:name="_Toc515647781"/>
      <w:bookmarkStart w:id="148" w:name="_Toc26332"/>
      <w:r>
        <w:rPr>
          <w:rFonts w:hint="eastAsia" w:ascii="宋体" w:hAnsi="宋体" w:cs="宋体"/>
          <w:color w:val="000000" w:themeColor="text1"/>
          <w:sz w:val="24"/>
          <w:highlight w:val="none"/>
          <w14:textFill>
            <w14:solidFill>
              <w14:schemeClr w14:val="tx1"/>
            </w14:solidFill>
          </w14:textFill>
        </w:rPr>
        <w:t>19.1   采购代理机构将在开标后1个小时内查询投标人的信用记录。投标人存在不良信用记录的，其投标将被认定为投标无效。</w:t>
      </w:r>
    </w:p>
    <w:p w14:paraId="18795CD9">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   不良信用记录指：</w:t>
      </w:r>
      <w:r>
        <w:rPr>
          <w:rFonts w:hint="eastAsia" w:ascii="宋体" w:hAnsi="宋体" w:cs="宋体"/>
          <w:b/>
          <w:bCs/>
          <w:color w:val="000000" w:themeColor="text1"/>
          <w:sz w:val="24"/>
          <w:highlight w:val="none"/>
          <w14:textFill>
            <w14:solidFill>
              <w14:schemeClr w14:val="tx1"/>
            </w14:solidFill>
          </w14:textFill>
        </w:rPr>
        <w:t>投标人被</w:t>
      </w:r>
      <w:r>
        <w:rPr>
          <w:rFonts w:hint="eastAsia" w:ascii="宋体" w:hAnsi="宋体" w:cs="宋体"/>
          <w:b/>
          <w:bCs/>
          <w:color w:val="000000" w:themeColor="text1"/>
          <w:sz w:val="24"/>
          <w:highlight w:val="none"/>
          <w:lang w:eastAsia="zh-CN"/>
          <w14:textFill>
            <w14:solidFill>
              <w14:schemeClr w14:val="tx1"/>
            </w14:solidFill>
          </w14:textFill>
        </w:rPr>
        <w:t>信用中国”网站列入严重失信、经营异常名录；</w:t>
      </w:r>
      <w:r>
        <w:rPr>
          <w:rFonts w:hint="eastAsia" w:ascii="宋体" w:hAnsi="宋体" w:cs="宋体"/>
          <w:b/>
          <w:bCs/>
          <w:color w:val="000000" w:themeColor="text1"/>
          <w:sz w:val="24"/>
          <w:highlight w:val="none"/>
          <w14:textFill>
            <w14:solidFill>
              <w14:schemeClr w14:val="tx1"/>
            </w14:solidFill>
          </w14:textFill>
        </w:rPr>
        <w:t>被“中国政府采购网”网站列入政府采购严重违法失信行为记录名单（处罚期限尚未届满的）的</w:t>
      </w:r>
      <w:r>
        <w:rPr>
          <w:rFonts w:hint="eastAsia" w:ascii="宋体" w:hAnsi="宋体" w:cs="宋体"/>
          <w:b/>
          <w:bCs/>
          <w:color w:val="000000" w:themeColor="text1"/>
          <w:sz w:val="24"/>
          <w:highlight w:val="none"/>
          <w:lang w:eastAsia="zh-CN"/>
          <w14:textFill>
            <w14:solidFill>
              <w14:schemeClr w14:val="tx1"/>
            </w14:solidFill>
          </w14:textFill>
        </w:rPr>
        <w:t>；“国家企业信用信息公示系统”被列入经营异常名录信息、列入严重违法失信企业名单</w:t>
      </w:r>
      <w:r>
        <w:rPr>
          <w:rFonts w:hint="eastAsia" w:ascii="宋体" w:hAnsi="宋体" w:cs="宋体"/>
          <w:b/>
          <w:bCs/>
          <w:color w:val="000000" w:themeColor="text1"/>
          <w:sz w:val="24"/>
          <w:highlight w:val="none"/>
          <w14:textFill>
            <w14:solidFill>
              <w14:schemeClr w14:val="tx1"/>
            </w14:solidFill>
          </w14:textFill>
        </w:rPr>
        <w:t>中的</w:t>
      </w:r>
      <w:r>
        <w:rPr>
          <w:rFonts w:hint="eastAsia" w:ascii="宋体" w:hAnsi="宋体" w:cs="宋体"/>
          <w:color w:val="000000" w:themeColor="text1"/>
          <w:sz w:val="24"/>
          <w:highlight w:val="none"/>
          <w14:textFill>
            <w14:solidFill>
              <w14:schemeClr w14:val="tx1"/>
            </w14:solidFill>
          </w14:textFill>
        </w:rPr>
        <w:t>，以及存在《中华人民共和国政府采购法实施条例》第十九条规定的行政处罚记录。</w:t>
      </w:r>
    </w:p>
    <w:p w14:paraId="6C954393">
      <w:pPr>
        <w:spacing w:line="240" w:lineRule="atLeast"/>
        <w:ind w:left="840" w:leftChars="4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以联合体形式参加投标的，联合体任何成员存在以上不良信用记录的，联合体投标将被认定为</w:t>
      </w:r>
      <w:r>
        <w:rPr>
          <w:rFonts w:hint="eastAsia" w:ascii="宋体" w:hAnsi="宋体" w:cs="宋体"/>
          <w:b/>
          <w:bCs/>
          <w:color w:val="000000" w:themeColor="text1"/>
          <w:sz w:val="24"/>
          <w:highlight w:val="none"/>
          <w14:textFill>
            <w14:solidFill>
              <w14:schemeClr w14:val="tx1"/>
            </w14:solidFill>
          </w14:textFill>
        </w:rPr>
        <w:t>投标无效</w:t>
      </w:r>
      <w:r>
        <w:rPr>
          <w:rFonts w:hint="eastAsia" w:ascii="宋体" w:hAnsi="宋体" w:cs="宋体"/>
          <w:color w:val="000000" w:themeColor="text1"/>
          <w:sz w:val="24"/>
          <w:highlight w:val="none"/>
          <w14:textFill>
            <w14:solidFill>
              <w14:schemeClr w14:val="tx1"/>
            </w14:solidFill>
          </w14:textFill>
        </w:rPr>
        <w:t>。</w:t>
      </w:r>
    </w:p>
    <w:p w14:paraId="1D43622C">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19.2.1 查询及记录方式：采购代理机构经办人将查询网页打印并存档备查。投标人不良信用记录以采购人或采购代理机构查询结果为准。在本</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规定的查询时间之后，网站信息发生的任何变更均不再作为评标依据。</w:t>
      </w:r>
    </w:p>
    <w:p w14:paraId="616DF0E7">
      <w:pPr>
        <w:spacing w:line="240" w:lineRule="atLeast"/>
        <w:ind w:left="840" w:leftChars="4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投标人自行提供的与网站信息不一致的其他证明材料亦不作为资格审查依据。</w:t>
      </w:r>
    </w:p>
    <w:p w14:paraId="3496131D">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   按照《中华人民共和国政府采购法》、《中华人民共和国政府采购法实施条例》及本项目本级和上级财政部门的有关规定依法组建的评标委员会，负责评标工作。本项目评标委员会由3人组成（</w:t>
      </w:r>
      <w:r>
        <w:rPr>
          <w:rFonts w:hint="eastAsia" w:ascii="宋体" w:hAnsi="宋体" w:cs="宋体"/>
          <w:color w:val="000000" w:themeColor="text1"/>
          <w:sz w:val="24"/>
          <w:highlight w:val="none"/>
          <w:lang w:val="en-US" w:eastAsia="zh-CN"/>
          <w14:textFill>
            <w14:solidFill>
              <w14:schemeClr w14:val="tx1"/>
            </w14:solidFill>
          </w14:textFill>
        </w:rPr>
        <w:t>业主专家1人，</w:t>
      </w:r>
      <w:r>
        <w:rPr>
          <w:rFonts w:hint="eastAsia" w:ascii="宋体" w:hAnsi="宋体" w:cs="宋体"/>
          <w:color w:val="000000" w:themeColor="text1"/>
          <w:sz w:val="24"/>
          <w:highlight w:val="none"/>
          <w14:textFill>
            <w14:solidFill>
              <w14:schemeClr w14:val="tx1"/>
            </w14:solidFill>
          </w14:textFill>
        </w:rPr>
        <w:t>政采云专家库随机抽取专家</w:t>
      </w:r>
      <w:r>
        <w:rPr>
          <w:rFonts w:hint="eastAsia" w:ascii="宋体" w:hAnsi="宋体" w:cs="宋体"/>
          <w:color w:val="000000" w:themeColor="text1"/>
          <w:sz w:val="24"/>
          <w:highlight w:val="none"/>
          <w:lang w:val="en-US" w:eastAsia="zh-CN"/>
          <w14:textFill>
            <w14:solidFill>
              <w14:schemeClr w14:val="tx1"/>
            </w14:solidFill>
          </w14:textFill>
        </w:rPr>
        <w:t>2人</w:t>
      </w:r>
      <w:r>
        <w:rPr>
          <w:rFonts w:hint="eastAsia" w:ascii="宋体" w:hAnsi="宋体" w:cs="宋体"/>
          <w:color w:val="000000" w:themeColor="text1"/>
          <w:sz w:val="24"/>
          <w:highlight w:val="none"/>
          <w14:textFill>
            <w14:solidFill>
              <w14:schemeClr w14:val="tx1"/>
            </w14:solidFill>
          </w14:textFill>
        </w:rPr>
        <w:t>）。</w:t>
      </w:r>
    </w:p>
    <w:p w14:paraId="16F7BC6D">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b w:val="0"/>
          <w:bCs/>
          <w:color w:val="000000" w:themeColor="text1"/>
          <w:highlight w:val="none"/>
          <w:bdr w:val="single" w:color="auto" w:sz="4" w:space="0"/>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20.</w:t>
      </w:r>
      <w:bookmarkEnd w:id="144"/>
      <w:r>
        <w:rPr>
          <w:rFonts w:hint="eastAsia" w:hAnsi="宋体" w:cs="宋体"/>
          <w:color w:val="000000" w:themeColor="text1"/>
          <w:highlight w:val="none"/>
          <w:u w:val="none"/>
          <w:lang w:eastAsia="zh-CN"/>
          <w14:textFill>
            <w14:solidFill>
              <w14:schemeClr w14:val="tx1"/>
            </w14:solidFill>
          </w14:textFill>
        </w:rPr>
        <w:t>响应文件</w:t>
      </w:r>
      <w:r>
        <w:rPr>
          <w:rFonts w:hint="eastAsia" w:ascii="宋体" w:hAnsi="宋体" w:eastAsia="宋体" w:cs="宋体"/>
          <w:color w:val="000000" w:themeColor="text1"/>
          <w:highlight w:val="none"/>
          <w:u w:val="none"/>
          <w14:textFill>
            <w14:solidFill>
              <w14:schemeClr w14:val="tx1"/>
            </w14:solidFill>
          </w14:textFill>
        </w:rPr>
        <w:t>符合性审查与澄清</w:t>
      </w:r>
      <w:bookmarkEnd w:id="145"/>
      <w:bookmarkEnd w:id="146"/>
      <w:bookmarkEnd w:id="147"/>
      <w:bookmarkEnd w:id="148"/>
    </w:p>
    <w:p w14:paraId="3CD81D45">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149" w:name="_Toc520356167"/>
      <w:r>
        <w:rPr>
          <w:rFonts w:hint="eastAsia" w:ascii="宋体" w:hAnsi="宋体" w:cs="宋体"/>
          <w:color w:val="000000" w:themeColor="text1"/>
          <w:sz w:val="24"/>
          <w:highlight w:val="none"/>
          <w14:textFill>
            <w14:solidFill>
              <w14:schemeClr w14:val="tx1"/>
            </w14:solidFill>
          </w14:textFill>
        </w:rPr>
        <w:t>20.1   符合性审查是指依据</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的规定，从响应文件的有效性和完整性对</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的响应程度进行审查，以确定是否对</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的实质性要求做出响应。</w:t>
      </w:r>
      <w:bookmarkStart w:id="150" w:name="_Hlt522424701"/>
      <w:bookmarkEnd w:id="150"/>
    </w:p>
    <w:p w14:paraId="2BF06BAB">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   响应文件的澄清</w:t>
      </w:r>
    </w:p>
    <w:p w14:paraId="3D88A509">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20.2.1 在评标期间，评标委员会将以书面方式要求投标人对其响应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响应文件范围或者改变响应文件的实质性内容。</w:t>
      </w:r>
    </w:p>
    <w:p w14:paraId="2FCD5939">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20.2.2 投标人的的澄清、说明或补正将作为响应文件的一部分。</w:t>
      </w:r>
    </w:p>
    <w:p w14:paraId="443E8F11">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   响应文件报价出现前后不一致的，按照下列规定修正：</w:t>
      </w:r>
    </w:p>
    <w:p w14:paraId="2291228D">
      <w:pPr>
        <w:spacing w:line="240" w:lineRule="atLeast"/>
        <w:ind w:left="840" w:leftChars="4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（一）响应文件中开标一览表（报价表）内容与响应文件中相应内容不一致的，以开标一览表（报价表）为准；</w:t>
      </w:r>
    </w:p>
    <w:p w14:paraId="073E78E9">
      <w:pPr>
        <w:spacing w:line="240" w:lineRule="atLeast"/>
        <w:ind w:left="840" w:leftChars="4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（二）大写金额和小写金额不一致的，以大写金额为准；</w:t>
      </w:r>
    </w:p>
    <w:p w14:paraId="1426CED9">
      <w:pPr>
        <w:spacing w:line="240" w:lineRule="atLeast"/>
        <w:ind w:left="840" w:leftChars="4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（三）单价金额小数点或者百分比有明显错位的，以开标一览表的总价为准，并修改单价；</w:t>
      </w:r>
    </w:p>
    <w:p w14:paraId="51DEFA4C">
      <w:pPr>
        <w:spacing w:line="240" w:lineRule="atLeast"/>
        <w:ind w:left="840" w:leftChars="4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（四）总价金额与按单价汇总金额不一致的，以单价金额计算结果为准。</w:t>
      </w:r>
    </w:p>
    <w:p w14:paraId="64F9B240">
      <w:pPr>
        <w:spacing w:line="240" w:lineRule="atLeast"/>
        <w:ind w:left="840" w:leftChars="4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同时出现两种以上不一致的，按照前款规定的顺序修正。修正后的报价按照第20.2条的规定经投标人确认后产生约束力，投标人不确认的，其投标将被认定为</w:t>
      </w:r>
      <w:r>
        <w:rPr>
          <w:rFonts w:hint="eastAsia" w:ascii="宋体" w:hAnsi="宋体" w:cs="宋体"/>
          <w:b/>
          <w:bCs/>
          <w:color w:val="000000" w:themeColor="text1"/>
          <w:sz w:val="24"/>
          <w:highlight w:val="none"/>
          <w14:textFill>
            <w14:solidFill>
              <w14:schemeClr w14:val="tx1"/>
            </w14:solidFill>
          </w14:textFill>
        </w:rPr>
        <w:t>投标无效</w:t>
      </w:r>
      <w:r>
        <w:rPr>
          <w:rFonts w:hint="eastAsia" w:ascii="宋体" w:hAnsi="宋体" w:cs="宋体"/>
          <w:color w:val="000000" w:themeColor="text1"/>
          <w:sz w:val="24"/>
          <w:highlight w:val="none"/>
          <w14:textFill>
            <w14:solidFill>
              <w14:schemeClr w14:val="tx1"/>
            </w14:solidFill>
          </w14:textFill>
        </w:rPr>
        <w:t>。</w:t>
      </w:r>
    </w:p>
    <w:p w14:paraId="025F96D5">
      <w:pPr>
        <w:spacing w:line="240" w:lineRule="atLeast"/>
        <w:ind w:left="840" w:leftChars="4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对不同文字文本响应文件的解释发生异议的，以中文文本为准。</w:t>
      </w:r>
    </w:p>
    <w:p w14:paraId="690F5D15">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000000" w:themeColor="text1"/>
          <w:highlight w:val="none"/>
          <w:u w:val="none"/>
          <w14:textFill>
            <w14:solidFill>
              <w14:schemeClr w14:val="tx1"/>
            </w14:solidFill>
          </w14:textFill>
        </w:rPr>
      </w:pPr>
      <w:bookmarkStart w:id="151" w:name="_Toc6364"/>
      <w:bookmarkStart w:id="152" w:name="_Toc18529"/>
      <w:bookmarkStart w:id="153" w:name="_Toc515647782"/>
      <w:bookmarkStart w:id="154" w:name="_Toc9469"/>
      <w:r>
        <w:rPr>
          <w:rFonts w:hint="eastAsia" w:ascii="宋体" w:hAnsi="宋体" w:eastAsia="宋体" w:cs="宋体"/>
          <w:color w:val="000000" w:themeColor="text1"/>
          <w:highlight w:val="none"/>
          <w:u w:val="none"/>
          <w14:textFill>
            <w14:solidFill>
              <w14:schemeClr w14:val="tx1"/>
            </w14:solidFill>
          </w14:textFill>
        </w:rPr>
        <w:t>21.投标偏离</w:t>
      </w:r>
      <w:bookmarkEnd w:id="151"/>
      <w:bookmarkEnd w:id="152"/>
      <w:bookmarkEnd w:id="153"/>
      <w:bookmarkEnd w:id="154"/>
    </w:p>
    <w:p w14:paraId="1044889D">
      <w:pPr>
        <w:keepNext w:val="0"/>
        <w:keepLines w:val="0"/>
        <w:pageBreakBefore w:val="0"/>
        <w:widowControl w:val="0"/>
        <w:kinsoku/>
        <w:wordWrap/>
        <w:overflowPunct/>
        <w:topLinePunct w:val="0"/>
        <w:autoSpaceDE/>
        <w:autoSpaceDN/>
        <w:bidi w:val="0"/>
        <w:adjustRightInd/>
        <w:snapToGrid/>
        <w:spacing w:line="240" w:lineRule="atLeast"/>
        <w:ind w:left="840" w:leftChars="0" w:hanging="840" w:hangingChars="3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评标委员会可以接受响应文件中不构成实质性偏离的不正规或不一致。</w:t>
      </w:r>
    </w:p>
    <w:p w14:paraId="742D3388">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000000" w:themeColor="text1"/>
          <w:highlight w:val="none"/>
          <w:u w:val="none"/>
          <w14:textFill>
            <w14:solidFill>
              <w14:schemeClr w14:val="tx1"/>
            </w14:solidFill>
          </w14:textFill>
        </w:rPr>
      </w:pPr>
      <w:bookmarkStart w:id="155" w:name="_Toc515647783"/>
      <w:bookmarkStart w:id="156" w:name="_Toc6092"/>
      <w:bookmarkStart w:id="157" w:name="_Toc4950"/>
      <w:bookmarkStart w:id="158" w:name="_Toc23936"/>
      <w:r>
        <w:rPr>
          <w:rFonts w:hint="eastAsia" w:ascii="宋体" w:hAnsi="宋体" w:eastAsia="宋体" w:cs="宋体"/>
          <w:color w:val="000000" w:themeColor="text1"/>
          <w:highlight w:val="none"/>
          <w:u w:val="none"/>
          <w14:textFill>
            <w14:solidFill>
              <w14:schemeClr w14:val="tx1"/>
            </w14:solidFill>
          </w14:textFill>
        </w:rPr>
        <w:t>22.投标</w:t>
      </w:r>
      <w:bookmarkEnd w:id="155"/>
      <w:r>
        <w:rPr>
          <w:rFonts w:hint="eastAsia" w:ascii="宋体" w:hAnsi="宋体" w:eastAsia="宋体" w:cs="宋体"/>
          <w:color w:val="000000" w:themeColor="text1"/>
          <w:highlight w:val="none"/>
          <w:u w:val="none"/>
          <w14:textFill>
            <w14:solidFill>
              <w14:schemeClr w14:val="tx1"/>
            </w14:solidFill>
          </w14:textFill>
        </w:rPr>
        <w:t>无效</w:t>
      </w:r>
      <w:bookmarkEnd w:id="156"/>
      <w:bookmarkEnd w:id="157"/>
      <w:bookmarkEnd w:id="158"/>
    </w:p>
    <w:p w14:paraId="28AC7823">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159" w:name="_Toc22941"/>
      <w:bookmarkStart w:id="160" w:name="_Toc515647784"/>
      <w:bookmarkStart w:id="161" w:name="_Toc8521"/>
      <w:bookmarkStart w:id="162" w:name="_Toc13652"/>
      <w:r>
        <w:rPr>
          <w:rFonts w:hint="eastAsia" w:ascii="宋体" w:hAnsi="宋体" w:cs="宋体"/>
          <w:color w:val="000000" w:themeColor="text1"/>
          <w:sz w:val="24"/>
          <w:highlight w:val="none"/>
          <w14:textFill>
            <w14:solidFill>
              <w14:schemeClr w14:val="tx1"/>
            </w14:solidFill>
          </w14:textFill>
        </w:rPr>
        <w:t>22.1   在比较与评价之前，根据本须知的规定，评标委员会要审查每份响应文件是否实质上响应了</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的要求。实质上响应的投标应该是与</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要求的全部条款、条件和规格相符，没有重大偏离的投标。对关键条款的偏离，将被认定为投标无效。投标人不得通过修正或撤销不符合要求的偏离，从而使其投标成为实质上响应的投标。</w:t>
      </w:r>
    </w:p>
    <w:p w14:paraId="3792F359">
      <w:pPr>
        <w:spacing w:line="240" w:lineRule="atLeast"/>
        <w:ind w:left="840" w:leftChars="4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评标委员会决定投标的响应性只根据</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要求、响应文件内容及财政主管部门指定相关信息发布媒体。</w:t>
      </w:r>
    </w:p>
    <w:p w14:paraId="65217C09">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   如发现下列情况之一的，其投标将被认定为</w:t>
      </w:r>
      <w:r>
        <w:rPr>
          <w:rFonts w:hint="eastAsia" w:ascii="宋体" w:hAnsi="宋体" w:cs="宋体"/>
          <w:b/>
          <w:bCs/>
          <w:color w:val="000000" w:themeColor="text1"/>
          <w:sz w:val="24"/>
          <w:highlight w:val="none"/>
          <w:lang w:val="en-US" w:eastAsia="zh-CN"/>
          <w14:textFill>
            <w14:solidFill>
              <w14:schemeClr w14:val="tx1"/>
            </w14:solidFill>
          </w14:textFill>
        </w:rPr>
        <w:t>投标</w:t>
      </w:r>
      <w:r>
        <w:rPr>
          <w:rFonts w:hint="eastAsia" w:ascii="宋体" w:hAnsi="宋体" w:cs="宋体"/>
          <w:b/>
          <w:bCs/>
          <w:color w:val="000000" w:themeColor="text1"/>
          <w:sz w:val="24"/>
          <w:highlight w:val="none"/>
          <w14:textFill>
            <w14:solidFill>
              <w14:schemeClr w14:val="tx1"/>
            </w14:solidFill>
          </w14:textFill>
        </w:rPr>
        <w:t>无效</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以下情形应当在</w:t>
      </w:r>
      <w:r>
        <w:rPr>
          <w:rFonts w:hint="eastAsia" w:ascii="宋体" w:hAnsi="宋体" w:cs="宋体"/>
          <w:b/>
          <w:color w:val="000000" w:themeColor="text1"/>
          <w:sz w:val="24"/>
          <w:highlight w:val="none"/>
          <w:lang w:eastAsia="zh-CN"/>
          <w14:textFill>
            <w14:solidFill>
              <w14:schemeClr w14:val="tx1"/>
            </w14:solidFill>
          </w14:textFill>
        </w:rPr>
        <w:t>磋商文件</w:t>
      </w:r>
      <w:r>
        <w:rPr>
          <w:rFonts w:hint="eastAsia" w:ascii="宋体" w:hAnsi="宋体" w:cs="宋体"/>
          <w:b/>
          <w:color w:val="000000" w:themeColor="text1"/>
          <w:sz w:val="24"/>
          <w:highlight w:val="none"/>
          <w14:textFill>
            <w14:solidFill>
              <w14:schemeClr w14:val="tx1"/>
            </w14:solidFill>
          </w14:textFill>
        </w:rPr>
        <w:t>中规定，并以醒目的方式标明</w:t>
      </w:r>
      <w:r>
        <w:rPr>
          <w:rFonts w:hint="eastAsia" w:ascii="宋体" w:hAnsi="宋体" w:cs="宋体"/>
          <w:color w:val="000000" w:themeColor="text1"/>
          <w:sz w:val="24"/>
          <w:highlight w:val="none"/>
          <w14:textFill>
            <w14:solidFill>
              <w14:schemeClr w14:val="tx1"/>
            </w14:solidFill>
          </w14:textFill>
        </w:rPr>
        <w:t>）</w:t>
      </w:r>
    </w:p>
    <w:p w14:paraId="2F3AE200">
      <w:pPr>
        <w:spacing w:line="240" w:lineRule="atLeast"/>
        <w:ind w:left="840" w:leftChars="4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（1）未按照</w:t>
      </w:r>
      <w:r>
        <w:rPr>
          <w:rFonts w:hint="eastAsia" w:ascii="宋体" w:hAnsi="宋体" w:cs="宋体"/>
          <w:b/>
          <w:bCs/>
          <w:color w:val="000000" w:themeColor="text1"/>
          <w:sz w:val="24"/>
          <w:highlight w:val="none"/>
          <w:lang w:eastAsia="zh-CN"/>
          <w14:textFill>
            <w14:solidFill>
              <w14:schemeClr w14:val="tx1"/>
            </w14:solidFill>
          </w14:textFill>
        </w:rPr>
        <w:t>磋商文件</w:t>
      </w:r>
      <w:r>
        <w:rPr>
          <w:rFonts w:hint="eastAsia" w:ascii="宋体" w:hAnsi="宋体" w:cs="宋体"/>
          <w:b/>
          <w:bCs/>
          <w:color w:val="000000" w:themeColor="text1"/>
          <w:sz w:val="24"/>
          <w:highlight w:val="none"/>
          <w14:textFill>
            <w14:solidFill>
              <w14:schemeClr w14:val="tx1"/>
            </w14:solidFill>
          </w14:textFill>
        </w:rPr>
        <w:t>规定的形式和金额提交投标保证金的；</w:t>
      </w:r>
    </w:p>
    <w:p w14:paraId="71EB4A2B">
      <w:pPr>
        <w:spacing w:line="240" w:lineRule="atLeast"/>
        <w:ind w:left="840" w:leftChars="4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（2）未按照</w:t>
      </w:r>
      <w:r>
        <w:rPr>
          <w:rFonts w:hint="eastAsia" w:ascii="宋体" w:hAnsi="宋体" w:cs="宋体"/>
          <w:b/>
          <w:bCs/>
          <w:color w:val="000000" w:themeColor="text1"/>
          <w:sz w:val="24"/>
          <w:highlight w:val="none"/>
          <w:lang w:eastAsia="zh-CN"/>
          <w14:textFill>
            <w14:solidFill>
              <w14:schemeClr w14:val="tx1"/>
            </w14:solidFill>
          </w14:textFill>
        </w:rPr>
        <w:t>磋商文件</w:t>
      </w:r>
      <w:r>
        <w:rPr>
          <w:rFonts w:hint="eastAsia" w:ascii="宋体" w:hAnsi="宋体" w:cs="宋体"/>
          <w:b/>
          <w:bCs/>
          <w:color w:val="000000" w:themeColor="text1"/>
          <w:sz w:val="24"/>
          <w:highlight w:val="none"/>
          <w14:textFill>
            <w14:solidFill>
              <w14:schemeClr w14:val="tx1"/>
            </w14:solidFill>
          </w14:textFill>
        </w:rPr>
        <w:t>规定要求签署、盖章的；</w:t>
      </w:r>
    </w:p>
    <w:p w14:paraId="293E6695">
      <w:pPr>
        <w:spacing w:line="240" w:lineRule="atLeast"/>
        <w:ind w:left="840" w:leftChars="4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（3）未满足</w:t>
      </w:r>
      <w:r>
        <w:rPr>
          <w:rFonts w:hint="eastAsia" w:ascii="宋体" w:hAnsi="宋体" w:cs="宋体"/>
          <w:b/>
          <w:bCs/>
          <w:color w:val="000000" w:themeColor="text1"/>
          <w:sz w:val="24"/>
          <w:highlight w:val="none"/>
          <w:lang w:eastAsia="zh-CN"/>
          <w14:textFill>
            <w14:solidFill>
              <w14:schemeClr w14:val="tx1"/>
            </w14:solidFill>
          </w14:textFill>
        </w:rPr>
        <w:t>磋商文件</w:t>
      </w:r>
      <w:r>
        <w:rPr>
          <w:rFonts w:hint="eastAsia" w:ascii="宋体" w:hAnsi="宋体" w:cs="宋体"/>
          <w:b/>
          <w:bCs/>
          <w:color w:val="000000" w:themeColor="text1"/>
          <w:sz w:val="24"/>
          <w:highlight w:val="none"/>
          <w14:textFill>
            <w14:solidFill>
              <w14:schemeClr w14:val="tx1"/>
            </w14:solidFill>
          </w14:textFill>
        </w:rPr>
        <w:t>中技术条款的实质性要求；</w:t>
      </w:r>
    </w:p>
    <w:p w14:paraId="09BC6C51">
      <w:pPr>
        <w:spacing w:line="240" w:lineRule="atLeast"/>
        <w:ind w:left="840" w:leftChars="4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（4）与其他投标人串通投标，或者与招标人串通投标；</w:t>
      </w:r>
    </w:p>
    <w:p w14:paraId="11F478D6">
      <w:pPr>
        <w:spacing w:line="240" w:lineRule="atLeast"/>
        <w:ind w:left="840" w:leftChars="4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（5）属于</w:t>
      </w:r>
      <w:r>
        <w:rPr>
          <w:rFonts w:hint="eastAsia" w:ascii="宋体" w:hAnsi="宋体" w:cs="宋体"/>
          <w:b/>
          <w:bCs/>
          <w:color w:val="000000" w:themeColor="text1"/>
          <w:sz w:val="24"/>
          <w:highlight w:val="none"/>
          <w:lang w:eastAsia="zh-CN"/>
          <w14:textFill>
            <w14:solidFill>
              <w14:schemeClr w14:val="tx1"/>
            </w14:solidFill>
          </w14:textFill>
        </w:rPr>
        <w:t>磋商文件</w:t>
      </w:r>
      <w:r>
        <w:rPr>
          <w:rFonts w:hint="eastAsia" w:ascii="宋体" w:hAnsi="宋体" w:cs="宋体"/>
          <w:b/>
          <w:bCs/>
          <w:color w:val="000000" w:themeColor="text1"/>
          <w:sz w:val="24"/>
          <w:highlight w:val="none"/>
          <w14:textFill>
            <w14:solidFill>
              <w14:schemeClr w14:val="tx1"/>
            </w14:solidFill>
          </w14:textFill>
        </w:rPr>
        <w:t>规定的其他响应无效情形；</w:t>
      </w:r>
    </w:p>
    <w:p w14:paraId="633CA92B">
      <w:pPr>
        <w:spacing w:line="240" w:lineRule="atLeast"/>
        <w:ind w:left="840" w:leftChars="4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（6）评标委员会认为投标人的报价明显低于其他通过符合性检查投标人的报价，有可能影响履约的，且投标人未按照规定证明其报价合理性的；</w:t>
      </w:r>
    </w:p>
    <w:p w14:paraId="0E8F8319">
      <w:pPr>
        <w:spacing w:line="240" w:lineRule="atLeast"/>
        <w:ind w:left="840" w:leftChars="4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（7）响应文件含有采购人不能接受的附加条件的；</w:t>
      </w:r>
    </w:p>
    <w:p w14:paraId="56A96A1D">
      <w:pPr>
        <w:spacing w:line="240" w:lineRule="atLeast"/>
        <w:ind w:left="840" w:leftChars="4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（8）不符合法规和</w:t>
      </w:r>
      <w:r>
        <w:rPr>
          <w:rFonts w:hint="eastAsia" w:ascii="宋体" w:hAnsi="宋体" w:cs="宋体"/>
          <w:b/>
          <w:bCs/>
          <w:color w:val="000000" w:themeColor="text1"/>
          <w:sz w:val="24"/>
          <w:highlight w:val="none"/>
          <w:lang w:eastAsia="zh-CN"/>
          <w14:textFill>
            <w14:solidFill>
              <w14:schemeClr w14:val="tx1"/>
            </w14:solidFill>
          </w14:textFill>
        </w:rPr>
        <w:t>磋商文件</w:t>
      </w:r>
      <w:r>
        <w:rPr>
          <w:rFonts w:hint="eastAsia" w:ascii="宋体" w:hAnsi="宋体" w:cs="宋体"/>
          <w:b/>
          <w:bCs/>
          <w:color w:val="000000" w:themeColor="text1"/>
          <w:sz w:val="24"/>
          <w:highlight w:val="none"/>
          <w14:textFill>
            <w14:solidFill>
              <w14:schemeClr w14:val="tx1"/>
            </w14:solidFill>
          </w14:textFill>
        </w:rPr>
        <w:t>中规定的其他实质性要求的。</w:t>
      </w:r>
    </w:p>
    <w:p w14:paraId="0C7058B7">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23.</w:t>
      </w:r>
      <w:bookmarkEnd w:id="149"/>
      <w:r>
        <w:rPr>
          <w:rFonts w:hint="eastAsia" w:ascii="宋体" w:hAnsi="宋体" w:eastAsia="宋体" w:cs="宋体"/>
          <w:color w:val="000000" w:themeColor="text1"/>
          <w:highlight w:val="none"/>
          <w:u w:val="none"/>
          <w14:textFill>
            <w14:solidFill>
              <w14:schemeClr w14:val="tx1"/>
            </w14:solidFill>
          </w14:textFill>
        </w:rPr>
        <w:t>比较与评价</w:t>
      </w:r>
      <w:bookmarkEnd w:id="159"/>
      <w:bookmarkEnd w:id="160"/>
      <w:bookmarkEnd w:id="161"/>
      <w:bookmarkEnd w:id="162"/>
    </w:p>
    <w:p w14:paraId="44E1F6CC">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163" w:name="_Toc520356168"/>
      <w:bookmarkStart w:id="164" w:name="_Toc515647785"/>
      <w:bookmarkStart w:id="165" w:name="_Toc9378"/>
      <w:bookmarkStart w:id="166" w:name="_Toc31728"/>
      <w:bookmarkStart w:id="167" w:name="_Toc20227"/>
      <w:r>
        <w:rPr>
          <w:rFonts w:hint="eastAsia" w:ascii="宋体" w:hAnsi="宋体" w:cs="宋体"/>
          <w:color w:val="000000" w:themeColor="text1"/>
          <w:sz w:val="24"/>
          <w:highlight w:val="none"/>
          <w14:textFill>
            <w14:solidFill>
              <w14:schemeClr w14:val="tx1"/>
            </w14:solidFill>
          </w14:textFill>
        </w:rPr>
        <w:t>23.1   经符合性审查合格的响应文件，评标委员会将根据</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确定的评标方法和标准，对其技术部分和商务部分作进一步的比较和评价。</w:t>
      </w:r>
    </w:p>
    <w:p w14:paraId="17468903">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   评标严格按照</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的要求和条件进行。根据实际情况，在投标人须知资料表中规定采用下列</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评标方法，详细评标标准见</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第六章。</w:t>
      </w:r>
    </w:p>
    <w:p w14:paraId="6726D50B">
      <w:pPr>
        <w:spacing w:line="240" w:lineRule="atLeast"/>
        <w:ind w:left="840" w:hanging="840" w:hangingChars="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14:textFill>
            <w14:solidFill>
              <w14:schemeClr w14:val="tx1"/>
            </w14:solidFill>
          </w14:textFill>
        </w:rPr>
        <w:t>最低评标价法，是指投标文件满足</w:t>
      </w:r>
      <w:r>
        <w:rPr>
          <w:rFonts w:hint="eastAsia" w:ascii="宋体" w:hAnsi="宋体" w:cs="宋体"/>
          <w:b w:val="0"/>
          <w:bCs w:val="0"/>
          <w:color w:val="000000" w:themeColor="text1"/>
          <w:sz w:val="24"/>
          <w:highlight w:val="none"/>
          <w:lang w:val="en-US" w:eastAsia="zh-CN"/>
          <w14:textFill>
            <w14:solidFill>
              <w14:schemeClr w14:val="tx1"/>
            </w14:solidFill>
          </w14:textFill>
        </w:rPr>
        <w:t>磋商文件</w:t>
      </w:r>
      <w:r>
        <w:rPr>
          <w:rFonts w:hint="eastAsia" w:ascii="宋体" w:hAnsi="宋体" w:eastAsia="宋体" w:cs="宋体"/>
          <w:b w:val="0"/>
          <w:bCs w:val="0"/>
          <w:color w:val="000000" w:themeColor="text1"/>
          <w:sz w:val="24"/>
          <w:highlight w:val="none"/>
          <w14:textFill>
            <w14:solidFill>
              <w14:schemeClr w14:val="tx1"/>
            </w14:solidFill>
          </w14:textFill>
        </w:rPr>
        <w:t>全部实质性要求，且投标报价最低的投标人为</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成交</w:t>
      </w:r>
      <w:r>
        <w:rPr>
          <w:rFonts w:hint="eastAsia" w:ascii="宋体" w:hAnsi="宋体" w:eastAsia="宋体" w:cs="宋体"/>
          <w:b w:val="0"/>
          <w:bCs w:val="0"/>
          <w:color w:val="000000" w:themeColor="text1"/>
          <w:sz w:val="24"/>
          <w:highlight w:val="none"/>
          <w14:textFill>
            <w14:solidFill>
              <w14:schemeClr w14:val="tx1"/>
            </w14:solidFill>
          </w14:textFill>
        </w:rPr>
        <w:t>候选人的评标方法。</w:t>
      </w:r>
    </w:p>
    <w:p w14:paraId="2E1EE4ED">
      <w:pPr>
        <w:spacing w:line="240" w:lineRule="atLeast"/>
        <w:ind w:left="840" w:hanging="843" w:hangingChars="350"/>
        <w:rPr>
          <w:rFonts w:hint="eastAsia" w:ascii="宋体" w:hAnsi="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 xml:space="preserve"> 综合评分法，是指投标文件满足</w:t>
      </w:r>
      <w:r>
        <w:rPr>
          <w:rFonts w:hint="eastAsia" w:ascii="宋体" w:hAnsi="宋体" w:cs="宋体"/>
          <w:b/>
          <w:bCs/>
          <w:color w:val="000000" w:themeColor="text1"/>
          <w:sz w:val="24"/>
          <w:highlight w:val="none"/>
          <w:lang w:val="en-US" w:eastAsia="zh-CN"/>
          <w14:textFill>
            <w14:solidFill>
              <w14:schemeClr w14:val="tx1"/>
            </w14:solidFill>
          </w14:textFill>
        </w:rPr>
        <w:t>磋商文件</w:t>
      </w:r>
      <w:r>
        <w:rPr>
          <w:rFonts w:hint="eastAsia" w:ascii="宋体" w:hAnsi="宋体" w:eastAsia="宋体" w:cs="宋体"/>
          <w:b/>
          <w:bCs/>
          <w:color w:val="000000" w:themeColor="text1"/>
          <w:sz w:val="24"/>
          <w:highlight w:val="none"/>
          <w14:textFill>
            <w14:solidFill>
              <w14:schemeClr w14:val="tx1"/>
            </w14:solidFill>
          </w14:textFill>
        </w:rPr>
        <w:t>全部实质性要求，且按照评审因素的量化指标评审得分最高的投标人为中标候选人的评标方法。</w:t>
      </w:r>
    </w:p>
    <w:p w14:paraId="1903568A">
      <w:pPr>
        <w:pStyle w:val="6"/>
        <w:keepNext w:val="0"/>
        <w:keepLines w:val="0"/>
        <w:pageBreakBefore w:val="0"/>
        <w:widowControl w:val="0"/>
        <w:kinsoku/>
        <w:wordWrap/>
        <w:overflowPunct/>
        <w:topLinePunct w:val="0"/>
        <w:autoSpaceDE w:val="0"/>
        <w:autoSpaceDN w:val="0"/>
        <w:bidi w:val="0"/>
        <w:adjustRightInd w:val="0"/>
        <w:snapToGrid/>
        <w:ind w:left="843" w:leftChars="0" w:hanging="843" w:hangingChars="350"/>
        <w:textAlignment w:val="auto"/>
        <w:rPr>
          <w:rFonts w:hint="eastAsia"/>
          <w:color w:val="000000" w:themeColor="text1"/>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23.</w:t>
      </w:r>
      <w:r>
        <w:rPr>
          <w:rFonts w:hint="eastAsia" w:ascii="宋体" w:hAnsi="宋体" w:cs="宋体"/>
          <w:b/>
          <w:bCs/>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本项目</w:t>
      </w:r>
      <w:r>
        <w:rPr>
          <w:rFonts w:hint="eastAsia" w:hAnsi="宋体" w:cs="宋体"/>
          <w:b/>
          <w:bCs/>
          <w:color w:val="000000" w:themeColor="text1"/>
          <w:kern w:val="2"/>
          <w:sz w:val="24"/>
          <w:szCs w:val="24"/>
          <w:highlight w:val="none"/>
          <w:lang w:val="en-US" w:eastAsia="zh-CN" w:bidi="ar-SA"/>
          <w14:textFill>
            <w14:solidFill>
              <w14:schemeClr w14:val="tx1"/>
            </w14:solidFill>
          </w14:textFill>
        </w:rPr>
        <w:t>专门</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面向中小</w:t>
      </w:r>
      <w:r>
        <w:rPr>
          <w:rFonts w:hint="eastAsia" w:hAnsi="宋体" w:cs="宋体"/>
          <w:b/>
          <w:bCs/>
          <w:color w:val="000000" w:themeColor="text1"/>
          <w:kern w:val="2"/>
          <w:sz w:val="24"/>
          <w:szCs w:val="24"/>
          <w:highlight w:val="none"/>
          <w:lang w:val="en-US" w:eastAsia="zh-CN" w:bidi="ar-SA"/>
          <w14:textFill>
            <w14:solidFill>
              <w14:schemeClr w14:val="tx1"/>
            </w14:solidFill>
          </w14:textFill>
        </w:rPr>
        <w:t>微</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企业采购。</w:t>
      </w:r>
    </w:p>
    <w:p w14:paraId="7097881D">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24</w:t>
      </w:r>
      <w:bookmarkEnd w:id="163"/>
      <w:r>
        <w:rPr>
          <w:rFonts w:hint="eastAsia" w:ascii="宋体" w:hAnsi="宋体" w:eastAsia="宋体" w:cs="宋体"/>
          <w:color w:val="000000" w:themeColor="text1"/>
          <w:highlight w:val="none"/>
          <w:u w:val="none"/>
          <w14:textFill>
            <w14:solidFill>
              <w14:schemeClr w14:val="tx1"/>
            </w14:solidFill>
          </w14:textFill>
        </w:rPr>
        <w:t>.废标</w:t>
      </w:r>
      <w:bookmarkEnd w:id="164"/>
      <w:bookmarkEnd w:id="165"/>
      <w:bookmarkEnd w:id="166"/>
      <w:bookmarkEnd w:id="167"/>
    </w:p>
    <w:p w14:paraId="21FA583D">
      <w:pPr>
        <w:spacing w:line="240" w:lineRule="atLeas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24.1   出现下列情形之一，将导致项目废标： </w:t>
      </w:r>
    </w:p>
    <w:p w14:paraId="4BB4E0D5">
      <w:pPr>
        <w:spacing w:line="240" w:lineRule="atLeast"/>
        <w:ind w:left="840" w:leftChars="4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（1）符合专业条件的</w:t>
      </w:r>
      <w:r>
        <w:rPr>
          <w:rFonts w:hint="eastAsia" w:ascii="宋体" w:hAnsi="宋体" w:cs="宋体"/>
          <w:b/>
          <w:bCs/>
          <w:color w:val="000000" w:themeColor="text1"/>
          <w:sz w:val="24"/>
          <w:highlight w:val="none"/>
          <w:lang w:val="en-US" w:eastAsia="zh-CN"/>
          <w14:textFill>
            <w14:solidFill>
              <w14:schemeClr w14:val="tx1"/>
            </w14:solidFill>
          </w14:textFill>
        </w:rPr>
        <w:t>投标人</w:t>
      </w:r>
      <w:r>
        <w:rPr>
          <w:rFonts w:hint="eastAsia" w:ascii="宋体" w:hAnsi="宋体" w:cs="宋体"/>
          <w:b/>
          <w:bCs/>
          <w:color w:val="000000" w:themeColor="text1"/>
          <w:sz w:val="24"/>
          <w:highlight w:val="none"/>
          <w14:textFill>
            <w14:solidFill>
              <w14:schemeClr w14:val="tx1"/>
            </w14:solidFill>
          </w14:textFill>
        </w:rPr>
        <w:t>或者对</w:t>
      </w:r>
      <w:r>
        <w:rPr>
          <w:rFonts w:hint="eastAsia" w:ascii="宋体" w:hAnsi="宋体" w:cs="宋体"/>
          <w:b/>
          <w:bCs/>
          <w:color w:val="000000" w:themeColor="text1"/>
          <w:sz w:val="24"/>
          <w:highlight w:val="none"/>
          <w:lang w:eastAsia="zh-CN"/>
          <w14:textFill>
            <w14:solidFill>
              <w14:schemeClr w14:val="tx1"/>
            </w14:solidFill>
          </w14:textFill>
        </w:rPr>
        <w:t>磋商文件</w:t>
      </w:r>
      <w:r>
        <w:rPr>
          <w:rFonts w:hint="eastAsia" w:ascii="宋体" w:hAnsi="宋体" w:cs="宋体"/>
          <w:b/>
          <w:bCs/>
          <w:color w:val="000000" w:themeColor="text1"/>
          <w:sz w:val="24"/>
          <w:highlight w:val="none"/>
          <w14:textFill>
            <w14:solidFill>
              <w14:schemeClr w14:val="tx1"/>
            </w14:solidFill>
          </w14:textFill>
        </w:rPr>
        <w:t>做实质性响应的</w:t>
      </w:r>
      <w:r>
        <w:rPr>
          <w:rFonts w:hint="eastAsia" w:ascii="宋体" w:hAnsi="宋体" w:cs="宋体"/>
          <w:b/>
          <w:bCs/>
          <w:color w:val="000000" w:themeColor="text1"/>
          <w:sz w:val="24"/>
          <w:highlight w:val="none"/>
          <w:lang w:val="en-US" w:eastAsia="zh-CN"/>
          <w14:textFill>
            <w14:solidFill>
              <w14:schemeClr w14:val="tx1"/>
            </w14:solidFill>
          </w14:textFill>
        </w:rPr>
        <w:t>投标人</w:t>
      </w:r>
      <w:r>
        <w:rPr>
          <w:rFonts w:hint="eastAsia" w:ascii="宋体" w:hAnsi="宋体" w:cs="宋体"/>
          <w:b/>
          <w:bCs/>
          <w:color w:val="000000" w:themeColor="text1"/>
          <w:sz w:val="24"/>
          <w:highlight w:val="none"/>
          <w14:textFill>
            <w14:solidFill>
              <w14:schemeClr w14:val="tx1"/>
            </w14:solidFill>
          </w14:textFill>
        </w:rPr>
        <w:t>不足三家；</w:t>
      </w:r>
    </w:p>
    <w:p w14:paraId="78E5B211">
      <w:pPr>
        <w:spacing w:line="240" w:lineRule="atLeast"/>
        <w:ind w:left="840" w:leftChars="4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（2）出现影响采购公正的违法、违规行为的；</w:t>
      </w:r>
    </w:p>
    <w:p w14:paraId="37517436">
      <w:pPr>
        <w:spacing w:line="240" w:lineRule="atLeast"/>
        <w:ind w:left="840" w:leftChars="4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（3）投标人的报价均超过了采购预算，采购人不能支付的；</w:t>
      </w:r>
    </w:p>
    <w:p w14:paraId="49C49BC8">
      <w:pPr>
        <w:keepNext w:val="0"/>
        <w:keepLines w:val="0"/>
        <w:pageBreakBefore w:val="0"/>
        <w:widowControl w:val="0"/>
        <w:kinsoku/>
        <w:wordWrap/>
        <w:overflowPunct/>
        <w:topLinePunct w:val="0"/>
        <w:autoSpaceDE/>
        <w:autoSpaceDN/>
        <w:bidi w:val="0"/>
        <w:adjustRightInd/>
        <w:snapToGrid/>
        <w:spacing w:line="240" w:lineRule="atLeast"/>
        <w:ind w:left="840" w:leftChars="40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（4）因重大变故，采购任务取消的。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14:paraId="223C5B08">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000000" w:themeColor="text1"/>
          <w:highlight w:val="none"/>
          <w:u w:val="none"/>
          <w14:textFill>
            <w14:solidFill>
              <w14:schemeClr w14:val="tx1"/>
            </w14:solidFill>
          </w14:textFill>
        </w:rPr>
      </w:pPr>
      <w:bookmarkStart w:id="168" w:name="_Toc24972"/>
      <w:bookmarkStart w:id="169" w:name="_Toc515647786"/>
      <w:bookmarkStart w:id="170" w:name="_Toc11175"/>
      <w:bookmarkStart w:id="171" w:name="_Toc31289"/>
      <w:bookmarkStart w:id="172" w:name="_Toc520356169"/>
      <w:r>
        <w:rPr>
          <w:rFonts w:hint="eastAsia" w:ascii="宋体" w:hAnsi="宋体" w:eastAsia="宋体" w:cs="宋体"/>
          <w:color w:val="000000" w:themeColor="text1"/>
          <w:highlight w:val="none"/>
          <w:u w:val="none"/>
          <w14:textFill>
            <w14:solidFill>
              <w14:schemeClr w14:val="tx1"/>
            </w14:solidFill>
          </w14:textFill>
        </w:rPr>
        <w:t>25.保密原则</w:t>
      </w:r>
      <w:bookmarkEnd w:id="168"/>
      <w:bookmarkEnd w:id="169"/>
      <w:bookmarkEnd w:id="170"/>
      <w:bookmarkEnd w:id="171"/>
    </w:p>
    <w:p w14:paraId="262D7FCF">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173" w:name="_Toc216582810"/>
      <w:bookmarkStart w:id="174" w:name="_Toc2153"/>
      <w:bookmarkStart w:id="175" w:name="_Toc12143"/>
      <w:bookmarkStart w:id="176" w:name="_Toc23904"/>
      <w:bookmarkStart w:id="177" w:name="_Toc515647787"/>
      <w:r>
        <w:rPr>
          <w:rFonts w:hint="eastAsia" w:ascii="宋体" w:hAnsi="宋体" w:cs="宋体"/>
          <w:color w:val="000000" w:themeColor="text1"/>
          <w:sz w:val="24"/>
          <w:highlight w:val="none"/>
          <w14:textFill>
            <w14:solidFill>
              <w14:schemeClr w14:val="tx1"/>
            </w14:solidFill>
          </w14:textFill>
        </w:rPr>
        <w:t>25.1</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评标将在严格保密的情况下进行。</w:t>
      </w:r>
    </w:p>
    <w:p w14:paraId="6AE51D4A">
      <w:pPr>
        <w:spacing w:line="240" w:lineRule="atLeast"/>
        <w:ind w:left="840" w:hanging="840" w:hangingChars="35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25.2</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政府采购评审专家应当遵守评审工作纪律，不得泄露评审文件、评审情况和评审中获悉的商业秘密。</w:t>
      </w:r>
    </w:p>
    <w:p w14:paraId="79A592D7">
      <w:pPr>
        <w:pStyle w:val="4"/>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000000" w:themeColor="text1"/>
          <w:sz w:val="28"/>
          <w:szCs w:val="28"/>
          <w:highlight w:val="none"/>
          <w14:textFill>
            <w14:solidFill>
              <w14:schemeClr w14:val="tx1"/>
            </w14:solidFill>
          </w14:textFill>
        </w:rPr>
      </w:pPr>
    </w:p>
    <w:p w14:paraId="494A2C66">
      <w:pPr>
        <w:pStyle w:val="4"/>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六   </w:t>
      </w:r>
      <w:bookmarkEnd w:id="172"/>
      <w:r>
        <w:rPr>
          <w:rFonts w:hint="eastAsia" w:ascii="宋体" w:hAnsi="宋体" w:eastAsia="宋体" w:cs="宋体"/>
          <w:color w:val="000000" w:themeColor="text1"/>
          <w:sz w:val="28"/>
          <w:szCs w:val="28"/>
          <w:highlight w:val="none"/>
          <w14:textFill>
            <w14:solidFill>
              <w14:schemeClr w14:val="tx1"/>
            </w14:solidFill>
          </w14:textFill>
        </w:rPr>
        <w:t>确定中标</w:t>
      </w:r>
      <w:bookmarkEnd w:id="173"/>
      <w:bookmarkEnd w:id="174"/>
      <w:bookmarkEnd w:id="175"/>
      <w:bookmarkEnd w:id="176"/>
      <w:bookmarkEnd w:id="177"/>
    </w:p>
    <w:p w14:paraId="102C0A50">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000000" w:themeColor="text1"/>
          <w:highlight w:val="none"/>
          <w:u w:val="none"/>
          <w14:textFill>
            <w14:solidFill>
              <w14:schemeClr w14:val="tx1"/>
            </w14:solidFill>
          </w14:textFill>
        </w:rPr>
      </w:pPr>
      <w:bookmarkStart w:id="178" w:name="_Toc28066"/>
      <w:bookmarkStart w:id="179" w:name="_Toc515647788"/>
      <w:bookmarkStart w:id="180" w:name="_Toc520356170"/>
      <w:bookmarkStart w:id="181" w:name="_Toc23762"/>
      <w:bookmarkStart w:id="182" w:name="_Toc23617"/>
      <w:bookmarkStart w:id="183" w:name="_Ref467307010"/>
      <w:r>
        <w:rPr>
          <w:rFonts w:hint="eastAsia" w:ascii="宋体" w:hAnsi="宋体" w:eastAsia="宋体" w:cs="宋体"/>
          <w:color w:val="000000" w:themeColor="text1"/>
          <w:highlight w:val="none"/>
          <w:u w:val="none"/>
          <w14:textFill>
            <w14:solidFill>
              <w14:schemeClr w14:val="tx1"/>
            </w14:solidFill>
          </w14:textFill>
        </w:rPr>
        <w:t>26.中标候选人的确定原则及标准</w:t>
      </w:r>
      <w:bookmarkEnd w:id="178"/>
      <w:bookmarkEnd w:id="179"/>
      <w:bookmarkEnd w:id="180"/>
      <w:bookmarkEnd w:id="181"/>
      <w:bookmarkEnd w:id="182"/>
      <w:bookmarkEnd w:id="183"/>
    </w:p>
    <w:p w14:paraId="518EE65A">
      <w:pPr>
        <w:spacing w:line="240" w:lineRule="atLeast"/>
        <w:ind w:left="840" w:hanging="840" w:hangingChars="350"/>
        <w:rPr>
          <w:rFonts w:hint="eastAsia" w:ascii="宋体" w:hAnsi="宋体" w:cs="宋体"/>
          <w:color w:val="000000" w:themeColor="text1"/>
          <w:sz w:val="24"/>
          <w14:textFill>
            <w14:solidFill>
              <w14:schemeClr w14:val="tx1"/>
            </w14:solidFill>
          </w14:textFill>
        </w:rPr>
      </w:pPr>
      <w:bookmarkStart w:id="184" w:name="_Toc520356171"/>
      <w:bookmarkStart w:id="185" w:name="_Toc23951"/>
      <w:bookmarkStart w:id="186" w:name="_Toc9653"/>
      <w:bookmarkStart w:id="187" w:name="_Toc19950"/>
      <w:bookmarkStart w:id="188" w:name="_Toc515647789"/>
      <w:r>
        <w:rPr>
          <w:rFonts w:hint="eastAsia" w:ascii="宋体" w:hAnsi="宋体" w:cs="宋体"/>
          <w:color w:val="000000" w:themeColor="text1"/>
          <w:sz w:val="24"/>
          <w14:textFill>
            <w14:solidFill>
              <w14:schemeClr w14:val="tx1"/>
            </w14:solidFill>
          </w14:textFill>
        </w:rPr>
        <w:t>26.1   除第28条规定外，对实质上响应磋商文件的投标人按下列方法进行排序，确定投标候选人：</w:t>
      </w:r>
    </w:p>
    <w:p w14:paraId="7BEDDA6E">
      <w:pPr>
        <w:pStyle w:val="16"/>
        <w:spacing w:line="240" w:lineRule="atLeast"/>
        <w:ind w:left="840" w:leftChars="40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采用综合评分法的，评审后得分最高的投标人获得中标人推荐资格；评审得分相同的，由采购人或者采购人委托评标委员会按照磋商文件中评标办法规定的方式确定一个投标人获得中标人推荐资格。</w:t>
      </w:r>
    </w:p>
    <w:p w14:paraId="5536898C">
      <w:pPr>
        <w:pStyle w:val="16"/>
        <w:spacing w:line="240" w:lineRule="atLeast"/>
        <w:ind w:left="840" w:leftChars="400"/>
        <w:rPr>
          <w:rFonts w:hint="eastAsia"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综合评分法，是指响应文件满足磋商文件全部实质性要求，且按照评审因素的量化指标评审得分最高的投标人为中标候选人的评标方法。</w:t>
      </w:r>
    </w:p>
    <w:p w14:paraId="44D8BB6F">
      <w:pPr>
        <w:pStyle w:val="5"/>
        <w:keepNext w:val="0"/>
        <w:keepLines w:val="0"/>
        <w:pageBreakBefore w:val="0"/>
        <w:widowControl w:val="0"/>
        <w:tabs>
          <w:tab w:val="left" w:pos="900"/>
        </w:tabs>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27</w:t>
      </w:r>
      <w:bookmarkEnd w:id="184"/>
      <w:r>
        <w:rPr>
          <w:rFonts w:hint="eastAsia" w:ascii="宋体" w:hAnsi="宋体" w:eastAsia="宋体" w:cs="宋体"/>
          <w:color w:val="000000" w:themeColor="text1"/>
          <w:highlight w:val="none"/>
          <w:u w:val="none"/>
          <w14:textFill>
            <w14:solidFill>
              <w14:schemeClr w14:val="tx1"/>
            </w14:solidFill>
          </w14:textFill>
        </w:rPr>
        <w:t>.确定中标候选人和中标人</w:t>
      </w:r>
      <w:bookmarkEnd w:id="185"/>
      <w:bookmarkEnd w:id="186"/>
      <w:bookmarkEnd w:id="187"/>
      <w:bookmarkEnd w:id="188"/>
    </w:p>
    <w:p w14:paraId="67B23F26">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189" w:name="_Toc520356173"/>
      <w:bookmarkStart w:id="190" w:name="_Ref467306874"/>
      <w:bookmarkStart w:id="191" w:name="_Toc13782"/>
      <w:bookmarkStart w:id="192" w:name="_Toc28562"/>
      <w:bookmarkStart w:id="193" w:name="_Toc8389"/>
      <w:bookmarkStart w:id="194" w:name="_Toc515647790"/>
      <w:r>
        <w:rPr>
          <w:rFonts w:hint="eastAsia" w:ascii="宋体" w:hAnsi="宋体" w:cs="宋体"/>
          <w:color w:val="000000" w:themeColor="text1"/>
          <w:sz w:val="24"/>
          <w:highlight w:val="none"/>
          <w14:textFill>
            <w14:solidFill>
              <w14:schemeClr w14:val="tx1"/>
            </w14:solidFill>
          </w14:textFill>
        </w:rPr>
        <w:t>27.1   评标委员会将根据评标标准，按</w:t>
      </w:r>
      <w:r>
        <w:rPr>
          <w:rFonts w:hint="eastAsia" w:ascii="宋体" w:hAnsi="宋体" w:cs="宋体"/>
          <w:color w:val="000000" w:themeColor="text1"/>
          <w:sz w:val="24"/>
          <w:highlight w:val="none"/>
          <w:u w:val="single"/>
          <w14:textFill>
            <w14:solidFill>
              <w14:schemeClr w14:val="tx1"/>
            </w14:solidFill>
          </w14:textFill>
        </w:rPr>
        <w:t>投标人须知资料表</w:t>
      </w:r>
      <w:r>
        <w:rPr>
          <w:rFonts w:hint="eastAsia" w:ascii="宋体" w:hAnsi="宋体" w:cs="宋体"/>
          <w:color w:val="000000" w:themeColor="text1"/>
          <w:sz w:val="24"/>
          <w:highlight w:val="none"/>
          <w14:textFill>
            <w14:solidFill>
              <w14:schemeClr w14:val="tx1"/>
            </w14:solidFill>
          </w14:textFill>
        </w:rPr>
        <w:t>中规定数量推荐中标候选人。</w:t>
      </w:r>
    </w:p>
    <w:p w14:paraId="6C34C20B">
      <w:pPr>
        <w:pStyle w:val="5"/>
        <w:keepNext w:val="0"/>
        <w:keepLines w:val="0"/>
        <w:pageBreakBefore w:val="0"/>
        <w:widowControl w:val="0"/>
        <w:tabs>
          <w:tab w:val="left" w:pos="900"/>
        </w:tabs>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28.</w:t>
      </w:r>
      <w:bookmarkEnd w:id="189"/>
      <w:bookmarkEnd w:id="190"/>
      <w:r>
        <w:rPr>
          <w:rFonts w:hint="eastAsia" w:ascii="宋体" w:hAnsi="宋体" w:eastAsia="宋体" w:cs="宋体"/>
          <w:color w:val="000000" w:themeColor="text1"/>
          <w:highlight w:val="none"/>
          <w:u w:val="none"/>
          <w14:textFill>
            <w14:solidFill>
              <w14:schemeClr w14:val="tx1"/>
            </w14:solidFill>
          </w14:textFill>
        </w:rPr>
        <w:t>采购任务取消</w:t>
      </w:r>
      <w:bookmarkEnd w:id="191"/>
      <w:bookmarkEnd w:id="192"/>
      <w:bookmarkEnd w:id="193"/>
      <w:bookmarkEnd w:id="194"/>
    </w:p>
    <w:p w14:paraId="4F932BA4">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195" w:name="_Toc520356174"/>
      <w:bookmarkStart w:id="196" w:name="_Toc515647791"/>
      <w:bookmarkStart w:id="197" w:name="_Toc31099"/>
      <w:bookmarkStart w:id="198" w:name="_Toc30170"/>
      <w:bookmarkStart w:id="199" w:name="_Toc31142"/>
      <w:r>
        <w:rPr>
          <w:rFonts w:hint="eastAsia" w:ascii="宋体" w:hAnsi="宋体" w:cs="宋体"/>
          <w:color w:val="000000" w:themeColor="text1"/>
          <w:sz w:val="24"/>
          <w:highlight w:val="none"/>
          <w14:textFill>
            <w14:solidFill>
              <w14:schemeClr w14:val="tx1"/>
            </w14:solidFill>
          </w14:textFill>
        </w:rPr>
        <w:t>28.1   因重大变故采购任务取消时，采购人有权拒绝任何投标人中标，且对受影响的投标人不承担任何责任。</w:t>
      </w:r>
    </w:p>
    <w:p w14:paraId="77DF1EF2">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29.</w:t>
      </w:r>
      <w:bookmarkEnd w:id="195"/>
      <w:r>
        <w:rPr>
          <w:rFonts w:hint="eastAsia" w:hAnsi="宋体" w:cs="宋体"/>
          <w:color w:val="000000" w:themeColor="text1"/>
          <w:szCs w:val="24"/>
          <w:highlight w:val="none"/>
          <w:u w:val="none"/>
          <w14:textFill>
            <w14:solidFill>
              <w14:schemeClr w14:val="tx1"/>
            </w14:solidFill>
          </w14:textFill>
        </w:rPr>
        <w:t>成交通知书</w:t>
      </w:r>
      <w:r>
        <w:rPr>
          <w:rFonts w:hint="eastAsia" w:ascii="宋体" w:hAnsi="宋体" w:eastAsia="宋体" w:cs="宋体"/>
          <w:color w:val="000000" w:themeColor="text1"/>
          <w:highlight w:val="none"/>
          <w:u w:val="none"/>
          <w14:textFill>
            <w14:solidFill>
              <w14:schemeClr w14:val="tx1"/>
            </w14:solidFill>
          </w14:textFill>
        </w:rPr>
        <w:t>和结果通知书</w:t>
      </w:r>
      <w:bookmarkEnd w:id="196"/>
      <w:bookmarkEnd w:id="197"/>
      <w:bookmarkEnd w:id="198"/>
      <w:bookmarkEnd w:id="199"/>
    </w:p>
    <w:p w14:paraId="1DCB0213">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29.1   在投标有效期内，</w:t>
      </w:r>
      <w:r>
        <w:rPr>
          <w:rFonts w:hint="eastAsia" w:ascii="宋体" w:hAnsi="宋体" w:cs="宋体"/>
          <w:color w:val="000000" w:themeColor="text1"/>
          <w:sz w:val="24"/>
          <w:highlight w:val="none"/>
          <w:lang w:val="en-US" w:eastAsia="zh-CN"/>
          <w14:textFill>
            <w14:solidFill>
              <w14:schemeClr w14:val="tx1"/>
            </w14:solidFill>
          </w14:textFill>
        </w:rPr>
        <w:t>成交投标人</w:t>
      </w:r>
      <w:r>
        <w:rPr>
          <w:rFonts w:hint="eastAsia" w:ascii="宋体" w:hAnsi="宋体" w:cs="宋体"/>
          <w:color w:val="000000" w:themeColor="text1"/>
          <w:sz w:val="24"/>
          <w:highlight w:val="none"/>
          <w14:textFill>
            <w14:solidFill>
              <w14:schemeClr w14:val="tx1"/>
            </w14:solidFill>
          </w14:textFill>
        </w:rPr>
        <w:t>确定后，采购人或者采购代理机构发布中标公告，同时以书面形式向</w:t>
      </w:r>
      <w:r>
        <w:rPr>
          <w:rFonts w:hint="eastAsia" w:ascii="宋体" w:hAnsi="宋体" w:cs="宋体"/>
          <w:color w:val="000000" w:themeColor="text1"/>
          <w:sz w:val="24"/>
          <w:highlight w:val="none"/>
          <w:lang w:val="en-US" w:eastAsia="zh-CN"/>
          <w14:textFill>
            <w14:solidFill>
              <w14:schemeClr w14:val="tx1"/>
            </w14:solidFill>
          </w14:textFill>
        </w:rPr>
        <w:t>成交投标人</w:t>
      </w:r>
      <w:r>
        <w:rPr>
          <w:rFonts w:hint="eastAsia" w:ascii="宋体" w:hAnsi="宋体" w:cs="宋体"/>
          <w:color w:val="000000" w:themeColor="text1"/>
          <w:sz w:val="24"/>
          <w:highlight w:val="none"/>
          <w14:textFill>
            <w14:solidFill>
              <w14:schemeClr w14:val="tx1"/>
            </w14:solidFill>
          </w14:textFill>
        </w:rPr>
        <w:t>发出成交通知书。</w:t>
      </w:r>
    </w:p>
    <w:p w14:paraId="282F4458">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29.2   成交通知书是合同的组成部分。</w:t>
      </w:r>
    </w:p>
    <w:p w14:paraId="56DF8931">
      <w:pPr>
        <w:spacing w:line="240" w:lineRule="atLeast"/>
        <w:ind w:left="840" w:hanging="840" w:hangingChars="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29.3   结果通知书和成交通知书同时发出。结果通知书中将告知未通过资格审查的投标人未通过的原因</w:t>
      </w:r>
      <w:r>
        <w:rPr>
          <w:rFonts w:hint="eastAsia" w:ascii="宋体" w:hAnsi="宋体" w:eastAsia="宋体" w:cs="宋体"/>
          <w:color w:val="000000" w:themeColor="text1"/>
          <w:sz w:val="24"/>
          <w14:textFill>
            <w14:solidFill>
              <w14:schemeClr w14:val="tx1"/>
            </w14:solidFill>
          </w14:textFill>
        </w:rPr>
        <w:t>；采用综合评分法评审的，还将告知未中标人本人的评审得分和排序。</w:t>
      </w:r>
    </w:p>
    <w:p w14:paraId="3675D858">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000000" w:themeColor="text1"/>
          <w:highlight w:val="none"/>
          <w:u w:val="none"/>
          <w14:textFill>
            <w14:solidFill>
              <w14:schemeClr w14:val="tx1"/>
            </w14:solidFill>
          </w14:textFill>
        </w:rPr>
      </w:pPr>
      <w:bookmarkStart w:id="200" w:name="_Ref467307204"/>
      <w:bookmarkStart w:id="201" w:name="_Toc515647792"/>
      <w:bookmarkStart w:id="202" w:name="_Ref467306978"/>
      <w:bookmarkStart w:id="203" w:name="_Ref467306377"/>
      <w:bookmarkStart w:id="204" w:name="_Toc520356175"/>
      <w:bookmarkStart w:id="205" w:name="_Toc14795"/>
      <w:bookmarkStart w:id="206" w:name="_Toc790"/>
      <w:bookmarkStart w:id="207" w:name="_Ref467307062"/>
      <w:bookmarkStart w:id="208" w:name="_Toc7779"/>
      <w:r>
        <w:rPr>
          <w:rFonts w:hint="eastAsia" w:ascii="宋体" w:hAnsi="宋体" w:eastAsia="宋体" w:cs="宋体"/>
          <w:color w:val="000000" w:themeColor="text1"/>
          <w:highlight w:val="none"/>
          <w:u w:val="none"/>
          <w14:textFill>
            <w14:solidFill>
              <w14:schemeClr w14:val="tx1"/>
            </w14:solidFill>
          </w14:textFill>
        </w:rPr>
        <w:t>30.签订合同</w:t>
      </w:r>
      <w:bookmarkEnd w:id="200"/>
      <w:bookmarkEnd w:id="201"/>
      <w:bookmarkEnd w:id="202"/>
      <w:bookmarkEnd w:id="203"/>
      <w:bookmarkEnd w:id="204"/>
      <w:bookmarkEnd w:id="205"/>
      <w:bookmarkEnd w:id="206"/>
      <w:bookmarkEnd w:id="207"/>
      <w:bookmarkEnd w:id="208"/>
    </w:p>
    <w:p w14:paraId="4007CE3A">
      <w:pPr>
        <w:spacing w:line="240" w:lineRule="atLeast"/>
        <w:ind w:left="840" w:hanging="840" w:hangingChars="350"/>
        <w:rPr>
          <w:rFonts w:hint="eastAsia" w:ascii="宋体" w:hAnsi="宋体" w:cs="宋体"/>
          <w:color w:val="000000" w:themeColor="text1"/>
          <w:sz w:val="24"/>
          <w14:textFill>
            <w14:solidFill>
              <w14:schemeClr w14:val="tx1"/>
            </w14:solidFill>
          </w14:textFill>
        </w:rPr>
      </w:pPr>
      <w:bookmarkStart w:id="209" w:name="_Toc515647793"/>
      <w:bookmarkStart w:id="210" w:name="_Toc520356176"/>
      <w:bookmarkStart w:id="211" w:name="_Toc22555"/>
      <w:bookmarkStart w:id="212" w:name="_Toc7188"/>
      <w:bookmarkStart w:id="213" w:name="_Ref467306425"/>
      <w:bookmarkStart w:id="214" w:name="_Toc14080"/>
      <w:bookmarkStart w:id="215" w:name="_Ref467307090"/>
      <w:r>
        <w:rPr>
          <w:rFonts w:hint="eastAsia" w:ascii="宋体" w:hAnsi="宋体" w:cs="宋体"/>
          <w:color w:val="000000" w:themeColor="text1"/>
          <w:sz w:val="24"/>
          <w14:textFill>
            <w14:solidFill>
              <w14:schemeClr w14:val="tx1"/>
            </w14:solidFill>
          </w14:textFill>
        </w:rPr>
        <w:t>30.1   中标人应当自发出成交通知书</w:t>
      </w:r>
      <w:r>
        <w:rPr>
          <w:rFonts w:hint="eastAsia" w:ascii="宋体" w:hAnsi="宋体" w:cs="宋体"/>
          <w:color w:val="000000" w:themeColor="text1"/>
          <w:sz w:val="24"/>
          <w:highlight w:val="none"/>
          <w14:textFill>
            <w14:solidFill>
              <w14:schemeClr w14:val="tx1"/>
            </w14:solidFill>
          </w14:textFill>
        </w:rPr>
        <w:t>之日起30日内</w:t>
      </w:r>
      <w:r>
        <w:rPr>
          <w:rFonts w:hint="eastAsia" w:ascii="宋体" w:hAnsi="宋体" w:cs="宋体"/>
          <w:color w:val="000000" w:themeColor="text1"/>
          <w:sz w:val="24"/>
          <w14:textFill>
            <w14:solidFill>
              <w14:schemeClr w14:val="tx1"/>
            </w14:solidFill>
          </w14:textFill>
        </w:rPr>
        <w:t>，与采购人签订合同。</w:t>
      </w:r>
    </w:p>
    <w:p w14:paraId="6536B078">
      <w:pPr>
        <w:spacing w:line="240" w:lineRule="atLeast"/>
        <w:ind w:left="840" w:hanging="840" w:hangingChars="3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30.2   磋商文件、中标人的响应文件及其澄清文件等，均为签订合同的依据。</w:t>
      </w:r>
    </w:p>
    <w:p w14:paraId="59B83D20">
      <w:pPr>
        <w:spacing w:line="240" w:lineRule="atLeast"/>
        <w:ind w:left="840" w:hanging="840" w:hangingChars="3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30.3   中标人拒绝与采购人签订合同的，采购人可以按照评审报告推荐的中标候选人名单排序，确定下一中标候选人为中标人，也可以重新开展政府采购活动。</w:t>
      </w:r>
    </w:p>
    <w:p w14:paraId="09DBB5FC">
      <w:pPr>
        <w:spacing w:line="240" w:lineRule="atLeast"/>
        <w:ind w:left="840" w:hanging="840" w:hangingChars="3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30.4   当出现法规规定的</w:t>
      </w:r>
      <w:r>
        <w:rPr>
          <w:rFonts w:hint="eastAsia" w:ascii="宋体" w:hAnsi="宋体" w:cs="宋体"/>
          <w:b/>
          <w:color w:val="000000" w:themeColor="text1"/>
          <w:sz w:val="24"/>
          <w14:textFill>
            <w14:solidFill>
              <w14:schemeClr w14:val="tx1"/>
            </w14:solidFill>
          </w14:textFill>
        </w:rPr>
        <w:t>中标无效或中标结果无效</w:t>
      </w:r>
      <w:r>
        <w:rPr>
          <w:rFonts w:hint="eastAsia" w:ascii="宋体" w:hAnsi="宋体" w:cs="宋体"/>
          <w:color w:val="000000" w:themeColor="text1"/>
          <w:sz w:val="24"/>
          <w14:textFill>
            <w14:solidFill>
              <w14:schemeClr w14:val="tx1"/>
            </w14:solidFill>
          </w14:textFill>
        </w:rPr>
        <w:t>情形时，采购人可与排名下一位的中标候选人另行签订合同，或依法重新开展采购活动。</w:t>
      </w:r>
    </w:p>
    <w:p w14:paraId="4CE70B4D">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31.履约保证金</w:t>
      </w:r>
      <w:bookmarkEnd w:id="209"/>
      <w:bookmarkEnd w:id="210"/>
      <w:bookmarkEnd w:id="211"/>
      <w:bookmarkEnd w:id="212"/>
      <w:bookmarkEnd w:id="213"/>
      <w:bookmarkEnd w:id="214"/>
      <w:bookmarkEnd w:id="215"/>
    </w:p>
    <w:p w14:paraId="10655950">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216" w:name="_Toc515647794"/>
      <w:bookmarkStart w:id="217" w:name="_Toc3090"/>
      <w:bookmarkStart w:id="218" w:name="_Toc29408"/>
      <w:bookmarkStart w:id="219" w:name="_Toc31936"/>
      <w:r>
        <w:rPr>
          <w:rFonts w:hint="eastAsia" w:ascii="宋体" w:hAnsi="宋体" w:cs="宋体"/>
          <w:color w:val="000000" w:themeColor="text1"/>
          <w:sz w:val="24"/>
          <w:highlight w:val="none"/>
          <w14:textFill>
            <w14:solidFill>
              <w14:schemeClr w14:val="tx1"/>
            </w14:solidFill>
          </w14:textFill>
        </w:rPr>
        <w:t xml:space="preserve">31.1   </w:t>
      </w:r>
      <w:r>
        <w:rPr>
          <w:rFonts w:hint="eastAsia" w:ascii="宋体" w:hAnsi="宋体" w:cs="宋体"/>
          <w:color w:val="000000" w:themeColor="text1"/>
          <w:sz w:val="24"/>
          <w:highlight w:val="none"/>
          <w:lang w:val="en-US" w:eastAsia="zh-CN"/>
          <w14:textFill>
            <w14:solidFill>
              <w14:schemeClr w14:val="tx1"/>
            </w14:solidFill>
          </w14:textFill>
        </w:rPr>
        <w:t>成交投标人</w:t>
      </w:r>
      <w:r>
        <w:rPr>
          <w:rFonts w:hint="eastAsia" w:ascii="宋体" w:hAnsi="宋体" w:cs="宋体"/>
          <w:color w:val="000000" w:themeColor="text1"/>
          <w:sz w:val="24"/>
          <w:highlight w:val="none"/>
          <w14:textFill>
            <w14:solidFill>
              <w14:schemeClr w14:val="tx1"/>
            </w14:solidFill>
          </w14:textFill>
        </w:rPr>
        <w:t>应按照</w:t>
      </w:r>
      <w:r>
        <w:rPr>
          <w:rFonts w:hint="eastAsia" w:ascii="宋体" w:hAnsi="宋体" w:cs="宋体"/>
          <w:color w:val="000000" w:themeColor="text1"/>
          <w:sz w:val="24"/>
          <w:highlight w:val="none"/>
          <w:u w:val="single"/>
          <w14:textFill>
            <w14:solidFill>
              <w14:schemeClr w14:val="tx1"/>
            </w14:solidFill>
          </w14:textFill>
        </w:rPr>
        <w:t>投标人须知资料表</w:t>
      </w:r>
      <w:r>
        <w:rPr>
          <w:rFonts w:hint="eastAsia" w:ascii="宋体" w:hAnsi="宋体" w:cs="宋体"/>
          <w:color w:val="000000" w:themeColor="text1"/>
          <w:sz w:val="24"/>
          <w:highlight w:val="none"/>
          <w14:textFill>
            <w14:solidFill>
              <w14:schemeClr w14:val="tx1"/>
            </w14:solidFill>
          </w14:textFill>
        </w:rPr>
        <w:t>规定向采购人缴纳履约保证金。</w:t>
      </w:r>
    </w:p>
    <w:p w14:paraId="4C9C307E">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31.2   政府采购利用担保试点范围内的项目，除31.1规定的情形外，</w:t>
      </w:r>
      <w:r>
        <w:rPr>
          <w:rFonts w:hint="eastAsia" w:ascii="宋体" w:hAnsi="宋体" w:cs="宋体"/>
          <w:color w:val="000000" w:themeColor="text1"/>
          <w:sz w:val="24"/>
          <w:highlight w:val="none"/>
          <w:lang w:val="en-US" w:eastAsia="zh-CN"/>
          <w14:textFill>
            <w14:solidFill>
              <w14:schemeClr w14:val="tx1"/>
            </w14:solidFill>
          </w14:textFill>
        </w:rPr>
        <w:t>成交投标人</w:t>
      </w:r>
      <w:r>
        <w:rPr>
          <w:rFonts w:hint="eastAsia" w:ascii="宋体" w:hAnsi="宋体" w:cs="宋体"/>
          <w:color w:val="000000" w:themeColor="text1"/>
          <w:sz w:val="24"/>
          <w:highlight w:val="none"/>
          <w14:textFill>
            <w14:solidFill>
              <w14:schemeClr w14:val="tx1"/>
            </w14:solidFill>
          </w14:textFill>
        </w:rPr>
        <w:t>也可以按照财政部门的规定，向采购人提供合格的履约担保函。</w:t>
      </w:r>
    </w:p>
    <w:p w14:paraId="1765D481">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31.3   如果</w:t>
      </w:r>
      <w:r>
        <w:rPr>
          <w:rFonts w:hint="eastAsia" w:ascii="宋体" w:hAnsi="宋体" w:cs="宋体"/>
          <w:color w:val="000000" w:themeColor="text1"/>
          <w:sz w:val="24"/>
          <w:highlight w:val="none"/>
          <w:lang w:val="en-US" w:eastAsia="zh-CN"/>
          <w14:textFill>
            <w14:solidFill>
              <w14:schemeClr w14:val="tx1"/>
            </w14:solidFill>
          </w14:textFill>
        </w:rPr>
        <w:t>成交投标人</w:t>
      </w:r>
      <w:r>
        <w:rPr>
          <w:rFonts w:hint="eastAsia" w:ascii="宋体" w:hAnsi="宋体" w:cs="宋体"/>
          <w:color w:val="000000" w:themeColor="text1"/>
          <w:sz w:val="24"/>
          <w:highlight w:val="none"/>
          <w14:textFill>
            <w14:solidFill>
              <w14:schemeClr w14:val="tx1"/>
            </w14:solidFill>
          </w14:textFill>
        </w:rPr>
        <w:t>没有按照上述履约保证金的规定执行，将视为放弃中标资格，</w:t>
      </w:r>
      <w:r>
        <w:rPr>
          <w:rFonts w:hint="eastAsia" w:ascii="宋体" w:hAnsi="宋体" w:cs="宋体"/>
          <w:color w:val="000000" w:themeColor="text1"/>
          <w:sz w:val="24"/>
          <w:highlight w:val="none"/>
          <w:lang w:val="en-US" w:eastAsia="zh-CN"/>
          <w14:textFill>
            <w14:solidFill>
              <w14:schemeClr w14:val="tx1"/>
            </w14:solidFill>
          </w14:textFill>
        </w:rPr>
        <w:t>成交投标人</w:t>
      </w:r>
      <w:r>
        <w:rPr>
          <w:rFonts w:hint="eastAsia" w:ascii="宋体" w:hAnsi="宋体" w:cs="宋体"/>
          <w:color w:val="000000" w:themeColor="text1"/>
          <w:sz w:val="24"/>
          <w:highlight w:val="none"/>
          <w14:textFill>
            <w14:solidFill>
              <w14:schemeClr w14:val="tx1"/>
            </w14:solidFill>
          </w14:textFill>
        </w:rPr>
        <w:t>的投标保证金将不予退还。在此情况下，采购人可确定下一候选人为</w:t>
      </w:r>
      <w:r>
        <w:rPr>
          <w:rFonts w:hint="eastAsia" w:ascii="宋体" w:hAnsi="宋体" w:cs="宋体"/>
          <w:color w:val="000000" w:themeColor="text1"/>
          <w:sz w:val="24"/>
          <w:highlight w:val="none"/>
          <w:lang w:val="en-US" w:eastAsia="zh-CN"/>
          <w14:textFill>
            <w14:solidFill>
              <w14:schemeClr w14:val="tx1"/>
            </w14:solidFill>
          </w14:textFill>
        </w:rPr>
        <w:t>成交投标人</w:t>
      </w:r>
      <w:r>
        <w:rPr>
          <w:rFonts w:hint="eastAsia" w:ascii="宋体" w:hAnsi="宋体" w:cs="宋体"/>
          <w:color w:val="000000" w:themeColor="text1"/>
          <w:sz w:val="24"/>
          <w:highlight w:val="none"/>
          <w14:textFill>
            <w14:solidFill>
              <w14:schemeClr w14:val="tx1"/>
            </w14:solidFill>
          </w14:textFill>
        </w:rPr>
        <w:t>，也可以重新开展采购活动。</w:t>
      </w:r>
    </w:p>
    <w:p w14:paraId="49406645">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32.中标服务费</w:t>
      </w:r>
      <w:bookmarkEnd w:id="216"/>
      <w:bookmarkEnd w:id="217"/>
      <w:bookmarkEnd w:id="218"/>
      <w:bookmarkEnd w:id="219"/>
    </w:p>
    <w:p w14:paraId="05C5D9A9">
      <w:pPr>
        <w:spacing w:line="240" w:lineRule="atLeast"/>
        <w:rPr>
          <w:rFonts w:hint="eastAsia" w:ascii="宋体" w:hAnsi="宋体" w:cs="宋体"/>
          <w:b/>
          <w:bCs/>
          <w:color w:val="000000" w:themeColor="text1"/>
          <w:sz w:val="24"/>
          <w:highlight w:val="none"/>
          <w14:textFill>
            <w14:solidFill>
              <w14:schemeClr w14:val="tx1"/>
            </w14:solidFill>
          </w14:textFill>
        </w:rPr>
      </w:pPr>
      <w:bookmarkStart w:id="220" w:name="_Toc515647795"/>
      <w:bookmarkStart w:id="221" w:name="_Toc13588"/>
      <w:bookmarkStart w:id="222" w:name="_Toc6923"/>
      <w:bookmarkStart w:id="223" w:name="_Toc7049"/>
      <w:r>
        <w:rPr>
          <w:rFonts w:hint="eastAsia" w:ascii="宋体" w:hAnsi="宋体" w:cs="宋体"/>
          <w:color w:val="000000" w:themeColor="text1"/>
          <w:sz w:val="24"/>
          <w:highlight w:val="none"/>
          <w14:textFill>
            <w14:solidFill>
              <w14:schemeClr w14:val="tx1"/>
            </w14:solidFill>
          </w14:textFill>
        </w:rPr>
        <w:t>32.1   按照相关协议计取，代理费由成交</w:t>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支付。</w:t>
      </w:r>
    </w:p>
    <w:p w14:paraId="4E09599D">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33.政府采购信用担保</w:t>
      </w:r>
      <w:bookmarkEnd w:id="220"/>
      <w:bookmarkEnd w:id="221"/>
      <w:bookmarkEnd w:id="222"/>
      <w:bookmarkEnd w:id="223"/>
    </w:p>
    <w:p w14:paraId="74C95728">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224" w:name="_Toc23999"/>
      <w:bookmarkStart w:id="225" w:name="_Toc2133"/>
      <w:bookmarkStart w:id="226" w:name="_Toc27198"/>
      <w:bookmarkStart w:id="227" w:name="_Toc515647796"/>
      <w:r>
        <w:rPr>
          <w:rFonts w:hint="eastAsia" w:ascii="宋体" w:hAnsi="宋体" w:cs="宋体"/>
          <w:color w:val="000000" w:themeColor="text1"/>
          <w:sz w:val="24"/>
          <w:highlight w:val="none"/>
          <w14:textFill>
            <w14:solidFill>
              <w14:schemeClr w14:val="tx1"/>
            </w14:solidFill>
          </w14:textFill>
        </w:rPr>
        <w:t>33.1   本项目是否属于信用担保试点范围见</w:t>
      </w:r>
      <w:r>
        <w:rPr>
          <w:rFonts w:hint="eastAsia" w:ascii="宋体" w:hAnsi="宋体" w:cs="宋体"/>
          <w:color w:val="000000" w:themeColor="text1"/>
          <w:sz w:val="24"/>
          <w:highlight w:val="none"/>
          <w:u w:val="single"/>
          <w14:textFill>
            <w14:solidFill>
              <w14:schemeClr w14:val="tx1"/>
            </w14:solidFill>
          </w14:textFill>
        </w:rPr>
        <w:t>投标人须知资料表</w:t>
      </w:r>
      <w:r>
        <w:rPr>
          <w:rFonts w:hint="eastAsia" w:ascii="宋体" w:hAnsi="宋体" w:cs="宋体"/>
          <w:color w:val="000000" w:themeColor="text1"/>
          <w:sz w:val="24"/>
          <w:highlight w:val="none"/>
          <w14:textFill>
            <w14:solidFill>
              <w14:schemeClr w14:val="tx1"/>
            </w14:solidFill>
          </w14:textFill>
        </w:rPr>
        <w:t>。</w:t>
      </w:r>
    </w:p>
    <w:p w14:paraId="6471BC3E">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33.2   如属于政府采购信用担保试点范围内，中小型企业投标人可以自由按照财政部门的规定，采用投标担保、履约担保和融资担保。</w:t>
      </w:r>
    </w:p>
    <w:p w14:paraId="2302D777">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33.2.1 投标人递交的投标担保函和履约担保函应符合本</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的规定。</w:t>
      </w:r>
    </w:p>
    <w:p w14:paraId="38023E32">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33.2.</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 xml:space="preserve"> 合格的政府采购专业信用担保机构名单见</w:t>
      </w:r>
      <w:r>
        <w:rPr>
          <w:rFonts w:hint="eastAsia" w:ascii="宋体" w:hAnsi="宋体" w:cs="宋体"/>
          <w:color w:val="000000" w:themeColor="text1"/>
          <w:sz w:val="24"/>
          <w:highlight w:val="none"/>
          <w:u w:val="single"/>
          <w14:textFill>
            <w14:solidFill>
              <w14:schemeClr w14:val="tx1"/>
            </w14:solidFill>
          </w14:textFill>
        </w:rPr>
        <w:t>投标人须知资料表</w:t>
      </w:r>
      <w:r>
        <w:rPr>
          <w:rFonts w:hint="eastAsia" w:ascii="宋体" w:hAnsi="宋体" w:cs="宋体"/>
          <w:color w:val="000000" w:themeColor="text1"/>
          <w:sz w:val="24"/>
          <w:highlight w:val="none"/>
          <w14:textFill>
            <w14:solidFill>
              <w14:schemeClr w14:val="tx1"/>
            </w14:solidFill>
          </w14:textFill>
        </w:rPr>
        <w:t>。</w:t>
      </w:r>
    </w:p>
    <w:p w14:paraId="44218EB9">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34.廉洁自律规定</w:t>
      </w:r>
      <w:bookmarkEnd w:id="224"/>
      <w:bookmarkEnd w:id="225"/>
      <w:bookmarkEnd w:id="226"/>
      <w:bookmarkEnd w:id="227"/>
    </w:p>
    <w:p w14:paraId="54AF4F9A">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228" w:name="_Toc10437"/>
      <w:bookmarkStart w:id="229" w:name="_Toc515647797"/>
      <w:bookmarkStart w:id="230" w:name="_Toc11586"/>
      <w:bookmarkStart w:id="231" w:name="_Toc25480"/>
      <w:r>
        <w:rPr>
          <w:rFonts w:hint="eastAsia" w:ascii="宋体" w:hAnsi="宋体" w:cs="宋体"/>
          <w:color w:val="000000" w:themeColor="text1"/>
          <w:sz w:val="24"/>
          <w:highlight w:val="none"/>
          <w14:textFill>
            <w14:solidFill>
              <w14:schemeClr w14:val="tx1"/>
            </w14:solidFill>
          </w14:textFill>
        </w:rPr>
        <w:t>34.1   采购代理机构工作人员不得以不正当手段获取政府采购代理业务，不得与采购人、</w:t>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恶意串通操纵政府采购活动。</w:t>
      </w:r>
    </w:p>
    <w:p w14:paraId="53CDC377">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34.2   采购代理机构工作人员不得接受采购人或者</w:t>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组织的宴请、旅游、娱乐，不得收受礼品、现金、有价证券等，不得向采购人或者</w:t>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报销应当由个人承担的费用。</w:t>
      </w:r>
    </w:p>
    <w:p w14:paraId="54EEC057">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34.3   为强化采购代理机构内部监督机制，</w:t>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可按</w:t>
      </w:r>
      <w:r>
        <w:rPr>
          <w:rFonts w:hint="eastAsia" w:ascii="宋体" w:hAnsi="宋体" w:cs="宋体"/>
          <w:color w:val="000000" w:themeColor="text1"/>
          <w:sz w:val="24"/>
          <w:highlight w:val="none"/>
          <w:u w:val="single"/>
          <w14:textFill>
            <w14:solidFill>
              <w14:schemeClr w14:val="tx1"/>
            </w14:solidFill>
          </w14:textFill>
        </w:rPr>
        <w:t>投标人须知资料表中的</w:t>
      </w:r>
      <w:r>
        <w:rPr>
          <w:rFonts w:hint="eastAsia" w:ascii="宋体" w:hAnsi="宋体" w:cs="宋体"/>
          <w:color w:val="000000" w:themeColor="text1"/>
          <w:sz w:val="24"/>
          <w:highlight w:val="none"/>
          <w14:textFill>
            <w14:solidFill>
              <w14:schemeClr w14:val="tx1"/>
            </w14:solidFill>
          </w14:textFill>
        </w:rPr>
        <w:t>监督电话和邮箱，反映采购代理机构的廉洁自律等问题。</w:t>
      </w:r>
    </w:p>
    <w:p w14:paraId="4D3FB67C">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35.人员回避</w:t>
      </w:r>
      <w:bookmarkEnd w:id="228"/>
      <w:bookmarkEnd w:id="229"/>
      <w:bookmarkEnd w:id="230"/>
      <w:bookmarkEnd w:id="231"/>
    </w:p>
    <w:p w14:paraId="057C36B1">
      <w:pPr>
        <w:spacing w:line="240" w:lineRule="atLeast"/>
        <w:ind w:left="840" w:hanging="840" w:hangingChars="350"/>
        <w:rPr>
          <w:rFonts w:hint="eastAsia" w:ascii="宋体" w:hAnsi="宋体" w:cs="宋体"/>
          <w:color w:val="000000" w:themeColor="text1"/>
          <w:sz w:val="24"/>
          <w:highlight w:val="none"/>
          <w14:textFill>
            <w14:solidFill>
              <w14:schemeClr w14:val="tx1"/>
            </w14:solidFill>
          </w14:textFill>
        </w:rPr>
      </w:pPr>
      <w:bookmarkStart w:id="232" w:name="_Toc515647798"/>
      <w:bookmarkStart w:id="233" w:name="_Toc1148"/>
      <w:bookmarkStart w:id="234" w:name="_Toc10700"/>
      <w:bookmarkStart w:id="235" w:name="_Toc11115"/>
      <w:r>
        <w:rPr>
          <w:rFonts w:hint="eastAsia" w:ascii="宋体" w:hAnsi="宋体" w:cs="宋体"/>
          <w:color w:val="000000" w:themeColor="text1"/>
          <w:sz w:val="24"/>
          <w:highlight w:val="none"/>
          <w14:textFill>
            <w14:solidFill>
              <w14:schemeClr w14:val="tx1"/>
            </w14:solidFill>
          </w14:textFill>
        </w:rPr>
        <w:t>35.1   投标人认为采购人员及其相关人员有法律法规所列与其他</w:t>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有利害关系的，可以向采购人或采购代理机构书面提出回避申请，并说明理由。</w:t>
      </w:r>
    </w:p>
    <w:p w14:paraId="5AA6D20E">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36.质疑与接收</w:t>
      </w:r>
      <w:bookmarkEnd w:id="232"/>
      <w:bookmarkEnd w:id="233"/>
      <w:bookmarkEnd w:id="234"/>
      <w:bookmarkEnd w:id="235"/>
    </w:p>
    <w:p w14:paraId="1DD4278E">
      <w:pPr>
        <w:spacing w:line="360" w:lineRule="exac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36.1   </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认为</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cs="宋体"/>
          <w:color w:val="000000" w:themeColor="text1"/>
          <w:sz w:val="24"/>
          <w:highlight w:val="none"/>
          <w14:textFill>
            <w14:solidFill>
              <w14:schemeClr w14:val="tx1"/>
            </w14:solidFill>
          </w14:textFill>
        </w:rPr>
        <w:t>、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5CB6D9EF">
      <w:pPr>
        <w:pStyle w:val="49"/>
        <w:spacing w:line="360" w:lineRule="exact"/>
        <w:ind w:left="840" w:hanging="840" w:hangingChars="35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36.2   </w:t>
      </w:r>
      <w:r>
        <w:rPr>
          <w:rFonts w:hint="eastAsia" w:hAnsi="宋体"/>
          <w:color w:val="000000" w:themeColor="text1"/>
          <w:highlight w:val="none"/>
          <w:lang w:eastAsia="zh-CN"/>
          <w14:textFill>
            <w14:solidFill>
              <w14:schemeClr w14:val="tx1"/>
            </w14:solidFill>
          </w14:textFill>
        </w:rPr>
        <w:t>投标人</w:t>
      </w:r>
      <w:r>
        <w:rPr>
          <w:rFonts w:hint="eastAsia" w:hAnsi="宋体"/>
          <w:color w:val="000000" w:themeColor="text1"/>
          <w:highlight w:val="none"/>
          <w14:textFill>
            <w14:solidFill>
              <w14:schemeClr w14:val="tx1"/>
            </w14:solidFill>
          </w14:textFill>
        </w:rPr>
        <w:t>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26085C4A">
      <w:pPr>
        <w:pStyle w:val="49"/>
        <w:spacing w:line="360" w:lineRule="exact"/>
        <w:ind w:left="840" w:hanging="840" w:hangingChars="35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406107DA">
      <w:pPr>
        <w:spacing w:line="360" w:lineRule="exac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36.4   质疑</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将依法承担不利后果。</w:t>
      </w:r>
    </w:p>
    <w:p w14:paraId="5178B942">
      <w:pPr>
        <w:spacing w:line="360" w:lineRule="exac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36.5   采购代理机构质疑函接收部门、联系电话和通讯地址, 见</w:t>
      </w:r>
      <w:r>
        <w:rPr>
          <w:rFonts w:hint="eastAsia" w:ascii="宋体" w:hAnsi="宋体" w:cs="宋体"/>
          <w:color w:val="000000" w:themeColor="text1"/>
          <w:sz w:val="24"/>
          <w:highlight w:val="none"/>
          <w:u w:val="single"/>
          <w:lang w:eastAsia="zh-CN"/>
          <w14:textFill>
            <w14:solidFill>
              <w14:schemeClr w14:val="tx1"/>
            </w14:solidFill>
          </w14:textFill>
        </w:rPr>
        <w:t>投标人须知资料表</w:t>
      </w:r>
      <w:r>
        <w:rPr>
          <w:rFonts w:hint="eastAsia" w:ascii="宋体" w:hAnsi="宋体" w:cs="宋体"/>
          <w:color w:val="000000" w:themeColor="text1"/>
          <w:sz w:val="24"/>
          <w:highlight w:val="none"/>
          <w:u w:val="none"/>
          <w14:textFill>
            <w14:solidFill>
              <w14:schemeClr w14:val="tx1"/>
            </w14:solidFill>
          </w14:textFill>
        </w:rPr>
        <w:t>。</w:t>
      </w:r>
    </w:p>
    <w:p w14:paraId="1EFCE623">
      <w:pPr>
        <w:spacing w:line="360" w:lineRule="exact"/>
        <w:ind w:left="840" w:hanging="840" w:hangingChars="3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36.6   </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认为采购文件、采购过程和中标结果使自己的权益受到损害的，可以在知道或者应知其权益受到损害之日起7个工作日内，以书面形式向采购方提出质疑。</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应知其权益受到损害之日，是指：</w:t>
      </w:r>
    </w:p>
    <w:p w14:paraId="5A42C510">
      <w:pPr>
        <w:spacing w:line="360" w:lineRule="exact"/>
        <w:ind w:left="838" w:leftChars="342" w:hanging="120" w:hanging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（一）对可以质疑的采购文件提出质疑的，为收到采购文件之日或者采购文件公告期限届满之日；</w:t>
      </w:r>
    </w:p>
    <w:p w14:paraId="28AA765E">
      <w:pPr>
        <w:spacing w:line="360" w:lineRule="exact"/>
        <w:ind w:left="838" w:leftChars="342" w:hanging="120" w:hanging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（二）对采购过程提出质疑的，为各采购程序环节结束之日；</w:t>
      </w:r>
    </w:p>
    <w:p w14:paraId="260C0DD2">
      <w:pPr>
        <w:spacing w:line="360" w:lineRule="exact"/>
        <w:ind w:left="838" w:leftChars="342" w:hanging="120" w:hanging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（三）对中标结果提出质疑的，为中标结果公告期限届满之日。</w:t>
      </w:r>
    </w:p>
    <w:p w14:paraId="1CFC4D8C">
      <w:pPr>
        <w:spacing w:line="360" w:lineRule="exact"/>
        <w:ind w:left="840" w:hanging="840" w:hangingChars="3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36.7   </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有权提出一次质疑，不能多次提出。</w:t>
      </w:r>
    </w:p>
    <w:p w14:paraId="7C00F33A">
      <w:pPr>
        <w:spacing w:line="360" w:lineRule="exact"/>
        <w:ind w:left="840" w:hanging="840" w:hangingChars="3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36.8   对可以质疑的采购文件提出质疑的，质疑人为参与本项目的报价方或潜在报价方。可质疑的文件为采购公告以及采购文件（包括属于其组成部分的澄清、修改、补充文件和评审标准、合同文本等）。</w:t>
      </w:r>
    </w:p>
    <w:p w14:paraId="65D6B8A2">
      <w:pPr>
        <w:spacing w:line="360" w:lineRule="exact"/>
        <w:ind w:left="840" w:hanging="840" w:hangingChars="3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36.9   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719239C6">
      <w:pPr>
        <w:spacing w:line="360" w:lineRule="exact"/>
        <w:ind w:left="840" w:hanging="840" w:hangingChars="3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36.10  提出质疑应当符合下列条件：</w:t>
      </w:r>
    </w:p>
    <w:p w14:paraId="63DD60D0">
      <w:pPr>
        <w:spacing w:line="360" w:lineRule="exact"/>
        <w:ind w:left="838" w:leftChars="342" w:hanging="120" w:hanging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（一）质疑主体应当符合有关规定；</w:t>
      </w:r>
    </w:p>
    <w:p w14:paraId="635834C1">
      <w:pPr>
        <w:spacing w:line="360" w:lineRule="exact"/>
        <w:ind w:left="838" w:leftChars="342" w:hanging="120" w:hanging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（二）在质疑法定期限内提出；</w:t>
      </w:r>
    </w:p>
    <w:p w14:paraId="7167B2E4">
      <w:pPr>
        <w:spacing w:line="360" w:lineRule="exact"/>
        <w:ind w:left="838" w:leftChars="342" w:hanging="120" w:hanging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（三）属于可以提出质疑的政府采购事项受理范围和本项目采购人的管辖权范围；</w:t>
      </w:r>
    </w:p>
    <w:p w14:paraId="7DCCB935">
      <w:pPr>
        <w:spacing w:line="360" w:lineRule="exact"/>
        <w:ind w:left="838" w:leftChars="342" w:hanging="120" w:hanging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（四）政府采购法律、法规、规章规定的其他条件。</w:t>
      </w:r>
    </w:p>
    <w:p w14:paraId="2B9C660A">
      <w:pPr>
        <w:spacing w:line="360" w:lineRule="exact"/>
        <w:ind w:left="840" w:hanging="840" w:hangingChars="3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4C1381EB">
      <w:pPr>
        <w:spacing w:line="360" w:lineRule="exact"/>
        <w:ind w:left="840" w:hanging="840" w:hangingChars="3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36.12  质疑人所提供的证明材料应当具有真实性、合法性以及与质疑事项的关联性和证明力，否则不能作为认定该质疑事项成立的依据。</w:t>
      </w:r>
    </w:p>
    <w:p w14:paraId="61EC549B">
      <w:pPr>
        <w:spacing w:line="360" w:lineRule="exact"/>
        <w:ind w:left="840" w:hanging="840" w:hangingChars="3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36.13  质疑人提出质疑时应当提交质疑函。质疑函包括下列内容：</w:t>
      </w:r>
    </w:p>
    <w:p w14:paraId="29EEDA02">
      <w:pPr>
        <w:spacing w:line="360" w:lineRule="exact"/>
        <w:ind w:left="838" w:leftChars="342" w:hanging="120" w:hanging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（一）提出质疑的质疑人的名称、地址、邮编、联系人及联系电话等；</w:t>
      </w:r>
    </w:p>
    <w:p w14:paraId="1D9011B3">
      <w:pPr>
        <w:spacing w:line="360" w:lineRule="exact"/>
        <w:ind w:left="838" w:leftChars="342" w:hanging="120" w:hanging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（二）质疑项目的名称、编号；</w:t>
      </w:r>
    </w:p>
    <w:p w14:paraId="42F51EEA">
      <w:pPr>
        <w:spacing w:line="360" w:lineRule="exact"/>
        <w:ind w:left="838" w:leftChars="342" w:hanging="120" w:hanging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（三）质疑事项；</w:t>
      </w:r>
    </w:p>
    <w:p w14:paraId="5EFF8114">
      <w:pPr>
        <w:spacing w:line="360" w:lineRule="exact"/>
        <w:ind w:left="838" w:leftChars="342" w:hanging="120" w:hanging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（四）事实依据和证明材料；</w:t>
      </w:r>
    </w:p>
    <w:p w14:paraId="33D0B8D5">
      <w:pPr>
        <w:spacing w:line="360" w:lineRule="exact"/>
        <w:ind w:left="838" w:leftChars="342" w:hanging="120" w:hanging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（五）法律依据；</w:t>
      </w:r>
    </w:p>
    <w:p w14:paraId="5D81479A">
      <w:pPr>
        <w:spacing w:line="360" w:lineRule="exact"/>
        <w:ind w:left="838" w:leftChars="342" w:hanging="120" w:hanging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（六）提出质疑的日期。</w:t>
      </w:r>
    </w:p>
    <w:p w14:paraId="5DF8930E">
      <w:pPr>
        <w:spacing w:line="360" w:lineRule="exact"/>
        <w:ind w:left="840" w:leftChars="4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质疑函采用实名制。质疑人为自然人的应当由本人签字，并附有效身份证明文件；质疑人为法人或者非法人组织的应当由法定代表人或者负责人签字并加盖公章，并附有效身份证明文件。</w:t>
      </w:r>
    </w:p>
    <w:p w14:paraId="1EB9E429">
      <w:pPr>
        <w:spacing w:line="360" w:lineRule="exact"/>
        <w:ind w:left="840" w:hanging="840" w:hangingChars="3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36.14  质疑人可以委托代理人进行质疑。代理人应当提交授权委托书。授权委托书应当载明委托代理的具体权限、期限和相关事项。</w:t>
      </w:r>
    </w:p>
    <w:p w14:paraId="0061083E">
      <w:pPr>
        <w:spacing w:line="360" w:lineRule="exact"/>
        <w:ind w:left="840" w:hanging="840" w:hangingChars="3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36.15  质疑的审查和受理</w:t>
      </w:r>
    </w:p>
    <w:p w14:paraId="0FAEF9E2">
      <w:pPr>
        <w:spacing w:line="360" w:lineRule="exact"/>
        <w:ind w:left="840" w:leftChars="4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采购方在收到质疑函后应当及时审查是否符合质疑受理条件，对符合质疑受理条件的，及时予以受理。</w:t>
      </w:r>
    </w:p>
    <w:p w14:paraId="7326CDBA">
      <w:pPr>
        <w:spacing w:line="360" w:lineRule="exact"/>
        <w:ind w:left="840" w:hanging="840" w:hangingChars="3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36.16  对不符合质疑受理条件的，分别按照下列不同情形予以处理：</w:t>
      </w:r>
    </w:p>
    <w:p w14:paraId="7DD1BD22">
      <w:pPr>
        <w:spacing w:line="360" w:lineRule="exact"/>
        <w:ind w:left="838" w:leftChars="342" w:hanging="120" w:hanging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（一）质疑函内容不符合规定的，告知质疑人进行修改并重新提出质疑。修改后质疑事项仍不具体、不明确或者最终递交质疑函的时间超过质疑法定期限的，不予受理；</w:t>
      </w:r>
    </w:p>
    <w:p w14:paraId="0B9F83D7">
      <w:pPr>
        <w:spacing w:line="360" w:lineRule="exact"/>
        <w:ind w:left="838" w:leftChars="342" w:hanging="120" w:hanging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（二）质疑主体不符合有关规定的，告知质疑人不予受理；</w:t>
      </w:r>
    </w:p>
    <w:p w14:paraId="72C53E82">
      <w:pPr>
        <w:spacing w:line="360" w:lineRule="exact"/>
        <w:ind w:left="838" w:leftChars="342" w:hanging="120" w:hanging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（三）超过质疑法定期限提出质疑的，告知质疑人不予受理；</w:t>
      </w:r>
    </w:p>
    <w:p w14:paraId="74C6FF83">
      <w:pPr>
        <w:spacing w:line="360" w:lineRule="exact"/>
        <w:ind w:left="838" w:leftChars="342" w:hanging="120" w:hanging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（四）对不属于可以提出质疑的政府采购事项提出质疑的，告知质疑人不予受理；</w:t>
      </w:r>
    </w:p>
    <w:p w14:paraId="094E8FF3">
      <w:pPr>
        <w:spacing w:line="360" w:lineRule="exact"/>
        <w:ind w:left="838" w:leftChars="342" w:hanging="120" w:hanging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（五）质疑不属于本项目采购方管辖的，告知质疑人向有管辖权的采购人提出质疑；</w:t>
      </w:r>
    </w:p>
    <w:p w14:paraId="6DC932C1">
      <w:pPr>
        <w:spacing w:line="360" w:lineRule="exact"/>
        <w:ind w:left="838" w:leftChars="342" w:hanging="120" w:hanging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（六）质疑不符合其他条件的，告知质疑人不予受理。</w:t>
      </w:r>
    </w:p>
    <w:p w14:paraId="28876B4E">
      <w:pPr>
        <w:spacing w:line="360" w:lineRule="exact"/>
        <w:ind w:left="840" w:hanging="840" w:hangingChars="3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36.17  质疑的处理和答复</w:t>
      </w:r>
    </w:p>
    <w:p w14:paraId="694AFEC1">
      <w:pPr>
        <w:spacing w:line="360" w:lineRule="exact"/>
        <w:ind w:left="840" w:hanging="840" w:hangingChars="3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36.18  采购方受理质疑后，将及时把质疑函发送给被质疑人，并要求其在一定限期内提交书面答复，同时提供有关证据、依据和相关材料。</w:t>
      </w:r>
    </w:p>
    <w:p w14:paraId="4800230B">
      <w:pPr>
        <w:spacing w:line="360" w:lineRule="exact"/>
        <w:ind w:left="840" w:hanging="840" w:hangingChars="3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36.19  对于质疑事项中涉及的问题较多、情况比较复杂的，为了全面查清事实、取得充分的证据，采购方认为有必要时，可以进行调查取证或者组织质证。</w:t>
      </w:r>
    </w:p>
    <w:p w14:paraId="653456AC">
      <w:pPr>
        <w:spacing w:line="360" w:lineRule="exact"/>
        <w:ind w:left="840" w:hanging="840" w:hangingChars="3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36.20  对评审过程、中标结果提出质疑的，采购方可以组织原</w:t>
      </w:r>
      <w:r>
        <w:rPr>
          <w:rFonts w:hint="eastAsia" w:ascii="宋体" w:hAnsi="宋体" w:cs="宋体"/>
          <w:color w:val="000000" w:themeColor="text1"/>
          <w:sz w:val="24"/>
          <w:highlight w:val="none"/>
          <w:lang w:eastAsia="zh-CN"/>
          <w14:textFill>
            <w14:solidFill>
              <w14:schemeClr w14:val="tx1"/>
            </w14:solidFill>
          </w14:textFill>
        </w:rPr>
        <w:t>磋商小组</w:t>
      </w:r>
      <w:r>
        <w:rPr>
          <w:rFonts w:hint="eastAsia" w:ascii="宋体" w:hAnsi="宋体" w:cs="宋体"/>
          <w:color w:val="000000" w:themeColor="text1"/>
          <w:sz w:val="24"/>
          <w:highlight w:val="none"/>
          <w14:textFill>
            <w14:solidFill>
              <w14:schemeClr w14:val="tx1"/>
            </w14:solidFill>
          </w14:textFill>
        </w:rPr>
        <w:t>协助答复质疑。</w:t>
      </w:r>
    </w:p>
    <w:p w14:paraId="63FA6FCC">
      <w:pPr>
        <w:spacing w:line="360" w:lineRule="exact"/>
        <w:ind w:left="840" w:hanging="840" w:hangingChars="3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36.21  质疑处理过程中，质疑人书面申请撤回质疑的，将终止质疑处理程序。</w:t>
      </w:r>
    </w:p>
    <w:p w14:paraId="23602A7F">
      <w:pPr>
        <w:spacing w:line="360" w:lineRule="exact"/>
        <w:ind w:left="840" w:hanging="840" w:hangingChars="3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36.22  质疑人拒绝配合采购方依法对质疑进行调查处理的，采购方将按质疑人自动撤回质疑处理；被质疑人拒绝配合采购方依法对质疑进行调查处理的，采购方将视同其认可质疑事项。</w:t>
      </w:r>
    </w:p>
    <w:p w14:paraId="399B6D0F">
      <w:pPr>
        <w:spacing w:line="360" w:lineRule="exact"/>
        <w:ind w:left="840" w:hanging="840" w:hangingChars="3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36.23  质疑人拒绝配合采购方依法对质疑进行调查处理的，采购方将按质疑人自动撤回质疑处理；被质疑人拒绝配合采购方依法对质疑进行调查处理的，采购方将视同其认可质疑事项。</w:t>
      </w:r>
    </w:p>
    <w:p w14:paraId="4F20056C">
      <w:pPr>
        <w:spacing w:line="360" w:lineRule="exact"/>
        <w:ind w:left="840" w:hanging="840" w:hangingChars="350"/>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36.24  采购方将在正式受理质疑后7个工作日内作出答复。 </w:t>
      </w:r>
    </w:p>
    <w:p w14:paraId="4FB83640">
      <w:pPr>
        <w:pStyle w:val="49"/>
        <w:spacing w:line="360" w:lineRule="exact"/>
        <w:ind w:left="840" w:hanging="840" w:hangingChars="35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36.25  质疑答复应当包括下列内容：</w:t>
      </w:r>
    </w:p>
    <w:p w14:paraId="0F769773">
      <w:pPr>
        <w:pStyle w:val="49"/>
        <w:spacing w:line="360" w:lineRule="exact"/>
        <w:ind w:left="838" w:leftChars="342" w:hanging="120" w:hangingChars="5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（一）质疑人的姓名或者名称；</w:t>
      </w:r>
    </w:p>
    <w:p w14:paraId="38F08E19">
      <w:pPr>
        <w:pStyle w:val="49"/>
        <w:spacing w:line="360" w:lineRule="exact"/>
        <w:ind w:left="838" w:leftChars="342" w:hanging="120" w:hangingChars="5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（二）收到质疑函的日期、质疑项目名称及编号；</w:t>
      </w:r>
    </w:p>
    <w:p w14:paraId="2FC9F191">
      <w:pPr>
        <w:pStyle w:val="49"/>
        <w:spacing w:line="360" w:lineRule="exact"/>
        <w:ind w:left="838" w:leftChars="342" w:hanging="120" w:hangingChars="5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（三）质疑事项、质疑答复的具体内容、事实依据和法律依据；</w:t>
      </w:r>
    </w:p>
    <w:p w14:paraId="508EF84A">
      <w:pPr>
        <w:pStyle w:val="49"/>
        <w:spacing w:line="360" w:lineRule="exact"/>
        <w:ind w:left="838" w:leftChars="342" w:hanging="120" w:hangingChars="5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（四）告知质疑</w:t>
      </w:r>
      <w:r>
        <w:rPr>
          <w:rFonts w:hint="eastAsia" w:hAnsi="宋体"/>
          <w:color w:val="000000" w:themeColor="text1"/>
          <w:highlight w:val="none"/>
          <w:lang w:eastAsia="zh-CN"/>
          <w14:textFill>
            <w14:solidFill>
              <w14:schemeClr w14:val="tx1"/>
            </w14:solidFill>
          </w14:textFill>
        </w:rPr>
        <w:t>投标人</w:t>
      </w:r>
      <w:r>
        <w:rPr>
          <w:rFonts w:hint="eastAsia" w:hAnsi="宋体"/>
          <w:color w:val="000000" w:themeColor="text1"/>
          <w:highlight w:val="none"/>
          <w14:textFill>
            <w14:solidFill>
              <w14:schemeClr w14:val="tx1"/>
            </w14:solidFill>
          </w14:textFill>
        </w:rPr>
        <w:t>依法投诉的权利；</w:t>
      </w:r>
    </w:p>
    <w:p w14:paraId="20798ACC">
      <w:pPr>
        <w:pStyle w:val="49"/>
        <w:spacing w:line="360" w:lineRule="exact"/>
        <w:ind w:left="838" w:leftChars="342" w:hanging="120" w:hangingChars="5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（五）质疑答复人名称；</w:t>
      </w:r>
    </w:p>
    <w:p w14:paraId="4E93AE2D">
      <w:pPr>
        <w:pStyle w:val="49"/>
        <w:spacing w:line="360" w:lineRule="exact"/>
        <w:ind w:left="838" w:leftChars="342" w:hanging="120" w:hangingChars="5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（六）答复质疑的日期。</w:t>
      </w:r>
    </w:p>
    <w:p w14:paraId="4E5938E7">
      <w:pPr>
        <w:spacing w:line="360" w:lineRule="exact"/>
        <w:jc w:val="center"/>
        <w:outlineLvl w:val="2"/>
        <w:rPr>
          <w:rFonts w:hint="eastAsia" w:ascii="宋体" w:hAnsi="宋体" w:cs="宋体"/>
          <w:b/>
          <w:bCs/>
          <w:color w:val="000000" w:themeColor="text1"/>
          <w:sz w:val="24"/>
          <w:highlight w:val="none"/>
          <w14:textFill>
            <w14:solidFill>
              <w14:schemeClr w14:val="tx1"/>
            </w14:solidFill>
          </w14:textFill>
        </w:rPr>
      </w:pPr>
      <w:bookmarkStart w:id="236" w:name="_Toc27146"/>
      <w:bookmarkStart w:id="237" w:name="_Toc16652"/>
      <w:bookmarkStart w:id="238" w:name="_Toc18518"/>
      <w:bookmarkStart w:id="239" w:name="_Toc13021"/>
      <w:bookmarkStart w:id="240" w:name="_Toc23411"/>
      <w:bookmarkStart w:id="241" w:name="_Toc11297"/>
      <w:bookmarkStart w:id="242" w:name="_Toc4981"/>
      <w:bookmarkStart w:id="243" w:name="_Toc24946"/>
      <w:bookmarkStart w:id="244" w:name="_Toc12088"/>
      <w:bookmarkStart w:id="245" w:name="_Toc2072"/>
      <w:bookmarkStart w:id="246" w:name="_Toc5602"/>
      <w:bookmarkStart w:id="247" w:name="_Toc2799"/>
      <w:bookmarkStart w:id="248" w:name="_Toc8353"/>
      <w:bookmarkStart w:id="249" w:name="_Toc1369"/>
      <w:bookmarkStart w:id="250" w:name="_Toc2500"/>
      <w:bookmarkStart w:id="251" w:name="_Toc3696"/>
      <w:bookmarkStart w:id="252" w:name="_Toc25636"/>
      <w:bookmarkStart w:id="253" w:name="_Toc16553"/>
      <w:bookmarkStart w:id="254" w:name="_Toc6493"/>
      <w:bookmarkStart w:id="255" w:name="_Toc30512"/>
      <w:bookmarkStart w:id="256" w:name="_Toc27096"/>
      <w:bookmarkStart w:id="257" w:name="_Toc30855"/>
      <w:bookmarkStart w:id="258" w:name="_Toc9437"/>
      <w:bookmarkStart w:id="259" w:name="_Toc1819"/>
      <w:bookmarkStart w:id="260" w:name="_Toc14742"/>
      <w:bookmarkStart w:id="261" w:name="_Toc11973"/>
      <w:bookmarkStart w:id="262" w:name="_Toc27601"/>
      <w:bookmarkStart w:id="263" w:name="_Toc22908"/>
      <w:bookmarkStart w:id="264" w:name="_Toc30093"/>
    </w:p>
    <w:p w14:paraId="355EBCE0">
      <w:pPr>
        <w:spacing w:line="360" w:lineRule="exact"/>
        <w:jc w:val="center"/>
        <w:outlineLvl w:val="2"/>
        <w:rPr>
          <w:rFonts w:hint="eastAsia" w:ascii="宋体" w:hAnsi="宋体" w:cs="宋体"/>
          <w:b/>
          <w:bCs/>
          <w:color w:val="000000" w:themeColor="text1"/>
          <w:sz w:val="24"/>
          <w:highlight w:val="none"/>
          <w14:textFill>
            <w14:solidFill>
              <w14:schemeClr w14:val="tx1"/>
            </w14:solidFill>
          </w14:textFill>
        </w:rPr>
      </w:pPr>
    </w:p>
    <w:p w14:paraId="2498611E">
      <w:pPr>
        <w:spacing w:line="360" w:lineRule="exact"/>
        <w:jc w:val="center"/>
        <w:outlineLvl w:val="2"/>
        <w:rPr>
          <w:rFonts w:hint="eastAsia" w:ascii="宋体" w:hAnsi="宋体" w:cs="宋体"/>
          <w:b/>
          <w:bCs/>
          <w:color w:val="000000" w:themeColor="text1"/>
          <w:sz w:val="24"/>
          <w:highlight w:val="none"/>
          <w14:textFill>
            <w14:solidFill>
              <w14:schemeClr w14:val="tx1"/>
            </w14:solidFill>
          </w14:textFill>
        </w:rPr>
      </w:pPr>
    </w:p>
    <w:p w14:paraId="7582DD89">
      <w:pPr>
        <w:spacing w:line="360" w:lineRule="exact"/>
        <w:jc w:val="center"/>
        <w:outlineLvl w:val="2"/>
        <w:rPr>
          <w:rFonts w:hint="eastAsia" w:ascii="宋体" w:hAnsi="宋体" w:cs="宋体"/>
          <w:b/>
          <w:bCs/>
          <w:color w:val="000000" w:themeColor="text1"/>
          <w:sz w:val="24"/>
          <w:highlight w:val="none"/>
          <w14:textFill>
            <w14:solidFill>
              <w14:schemeClr w14:val="tx1"/>
            </w14:solidFill>
          </w14:textFill>
        </w:rPr>
      </w:pPr>
    </w:p>
    <w:p w14:paraId="2F74B80A">
      <w:pPr>
        <w:spacing w:line="360" w:lineRule="exact"/>
        <w:jc w:val="center"/>
        <w:outlineLvl w:val="2"/>
        <w:rPr>
          <w:rFonts w:hint="eastAsia" w:ascii="宋体" w:hAnsi="宋体" w:cs="宋体"/>
          <w:b/>
          <w:bCs/>
          <w:color w:val="000000" w:themeColor="text1"/>
          <w:sz w:val="24"/>
          <w:highlight w:val="none"/>
          <w14:textFill>
            <w14:solidFill>
              <w14:schemeClr w14:val="tx1"/>
            </w14:solidFill>
          </w14:textFill>
        </w:rPr>
      </w:pPr>
    </w:p>
    <w:p w14:paraId="727732A8">
      <w:pPr>
        <w:spacing w:line="360" w:lineRule="exact"/>
        <w:jc w:val="center"/>
        <w:outlineLvl w:val="2"/>
        <w:rPr>
          <w:rFonts w:hint="eastAsia" w:ascii="宋体" w:hAnsi="宋体" w:cs="宋体"/>
          <w:b/>
          <w:bCs/>
          <w:color w:val="000000" w:themeColor="text1"/>
          <w:sz w:val="24"/>
          <w:highlight w:val="none"/>
          <w14:textFill>
            <w14:solidFill>
              <w14:schemeClr w14:val="tx1"/>
            </w14:solidFill>
          </w14:textFill>
        </w:rPr>
      </w:pPr>
    </w:p>
    <w:p w14:paraId="0689A202">
      <w:pPr>
        <w:spacing w:line="360" w:lineRule="exact"/>
        <w:jc w:val="center"/>
        <w:outlineLvl w:val="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质疑函范本</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4545610C">
      <w:pPr>
        <w:adjustRightInd w:val="0"/>
        <w:snapToGrid w:val="0"/>
        <w:spacing w:line="360" w:lineRule="exac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w:t>
      </w:r>
      <w:r>
        <w:rPr>
          <w:rFonts w:hint="eastAsia" w:ascii="宋体" w:hAnsi="宋体" w:cs="宋体"/>
          <w:bCs/>
          <w:color w:val="000000" w:themeColor="text1"/>
          <w:sz w:val="24"/>
          <w:highlight w:val="none"/>
          <w:lang w:eastAsia="zh-CN"/>
          <w14:textFill>
            <w14:solidFill>
              <w14:schemeClr w14:val="tx1"/>
            </w14:solidFill>
          </w14:textFill>
        </w:rPr>
        <w:t>投标人</w:t>
      </w:r>
      <w:r>
        <w:rPr>
          <w:rFonts w:hint="eastAsia" w:ascii="宋体" w:hAnsi="宋体" w:cs="宋体"/>
          <w:bCs/>
          <w:color w:val="000000" w:themeColor="text1"/>
          <w:sz w:val="24"/>
          <w:highlight w:val="none"/>
          <w14:textFill>
            <w14:solidFill>
              <w14:schemeClr w14:val="tx1"/>
            </w14:solidFill>
          </w14:textFill>
        </w:rPr>
        <w:t>基本信息</w:t>
      </w:r>
    </w:p>
    <w:p w14:paraId="7D4FA5F6">
      <w:pPr>
        <w:adjustRightInd w:val="0"/>
        <w:snapToGrid w:val="0"/>
        <w:spacing w:line="360" w:lineRule="exact"/>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2A526217">
      <w:pPr>
        <w:adjustRightInd w:val="0"/>
        <w:snapToGrid w:val="0"/>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dotted"/>
          <w14:textFill>
            <w14:solidFill>
              <w14:schemeClr w14:val="tx1"/>
            </w14:solidFill>
          </w14:textFill>
        </w:rPr>
        <w:t xml:space="preserve">                    </w:t>
      </w:r>
    </w:p>
    <w:p w14:paraId="7DD0AF1A">
      <w:pPr>
        <w:adjustRightInd w:val="0"/>
        <w:snapToGrid w:val="0"/>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single"/>
          <w14:textFill>
            <w14:solidFill>
              <w14:schemeClr w14:val="tx1"/>
            </w14:solidFill>
          </w14:textFill>
        </w:rPr>
        <w:t xml:space="preserve">                              </w:t>
      </w:r>
    </w:p>
    <w:p w14:paraId="3B329146">
      <w:pPr>
        <w:adjustRightInd w:val="0"/>
        <w:snapToGrid w:val="0"/>
        <w:spacing w:line="360" w:lineRule="exact"/>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single"/>
          <w14:textFill>
            <w14:solidFill>
              <w14:schemeClr w14:val="tx1"/>
            </w14:solidFill>
          </w14:textFill>
        </w:rPr>
        <w:t xml:space="preserve">                                          </w:t>
      </w:r>
    </w:p>
    <w:p w14:paraId="1D144D2E">
      <w:pPr>
        <w:adjustRightInd w:val="0"/>
        <w:snapToGrid w:val="0"/>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single"/>
          <w14:textFill>
            <w14:solidFill>
              <w14:schemeClr w14:val="tx1"/>
            </w14:solidFill>
          </w14:textFill>
        </w:rPr>
        <w:t xml:space="preserve">                                          </w:t>
      </w:r>
    </w:p>
    <w:p w14:paraId="453C56E7">
      <w:pPr>
        <w:adjustRightInd w:val="0"/>
        <w:snapToGrid w:val="0"/>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dotted"/>
          <w14:textFill>
            <w14:solidFill>
              <w14:schemeClr w14:val="tx1"/>
            </w14:solidFill>
          </w14:textFill>
        </w:rPr>
        <w:t xml:space="preserve">               </w:t>
      </w:r>
    </w:p>
    <w:p w14:paraId="200D4D58">
      <w:pPr>
        <w:adjustRightInd w:val="0"/>
        <w:snapToGrid w:val="0"/>
        <w:spacing w:line="360" w:lineRule="exac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14:paraId="229D6146">
      <w:pPr>
        <w:adjustRightInd w:val="0"/>
        <w:snapToGrid w:val="0"/>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single"/>
          <w14:textFill>
            <w14:solidFill>
              <w14:schemeClr w14:val="tx1"/>
            </w14:solidFill>
          </w14:textFill>
        </w:rPr>
        <w:t xml:space="preserve">                                      </w:t>
      </w:r>
    </w:p>
    <w:p w14:paraId="60863E73">
      <w:pPr>
        <w:adjustRightInd w:val="0"/>
        <w:snapToGrid w:val="0"/>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single"/>
          <w14:textFill>
            <w14:solidFill>
              <w14:schemeClr w14:val="tx1"/>
            </w14:solidFill>
          </w14:textFill>
        </w:rPr>
        <w:t xml:space="preserve">                 </w:t>
      </w:r>
    </w:p>
    <w:p w14:paraId="1BC8D90F">
      <w:pPr>
        <w:adjustRightInd w:val="0"/>
        <w:snapToGrid w:val="0"/>
        <w:spacing w:line="360" w:lineRule="exac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single"/>
          <w14:textFill>
            <w14:solidFill>
              <w14:schemeClr w14:val="tx1"/>
            </w14:solidFill>
          </w14:textFill>
        </w:rPr>
        <w:t xml:space="preserve">                                         </w:t>
      </w:r>
    </w:p>
    <w:p w14:paraId="0665A08C">
      <w:pPr>
        <w:adjustRightInd w:val="0"/>
        <w:snapToGrid w:val="0"/>
        <w:spacing w:line="360" w:lineRule="exac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single"/>
          <w14:textFill>
            <w14:solidFill>
              <w14:schemeClr w14:val="tx1"/>
            </w14:solidFill>
          </w14:textFill>
        </w:rPr>
        <w:t xml:space="preserve">                                           </w:t>
      </w:r>
    </w:p>
    <w:p w14:paraId="025AA42F">
      <w:pPr>
        <w:adjustRightInd w:val="0"/>
        <w:snapToGrid w:val="0"/>
        <w:spacing w:line="360" w:lineRule="exac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14:paraId="4A9DFF8F">
      <w:pPr>
        <w:adjustRightInd w:val="0"/>
        <w:snapToGrid w:val="0"/>
        <w:spacing w:line="360" w:lineRule="exact"/>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single"/>
          <w14:textFill>
            <w14:solidFill>
              <w14:schemeClr w14:val="tx1"/>
            </w14:solidFill>
          </w14:textFill>
        </w:rPr>
        <w:t xml:space="preserve">                                         </w:t>
      </w:r>
    </w:p>
    <w:p w14:paraId="6F1625EE">
      <w:pPr>
        <w:adjustRightInd w:val="0"/>
        <w:snapToGrid w:val="0"/>
        <w:spacing w:line="360" w:lineRule="exac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single"/>
          <w14:textFill>
            <w14:solidFill>
              <w14:schemeClr w14:val="tx1"/>
            </w14:solidFill>
          </w14:textFill>
        </w:rPr>
        <w:t xml:space="preserve">                                          </w:t>
      </w:r>
    </w:p>
    <w:p w14:paraId="409029FD">
      <w:pPr>
        <w:adjustRightInd w:val="0"/>
        <w:snapToGrid w:val="0"/>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p>
    <w:p w14:paraId="4AA65C14">
      <w:pPr>
        <w:adjustRightInd w:val="0"/>
        <w:snapToGrid w:val="0"/>
        <w:spacing w:line="360" w:lineRule="exac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single"/>
          <w14:textFill>
            <w14:solidFill>
              <w14:schemeClr w14:val="tx1"/>
            </w14:solidFill>
          </w14:textFill>
        </w:rPr>
        <w:t xml:space="preserve">                                          </w:t>
      </w:r>
    </w:p>
    <w:p w14:paraId="3F62F265">
      <w:pPr>
        <w:adjustRightInd w:val="0"/>
        <w:snapToGrid w:val="0"/>
        <w:spacing w:line="360" w:lineRule="exact"/>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p>
    <w:p w14:paraId="5FAC004F">
      <w:pPr>
        <w:adjustRightInd w:val="0"/>
        <w:snapToGrid w:val="0"/>
        <w:spacing w:line="360" w:lineRule="exact"/>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481038E7">
      <w:pPr>
        <w:adjustRightInd w:val="0"/>
        <w:snapToGrid w:val="0"/>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04C6DD61">
      <w:pPr>
        <w:adjustRightInd w:val="0"/>
        <w:snapToGrid w:val="0"/>
        <w:spacing w:line="360" w:lineRule="exac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14:paraId="23881B49">
      <w:pPr>
        <w:adjustRightInd w:val="0"/>
        <w:snapToGrid w:val="0"/>
        <w:spacing w:line="360" w:lineRule="exac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single"/>
          <w14:textFill>
            <w14:solidFill>
              <w14:schemeClr w14:val="tx1"/>
            </w14:solidFill>
          </w14:textFill>
        </w:rPr>
        <w:t xml:space="preserve">                                               </w:t>
      </w:r>
    </w:p>
    <w:p w14:paraId="45A53937">
      <w:pPr>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69317B05">
      <w:pPr>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0B98CCD8">
      <w:pPr>
        <w:spacing w:line="360" w:lineRule="exact"/>
        <w:rPr>
          <w:rFonts w:hint="eastAsia" w:ascii="宋体" w:hAnsi="宋体" w:cs="宋体"/>
          <w:b/>
          <w:color w:val="000000" w:themeColor="text1"/>
          <w:sz w:val="24"/>
          <w:highlight w:val="none"/>
          <w14:textFill>
            <w14:solidFill>
              <w14:schemeClr w14:val="tx1"/>
            </w14:solidFill>
          </w14:textFill>
        </w:rPr>
      </w:pPr>
    </w:p>
    <w:p w14:paraId="612D623C">
      <w:pPr>
        <w:spacing w:line="360" w:lineRule="exac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14:paraId="0AC6D9A9">
      <w:pPr>
        <w:widowControl/>
        <w:spacing w:line="36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提出质疑时，应提交质疑函和必要的证明材料。</w:t>
      </w:r>
    </w:p>
    <w:p w14:paraId="7DC41907">
      <w:pPr>
        <w:widowControl/>
        <w:spacing w:line="36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若委托代理人进行质疑的，质疑函应按要求列明“授权代表”的有关内容，并在附件中提交由质疑</w:t>
      </w:r>
      <w:r>
        <w:rPr>
          <w:rFonts w:hint="eastAsia" w:ascii="宋体" w:hAnsi="宋体" w:cs="宋体"/>
          <w:color w:val="000000" w:themeColor="text1"/>
          <w:kern w:val="0"/>
          <w:sz w:val="24"/>
          <w:highlight w:val="none"/>
          <w:lang w:eastAsia="zh-CN"/>
          <w14:textFill>
            <w14:solidFill>
              <w14:schemeClr w14:val="tx1"/>
            </w14:solidFill>
          </w14:textFill>
        </w:rPr>
        <w:t>投标人</w:t>
      </w:r>
      <w:r>
        <w:rPr>
          <w:rFonts w:hint="eastAsia" w:ascii="宋体" w:hAnsi="宋体" w:cs="宋体"/>
          <w:color w:val="000000" w:themeColor="text1"/>
          <w:kern w:val="0"/>
          <w:sz w:val="24"/>
          <w:highlight w:val="none"/>
          <w14:textFill>
            <w14:solidFill>
              <w14:schemeClr w14:val="tx1"/>
            </w14:solidFill>
          </w14:textFill>
        </w:rPr>
        <w:t>签署的授权委托书。授权委托书应载明代理人的姓名或者名称、代理事项、具体权限、期限和相关事项。</w:t>
      </w:r>
    </w:p>
    <w:p w14:paraId="5E00C7A8">
      <w:pPr>
        <w:widowControl/>
        <w:spacing w:line="36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若对项目的某一分包进行质疑，质疑函中应列明具体分包号。</w:t>
      </w:r>
    </w:p>
    <w:p w14:paraId="4467EC54">
      <w:pPr>
        <w:widowControl/>
        <w:spacing w:line="36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14:paraId="2792E51C">
      <w:pPr>
        <w:widowControl/>
        <w:spacing w:line="36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14:paraId="6FF8151D">
      <w:pPr>
        <w:widowControl/>
        <w:spacing w:line="36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为自然人的，质疑函应由本人签字；质疑</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为法人或者其他组织的，质疑函应由法定代表人、主要负责人，或者其授权代表签字或者盖章，并加盖公章。</w:t>
      </w:r>
    </w:p>
    <w:p w14:paraId="4104F0C0">
      <w:pPr>
        <w:keepNext w:val="0"/>
        <w:keepLines w:val="0"/>
        <w:pageBreakBefore w:val="0"/>
        <w:widowControl w:val="0"/>
        <w:kinsoku/>
        <w:wordWrap/>
        <w:overflowPunct/>
        <w:topLinePunct w:val="0"/>
        <w:bidi w:val="0"/>
        <w:spacing w:line="360" w:lineRule="exact"/>
        <w:ind w:left="0" w:leftChars="0"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265" w:name="_Toc11469"/>
      <w:bookmarkStart w:id="266" w:name="_Toc21748"/>
      <w:bookmarkStart w:id="267" w:name="_Toc16186"/>
      <w:bookmarkStart w:id="268" w:name="_Toc515647799"/>
    </w:p>
    <w:bookmarkEnd w:id="265"/>
    <w:bookmarkEnd w:id="266"/>
    <w:bookmarkEnd w:id="267"/>
    <w:bookmarkEnd w:id="268"/>
    <w:p w14:paraId="710F0C7D">
      <w:pPr>
        <w:pStyle w:val="3"/>
        <w:keepNext w:val="0"/>
        <w:keepLines w:val="0"/>
        <w:pageBreakBefore w:val="0"/>
        <w:widowControl w:val="0"/>
        <w:numPr>
          <w:ilvl w:val="0"/>
          <w:numId w:val="1"/>
        </w:numPr>
        <w:kinsoku/>
        <w:overflowPunct/>
        <w:bidi w:val="0"/>
        <w:spacing w:before="0" w:after="0" w:line="240" w:lineRule="atLeast"/>
        <w:ind w:left="4650" w:leftChars="0" w:firstLineChars="0"/>
        <w:jc w:val="both"/>
        <w:rPr>
          <w:rFonts w:hint="eastAsia" w:ascii="宋体" w:hAnsi="宋体" w:eastAsia="宋体" w:cs="宋体"/>
          <w:color w:val="000000" w:themeColor="text1"/>
          <w:highlight w:val="none"/>
          <w14:textFill>
            <w14:solidFill>
              <w14:schemeClr w14:val="tx1"/>
            </w14:solidFill>
          </w14:textFill>
        </w:rPr>
      </w:pPr>
      <w:bookmarkStart w:id="269" w:name="_Toc702"/>
      <w:bookmarkStart w:id="270" w:name="_Toc515647802"/>
      <w:bookmarkStart w:id="271" w:name="_Toc728"/>
      <w:bookmarkStart w:id="272" w:name="_Toc216582812"/>
      <w:bookmarkStart w:id="273" w:name="_Toc19692"/>
      <w:r>
        <w:rPr>
          <w:rFonts w:hint="eastAsia" w:hAnsi="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格式</w:t>
      </w:r>
      <w:bookmarkEnd w:id="269"/>
      <w:bookmarkEnd w:id="270"/>
      <w:bookmarkEnd w:id="271"/>
      <w:bookmarkEnd w:id="272"/>
      <w:bookmarkEnd w:id="273"/>
    </w:p>
    <w:p w14:paraId="355B60D1">
      <w:pPr>
        <w:pStyle w:val="4"/>
        <w:keepNext w:val="0"/>
        <w:keepLines w:val="0"/>
        <w:pageBreakBefore w:val="0"/>
        <w:widowControl w:val="0"/>
        <w:kinsoku/>
        <w:overflowPunct/>
        <w:bidi w:val="0"/>
        <w:spacing w:before="0" w:line="240" w:lineRule="atLeast"/>
        <w:jc w:val="center"/>
        <w:rPr>
          <w:rFonts w:hint="eastAsia" w:ascii="宋体" w:hAnsi="宋体" w:eastAsia="宋体" w:cs="宋体"/>
          <w:color w:val="000000" w:themeColor="text1"/>
          <w:sz w:val="28"/>
          <w:szCs w:val="28"/>
          <w:highlight w:val="none"/>
          <w14:textFill>
            <w14:solidFill>
              <w14:schemeClr w14:val="tx1"/>
            </w14:solidFill>
          </w14:textFill>
        </w:rPr>
      </w:pPr>
      <w:bookmarkStart w:id="274" w:name="_Toc18694"/>
      <w:bookmarkStart w:id="275" w:name="_Toc6220"/>
      <w:bookmarkStart w:id="276" w:name="_Toc18974"/>
      <w:bookmarkStart w:id="277" w:name="_Toc515647803"/>
      <w:r>
        <w:rPr>
          <w:rFonts w:hint="eastAsia" w:ascii="宋体" w:hAnsi="宋体" w:eastAsia="宋体" w:cs="宋体"/>
          <w:color w:val="000000" w:themeColor="text1"/>
          <w:sz w:val="28"/>
          <w:szCs w:val="28"/>
          <w:highlight w:val="none"/>
          <w14:textFill>
            <w14:solidFill>
              <w14:schemeClr w14:val="tx1"/>
            </w14:solidFill>
          </w14:textFill>
        </w:rPr>
        <w:t>第一部分 开标一览表及资格证明文件</w:t>
      </w:r>
      <w:bookmarkEnd w:id="274"/>
      <w:bookmarkEnd w:id="275"/>
      <w:bookmarkEnd w:id="276"/>
      <w:bookmarkEnd w:id="277"/>
    </w:p>
    <w:p w14:paraId="1094345E">
      <w:pPr>
        <w:keepNext w:val="0"/>
        <w:keepLines w:val="0"/>
        <w:pageBreakBefore w:val="0"/>
        <w:widowControl w:val="0"/>
        <w:kinsoku/>
        <w:overflowPunct/>
        <w:bidi w:val="0"/>
        <w:spacing w:line="240" w:lineRule="atLeast"/>
        <w:ind w:left="708" w:hanging="708" w:hangingChars="295"/>
        <w:jc w:val="center"/>
        <w:rPr>
          <w:rFonts w:hint="eastAsia" w:ascii="宋体" w:hAnsi="宋体" w:eastAsia="宋体" w:cs="宋体"/>
          <w:color w:val="000000" w:themeColor="text1"/>
          <w:sz w:val="24"/>
          <w:highlight w:val="none"/>
          <w14:textFill>
            <w14:solidFill>
              <w14:schemeClr w14:val="tx1"/>
            </w14:solidFill>
          </w14:textFill>
        </w:rPr>
      </w:pPr>
    </w:p>
    <w:p w14:paraId="46D37DF9">
      <w:pPr>
        <w:keepNext w:val="0"/>
        <w:keepLines w:val="0"/>
        <w:pageBreakBefore w:val="0"/>
        <w:widowControl w:val="0"/>
        <w:tabs>
          <w:tab w:val="left" w:pos="5580"/>
        </w:tabs>
        <w:kinsoku/>
        <w:overflowPunct/>
        <w:bidi w:val="0"/>
        <w:spacing w:line="3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1、开标一览表；</w:t>
      </w:r>
    </w:p>
    <w:p w14:paraId="51F5AC23">
      <w:pPr>
        <w:keepNext w:val="0"/>
        <w:keepLines w:val="0"/>
        <w:pageBreakBefore w:val="0"/>
        <w:widowControl w:val="0"/>
        <w:tabs>
          <w:tab w:val="left" w:pos="5580"/>
        </w:tabs>
        <w:kinsoku/>
        <w:overflowPunct/>
        <w:bidi w:val="0"/>
        <w:spacing w:line="360" w:lineRule="exac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单位三证合一营业执照</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0A1F5C1D">
      <w:pPr>
        <w:keepNext w:val="0"/>
        <w:keepLines w:val="0"/>
        <w:pageBreakBefore w:val="0"/>
        <w:widowControl w:val="0"/>
        <w:tabs>
          <w:tab w:val="left" w:pos="5580"/>
        </w:tabs>
        <w:kinsoku/>
        <w:overflowPunct/>
        <w:bidi w:val="0"/>
        <w:spacing w:line="360" w:lineRule="exact"/>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3、《食品经营许可证》；</w:t>
      </w:r>
    </w:p>
    <w:p w14:paraId="77A21D06">
      <w:pPr>
        <w:keepNext w:val="0"/>
        <w:keepLines w:val="0"/>
        <w:pageBreakBefore w:val="0"/>
        <w:widowControl w:val="0"/>
        <w:tabs>
          <w:tab w:val="left" w:pos="5580"/>
        </w:tabs>
        <w:kinsoku/>
        <w:overflowPunct/>
        <w:bidi w:val="0"/>
        <w:spacing w:line="360" w:lineRule="exact"/>
        <w:rPr>
          <w:rFonts w:hint="eastAsia" w:eastAsia="宋体"/>
          <w:color w:val="000000" w:themeColor="text1"/>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法定代表人身份证明书；法定代表人授权委托书</w:t>
      </w:r>
      <w:r>
        <w:rPr>
          <w:rFonts w:hint="eastAsia" w:ascii="宋体" w:hAnsi="宋体" w:eastAsia="宋体" w:cs="宋体"/>
          <w:color w:val="000000" w:themeColor="text1"/>
          <w:sz w:val="24"/>
          <w:highlight w:val="none"/>
          <w14:textFill>
            <w14:solidFill>
              <w14:schemeClr w14:val="tx1"/>
            </w14:solidFill>
          </w14:textFill>
        </w:rPr>
        <w:t>；</w:t>
      </w:r>
    </w:p>
    <w:p w14:paraId="0643CFF8">
      <w:pPr>
        <w:keepNext w:val="0"/>
        <w:keepLines w:val="0"/>
        <w:pageBreakBefore w:val="0"/>
        <w:widowControl w:val="0"/>
        <w:tabs>
          <w:tab w:val="left" w:pos="5580"/>
        </w:tabs>
        <w:kinsoku/>
        <w:overflowPunct/>
        <w:bidi w:val="0"/>
        <w:spacing w:line="36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依法缴纳近六个月中任意一个月的社保凭证；依法缴纳近六个月任意一个月的税收良好记录证明（</w:t>
      </w:r>
      <w:r>
        <w:rPr>
          <w:rFonts w:hint="eastAsia" w:ascii="宋体" w:hAnsi="宋体" w:eastAsia="宋体" w:cs="宋体"/>
          <w:color w:val="000000" w:themeColor="text1"/>
          <w:sz w:val="24"/>
          <w:highlight w:val="none"/>
          <w:lang w:val="en-US" w:eastAsia="zh-CN"/>
          <w14:textFill>
            <w14:solidFill>
              <w14:schemeClr w14:val="tx1"/>
            </w14:solidFill>
          </w14:textFill>
        </w:rPr>
        <w:t>零申报需加盖税务机关章、无拖欠税收证明需加盖税务机关章、</w:t>
      </w:r>
      <w:r>
        <w:rPr>
          <w:rFonts w:hint="eastAsia" w:ascii="宋体" w:hAnsi="宋体" w:eastAsia="宋体" w:cs="宋体"/>
          <w:color w:val="000000" w:themeColor="text1"/>
          <w:sz w:val="24"/>
          <w:highlight w:val="none"/>
          <w:lang w:eastAsia="zh-CN"/>
          <w14:textFill>
            <w14:solidFill>
              <w14:schemeClr w14:val="tx1"/>
            </w14:solidFill>
          </w14:textFill>
        </w:rPr>
        <w:t>完税证明为非社保缴纳明细）；</w:t>
      </w:r>
    </w:p>
    <w:p w14:paraId="3A3C57EE">
      <w:pPr>
        <w:keepNext w:val="0"/>
        <w:keepLines w:val="0"/>
        <w:pageBreakBefore w:val="0"/>
        <w:widowControl w:val="0"/>
        <w:tabs>
          <w:tab w:val="left" w:pos="5580"/>
        </w:tabs>
        <w:kinsoku/>
        <w:overflowPunct/>
        <w:bidi w:val="0"/>
        <w:spacing w:line="3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2024年度或2025年度经会计事务所出具财务审计报告</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2025年新成立的公司须提供近三个月任意一个月的银行资信证明</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 </w:t>
      </w:r>
    </w:p>
    <w:p w14:paraId="3298695E">
      <w:pPr>
        <w:keepNext w:val="0"/>
        <w:keepLines w:val="0"/>
        <w:pageBreakBefore w:val="0"/>
        <w:widowControl w:val="0"/>
        <w:tabs>
          <w:tab w:val="left" w:pos="5580"/>
        </w:tabs>
        <w:kinsoku/>
        <w:overflowPunct/>
        <w:bidi w:val="0"/>
        <w:spacing w:line="3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未在“信用中国”网站 被列入失信被执行人、重大税收违法案件当事人名单；中国政府采购网，</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highlight w:val="none"/>
          <w:lang w:val="en-US" w:eastAsia="zh-CN"/>
          <w14:textFill>
            <w14:solidFill>
              <w14:schemeClr w14:val="tx1"/>
            </w14:solidFill>
          </w14:textFill>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highlight w:val="none"/>
          <w:lang w:val="en-US" w:eastAsia="zh-CN"/>
          <w14:textFill>
            <w14:solidFill>
              <w14:schemeClr w14:val="tx1"/>
            </w14:solidFill>
          </w14:textFill>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highlight w:val="none"/>
          <w:lang w:val="en-US" w:eastAsia="zh-CN"/>
          <w14:textFill>
            <w14:solidFill>
              <w14:schemeClr w14:val="tx1"/>
            </w14:solidFill>
          </w14:textFill>
        </w:rPr>
        <w:t>，附网站截图或报告</w:t>
      </w:r>
      <w:r>
        <w:rPr>
          <w:rFonts w:hint="eastAsia" w:ascii="宋体" w:hAnsi="宋体" w:cs="宋体"/>
          <w:color w:val="000000" w:themeColor="text1"/>
          <w:sz w:val="24"/>
          <w:highlight w:val="none"/>
          <w:lang w:val="en-US" w:eastAsia="zh-CN"/>
          <w14:textFill>
            <w14:solidFill>
              <w14:schemeClr w14:val="tx1"/>
            </w14:solidFill>
          </w14:textFill>
        </w:rPr>
        <w:t>；</w:t>
      </w:r>
    </w:p>
    <w:p w14:paraId="46C1D086">
      <w:pPr>
        <w:keepNext w:val="0"/>
        <w:keepLines w:val="0"/>
        <w:pageBreakBefore w:val="0"/>
        <w:widowControl w:val="0"/>
        <w:tabs>
          <w:tab w:val="left" w:pos="5580"/>
        </w:tabs>
        <w:kinsoku/>
        <w:overflowPunct/>
        <w:bidi w:val="0"/>
        <w:spacing w:line="36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、投标单位（</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）提供针对本次项目《反商业贿赂承诺书》</w:t>
      </w:r>
      <w:r>
        <w:rPr>
          <w:rFonts w:hint="eastAsia" w:ascii="宋体" w:hAnsi="宋体" w:cs="宋体"/>
          <w:color w:val="000000" w:themeColor="text1"/>
          <w:sz w:val="24"/>
          <w:highlight w:val="none"/>
          <w:lang w:eastAsia="zh-CN"/>
          <w14:textFill>
            <w14:solidFill>
              <w14:schemeClr w14:val="tx1"/>
            </w14:solidFill>
          </w14:textFill>
        </w:rPr>
        <w:t>；</w:t>
      </w:r>
    </w:p>
    <w:p w14:paraId="58CB2671">
      <w:pPr>
        <w:keepNext w:val="0"/>
        <w:keepLines w:val="0"/>
        <w:pageBreakBefore w:val="0"/>
        <w:widowControl w:val="0"/>
        <w:tabs>
          <w:tab w:val="left" w:pos="5580"/>
        </w:tabs>
        <w:kinsoku/>
        <w:overflowPunct/>
        <w:bidi w:val="0"/>
        <w:spacing w:line="3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、参加政府采购活动近3年内，在经营活动中没有重大违法记录的书面声明；</w:t>
      </w:r>
    </w:p>
    <w:p w14:paraId="53A49DFA">
      <w:pPr>
        <w:keepNext w:val="0"/>
        <w:keepLines w:val="0"/>
        <w:pageBreakBefore w:val="0"/>
        <w:widowControl w:val="0"/>
        <w:tabs>
          <w:tab w:val="left" w:pos="5580"/>
        </w:tabs>
        <w:kinsoku/>
        <w:overflowPunct/>
        <w:bidi w:val="0"/>
        <w:spacing w:line="3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、投标保证金缴纳凭证或投标担保函；</w:t>
      </w:r>
    </w:p>
    <w:p w14:paraId="6D6F3B92">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000000" w:themeColor="text1"/>
          <w:sz w:val="24"/>
          <w:highlight w:val="none"/>
          <w14:textFill>
            <w14:solidFill>
              <w14:schemeClr w14:val="tx1"/>
            </w14:solidFill>
          </w14:textFill>
        </w:rPr>
      </w:pPr>
    </w:p>
    <w:p w14:paraId="132A0AE9">
      <w:pPr>
        <w:pStyle w:val="49"/>
        <w:rPr>
          <w:rFonts w:hint="eastAsia" w:ascii="宋体" w:hAnsi="宋体" w:eastAsia="宋体" w:cs="宋体"/>
          <w:color w:val="000000" w:themeColor="text1"/>
          <w:sz w:val="24"/>
          <w:highlight w:val="none"/>
          <w14:textFill>
            <w14:solidFill>
              <w14:schemeClr w14:val="tx1"/>
            </w14:solidFill>
          </w14:textFill>
        </w:rPr>
      </w:pPr>
    </w:p>
    <w:p w14:paraId="68F875A8">
      <w:pPr>
        <w:pStyle w:val="49"/>
        <w:rPr>
          <w:rFonts w:hint="eastAsia" w:ascii="宋体" w:hAnsi="宋体" w:eastAsia="宋体" w:cs="宋体"/>
          <w:color w:val="000000" w:themeColor="text1"/>
          <w:sz w:val="24"/>
          <w:highlight w:val="none"/>
          <w14:textFill>
            <w14:solidFill>
              <w14:schemeClr w14:val="tx1"/>
            </w14:solidFill>
          </w14:textFill>
        </w:rPr>
      </w:pPr>
    </w:p>
    <w:p w14:paraId="7E0BE9C5">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000000" w:themeColor="text1"/>
          <w:sz w:val="24"/>
          <w:highlight w:val="none"/>
          <w14:textFill>
            <w14:solidFill>
              <w14:schemeClr w14:val="tx1"/>
            </w14:solidFill>
          </w14:textFill>
        </w:rPr>
      </w:pPr>
    </w:p>
    <w:p w14:paraId="370D12C5">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000000" w:themeColor="text1"/>
          <w:sz w:val="24"/>
          <w:highlight w:val="none"/>
          <w14:textFill>
            <w14:solidFill>
              <w14:schemeClr w14:val="tx1"/>
            </w14:solidFill>
          </w14:textFill>
        </w:rPr>
      </w:pPr>
    </w:p>
    <w:p w14:paraId="4CB485A3">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000000" w:themeColor="text1"/>
          <w:sz w:val="24"/>
          <w:highlight w:val="none"/>
          <w14:textFill>
            <w14:solidFill>
              <w14:schemeClr w14:val="tx1"/>
            </w14:solidFill>
          </w14:textFill>
        </w:rPr>
      </w:pPr>
    </w:p>
    <w:p w14:paraId="7F83028B">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000000" w:themeColor="text1"/>
          <w:sz w:val="24"/>
          <w:highlight w:val="none"/>
          <w14:textFill>
            <w14:solidFill>
              <w14:schemeClr w14:val="tx1"/>
            </w14:solidFill>
          </w14:textFill>
        </w:rPr>
      </w:pPr>
    </w:p>
    <w:p w14:paraId="24258DD9">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000000" w:themeColor="text1"/>
          <w:sz w:val="24"/>
          <w:highlight w:val="none"/>
          <w14:textFill>
            <w14:solidFill>
              <w14:schemeClr w14:val="tx1"/>
            </w14:solidFill>
          </w14:textFill>
        </w:rPr>
      </w:pPr>
    </w:p>
    <w:p w14:paraId="4CC3CE15">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000000" w:themeColor="text1"/>
          <w:sz w:val="24"/>
          <w:highlight w:val="none"/>
          <w14:textFill>
            <w14:solidFill>
              <w14:schemeClr w14:val="tx1"/>
            </w14:solidFill>
          </w14:textFill>
        </w:rPr>
      </w:pPr>
    </w:p>
    <w:p w14:paraId="221FF26F">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000000" w:themeColor="text1"/>
          <w:sz w:val="24"/>
          <w:highlight w:val="none"/>
          <w14:textFill>
            <w14:solidFill>
              <w14:schemeClr w14:val="tx1"/>
            </w14:solidFill>
          </w14:textFill>
        </w:rPr>
      </w:pPr>
    </w:p>
    <w:p w14:paraId="6B3F8420">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000000" w:themeColor="text1"/>
          <w:sz w:val="24"/>
          <w:highlight w:val="none"/>
          <w14:textFill>
            <w14:solidFill>
              <w14:schemeClr w14:val="tx1"/>
            </w14:solidFill>
          </w14:textFill>
        </w:rPr>
      </w:pPr>
    </w:p>
    <w:p w14:paraId="55578D30">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000000" w:themeColor="text1"/>
          <w:sz w:val="24"/>
          <w:highlight w:val="none"/>
          <w14:textFill>
            <w14:solidFill>
              <w14:schemeClr w14:val="tx1"/>
            </w14:solidFill>
          </w14:textFill>
        </w:rPr>
      </w:pPr>
    </w:p>
    <w:p w14:paraId="5F89AF68">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000000" w:themeColor="text1"/>
          <w:sz w:val="24"/>
          <w:highlight w:val="none"/>
          <w14:textFill>
            <w14:solidFill>
              <w14:schemeClr w14:val="tx1"/>
            </w14:solidFill>
          </w14:textFill>
        </w:rPr>
      </w:pPr>
    </w:p>
    <w:p w14:paraId="48E3E212">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000000" w:themeColor="text1"/>
          <w:sz w:val="24"/>
          <w:highlight w:val="none"/>
          <w14:textFill>
            <w14:solidFill>
              <w14:schemeClr w14:val="tx1"/>
            </w14:solidFill>
          </w14:textFill>
        </w:rPr>
      </w:pPr>
    </w:p>
    <w:p w14:paraId="131F562C">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000000" w:themeColor="text1"/>
          <w:sz w:val="24"/>
          <w:highlight w:val="none"/>
          <w14:textFill>
            <w14:solidFill>
              <w14:schemeClr w14:val="tx1"/>
            </w14:solidFill>
          </w14:textFill>
        </w:rPr>
      </w:pPr>
    </w:p>
    <w:p w14:paraId="2BF33E8A">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000000" w:themeColor="text1"/>
          <w:sz w:val="24"/>
          <w:highlight w:val="none"/>
          <w14:textFill>
            <w14:solidFill>
              <w14:schemeClr w14:val="tx1"/>
            </w14:solidFill>
          </w14:textFill>
        </w:rPr>
      </w:pPr>
    </w:p>
    <w:p w14:paraId="4EAD8C20">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000000" w:themeColor="text1"/>
          <w:sz w:val="24"/>
          <w:highlight w:val="none"/>
          <w14:textFill>
            <w14:solidFill>
              <w14:schemeClr w14:val="tx1"/>
            </w14:solidFill>
          </w14:textFill>
        </w:rPr>
      </w:pPr>
    </w:p>
    <w:p w14:paraId="4E66ADDE">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000000" w:themeColor="text1"/>
          <w:sz w:val="24"/>
          <w:highlight w:val="none"/>
          <w14:textFill>
            <w14:solidFill>
              <w14:schemeClr w14:val="tx1"/>
            </w14:solidFill>
          </w14:textFill>
        </w:rPr>
      </w:pPr>
    </w:p>
    <w:p w14:paraId="1FBF4BEC">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000000" w:themeColor="text1"/>
          <w:sz w:val="24"/>
          <w:highlight w:val="none"/>
          <w14:textFill>
            <w14:solidFill>
              <w14:schemeClr w14:val="tx1"/>
            </w14:solidFill>
          </w14:textFill>
        </w:rPr>
      </w:pPr>
    </w:p>
    <w:p w14:paraId="365EA490">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000000" w:themeColor="text1"/>
          <w:sz w:val="24"/>
          <w:highlight w:val="none"/>
          <w14:textFill>
            <w14:solidFill>
              <w14:schemeClr w14:val="tx1"/>
            </w14:solidFill>
          </w14:textFill>
        </w:rPr>
      </w:pPr>
    </w:p>
    <w:p w14:paraId="19431F62">
      <w:pPr>
        <w:pStyle w:val="2"/>
        <w:rPr>
          <w:rFonts w:hint="eastAsia"/>
          <w:color w:val="000000" w:themeColor="text1"/>
          <w14:textFill>
            <w14:solidFill>
              <w14:schemeClr w14:val="tx1"/>
            </w14:solidFill>
          </w14:textFill>
        </w:rPr>
      </w:pPr>
    </w:p>
    <w:p w14:paraId="386B9F99">
      <w:pPr>
        <w:pStyle w:val="49"/>
        <w:rPr>
          <w:rFonts w:hint="eastAsia"/>
          <w:color w:val="000000" w:themeColor="text1"/>
          <w14:textFill>
            <w14:solidFill>
              <w14:schemeClr w14:val="tx1"/>
            </w14:solidFill>
          </w14:textFill>
        </w:rPr>
      </w:pPr>
    </w:p>
    <w:p w14:paraId="328F16D1">
      <w:pPr>
        <w:keepNext w:val="0"/>
        <w:keepLines w:val="0"/>
        <w:pageBreakBefore w:val="0"/>
        <w:widowControl w:val="0"/>
        <w:tabs>
          <w:tab w:val="left" w:pos="5580"/>
        </w:tabs>
        <w:kinsoku/>
        <w:overflowPunct/>
        <w:bidi w:val="0"/>
        <w:spacing w:line="240" w:lineRule="atLeast"/>
        <w:rPr>
          <w:rFonts w:hint="eastAsia" w:ascii="宋体" w:hAnsi="宋体" w:eastAsia="宋体" w:cs="宋体"/>
          <w:color w:val="000000" w:themeColor="text1"/>
          <w:sz w:val="24"/>
          <w:highlight w:val="none"/>
          <w14:textFill>
            <w14:solidFill>
              <w14:schemeClr w14:val="tx1"/>
            </w14:solidFill>
          </w14:textFill>
        </w:rPr>
      </w:pPr>
    </w:p>
    <w:p w14:paraId="1A69F498">
      <w:pPr>
        <w:pStyle w:val="4"/>
        <w:keepNext w:val="0"/>
        <w:keepLines w:val="0"/>
        <w:pageBreakBefore w:val="0"/>
        <w:widowControl w:val="0"/>
        <w:kinsoku/>
        <w:overflowPunct/>
        <w:bidi w:val="0"/>
        <w:spacing w:before="0" w:line="240" w:lineRule="atLeast"/>
        <w:ind w:left="1080" w:leftChars="257" w:hanging="540"/>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278" w:name="_Toc16568"/>
      <w:bookmarkStart w:id="279" w:name="_Toc30524"/>
      <w:bookmarkStart w:id="280" w:name="_Toc515647804"/>
      <w:bookmarkStart w:id="281" w:name="_Toc14309"/>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1、开标一览表</w:t>
      </w:r>
      <w:bookmarkEnd w:id="278"/>
      <w:bookmarkEnd w:id="279"/>
      <w:bookmarkEnd w:id="280"/>
      <w:bookmarkEnd w:id="281"/>
    </w:p>
    <w:p w14:paraId="7C39E985">
      <w:pPr>
        <w:pStyle w:val="16"/>
        <w:keepNext w:val="0"/>
        <w:keepLines w:val="0"/>
        <w:pageBreakBefore w:val="0"/>
        <w:widowControl w:val="0"/>
        <w:tabs>
          <w:tab w:val="left" w:pos="5580"/>
        </w:tabs>
        <w:kinsoku/>
        <w:overflowPunct/>
        <w:bidi w:val="0"/>
        <w:spacing w:line="240" w:lineRule="atLeast"/>
        <w:ind w:left="269" w:leftChars="128"/>
        <w:rPr>
          <w:rFonts w:hint="eastAsia" w:ascii="宋体" w:hAnsi="宋体" w:eastAsia="宋体" w:cs="宋体"/>
          <w:color w:val="000000" w:themeColor="text1"/>
          <w:sz w:val="24"/>
          <w:szCs w:val="24"/>
          <w:highlight w:val="none"/>
          <w14:textFill>
            <w14:solidFill>
              <w14:schemeClr w14:val="tx1"/>
            </w14:solidFill>
          </w14:textFill>
        </w:rPr>
      </w:pPr>
    </w:p>
    <w:p w14:paraId="6C47D0F8">
      <w:pPr>
        <w:pStyle w:val="6"/>
        <w:keepNext w:val="0"/>
        <w:keepLines w:val="0"/>
        <w:pageBreakBefore w:val="0"/>
        <w:widowControl w:val="0"/>
        <w:tabs>
          <w:tab w:val="left" w:pos="5580"/>
        </w:tabs>
        <w:kinsoku/>
        <w:overflowPunct/>
        <w:bidi w:val="0"/>
        <w:spacing w:line="240" w:lineRule="atLeast"/>
        <w:ind w:left="1080" w:leftChars="257" w:hanging="540"/>
        <w:jc w:val="both"/>
        <w:rPr>
          <w:rFonts w:hint="eastAsia" w:ascii="宋体" w:hAnsi="宋体" w:eastAsia="宋体" w:cs="宋体"/>
          <w:color w:val="000000" w:themeColor="text1"/>
          <w:highlight w:val="none"/>
          <w14:textFill>
            <w14:solidFill>
              <w14:schemeClr w14:val="tx1"/>
            </w14:solidFill>
          </w14:textFill>
        </w:rPr>
      </w:pPr>
      <w:bookmarkStart w:id="282" w:name="_Hlt520356241"/>
      <w:bookmarkEnd w:id="282"/>
      <w:bookmarkStart w:id="283" w:name="_Toc520356217"/>
      <w:bookmarkStart w:id="284" w:name="_Ref467988698"/>
      <w:bookmarkStart w:id="285" w:name="_Toc216582813"/>
      <w:bookmarkStart w:id="286" w:name="_Toc480942349"/>
      <w:r>
        <w:rPr>
          <w:rFonts w:hint="eastAsia" w:ascii="宋体" w:hAnsi="宋体" w:eastAsia="宋体" w:cs="宋体"/>
          <w:b/>
          <w:color w:val="000000" w:themeColor="text1"/>
          <w:highlight w:val="none"/>
          <w14:textFill>
            <w14:solidFill>
              <w14:schemeClr w14:val="tx1"/>
            </w14:solidFill>
          </w14:textFill>
        </w:rPr>
        <w:cr/>
      </w:r>
    </w:p>
    <w:p w14:paraId="00204004">
      <w:pPr>
        <w:keepNext w:val="0"/>
        <w:keepLines w:val="0"/>
        <w:pageBreakBefore w:val="0"/>
        <w:widowControl w:val="0"/>
        <w:tabs>
          <w:tab w:val="left" w:pos="1800"/>
          <w:tab w:val="left" w:pos="5580"/>
        </w:tabs>
        <w:kinsoku/>
        <w:overflowPunct/>
        <w:bidi w:val="0"/>
        <w:spacing w:line="240" w:lineRule="atLeast"/>
        <w:ind w:right="-867" w:rightChars="-413"/>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项目名称：　                  项目编号：                          </w:t>
      </w:r>
    </w:p>
    <w:p w14:paraId="502D6247">
      <w:pPr>
        <w:keepNext w:val="0"/>
        <w:keepLines w:val="0"/>
        <w:pageBreakBefore w:val="0"/>
        <w:widowControl w:val="0"/>
        <w:tabs>
          <w:tab w:val="left" w:pos="1800"/>
          <w:tab w:val="left" w:pos="5580"/>
        </w:tabs>
        <w:kinsoku/>
        <w:overflowPunct/>
        <w:bidi w:val="0"/>
        <w:spacing w:line="240" w:lineRule="atLeast"/>
        <w:ind w:left="1080" w:leftChars="257" w:right="-867" w:rightChars="-413" w:hanging="540"/>
        <w:rPr>
          <w:rFonts w:hint="eastAsia" w:ascii="宋体" w:hAnsi="宋体" w:cs="宋体"/>
          <w:color w:val="000000" w:themeColor="text1"/>
          <w:sz w:val="24"/>
          <w:highlight w:val="none"/>
          <w14:textFill>
            <w14:solidFill>
              <w14:schemeClr w14:val="tx1"/>
            </w14:solidFill>
          </w14:textFill>
        </w:rPr>
      </w:pPr>
    </w:p>
    <w:tbl>
      <w:tblPr>
        <w:tblStyle w:val="37"/>
        <w:tblW w:w="8411"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1767"/>
        <w:gridCol w:w="1461"/>
        <w:gridCol w:w="1353"/>
        <w:gridCol w:w="1253"/>
        <w:gridCol w:w="1157"/>
      </w:tblGrid>
      <w:tr w14:paraId="0AC8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trPr>
        <w:tc>
          <w:tcPr>
            <w:tcW w:w="1420" w:type="dxa"/>
            <w:noWrap w:val="0"/>
            <w:vAlign w:val="center"/>
          </w:tcPr>
          <w:p w14:paraId="153108E7">
            <w:pPr>
              <w:keepNext w:val="0"/>
              <w:keepLines w:val="0"/>
              <w:pageBreakBefore w:val="0"/>
              <w:widowControl w:val="0"/>
              <w:tabs>
                <w:tab w:val="left" w:pos="5580"/>
              </w:tabs>
              <w:kinsoku/>
              <w:overflowPunct/>
              <w:bidi w:val="0"/>
              <w:spacing w:line="240" w:lineRule="atLeast"/>
              <w:ind w:right="-199"/>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1767" w:type="dxa"/>
            <w:noWrap w:val="0"/>
            <w:vAlign w:val="center"/>
          </w:tcPr>
          <w:p w14:paraId="6B58ED8E">
            <w:pPr>
              <w:keepNext w:val="0"/>
              <w:keepLines w:val="0"/>
              <w:pageBreakBefore w:val="0"/>
              <w:widowControl w:val="0"/>
              <w:tabs>
                <w:tab w:val="left" w:pos="5580"/>
              </w:tabs>
              <w:kinsoku/>
              <w:overflowPunct/>
              <w:bidi w:val="0"/>
              <w:spacing w:line="240" w:lineRule="atLeas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投标报价</w:t>
            </w:r>
          </w:p>
        </w:tc>
        <w:tc>
          <w:tcPr>
            <w:tcW w:w="1461" w:type="dxa"/>
            <w:noWrap w:val="0"/>
            <w:vAlign w:val="center"/>
          </w:tcPr>
          <w:p w14:paraId="1A93C08E">
            <w:pPr>
              <w:keepNext w:val="0"/>
              <w:keepLines w:val="0"/>
              <w:pageBreakBefore w:val="0"/>
              <w:widowControl w:val="0"/>
              <w:tabs>
                <w:tab w:val="left" w:pos="5580"/>
              </w:tabs>
              <w:kinsoku/>
              <w:overflowPunct/>
              <w:bidi w:val="0"/>
              <w:spacing w:line="240" w:lineRule="atLeas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投标保证金</w:t>
            </w:r>
          </w:p>
        </w:tc>
        <w:tc>
          <w:tcPr>
            <w:tcW w:w="1353" w:type="dxa"/>
            <w:noWrap w:val="0"/>
            <w:vAlign w:val="center"/>
          </w:tcPr>
          <w:p w14:paraId="2A833A71">
            <w:pPr>
              <w:keepNext w:val="0"/>
              <w:keepLines w:val="0"/>
              <w:pageBreakBefore w:val="0"/>
              <w:widowControl w:val="0"/>
              <w:tabs>
                <w:tab w:val="left" w:pos="5580"/>
              </w:tabs>
              <w:kinsoku/>
              <w:overflowPunct/>
              <w:bidi w:val="0"/>
              <w:spacing w:line="240" w:lineRule="atLeas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服务期</w:t>
            </w:r>
          </w:p>
        </w:tc>
        <w:tc>
          <w:tcPr>
            <w:tcW w:w="1253" w:type="dxa"/>
            <w:noWrap w:val="0"/>
            <w:vAlign w:val="center"/>
          </w:tcPr>
          <w:p w14:paraId="1B78949B">
            <w:pPr>
              <w:keepNext w:val="0"/>
              <w:keepLines w:val="0"/>
              <w:pageBreakBefore w:val="0"/>
              <w:widowControl w:val="0"/>
              <w:tabs>
                <w:tab w:val="left" w:pos="5580"/>
              </w:tabs>
              <w:kinsoku/>
              <w:overflowPunct/>
              <w:bidi w:val="0"/>
              <w:spacing w:line="240" w:lineRule="atLeas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项目地点</w:t>
            </w:r>
          </w:p>
        </w:tc>
        <w:tc>
          <w:tcPr>
            <w:tcW w:w="1157" w:type="dxa"/>
            <w:noWrap w:val="0"/>
            <w:vAlign w:val="center"/>
          </w:tcPr>
          <w:p w14:paraId="524092B6">
            <w:pPr>
              <w:keepNext w:val="0"/>
              <w:keepLines w:val="0"/>
              <w:pageBreakBefore w:val="0"/>
              <w:widowControl w:val="0"/>
              <w:tabs>
                <w:tab w:val="left" w:pos="5580"/>
              </w:tabs>
              <w:kinsoku/>
              <w:overflowPunct/>
              <w:bidi w:val="0"/>
              <w:spacing w:line="240" w:lineRule="atLeas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1DA1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trPr>
        <w:tc>
          <w:tcPr>
            <w:tcW w:w="1420" w:type="dxa"/>
            <w:noWrap w:val="0"/>
            <w:vAlign w:val="center"/>
          </w:tcPr>
          <w:p w14:paraId="662ED923">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000000" w:themeColor="text1"/>
                <w:sz w:val="24"/>
                <w:highlight w:val="none"/>
                <w14:textFill>
                  <w14:solidFill>
                    <w14:schemeClr w14:val="tx1"/>
                  </w14:solidFill>
                </w14:textFill>
              </w:rPr>
            </w:pPr>
          </w:p>
        </w:tc>
        <w:tc>
          <w:tcPr>
            <w:tcW w:w="1767" w:type="dxa"/>
            <w:noWrap w:val="0"/>
            <w:vAlign w:val="center"/>
          </w:tcPr>
          <w:p w14:paraId="399576A9">
            <w:pPr>
              <w:keepNext w:val="0"/>
              <w:keepLines w:val="0"/>
              <w:pageBreakBefore w:val="0"/>
              <w:widowControl w:val="0"/>
              <w:tabs>
                <w:tab w:val="left" w:pos="5580"/>
              </w:tabs>
              <w:kinsoku/>
              <w:overflowPunct/>
              <w:bidi w:val="0"/>
              <w:spacing w:line="240" w:lineRule="atLeast"/>
              <w:jc w:val="left"/>
              <w:rPr>
                <w:rFonts w:hint="eastAsia" w:ascii="宋体" w:hAnsi="宋体" w:cs="宋体"/>
                <w:color w:val="000000" w:themeColor="text1"/>
                <w:sz w:val="24"/>
                <w:highlight w:val="none"/>
                <w14:textFill>
                  <w14:solidFill>
                    <w14:schemeClr w14:val="tx1"/>
                  </w14:solidFill>
                </w14:textFill>
              </w:rPr>
            </w:pPr>
          </w:p>
        </w:tc>
        <w:tc>
          <w:tcPr>
            <w:tcW w:w="1461" w:type="dxa"/>
            <w:noWrap w:val="0"/>
            <w:vAlign w:val="center"/>
          </w:tcPr>
          <w:p w14:paraId="28348B09">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000000" w:themeColor="text1"/>
                <w:sz w:val="24"/>
                <w:highlight w:val="none"/>
                <w14:textFill>
                  <w14:solidFill>
                    <w14:schemeClr w14:val="tx1"/>
                  </w14:solidFill>
                </w14:textFill>
              </w:rPr>
            </w:pPr>
          </w:p>
        </w:tc>
        <w:tc>
          <w:tcPr>
            <w:tcW w:w="1353" w:type="dxa"/>
            <w:noWrap w:val="0"/>
            <w:vAlign w:val="center"/>
          </w:tcPr>
          <w:p w14:paraId="57A836B7">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000000" w:themeColor="text1"/>
                <w:sz w:val="24"/>
                <w:highlight w:val="none"/>
                <w14:textFill>
                  <w14:solidFill>
                    <w14:schemeClr w14:val="tx1"/>
                  </w14:solidFill>
                </w14:textFill>
              </w:rPr>
            </w:pPr>
          </w:p>
        </w:tc>
        <w:tc>
          <w:tcPr>
            <w:tcW w:w="1253" w:type="dxa"/>
            <w:noWrap w:val="0"/>
            <w:vAlign w:val="center"/>
          </w:tcPr>
          <w:p w14:paraId="340FF6DD">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000000" w:themeColor="text1"/>
                <w:sz w:val="24"/>
                <w:highlight w:val="none"/>
                <w14:textFill>
                  <w14:solidFill>
                    <w14:schemeClr w14:val="tx1"/>
                  </w14:solidFill>
                </w14:textFill>
              </w:rPr>
            </w:pPr>
          </w:p>
        </w:tc>
        <w:tc>
          <w:tcPr>
            <w:tcW w:w="1157" w:type="dxa"/>
            <w:noWrap w:val="0"/>
            <w:vAlign w:val="center"/>
          </w:tcPr>
          <w:p w14:paraId="7DDF535D">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000000" w:themeColor="text1"/>
                <w:sz w:val="24"/>
                <w:highlight w:val="none"/>
                <w14:textFill>
                  <w14:solidFill>
                    <w14:schemeClr w14:val="tx1"/>
                  </w14:solidFill>
                </w14:textFill>
              </w:rPr>
            </w:pPr>
          </w:p>
        </w:tc>
      </w:tr>
    </w:tbl>
    <w:p w14:paraId="44D6E7E7">
      <w:pPr>
        <w:pStyle w:val="16"/>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000000" w:themeColor="text1"/>
          <w:sz w:val="24"/>
          <w:highlight w:val="none"/>
          <w14:textFill>
            <w14:solidFill>
              <w14:schemeClr w14:val="tx1"/>
            </w14:solidFill>
          </w14:textFill>
        </w:rPr>
      </w:pPr>
    </w:p>
    <w:p w14:paraId="76645441">
      <w:pPr>
        <w:pStyle w:val="16"/>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000000" w:themeColor="text1"/>
          <w:sz w:val="24"/>
          <w:highlight w:val="none"/>
          <w:u w:val="single"/>
          <w14:textFill>
            <w14:solidFill>
              <w14:schemeClr w14:val="tx1"/>
            </w14:solidFill>
          </w14:textFill>
        </w:rPr>
      </w:pPr>
    </w:p>
    <w:p w14:paraId="1394D369">
      <w:pPr>
        <w:pStyle w:val="16"/>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投标人名称（单位盖章）：</w:t>
      </w:r>
      <w:r>
        <w:rPr>
          <w:rFonts w:hint="eastAsia" w:hAnsi="宋体" w:cs="宋体"/>
          <w:color w:val="000000" w:themeColor="text1"/>
          <w:sz w:val="24"/>
          <w:highlight w:val="none"/>
          <w:u w:val="single"/>
          <w14:textFill>
            <w14:solidFill>
              <w14:schemeClr w14:val="tx1"/>
            </w14:solidFill>
          </w14:textFill>
        </w:rPr>
        <w:t xml:space="preserve">                       </w:t>
      </w:r>
    </w:p>
    <w:p w14:paraId="71A224B7">
      <w:pPr>
        <w:pStyle w:val="16"/>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000000" w:themeColor="text1"/>
          <w:sz w:val="24"/>
          <w:highlight w:val="none"/>
          <w:u w:val="singl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法定代表人或委托代理人(</w:t>
      </w:r>
      <w:r>
        <w:rPr>
          <w:rFonts w:hint="eastAsia" w:hAnsi="宋体" w:cs="宋体"/>
          <w:color w:val="000000" w:themeColor="text1"/>
          <w:sz w:val="24"/>
          <w:highlight w:val="none"/>
          <w:lang w:eastAsia="zh-CN"/>
          <w14:textFill>
            <w14:solidFill>
              <w14:schemeClr w14:val="tx1"/>
            </w14:solidFill>
          </w14:textFill>
        </w:rPr>
        <w:t>签/章</w:t>
      </w:r>
      <w:r>
        <w:rPr>
          <w:rFonts w:hint="eastAsia" w:hAnsi="宋体" w:cs="宋体"/>
          <w:color w:val="000000" w:themeColor="text1"/>
          <w:sz w:val="24"/>
          <w:highlight w:val="none"/>
          <w14:textFill>
            <w14:solidFill>
              <w14:schemeClr w14:val="tx1"/>
            </w14:solidFill>
          </w14:textFill>
        </w:rPr>
        <w:t>):</w:t>
      </w:r>
      <w:r>
        <w:rPr>
          <w:rFonts w:hint="eastAsia" w:hAnsi="宋体" w:cs="宋体"/>
          <w:color w:val="000000" w:themeColor="text1"/>
          <w:sz w:val="24"/>
          <w:highlight w:val="none"/>
          <w:u w:val="single"/>
          <w14:textFill>
            <w14:solidFill>
              <w14:schemeClr w14:val="tx1"/>
            </w14:solidFill>
          </w14:textFill>
        </w:rPr>
        <w:tab/>
      </w:r>
    </w:p>
    <w:p w14:paraId="06E15A5D">
      <w:pPr>
        <w:pStyle w:val="16"/>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000000" w:themeColor="text1"/>
          <w:sz w:val="24"/>
          <w:highlight w:val="none"/>
          <w:u w:val="single"/>
          <w14:textFill>
            <w14:solidFill>
              <w14:schemeClr w14:val="tx1"/>
            </w14:solidFill>
          </w14:textFill>
        </w:rPr>
      </w:pPr>
    </w:p>
    <w:p w14:paraId="6282374D">
      <w:pPr>
        <w:pStyle w:val="16"/>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000000" w:themeColor="text1"/>
          <w:sz w:val="24"/>
          <w:highlight w:val="none"/>
          <w14:textFill>
            <w14:solidFill>
              <w14:schemeClr w14:val="tx1"/>
            </w14:solidFill>
          </w14:textFill>
        </w:rPr>
      </w:pPr>
    </w:p>
    <w:p w14:paraId="7A568157">
      <w:pPr>
        <w:pStyle w:val="16"/>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注:1、此表应按投标人须知的规定装订密封。</w:t>
      </w:r>
    </w:p>
    <w:p w14:paraId="7DE90B44">
      <w:pPr>
        <w:pStyle w:val="16"/>
        <w:keepNext w:val="0"/>
        <w:keepLines w:val="0"/>
        <w:pageBreakBefore w:val="0"/>
        <w:widowControl w:val="0"/>
        <w:tabs>
          <w:tab w:val="left" w:pos="5580"/>
        </w:tabs>
        <w:kinsoku/>
        <w:overflowPunct/>
        <w:bidi w:val="0"/>
        <w:spacing w:line="240" w:lineRule="atLeast"/>
        <w:ind w:left="1079" w:leftChars="428" w:hanging="180" w:hangingChars="7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2、此表中，每包的投标总价应和投标分项报价表的总价相一致。</w:t>
      </w:r>
    </w:p>
    <w:p w14:paraId="18F5D864">
      <w:pPr>
        <w:pStyle w:val="16"/>
        <w:keepNext w:val="0"/>
        <w:keepLines w:val="0"/>
        <w:pageBreakBefore w:val="0"/>
        <w:widowControl w:val="0"/>
        <w:tabs>
          <w:tab w:val="left" w:pos="5580"/>
        </w:tabs>
        <w:kinsoku/>
        <w:overflowPunct/>
        <w:bidi w:val="0"/>
        <w:spacing w:line="240" w:lineRule="atLeast"/>
        <w:ind w:left="1079" w:leftChars="428" w:hanging="180" w:hangingChars="75"/>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3、根据中华人民共和国财政部令第87号--政府采购货物和服务招标投标管理办法</w:t>
      </w:r>
      <w:r>
        <w:rPr>
          <w:rFonts w:hAnsi="宋体" w:cs="宋体"/>
          <w:color w:val="000000" w:themeColor="text1"/>
          <w:sz w:val="24"/>
          <w:highlight w:val="none"/>
          <w14:textFill>
            <w14:solidFill>
              <w14:schemeClr w14:val="tx1"/>
            </w14:solidFill>
          </w14:textFill>
        </w:rPr>
        <w:t>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7740B2">
      <w:pPr>
        <w:keepNext w:val="0"/>
        <w:keepLines w:val="0"/>
        <w:pageBreakBefore w:val="0"/>
        <w:widowControl w:val="0"/>
        <w:kinsoku/>
        <w:overflowPunct/>
        <w:bidi w:val="0"/>
        <w:rPr>
          <w:rFonts w:hint="eastAsia" w:ascii="宋体" w:hAnsi="宋体" w:eastAsia="宋体" w:cs="宋体"/>
          <w:b/>
          <w:color w:val="000000" w:themeColor="text1"/>
          <w:sz w:val="24"/>
          <w:highlight w:val="none"/>
          <w14:textFill>
            <w14:solidFill>
              <w14:schemeClr w14:val="tx1"/>
            </w14:solidFill>
          </w14:textFill>
        </w:rPr>
      </w:pPr>
    </w:p>
    <w:p w14:paraId="5960BD06">
      <w:pPr>
        <w:pStyle w:val="27"/>
        <w:keepNext w:val="0"/>
        <w:keepLines w:val="0"/>
        <w:pageBreakBefore w:val="0"/>
        <w:widowControl w:val="0"/>
        <w:kinsoku/>
        <w:overflowPunct/>
        <w:bidi w:val="0"/>
        <w:rPr>
          <w:rFonts w:hint="eastAsia" w:ascii="宋体" w:hAnsi="宋体" w:eastAsia="宋体" w:cs="宋体"/>
          <w:b/>
          <w:color w:val="000000" w:themeColor="text1"/>
          <w:sz w:val="24"/>
          <w:highlight w:val="none"/>
          <w14:textFill>
            <w14:solidFill>
              <w14:schemeClr w14:val="tx1"/>
            </w14:solidFill>
          </w14:textFill>
        </w:rPr>
      </w:pPr>
    </w:p>
    <w:p w14:paraId="2C9718B7">
      <w:pPr>
        <w:pStyle w:val="2"/>
        <w:keepNext w:val="0"/>
        <w:keepLines w:val="0"/>
        <w:pageBreakBefore w:val="0"/>
        <w:widowControl w:val="0"/>
        <w:kinsoku/>
        <w:overflowPunct/>
        <w:bidi w:val="0"/>
        <w:rPr>
          <w:rFonts w:hint="eastAsia" w:ascii="宋体" w:hAnsi="宋体" w:eastAsia="宋体" w:cs="宋体"/>
          <w:b/>
          <w:color w:val="000000" w:themeColor="text1"/>
          <w:sz w:val="24"/>
          <w:highlight w:val="none"/>
          <w14:textFill>
            <w14:solidFill>
              <w14:schemeClr w14:val="tx1"/>
            </w14:solidFill>
          </w14:textFill>
        </w:rPr>
      </w:pPr>
    </w:p>
    <w:p w14:paraId="09004796">
      <w:pPr>
        <w:keepNext w:val="0"/>
        <w:keepLines w:val="0"/>
        <w:pageBreakBefore w:val="0"/>
        <w:widowControl w:val="0"/>
        <w:kinsoku/>
        <w:overflowPunct/>
        <w:bidi w:val="0"/>
        <w:rPr>
          <w:rFonts w:hint="eastAsia" w:ascii="宋体" w:hAnsi="宋体" w:eastAsia="宋体" w:cs="宋体"/>
          <w:b/>
          <w:color w:val="000000" w:themeColor="text1"/>
          <w:sz w:val="24"/>
          <w:highlight w:val="none"/>
          <w14:textFill>
            <w14:solidFill>
              <w14:schemeClr w14:val="tx1"/>
            </w14:solidFill>
          </w14:textFill>
        </w:rPr>
      </w:pPr>
    </w:p>
    <w:p w14:paraId="770DF234">
      <w:pPr>
        <w:pStyle w:val="49"/>
        <w:keepNext w:val="0"/>
        <w:keepLines w:val="0"/>
        <w:pageBreakBefore w:val="0"/>
        <w:widowControl w:val="0"/>
        <w:kinsoku/>
        <w:overflowPunct/>
        <w:bidi w:val="0"/>
        <w:rPr>
          <w:rFonts w:hint="eastAsia" w:ascii="宋体" w:hAnsi="宋体" w:eastAsia="宋体" w:cs="宋体"/>
          <w:b/>
          <w:color w:val="000000" w:themeColor="text1"/>
          <w:sz w:val="24"/>
          <w:highlight w:val="none"/>
          <w14:textFill>
            <w14:solidFill>
              <w14:schemeClr w14:val="tx1"/>
            </w14:solidFill>
          </w14:textFill>
        </w:rPr>
      </w:pPr>
    </w:p>
    <w:p w14:paraId="79DFB60D">
      <w:pPr>
        <w:pStyle w:val="49"/>
        <w:keepNext w:val="0"/>
        <w:keepLines w:val="0"/>
        <w:pageBreakBefore w:val="0"/>
        <w:widowControl w:val="0"/>
        <w:kinsoku/>
        <w:overflowPunct/>
        <w:bidi w:val="0"/>
        <w:rPr>
          <w:rFonts w:hint="eastAsia" w:ascii="宋体" w:hAnsi="宋体" w:eastAsia="宋体" w:cs="宋体"/>
          <w:b/>
          <w:color w:val="000000" w:themeColor="text1"/>
          <w:sz w:val="24"/>
          <w:highlight w:val="none"/>
          <w14:textFill>
            <w14:solidFill>
              <w14:schemeClr w14:val="tx1"/>
            </w14:solidFill>
          </w14:textFill>
        </w:rPr>
      </w:pPr>
    </w:p>
    <w:p w14:paraId="7A235330">
      <w:pPr>
        <w:pStyle w:val="27"/>
        <w:keepNext w:val="0"/>
        <w:keepLines w:val="0"/>
        <w:pageBreakBefore w:val="0"/>
        <w:widowControl w:val="0"/>
        <w:kinsoku/>
        <w:overflowPunct/>
        <w:bidi w:val="0"/>
        <w:rPr>
          <w:rFonts w:hint="eastAsia" w:ascii="宋体" w:hAnsi="宋体" w:eastAsia="宋体" w:cs="宋体"/>
          <w:color w:val="000000" w:themeColor="text1"/>
          <w:highlight w:val="none"/>
          <w14:textFill>
            <w14:solidFill>
              <w14:schemeClr w14:val="tx1"/>
            </w14:solidFill>
          </w14:textFill>
        </w:rPr>
      </w:pPr>
    </w:p>
    <w:p w14:paraId="31E2C67A">
      <w:pPr>
        <w:pStyle w:val="2"/>
        <w:keepNext w:val="0"/>
        <w:keepLines w:val="0"/>
        <w:pageBreakBefore w:val="0"/>
        <w:widowControl w:val="0"/>
        <w:kinsoku/>
        <w:overflowPunct/>
        <w:bidi w:val="0"/>
        <w:rPr>
          <w:rFonts w:hint="eastAsia" w:ascii="宋体" w:hAnsi="宋体" w:eastAsia="宋体" w:cs="宋体"/>
          <w:color w:val="000000" w:themeColor="text1"/>
          <w:highlight w:val="none"/>
          <w14:textFill>
            <w14:solidFill>
              <w14:schemeClr w14:val="tx1"/>
            </w14:solidFill>
          </w14:textFill>
        </w:rPr>
      </w:pPr>
    </w:p>
    <w:p w14:paraId="729E4098">
      <w:pPr>
        <w:pStyle w:val="35"/>
        <w:keepNext w:val="0"/>
        <w:keepLines w:val="0"/>
        <w:pageBreakBefore w:val="0"/>
        <w:widowControl w:val="0"/>
        <w:kinsoku/>
        <w:overflowPunct/>
        <w:bidi w:val="0"/>
        <w:rPr>
          <w:rFonts w:hint="eastAsia"/>
          <w:color w:val="000000" w:themeColor="text1"/>
          <w:highlight w:val="none"/>
          <w14:textFill>
            <w14:solidFill>
              <w14:schemeClr w14:val="tx1"/>
            </w14:solidFill>
          </w14:textFill>
        </w:rPr>
      </w:pPr>
    </w:p>
    <w:p w14:paraId="793C21E4">
      <w:pPr>
        <w:rPr>
          <w:rFonts w:hint="eastAsia"/>
          <w:color w:val="000000" w:themeColor="text1"/>
          <w14:textFill>
            <w14:solidFill>
              <w14:schemeClr w14:val="tx1"/>
            </w14:solidFill>
          </w14:textFill>
        </w:rPr>
      </w:pPr>
    </w:p>
    <w:p w14:paraId="6F22FC43">
      <w:pPr>
        <w:pStyle w:val="35"/>
        <w:keepNext w:val="0"/>
        <w:keepLines w:val="0"/>
        <w:pageBreakBefore w:val="0"/>
        <w:widowControl w:val="0"/>
        <w:kinsoku/>
        <w:overflowPunct/>
        <w:bidi w:val="0"/>
        <w:rPr>
          <w:rFonts w:hint="eastAsia"/>
          <w:color w:val="000000" w:themeColor="text1"/>
          <w:highlight w:val="none"/>
          <w14:textFill>
            <w14:solidFill>
              <w14:schemeClr w14:val="tx1"/>
            </w14:solidFill>
          </w14:textFill>
        </w:rPr>
      </w:pPr>
    </w:p>
    <w:p w14:paraId="09BC2909">
      <w:pPr>
        <w:rPr>
          <w:rFonts w:hint="eastAsia"/>
          <w:color w:val="000000" w:themeColor="text1"/>
          <w14:textFill>
            <w14:solidFill>
              <w14:schemeClr w14:val="tx1"/>
            </w14:solidFill>
          </w14:textFill>
        </w:rPr>
      </w:pPr>
    </w:p>
    <w:p w14:paraId="05DEB3DF">
      <w:pPr>
        <w:pStyle w:val="16"/>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eastAsia="宋体" w:cs="宋体"/>
          <w:b/>
          <w:color w:val="000000" w:themeColor="text1"/>
          <w:sz w:val="24"/>
          <w:highlight w:val="none"/>
          <w14:textFill>
            <w14:solidFill>
              <w14:schemeClr w14:val="tx1"/>
            </w14:solidFill>
          </w14:textFill>
        </w:rPr>
      </w:pPr>
    </w:p>
    <w:p w14:paraId="4BB1E74C">
      <w:pPr>
        <w:pStyle w:val="17"/>
        <w:rPr>
          <w:rFonts w:hint="eastAsia"/>
          <w:color w:val="000000" w:themeColor="text1"/>
          <w:highlight w:val="none"/>
          <w14:textFill>
            <w14:solidFill>
              <w14:schemeClr w14:val="tx1"/>
            </w14:solidFill>
          </w14:textFill>
        </w:rPr>
      </w:pPr>
    </w:p>
    <w:p w14:paraId="7852AF1E">
      <w:pPr>
        <w:pStyle w:val="4"/>
        <w:keepNext w:val="0"/>
        <w:keepLines w:val="0"/>
        <w:pageBreakBefore w:val="0"/>
        <w:widowControl w:val="0"/>
        <w:kinsoku/>
        <w:overflowPunct/>
        <w:bidi w:val="0"/>
        <w:spacing w:before="0" w:line="240" w:lineRule="atLeast"/>
        <w:ind w:left="1080" w:leftChars="257" w:hanging="540"/>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 xml:space="preserve"> 2、单位三证合一营业执照；</w:t>
      </w:r>
    </w:p>
    <w:p w14:paraId="71D27A90">
      <w:pPr>
        <w:pStyle w:val="16"/>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eastAsia="宋体" w:cs="宋体"/>
          <w:b/>
          <w:color w:val="000000" w:themeColor="text1"/>
          <w:sz w:val="24"/>
          <w:highlight w:val="none"/>
          <w14:textFill>
            <w14:solidFill>
              <w14:schemeClr w14:val="tx1"/>
            </w14:solidFill>
          </w14:textFill>
        </w:rPr>
      </w:pPr>
    </w:p>
    <w:p w14:paraId="3CBF37FA">
      <w:pPr>
        <w:pStyle w:val="16"/>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000000" w:themeColor="text1"/>
          <w:sz w:val="24"/>
          <w:highlight w:val="none"/>
          <w14:textFill>
            <w14:solidFill>
              <w14:schemeClr w14:val="tx1"/>
            </w14:solidFill>
          </w14:textFill>
        </w:rPr>
      </w:pPr>
    </w:p>
    <w:p w14:paraId="4D651058">
      <w:pPr>
        <w:pStyle w:val="16"/>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0C7EC4AE">
      <w:pPr>
        <w:pStyle w:val="16"/>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000000" w:themeColor="text1"/>
          <w:sz w:val="24"/>
          <w:highlight w:val="none"/>
          <w14:textFill>
            <w14:solidFill>
              <w14:schemeClr w14:val="tx1"/>
            </w14:solidFill>
          </w14:textFill>
        </w:rPr>
      </w:pPr>
    </w:p>
    <w:p w14:paraId="654B2060">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bookmarkStart w:id="287" w:name="_Toc28445"/>
      <w:bookmarkStart w:id="288" w:name="_Toc515647809"/>
      <w:bookmarkStart w:id="289" w:name="_Toc31238"/>
      <w:bookmarkStart w:id="290" w:name="_Toc11047"/>
    </w:p>
    <w:p w14:paraId="01912E3C">
      <w:pPr>
        <w:keepNext w:val="0"/>
        <w:keepLines w:val="0"/>
        <w:pageBreakBefore w:val="0"/>
        <w:widowControl w:val="0"/>
        <w:numPr>
          <w:ilvl w:val="0"/>
          <w:numId w:val="2"/>
        </w:numPr>
        <w:kinsoku/>
        <w:overflowPunct/>
        <w:bidi w:val="0"/>
        <w:adjustRightInd w:val="0"/>
        <w:snapToGrid w:val="0"/>
        <w:spacing w:before="312" w:beforeLines="100" w:after="312" w:afterLines="100" w:line="360" w:lineRule="exact"/>
        <w:jc w:val="cente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《食品经营许可证》</w:t>
      </w:r>
    </w:p>
    <w:p w14:paraId="01A99A65">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000000" w:themeColor="text1"/>
          <w:kern w:val="0"/>
          <w:sz w:val="28"/>
          <w:szCs w:val="28"/>
          <w:highlight w:val="none"/>
          <w:lang w:val="en-US" w:eastAsia="zh-CN"/>
          <w14:textFill>
            <w14:solidFill>
              <w14:schemeClr w14:val="tx1"/>
            </w14:solidFill>
          </w14:textFill>
        </w:rPr>
      </w:pPr>
    </w:p>
    <w:p w14:paraId="4331281D">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000000" w:themeColor="text1"/>
          <w:kern w:val="0"/>
          <w:sz w:val="28"/>
          <w:szCs w:val="28"/>
          <w:highlight w:val="none"/>
          <w:lang w:val="en-US" w:eastAsia="zh-CN"/>
          <w14:textFill>
            <w14:solidFill>
              <w14:schemeClr w14:val="tx1"/>
            </w14:solidFill>
          </w14:textFill>
        </w:rPr>
      </w:pPr>
    </w:p>
    <w:p w14:paraId="6873C1E0">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000000" w:themeColor="text1"/>
          <w:kern w:val="0"/>
          <w:sz w:val="28"/>
          <w:szCs w:val="28"/>
          <w:highlight w:val="none"/>
          <w:lang w:val="en-US" w:eastAsia="zh-CN"/>
          <w14:textFill>
            <w14:solidFill>
              <w14:schemeClr w14:val="tx1"/>
            </w14:solidFill>
          </w14:textFill>
        </w:rPr>
      </w:pPr>
    </w:p>
    <w:p w14:paraId="3F54996F">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000000" w:themeColor="text1"/>
          <w:kern w:val="0"/>
          <w:sz w:val="28"/>
          <w:szCs w:val="28"/>
          <w:highlight w:val="none"/>
          <w:lang w:val="en-US" w:eastAsia="zh-CN"/>
          <w14:textFill>
            <w14:solidFill>
              <w14:schemeClr w14:val="tx1"/>
            </w14:solidFill>
          </w14:textFill>
        </w:rPr>
      </w:pPr>
    </w:p>
    <w:p w14:paraId="19C9C339">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000000" w:themeColor="text1"/>
          <w:kern w:val="0"/>
          <w:sz w:val="28"/>
          <w:szCs w:val="28"/>
          <w:highlight w:val="none"/>
          <w:lang w:val="en-US" w:eastAsia="zh-CN"/>
          <w14:textFill>
            <w14:solidFill>
              <w14:schemeClr w14:val="tx1"/>
            </w14:solidFill>
          </w14:textFill>
        </w:rPr>
      </w:pPr>
    </w:p>
    <w:p w14:paraId="6476F33A">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000000" w:themeColor="text1"/>
          <w:kern w:val="0"/>
          <w:sz w:val="28"/>
          <w:szCs w:val="28"/>
          <w:highlight w:val="none"/>
          <w:lang w:val="en-US" w:eastAsia="zh-CN"/>
          <w14:textFill>
            <w14:solidFill>
              <w14:schemeClr w14:val="tx1"/>
            </w14:solidFill>
          </w14:textFill>
        </w:rPr>
      </w:pPr>
    </w:p>
    <w:p w14:paraId="5316DD61">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000000" w:themeColor="text1"/>
          <w:kern w:val="0"/>
          <w:sz w:val="28"/>
          <w:szCs w:val="28"/>
          <w:highlight w:val="none"/>
          <w:lang w:val="en-US" w:eastAsia="zh-CN"/>
          <w14:textFill>
            <w14:solidFill>
              <w14:schemeClr w14:val="tx1"/>
            </w14:solidFill>
          </w14:textFill>
        </w:rPr>
      </w:pPr>
    </w:p>
    <w:p w14:paraId="6C9323B3">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000000" w:themeColor="text1"/>
          <w:kern w:val="0"/>
          <w:sz w:val="28"/>
          <w:szCs w:val="28"/>
          <w:highlight w:val="none"/>
          <w:lang w:val="en-US" w:eastAsia="zh-CN"/>
          <w14:textFill>
            <w14:solidFill>
              <w14:schemeClr w14:val="tx1"/>
            </w14:solidFill>
          </w14:textFill>
        </w:rPr>
      </w:pPr>
    </w:p>
    <w:p w14:paraId="34220CDE">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000000" w:themeColor="text1"/>
          <w:kern w:val="0"/>
          <w:sz w:val="28"/>
          <w:szCs w:val="28"/>
          <w:highlight w:val="none"/>
          <w:lang w:val="en-US" w:eastAsia="zh-CN"/>
          <w14:textFill>
            <w14:solidFill>
              <w14:schemeClr w14:val="tx1"/>
            </w14:solidFill>
          </w14:textFill>
        </w:rPr>
      </w:pPr>
    </w:p>
    <w:p w14:paraId="64D9A6E7">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000000" w:themeColor="text1"/>
          <w:kern w:val="0"/>
          <w:sz w:val="28"/>
          <w:szCs w:val="28"/>
          <w:highlight w:val="none"/>
          <w:lang w:val="en-US" w:eastAsia="zh-CN"/>
          <w14:textFill>
            <w14:solidFill>
              <w14:schemeClr w14:val="tx1"/>
            </w14:solidFill>
          </w14:textFill>
        </w:rPr>
      </w:pPr>
    </w:p>
    <w:p w14:paraId="59A47036">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000000" w:themeColor="text1"/>
          <w:kern w:val="0"/>
          <w:sz w:val="28"/>
          <w:szCs w:val="28"/>
          <w:highlight w:val="none"/>
          <w:lang w:val="en-US" w:eastAsia="zh-CN"/>
          <w14:textFill>
            <w14:solidFill>
              <w14:schemeClr w14:val="tx1"/>
            </w14:solidFill>
          </w14:textFill>
        </w:rPr>
      </w:pPr>
    </w:p>
    <w:p w14:paraId="2845427F">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000000" w:themeColor="text1"/>
          <w:kern w:val="0"/>
          <w:sz w:val="28"/>
          <w:szCs w:val="28"/>
          <w:highlight w:val="none"/>
          <w:lang w:val="en-US" w:eastAsia="zh-CN"/>
          <w14:textFill>
            <w14:solidFill>
              <w14:schemeClr w14:val="tx1"/>
            </w14:solidFill>
          </w14:textFill>
        </w:rPr>
      </w:pPr>
    </w:p>
    <w:p w14:paraId="693489B1">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000000" w:themeColor="text1"/>
          <w:kern w:val="0"/>
          <w:sz w:val="28"/>
          <w:szCs w:val="28"/>
          <w:highlight w:val="none"/>
          <w:lang w:val="en-US" w:eastAsia="zh-CN"/>
          <w14:textFill>
            <w14:solidFill>
              <w14:schemeClr w14:val="tx1"/>
            </w14:solidFill>
          </w14:textFill>
        </w:rPr>
      </w:pPr>
    </w:p>
    <w:p w14:paraId="2C0D5530">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000000" w:themeColor="text1"/>
          <w:kern w:val="0"/>
          <w:sz w:val="28"/>
          <w:szCs w:val="28"/>
          <w:highlight w:val="none"/>
          <w:lang w:val="en-US" w:eastAsia="zh-CN"/>
          <w14:textFill>
            <w14:solidFill>
              <w14:schemeClr w14:val="tx1"/>
            </w14:solidFill>
          </w14:textFill>
        </w:rPr>
      </w:pPr>
    </w:p>
    <w:p w14:paraId="236F4643">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000000" w:themeColor="text1"/>
          <w:kern w:val="0"/>
          <w:sz w:val="28"/>
          <w:szCs w:val="28"/>
          <w:highlight w:val="none"/>
          <w:lang w:val="en-US" w:eastAsia="zh-CN"/>
          <w14:textFill>
            <w14:solidFill>
              <w14:schemeClr w14:val="tx1"/>
            </w14:solidFill>
          </w14:textFill>
        </w:rPr>
      </w:pPr>
    </w:p>
    <w:p w14:paraId="477CD887">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000000" w:themeColor="text1"/>
          <w:kern w:val="0"/>
          <w:sz w:val="28"/>
          <w:szCs w:val="28"/>
          <w:highlight w:val="none"/>
          <w:lang w:val="en-US" w:eastAsia="zh-CN"/>
          <w14:textFill>
            <w14:solidFill>
              <w14:schemeClr w14:val="tx1"/>
            </w14:solidFill>
          </w14:textFill>
        </w:rPr>
      </w:pPr>
    </w:p>
    <w:p w14:paraId="17671222">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000000" w:themeColor="text1"/>
          <w:kern w:val="0"/>
          <w:sz w:val="28"/>
          <w:szCs w:val="28"/>
          <w:highlight w:val="none"/>
          <w:lang w:val="en-US" w:eastAsia="zh-CN"/>
          <w14:textFill>
            <w14:solidFill>
              <w14:schemeClr w14:val="tx1"/>
            </w14:solidFill>
          </w14:textFill>
        </w:rPr>
      </w:pPr>
    </w:p>
    <w:p w14:paraId="6A85D24A">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000000" w:themeColor="text1"/>
          <w:kern w:val="0"/>
          <w:sz w:val="28"/>
          <w:szCs w:val="28"/>
          <w:highlight w:val="none"/>
          <w:lang w:val="en-US" w:eastAsia="zh-CN"/>
          <w14:textFill>
            <w14:solidFill>
              <w14:schemeClr w14:val="tx1"/>
            </w14:solidFill>
          </w14:textFill>
        </w:rPr>
      </w:pPr>
    </w:p>
    <w:p w14:paraId="06AA195A">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000000" w:themeColor="text1"/>
          <w:kern w:val="0"/>
          <w:sz w:val="28"/>
          <w:szCs w:val="28"/>
          <w:highlight w:val="none"/>
          <w:lang w:val="en-US" w:eastAsia="zh-CN"/>
          <w14:textFill>
            <w14:solidFill>
              <w14:schemeClr w14:val="tx1"/>
            </w14:solidFill>
          </w14:textFill>
        </w:rPr>
      </w:pPr>
    </w:p>
    <w:p w14:paraId="4BEAB276">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000000" w:themeColor="text1"/>
          <w:kern w:val="0"/>
          <w:sz w:val="28"/>
          <w:szCs w:val="28"/>
          <w:highlight w:val="none"/>
          <w:lang w:val="en-US" w:eastAsia="zh-CN"/>
          <w14:textFill>
            <w14:solidFill>
              <w14:schemeClr w14:val="tx1"/>
            </w14:solidFill>
          </w14:textFill>
        </w:rPr>
      </w:pPr>
    </w:p>
    <w:p w14:paraId="04C0826C">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000000" w:themeColor="text1"/>
          <w:kern w:val="0"/>
          <w:sz w:val="28"/>
          <w:szCs w:val="28"/>
          <w:highlight w:val="none"/>
          <w:lang w:val="en-US" w:eastAsia="zh-CN"/>
          <w14:textFill>
            <w14:solidFill>
              <w14:schemeClr w14:val="tx1"/>
            </w14:solidFill>
          </w14:textFill>
        </w:rPr>
      </w:pPr>
    </w:p>
    <w:p w14:paraId="4A564AA0">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both"/>
        <w:rPr>
          <w:rFonts w:hint="eastAsia" w:ascii="宋体" w:hAnsi="宋体" w:cs="宋体"/>
          <w:b/>
          <w:bCs/>
          <w:color w:val="000000" w:themeColor="text1"/>
          <w:kern w:val="0"/>
          <w:sz w:val="28"/>
          <w:szCs w:val="28"/>
          <w:highlight w:val="none"/>
          <w:lang w:val="en-US" w:eastAsia="zh-CN"/>
          <w14:textFill>
            <w14:solidFill>
              <w14:schemeClr w14:val="tx1"/>
            </w14:solidFill>
          </w14:textFill>
        </w:rPr>
      </w:pPr>
    </w:p>
    <w:p w14:paraId="34D69954">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8"/>
          <w:szCs w:val="28"/>
          <w:highlight w:val="none"/>
          <w:lang w:val="en-US" w:eastAsia="zh-CN"/>
          <w14:textFill>
            <w14:solidFill>
              <w14:schemeClr w14:val="tx1"/>
            </w14:solidFill>
          </w14:textFill>
        </w:rPr>
        <w:t>4</w:t>
      </w:r>
      <w:r>
        <w:rPr>
          <w:rFonts w:hint="eastAsia" w:ascii="宋体" w:hAnsi="宋体" w:eastAsia="宋体" w:cs="宋体"/>
          <w:b/>
          <w:bCs/>
          <w:color w:val="000000" w:themeColor="text1"/>
          <w:kern w:val="0"/>
          <w:sz w:val="28"/>
          <w:szCs w:val="28"/>
          <w:highlight w:val="none"/>
          <w14:textFill>
            <w14:solidFill>
              <w14:schemeClr w14:val="tx1"/>
            </w14:solidFill>
          </w14:textFill>
        </w:rPr>
        <w:t>、</w:t>
      </w:r>
      <w:r>
        <w:rPr>
          <w:rFonts w:hint="eastAsia" w:ascii="宋体" w:hAnsi="宋体" w:cs="宋体"/>
          <w:b/>
          <w:bCs/>
          <w:color w:val="000000" w:themeColor="text1"/>
          <w:kern w:val="0"/>
          <w:sz w:val="28"/>
          <w:szCs w:val="28"/>
          <w:highlight w:val="none"/>
          <w14:textFill>
            <w14:solidFill>
              <w14:schemeClr w14:val="tx1"/>
            </w14:solidFill>
          </w14:textFill>
        </w:rPr>
        <w:t>法定代表人身份证明书；法定代表人授权委托书；</w:t>
      </w:r>
    </w:p>
    <w:p w14:paraId="394B6AAA">
      <w:pPr>
        <w:keepNext w:val="0"/>
        <w:keepLines w:val="0"/>
        <w:pageBreakBefore w:val="0"/>
        <w:widowControl w:val="0"/>
        <w:kinsoku/>
        <w:overflowPunct/>
        <w:bidi w:val="0"/>
        <w:adjustRightInd w:val="0"/>
        <w:snapToGrid w:val="0"/>
        <w:spacing w:before="312" w:beforeLines="100" w:after="312" w:afterLines="100"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（一）法定代表人身份证明书</w:t>
      </w:r>
    </w:p>
    <w:p w14:paraId="7341A139">
      <w:pPr>
        <w:keepNext w:val="0"/>
        <w:keepLines w:val="0"/>
        <w:pageBreakBefore w:val="0"/>
        <w:widowControl w:val="0"/>
        <w:kinsoku/>
        <w:overflowPunct/>
        <w:bidi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同志，现任我单位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（职务）为法定代表人，特此证明。</w:t>
      </w:r>
    </w:p>
    <w:p w14:paraId="550D0DC5">
      <w:pPr>
        <w:keepNext w:val="0"/>
        <w:keepLines w:val="0"/>
        <w:pageBreakBefore w:val="0"/>
        <w:widowControl w:val="0"/>
        <w:kinsoku/>
        <w:overflowPunct/>
        <w:bidi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                      签发日期：</w:t>
      </w:r>
    </w:p>
    <w:p w14:paraId="542769B3">
      <w:pPr>
        <w:keepNext w:val="0"/>
        <w:keepLines w:val="0"/>
        <w:pageBreakBefore w:val="0"/>
        <w:widowControl w:val="0"/>
        <w:kinsoku/>
        <w:overflowPunct/>
        <w:bidi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                性别：            年龄：           </w:t>
      </w:r>
    </w:p>
    <w:p w14:paraId="342E2C5D">
      <w:pPr>
        <w:keepNext w:val="0"/>
        <w:keepLines w:val="0"/>
        <w:pageBreakBefore w:val="0"/>
        <w:widowControl w:val="0"/>
        <w:kinsoku/>
        <w:overflowPunct/>
        <w:bidi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                联系电话：</w:t>
      </w:r>
    </w:p>
    <w:p w14:paraId="7D04563B">
      <w:pPr>
        <w:keepNext w:val="0"/>
        <w:keepLines w:val="0"/>
        <w:pageBreakBefore w:val="0"/>
        <w:widowControl w:val="0"/>
        <w:kinsoku/>
        <w:overflowPunct/>
        <w:bidi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营业执照号码：              经济性质：</w:t>
      </w:r>
    </w:p>
    <w:p w14:paraId="7FF6B4FE">
      <w:pPr>
        <w:keepNext w:val="0"/>
        <w:keepLines w:val="0"/>
        <w:pageBreakBefore w:val="0"/>
        <w:widowControl w:val="0"/>
        <w:kinsoku/>
        <w:overflowPunct/>
        <w:bidi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w:t>
      </w:r>
    </w:p>
    <w:p w14:paraId="1F06519D">
      <w:pPr>
        <w:keepNext w:val="0"/>
        <w:keepLines w:val="0"/>
        <w:pageBreakBefore w:val="0"/>
        <w:widowControl w:val="0"/>
        <w:kinsoku/>
        <w:overflowPunct/>
        <w:bidi w:val="0"/>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1、法定代表人为企业事业单位、国家机关、社会团体的主要行政负责人。</w:t>
      </w:r>
    </w:p>
    <w:p w14:paraId="048E9900">
      <w:pPr>
        <w:keepNext w:val="0"/>
        <w:keepLines w:val="0"/>
        <w:pageBreakBefore w:val="0"/>
        <w:widowControl w:val="0"/>
        <w:kinsoku/>
        <w:overflowPunct/>
        <w:bidi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2、内容必须填写真实、清楚、涂改无效，不得转让。</w:t>
      </w:r>
    </w:p>
    <w:p w14:paraId="49EC625B">
      <w:pPr>
        <w:keepNext w:val="0"/>
        <w:keepLines w:val="0"/>
        <w:pageBreakBefore w:val="0"/>
        <w:widowControl w:val="0"/>
        <w:kinsoku/>
        <w:overflowPunct/>
        <w:bidi w:val="0"/>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3、将此证明书原件提交采购代理机构作为谈判</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cs="宋体"/>
          <w:color w:val="000000" w:themeColor="text1"/>
          <w:sz w:val="24"/>
          <w:highlight w:val="none"/>
          <w14:textFill>
            <w14:solidFill>
              <w14:schemeClr w14:val="tx1"/>
            </w14:solidFill>
          </w14:textFill>
        </w:rPr>
        <w:t>附件。</w:t>
      </w:r>
    </w:p>
    <w:p w14:paraId="58ECC172">
      <w:pPr>
        <w:keepNext w:val="0"/>
        <w:keepLines w:val="0"/>
        <w:pageBreakBefore w:val="0"/>
        <w:widowControl w:val="0"/>
        <w:kinsoku/>
        <w:overflowPunct/>
        <w:bidi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7F7CDD50">
      <w:pPr>
        <w:keepNext w:val="0"/>
        <w:keepLines w:val="0"/>
        <w:pageBreakBefore w:val="0"/>
        <w:widowControl w:val="0"/>
        <w:kinsoku/>
        <w:overflowPunct/>
        <w:bidi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附：法定代表人身份证复印件</w:t>
      </w:r>
    </w:p>
    <w:p w14:paraId="33B35EE4">
      <w:pPr>
        <w:keepNext w:val="0"/>
        <w:keepLines w:val="0"/>
        <w:pageBreakBefore w:val="0"/>
        <w:widowControl w:val="0"/>
        <w:kinsoku/>
        <w:overflowPunct/>
        <w:bidi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028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v:textbox>
              </v:shape>
            </w:pict>
          </mc:Fallback>
        </mc:AlternateContent>
      </w: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6"/>
                            </w:pPr>
                          </w:p>
                          <w:p w14:paraId="13A8C53A">
                            <w:pPr>
                              <w:pStyle w:val="6"/>
                            </w:pPr>
                          </w:p>
                          <w:p w14:paraId="20EB9256">
                            <w:pPr>
                              <w:pStyle w:val="6"/>
                            </w:pPr>
                          </w:p>
                          <w:p w14:paraId="527A109C">
                            <w:pPr>
                              <w:pStyle w:val="6"/>
                            </w:pPr>
                          </w:p>
                        </w:txbxContent>
                      </wps:txbx>
                      <wps:bodyPr upright="1"/>
                    </wps:wsp>
                  </a:graphicData>
                </a:graphic>
              </wp:anchor>
            </w:drawing>
          </mc:Choice>
          <mc:Fallback>
            <w:pict>
              <v:roundrect id="_x0000_s1026" o:spid="_x0000_s1026" o:spt="2" style="position:absolute;left:0pt;margin-left:229.8pt;margin-top:2.25pt;height:122.6pt;width:205.5pt;z-index:251661312;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fill on="t" focussize="0,0"/>
                <v:stroke weight="1.25pt" color="#808080" joinstyle="round"/>
                <v:imagedata o:title=""/>
                <o:lock v:ext="edit" aspectratio="f"/>
                <v:textbo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6"/>
                      </w:pPr>
                    </w:p>
                    <w:p w14:paraId="13A8C53A">
                      <w:pPr>
                        <w:pStyle w:val="6"/>
                      </w:pPr>
                    </w:p>
                    <w:p w14:paraId="20EB9256">
                      <w:pPr>
                        <w:pStyle w:val="6"/>
                      </w:pPr>
                    </w:p>
                    <w:p w14:paraId="527A109C">
                      <w:pPr>
                        <w:pStyle w:val="6"/>
                      </w:pPr>
                    </w:p>
                  </w:txbxContent>
                </v:textbox>
              </v:roundrect>
            </w:pict>
          </mc:Fallback>
        </mc:AlternateContent>
      </w:r>
    </w:p>
    <w:p w14:paraId="471A7A79">
      <w:pPr>
        <w:keepNext w:val="0"/>
        <w:keepLines w:val="0"/>
        <w:pageBreakBefore w:val="0"/>
        <w:widowControl w:val="0"/>
        <w:kinsoku/>
        <w:overflowPunct/>
        <w:bidi w:val="0"/>
        <w:spacing w:line="360" w:lineRule="auto"/>
        <w:rPr>
          <w:rFonts w:hint="eastAsia" w:ascii="宋体" w:hAnsi="宋体" w:cs="宋体"/>
          <w:color w:val="000000" w:themeColor="text1"/>
          <w:sz w:val="24"/>
          <w:highlight w:val="none"/>
          <w14:textFill>
            <w14:solidFill>
              <w14:schemeClr w14:val="tx1"/>
            </w14:solidFill>
          </w14:textFill>
        </w:rPr>
      </w:pPr>
    </w:p>
    <w:p w14:paraId="279428C7">
      <w:pPr>
        <w:keepNext w:val="0"/>
        <w:keepLines w:val="0"/>
        <w:pageBreakBefore w:val="0"/>
        <w:widowControl w:val="0"/>
        <w:kinsoku/>
        <w:overflowPunct/>
        <w:bidi w:val="0"/>
        <w:spacing w:line="360" w:lineRule="auto"/>
        <w:rPr>
          <w:rFonts w:hint="eastAsia" w:ascii="宋体" w:hAnsi="宋体" w:cs="宋体"/>
          <w:color w:val="000000" w:themeColor="text1"/>
          <w:sz w:val="24"/>
          <w:highlight w:val="none"/>
          <w14:textFill>
            <w14:solidFill>
              <w14:schemeClr w14:val="tx1"/>
            </w14:solidFill>
          </w14:textFill>
        </w:rPr>
      </w:pPr>
    </w:p>
    <w:p w14:paraId="026AD09F">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overflowPunct/>
        <w:bidi w:val="0"/>
        <w:spacing w:line="360" w:lineRule="auto"/>
        <w:rPr>
          <w:rFonts w:hint="eastAsia" w:ascii="宋体" w:hAnsi="宋体" w:cs="宋体"/>
          <w:color w:val="000000" w:themeColor="text1"/>
          <w:sz w:val="24"/>
          <w:highlight w:val="none"/>
          <w14:textFill>
            <w14:solidFill>
              <w14:schemeClr w14:val="tx1"/>
            </w14:solidFill>
          </w14:textFill>
        </w:rPr>
      </w:pPr>
    </w:p>
    <w:p w14:paraId="5BB5031C">
      <w:pPr>
        <w:keepNext w:val="0"/>
        <w:keepLines w:val="0"/>
        <w:pageBreakBefore w:val="0"/>
        <w:widowControl w:val="0"/>
        <w:kinsoku/>
        <w:overflowPunct/>
        <w:autoSpaceDE w:val="0"/>
        <w:autoSpaceDN w:val="0"/>
        <w:bidi w:val="0"/>
        <w:adjustRightInd w:val="0"/>
        <w:spacing w:line="360" w:lineRule="auto"/>
        <w:ind w:right="246"/>
        <w:rPr>
          <w:rFonts w:hint="eastAsia" w:ascii="宋体" w:hAnsi="宋体" w:cs="宋体"/>
          <w:color w:val="000000" w:themeColor="text1"/>
          <w:kern w:val="0"/>
          <w:sz w:val="24"/>
          <w:highlight w:val="none"/>
          <w14:textFill>
            <w14:solidFill>
              <w14:schemeClr w14:val="tx1"/>
            </w14:solidFill>
          </w14:textFill>
        </w:rPr>
      </w:pPr>
    </w:p>
    <w:p w14:paraId="00C09110">
      <w:pPr>
        <w:keepNext w:val="0"/>
        <w:keepLines w:val="0"/>
        <w:pageBreakBefore w:val="0"/>
        <w:widowControl w:val="0"/>
        <w:kinsoku/>
        <w:overflowPunct/>
        <w:autoSpaceDE w:val="0"/>
        <w:autoSpaceDN w:val="0"/>
        <w:bidi w:val="0"/>
        <w:adjustRightInd w:val="0"/>
        <w:spacing w:line="360" w:lineRule="auto"/>
        <w:ind w:right="246"/>
        <w:rPr>
          <w:rFonts w:hint="eastAsia" w:ascii="宋体" w:hAnsi="宋体" w:cs="宋体"/>
          <w:color w:val="000000" w:themeColor="text1"/>
          <w:kern w:val="0"/>
          <w:sz w:val="24"/>
          <w:highlight w:val="none"/>
          <w14:textFill>
            <w14:solidFill>
              <w14:schemeClr w14:val="tx1"/>
            </w14:solidFill>
          </w14:textFill>
        </w:rPr>
      </w:pPr>
    </w:p>
    <w:p w14:paraId="76B79FB0">
      <w:pPr>
        <w:pStyle w:val="27"/>
        <w:keepNext w:val="0"/>
        <w:keepLines w:val="0"/>
        <w:pageBreakBefore w:val="0"/>
        <w:widowControl w:val="0"/>
        <w:kinsoku/>
        <w:overflowPunct/>
        <w:bidi w:val="0"/>
        <w:rPr>
          <w:rFonts w:hint="eastAsia"/>
          <w:color w:val="000000" w:themeColor="text1"/>
          <w:highlight w:val="none"/>
          <w14:textFill>
            <w14:solidFill>
              <w14:schemeClr w14:val="tx1"/>
            </w14:solidFill>
          </w14:textFill>
        </w:rPr>
      </w:pPr>
    </w:p>
    <w:p w14:paraId="0330D2D9">
      <w:pPr>
        <w:keepNext w:val="0"/>
        <w:keepLines w:val="0"/>
        <w:pageBreakBefore w:val="0"/>
        <w:widowControl w:val="0"/>
        <w:kinsoku/>
        <w:overflowPunct/>
        <w:autoSpaceDE w:val="0"/>
        <w:autoSpaceDN w:val="0"/>
        <w:bidi w:val="0"/>
        <w:adjustRightInd w:val="0"/>
        <w:spacing w:line="360" w:lineRule="auto"/>
        <w:ind w:right="246" w:firstLine="784" w:firstLineChars="327"/>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投标人（盖章）：         </w:t>
      </w:r>
      <w:r>
        <w:rPr>
          <w:rFonts w:hint="eastAsia" w:ascii="宋体" w:hAnsi="宋体" w:cs="宋体"/>
          <w:color w:val="000000" w:themeColor="text1"/>
          <w:kern w:val="0"/>
          <w:sz w:val="24"/>
          <w:highlight w:val="none"/>
          <w:u w:val="single"/>
          <w14:textFill>
            <w14:solidFill>
              <w14:schemeClr w14:val="tx1"/>
            </w14:solidFill>
          </w14:textFill>
        </w:rPr>
        <w:t xml:space="preserve">           </w:t>
      </w:r>
    </w:p>
    <w:p w14:paraId="0EB84B50">
      <w:pPr>
        <w:keepNext w:val="0"/>
        <w:keepLines w:val="0"/>
        <w:pageBreakBefore w:val="0"/>
        <w:widowControl w:val="0"/>
        <w:kinsoku/>
        <w:overflowPunct/>
        <w:bidi w:val="0"/>
        <w:adjustRightInd w:val="0"/>
        <w:snapToGrid w:val="0"/>
        <w:spacing w:line="360" w:lineRule="auto"/>
        <w:ind w:firstLine="784" w:firstLineChars="327"/>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法定代表人（签</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章）：</w:t>
      </w:r>
      <w:r>
        <w:rPr>
          <w:rFonts w:hint="eastAsia" w:ascii="宋体" w:hAnsi="宋体" w:cs="宋体"/>
          <w:color w:val="000000" w:themeColor="text1"/>
          <w:sz w:val="24"/>
          <w:highlight w:val="none"/>
          <w:u w:val="single"/>
          <w14:textFill>
            <w14:solidFill>
              <w14:schemeClr w14:val="tx1"/>
            </w14:solidFill>
          </w14:textFill>
        </w:rPr>
        <w:t xml:space="preserve">             </w:t>
      </w:r>
    </w:p>
    <w:p w14:paraId="3DBC88E5">
      <w:pPr>
        <w:keepNext w:val="0"/>
        <w:keepLines w:val="0"/>
        <w:pageBreakBefore w:val="0"/>
        <w:widowControl w:val="0"/>
        <w:kinsoku/>
        <w:overflowPunct/>
        <w:bidi w:val="0"/>
        <w:adjustRightInd w:val="0"/>
        <w:snapToGrid w:val="0"/>
        <w:spacing w:line="360" w:lineRule="auto"/>
        <w:ind w:firstLine="784" w:firstLineChars="327"/>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w:t>
      </w:r>
      <w:r>
        <w:rPr>
          <w:rFonts w:hint="eastAsia" w:ascii="宋体" w:hAnsi="宋体" w:cs="宋体"/>
          <w:color w:val="000000" w:themeColor="text1"/>
          <w:sz w:val="24"/>
          <w:highlight w:val="none"/>
          <w:u w:val="single"/>
          <w14:textFill>
            <w14:solidFill>
              <w14:schemeClr w14:val="tx1"/>
            </w14:solidFill>
          </w14:textFill>
        </w:rPr>
        <w:t xml:space="preserve">                        </w:t>
      </w:r>
    </w:p>
    <w:p w14:paraId="1C08DB16">
      <w:pPr>
        <w:pStyle w:val="16"/>
        <w:keepNext w:val="0"/>
        <w:keepLines w:val="0"/>
        <w:pageBreakBefore w:val="0"/>
        <w:widowControl w:val="0"/>
        <w:tabs>
          <w:tab w:val="left" w:pos="5580"/>
        </w:tabs>
        <w:kinsoku/>
        <w:overflowPunct/>
        <w:bidi w:val="0"/>
        <w:spacing w:line="240" w:lineRule="atLeast"/>
        <w:ind w:left="1080" w:leftChars="257" w:hanging="540"/>
        <w:rPr>
          <w:rFonts w:hint="eastAsia" w:ascii="仿宋" w:hAnsi="仿宋" w:eastAsia="仿宋"/>
          <w:b/>
          <w:color w:val="000000" w:themeColor="text1"/>
          <w:sz w:val="24"/>
          <w:highlight w:val="none"/>
          <w14:textFill>
            <w14:solidFill>
              <w14:schemeClr w14:val="tx1"/>
            </w14:solidFill>
          </w14:textFill>
        </w:rPr>
      </w:pPr>
    </w:p>
    <w:p w14:paraId="2D46BFF1">
      <w:pPr>
        <w:pStyle w:val="16"/>
        <w:keepNext w:val="0"/>
        <w:keepLines w:val="0"/>
        <w:pageBreakBefore w:val="0"/>
        <w:widowControl w:val="0"/>
        <w:tabs>
          <w:tab w:val="left" w:pos="5580"/>
        </w:tabs>
        <w:kinsoku/>
        <w:overflowPunct/>
        <w:bidi w:val="0"/>
        <w:spacing w:line="240" w:lineRule="atLeast"/>
        <w:ind w:left="1108" w:leftChars="371" w:hanging="329" w:hangingChars="157"/>
        <w:rPr>
          <w:rFonts w:hint="eastAsia" w:hAnsi="宋体" w:cs="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注：</w:t>
      </w:r>
      <w:r>
        <w:rPr>
          <w:rFonts w:hint="eastAsia" w:hAnsi="宋体" w:cs="宋体"/>
          <w:color w:val="000000" w:themeColor="text1"/>
          <w:sz w:val="24"/>
          <w:highlight w:val="none"/>
          <w14:textFill>
            <w14:solidFill>
              <w14:schemeClr w14:val="tx1"/>
            </w14:solidFill>
          </w14:textFill>
        </w:rPr>
        <w:t>1. 投标人为自然人的，应提供身份证明的复印件。</w:t>
      </w:r>
    </w:p>
    <w:p w14:paraId="4D59BB65">
      <w:pPr>
        <w:pStyle w:val="16"/>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 xml:space="preserve">        2.联合体投标应提供联合体各方满足以上要求的证明文件。</w:t>
      </w:r>
    </w:p>
    <w:p w14:paraId="5FD2FF46">
      <w:pPr>
        <w:pStyle w:val="4"/>
        <w:keepNext w:val="0"/>
        <w:keepLines w:val="0"/>
        <w:pageBreakBefore w:val="0"/>
        <w:widowControl w:val="0"/>
        <w:tabs>
          <w:tab w:val="left" w:pos="540"/>
        </w:tabs>
        <w:kinsoku/>
        <w:overflowPunct/>
        <w:bidi w:val="0"/>
        <w:spacing w:line="240" w:lineRule="atLeast"/>
        <w:jc w:val="center"/>
        <w:rPr>
          <w:rFonts w:hint="eastAsia"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bookmarkStart w:id="291" w:name="_Toc515647807"/>
      <w:bookmarkStart w:id="292" w:name="_Toc22472"/>
      <w:bookmarkStart w:id="293" w:name="_Toc1083"/>
      <w:bookmarkStart w:id="294" w:name="_Toc23503"/>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bookmarkStart w:id="295" w:name="_Toc29028"/>
      <w:bookmarkStart w:id="296" w:name="_Toc23386"/>
      <w:bookmarkStart w:id="297" w:name="_Toc184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（二）法定代表人授权委托书</w:t>
      </w:r>
      <w:bookmarkEnd w:id="291"/>
      <w:bookmarkEnd w:id="292"/>
      <w:bookmarkEnd w:id="293"/>
      <w:bookmarkEnd w:id="294"/>
      <w:bookmarkEnd w:id="295"/>
      <w:bookmarkEnd w:id="296"/>
      <w:bookmarkEnd w:id="297"/>
    </w:p>
    <w:p w14:paraId="59CB048D">
      <w:pPr>
        <w:pStyle w:val="4"/>
        <w:keepNext w:val="0"/>
        <w:keepLines w:val="0"/>
        <w:pageBreakBefore w:val="0"/>
        <w:widowControl w:val="0"/>
        <w:tabs>
          <w:tab w:val="left" w:pos="540"/>
        </w:tabs>
        <w:kinsoku/>
        <w:overflowPunct/>
        <w:bidi w:val="0"/>
        <w:jc w:val="both"/>
        <w:rPr>
          <w:rFonts w:hint="eastAsia" w:ascii="宋体" w:hAnsi="宋体" w:cs="宋体"/>
          <w:color w:val="000000" w:themeColor="text1"/>
          <w:sz w:val="24"/>
          <w:highlight w:val="none"/>
          <w14:textFill>
            <w14:solidFill>
              <w14:schemeClr w14:val="tx1"/>
            </w14:solidFill>
          </w14:textFill>
        </w:rPr>
      </w:pPr>
      <w:bookmarkStart w:id="298" w:name="_Toc30228"/>
      <w:bookmarkStart w:id="299" w:name="_Toc6592"/>
      <w:bookmarkStart w:id="300" w:name="_Toc5232"/>
      <w:r>
        <w:rPr>
          <w:rFonts w:hint="eastAsia" w:ascii="宋体" w:hAnsi="宋体" w:cs="宋体"/>
          <w:color w:val="000000" w:themeColor="text1"/>
          <w:szCs w:val="28"/>
          <w:highlight w:val="none"/>
          <w14:textFill>
            <w14:solidFill>
              <w14:schemeClr w14:val="tx1"/>
            </w14:solidFill>
          </w14:textFill>
        </w:rPr>
        <w:cr/>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本授权书声明：注册于</w:t>
      </w:r>
      <w:r>
        <w:rPr>
          <w:rFonts w:hint="eastAsia" w:asciiTheme="minorEastAsia" w:hAnsiTheme="minorEastAsia" w:eastAsiaTheme="minorEastAsia" w:cstheme="minorEastAsia"/>
          <w:bCs/>
          <w:color w:val="000000" w:themeColor="text1"/>
          <w:sz w:val="24"/>
          <w:highlight w:val="none"/>
          <w:u w:val="single"/>
          <w14:textFill>
            <w14:solidFill>
              <w14:schemeClr w14:val="tx1"/>
            </w14:solidFill>
          </w14:textFill>
        </w:rPr>
        <w:t>（国家或地区的名称）</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4"/>
          <w:highlight w:val="none"/>
          <w:u w:val="single"/>
          <w14:textFill>
            <w14:solidFill>
              <w14:schemeClr w14:val="tx1"/>
            </w14:solidFill>
          </w14:textFill>
        </w:rPr>
        <w:t>投标人</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4"/>
          <w:highlight w:val="none"/>
          <w:u w:val="single"/>
          <w14:textFill>
            <w14:solidFill>
              <w14:schemeClr w14:val="tx1"/>
            </w14:solidFill>
          </w14:textFill>
        </w:rPr>
        <w:t>法人代表姓名、职务</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代表我单位授权</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4"/>
          <w:highlight w:val="none"/>
          <w:u w:val="single"/>
          <w14:textFill>
            <w14:solidFill>
              <w14:schemeClr w14:val="tx1"/>
            </w14:solidFill>
          </w14:textFill>
        </w:rPr>
        <w:t>单位名称</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4"/>
          <w:highlight w:val="none"/>
          <w:u w:val="single"/>
          <w14:textFill>
            <w14:solidFill>
              <w14:schemeClr w14:val="tx1"/>
            </w14:solidFill>
          </w14:textFill>
        </w:rPr>
        <w:t>被授权人的姓名、职务</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为我单位的合法代理人，就</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4"/>
          <w:highlight w:val="none"/>
          <w:u w:val="single"/>
          <w14:textFill>
            <w14:solidFill>
              <w14:schemeClr w14:val="tx1"/>
            </w14:solidFill>
          </w14:textFill>
        </w:rPr>
        <w:t>项目名称</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的投标，以我单位名义处理一切与之有关的事务。</w:t>
      </w:r>
      <w:r>
        <w:rPr>
          <w:rFonts w:hint="eastAsia" w:ascii="宋体" w:hAnsi="宋体" w:cs="宋体"/>
          <w:color w:val="000000" w:themeColor="text1"/>
          <w:sz w:val="24"/>
          <w:highlight w:val="none"/>
          <w14:textFill>
            <w14:solidFill>
              <w14:schemeClr w14:val="tx1"/>
            </w14:solidFill>
          </w14:textFill>
        </w:rPr>
        <w:cr/>
      </w:r>
      <w:bookmarkEnd w:id="298"/>
      <w:bookmarkEnd w:id="299"/>
      <w:bookmarkEnd w:id="300"/>
      <w:r>
        <w:rPr>
          <w:rFonts w:hint="eastAsia" w:ascii="宋体" w:hAnsi="宋体" w:cs="宋体"/>
          <w:color w:val="000000" w:themeColor="text1"/>
          <w:sz w:val="24"/>
          <w:highlight w:val="none"/>
          <w14:textFill>
            <w14:solidFill>
              <w14:schemeClr w14:val="tx1"/>
            </w14:solidFill>
          </w14:textFill>
        </w:rPr>
        <w:t>　　</w:t>
      </w:r>
    </w:p>
    <w:p w14:paraId="35F7043B">
      <w:pPr>
        <w:pStyle w:val="16"/>
        <w:keepNext w:val="0"/>
        <w:keepLines w:val="0"/>
        <w:pageBreakBefore w:val="0"/>
        <w:widowControl w:val="0"/>
        <w:tabs>
          <w:tab w:val="left" w:pos="5580"/>
        </w:tabs>
        <w:kinsoku/>
        <w:overflowPunct/>
        <w:bidi w:val="0"/>
        <w:spacing w:line="240" w:lineRule="atLeast"/>
        <w:ind w:left="-540" w:leftChars="-257" w:firstLine="900" w:firstLineChars="375"/>
        <w:rPr>
          <w:rFonts w:hint="eastAsia" w:hAnsi="宋体" w:cs="宋体"/>
          <w:color w:val="000000" w:themeColor="text1"/>
          <w:sz w:val="24"/>
          <w:highlight w:val="none"/>
          <w14:textFill>
            <w14:solidFill>
              <w14:schemeClr w14:val="tx1"/>
            </w14:solidFill>
          </w14:textFill>
        </w:rPr>
      </w:pPr>
    </w:p>
    <w:p w14:paraId="358E80E4">
      <w:pPr>
        <w:pStyle w:val="16"/>
        <w:keepNext w:val="0"/>
        <w:keepLines w:val="0"/>
        <w:pageBreakBefore w:val="0"/>
        <w:widowControl w:val="0"/>
        <w:tabs>
          <w:tab w:val="left" w:pos="5580"/>
        </w:tabs>
        <w:kinsoku/>
        <w:overflowPunct/>
        <w:bidi w:val="0"/>
        <w:spacing w:line="240" w:lineRule="atLeast"/>
        <w:ind w:left="-540" w:leftChars="-257" w:firstLine="900" w:firstLineChars="375"/>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2827655</wp:posOffset>
                </wp:positionH>
                <wp:positionV relativeFrom="paragraph">
                  <wp:posOffset>581025</wp:posOffset>
                </wp:positionV>
                <wp:extent cx="2230755" cy="1239520"/>
                <wp:effectExtent l="8255" t="7620" r="8890" b="10160"/>
                <wp:wrapNone/>
                <wp:docPr id="12" name="圆角矩形 12"/>
                <wp:cNvGraphicFramePr/>
                <a:graphic xmlns:a="http://schemas.openxmlformats.org/drawingml/2006/main">
                  <a:graphicData uri="http://schemas.microsoft.com/office/word/2010/wordprocessingShape">
                    <wps:wsp>
                      <wps:cNvSpPr/>
                      <wps:spPr>
                        <a:xfrm>
                          <a:off x="0" y="0"/>
                          <a:ext cx="2230755" cy="123952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wps:txbx>
                      <wps:bodyPr upright="1"/>
                    </wps:wsp>
                  </a:graphicData>
                </a:graphic>
              </wp:anchor>
            </w:drawing>
          </mc:Choice>
          <mc:Fallback>
            <w:pict>
              <v:roundrect id="_x0000_s1026" o:spid="_x0000_s1026" o:spt="2" style="position:absolute;left:0pt;margin-left:222.65pt;margin-top:45.75pt;height:97.6pt;width:175.65pt;z-index:251665408;mso-width-relative:page;mso-height-relative:page;" fillcolor="#FFFFFF" filled="t" stroked="t" coordsize="21600,21600" arcsize="0.166666666666667" o:gfxdata="UEsDBAoAAAAAAIdO4kAAAAAAAAAAAAAAAAAEAAAAZHJzL1BLAwQUAAAACACHTuJABqWaq90AAAAK&#10;AQAADwAAAGRycy9kb3ducmV2LnhtbE2Py07DMBBF90j8gzVI7KidPpI2jVMhJJBAXbQpG3ZuPE2i&#10;xuModpuGr8esYDm6R/eeyTY307Ir9q6xJCGaCGBIpdUNVRI+D69PS2DOK9KqtYQSRnSwye/vMpVq&#10;O9Aer4WvWCghlyoJtfddyrkrazTKTWyHFLKT7Y3y4ewrrns1hHLT8qkQMTeqobBQqw5faizPxcVI&#10;GL7H89s2wdmH2L8/F4dk3H3tGikfHyKxBubx5v9g+NUP6pAHp6O9kHaslTCfL2YBlbCKFsACkKzi&#10;GNhRwnQZJ8DzjP9/If8BUEsDBBQAAAAIAIdO4kCKo9rPJgIAAFoEAAAOAAAAZHJzL2Uyb0RvYy54&#10;bWytVEuO1DAQ3SNxB8t7OumM+kPU6VnQNBsEIwYO4LadxMg/2e5O+gIcgDUSEhs0h+A4IzgGZSf0&#10;fGDRCxLJKdtVz69elbO67JVEB+68MLrC00mOEdfUMKGbCn94v322xMgHohmRRvMKH7nHl+unT1ad&#10;LXlhWiMZdwhAtC87W+E2BFtmmactV8RPjOUaNmvjFAkwdU3GHOkAXcmsyPN51hnHrDOUew+rm2ET&#10;j4juHEBT14LyjaF7xXUYUB2XJEBKvhXW43ViW9echrd17XlAssKQaUgjHAL2Lo7ZekXKxhHbCjpS&#10;IOdQeJSTIkLDoSeoDQkE7Z34C0oJ6ow3dZhQo7IhkaQIZDHNH2lz3RLLUy4gtbcn0f3/g6VvDlcO&#10;CQadUGCkiYKK33759Ov7559fb25/fEOwDBp11pfgem2v3DjzYMaE+9qp+IVUUJ90PZ505X1AFBaL&#10;4iJfzGYYUdibFhfPZ0VSPrsLt86HV9woFI0KO7PX7B1UL4lKDq99SOqykSJhHzGqlYRaHYhE0/l8&#10;vog8AXF0BusPZoz0Rgq2FVKmiWt2L6RDEFrhbXrG4AduUqMO+M6Wi0idQK/X0GNgKgt6ed0kcg9C&#10;/H3kZR7ffyFHZhvi24FBQohupGw5YS81Q+FooRAaLiCOHBRnGEkO9zVayTMQIc/xBB2kBmFiBYea&#10;RSv0u34s5M6wI7TA3jrRtCD9NBGOTtBySdHxesSevj9PoHe/hP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qWaq90AAAAKAQAADwAAAAAAAAABACAAAAAiAAAAZHJzL2Rvd25yZXYueG1sUEsBAhQA&#10;FAAAAAgAh07iQIqj2s8mAgAAWgQAAA4AAAAAAAAAAQAgAAAALAEAAGRycy9lMm9Eb2MueG1sUEsF&#10;BgAAAAAGAAYAWQEAAMQFAAAAAA==&#10;">
                <v:fill on="t" focussize="0,0"/>
                <v:stroke weight="1.25pt" color="#808080" joinstyle="round"/>
                <v:imagedata o:title=""/>
                <o:lock v:ext="edit" aspectratio="f"/>
                <v:textbo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v:textbox>
              </v:roundrect>
            </w:pict>
          </mc:Fallback>
        </mc:AlternateContent>
      </w:r>
      <w:r>
        <w:rPr>
          <w:rFonts w:hint="eastAsia"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321945</wp:posOffset>
                </wp:positionH>
                <wp:positionV relativeFrom="paragraph">
                  <wp:posOffset>566420</wp:posOffset>
                </wp:positionV>
                <wp:extent cx="2270760" cy="1302385"/>
                <wp:effectExtent l="7620" t="7620" r="26670" b="23495"/>
                <wp:wrapNone/>
                <wp:docPr id="11" name="圆角矩形 11"/>
                <wp:cNvGraphicFramePr/>
                <a:graphic xmlns:a="http://schemas.openxmlformats.org/drawingml/2006/main">
                  <a:graphicData uri="http://schemas.microsoft.com/office/word/2010/wordprocessingShape">
                    <wps:wsp>
                      <wps:cNvSpPr/>
                      <wps:spPr>
                        <a:xfrm>
                          <a:off x="0" y="0"/>
                          <a:ext cx="2270760"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wps:txbx>
                      <wps:bodyPr upright="1"/>
                    </wps:wsp>
                  </a:graphicData>
                </a:graphic>
              </wp:anchor>
            </w:drawing>
          </mc:Choice>
          <mc:Fallback>
            <w:pict>
              <v:roundrect id="_x0000_s1026" o:spid="_x0000_s1026" o:spt="2" style="position:absolute;left:0pt;margin-left:25.35pt;margin-top:44.6pt;height:102.55pt;width:178.8pt;z-index:251664384;mso-width-relative:page;mso-height-relative:page;" fillcolor="#FFFFFF" filled="t" stroked="t" coordsize="21600,21600" arcsize="0.166666666666667" o:gfxdata="UEsDBAoAAAAAAIdO4kAAAAAAAAAAAAAAAAAEAAAAZHJzL1BLAwQUAAAACACHTuJAH8xKFdsAAAAJ&#10;AQAADwAAAGRycy9kb3ducmV2LnhtbE2PMU/DMBSEdyT+g/WQ2KjdpJA0jVMhJJBAHdqUpZsbP5Ko&#10;8XMUu03Dr8dMMJ7udPddvr6ajl1wcK0lCfOZAIZUWd1SLeFz//qQAnNekVadJZQwoYN1cXuTq0zb&#10;kXZ4KX3NQgm5TElovO8zzl3VoFFuZnuk4H3ZwSgf5FBzPagxlJuOR0I8caNaCguN6vGlwepUno2E&#10;8Xs6vW0SjD/E7v253CfT9rBtpby/m4sVMI9X/xeGX/yADkVgOtozacc6CY8iCUkJ6TICFvyFSGNg&#10;RwnRchEDL3L+/0HxA1BLAwQUAAAACACHTuJA3tmbFiUCAABaBAAADgAAAGRycy9lMm9Eb2MueG1s&#10;rVRLjhMxEN0jcQfLe9KdjPJRK51ZEMIGwYiBAzj+dBv5J9tJdy7AAVgjIbFBHILjjOAYlJ2ezIdZ&#10;ZEEidcp21etX75WzvOy1Qnvug7SmxuNRiRE31DJpmhp//LB5scAoRGIYUdbwGh94wJer58+Wnav4&#10;xLZWMe4RgJhQda7GbYyuKopAW65JGFnHDRwK6zWJsPRNwTzpAF2rYlKWs6KznjlvKQ8BdtfHQzwg&#10;+nMArRCS8rWlO81NPKJ6rkiElkIrXcCrzFYITuM7IQKPSNUYOo35CS+BeJuexWpJqsYT10o6UCDn&#10;UHjUkybSwEtPUGsSCdp5+Q+UltTbYEUcUauLYyNZEehiXD7S5roljudeQOrgTqKH/wdL3+6vPJIM&#10;JmGMkSEaHL/5+vnPjy+/v/28+fUdwTZo1LlQQeq1u/LDKkCYGu6F1+kXWkF91vVw0pX3EVHYnEzm&#10;5XwGklM4G1+Uk4vFNKEWd+XOh/iaW41SUGNvd4a9B/eyqGT/JsSsLhsoEvYJI6EVeLUnCo1ns9l8&#10;QBySAfsWM1UGqyTbSKXywjfbl8ojKK3xJn+G4gdpyqAO+E4X8ylQJzDrAmYMQu1Ar2CaTO5BSbiP&#10;vCjT9ynkxGxNQntkkBFSGqlaTtgrw1A8ODDCwAXEiYPmDCPF4b6mKGdGItU5maCDMiB1cvDoWYpi&#10;v+0HI7eWHWAEds7LpgXps985HUYuezRcjzTT99cZ9O4vYf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8xKFdsAAAAJAQAADwAAAAAAAAABACAAAAAiAAAAZHJzL2Rvd25yZXYueG1sUEsBAhQAFAAA&#10;AAgAh07iQN7ZmxYlAgAAWgQAAA4AAAAAAAAAAQAgAAAAKgEAAGRycy9lMm9Eb2MueG1sUEsFBgAA&#10;AAAGAAYAWQEAAMEFAAAAAA==&#10;">
                <v:fill on="t" focussize="0,0"/>
                <v:stroke weight="1.25pt" color="#808080" joinstyle="round"/>
                <v:imagedata o:title=""/>
                <o:lock v:ext="edit" aspectratio="f"/>
                <v:textbo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v:textbox>
              </v:roundrect>
            </w:pict>
          </mc:Fallback>
        </mc:AlternateContent>
      </w:r>
      <w:r>
        <w:rPr>
          <w:rFonts w:hint="eastAsia" w:hAnsi="宋体" w:cs="宋体"/>
          <w:color w:val="000000" w:themeColor="text1"/>
          <w:sz w:val="24"/>
          <w:highlight w:val="none"/>
          <w14:textFill>
            <w14:solidFill>
              <w14:schemeClr w14:val="tx1"/>
            </w14:solidFill>
          </w14:textFill>
        </w:rPr>
        <w:t>本授权书于</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年</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月</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日签字生效,特此声明。</w:t>
      </w:r>
      <w:r>
        <w:rPr>
          <w:rFonts w:hint="eastAsia" w:hAnsi="宋体" w:cs="宋体"/>
          <w:color w:val="000000" w:themeColor="text1"/>
          <w:sz w:val="24"/>
          <w:highlight w:val="none"/>
          <w14:textFill>
            <w14:solidFill>
              <w14:schemeClr w14:val="tx1"/>
            </w14:solidFill>
          </w14:textFill>
        </w:rPr>
        <w:cr/>
      </w:r>
      <w:r>
        <w:rPr>
          <w:rFonts w:hint="eastAsia" w:hAnsi="宋体" w:cs="宋体"/>
          <w:color w:val="000000" w:themeColor="text1"/>
          <w:sz w:val="24"/>
          <w:highlight w:val="none"/>
          <w14:textFill>
            <w14:solidFill>
              <w14:schemeClr w14:val="tx1"/>
            </w14:solidFill>
          </w14:textFill>
        </w:rPr>
        <w:cr/>
      </w:r>
    </w:p>
    <w:p w14:paraId="43CF5F9C">
      <w:pPr>
        <w:pStyle w:val="16"/>
        <w:keepNext w:val="0"/>
        <w:keepLines w:val="0"/>
        <w:pageBreakBefore w:val="0"/>
        <w:widowControl w:val="0"/>
        <w:tabs>
          <w:tab w:val="left" w:pos="5580"/>
        </w:tabs>
        <w:kinsoku/>
        <w:overflowPunct/>
        <w:bidi w:val="0"/>
        <w:spacing w:line="240" w:lineRule="atLeast"/>
        <w:ind w:left="-540" w:leftChars="-257" w:firstLine="900" w:firstLineChars="375"/>
        <w:rPr>
          <w:rFonts w:hint="eastAsia" w:hAnsi="宋体" w:cs="宋体"/>
          <w:color w:val="000000" w:themeColor="text1"/>
          <w:sz w:val="24"/>
          <w:highlight w:val="none"/>
          <w14:textFill>
            <w14:solidFill>
              <w14:schemeClr w14:val="tx1"/>
            </w14:solidFill>
          </w14:textFill>
        </w:rPr>
      </w:pPr>
    </w:p>
    <w:p w14:paraId="1FE508E0">
      <w:pPr>
        <w:keepNext w:val="0"/>
        <w:keepLines w:val="0"/>
        <w:pageBreakBefore w:val="0"/>
        <w:widowControl w:val="0"/>
        <w:kinsoku/>
        <w:overflowPunct/>
        <w:bidi w:val="0"/>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p>
    <w:p w14:paraId="03143ED9">
      <w:pPr>
        <w:keepNext w:val="0"/>
        <w:keepLines w:val="0"/>
        <w:pageBreakBefore w:val="0"/>
        <w:widowControl w:val="0"/>
        <w:kinsoku/>
        <w:overflowPunct/>
        <w:bidi w:val="0"/>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p>
    <w:p w14:paraId="052365F2">
      <w:pPr>
        <w:keepNext w:val="0"/>
        <w:keepLines w:val="0"/>
        <w:pageBreakBefore w:val="0"/>
        <w:widowControl w:val="0"/>
        <w:kinsoku/>
        <w:overflowPunct/>
        <w:bidi w:val="0"/>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p>
    <w:p w14:paraId="2AF8E21C">
      <w:pPr>
        <w:keepNext w:val="0"/>
        <w:keepLines w:val="0"/>
        <w:pageBreakBefore w:val="0"/>
        <w:widowControl w:val="0"/>
        <w:kinsoku/>
        <w:overflowPunct/>
        <w:bidi w:val="0"/>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p>
    <w:p w14:paraId="256033AE">
      <w:pPr>
        <w:keepNext w:val="0"/>
        <w:keepLines w:val="0"/>
        <w:pageBreakBefore w:val="0"/>
        <w:widowControl w:val="0"/>
        <w:kinsoku/>
        <w:overflowPunct/>
        <w:bidi w:val="0"/>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2877185</wp:posOffset>
                </wp:positionH>
                <wp:positionV relativeFrom="paragraph">
                  <wp:posOffset>44450</wp:posOffset>
                </wp:positionV>
                <wp:extent cx="2268855" cy="1211580"/>
                <wp:effectExtent l="7620" t="7620" r="9525" b="19050"/>
                <wp:wrapNone/>
                <wp:docPr id="10" name="圆角矩形 10"/>
                <wp:cNvGraphicFramePr/>
                <a:graphic xmlns:a="http://schemas.openxmlformats.org/drawingml/2006/main">
                  <a:graphicData uri="http://schemas.microsoft.com/office/word/2010/wordprocessingShape">
                    <wps:wsp>
                      <wps:cNvSpPr/>
                      <wps:spPr>
                        <a:xfrm>
                          <a:off x="0" y="0"/>
                          <a:ext cx="2268855" cy="12115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wps:txbx>
                      <wps:bodyPr upright="1"/>
                    </wps:wsp>
                  </a:graphicData>
                </a:graphic>
              </wp:anchor>
            </w:drawing>
          </mc:Choice>
          <mc:Fallback>
            <w:pict>
              <v:roundrect id="_x0000_s1026" o:spid="_x0000_s1026" o:spt="2" style="position:absolute;left:0pt;margin-left:226.55pt;margin-top:3.5pt;height:95.4pt;width:178.65pt;z-index:251663360;mso-width-relative:page;mso-height-relative:page;" fillcolor="#FFFFFF" filled="t" stroked="t" coordsize="21600,21600" arcsize="0.166666666666667" o:gfxdata="UEsDBAoAAAAAAIdO4kAAAAAAAAAAAAAAAAAEAAAAZHJzL1BLAwQUAAAACACHTuJAqI6s69oAAAAJ&#10;AQAADwAAAGRycy9kb3ducmV2LnhtbE2PQU+DQBCF7yb+h82YeLO72CoUWRpjoommh5Z66W0LI5Cy&#10;s4TdluKvdzzpcfK+vPletrrYTpxx8K0jDdFMgUAqXdVSreFz93qXgPDBUGU6R6hhQg+r/PoqM2nl&#10;RtriuQi14BLyqdHQhNCnUvqyQWv8zPVInH25wZrA51DLajAjl9tO3iv1KK1piT80pseXBstjcbIa&#10;xu/p+LaOcf6htu/PxS6eNvtNq/XtTaSeQAS8hD8YfvVZHXJ2OrgTVV50GhYP84hRDTFP4jyJ1ALE&#10;gcFlnIDMM/l/Qf4DUEsDBBQAAAAIAIdO4kAlRF0HJQIAAFoEAAAOAAAAZHJzL2Uyb0RvYy54bWyt&#10;VE2O0zAU3iNxB8t7mqZSO1HUdBaUskEwYuAArn8SI//Jdpv0AhyANRISG8QhOM4IjsGzGzo/zKKL&#10;SSTn2X7v8/e+95zl5aAV2nMfpDUNLidTjLihlknTNvjjh82LCqMQiWFEWcMbfOABX66eP1v2ruYz&#10;21nFuEcAYkLduwZ3Mbq6KALtuCZhYh03sCms1yTC1LcF86QHdK2K2XS6KHrrmfOW8hBgdX3cxCOi&#10;PwfQCiEpX1u609zEI6rnikRIKXTSBbzKbIXgNL4TIvCIVIMh05hHOATsbRqL1ZLUrSeuk3SkQM6h&#10;8CAnTaSBQ09QaxIJ2nn5H5SW1NtgRZxQq4tjIlkRyKKcPtDmuiOO51xA6uBOooeng6Vv91ceSQad&#10;AJIYoqHiN18///nx5fe3nze/viNYBo16F2pwvXZXfpwFMFPCg/A6fSEVNGRdDydd+RARhcXZbFFV&#10;8zlGFPbKWVnOq4xa3IY7H+JrbjVKRoO93Rn2HqqXRSX7NyFmddlIkbBPGAmtoFZ7olC5WCwuEk9A&#10;HJ3B+oeZIoNVkm2kUnni2+1L5RGENniTnzH4npsyqAe+8+oiUSfQ6wJ6DEztQK9g2kzuXki4i1xN&#10;0/sYcmK2JqE7MsgIyY3UHSfslWEoHhwUwsAFxImD5gwjxeG+Jit7RiLVOZ6ggzIgTKrgsWbJisN2&#10;GAu5tewALbBzXrYdSF9mwskJWi4rOl6P1NN35xn09pew+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ojqzr2gAAAAkBAAAPAAAAAAAAAAEAIAAAACIAAABkcnMvZG93bnJldi54bWxQSwECFAAUAAAA&#10;CACHTuJAJURdByUCAABaBAAADgAAAAAAAAABACAAAAApAQAAZHJzL2Uyb0RvYy54bWxQSwUGAAAA&#10;AAYABgBZAQAAwAUAAAAA&#10;">
                <v:fill on="t" focussize="0,0"/>
                <v:stroke weight="1.25pt" color="#808080" joinstyle="round"/>
                <v:imagedata o:title=""/>
                <o:lock v:ext="edit" aspectratio="f"/>
                <v:textbo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v:textbox>
              </v:roundrect>
            </w:pict>
          </mc:Fallback>
        </mc:AlternateContent>
      </w: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354330</wp:posOffset>
                </wp:positionH>
                <wp:positionV relativeFrom="paragraph">
                  <wp:posOffset>60325</wp:posOffset>
                </wp:positionV>
                <wp:extent cx="2259965" cy="1209675"/>
                <wp:effectExtent l="4445" t="4445" r="21590" b="5080"/>
                <wp:wrapNone/>
                <wp:docPr id="13" name="流程图: 可选过程 13"/>
                <wp:cNvGraphicFramePr/>
                <a:graphic xmlns:a="http://schemas.openxmlformats.org/drawingml/2006/main">
                  <a:graphicData uri="http://schemas.microsoft.com/office/word/2010/wordprocessingShape">
                    <wps:wsp>
                      <wps:cNvSpPr/>
                      <wps:spPr>
                        <a:xfrm>
                          <a:off x="0" y="0"/>
                          <a:ext cx="2259965" cy="12096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wps:txbx>
                      <wps:bodyPr upright="1"/>
                    </wps:wsp>
                  </a:graphicData>
                </a:graphic>
              </wp:anchor>
            </w:drawing>
          </mc:Choice>
          <mc:Fallback>
            <w:pict>
              <v:shape id="_x0000_s1026" o:spid="_x0000_s1026" o:spt="176" type="#_x0000_t176" style="position:absolute;left:0pt;margin-left:27.9pt;margin-top:4.75pt;height:95.25pt;width:177.95pt;z-index:251662336;mso-width-relative:page;mso-height-relative:page;" fillcolor="#FFFFFF" filled="t" stroked="t" coordsize="21600,21600" o:gfxdata="UEsDBAoAAAAAAIdO4kAAAAAAAAAAAAAAAAAEAAAAZHJzL1BLAwQUAAAACACHTuJAjM+O7tYAAAAI&#10;AQAADwAAAGRycy9kb3ducmV2LnhtbE2PT0+EMBTE7yZ+h+aZeHPbquwflsfGaPTkRdzEa6FdSqSv&#10;hBYW/fTWkx4nM5n5TXFYXM9mM4bOE4JcCWCGGq87ahGO7883W2AhKtKq92QQvkyAQ3l5Uahc+zO9&#10;mbmKLUslFHKFYGMccs5DY41TYeUHQ8k7+dGpmOTYcj2qcyp3Pb8VYs2d6igtWDWYR2uaz2pyCMvr&#10;d72bXmRTRbtdbz7u5qeHI0e8vpJiDyyaJf6F4Rc/oUOZmGo/kQ6sR8iyRB4RdhmwZN9LuQFWI6RV&#10;Abws+P8D5Q9QSwMEFAAAAAgAh07iQHQjn8sqAgAAUgQAAA4AAABkcnMvZTJvRG9jLnhtbK1Uy67T&#10;MBDdI/EPlvc0aVALjZpeoVvKBkGlCx/g2k5iyS/ZbpPuYIUQCz6AH7g7Vmzhay6Pv2DslN4HLLrA&#10;C2dszxzPOTPO/KxXEu2488LoCo9HOUZcU8OEbir8+tXqwWOMfCCaEWk0r/Cee3y2uH9v3tmSF6Y1&#10;knGHAET7srMVbkOwZZZ52nJF/MhYruGwNk6RAEvXZMyRDtCVzIo8n2adccw6Q7n3sLscDvEB0Z0C&#10;aOpaUL40dKu4DgOq45IEoORbYT1epGzrmtPwsq49D0hWGJiGNMMlYG/inC3mpGwcsa2ghxTIKSnc&#10;4aSI0HDpEWpJAkFbJ/6CUoI6400dRtSobCCSFAEW4/yONhctsTxxAam9PYru/x8sfbFbOyQYdMJD&#10;jDRRUPHvX97+uPxw9elria4+fv715v3Pb+9gA4EHyNVZX0LUhV27w8qDGbn3tVPxC6xQnyTeHyXm&#10;fUAUNotiMptNJxhROBsX+Wz6aBJRs+tw63x4xo1C0ahwLU133hIXnsjAnSaBr4fmSXqT3XMfhvg/&#10;cTEFb6RgKyFlWrhmcy4d2hFoglUahytvuUmNugrPJkXMjkBn19BRYCoL6njdpPtuRfibwHka/wKO&#10;iS2Jb4cEEkJ0I6USwChZLSfsqWYo7C0UQMPDwzEZxRlGksM7jVbyDETIUzxBUKlB11iuoUDRCv2m&#10;B5hobgzbQ+m31ommBZ3HKfV4Aq2WCnJ4FrGXb64T6PWv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M+O7tYAAAAIAQAADwAAAAAAAAABACAAAAAiAAAAZHJzL2Rvd25yZXYueG1sUEsBAhQAFAAA&#10;AAgAh07iQHQjn8sqAgAAUgQAAA4AAAAAAAAAAQAgAAAAJQEAAGRycy9lMm9Eb2MueG1sUEsFBgAA&#10;AAAGAAYAWQEAAMEFAAAAAA==&#10;">
                <v:fill on="t" focussize="0,0"/>
                <v:stroke color="#000000" joinstyle="miter"/>
                <v:imagedata o:title=""/>
                <o:lock v:ext="edit" aspectratio="f"/>
                <v:textbo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v:textbox>
              </v:shape>
            </w:pict>
          </mc:Fallback>
        </mc:AlternateContent>
      </w:r>
    </w:p>
    <w:p w14:paraId="372E7B1A">
      <w:pPr>
        <w:keepNext w:val="0"/>
        <w:keepLines w:val="0"/>
        <w:pageBreakBefore w:val="0"/>
        <w:widowControl w:val="0"/>
        <w:kinsoku/>
        <w:overflowPunct/>
        <w:bidi w:val="0"/>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p>
    <w:p w14:paraId="3569E8B8">
      <w:pPr>
        <w:keepNext w:val="0"/>
        <w:keepLines w:val="0"/>
        <w:pageBreakBefore w:val="0"/>
        <w:widowControl w:val="0"/>
        <w:kinsoku/>
        <w:overflowPunct/>
        <w:bidi w:val="0"/>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p>
    <w:p w14:paraId="235F5372">
      <w:pPr>
        <w:keepNext w:val="0"/>
        <w:keepLines w:val="0"/>
        <w:pageBreakBefore w:val="0"/>
        <w:widowControl w:val="0"/>
        <w:kinsoku/>
        <w:overflowPunct/>
        <w:bidi w:val="0"/>
        <w:spacing w:line="360" w:lineRule="auto"/>
        <w:rPr>
          <w:rFonts w:hint="eastAsia" w:ascii="宋体" w:hAnsi="宋体" w:cs="宋体"/>
          <w:color w:val="000000" w:themeColor="text1"/>
          <w:sz w:val="24"/>
          <w:highlight w:val="none"/>
          <w14:textFill>
            <w14:solidFill>
              <w14:schemeClr w14:val="tx1"/>
            </w14:solidFill>
          </w14:textFill>
        </w:rPr>
      </w:pPr>
    </w:p>
    <w:p w14:paraId="4ACDAA89">
      <w:pPr>
        <w:pStyle w:val="16"/>
        <w:keepNext w:val="0"/>
        <w:keepLines w:val="0"/>
        <w:pageBreakBefore w:val="0"/>
        <w:widowControl w:val="0"/>
        <w:tabs>
          <w:tab w:val="left" w:pos="5580"/>
        </w:tabs>
        <w:kinsoku/>
        <w:overflowPunct/>
        <w:bidi w:val="0"/>
        <w:spacing w:line="240" w:lineRule="atLeast"/>
        <w:rPr>
          <w:rFonts w:hint="eastAsia" w:hAnsi="宋体" w:cs="宋体"/>
          <w:color w:val="000000" w:themeColor="text1"/>
          <w:sz w:val="24"/>
          <w:highlight w:val="none"/>
          <w14:textFill>
            <w14:solidFill>
              <w14:schemeClr w14:val="tx1"/>
            </w14:solidFill>
          </w14:textFill>
        </w:rPr>
      </w:pPr>
    </w:p>
    <w:p w14:paraId="48C4BFA8">
      <w:pPr>
        <w:pStyle w:val="16"/>
        <w:keepNext w:val="0"/>
        <w:keepLines w:val="0"/>
        <w:pageBreakBefore w:val="0"/>
        <w:widowControl w:val="0"/>
        <w:tabs>
          <w:tab w:val="left" w:pos="5580"/>
        </w:tabs>
        <w:kinsoku/>
        <w:overflowPunct/>
        <w:bidi w:val="0"/>
        <w:spacing w:line="360" w:lineRule="auto"/>
        <w:ind w:firstLine="960" w:firstLineChars="400"/>
        <w:rPr>
          <w:rFonts w:hint="eastAsia" w:hAnsi="宋体" w:cs="宋体"/>
          <w:color w:val="000000" w:themeColor="text1"/>
          <w:sz w:val="24"/>
          <w:highlight w:val="none"/>
          <w:u w:val="singl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投 标 人（盖章）：</w:t>
      </w:r>
      <w:r>
        <w:rPr>
          <w:rFonts w:hint="eastAsia" w:hAnsi="宋体" w:cs="宋体"/>
          <w:color w:val="000000" w:themeColor="text1"/>
          <w:sz w:val="24"/>
          <w:highlight w:val="none"/>
          <w:u w:val="single"/>
          <w14:textFill>
            <w14:solidFill>
              <w14:schemeClr w14:val="tx1"/>
            </w14:solidFill>
          </w14:textFill>
        </w:rPr>
        <w:t xml:space="preserve">                           </w:t>
      </w:r>
    </w:p>
    <w:p w14:paraId="224AFACE">
      <w:pPr>
        <w:pStyle w:val="16"/>
        <w:keepNext w:val="0"/>
        <w:keepLines w:val="0"/>
        <w:pageBreakBefore w:val="0"/>
        <w:widowControl w:val="0"/>
        <w:tabs>
          <w:tab w:val="left" w:pos="5580"/>
        </w:tabs>
        <w:kinsoku/>
        <w:overflowPunct/>
        <w:bidi w:val="0"/>
        <w:spacing w:line="360" w:lineRule="auto"/>
        <w:ind w:firstLine="960" w:firstLineChars="40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法定代表人</w:t>
      </w:r>
      <w:r>
        <w:rPr>
          <w:rFonts w:hint="eastAsia" w:ascii="宋体" w:hAnsi="宋体" w:cs="宋体"/>
          <w:color w:val="000000" w:themeColor="text1"/>
          <w:sz w:val="24"/>
          <w:highlight w:val="none"/>
          <w14:textFill>
            <w14:solidFill>
              <w14:schemeClr w14:val="tx1"/>
            </w14:solidFill>
          </w14:textFill>
        </w:rPr>
        <w:t>（签</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章）</w:t>
      </w:r>
      <w:r>
        <w:rPr>
          <w:rFonts w:hint="eastAsia" w:hAnsi="宋体" w:cs="宋体"/>
          <w:color w:val="000000" w:themeColor="text1"/>
          <w:sz w:val="24"/>
          <w:highlight w:val="none"/>
          <w14:textFill>
            <w14:solidFill>
              <w14:schemeClr w14:val="tx1"/>
            </w14:solidFill>
          </w14:textFill>
        </w:rPr>
        <w:t>：</w:t>
      </w:r>
      <w:r>
        <w:rPr>
          <w:rFonts w:hint="eastAsia" w:hAnsi="宋体" w:cs="宋体"/>
          <w:color w:val="000000" w:themeColor="text1"/>
          <w:sz w:val="24"/>
          <w:highlight w:val="none"/>
          <w:u w:val="single"/>
          <w14:textFill>
            <w14:solidFill>
              <w14:schemeClr w14:val="tx1"/>
            </w14:solidFill>
          </w14:textFill>
        </w:rPr>
        <w:t xml:space="preserve">                        </w:t>
      </w:r>
    </w:p>
    <w:p w14:paraId="2C4B148A">
      <w:pPr>
        <w:pStyle w:val="16"/>
        <w:keepNext w:val="0"/>
        <w:keepLines w:val="0"/>
        <w:pageBreakBefore w:val="0"/>
        <w:widowControl w:val="0"/>
        <w:tabs>
          <w:tab w:val="left" w:pos="5580"/>
        </w:tabs>
        <w:kinsoku/>
        <w:overflowPunct/>
        <w:bidi w:val="0"/>
        <w:spacing w:line="360" w:lineRule="auto"/>
        <w:ind w:firstLine="960" w:firstLineChars="40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u w:val="single" w:color="EEECE1"/>
          <w14:textFill>
            <w14:solidFill>
              <w14:schemeClr w14:val="tx1"/>
            </w14:solidFill>
          </w14:textFill>
        </w:rPr>
        <w:t>身</w:t>
      </w:r>
      <w:r>
        <w:rPr>
          <w:rFonts w:hint="eastAsia" w:hAnsi="宋体" w:cs="宋体"/>
          <w:color w:val="000000" w:themeColor="text1"/>
          <w:sz w:val="24"/>
          <w:highlight w:val="none"/>
          <w14:textFill>
            <w14:solidFill>
              <w14:schemeClr w14:val="tx1"/>
            </w14:solidFill>
          </w14:textFill>
        </w:rPr>
        <w:t>份证号码：</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 xml:space="preserve"> </w:t>
      </w:r>
    </w:p>
    <w:p w14:paraId="35B66382">
      <w:pPr>
        <w:pStyle w:val="16"/>
        <w:keepNext w:val="0"/>
        <w:keepLines w:val="0"/>
        <w:pageBreakBefore w:val="0"/>
        <w:widowControl w:val="0"/>
        <w:tabs>
          <w:tab w:val="left" w:pos="5580"/>
        </w:tabs>
        <w:kinsoku/>
        <w:overflowPunct/>
        <w:bidi w:val="0"/>
        <w:spacing w:line="360" w:lineRule="auto"/>
        <w:ind w:firstLine="960" w:firstLineChars="400"/>
        <w:rPr>
          <w:rFonts w:hint="eastAsia" w:hAnsi="宋体" w:eastAsia="宋体" w:cs="宋体"/>
          <w:color w:val="000000" w:themeColor="text1"/>
          <w:sz w:val="24"/>
          <w:highlight w:val="none"/>
          <w:u w:val="single"/>
          <w:lang w:val="en-US" w:eastAsia="zh-CN"/>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委托代理人</w:t>
      </w:r>
      <w:r>
        <w:rPr>
          <w:rFonts w:hint="eastAsia" w:ascii="宋体" w:hAnsi="宋体" w:cs="宋体"/>
          <w:color w:val="000000" w:themeColor="text1"/>
          <w:sz w:val="24"/>
          <w:highlight w:val="none"/>
          <w14:textFill>
            <w14:solidFill>
              <w14:schemeClr w14:val="tx1"/>
            </w14:solidFill>
          </w14:textFill>
        </w:rPr>
        <w:t>（签</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章）</w:t>
      </w:r>
      <w:r>
        <w:rPr>
          <w:rFonts w:hint="eastAsia" w:hAnsi="宋体" w:cs="宋体"/>
          <w:color w:val="000000" w:themeColor="text1"/>
          <w:sz w:val="24"/>
          <w:highlight w:val="none"/>
          <w14:textFill>
            <w14:solidFill>
              <w14:schemeClr w14:val="tx1"/>
            </w14:solidFill>
          </w14:textFill>
        </w:rPr>
        <w:t>：</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u w:val="single"/>
          <w:lang w:val="en-US" w:eastAsia="zh-CN"/>
          <w14:textFill>
            <w14:solidFill>
              <w14:schemeClr w14:val="tx1"/>
            </w14:solidFill>
          </w14:textFill>
        </w:rPr>
        <w:t xml:space="preserve"> </w:t>
      </w:r>
    </w:p>
    <w:p w14:paraId="6122B8B2">
      <w:pPr>
        <w:pStyle w:val="16"/>
        <w:keepNext w:val="0"/>
        <w:keepLines w:val="0"/>
        <w:pageBreakBefore w:val="0"/>
        <w:widowControl w:val="0"/>
        <w:tabs>
          <w:tab w:val="left" w:pos="5580"/>
        </w:tabs>
        <w:kinsoku/>
        <w:overflowPunct/>
        <w:bidi w:val="0"/>
        <w:spacing w:line="360" w:lineRule="auto"/>
        <w:ind w:firstLine="960" w:firstLineChars="40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身份证号码：</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 xml:space="preserve">                            </w:t>
      </w:r>
    </w:p>
    <w:p w14:paraId="31E9359E">
      <w:pPr>
        <w:pStyle w:val="16"/>
        <w:keepNext w:val="0"/>
        <w:keepLines w:val="0"/>
        <w:pageBreakBefore w:val="0"/>
        <w:widowControl w:val="0"/>
        <w:tabs>
          <w:tab w:val="left" w:pos="5580"/>
        </w:tabs>
        <w:kinsoku/>
        <w:overflowPunct/>
        <w:bidi w:val="0"/>
        <w:spacing w:line="360" w:lineRule="auto"/>
        <w:ind w:firstLine="960" w:firstLineChars="40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详细通讯地址：</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 xml:space="preserve">                                  </w:t>
      </w:r>
    </w:p>
    <w:p w14:paraId="3C5F9E8C">
      <w:pPr>
        <w:pStyle w:val="16"/>
        <w:keepNext w:val="0"/>
        <w:keepLines w:val="0"/>
        <w:pageBreakBefore w:val="0"/>
        <w:widowControl w:val="0"/>
        <w:tabs>
          <w:tab w:val="left" w:pos="5580"/>
        </w:tabs>
        <w:kinsoku/>
        <w:overflowPunct/>
        <w:bidi w:val="0"/>
        <w:spacing w:line="360" w:lineRule="auto"/>
        <w:ind w:firstLine="960" w:firstLineChars="400"/>
        <w:rPr>
          <w:rFonts w:hint="eastAsia" w:hAnsi="宋体" w:cs="宋体"/>
          <w:color w:val="000000" w:themeColor="text1"/>
          <w:sz w:val="24"/>
          <w:highlight w:val="none"/>
          <w:u w:val="singl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邮 政 编 码 ：</w:t>
      </w:r>
      <w:r>
        <w:rPr>
          <w:rFonts w:hint="eastAsia" w:hAnsi="宋体" w:cs="宋体"/>
          <w:color w:val="000000" w:themeColor="text1"/>
          <w:sz w:val="24"/>
          <w:highlight w:val="none"/>
          <w:u w:val="single"/>
          <w14:textFill>
            <w14:solidFill>
              <w14:schemeClr w14:val="tx1"/>
            </w14:solidFill>
          </w14:textFill>
        </w:rPr>
        <w:t xml:space="preserve">                               </w:t>
      </w:r>
    </w:p>
    <w:p w14:paraId="6F3D3D6A">
      <w:pPr>
        <w:pStyle w:val="16"/>
        <w:keepNext w:val="0"/>
        <w:keepLines w:val="0"/>
        <w:pageBreakBefore w:val="0"/>
        <w:widowControl w:val="0"/>
        <w:tabs>
          <w:tab w:val="left" w:pos="5580"/>
        </w:tabs>
        <w:kinsoku/>
        <w:overflowPunct/>
        <w:bidi w:val="0"/>
        <w:spacing w:line="360" w:lineRule="auto"/>
        <w:ind w:firstLine="960" w:firstLineChars="400"/>
        <w:rPr>
          <w:rFonts w:hint="eastAsia" w:ascii="宋体" w:hAnsi="宋体" w:eastAsia="宋体" w:cs="宋体"/>
          <w:color w:val="000000" w:themeColor="text1"/>
          <w:sz w:val="24"/>
          <w:highlight w:val="none"/>
          <w:u w:val="singl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日       期 ：</w:t>
      </w:r>
      <w:r>
        <w:rPr>
          <w:rFonts w:hint="eastAsia" w:hAnsi="宋体" w:cs="宋体"/>
          <w:color w:val="000000" w:themeColor="text1"/>
          <w:sz w:val="24"/>
          <w:highlight w:val="none"/>
          <w:u w:val="single"/>
          <w14:textFill>
            <w14:solidFill>
              <w14:schemeClr w14:val="tx1"/>
            </w14:solidFill>
          </w14:textFill>
        </w:rPr>
        <w:t xml:space="preserve">                               </w:t>
      </w:r>
    </w:p>
    <w:p w14:paraId="1841C66D">
      <w:pPr>
        <w:pStyle w:val="16"/>
        <w:keepNext w:val="0"/>
        <w:keepLines w:val="0"/>
        <w:pageBreakBefore w:val="0"/>
        <w:widowControl w:val="0"/>
        <w:tabs>
          <w:tab w:val="left" w:pos="5580"/>
        </w:tabs>
        <w:kinsoku/>
        <w:overflowPunct/>
        <w:bidi w:val="0"/>
        <w:spacing w:line="360" w:lineRule="auto"/>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p>
    <w:p w14:paraId="04212E24">
      <w:pPr>
        <w:pStyle w:val="16"/>
        <w:keepNext w:val="0"/>
        <w:keepLines w:val="0"/>
        <w:pageBreakBefore w:val="0"/>
        <w:widowControl w:val="0"/>
        <w:tabs>
          <w:tab w:val="left" w:pos="5580"/>
        </w:tabs>
        <w:kinsoku/>
        <w:overflowPunct/>
        <w:bidi w:val="0"/>
        <w:spacing w:line="360" w:lineRule="auto"/>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p>
    <w:p w14:paraId="228CF908">
      <w:pPr>
        <w:pStyle w:val="17"/>
        <w:rPr>
          <w:rFonts w:hint="eastAsia"/>
          <w:color w:val="000000" w:themeColor="text1"/>
          <w14:textFill>
            <w14:solidFill>
              <w14:schemeClr w14:val="tx1"/>
            </w14:solidFill>
          </w14:textFill>
        </w:rPr>
      </w:pPr>
    </w:p>
    <w:p w14:paraId="1E229DA0">
      <w:pPr>
        <w:pStyle w:val="17"/>
        <w:keepNext w:val="0"/>
        <w:keepLines w:val="0"/>
        <w:pageBreakBefore w:val="0"/>
        <w:widowControl w:val="0"/>
        <w:kinsoku/>
        <w:overflowPunct/>
        <w:bidi w:val="0"/>
        <w:rPr>
          <w:rFonts w:hint="eastAsia"/>
          <w:color w:val="000000" w:themeColor="text1"/>
          <w:highlight w:val="none"/>
          <w14:textFill>
            <w14:solidFill>
              <w14:schemeClr w14:val="tx1"/>
            </w14:solidFill>
          </w14:textFill>
        </w:rPr>
      </w:pPr>
    </w:p>
    <w:p w14:paraId="0F3C6072">
      <w:pPr>
        <w:keepNext w:val="0"/>
        <w:keepLines w:val="0"/>
        <w:pageBreakBefore w:val="0"/>
        <w:widowControl w:val="0"/>
        <w:tabs>
          <w:tab w:val="left" w:pos="5580"/>
        </w:tabs>
        <w:kinsoku/>
        <w:overflowPunct/>
        <w:bidi w:val="0"/>
        <w:spacing w:line="360" w:lineRule="exact"/>
        <w:rPr>
          <w:rFonts w:hint="eastAsia" w:ascii="宋体" w:hAnsi="宋体" w:eastAsia="宋体" w:cs="宋体"/>
          <w:b/>
          <w:bCs/>
          <w:color w:val="000000" w:themeColor="text1"/>
          <w:sz w:val="28"/>
          <w:szCs w:val="28"/>
          <w:highlight w:val="none"/>
          <w14:textFill>
            <w14:solidFill>
              <w14:schemeClr w14:val="tx1"/>
            </w14:solidFill>
          </w14:textFill>
        </w:rPr>
      </w:pPr>
    </w:p>
    <w:p w14:paraId="4EB67195">
      <w:pPr>
        <w:keepNext w:val="0"/>
        <w:keepLines w:val="0"/>
        <w:pageBreakBefore w:val="0"/>
        <w:widowControl w:val="0"/>
        <w:numPr>
          <w:ilvl w:val="0"/>
          <w:numId w:val="0"/>
        </w:numPr>
        <w:tabs>
          <w:tab w:val="left" w:pos="5580"/>
        </w:tabs>
        <w:kinsoku/>
        <w:overflowPunct/>
        <w:bidi w:val="0"/>
        <w:spacing w:line="240" w:lineRule="atLeast"/>
        <w:jc w:val="cente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5</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、依法缴纳近六个月中任意一个月的社保凭证；依法缴纳近六个月任意一个月的税收良好记录证明（零申报需加盖税务机关章、无拖欠税收证明需加盖税务机关章、完税证明为非社保缴纳明细）；</w:t>
      </w:r>
    </w:p>
    <w:p w14:paraId="10A37D66">
      <w:pPr>
        <w:pStyle w:val="6"/>
        <w:keepNext w:val="0"/>
        <w:keepLines w:val="0"/>
        <w:pageBreakBefore w:val="0"/>
        <w:widowControl w:val="0"/>
        <w:kinsoku/>
        <w:overflowPunct/>
        <w:bidi w:val="0"/>
        <w:ind w:firstLine="0"/>
        <w:rPr>
          <w:rFonts w:hint="eastAsia" w:ascii="宋体" w:hAnsi="宋体" w:eastAsia="宋体" w:cs="宋体"/>
          <w:color w:val="000000" w:themeColor="text1"/>
          <w:highlight w:val="none"/>
          <w14:textFill>
            <w14:solidFill>
              <w14:schemeClr w14:val="tx1"/>
            </w14:solidFill>
          </w14:textFill>
        </w:rPr>
      </w:pPr>
    </w:p>
    <w:p w14:paraId="0E0B8882">
      <w:pPr>
        <w:pStyle w:val="6"/>
        <w:keepNext w:val="0"/>
        <w:keepLines w:val="0"/>
        <w:pageBreakBefore w:val="0"/>
        <w:widowControl w:val="0"/>
        <w:kinsoku/>
        <w:overflowPunct/>
        <w:bidi w:val="0"/>
        <w:ind w:firstLine="72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注：1.按照投标人须知资料表中的规定提供复印件。</w:t>
      </w:r>
    </w:p>
    <w:p w14:paraId="6C35B4F5">
      <w:pPr>
        <w:pStyle w:val="6"/>
        <w:keepNext w:val="0"/>
        <w:keepLines w:val="0"/>
        <w:pageBreakBefore w:val="0"/>
        <w:widowControl w:val="0"/>
        <w:kinsoku/>
        <w:overflowPunct/>
        <w:bidi w:val="0"/>
        <w:ind w:firstLine="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2.复印件上应加盖本单位章。</w:t>
      </w:r>
    </w:p>
    <w:p w14:paraId="762E9BF3">
      <w:pPr>
        <w:pStyle w:val="6"/>
        <w:keepNext w:val="0"/>
        <w:keepLines w:val="0"/>
        <w:pageBreakBefore w:val="0"/>
        <w:widowControl w:val="0"/>
        <w:kinsoku/>
        <w:overflowPunct/>
        <w:bidi w:val="0"/>
        <w:ind w:firstLine="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3.如果是联合体投标，联合体各方均需提供上述证明。</w:t>
      </w:r>
    </w:p>
    <w:p w14:paraId="4655E0F0">
      <w:pPr>
        <w:pStyle w:val="6"/>
        <w:keepNext w:val="0"/>
        <w:keepLines w:val="0"/>
        <w:pageBreakBefore w:val="0"/>
        <w:widowControl w:val="0"/>
        <w:kinsoku/>
        <w:overflowPunct/>
        <w:bidi w:val="0"/>
        <w:ind w:firstLine="0"/>
        <w:rPr>
          <w:rFonts w:hint="eastAsia" w:ascii="宋体" w:hAnsi="宋体" w:eastAsia="宋体" w:cs="宋体"/>
          <w:color w:val="000000" w:themeColor="text1"/>
          <w:highlight w:val="none"/>
          <w14:textFill>
            <w14:solidFill>
              <w14:schemeClr w14:val="tx1"/>
            </w14:solidFill>
          </w14:textFill>
        </w:rPr>
      </w:pPr>
    </w:p>
    <w:p w14:paraId="33530C11">
      <w:pPr>
        <w:pStyle w:val="6"/>
        <w:keepNext w:val="0"/>
        <w:keepLines w:val="0"/>
        <w:pageBreakBefore w:val="0"/>
        <w:widowControl w:val="0"/>
        <w:kinsoku/>
        <w:overflowPunct/>
        <w:bidi w:val="0"/>
        <w:ind w:firstLine="0"/>
        <w:rPr>
          <w:rFonts w:hint="eastAsia" w:ascii="宋体" w:hAnsi="宋体" w:eastAsia="宋体" w:cs="宋体"/>
          <w:color w:val="000000" w:themeColor="text1"/>
          <w:highlight w:val="none"/>
          <w14:textFill>
            <w14:solidFill>
              <w14:schemeClr w14:val="tx1"/>
            </w14:solidFill>
          </w14:textFill>
        </w:rPr>
      </w:pPr>
    </w:p>
    <w:p w14:paraId="429F0DF5">
      <w:pPr>
        <w:pStyle w:val="6"/>
        <w:keepNext w:val="0"/>
        <w:keepLines w:val="0"/>
        <w:pageBreakBefore w:val="0"/>
        <w:widowControl w:val="0"/>
        <w:kinsoku/>
        <w:overflowPunct/>
        <w:bidi w:val="0"/>
        <w:ind w:firstLine="0"/>
        <w:rPr>
          <w:rFonts w:hint="eastAsia" w:ascii="宋体" w:hAnsi="宋体" w:eastAsia="宋体" w:cs="宋体"/>
          <w:color w:val="000000" w:themeColor="text1"/>
          <w:highlight w:val="none"/>
          <w14:textFill>
            <w14:solidFill>
              <w14:schemeClr w14:val="tx1"/>
            </w14:solidFill>
          </w14:textFill>
        </w:rPr>
      </w:pPr>
    </w:p>
    <w:p w14:paraId="3F049324">
      <w:pPr>
        <w:pStyle w:val="6"/>
        <w:keepNext w:val="0"/>
        <w:keepLines w:val="0"/>
        <w:pageBreakBefore w:val="0"/>
        <w:widowControl w:val="0"/>
        <w:kinsoku/>
        <w:overflowPunct/>
        <w:bidi w:val="0"/>
        <w:ind w:firstLine="0"/>
        <w:rPr>
          <w:rFonts w:hint="eastAsia" w:ascii="宋体" w:hAnsi="宋体" w:eastAsia="宋体" w:cs="宋体"/>
          <w:color w:val="000000" w:themeColor="text1"/>
          <w:highlight w:val="none"/>
          <w14:textFill>
            <w14:solidFill>
              <w14:schemeClr w14:val="tx1"/>
            </w14:solidFill>
          </w14:textFill>
        </w:rPr>
      </w:pPr>
    </w:p>
    <w:p w14:paraId="6650CC71">
      <w:pPr>
        <w:pStyle w:val="6"/>
        <w:keepNext w:val="0"/>
        <w:keepLines w:val="0"/>
        <w:pageBreakBefore w:val="0"/>
        <w:widowControl w:val="0"/>
        <w:kinsoku/>
        <w:wordWrap/>
        <w:overflowPunct/>
        <w:topLinePunct w:val="0"/>
        <w:bidi w:val="0"/>
        <w:snapToGrid/>
        <w:spacing w:line="440" w:lineRule="exact"/>
        <w:ind w:firstLine="0"/>
        <w:textAlignment w:val="auto"/>
        <w:rPr>
          <w:rFonts w:hint="eastAsia" w:ascii="宋体" w:hAnsi="宋体" w:eastAsia="宋体" w:cs="宋体"/>
          <w:color w:val="000000" w:themeColor="text1"/>
          <w:highlight w:val="none"/>
          <w14:textFill>
            <w14:solidFill>
              <w14:schemeClr w14:val="tx1"/>
            </w14:solidFill>
          </w14:textFill>
        </w:rPr>
      </w:pPr>
    </w:p>
    <w:p w14:paraId="294969E9">
      <w:pPr>
        <w:pStyle w:val="10"/>
        <w:keepNext w:val="0"/>
        <w:keepLines w:val="0"/>
        <w:pageBreakBefore w:val="0"/>
        <w:widowControl w:val="0"/>
        <w:kinsoku/>
        <w:overflowPunct/>
        <w:bidi w:val="0"/>
        <w:rPr>
          <w:rFonts w:hint="eastAsia" w:ascii="宋体" w:hAnsi="宋体" w:eastAsia="宋体" w:cs="宋体"/>
          <w:color w:val="000000" w:themeColor="text1"/>
          <w:highlight w:val="none"/>
          <w14:textFill>
            <w14:solidFill>
              <w14:schemeClr w14:val="tx1"/>
            </w14:solidFill>
          </w14:textFill>
        </w:rPr>
      </w:pPr>
    </w:p>
    <w:p w14:paraId="7280107F">
      <w:pPr>
        <w:keepNext w:val="0"/>
        <w:keepLines w:val="0"/>
        <w:pageBreakBefore w:val="0"/>
        <w:widowControl w:val="0"/>
        <w:kinsoku/>
        <w:overflowPunct/>
        <w:bidi w:val="0"/>
        <w:rPr>
          <w:rFonts w:hint="eastAsia" w:ascii="宋体" w:hAnsi="宋体" w:eastAsia="宋体" w:cs="宋体"/>
          <w:color w:val="000000" w:themeColor="text1"/>
          <w:highlight w:val="none"/>
          <w14:textFill>
            <w14:solidFill>
              <w14:schemeClr w14:val="tx1"/>
            </w14:solidFill>
          </w14:textFill>
        </w:rPr>
      </w:pPr>
    </w:p>
    <w:p w14:paraId="71AE67DF">
      <w:pPr>
        <w:pStyle w:val="27"/>
        <w:keepNext w:val="0"/>
        <w:keepLines w:val="0"/>
        <w:pageBreakBefore w:val="0"/>
        <w:widowControl w:val="0"/>
        <w:kinsoku/>
        <w:overflowPunct/>
        <w:bidi w:val="0"/>
        <w:rPr>
          <w:rFonts w:hint="eastAsia" w:ascii="宋体" w:hAnsi="宋体" w:eastAsia="宋体" w:cs="宋体"/>
          <w:color w:val="000000" w:themeColor="text1"/>
          <w:highlight w:val="none"/>
          <w14:textFill>
            <w14:solidFill>
              <w14:schemeClr w14:val="tx1"/>
            </w14:solidFill>
          </w14:textFill>
        </w:rPr>
      </w:pPr>
    </w:p>
    <w:p w14:paraId="77D9C173">
      <w:pPr>
        <w:keepNext w:val="0"/>
        <w:keepLines w:val="0"/>
        <w:pageBreakBefore w:val="0"/>
        <w:widowControl w:val="0"/>
        <w:numPr>
          <w:ilvl w:val="0"/>
          <w:numId w:val="0"/>
        </w:numPr>
        <w:tabs>
          <w:tab w:val="left" w:pos="5580"/>
        </w:tabs>
        <w:kinsoku/>
        <w:overflowPunct/>
        <w:bidi w:val="0"/>
        <w:spacing w:line="240" w:lineRule="atLeast"/>
        <w:ind w:leftChars="257"/>
        <w:jc w:val="cente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w:t>
      </w:r>
      <w:r>
        <w:rPr>
          <w:rFonts w:hint="eastAsia" w:ascii="宋体" w:hAnsi="宋体" w:cs="宋体"/>
          <w:b/>
          <w:bCs/>
          <w:color w:val="000000" w:themeColor="text1"/>
          <w:sz w:val="28"/>
          <w:szCs w:val="28"/>
          <w:highlight w:val="none"/>
          <w:lang w:val="en-US" w:eastAsia="zh-CN"/>
          <w14:textFill>
            <w14:solidFill>
              <w14:schemeClr w14:val="tx1"/>
            </w14:solidFill>
          </w14:textFill>
        </w:rPr>
        <w:t>2024年度或2025年度经会计事务所出具财务审计报告；（2026年新成立的公司须提供近三个月任意一个月的银行资信证明）</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w:t>
      </w:r>
    </w:p>
    <w:p w14:paraId="2ED287EA">
      <w:pPr>
        <w:pStyle w:val="6"/>
        <w:keepNext w:val="0"/>
        <w:keepLines w:val="0"/>
        <w:pageBreakBefore w:val="0"/>
        <w:widowControl w:val="0"/>
        <w:kinsoku/>
        <w:overflowPunct/>
        <w:bidi w:val="0"/>
        <w:ind w:firstLine="72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注：1、如提供本单位</w:t>
      </w:r>
      <w:r>
        <w:rPr>
          <w:rFonts w:hint="eastAsia" w:hAnsi="宋体" w:cs="宋体"/>
          <w:color w:val="000000" w:themeColor="text1"/>
          <w:highlight w:val="none"/>
          <w:lang w:val="en-US" w:eastAsia="zh-CN"/>
          <w14:textFill>
            <w14:solidFill>
              <w14:schemeClr w14:val="tx1"/>
            </w14:solidFill>
          </w14:textFill>
        </w:rPr>
        <w:t>2024年度或2025年度</w:t>
      </w:r>
      <w:r>
        <w:rPr>
          <w:rFonts w:hint="eastAsia" w:ascii="宋体" w:hAnsi="宋体" w:eastAsia="宋体" w:cs="宋体"/>
          <w:color w:val="000000" w:themeColor="text1"/>
          <w:highlight w:val="none"/>
          <w:lang w:val="en-US" w:eastAsia="zh-CN"/>
          <w14:textFill>
            <w14:solidFill>
              <w14:schemeClr w14:val="tx1"/>
            </w14:solidFill>
          </w14:textFill>
        </w:rPr>
        <w:t>经会计师事务所出具的审计报告（</w:t>
      </w:r>
      <w:r>
        <w:rPr>
          <w:rFonts w:hint="eastAsia" w:hAnsi="宋体" w:cs="宋体"/>
          <w:color w:val="000000" w:themeColor="text1"/>
          <w:highlight w:val="none"/>
          <w:lang w:val="en-US" w:eastAsia="zh-CN"/>
          <w14:textFill>
            <w14:solidFill>
              <w14:schemeClr w14:val="tx1"/>
            </w14:solidFill>
          </w14:textFill>
        </w:rPr>
        <w:t>2026年新成立的公司须提供近三个月任意一个月的银行资信证明</w:t>
      </w:r>
      <w:r>
        <w:rPr>
          <w:rFonts w:hint="eastAsia" w:ascii="宋体" w:hAnsi="宋体" w:eastAsia="宋体" w:cs="宋体"/>
          <w:color w:val="000000" w:themeColor="text1"/>
          <w:highlight w:val="none"/>
          <w14:textFill>
            <w14:solidFill>
              <w14:schemeClr w14:val="tx1"/>
            </w14:solidFill>
          </w14:textFill>
        </w:rPr>
        <w:t>复印件</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，须加盖本单位章。</w:t>
      </w:r>
    </w:p>
    <w:p w14:paraId="455DCB18">
      <w:pPr>
        <w:pStyle w:val="6"/>
        <w:keepNext w:val="0"/>
        <w:keepLines w:val="0"/>
        <w:pageBreakBefore w:val="0"/>
        <w:widowControl w:val="0"/>
        <w:kinsoku/>
        <w:overflowPunct/>
        <w:bidi w:val="0"/>
        <w:ind w:firstLine="72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如提供银行出具的证明文件。银行证明文件可提供原件，也可提供银行开具证明文件的复印件。若提供的是复印件，招标采购单位保留审核原件的权利。银行出具的证明文件应能说明该投标人与银行之间业务往来正常，企业信誉良好等。</w:t>
      </w:r>
    </w:p>
    <w:p w14:paraId="6979B51D">
      <w:pPr>
        <w:pStyle w:val="6"/>
        <w:keepNext w:val="0"/>
        <w:keepLines w:val="0"/>
        <w:pageBreakBefore w:val="0"/>
        <w:widowControl w:val="0"/>
        <w:kinsoku/>
        <w:overflowPunct/>
        <w:bidi w:val="0"/>
        <w:ind w:firstLine="72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3、如果是联合体投标，联合体各方均需提供上述证明。</w:t>
      </w:r>
    </w:p>
    <w:p w14:paraId="0BF73D05">
      <w:pPr>
        <w:pStyle w:val="6"/>
        <w:keepNext w:val="0"/>
        <w:keepLines w:val="0"/>
        <w:pageBreakBefore w:val="0"/>
        <w:widowControl w:val="0"/>
        <w:kinsoku/>
        <w:overflowPunct/>
        <w:bidi w:val="0"/>
        <w:ind w:firstLine="72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4、如采用合格的投标担保函的，可提供投标担保函复印件替代。</w:t>
      </w:r>
    </w:p>
    <w:p w14:paraId="3B60B4A6">
      <w:pPr>
        <w:pStyle w:val="6"/>
        <w:keepNext w:val="0"/>
        <w:keepLines w:val="0"/>
        <w:pageBreakBefore w:val="0"/>
        <w:widowControl w:val="0"/>
        <w:kinsoku/>
        <w:overflowPunct/>
        <w:bidi w:val="0"/>
        <w:ind w:firstLine="0"/>
        <w:rPr>
          <w:rFonts w:hint="eastAsia" w:ascii="宋体" w:hAnsi="宋体" w:eastAsia="宋体" w:cs="宋体"/>
          <w:color w:val="000000" w:themeColor="text1"/>
          <w:highlight w:val="none"/>
          <w14:textFill>
            <w14:solidFill>
              <w14:schemeClr w14:val="tx1"/>
            </w14:solidFill>
          </w14:textFill>
        </w:rPr>
      </w:pPr>
    </w:p>
    <w:p w14:paraId="7BB743CE">
      <w:pPr>
        <w:pStyle w:val="6"/>
        <w:keepNext w:val="0"/>
        <w:keepLines w:val="0"/>
        <w:pageBreakBefore w:val="0"/>
        <w:widowControl w:val="0"/>
        <w:kinsoku/>
        <w:overflowPunct/>
        <w:bidi w:val="0"/>
        <w:ind w:firstLine="0"/>
        <w:rPr>
          <w:rFonts w:hint="eastAsia" w:ascii="宋体" w:hAnsi="宋体" w:eastAsia="宋体" w:cs="宋体"/>
          <w:color w:val="000000" w:themeColor="text1"/>
          <w:highlight w:val="none"/>
          <w14:textFill>
            <w14:solidFill>
              <w14:schemeClr w14:val="tx1"/>
            </w14:solidFill>
          </w14:textFill>
        </w:rPr>
      </w:pPr>
    </w:p>
    <w:p w14:paraId="080837F1">
      <w:pPr>
        <w:pStyle w:val="10"/>
        <w:keepNext w:val="0"/>
        <w:keepLines w:val="0"/>
        <w:pageBreakBefore w:val="0"/>
        <w:widowControl w:val="0"/>
        <w:kinsoku/>
        <w:overflowPunct/>
        <w:bidi w:val="0"/>
        <w:rPr>
          <w:rFonts w:hint="eastAsia" w:ascii="宋体" w:hAnsi="宋体" w:eastAsia="宋体" w:cs="宋体"/>
          <w:color w:val="000000" w:themeColor="text1"/>
          <w:highlight w:val="none"/>
          <w14:textFill>
            <w14:solidFill>
              <w14:schemeClr w14:val="tx1"/>
            </w14:solidFill>
          </w14:textFill>
        </w:rPr>
      </w:pPr>
    </w:p>
    <w:p w14:paraId="0B6ED6D9">
      <w:pPr>
        <w:pStyle w:val="10"/>
        <w:keepNext w:val="0"/>
        <w:keepLines w:val="0"/>
        <w:pageBreakBefore w:val="0"/>
        <w:widowControl w:val="0"/>
        <w:kinsoku/>
        <w:overflowPunct/>
        <w:bidi w:val="0"/>
        <w:rPr>
          <w:rFonts w:hint="eastAsia" w:ascii="宋体" w:hAnsi="宋体" w:eastAsia="宋体" w:cs="宋体"/>
          <w:color w:val="000000" w:themeColor="text1"/>
          <w:highlight w:val="none"/>
          <w14:textFill>
            <w14:solidFill>
              <w14:schemeClr w14:val="tx1"/>
            </w14:solidFill>
          </w14:textFill>
        </w:rPr>
      </w:pPr>
    </w:p>
    <w:p w14:paraId="775C6F11">
      <w:pPr>
        <w:keepNext w:val="0"/>
        <w:keepLines w:val="0"/>
        <w:pageBreakBefore w:val="0"/>
        <w:widowControl w:val="0"/>
        <w:kinsoku/>
        <w:overflowPunct/>
        <w:bidi w:val="0"/>
        <w:rPr>
          <w:rFonts w:hint="eastAsia" w:ascii="宋体" w:hAnsi="宋体" w:eastAsia="宋体" w:cs="宋体"/>
          <w:color w:val="000000" w:themeColor="text1"/>
          <w:highlight w:val="none"/>
          <w14:textFill>
            <w14:solidFill>
              <w14:schemeClr w14:val="tx1"/>
            </w14:solidFill>
          </w14:textFill>
        </w:rPr>
      </w:pPr>
    </w:p>
    <w:p w14:paraId="3C109D21">
      <w:pPr>
        <w:pStyle w:val="27"/>
        <w:rPr>
          <w:rFonts w:hint="eastAsia"/>
          <w:color w:val="000000" w:themeColor="text1"/>
          <w14:textFill>
            <w14:solidFill>
              <w14:schemeClr w14:val="tx1"/>
            </w14:solidFill>
          </w14:textFill>
        </w:rPr>
      </w:pPr>
    </w:p>
    <w:p w14:paraId="151C1BD2">
      <w:pPr>
        <w:pStyle w:val="27"/>
        <w:keepNext w:val="0"/>
        <w:keepLines w:val="0"/>
        <w:pageBreakBefore w:val="0"/>
        <w:widowControl w:val="0"/>
        <w:kinsoku/>
        <w:overflowPunct/>
        <w:bidi w:val="0"/>
        <w:rPr>
          <w:rFonts w:hint="eastAsia" w:ascii="宋体" w:hAnsi="宋体" w:eastAsia="宋体" w:cs="宋体"/>
          <w:color w:val="000000" w:themeColor="text1"/>
          <w:highlight w:val="none"/>
          <w14:textFill>
            <w14:solidFill>
              <w14:schemeClr w14:val="tx1"/>
            </w14:solidFill>
          </w14:textFill>
        </w:rPr>
      </w:pPr>
    </w:p>
    <w:p w14:paraId="73651E86">
      <w:pPr>
        <w:keepNext w:val="0"/>
        <w:keepLines w:val="0"/>
        <w:pageBreakBefore w:val="0"/>
        <w:widowControl w:val="0"/>
        <w:numPr>
          <w:ilvl w:val="0"/>
          <w:numId w:val="0"/>
        </w:numPr>
        <w:tabs>
          <w:tab w:val="left" w:pos="5580"/>
        </w:tabs>
        <w:kinsoku/>
        <w:overflowPunct/>
        <w:bidi w:val="0"/>
        <w:spacing w:line="240" w:lineRule="atLeast"/>
        <w:ind w:left="540" w:leftChars="257"/>
        <w:jc w:val="cente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kern w:val="2"/>
          <w:sz w:val="28"/>
          <w:szCs w:val="28"/>
          <w:highlight w:val="none"/>
          <w:lang w:val="en-US" w:eastAsia="zh-CN" w:bidi="ar-SA"/>
          <w14:textFill>
            <w14:solidFill>
              <w14:schemeClr w14:val="tx1"/>
            </w14:solidFill>
          </w14:textFill>
        </w:rPr>
        <w:t>7</w:t>
      </w: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未在“信用中国”网站 被列入失信被执行人、重大税收违法案件当事人名单；中国政府采购网，</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fldChar w:fldCharType="begin"/>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fldChar w:fldCharType="separate"/>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fldChar w:fldCharType="end"/>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，附网站</w:t>
      </w:r>
      <w:r>
        <w:rPr>
          <w:rFonts w:hint="eastAsia" w:ascii="宋体" w:hAnsi="宋体" w:cs="宋体"/>
          <w:b/>
          <w:bCs/>
          <w:color w:val="000000" w:themeColor="text1"/>
          <w:sz w:val="28"/>
          <w:szCs w:val="28"/>
          <w:highlight w:val="none"/>
          <w:lang w:val="en-US" w:eastAsia="zh-CN"/>
          <w14:textFill>
            <w14:solidFill>
              <w14:schemeClr w14:val="tx1"/>
            </w14:solidFill>
          </w14:textFill>
        </w:rPr>
        <w:t>截图或报告；</w:t>
      </w:r>
    </w:p>
    <w:p w14:paraId="0034E341">
      <w:pPr>
        <w:pStyle w:val="27"/>
        <w:keepNext w:val="0"/>
        <w:keepLines w:val="0"/>
        <w:pageBreakBefore w:val="0"/>
        <w:widowControl w:val="0"/>
        <w:numPr>
          <w:ilvl w:val="0"/>
          <w:numId w:val="0"/>
        </w:numPr>
        <w:kinsoku/>
        <w:overflowPunct/>
        <w:bidi w:val="0"/>
        <w:snapToGrid w:val="0"/>
        <w:jc w:val="left"/>
        <w:rPr>
          <w:rFonts w:hint="eastAsia" w:ascii="宋体" w:hAnsi="宋体" w:eastAsia="宋体" w:cs="宋体"/>
          <w:color w:val="000000" w:themeColor="text1"/>
          <w:highlight w:val="none"/>
          <w:lang w:val="en-US" w:eastAsia="zh-CN"/>
          <w14:textFill>
            <w14:solidFill>
              <w14:schemeClr w14:val="tx1"/>
            </w14:solidFill>
          </w14:textFill>
        </w:rPr>
      </w:pPr>
    </w:p>
    <w:p w14:paraId="31F3EC02">
      <w:pPr>
        <w:pStyle w:val="2"/>
        <w:keepNext w:val="0"/>
        <w:keepLines w:val="0"/>
        <w:pageBreakBefore w:val="0"/>
        <w:widowControl w:val="0"/>
        <w:kinsoku/>
        <w:overflowPunct/>
        <w:bidi w:val="0"/>
        <w:rPr>
          <w:rFonts w:hint="eastAsia" w:ascii="宋体" w:hAnsi="宋体" w:eastAsia="宋体" w:cs="宋体"/>
          <w:color w:val="000000" w:themeColor="text1"/>
          <w:highlight w:val="none"/>
          <w:lang w:val="en-US" w:eastAsia="zh-CN"/>
          <w14:textFill>
            <w14:solidFill>
              <w14:schemeClr w14:val="tx1"/>
            </w14:solidFill>
          </w14:textFill>
        </w:rPr>
      </w:pPr>
    </w:p>
    <w:p w14:paraId="30D29FF2">
      <w:pPr>
        <w:pStyle w:val="35"/>
        <w:keepNext w:val="0"/>
        <w:keepLines w:val="0"/>
        <w:pageBreakBefore w:val="0"/>
        <w:widowControl w:val="0"/>
        <w:kinsoku/>
        <w:overflowPunct/>
        <w:bidi w:val="0"/>
        <w:rPr>
          <w:rFonts w:hint="eastAsia" w:ascii="宋体" w:hAnsi="宋体" w:eastAsia="宋体" w:cs="宋体"/>
          <w:color w:val="000000" w:themeColor="text1"/>
          <w:highlight w:val="none"/>
          <w:lang w:val="en-US" w:eastAsia="zh-CN"/>
          <w14:textFill>
            <w14:solidFill>
              <w14:schemeClr w14:val="tx1"/>
            </w14:solidFill>
          </w14:textFill>
        </w:rPr>
      </w:pPr>
    </w:p>
    <w:p w14:paraId="1E55E70C">
      <w:pPr>
        <w:pStyle w:val="27"/>
        <w:rPr>
          <w:rFonts w:hint="eastAsia"/>
          <w:color w:val="000000" w:themeColor="text1"/>
          <w:lang w:val="en-US" w:eastAsia="zh-CN"/>
          <w14:textFill>
            <w14:solidFill>
              <w14:schemeClr w14:val="tx1"/>
            </w14:solidFill>
          </w14:textFill>
        </w:rPr>
      </w:pPr>
    </w:p>
    <w:p w14:paraId="4B70C4B6">
      <w:pPr>
        <w:pStyle w:val="16"/>
        <w:keepNext w:val="0"/>
        <w:keepLines w:val="0"/>
        <w:pageBreakBefore w:val="0"/>
        <w:widowControl w:val="0"/>
        <w:tabs>
          <w:tab w:val="left" w:pos="5580"/>
        </w:tabs>
        <w:kinsoku/>
        <w:overflowPunct/>
        <w:bidi w:val="0"/>
        <w:spacing w:line="240" w:lineRule="atLeast"/>
        <w:jc w:val="center"/>
        <w:outlineLvl w:val="1"/>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hAnsi="宋体" w:cs="宋体"/>
          <w:b/>
          <w:bCs/>
          <w:color w:val="000000" w:themeColor="text1"/>
          <w:sz w:val="28"/>
          <w:szCs w:val="28"/>
          <w:highlight w:val="none"/>
          <w:lang w:val="en-US" w:eastAsia="zh-CN"/>
          <w14:textFill>
            <w14:solidFill>
              <w14:schemeClr w14:val="tx1"/>
            </w14:solidFill>
          </w14:textFill>
        </w:rPr>
        <w:t>8</w:t>
      </w:r>
      <w:r>
        <w:rPr>
          <w:rFonts w:hint="eastAsia" w:ascii="宋体" w:hAnsi="宋体" w:eastAsia="宋体" w:cs="宋体"/>
          <w:b/>
          <w:bCs/>
          <w:color w:val="000000" w:themeColor="text1"/>
          <w:sz w:val="28"/>
          <w:szCs w:val="28"/>
          <w:highlight w:val="none"/>
          <w14:textFill>
            <w14:solidFill>
              <w14:schemeClr w14:val="tx1"/>
            </w14:solidFill>
          </w14:textFill>
        </w:rPr>
        <w:t>、</w:t>
      </w: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投标单位</w:t>
      </w:r>
      <w:r>
        <w:rPr>
          <w:rFonts w:hint="eastAsia" w:ascii="宋体" w:hAnsi="宋体" w:eastAsia="宋体" w:cs="宋体"/>
          <w:b/>
          <w:color w:val="000000" w:themeColor="text1"/>
          <w:kern w:val="0"/>
          <w:sz w:val="28"/>
          <w:szCs w:val="28"/>
          <w:highlight w:val="none"/>
          <w14:textFill>
            <w14:solidFill>
              <w14:schemeClr w14:val="tx1"/>
            </w14:solidFill>
          </w14:textFill>
        </w:rPr>
        <w:t>提供针对本次项目《反商业贿赂承诺书》；</w:t>
      </w:r>
    </w:p>
    <w:p w14:paraId="755DA994">
      <w:pPr>
        <w:pStyle w:val="16"/>
        <w:keepNext w:val="0"/>
        <w:keepLines w:val="0"/>
        <w:pageBreakBefore w:val="0"/>
        <w:widowControl w:val="0"/>
        <w:tabs>
          <w:tab w:val="left" w:pos="5580"/>
        </w:tabs>
        <w:kinsoku/>
        <w:overflowPunct/>
        <w:bidi w:val="0"/>
        <w:spacing w:line="240" w:lineRule="atLeast"/>
        <w:outlineLvl w:val="1"/>
        <w:rPr>
          <w:rFonts w:hint="eastAsia" w:ascii="宋体" w:hAnsi="宋体" w:eastAsia="宋体" w:cs="宋体"/>
          <w:b/>
          <w:color w:val="000000" w:themeColor="text1"/>
          <w:kern w:val="0"/>
          <w:sz w:val="24"/>
          <w:szCs w:val="24"/>
          <w:highlight w:val="none"/>
          <w14:textFill>
            <w14:solidFill>
              <w14:schemeClr w14:val="tx1"/>
            </w14:solidFill>
          </w14:textFill>
        </w:rPr>
      </w:pPr>
    </w:p>
    <w:p w14:paraId="02CF1251">
      <w:pPr>
        <w:pStyle w:val="6"/>
        <w:keepNext w:val="0"/>
        <w:keepLines w:val="0"/>
        <w:pageBreakBefore w:val="0"/>
        <w:widowControl w:val="0"/>
        <w:kinsoku/>
        <w:overflowPunct/>
        <w:bidi w:val="0"/>
        <w:spacing w:line="600" w:lineRule="auto"/>
        <w:ind w:firstLine="72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我公司承诺在</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3D63778">
      <w:pPr>
        <w:pStyle w:val="6"/>
        <w:keepNext w:val="0"/>
        <w:keepLines w:val="0"/>
        <w:pageBreakBefore w:val="0"/>
        <w:widowControl w:val="0"/>
        <w:kinsoku/>
        <w:overflowPunct/>
        <w:bidi w:val="0"/>
        <w:spacing w:line="600" w:lineRule="auto"/>
        <w:ind w:firstLine="72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公司法人代表（</w:t>
      </w:r>
      <w:r>
        <w:rPr>
          <w:rFonts w:hint="eastAsia" w:ascii="宋体" w:hAnsi="宋体" w:eastAsia="宋体" w:cs="宋体"/>
          <w:color w:val="000000" w:themeColor="text1"/>
          <w:highlight w:val="none"/>
          <w:lang w:val="en-US" w:eastAsia="zh-CN"/>
          <w14:textFill>
            <w14:solidFill>
              <w14:schemeClr w14:val="tx1"/>
            </w14:solidFill>
          </w14:textFill>
        </w:rPr>
        <w:t>签/章</w:t>
      </w:r>
      <w:r>
        <w:rPr>
          <w:rFonts w:hint="eastAsia" w:ascii="宋体" w:hAnsi="宋体" w:eastAsia="宋体" w:cs="宋体"/>
          <w:color w:val="000000" w:themeColor="text1"/>
          <w:highlight w:val="none"/>
          <w14:textFill>
            <w14:solidFill>
              <w14:schemeClr w14:val="tx1"/>
            </w14:solidFill>
          </w14:textFill>
        </w:rPr>
        <w:t>）：</w:t>
      </w:r>
    </w:p>
    <w:p w14:paraId="202FBD6D">
      <w:pPr>
        <w:pStyle w:val="6"/>
        <w:keepNext w:val="0"/>
        <w:keepLines w:val="0"/>
        <w:pageBreakBefore w:val="0"/>
        <w:widowControl w:val="0"/>
        <w:kinsoku/>
        <w:overflowPunct/>
        <w:bidi w:val="0"/>
        <w:spacing w:line="600" w:lineRule="auto"/>
        <w:ind w:firstLine="72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法人授权代表（</w:t>
      </w:r>
      <w:r>
        <w:rPr>
          <w:rFonts w:hint="eastAsia" w:ascii="宋体" w:hAnsi="宋体" w:eastAsia="宋体" w:cs="宋体"/>
          <w:color w:val="000000" w:themeColor="text1"/>
          <w:highlight w:val="none"/>
          <w:lang w:val="en-US" w:eastAsia="zh-CN"/>
          <w14:textFill>
            <w14:solidFill>
              <w14:schemeClr w14:val="tx1"/>
            </w14:solidFill>
          </w14:textFill>
        </w:rPr>
        <w:t>签/章</w:t>
      </w:r>
      <w:r>
        <w:rPr>
          <w:rFonts w:hint="eastAsia" w:ascii="宋体" w:hAnsi="宋体" w:eastAsia="宋体" w:cs="宋体"/>
          <w:color w:val="000000" w:themeColor="text1"/>
          <w:highlight w:val="none"/>
          <w14:textFill>
            <w14:solidFill>
              <w14:schemeClr w14:val="tx1"/>
            </w14:solidFill>
          </w14:textFill>
        </w:rPr>
        <w:t>）：</w:t>
      </w:r>
    </w:p>
    <w:p w14:paraId="1528EFA9">
      <w:pPr>
        <w:pStyle w:val="6"/>
        <w:keepNext w:val="0"/>
        <w:keepLines w:val="0"/>
        <w:pageBreakBefore w:val="0"/>
        <w:widowControl w:val="0"/>
        <w:kinsoku/>
        <w:overflowPunct/>
        <w:bidi w:val="0"/>
        <w:spacing w:line="600" w:lineRule="auto"/>
        <w:ind w:firstLine="72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项目经办人（</w:t>
      </w:r>
      <w:r>
        <w:rPr>
          <w:rFonts w:hint="eastAsia" w:ascii="宋体" w:hAnsi="宋体" w:eastAsia="宋体" w:cs="宋体"/>
          <w:color w:val="000000" w:themeColor="text1"/>
          <w:highlight w:val="none"/>
          <w:lang w:val="en-US" w:eastAsia="zh-CN"/>
          <w14:textFill>
            <w14:solidFill>
              <w14:schemeClr w14:val="tx1"/>
            </w14:solidFill>
          </w14:textFill>
        </w:rPr>
        <w:t>签/章</w:t>
      </w:r>
      <w:r>
        <w:rPr>
          <w:rFonts w:hint="eastAsia" w:ascii="宋体" w:hAnsi="宋体" w:eastAsia="宋体" w:cs="宋体"/>
          <w:color w:val="000000" w:themeColor="text1"/>
          <w:highlight w:val="none"/>
          <w14:textFill>
            <w14:solidFill>
              <w14:schemeClr w14:val="tx1"/>
            </w14:solidFill>
          </w14:textFill>
        </w:rPr>
        <w:t>）：</w:t>
      </w:r>
    </w:p>
    <w:p w14:paraId="1A8AF3BF">
      <w:pPr>
        <w:keepNext w:val="0"/>
        <w:keepLines w:val="0"/>
        <w:pageBreakBefore w:val="0"/>
        <w:widowControl w:val="0"/>
        <w:kinsoku/>
        <w:overflowPunct/>
        <w:bidi w:val="0"/>
        <w:spacing w:before="100" w:beforeAutospacing="1" w:after="100" w:afterAutospacing="1" w:line="360" w:lineRule="auto"/>
        <w:ind w:firstLine="897"/>
        <w:jc w:val="left"/>
        <w:rPr>
          <w:rFonts w:hint="eastAsia" w:ascii="宋体" w:hAnsi="宋体" w:eastAsia="宋体" w:cs="宋体"/>
          <w:color w:val="000000" w:themeColor="text1"/>
          <w:szCs w:val="21"/>
          <w:highlight w:val="none"/>
          <w14:textFill>
            <w14:solidFill>
              <w14:schemeClr w14:val="tx1"/>
            </w14:solidFill>
          </w14:textFill>
        </w:rPr>
      </w:pPr>
    </w:p>
    <w:p w14:paraId="791DCADA">
      <w:pPr>
        <w:pStyle w:val="6"/>
        <w:keepNext w:val="0"/>
        <w:keepLines w:val="0"/>
        <w:pageBreakBefore w:val="0"/>
        <w:widowControl w:val="0"/>
        <w:kinsoku/>
        <w:overflowPunct/>
        <w:bidi w:val="0"/>
        <w:ind w:firstLine="0"/>
        <w:rPr>
          <w:rFonts w:hint="eastAsia" w:ascii="宋体" w:hAnsi="宋体" w:eastAsia="宋体" w:cs="宋体"/>
          <w:color w:val="000000" w:themeColor="text1"/>
          <w:highlight w:val="none"/>
          <w14:textFill>
            <w14:solidFill>
              <w14:schemeClr w14:val="tx1"/>
            </w14:solidFill>
          </w14:textFill>
        </w:rPr>
      </w:pPr>
    </w:p>
    <w:p w14:paraId="61A456C3">
      <w:pPr>
        <w:pStyle w:val="6"/>
        <w:keepNext w:val="0"/>
        <w:keepLines w:val="0"/>
        <w:pageBreakBefore w:val="0"/>
        <w:widowControl w:val="0"/>
        <w:numPr>
          <w:ilvl w:val="0"/>
          <w:numId w:val="0"/>
        </w:numPr>
        <w:kinsoku/>
        <w:overflowPunct/>
        <w:bidi w:val="0"/>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hAnsi="宋体" w:cs="宋体"/>
          <w:b/>
          <w:bCs/>
          <w:color w:val="000000" w:themeColor="text1"/>
          <w:sz w:val="28"/>
          <w:szCs w:val="28"/>
          <w:highlight w:val="none"/>
          <w:lang w:val="en-US" w:eastAsia="zh-CN"/>
          <w14:textFill>
            <w14:solidFill>
              <w14:schemeClr w14:val="tx1"/>
            </w14:solidFill>
          </w14:textFill>
        </w:rPr>
        <w:t>9</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bCs/>
          <w:color w:val="000000" w:themeColor="text1"/>
          <w:sz w:val="28"/>
          <w:szCs w:val="28"/>
          <w:highlight w:val="none"/>
          <w14:textFill>
            <w14:solidFill>
              <w14:schemeClr w14:val="tx1"/>
            </w14:solidFill>
          </w14:textFill>
        </w:rPr>
        <w:t>参加政府采购活动近3年内，在经营活动中没有重大违法记录的书面声明；</w:t>
      </w:r>
    </w:p>
    <w:p w14:paraId="1647D8B9">
      <w:pPr>
        <w:pStyle w:val="6"/>
        <w:keepNext w:val="0"/>
        <w:keepLines w:val="0"/>
        <w:pageBreakBefore w:val="0"/>
        <w:widowControl w:val="0"/>
        <w:kinsoku/>
        <w:overflowPunct/>
        <w:bidi w:val="0"/>
        <w:ind w:firstLine="72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注：1.投标人应按照相关法规规定如实作出说明。</w:t>
      </w:r>
    </w:p>
    <w:p w14:paraId="15774F43">
      <w:pPr>
        <w:pStyle w:val="6"/>
        <w:keepNext w:val="0"/>
        <w:keepLines w:val="0"/>
        <w:pageBreakBefore w:val="0"/>
        <w:widowControl w:val="0"/>
        <w:kinsoku/>
        <w:overflowPunct/>
        <w:bidi w:val="0"/>
        <w:ind w:firstLine="72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2．按照</w:t>
      </w:r>
      <w:r>
        <w:rPr>
          <w:rFonts w:hint="eastAsia" w:hAnsi="宋体"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文件的规定加盖本单位章（自然人投标的无需盖章，需要签字）。</w:t>
      </w:r>
    </w:p>
    <w:p w14:paraId="29B8C097">
      <w:pPr>
        <w:pStyle w:val="6"/>
        <w:keepNext w:val="0"/>
        <w:keepLines w:val="0"/>
        <w:pageBreakBefore w:val="0"/>
        <w:widowControl w:val="0"/>
        <w:kinsoku/>
        <w:overflowPunct/>
        <w:bidi w:val="0"/>
        <w:ind w:firstLine="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3.如果是联合体投标，联合体各方均需提供上述证明。</w:t>
      </w:r>
    </w:p>
    <w:p w14:paraId="173F3330">
      <w:pPr>
        <w:pStyle w:val="6"/>
        <w:keepNext w:val="0"/>
        <w:keepLines w:val="0"/>
        <w:pageBreakBefore w:val="0"/>
        <w:widowControl w:val="0"/>
        <w:kinsoku/>
        <w:overflowPunct/>
        <w:bidi w:val="0"/>
        <w:ind w:firstLine="0"/>
        <w:rPr>
          <w:rFonts w:hint="eastAsia" w:ascii="宋体" w:hAnsi="宋体" w:eastAsia="宋体" w:cs="宋体"/>
          <w:color w:val="000000" w:themeColor="text1"/>
          <w:highlight w:val="none"/>
          <w14:textFill>
            <w14:solidFill>
              <w14:schemeClr w14:val="tx1"/>
            </w14:solidFill>
          </w14:textFill>
        </w:rPr>
      </w:pPr>
    </w:p>
    <w:p w14:paraId="4C862FA9">
      <w:pPr>
        <w:pStyle w:val="10"/>
        <w:keepNext w:val="0"/>
        <w:keepLines w:val="0"/>
        <w:pageBreakBefore w:val="0"/>
        <w:widowControl w:val="0"/>
        <w:kinsoku/>
        <w:overflowPunct/>
        <w:bidi w:val="0"/>
        <w:rPr>
          <w:rFonts w:hint="eastAsia" w:ascii="宋体" w:hAnsi="宋体" w:eastAsia="宋体" w:cs="宋体"/>
          <w:color w:val="000000" w:themeColor="text1"/>
          <w:highlight w:val="none"/>
          <w14:textFill>
            <w14:solidFill>
              <w14:schemeClr w14:val="tx1"/>
            </w14:solidFill>
          </w14:textFill>
        </w:rPr>
      </w:pPr>
    </w:p>
    <w:p w14:paraId="37A17A0D">
      <w:pPr>
        <w:keepNext w:val="0"/>
        <w:keepLines w:val="0"/>
        <w:pageBreakBefore w:val="0"/>
        <w:widowControl w:val="0"/>
        <w:kinsoku/>
        <w:overflowPunct/>
        <w:bidi w:val="0"/>
        <w:rPr>
          <w:rFonts w:hint="eastAsia" w:ascii="宋体" w:hAnsi="宋体" w:eastAsia="宋体" w:cs="宋体"/>
          <w:color w:val="000000" w:themeColor="text1"/>
          <w:highlight w:val="none"/>
          <w14:textFill>
            <w14:solidFill>
              <w14:schemeClr w14:val="tx1"/>
            </w14:solidFill>
          </w14:textFill>
        </w:rPr>
      </w:pPr>
    </w:p>
    <w:p w14:paraId="42C2E3A7">
      <w:pPr>
        <w:pStyle w:val="27"/>
        <w:keepNext w:val="0"/>
        <w:keepLines w:val="0"/>
        <w:pageBreakBefore w:val="0"/>
        <w:widowControl w:val="0"/>
        <w:kinsoku/>
        <w:overflowPunct/>
        <w:bidi w:val="0"/>
        <w:rPr>
          <w:rFonts w:hint="eastAsia" w:ascii="宋体" w:hAnsi="宋体" w:eastAsia="宋体" w:cs="宋体"/>
          <w:color w:val="000000" w:themeColor="text1"/>
          <w:highlight w:val="none"/>
          <w14:textFill>
            <w14:solidFill>
              <w14:schemeClr w14:val="tx1"/>
            </w14:solidFill>
          </w14:textFill>
        </w:rPr>
      </w:pPr>
    </w:p>
    <w:p w14:paraId="1A7E0E1C">
      <w:pPr>
        <w:pStyle w:val="2"/>
        <w:keepNext w:val="0"/>
        <w:keepLines w:val="0"/>
        <w:pageBreakBefore w:val="0"/>
        <w:widowControl w:val="0"/>
        <w:kinsoku/>
        <w:overflowPunct/>
        <w:bidi w:val="0"/>
        <w:rPr>
          <w:rFonts w:hint="eastAsia" w:ascii="宋体" w:hAnsi="宋体" w:eastAsia="宋体" w:cs="宋体"/>
          <w:color w:val="000000" w:themeColor="text1"/>
          <w:highlight w:val="none"/>
          <w14:textFill>
            <w14:solidFill>
              <w14:schemeClr w14:val="tx1"/>
            </w14:solidFill>
          </w14:textFill>
        </w:rPr>
      </w:pPr>
    </w:p>
    <w:p w14:paraId="76A9865E">
      <w:pPr>
        <w:pStyle w:val="35"/>
        <w:keepNext w:val="0"/>
        <w:keepLines w:val="0"/>
        <w:pageBreakBefore w:val="0"/>
        <w:widowControl w:val="0"/>
        <w:kinsoku/>
        <w:overflowPunct/>
        <w:bidi w:val="0"/>
        <w:rPr>
          <w:rFonts w:hint="eastAsia" w:ascii="宋体" w:hAnsi="宋体" w:eastAsia="宋体" w:cs="宋体"/>
          <w:color w:val="000000" w:themeColor="text1"/>
          <w:highlight w:val="none"/>
          <w14:textFill>
            <w14:solidFill>
              <w14:schemeClr w14:val="tx1"/>
            </w14:solidFill>
          </w14:textFill>
        </w:rPr>
      </w:pPr>
    </w:p>
    <w:p w14:paraId="6CC722C0">
      <w:pPr>
        <w:keepNext w:val="0"/>
        <w:keepLines w:val="0"/>
        <w:pageBreakBefore w:val="0"/>
        <w:widowControl w:val="0"/>
        <w:kinsoku/>
        <w:overflowPunct/>
        <w:bidi w:val="0"/>
        <w:rPr>
          <w:rFonts w:hint="eastAsia" w:ascii="宋体" w:hAnsi="宋体" w:eastAsia="宋体" w:cs="宋体"/>
          <w:color w:val="000000" w:themeColor="text1"/>
          <w:highlight w:val="none"/>
          <w14:textFill>
            <w14:solidFill>
              <w14:schemeClr w14:val="tx1"/>
            </w14:solidFill>
          </w14:textFill>
        </w:rPr>
      </w:pPr>
    </w:p>
    <w:p w14:paraId="5B43D328">
      <w:pPr>
        <w:pStyle w:val="27"/>
        <w:keepNext w:val="0"/>
        <w:keepLines w:val="0"/>
        <w:pageBreakBefore w:val="0"/>
        <w:widowControl w:val="0"/>
        <w:kinsoku/>
        <w:overflowPunct/>
        <w:bidi w:val="0"/>
        <w:rPr>
          <w:rFonts w:hint="eastAsia" w:ascii="宋体" w:hAnsi="宋体" w:eastAsia="宋体" w:cs="宋体"/>
          <w:color w:val="000000" w:themeColor="text1"/>
          <w:highlight w:val="none"/>
          <w14:textFill>
            <w14:solidFill>
              <w14:schemeClr w14:val="tx1"/>
            </w14:solidFill>
          </w14:textFill>
        </w:rPr>
      </w:pPr>
    </w:p>
    <w:p w14:paraId="211CBB6B">
      <w:pPr>
        <w:pStyle w:val="2"/>
        <w:keepNext w:val="0"/>
        <w:keepLines w:val="0"/>
        <w:pageBreakBefore w:val="0"/>
        <w:widowControl w:val="0"/>
        <w:kinsoku/>
        <w:overflowPunct/>
        <w:bidi w:val="0"/>
        <w:rPr>
          <w:rFonts w:hint="eastAsia" w:ascii="宋体" w:hAnsi="宋体" w:eastAsia="宋体" w:cs="宋体"/>
          <w:color w:val="000000" w:themeColor="text1"/>
          <w:highlight w:val="none"/>
          <w14:textFill>
            <w14:solidFill>
              <w14:schemeClr w14:val="tx1"/>
            </w14:solidFill>
          </w14:textFill>
        </w:rPr>
      </w:pPr>
    </w:p>
    <w:p w14:paraId="757A38B0">
      <w:pPr>
        <w:pStyle w:val="35"/>
        <w:keepNext w:val="0"/>
        <w:keepLines w:val="0"/>
        <w:pageBreakBefore w:val="0"/>
        <w:widowControl w:val="0"/>
        <w:kinsoku/>
        <w:overflowPunct/>
        <w:bidi w:val="0"/>
        <w:rPr>
          <w:rFonts w:hint="eastAsia" w:ascii="宋体" w:hAnsi="宋体" w:eastAsia="宋体" w:cs="宋体"/>
          <w:color w:val="000000" w:themeColor="text1"/>
          <w:highlight w:val="none"/>
          <w14:textFill>
            <w14:solidFill>
              <w14:schemeClr w14:val="tx1"/>
            </w14:solidFill>
          </w14:textFill>
        </w:rPr>
      </w:pPr>
    </w:p>
    <w:p w14:paraId="2463FA29">
      <w:pPr>
        <w:keepNext w:val="0"/>
        <w:keepLines w:val="0"/>
        <w:pageBreakBefore w:val="0"/>
        <w:widowControl w:val="0"/>
        <w:tabs>
          <w:tab w:val="left" w:pos="5580"/>
        </w:tabs>
        <w:kinsoku/>
        <w:overflowPunct/>
        <w:bidi w:val="0"/>
        <w:spacing w:line="36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10、投标保证金缴纳凭证或投标担保函</w:t>
      </w:r>
      <w:r>
        <w:rPr>
          <w:rFonts w:hint="eastAsia" w:ascii="宋体" w:hAnsi="宋体" w:eastAsia="宋体" w:cs="宋体"/>
          <w:color w:val="000000" w:themeColor="text1"/>
          <w:highlight w:val="none"/>
          <w14:textFill>
            <w14:solidFill>
              <w14:schemeClr w14:val="tx1"/>
            </w14:solidFill>
          </w14:textFill>
        </w:rPr>
        <w:br w:type="page"/>
      </w:r>
    </w:p>
    <w:bookmarkEnd w:id="287"/>
    <w:bookmarkEnd w:id="288"/>
    <w:bookmarkEnd w:id="289"/>
    <w:bookmarkEnd w:id="290"/>
    <w:p w14:paraId="7C0A2A05">
      <w:pPr>
        <w:pStyle w:val="4"/>
        <w:keepNext w:val="0"/>
        <w:keepLines w:val="0"/>
        <w:pageBreakBefore w:val="0"/>
        <w:widowControl w:val="0"/>
        <w:numPr>
          <w:ilvl w:val="0"/>
          <w:numId w:val="3"/>
        </w:numPr>
        <w:kinsoku/>
        <w:overflowPunct/>
        <w:bidi w:val="0"/>
        <w:spacing w:before="0" w:line="240" w:lineRule="atLeast"/>
        <w:ind w:left="1080" w:leftChars="257" w:hanging="540"/>
        <w:rPr>
          <w:rFonts w:hint="eastAsia" w:ascii="宋体" w:hAnsi="宋体" w:eastAsia="宋体" w:cs="宋体"/>
          <w:color w:val="000000" w:themeColor="text1"/>
          <w:sz w:val="28"/>
          <w:szCs w:val="21"/>
          <w:highlight w:val="none"/>
          <w14:textFill>
            <w14:solidFill>
              <w14:schemeClr w14:val="tx1"/>
            </w14:solidFill>
          </w14:textFill>
        </w:rPr>
      </w:pPr>
      <w:bookmarkStart w:id="301" w:name="_Toc30317"/>
      <w:bookmarkStart w:id="302" w:name="_Toc22967"/>
      <w:bookmarkStart w:id="303" w:name="_Toc11180"/>
      <w:bookmarkStart w:id="304" w:name="_Toc515647816"/>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8"/>
          <w:szCs w:val="21"/>
          <w:highlight w:val="none"/>
          <w14:textFill>
            <w14:solidFill>
              <w14:schemeClr w14:val="tx1"/>
            </w14:solidFill>
          </w14:textFill>
        </w:rPr>
        <w:t>商务及技术文件</w:t>
      </w:r>
      <w:bookmarkEnd w:id="301"/>
      <w:bookmarkEnd w:id="302"/>
      <w:bookmarkEnd w:id="303"/>
      <w:bookmarkEnd w:id="304"/>
    </w:p>
    <w:bookmarkEnd w:id="283"/>
    <w:bookmarkEnd w:id="284"/>
    <w:bookmarkEnd w:id="285"/>
    <w:bookmarkEnd w:id="286"/>
    <w:p w14:paraId="12ADB9CB">
      <w:pPr>
        <w:pStyle w:val="16"/>
        <w:spacing w:line="400" w:lineRule="exact"/>
        <w:ind w:firstLine="480" w:firstLineChars="20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1、磋商书</w:t>
      </w:r>
    </w:p>
    <w:p w14:paraId="7F2C21F8">
      <w:pPr>
        <w:pStyle w:val="16"/>
        <w:spacing w:line="400" w:lineRule="exact"/>
        <w:ind w:firstLine="480" w:firstLineChars="20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2、磋商分项报价表</w:t>
      </w:r>
    </w:p>
    <w:p w14:paraId="48208BF1">
      <w:pPr>
        <w:pStyle w:val="16"/>
        <w:spacing w:line="400" w:lineRule="exact"/>
        <w:ind w:firstLine="480" w:firstLineChars="20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3、服务说明一览表</w:t>
      </w:r>
    </w:p>
    <w:p w14:paraId="33C21D71">
      <w:pPr>
        <w:pStyle w:val="16"/>
        <w:spacing w:line="400" w:lineRule="exact"/>
        <w:ind w:firstLine="480" w:firstLineChars="20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4、商务条款偏离表</w:t>
      </w:r>
    </w:p>
    <w:p w14:paraId="1EC0E7E9">
      <w:pPr>
        <w:pStyle w:val="16"/>
        <w:spacing w:line="400" w:lineRule="exact"/>
        <w:ind w:firstLine="480" w:firstLineChars="20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5、投标人企业（单位）类型声明函</w:t>
      </w:r>
    </w:p>
    <w:p w14:paraId="3147A45E">
      <w:pPr>
        <w:pStyle w:val="16"/>
        <w:spacing w:line="400" w:lineRule="exact"/>
        <w:ind w:firstLine="480" w:firstLineChars="20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5-1、中小企业声明函</w:t>
      </w:r>
    </w:p>
    <w:p w14:paraId="6D762E75">
      <w:pPr>
        <w:pStyle w:val="16"/>
        <w:spacing w:line="400" w:lineRule="exact"/>
        <w:ind w:firstLine="480" w:firstLineChars="20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w:t>
      </w:r>
      <w:r>
        <w:rPr>
          <w:rFonts w:hint="eastAsia" w:hAnsi="宋体" w:cs="宋体"/>
          <w:color w:val="000000" w:themeColor="text1"/>
          <w:sz w:val="24"/>
          <w:szCs w:val="24"/>
          <w:lang w:eastAsia="zh-CN"/>
          <w14:textFill>
            <w14:solidFill>
              <w14:schemeClr w14:val="tx1"/>
            </w14:solidFill>
          </w14:textFill>
        </w:rPr>
        <w:t>投标人</w:t>
      </w:r>
      <w:r>
        <w:rPr>
          <w:rFonts w:hint="eastAsia" w:hAnsi="宋体" w:cs="宋体"/>
          <w:color w:val="000000" w:themeColor="text1"/>
          <w:sz w:val="24"/>
          <w:szCs w:val="24"/>
          <w14:textFill>
            <w14:solidFill>
              <w14:schemeClr w14:val="tx1"/>
            </w14:solidFill>
          </w14:textFill>
        </w:rPr>
        <w:t>关联单位的说明</w:t>
      </w:r>
    </w:p>
    <w:p w14:paraId="2AD2A694">
      <w:pPr>
        <w:pStyle w:val="16"/>
        <w:spacing w:line="400" w:lineRule="exact"/>
        <w:ind w:firstLine="480" w:firstLineChars="20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7</w:t>
      </w:r>
      <w:r>
        <w:rPr>
          <w:rFonts w:hint="eastAsia" w:hAnsi="宋体" w:cs="宋体"/>
          <w:color w:val="000000" w:themeColor="text1"/>
          <w:sz w:val="24"/>
          <w:szCs w:val="24"/>
          <w14:textFill>
            <w14:solidFill>
              <w14:schemeClr w14:val="tx1"/>
            </w14:solidFill>
          </w14:textFill>
        </w:rPr>
        <w:t>、近三年(具体指</w:t>
      </w:r>
      <w:r>
        <w:rPr>
          <w:rFonts w:hint="eastAsia" w:hAnsi="宋体" w:cs="宋体"/>
          <w:color w:val="000000" w:themeColor="text1"/>
          <w:sz w:val="24"/>
          <w:szCs w:val="24"/>
          <w:lang w:eastAsia="zh-CN"/>
          <w14:textFill>
            <w14:solidFill>
              <w14:schemeClr w14:val="tx1"/>
            </w14:solidFill>
          </w14:textFill>
        </w:rPr>
        <w:t>2023年5月1日</w:t>
      </w:r>
      <w:r>
        <w:rPr>
          <w:rFonts w:hint="eastAsia" w:hAnsi="宋体" w:cs="宋体"/>
          <w:color w:val="000000" w:themeColor="text1"/>
          <w:sz w:val="24"/>
          <w:szCs w:val="24"/>
          <w14:textFill>
            <w14:solidFill>
              <w14:schemeClr w14:val="tx1"/>
            </w14:solidFill>
          </w14:textFill>
        </w:rPr>
        <w:t>至本项目投标截止之日) 同类项目业绩一览表</w:t>
      </w:r>
    </w:p>
    <w:p w14:paraId="2892D830">
      <w:pPr>
        <w:pStyle w:val="16"/>
        <w:spacing w:line="400" w:lineRule="exact"/>
        <w:ind w:firstLine="480" w:firstLineChars="200"/>
        <w:rPr>
          <w:rFonts w:hint="eastAsia" w:hAnsi="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8、项目团队</w:t>
      </w:r>
    </w:p>
    <w:p w14:paraId="3B1035CD">
      <w:pPr>
        <w:pStyle w:val="16"/>
        <w:spacing w:line="400" w:lineRule="exact"/>
        <w:ind w:firstLine="480" w:firstLineChars="200"/>
        <w:rPr>
          <w:rFonts w:hint="eastAsia" w:hAnsi="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9、食谱方案</w:t>
      </w:r>
    </w:p>
    <w:p w14:paraId="0291DCB7">
      <w:pPr>
        <w:pStyle w:val="16"/>
        <w:spacing w:line="400" w:lineRule="exact"/>
        <w:ind w:firstLine="480" w:firstLineChars="200"/>
        <w:rPr>
          <w:rFonts w:hint="eastAsia" w:hAnsi="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10、服务方案</w:t>
      </w:r>
    </w:p>
    <w:p w14:paraId="5C6BDF61">
      <w:pPr>
        <w:pStyle w:val="16"/>
        <w:spacing w:line="400" w:lineRule="exact"/>
        <w:ind w:firstLine="480" w:firstLineChars="200"/>
        <w:rPr>
          <w:rFonts w:hint="eastAsia" w:hAnsi="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11、卫生保障制度</w:t>
      </w:r>
    </w:p>
    <w:p w14:paraId="3707BEF4">
      <w:pPr>
        <w:pStyle w:val="16"/>
        <w:spacing w:line="400" w:lineRule="exact"/>
        <w:ind w:firstLine="480" w:firstLineChars="200"/>
        <w:rPr>
          <w:rFonts w:hint="eastAsia" w:hAnsi="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12、食品质量保证体系及措施</w:t>
      </w:r>
    </w:p>
    <w:p w14:paraId="335F3CFD">
      <w:pPr>
        <w:pStyle w:val="16"/>
        <w:spacing w:line="400" w:lineRule="exact"/>
        <w:ind w:firstLine="480" w:firstLineChars="200"/>
        <w:rPr>
          <w:rFonts w:hint="eastAsia" w:hAnsi="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13、应急方案</w:t>
      </w:r>
    </w:p>
    <w:p w14:paraId="201ECC74">
      <w:pPr>
        <w:pStyle w:val="16"/>
        <w:spacing w:line="400" w:lineRule="exact"/>
        <w:ind w:firstLine="480" w:firstLineChars="200"/>
        <w:rPr>
          <w:rFonts w:hint="eastAsia" w:hAnsi="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14、培训方案</w:t>
      </w:r>
    </w:p>
    <w:p w14:paraId="2EF2C945">
      <w:pPr>
        <w:pStyle w:val="16"/>
        <w:spacing w:line="400" w:lineRule="exact"/>
        <w:ind w:firstLine="480" w:firstLineChars="200"/>
        <w:rPr>
          <w:rFonts w:hint="eastAsia" w:hAnsi="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15、投标文件还应包括投标人须知第10条的所有技术文件（如有）</w:t>
      </w:r>
    </w:p>
    <w:p w14:paraId="5659A199">
      <w:pPr>
        <w:pStyle w:val="16"/>
        <w:spacing w:line="400" w:lineRule="exact"/>
        <w:ind w:firstLine="480" w:firstLineChars="200"/>
        <w:rPr>
          <w:rFonts w:hint="eastAsia" w:hAnsi="宋体" w:cs="宋体"/>
          <w:color w:val="000000" w:themeColor="text1"/>
          <w:sz w:val="24"/>
          <w:szCs w:val="24"/>
          <w14:textFill>
            <w14:solidFill>
              <w14:schemeClr w14:val="tx1"/>
            </w14:solidFill>
          </w14:textFill>
        </w:rPr>
      </w:pPr>
    </w:p>
    <w:p w14:paraId="539CF27E">
      <w:pPr>
        <w:pStyle w:val="4"/>
        <w:spacing w:before="0" w:line="240" w:lineRule="atLeas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bookmarkStart w:id="305" w:name="_Toc18614"/>
      <w:bookmarkStart w:id="306" w:name="_Toc12852"/>
      <w:bookmarkStart w:id="307" w:name="_Toc8940"/>
      <w:bookmarkStart w:id="308" w:name="_Toc18506"/>
      <w:bookmarkStart w:id="309" w:name="_Toc2041"/>
      <w:bookmarkStart w:id="310" w:name="_Toc22432"/>
      <w:bookmarkStart w:id="311" w:name="_Toc11475"/>
      <w:bookmarkStart w:id="312" w:name="_Toc515647817"/>
      <w:bookmarkStart w:id="313" w:name="_Toc17319"/>
      <w:bookmarkStart w:id="314" w:name="_Toc14858"/>
      <w:bookmarkStart w:id="315" w:name="_Toc14915"/>
      <w:r>
        <w:rPr>
          <w:rFonts w:hint="eastAsia" w:ascii="宋体" w:hAnsi="宋体" w:eastAsia="宋体" w:cs="宋体"/>
          <w:color w:val="000000" w:themeColor="text1"/>
          <w:sz w:val="24"/>
          <w:szCs w:val="24"/>
          <w14:textFill>
            <w14:solidFill>
              <w14:schemeClr w14:val="tx1"/>
            </w14:solidFill>
          </w14:textFill>
        </w:rPr>
        <w:t>1</w:t>
      </w:r>
      <w:bookmarkStart w:id="316" w:name="_Hlt520355504"/>
      <w:bookmarkEnd w:id="316"/>
      <w:r>
        <w:rPr>
          <w:rFonts w:hint="eastAsia" w:ascii="宋体" w:hAnsi="宋体" w:eastAsia="宋体" w:cs="宋体"/>
          <w:color w:val="000000" w:themeColor="text1"/>
          <w:sz w:val="24"/>
          <w:szCs w:val="24"/>
          <w14:textFill>
            <w14:solidFill>
              <w14:schemeClr w14:val="tx1"/>
            </w14:solidFill>
          </w14:textFill>
        </w:rPr>
        <w:t>、磋商书</w:t>
      </w:r>
      <w:bookmarkEnd w:id="305"/>
      <w:bookmarkEnd w:id="306"/>
      <w:bookmarkEnd w:id="307"/>
      <w:bookmarkEnd w:id="308"/>
      <w:bookmarkEnd w:id="309"/>
      <w:bookmarkEnd w:id="310"/>
      <w:bookmarkEnd w:id="311"/>
      <w:bookmarkEnd w:id="312"/>
      <w:bookmarkEnd w:id="313"/>
      <w:bookmarkEnd w:id="314"/>
      <w:bookmarkEnd w:id="315"/>
    </w:p>
    <w:p w14:paraId="6A333629">
      <w:pPr>
        <w:tabs>
          <w:tab w:val="left" w:pos="5580"/>
        </w:tabs>
        <w:spacing w:line="360" w:lineRule="exact"/>
        <w:ind w:left="1080" w:hanging="10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采购代理机构</w:t>
      </w:r>
    </w:p>
    <w:p w14:paraId="294DC365">
      <w:pPr>
        <w:pStyle w:val="16"/>
        <w:tabs>
          <w:tab w:val="left" w:pos="5580"/>
        </w:tabs>
        <w:spacing w:line="360" w:lineRule="exact"/>
        <w:ind w:left="2" w:leftChars="1" w:firstLine="480" w:firstLineChars="20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14:textFill>
            <w14:solidFill>
              <w14:schemeClr w14:val="tx1"/>
            </w14:solidFill>
          </w14:textFill>
        </w:rPr>
        <w:t>根据贵方(</w:t>
      </w:r>
      <w:r>
        <w:rPr>
          <w:rFonts w:hint="eastAsia" w:hAnsi="宋体" w:cs="宋体"/>
          <w:i/>
          <w:color w:val="000000" w:themeColor="text1"/>
          <w:sz w:val="24"/>
          <w:u w:val="single"/>
          <w14:textFill>
            <w14:solidFill>
              <w14:schemeClr w14:val="tx1"/>
            </w14:solidFill>
          </w14:textFill>
        </w:rPr>
        <w:t>项目名称</w:t>
      </w:r>
      <w:r>
        <w:rPr>
          <w:rFonts w:hint="eastAsia" w:hAnsi="宋体" w:cs="宋体"/>
          <w:color w:val="000000" w:themeColor="text1"/>
          <w:sz w:val="24"/>
          <w14:textFill>
            <w14:solidFill>
              <w14:schemeClr w14:val="tx1"/>
            </w14:solidFill>
          </w14:textFill>
        </w:rPr>
        <w:t>)项目的投标邀请(</w:t>
      </w:r>
      <w:r>
        <w:rPr>
          <w:rFonts w:hint="eastAsia" w:hAnsi="宋体" w:cs="宋体"/>
          <w:i/>
          <w:color w:val="000000" w:themeColor="text1"/>
          <w:sz w:val="24"/>
          <w:u w:val="single"/>
          <w14:textFill>
            <w14:solidFill>
              <w14:schemeClr w14:val="tx1"/>
            </w14:solidFill>
          </w14:textFill>
        </w:rPr>
        <w:t>招标编号</w:t>
      </w:r>
      <w:r>
        <w:rPr>
          <w:rFonts w:hint="eastAsia" w:hAnsi="宋体" w:cs="宋体"/>
          <w:color w:val="000000" w:themeColor="text1"/>
          <w:sz w:val="24"/>
          <w14:textFill>
            <w14:solidFill>
              <w14:schemeClr w14:val="tx1"/>
            </w14:solidFill>
          </w14:textFill>
        </w:rPr>
        <w:t>),签字代表(</w:t>
      </w:r>
      <w:r>
        <w:rPr>
          <w:rFonts w:hint="eastAsia" w:hAnsi="宋体" w:cs="宋体"/>
          <w:i/>
          <w:color w:val="000000" w:themeColor="text1"/>
          <w:sz w:val="24"/>
          <w:u w:val="single"/>
          <w14:textFill>
            <w14:solidFill>
              <w14:schemeClr w14:val="tx1"/>
            </w14:solidFill>
          </w14:textFill>
        </w:rPr>
        <w:t>姓名、职务</w:t>
      </w:r>
      <w:r>
        <w:rPr>
          <w:rFonts w:hint="eastAsia" w:hAnsi="宋体" w:cs="宋体"/>
          <w:color w:val="000000" w:themeColor="text1"/>
          <w:sz w:val="24"/>
          <w14:textFill>
            <w14:solidFill>
              <w14:schemeClr w14:val="tx1"/>
            </w14:solidFill>
          </w14:textFill>
        </w:rPr>
        <w:t>)经正式授权并代表投标人（</w:t>
      </w:r>
      <w:r>
        <w:rPr>
          <w:rFonts w:hint="eastAsia" w:hAnsi="宋体" w:cs="宋体"/>
          <w:i/>
          <w:color w:val="000000" w:themeColor="text1"/>
          <w:sz w:val="24"/>
          <w:u w:val="single"/>
          <w14:textFill>
            <w14:solidFill>
              <w14:schemeClr w14:val="tx1"/>
            </w14:solidFill>
          </w14:textFill>
        </w:rPr>
        <w:t>名称、地址</w:t>
      </w:r>
      <w:r>
        <w:rPr>
          <w:rFonts w:hint="eastAsia" w:hAnsi="宋体" w:cs="宋体"/>
          <w:color w:val="000000" w:themeColor="text1"/>
          <w:sz w:val="24"/>
          <w14:textFill>
            <w14:solidFill>
              <w14:schemeClr w14:val="tx1"/>
            </w14:solidFill>
          </w14:textFill>
        </w:rPr>
        <w:t>），</w:t>
      </w:r>
      <w:r>
        <w:rPr>
          <w:rFonts w:hint="eastAsia" w:hAnsi="宋体" w:cs="宋体"/>
          <w:color w:val="000000" w:themeColor="text1"/>
          <w:sz w:val="24"/>
          <w:szCs w:val="24"/>
          <w14:textFill>
            <w14:solidFill>
              <w14:schemeClr w14:val="tx1"/>
            </w14:solidFill>
          </w14:textFill>
        </w:rPr>
        <w:t>并以</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形式出具的金额为人民币</w:t>
      </w:r>
      <w:r>
        <w:rPr>
          <w:rFonts w:hint="eastAsia" w:hAnsi="宋体" w:cs="宋体"/>
          <w:color w:val="000000" w:themeColor="text1"/>
          <w:sz w:val="24"/>
          <w:szCs w:val="24"/>
          <w:u w:val="single"/>
          <w14:textFill>
            <w14:solidFill>
              <w14:schemeClr w14:val="tx1"/>
            </w14:solidFill>
          </w14:textFill>
        </w:rPr>
        <w:t>　　　　</w:t>
      </w:r>
      <w:r>
        <w:rPr>
          <w:rFonts w:hint="eastAsia" w:hAnsi="宋体" w:cs="宋体"/>
          <w:color w:val="000000" w:themeColor="text1"/>
          <w:sz w:val="24"/>
          <w:szCs w:val="24"/>
          <w14:textFill>
            <w14:solidFill>
              <w14:schemeClr w14:val="tx1"/>
            </w14:solidFill>
          </w14:textFill>
        </w:rPr>
        <w:t>元的磋商保证金。</w:t>
      </w:r>
    </w:p>
    <w:p w14:paraId="643EB625">
      <w:pPr>
        <w:pStyle w:val="16"/>
        <w:tabs>
          <w:tab w:val="left" w:pos="5580"/>
        </w:tabs>
        <w:spacing w:line="360" w:lineRule="exac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据此，签字代表宣布同意如下：</w:t>
      </w:r>
    </w:p>
    <w:p w14:paraId="7F07DFB0">
      <w:pPr>
        <w:pStyle w:val="16"/>
        <w:tabs>
          <w:tab w:val="left" w:pos="720"/>
          <w:tab w:val="left" w:pos="900"/>
        </w:tabs>
        <w:spacing w:line="240" w:lineRule="atLeast"/>
        <w:ind w:left="769" w:leftChars="257" w:hanging="229"/>
        <w:rPr>
          <w:rFonts w:hint="eastAsia"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（1）附投标价格表中规定的应提供服务的投标总价详见开标一览表，价格为</w:t>
      </w:r>
      <w:r>
        <w:rPr>
          <w:rFonts w:hint="eastAsia" w:hAnsi="宋体" w:cs="宋体"/>
          <w:color w:val="000000" w:themeColor="text1"/>
          <w:sz w:val="24"/>
          <w:szCs w:val="24"/>
          <w:u w:val="single"/>
          <w14:textFill>
            <w14:solidFill>
              <w14:schemeClr w14:val="tx1"/>
            </w14:solidFill>
          </w14:textFill>
        </w:rPr>
        <w:t>　　      （用文字和数字表示）</w:t>
      </w:r>
      <w:r>
        <w:rPr>
          <w:rFonts w:hint="eastAsia" w:hAnsi="宋体" w:cs="宋体"/>
          <w:color w:val="000000" w:themeColor="text1"/>
          <w:sz w:val="24"/>
          <w:szCs w:val="24"/>
          <w14:textFill>
            <w14:solidFill>
              <w14:schemeClr w14:val="tx1"/>
            </w14:solidFill>
          </w14:textFill>
        </w:rPr>
        <w:t>。</w:t>
      </w:r>
    </w:p>
    <w:p w14:paraId="66460A65">
      <w:pPr>
        <w:pStyle w:val="16"/>
        <w:tabs>
          <w:tab w:val="left" w:pos="5580"/>
        </w:tabs>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（2）本磋商有效期为自磋商截止之日起</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个日历日。</w:t>
      </w:r>
    </w:p>
    <w:p w14:paraId="0A6900EA">
      <w:pPr>
        <w:pStyle w:val="16"/>
        <w:tabs>
          <w:tab w:val="left" w:pos="5580"/>
        </w:tabs>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（3）联合体中的大中型企业和其他自然人、法人或者非法人组织，与联合体中的小型、微型企业之间</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存在、不存在）投资关系（如果是联合体的话）。</w:t>
      </w:r>
    </w:p>
    <w:p w14:paraId="1924413A">
      <w:pPr>
        <w:pStyle w:val="16"/>
        <w:tabs>
          <w:tab w:val="left" w:pos="5580"/>
        </w:tabs>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（4）已详细审查全部磋商文件，包括所有补充通知（如果有的话），完全理解并同意放弃对这方面有不明、误解和质疑的权力。</w:t>
      </w:r>
    </w:p>
    <w:p w14:paraId="78B4C812">
      <w:pPr>
        <w:pStyle w:val="16"/>
        <w:tabs>
          <w:tab w:val="left" w:pos="5580"/>
        </w:tabs>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（5）在规定的磋商开启时间后，遵守磋商文件中有关保证金的规定。</w:t>
      </w:r>
    </w:p>
    <w:p w14:paraId="184D7202">
      <w:pPr>
        <w:pStyle w:val="16"/>
        <w:tabs>
          <w:tab w:val="left" w:pos="5580"/>
        </w:tabs>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（6）我方不是为本项目提供整体设计、规范编制或者项目管理、监理、检测等要求的</w:t>
      </w:r>
      <w:r>
        <w:rPr>
          <w:rFonts w:hint="eastAsia" w:hAnsi="宋体" w:cs="宋体"/>
          <w:color w:val="000000" w:themeColor="text1"/>
          <w:sz w:val="24"/>
          <w:szCs w:val="24"/>
          <w:lang w:eastAsia="zh-CN"/>
          <w14:textFill>
            <w14:solidFill>
              <w14:schemeClr w14:val="tx1"/>
            </w14:solidFill>
          </w14:textFill>
        </w:rPr>
        <w:t>投标人</w:t>
      </w:r>
      <w:r>
        <w:rPr>
          <w:rFonts w:hint="eastAsia" w:hAnsi="宋体" w:cs="宋体"/>
          <w:color w:val="000000" w:themeColor="text1"/>
          <w:sz w:val="24"/>
          <w:szCs w:val="24"/>
          <w14:textFill>
            <w14:solidFill>
              <w14:schemeClr w14:val="tx1"/>
            </w14:solidFill>
          </w14:textFill>
        </w:rPr>
        <w:t>，我方不是采购代理机构的附属机构。</w:t>
      </w:r>
    </w:p>
    <w:p w14:paraId="08B43D47">
      <w:pPr>
        <w:pStyle w:val="16"/>
        <w:tabs>
          <w:tab w:val="left" w:pos="5580"/>
        </w:tabs>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（7）在领取成交通知书的同时按磋商文件规定的形式，向贵方一次性支付成交服务费。</w:t>
      </w:r>
    </w:p>
    <w:p w14:paraId="5169B952">
      <w:pPr>
        <w:pStyle w:val="16"/>
        <w:tabs>
          <w:tab w:val="left" w:pos="5580"/>
        </w:tabs>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（8）按照贵方可能要求，提供与其磋商有关的一切数据或资料，完全理解贵方不一定接受最低价的磋商或收到的任何磋商。</w:t>
      </w:r>
    </w:p>
    <w:p w14:paraId="0D43C74B">
      <w:pPr>
        <w:pStyle w:val="16"/>
        <w:tabs>
          <w:tab w:val="left" w:pos="5580"/>
        </w:tabs>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（9）按照磋商文件的规定履行合同责任和义务。</w:t>
      </w:r>
    </w:p>
    <w:p w14:paraId="05E7433B">
      <w:pPr>
        <w:pStyle w:val="16"/>
        <w:tabs>
          <w:tab w:val="left" w:pos="5580"/>
        </w:tabs>
        <w:spacing w:line="240" w:lineRule="atLeast"/>
        <w:ind w:left="359" w:leftChars="68" w:hanging="216" w:hangingChars="9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与本磋商有关的一切正式往来信函请寄：</w:t>
      </w:r>
    </w:p>
    <w:p w14:paraId="3E8196B8">
      <w:pPr>
        <w:pStyle w:val="16"/>
        <w:tabs>
          <w:tab w:val="left" w:pos="5580"/>
        </w:tabs>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地址</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 xml:space="preserve">     传真</w:t>
      </w:r>
      <w:r>
        <w:rPr>
          <w:rFonts w:hint="eastAsia" w:hAnsi="宋体" w:cs="宋体"/>
          <w:color w:val="000000" w:themeColor="text1"/>
          <w:sz w:val="24"/>
          <w:szCs w:val="24"/>
          <w:u w:val="single"/>
          <w14:textFill>
            <w14:solidFill>
              <w14:schemeClr w14:val="tx1"/>
            </w14:solidFill>
          </w14:textFill>
        </w:rPr>
        <w:t xml:space="preserve">                             </w:t>
      </w:r>
    </w:p>
    <w:p w14:paraId="0AE2CEA5">
      <w:pPr>
        <w:pStyle w:val="16"/>
        <w:tabs>
          <w:tab w:val="left" w:pos="5580"/>
        </w:tabs>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电话</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 xml:space="preserve">     电子函件</w:t>
      </w:r>
      <w:r>
        <w:rPr>
          <w:rFonts w:hint="eastAsia" w:hAnsi="宋体" w:cs="宋体"/>
          <w:color w:val="000000" w:themeColor="text1"/>
          <w:sz w:val="24"/>
          <w:szCs w:val="24"/>
          <w:u w:val="single"/>
          <w14:textFill>
            <w14:solidFill>
              <w14:schemeClr w14:val="tx1"/>
            </w14:solidFill>
          </w14:textFill>
        </w:rPr>
        <w:t xml:space="preserve">                         </w:t>
      </w:r>
    </w:p>
    <w:p w14:paraId="0954679F">
      <w:pPr>
        <w:pStyle w:val="16"/>
        <w:tabs>
          <w:tab w:val="left" w:pos="5580"/>
        </w:tabs>
        <w:spacing w:line="240" w:lineRule="atLeast"/>
        <w:ind w:left="1080" w:leftChars="257" w:hanging="540"/>
        <w:rPr>
          <w:rFonts w:hint="eastAsia"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法定代表人或其委托代理人（签/章）</w:t>
      </w:r>
      <w:r>
        <w:rPr>
          <w:rFonts w:hint="eastAsia" w:hAnsi="宋体" w:cs="宋体"/>
          <w:color w:val="000000" w:themeColor="text1"/>
          <w:sz w:val="24"/>
          <w:szCs w:val="24"/>
          <w:u w:val="single"/>
          <w14:textFill>
            <w14:solidFill>
              <w14:schemeClr w14:val="tx1"/>
            </w14:solidFill>
          </w14:textFill>
        </w:rPr>
        <w:t xml:space="preserve">　　　　　　 </w:t>
      </w:r>
    </w:p>
    <w:p w14:paraId="2C1A7369">
      <w:pPr>
        <w:pStyle w:val="16"/>
        <w:tabs>
          <w:tab w:val="left" w:pos="5580"/>
        </w:tabs>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eastAsia="zh-CN"/>
          <w14:textFill>
            <w14:solidFill>
              <w14:schemeClr w14:val="tx1"/>
            </w14:solidFill>
          </w14:textFill>
        </w:rPr>
        <w:t>投标人</w:t>
      </w:r>
      <w:r>
        <w:rPr>
          <w:rFonts w:hint="eastAsia" w:hAnsi="宋体" w:cs="宋体"/>
          <w:color w:val="000000" w:themeColor="text1"/>
          <w:sz w:val="24"/>
          <w:szCs w:val="24"/>
          <w14:textFill>
            <w14:solidFill>
              <w14:schemeClr w14:val="tx1"/>
            </w14:solidFill>
          </w14:textFill>
        </w:rPr>
        <w:t>名称（全称）</w:t>
      </w:r>
      <w:r>
        <w:rPr>
          <w:rFonts w:hint="eastAsia" w:hAnsi="宋体" w:cs="宋体"/>
          <w:color w:val="000000" w:themeColor="text1"/>
          <w:sz w:val="24"/>
          <w:szCs w:val="24"/>
          <w:u w:val="single"/>
          <w14:textFill>
            <w14:solidFill>
              <w14:schemeClr w14:val="tx1"/>
            </w14:solidFill>
          </w14:textFill>
        </w:rPr>
        <w:t xml:space="preserve">　　　　　　 </w:t>
      </w:r>
    </w:p>
    <w:p w14:paraId="67D950DB">
      <w:pPr>
        <w:pStyle w:val="16"/>
        <w:tabs>
          <w:tab w:val="left" w:pos="5580"/>
        </w:tabs>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eastAsia="zh-CN"/>
          <w14:textFill>
            <w14:solidFill>
              <w14:schemeClr w14:val="tx1"/>
            </w14:solidFill>
          </w14:textFill>
        </w:rPr>
        <w:t>投标人</w:t>
      </w:r>
      <w:r>
        <w:rPr>
          <w:rFonts w:hint="eastAsia" w:hAnsi="宋体" w:cs="宋体"/>
          <w:color w:val="000000" w:themeColor="text1"/>
          <w:sz w:val="24"/>
          <w:szCs w:val="24"/>
          <w14:textFill>
            <w14:solidFill>
              <w14:schemeClr w14:val="tx1"/>
            </w14:solidFill>
          </w14:textFill>
        </w:rPr>
        <w:t>开户银行（全称）</w:t>
      </w:r>
      <w:r>
        <w:rPr>
          <w:rFonts w:hint="eastAsia" w:hAnsi="宋体" w:cs="宋体"/>
          <w:color w:val="000000" w:themeColor="text1"/>
          <w:sz w:val="24"/>
          <w:szCs w:val="24"/>
          <w:u w:val="single"/>
          <w14:textFill>
            <w14:solidFill>
              <w14:schemeClr w14:val="tx1"/>
            </w14:solidFill>
          </w14:textFill>
        </w:rPr>
        <w:t xml:space="preserve">　　　　　　 </w:t>
      </w:r>
    </w:p>
    <w:p w14:paraId="73E583EB">
      <w:pPr>
        <w:pStyle w:val="16"/>
        <w:tabs>
          <w:tab w:val="left" w:pos="5580"/>
        </w:tabs>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eastAsia="zh-CN"/>
          <w14:textFill>
            <w14:solidFill>
              <w14:schemeClr w14:val="tx1"/>
            </w14:solidFill>
          </w14:textFill>
        </w:rPr>
        <w:t>投标人</w:t>
      </w:r>
      <w:r>
        <w:rPr>
          <w:rFonts w:hint="eastAsia" w:hAnsi="宋体" w:cs="宋体"/>
          <w:color w:val="000000" w:themeColor="text1"/>
          <w:sz w:val="24"/>
          <w:szCs w:val="24"/>
          <w14:textFill>
            <w14:solidFill>
              <w14:schemeClr w14:val="tx1"/>
            </w14:solidFill>
          </w14:textFill>
        </w:rPr>
        <w:t>银行帐号</w:t>
      </w:r>
      <w:r>
        <w:rPr>
          <w:rFonts w:hint="eastAsia" w:hAnsi="宋体" w:cs="宋体"/>
          <w:color w:val="000000" w:themeColor="text1"/>
          <w:sz w:val="24"/>
          <w:szCs w:val="24"/>
          <w:u w:val="single"/>
          <w14:textFill>
            <w14:solidFill>
              <w14:schemeClr w14:val="tx1"/>
            </w14:solidFill>
          </w14:textFill>
        </w:rPr>
        <w:t>　　　　　　　　 　　</w:t>
      </w:r>
    </w:p>
    <w:p w14:paraId="4D066854">
      <w:pPr>
        <w:pStyle w:val="16"/>
        <w:tabs>
          <w:tab w:val="left" w:pos="5580"/>
        </w:tabs>
        <w:spacing w:line="240" w:lineRule="atLeast"/>
        <w:ind w:left="1080" w:leftChars="257" w:hanging="540"/>
        <w:rPr>
          <w:rFonts w:hint="eastAsia"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lang w:eastAsia="zh-CN"/>
          <w14:textFill>
            <w14:solidFill>
              <w14:schemeClr w14:val="tx1"/>
            </w14:solidFill>
          </w14:textFill>
        </w:rPr>
        <w:t>投标人</w:t>
      </w:r>
      <w:r>
        <w:rPr>
          <w:rFonts w:hint="eastAsia" w:hAnsi="宋体" w:cs="宋体"/>
          <w:color w:val="000000" w:themeColor="text1"/>
          <w:sz w:val="24"/>
          <w:szCs w:val="24"/>
          <w14:textFill>
            <w14:solidFill>
              <w14:schemeClr w14:val="tx1"/>
            </w14:solidFill>
          </w14:textFill>
        </w:rPr>
        <w:t>（公章）</w:t>
      </w:r>
      <w:r>
        <w:rPr>
          <w:rFonts w:hint="eastAsia" w:hAnsi="宋体" w:cs="宋体"/>
          <w:color w:val="000000" w:themeColor="text1"/>
          <w:sz w:val="24"/>
          <w:szCs w:val="24"/>
          <w:u w:val="single"/>
          <w14:textFill>
            <w14:solidFill>
              <w14:schemeClr w14:val="tx1"/>
            </w14:solidFill>
          </w14:textFill>
        </w:rPr>
        <w:t xml:space="preserve">　　　　　　       </w:t>
      </w:r>
    </w:p>
    <w:p w14:paraId="16AB521D">
      <w:pPr>
        <w:pStyle w:val="16"/>
        <w:tabs>
          <w:tab w:val="left" w:pos="5580"/>
        </w:tabs>
        <w:spacing w:line="240" w:lineRule="atLeast"/>
        <w:ind w:left="1080" w:leftChars="257" w:hanging="540"/>
        <w:rPr>
          <w:rFonts w:hint="eastAsia"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日期</w:t>
      </w:r>
      <w:r>
        <w:rPr>
          <w:rFonts w:hint="eastAsia" w:hAnsi="宋体" w:cs="宋体"/>
          <w:color w:val="000000" w:themeColor="text1"/>
          <w:sz w:val="24"/>
          <w:szCs w:val="24"/>
          <w:u w:val="single"/>
          <w14:textFill>
            <w14:solidFill>
              <w14:schemeClr w14:val="tx1"/>
            </w14:solidFill>
          </w14:textFill>
        </w:rPr>
        <w:t>　　　　　　</w:t>
      </w:r>
      <w:bookmarkStart w:id="317" w:name="_Toc12874"/>
      <w:bookmarkStart w:id="318" w:name="_Toc18221"/>
      <w:bookmarkStart w:id="319" w:name="_Toc29155"/>
      <w:bookmarkStart w:id="320" w:name="_Toc20897"/>
      <w:bookmarkStart w:id="321" w:name="_Toc216582815"/>
      <w:bookmarkStart w:id="322" w:name="_Toc16705"/>
      <w:bookmarkStart w:id="323" w:name="_Toc23321"/>
      <w:bookmarkStart w:id="324" w:name="_Toc22674"/>
      <w:bookmarkStart w:id="325" w:name="_Toc1881"/>
      <w:bookmarkStart w:id="326" w:name="_Toc9110"/>
      <w:bookmarkStart w:id="327" w:name="_Toc23248"/>
      <w:bookmarkStart w:id="328" w:name="_Toc515647818"/>
    </w:p>
    <w:p w14:paraId="7B849F9E">
      <w:pPr>
        <w:pStyle w:val="16"/>
        <w:tabs>
          <w:tab w:val="left" w:pos="5580"/>
        </w:tabs>
        <w:spacing w:line="240" w:lineRule="atLeast"/>
        <w:ind w:left="1080" w:leftChars="257" w:hanging="540"/>
        <w:rPr>
          <w:rFonts w:hint="eastAsia" w:hAnsi="宋体" w:cs="宋体"/>
          <w:color w:val="000000" w:themeColor="text1"/>
          <w:sz w:val="24"/>
          <w:szCs w:val="24"/>
          <w:u w:val="single"/>
          <w14:textFill>
            <w14:solidFill>
              <w14:schemeClr w14:val="tx1"/>
            </w14:solidFill>
          </w14:textFill>
        </w:rPr>
      </w:pPr>
    </w:p>
    <w:p w14:paraId="0B14135C">
      <w:pPr>
        <w:pStyle w:val="16"/>
        <w:tabs>
          <w:tab w:val="left" w:pos="5580"/>
        </w:tabs>
        <w:spacing w:line="240" w:lineRule="atLeast"/>
        <w:ind w:left="1080" w:leftChars="257" w:hanging="540"/>
        <w:rPr>
          <w:rFonts w:hint="eastAsia" w:hAnsi="宋体" w:cs="宋体"/>
          <w:color w:val="000000" w:themeColor="text1"/>
          <w:sz w:val="24"/>
          <w:szCs w:val="24"/>
          <w:u w:val="single"/>
          <w14:textFill>
            <w14:solidFill>
              <w14:schemeClr w14:val="tx1"/>
            </w14:solidFill>
          </w14:textFill>
        </w:rPr>
      </w:pPr>
    </w:p>
    <w:p w14:paraId="6F33D2CD">
      <w:pPr>
        <w:pStyle w:val="16"/>
        <w:tabs>
          <w:tab w:val="left" w:pos="5580"/>
        </w:tabs>
        <w:spacing w:line="240" w:lineRule="atLeast"/>
        <w:ind w:left="1080" w:leftChars="257" w:hanging="540"/>
        <w:rPr>
          <w:rFonts w:hint="eastAsia" w:hAnsi="宋体" w:cs="宋体"/>
          <w:color w:val="000000" w:themeColor="text1"/>
          <w:sz w:val="24"/>
          <w:szCs w:val="24"/>
          <w:u w:val="single"/>
          <w14:textFill>
            <w14:solidFill>
              <w14:schemeClr w14:val="tx1"/>
            </w14:solidFill>
          </w14:textFill>
        </w:rPr>
      </w:pPr>
    </w:p>
    <w:p w14:paraId="6378919B">
      <w:pPr>
        <w:pStyle w:val="16"/>
        <w:tabs>
          <w:tab w:val="left" w:pos="5580"/>
        </w:tabs>
        <w:spacing w:line="240" w:lineRule="atLeast"/>
        <w:ind w:left="1080" w:leftChars="257" w:hanging="540"/>
        <w:rPr>
          <w:rFonts w:hint="eastAsia" w:hAnsi="宋体" w:cs="宋体"/>
          <w:color w:val="000000" w:themeColor="text1"/>
          <w:sz w:val="24"/>
          <w:szCs w:val="24"/>
          <w:u w:val="single"/>
          <w14:textFill>
            <w14:solidFill>
              <w14:schemeClr w14:val="tx1"/>
            </w14:solidFill>
          </w14:textFill>
        </w:rPr>
      </w:pPr>
    </w:p>
    <w:p w14:paraId="77A0B779">
      <w:pPr>
        <w:pStyle w:val="16"/>
        <w:tabs>
          <w:tab w:val="left" w:pos="5580"/>
        </w:tabs>
        <w:spacing w:line="240" w:lineRule="atLeast"/>
        <w:ind w:left="1080" w:leftChars="257" w:hanging="540"/>
        <w:rPr>
          <w:rFonts w:hint="eastAsia" w:hAnsi="宋体" w:cs="宋体"/>
          <w:color w:val="000000" w:themeColor="text1"/>
          <w:sz w:val="24"/>
          <w:szCs w:val="24"/>
          <w:u w:val="single"/>
          <w14:textFill>
            <w14:solidFill>
              <w14:schemeClr w14:val="tx1"/>
            </w14:solidFill>
          </w14:textFill>
        </w:rPr>
      </w:pPr>
    </w:p>
    <w:p w14:paraId="677CDCEB">
      <w:pPr>
        <w:pStyle w:val="16"/>
        <w:tabs>
          <w:tab w:val="left" w:pos="5580"/>
        </w:tabs>
        <w:spacing w:line="240" w:lineRule="atLeast"/>
        <w:ind w:left="1080" w:leftChars="257" w:hanging="540"/>
        <w:rPr>
          <w:rFonts w:hint="eastAsia" w:hAnsi="宋体" w:cs="宋体"/>
          <w:color w:val="000000" w:themeColor="text1"/>
          <w:sz w:val="24"/>
          <w:szCs w:val="24"/>
          <w:u w:val="single"/>
          <w14:textFill>
            <w14:solidFill>
              <w14:schemeClr w14:val="tx1"/>
            </w14:solidFill>
          </w14:textFill>
        </w:rPr>
      </w:pPr>
    </w:p>
    <w:p w14:paraId="3877873D">
      <w:pPr>
        <w:pStyle w:val="16"/>
        <w:tabs>
          <w:tab w:val="left" w:pos="5580"/>
        </w:tabs>
        <w:spacing w:line="240" w:lineRule="atLeast"/>
        <w:ind w:left="1080" w:leftChars="257" w:hanging="540"/>
        <w:rPr>
          <w:rFonts w:hint="eastAsia" w:hAnsi="宋体" w:cs="宋体"/>
          <w:color w:val="000000" w:themeColor="text1"/>
          <w:sz w:val="24"/>
          <w:szCs w:val="24"/>
          <w:u w:val="single"/>
          <w14:textFill>
            <w14:solidFill>
              <w14:schemeClr w14:val="tx1"/>
            </w14:solidFill>
          </w14:textFill>
        </w:rPr>
      </w:pPr>
    </w:p>
    <w:p w14:paraId="6BFFA15E">
      <w:pPr>
        <w:pStyle w:val="16"/>
        <w:tabs>
          <w:tab w:val="left" w:pos="5580"/>
        </w:tabs>
        <w:spacing w:line="240" w:lineRule="atLeast"/>
        <w:ind w:left="1080" w:leftChars="257" w:hanging="540"/>
        <w:rPr>
          <w:rFonts w:hint="eastAsia" w:hAnsi="宋体" w:cs="宋体"/>
          <w:color w:val="000000" w:themeColor="text1"/>
          <w:sz w:val="24"/>
          <w:szCs w:val="24"/>
          <w:u w:val="single"/>
          <w14:textFill>
            <w14:solidFill>
              <w14:schemeClr w14:val="tx1"/>
            </w14:solidFill>
          </w14:textFill>
        </w:rPr>
      </w:pPr>
    </w:p>
    <w:p w14:paraId="17364E4A">
      <w:pPr>
        <w:pStyle w:val="17"/>
        <w:ind w:left="2520"/>
        <w:rPr>
          <w:rFonts w:hint="eastAsia" w:ascii="宋体" w:hAnsi="宋体" w:cs="宋体"/>
          <w:color w:val="000000" w:themeColor="text1"/>
          <w:sz w:val="24"/>
          <w:u w:val="single"/>
          <w14:textFill>
            <w14:solidFill>
              <w14:schemeClr w14:val="tx1"/>
            </w14:solidFill>
          </w14:textFill>
        </w:rPr>
      </w:pPr>
    </w:p>
    <w:p w14:paraId="3CB2C7C2">
      <w:pPr>
        <w:rPr>
          <w:rFonts w:hint="eastAsia"/>
          <w:color w:val="000000" w:themeColor="text1"/>
          <w14:textFill>
            <w14:solidFill>
              <w14:schemeClr w14:val="tx1"/>
            </w14:solidFill>
          </w14:textFill>
        </w:rPr>
      </w:pPr>
    </w:p>
    <w:p w14:paraId="7F37E30F">
      <w:pPr>
        <w:pStyle w:val="16"/>
        <w:tabs>
          <w:tab w:val="left" w:pos="5580"/>
        </w:tabs>
        <w:spacing w:line="240" w:lineRule="atLeast"/>
        <w:ind w:left="1080" w:leftChars="257" w:hanging="540"/>
        <w:rPr>
          <w:rFonts w:hint="eastAsia" w:hAnsi="宋体" w:cs="宋体"/>
          <w:color w:val="000000" w:themeColor="text1"/>
          <w:sz w:val="24"/>
          <w:szCs w:val="24"/>
          <w:u w:val="single"/>
          <w14:textFill>
            <w14:solidFill>
              <w14:schemeClr w14:val="tx1"/>
            </w14:solidFill>
          </w14:textFill>
        </w:rPr>
      </w:pPr>
    </w:p>
    <w:p w14:paraId="16EC0D3E">
      <w:pPr>
        <w:pStyle w:val="16"/>
        <w:tabs>
          <w:tab w:val="left" w:pos="5580"/>
        </w:tabs>
        <w:spacing w:line="240" w:lineRule="atLeast"/>
        <w:ind w:left="1080" w:leftChars="257" w:hanging="540"/>
        <w:rPr>
          <w:rFonts w:hint="eastAsia" w:hAnsi="宋体" w:cs="宋体"/>
          <w:color w:val="000000" w:themeColor="text1"/>
          <w:sz w:val="24"/>
          <w:szCs w:val="24"/>
          <w:u w:val="single"/>
          <w14:textFill>
            <w14:solidFill>
              <w14:schemeClr w14:val="tx1"/>
            </w14:solidFill>
          </w14:textFill>
        </w:rPr>
      </w:pPr>
    </w:p>
    <w:p w14:paraId="6E0652DD">
      <w:pPr>
        <w:pStyle w:val="16"/>
        <w:tabs>
          <w:tab w:val="left" w:pos="5580"/>
        </w:tabs>
        <w:spacing w:line="240" w:lineRule="atLeast"/>
        <w:rPr>
          <w:rFonts w:hint="eastAsia" w:hAnsi="宋体" w:cs="宋体"/>
          <w:color w:val="000000" w:themeColor="text1"/>
          <w:sz w:val="24"/>
          <w:szCs w:val="24"/>
          <w:u w:val="single"/>
          <w14:textFill>
            <w14:solidFill>
              <w14:schemeClr w14:val="tx1"/>
            </w14:solidFill>
          </w14:textFill>
        </w:rPr>
      </w:pPr>
    </w:p>
    <w:p w14:paraId="6F42D371">
      <w:pPr>
        <w:pStyle w:val="16"/>
        <w:tabs>
          <w:tab w:val="left" w:pos="5580"/>
        </w:tabs>
        <w:spacing w:line="240" w:lineRule="atLeast"/>
        <w:jc w:val="center"/>
        <w:rPr>
          <w:rFonts w:hint="eastAsia" w:hAnsi="宋体" w:cs="宋体"/>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2、磋商分项报价表</w:t>
      </w:r>
      <w:bookmarkEnd w:id="317"/>
      <w:bookmarkEnd w:id="318"/>
      <w:bookmarkEnd w:id="319"/>
      <w:bookmarkEnd w:id="320"/>
      <w:bookmarkEnd w:id="321"/>
      <w:bookmarkEnd w:id="322"/>
      <w:bookmarkEnd w:id="323"/>
      <w:bookmarkEnd w:id="324"/>
      <w:bookmarkEnd w:id="325"/>
      <w:bookmarkEnd w:id="326"/>
      <w:bookmarkEnd w:id="327"/>
      <w:bookmarkEnd w:id="328"/>
    </w:p>
    <w:p w14:paraId="10659B16">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771450F5">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7C450CE0">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项目名称:                              </w:t>
      </w:r>
    </w:p>
    <w:p w14:paraId="66F05E16">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招标编号:                    　</w:t>
      </w:r>
    </w:p>
    <w:p w14:paraId="7F3570CA">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报价单位：人民币元</w:t>
      </w:r>
    </w:p>
    <w:tbl>
      <w:tblPr>
        <w:tblStyle w:val="37"/>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203"/>
        <w:gridCol w:w="3248"/>
        <w:gridCol w:w="675"/>
        <w:gridCol w:w="660"/>
        <w:gridCol w:w="933"/>
        <w:gridCol w:w="759"/>
        <w:gridCol w:w="721"/>
      </w:tblGrid>
      <w:tr w14:paraId="450E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679" w:type="dxa"/>
            <w:noWrap w:val="0"/>
            <w:vAlign w:val="center"/>
          </w:tcPr>
          <w:p w14:paraId="1521C693">
            <w:pPr>
              <w:pStyle w:val="16"/>
              <w:spacing w:line="240" w:lineRule="atLeast"/>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序号</w:t>
            </w:r>
          </w:p>
        </w:tc>
        <w:tc>
          <w:tcPr>
            <w:tcW w:w="1203" w:type="dxa"/>
            <w:noWrap w:val="0"/>
            <w:vAlign w:val="center"/>
          </w:tcPr>
          <w:p w14:paraId="391A26F4">
            <w:pPr>
              <w:pStyle w:val="16"/>
              <w:spacing w:line="240" w:lineRule="atLeast"/>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名称</w:t>
            </w:r>
          </w:p>
        </w:tc>
        <w:tc>
          <w:tcPr>
            <w:tcW w:w="3248" w:type="dxa"/>
            <w:noWrap w:val="0"/>
            <w:vAlign w:val="center"/>
          </w:tcPr>
          <w:p w14:paraId="16188028">
            <w:pPr>
              <w:pStyle w:val="16"/>
              <w:spacing w:line="240" w:lineRule="atLeast"/>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服务内容</w:t>
            </w:r>
          </w:p>
        </w:tc>
        <w:tc>
          <w:tcPr>
            <w:tcW w:w="675" w:type="dxa"/>
            <w:noWrap w:val="0"/>
            <w:vAlign w:val="center"/>
          </w:tcPr>
          <w:p w14:paraId="651D6397">
            <w:pPr>
              <w:pStyle w:val="16"/>
              <w:spacing w:line="240" w:lineRule="atLeast"/>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数量</w:t>
            </w:r>
          </w:p>
        </w:tc>
        <w:tc>
          <w:tcPr>
            <w:tcW w:w="660" w:type="dxa"/>
            <w:noWrap w:val="0"/>
            <w:vAlign w:val="center"/>
          </w:tcPr>
          <w:p w14:paraId="0F8FE114">
            <w:pPr>
              <w:pStyle w:val="16"/>
              <w:spacing w:line="240" w:lineRule="atLeast"/>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单位</w:t>
            </w:r>
          </w:p>
        </w:tc>
        <w:tc>
          <w:tcPr>
            <w:tcW w:w="933" w:type="dxa"/>
            <w:noWrap w:val="0"/>
            <w:vAlign w:val="center"/>
          </w:tcPr>
          <w:p w14:paraId="27FB0C64">
            <w:pPr>
              <w:pStyle w:val="16"/>
              <w:spacing w:line="240" w:lineRule="atLeast"/>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单价</w:t>
            </w:r>
          </w:p>
        </w:tc>
        <w:tc>
          <w:tcPr>
            <w:tcW w:w="759" w:type="dxa"/>
            <w:noWrap w:val="0"/>
            <w:vAlign w:val="center"/>
          </w:tcPr>
          <w:p w14:paraId="5F7E9CF3">
            <w:pPr>
              <w:pStyle w:val="16"/>
              <w:spacing w:line="240" w:lineRule="atLeast"/>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总价</w:t>
            </w:r>
          </w:p>
        </w:tc>
        <w:tc>
          <w:tcPr>
            <w:tcW w:w="721" w:type="dxa"/>
            <w:noWrap w:val="0"/>
            <w:vAlign w:val="center"/>
          </w:tcPr>
          <w:p w14:paraId="76826CF8">
            <w:pPr>
              <w:pStyle w:val="16"/>
              <w:spacing w:line="240" w:lineRule="atLeast"/>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备注</w:t>
            </w:r>
          </w:p>
        </w:tc>
      </w:tr>
      <w:tr w14:paraId="7FF2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79" w:type="dxa"/>
            <w:noWrap w:val="0"/>
            <w:vAlign w:val="center"/>
          </w:tcPr>
          <w:p w14:paraId="0A56C739">
            <w:pPr>
              <w:pStyle w:val="16"/>
              <w:spacing w:line="240" w:lineRule="atLeast"/>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w:t>
            </w:r>
          </w:p>
        </w:tc>
        <w:tc>
          <w:tcPr>
            <w:tcW w:w="1203" w:type="dxa"/>
            <w:noWrap w:val="0"/>
            <w:vAlign w:val="center"/>
          </w:tcPr>
          <w:p w14:paraId="0488839D">
            <w:pPr>
              <w:pStyle w:val="16"/>
              <w:spacing w:line="240" w:lineRule="atLeast"/>
              <w:jc w:val="left"/>
              <w:rPr>
                <w:rFonts w:hint="eastAsia" w:hAnsi="宋体" w:cs="宋体"/>
                <w:color w:val="000000" w:themeColor="text1"/>
                <w:sz w:val="24"/>
                <w:szCs w:val="24"/>
                <w14:textFill>
                  <w14:solidFill>
                    <w14:schemeClr w14:val="tx1"/>
                  </w14:solidFill>
                </w14:textFill>
              </w:rPr>
            </w:pPr>
          </w:p>
        </w:tc>
        <w:tc>
          <w:tcPr>
            <w:tcW w:w="3248" w:type="dxa"/>
            <w:noWrap w:val="0"/>
            <w:vAlign w:val="center"/>
          </w:tcPr>
          <w:p w14:paraId="6B02BD92">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675" w:type="dxa"/>
            <w:noWrap w:val="0"/>
            <w:vAlign w:val="center"/>
          </w:tcPr>
          <w:p w14:paraId="65A9DBCA">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660" w:type="dxa"/>
            <w:noWrap w:val="0"/>
            <w:vAlign w:val="center"/>
          </w:tcPr>
          <w:p w14:paraId="56CD798C">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933" w:type="dxa"/>
            <w:noWrap w:val="0"/>
            <w:vAlign w:val="center"/>
          </w:tcPr>
          <w:p w14:paraId="1D977E9B">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759" w:type="dxa"/>
            <w:noWrap w:val="0"/>
            <w:vAlign w:val="center"/>
          </w:tcPr>
          <w:p w14:paraId="67DBBF13">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721" w:type="dxa"/>
            <w:noWrap w:val="0"/>
            <w:vAlign w:val="center"/>
          </w:tcPr>
          <w:p w14:paraId="52553777">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r>
      <w:tr w14:paraId="5EB2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9" w:type="dxa"/>
            <w:noWrap w:val="0"/>
            <w:vAlign w:val="center"/>
          </w:tcPr>
          <w:p w14:paraId="530A0AF3">
            <w:pPr>
              <w:pStyle w:val="16"/>
              <w:spacing w:line="240" w:lineRule="atLeast"/>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w:t>
            </w:r>
          </w:p>
        </w:tc>
        <w:tc>
          <w:tcPr>
            <w:tcW w:w="1203" w:type="dxa"/>
            <w:noWrap w:val="0"/>
            <w:vAlign w:val="center"/>
          </w:tcPr>
          <w:p w14:paraId="12EABEC2">
            <w:pPr>
              <w:pStyle w:val="16"/>
              <w:spacing w:line="240" w:lineRule="atLeast"/>
              <w:jc w:val="left"/>
              <w:rPr>
                <w:rFonts w:hint="eastAsia" w:hAnsi="宋体" w:cs="宋体"/>
                <w:color w:val="000000" w:themeColor="text1"/>
                <w:sz w:val="24"/>
                <w:szCs w:val="24"/>
                <w14:textFill>
                  <w14:solidFill>
                    <w14:schemeClr w14:val="tx1"/>
                  </w14:solidFill>
                </w14:textFill>
              </w:rPr>
            </w:pPr>
          </w:p>
        </w:tc>
        <w:tc>
          <w:tcPr>
            <w:tcW w:w="3248" w:type="dxa"/>
            <w:noWrap w:val="0"/>
            <w:vAlign w:val="center"/>
          </w:tcPr>
          <w:p w14:paraId="669BA576">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675" w:type="dxa"/>
            <w:noWrap w:val="0"/>
            <w:vAlign w:val="center"/>
          </w:tcPr>
          <w:p w14:paraId="36AEEC34">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660" w:type="dxa"/>
            <w:noWrap w:val="0"/>
            <w:vAlign w:val="center"/>
          </w:tcPr>
          <w:p w14:paraId="196572CD">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933" w:type="dxa"/>
            <w:noWrap w:val="0"/>
            <w:vAlign w:val="center"/>
          </w:tcPr>
          <w:p w14:paraId="060DA146">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759" w:type="dxa"/>
            <w:noWrap w:val="0"/>
            <w:vAlign w:val="center"/>
          </w:tcPr>
          <w:p w14:paraId="304B8503">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721" w:type="dxa"/>
            <w:noWrap w:val="0"/>
            <w:vAlign w:val="center"/>
          </w:tcPr>
          <w:p w14:paraId="3E98AE1C">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r>
      <w:tr w14:paraId="318C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79" w:type="dxa"/>
            <w:noWrap w:val="0"/>
            <w:vAlign w:val="center"/>
          </w:tcPr>
          <w:p w14:paraId="1F04065E">
            <w:pPr>
              <w:pStyle w:val="16"/>
              <w:spacing w:line="240" w:lineRule="atLeast"/>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w:t>
            </w:r>
          </w:p>
        </w:tc>
        <w:tc>
          <w:tcPr>
            <w:tcW w:w="1203" w:type="dxa"/>
            <w:noWrap w:val="0"/>
            <w:vAlign w:val="center"/>
          </w:tcPr>
          <w:p w14:paraId="7AE0812A">
            <w:pPr>
              <w:pStyle w:val="16"/>
              <w:spacing w:line="240" w:lineRule="atLeast"/>
              <w:jc w:val="left"/>
              <w:rPr>
                <w:rFonts w:hint="eastAsia" w:hAnsi="宋体" w:cs="宋体"/>
                <w:color w:val="000000" w:themeColor="text1"/>
                <w:sz w:val="24"/>
                <w:szCs w:val="24"/>
                <w14:textFill>
                  <w14:solidFill>
                    <w14:schemeClr w14:val="tx1"/>
                  </w14:solidFill>
                </w14:textFill>
              </w:rPr>
            </w:pPr>
          </w:p>
        </w:tc>
        <w:tc>
          <w:tcPr>
            <w:tcW w:w="3248" w:type="dxa"/>
            <w:noWrap w:val="0"/>
            <w:vAlign w:val="center"/>
          </w:tcPr>
          <w:p w14:paraId="7F84A59B">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675" w:type="dxa"/>
            <w:noWrap w:val="0"/>
            <w:vAlign w:val="center"/>
          </w:tcPr>
          <w:p w14:paraId="3691C298">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660" w:type="dxa"/>
            <w:noWrap w:val="0"/>
            <w:vAlign w:val="center"/>
          </w:tcPr>
          <w:p w14:paraId="3E8B18CF">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933" w:type="dxa"/>
            <w:noWrap w:val="0"/>
            <w:vAlign w:val="center"/>
          </w:tcPr>
          <w:p w14:paraId="03AFEB35">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759" w:type="dxa"/>
            <w:noWrap w:val="0"/>
            <w:vAlign w:val="center"/>
          </w:tcPr>
          <w:p w14:paraId="081AE832">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721" w:type="dxa"/>
            <w:noWrap w:val="0"/>
            <w:vAlign w:val="center"/>
          </w:tcPr>
          <w:p w14:paraId="5379AF96">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r>
      <w:tr w14:paraId="40DA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9" w:type="dxa"/>
            <w:noWrap w:val="0"/>
            <w:vAlign w:val="center"/>
          </w:tcPr>
          <w:p w14:paraId="269BD31C">
            <w:pPr>
              <w:pStyle w:val="16"/>
              <w:spacing w:line="240" w:lineRule="atLeast"/>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w:t>
            </w:r>
          </w:p>
        </w:tc>
        <w:tc>
          <w:tcPr>
            <w:tcW w:w="1203" w:type="dxa"/>
            <w:noWrap w:val="0"/>
            <w:vAlign w:val="center"/>
          </w:tcPr>
          <w:p w14:paraId="48AACA4A">
            <w:pPr>
              <w:pStyle w:val="16"/>
              <w:spacing w:line="240" w:lineRule="atLeast"/>
              <w:jc w:val="left"/>
              <w:rPr>
                <w:rFonts w:hint="eastAsia" w:hAnsi="宋体" w:cs="宋体"/>
                <w:color w:val="000000" w:themeColor="text1"/>
                <w:sz w:val="24"/>
                <w:szCs w:val="24"/>
                <w14:textFill>
                  <w14:solidFill>
                    <w14:schemeClr w14:val="tx1"/>
                  </w14:solidFill>
                </w14:textFill>
              </w:rPr>
            </w:pPr>
          </w:p>
        </w:tc>
        <w:tc>
          <w:tcPr>
            <w:tcW w:w="3248" w:type="dxa"/>
            <w:noWrap w:val="0"/>
            <w:vAlign w:val="center"/>
          </w:tcPr>
          <w:p w14:paraId="5C3146F0">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675" w:type="dxa"/>
            <w:noWrap w:val="0"/>
            <w:vAlign w:val="center"/>
          </w:tcPr>
          <w:p w14:paraId="5AD8ECD9">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660" w:type="dxa"/>
            <w:noWrap w:val="0"/>
            <w:vAlign w:val="center"/>
          </w:tcPr>
          <w:p w14:paraId="586E42CE">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933" w:type="dxa"/>
            <w:noWrap w:val="0"/>
            <w:vAlign w:val="center"/>
          </w:tcPr>
          <w:p w14:paraId="688A53F5">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759" w:type="dxa"/>
            <w:noWrap w:val="0"/>
            <w:vAlign w:val="center"/>
          </w:tcPr>
          <w:p w14:paraId="1CD8D923">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721" w:type="dxa"/>
            <w:noWrap w:val="0"/>
            <w:vAlign w:val="center"/>
          </w:tcPr>
          <w:p w14:paraId="1E628870">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r>
      <w:tr w14:paraId="2E02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79" w:type="dxa"/>
            <w:noWrap w:val="0"/>
            <w:vAlign w:val="center"/>
          </w:tcPr>
          <w:p w14:paraId="0EFD38CA">
            <w:pPr>
              <w:pStyle w:val="16"/>
              <w:spacing w:line="240" w:lineRule="atLeast"/>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w:t>
            </w:r>
          </w:p>
        </w:tc>
        <w:tc>
          <w:tcPr>
            <w:tcW w:w="1203" w:type="dxa"/>
            <w:noWrap w:val="0"/>
            <w:vAlign w:val="center"/>
          </w:tcPr>
          <w:p w14:paraId="0B675D54">
            <w:pPr>
              <w:pStyle w:val="16"/>
              <w:spacing w:line="240" w:lineRule="atLeast"/>
              <w:jc w:val="left"/>
              <w:rPr>
                <w:rFonts w:hint="eastAsia" w:hAnsi="宋体" w:cs="宋体"/>
                <w:color w:val="000000" w:themeColor="text1"/>
                <w:sz w:val="24"/>
                <w:szCs w:val="24"/>
                <w14:textFill>
                  <w14:solidFill>
                    <w14:schemeClr w14:val="tx1"/>
                  </w14:solidFill>
                </w14:textFill>
              </w:rPr>
            </w:pPr>
          </w:p>
        </w:tc>
        <w:tc>
          <w:tcPr>
            <w:tcW w:w="3248" w:type="dxa"/>
            <w:noWrap w:val="0"/>
            <w:vAlign w:val="center"/>
          </w:tcPr>
          <w:p w14:paraId="1620D313">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675" w:type="dxa"/>
            <w:noWrap w:val="0"/>
            <w:vAlign w:val="center"/>
          </w:tcPr>
          <w:p w14:paraId="2BE57088">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660" w:type="dxa"/>
            <w:noWrap w:val="0"/>
            <w:vAlign w:val="center"/>
          </w:tcPr>
          <w:p w14:paraId="7DD5943C">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933" w:type="dxa"/>
            <w:noWrap w:val="0"/>
            <w:vAlign w:val="center"/>
          </w:tcPr>
          <w:p w14:paraId="138483F7">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759" w:type="dxa"/>
            <w:noWrap w:val="0"/>
            <w:vAlign w:val="center"/>
          </w:tcPr>
          <w:p w14:paraId="7F884A54">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c>
          <w:tcPr>
            <w:tcW w:w="721" w:type="dxa"/>
            <w:noWrap w:val="0"/>
            <w:vAlign w:val="center"/>
          </w:tcPr>
          <w:p w14:paraId="1265DBCD">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r>
      <w:tr w14:paraId="4288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8157" w:type="dxa"/>
            <w:gridSpan w:val="7"/>
            <w:noWrap w:val="0"/>
            <w:vAlign w:val="center"/>
          </w:tcPr>
          <w:p w14:paraId="3C5E5AE6">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总价：</w:t>
            </w:r>
          </w:p>
        </w:tc>
        <w:tc>
          <w:tcPr>
            <w:tcW w:w="721" w:type="dxa"/>
            <w:noWrap w:val="0"/>
            <w:vAlign w:val="center"/>
          </w:tcPr>
          <w:p w14:paraId="4892307A">
            <w:pPr>
              <w:pStyle w:val="16"/>
              <w:spacing w:line="240" w:lineRule="atLeast"/>
              <w:ind w:left="1080" w:leftChars="257" w:hanging="540"/>
              <w:jc w:val="left"/>
              <w:rPr>
                <w:rFonts w:hint="eastAsia" w:hAnsi="宋体" w:cs="宋体"/>
                <w:color w:val="000000" w:themeColor="text1"/>
                <w:sz w:val="24"/>
                <w:szCs w:val="24"/>
                <w14:textFill>
                  <w14:solidFill>
                    <w14:schemeClr w14:val="tx1"/>
                  </w14:solidFill>
                </w14:textFill>
              </w:rPr>
            </w:pPr>
          </w:p>
        </w:tc>
      </w:tr>
    </w:tbl>
    <w:p w14:paraId="234094C2">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5F14BBFC">
      <w:pPr>
        <w:pStyle w:val="16"/>
        <w:tabs>
          <w:tab w:val="left" w:pos="5370"/>
        </w:tabs>
        <w:spacing w:line="240" w:lineRule="atLeast"/>
        <w:ind w:left="1154" w:leftChars="485" w:hanging="136" w:hangingChars="57"/>
        <w:rPr>
          <w:rFonts w:hint="eastAsia" w:hAnsi="宋体" w:cs="宋体"/>
          <w:color w:val="000000" w:themeColor="text1"/>
          <w:sz w:val="24"/>
          <w:szCs w:val="24"/>
          <w14:textFill>
            <w14:solidFill>
              <w14:schemeClr w14:val="tx1"/>
            </w14:solidFill>
          </w14:textFill>
        </w:rPr>
      </w:pPr>
    </w:p>
    <w:p w14:paraId="12103DF6">
      <w:pPr>
        <w:pStyle w:val="16"/>
        <w:tabs>
          <w:tab w:val="left" w:pos="5370"/>
        </w:tabs>
        <w:spacing w:line="240" w:lineRule="atLeast"/>
        <w:ind w:firstLine="720" w:firstLineChars="300"/>
        <w:rPr>
          <w:rFonts w:hint="eastAsia"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投标人(盖单位章):</w:t>
      </w:r>
      <w:r>
        <w:rPr>
          <w:rFonts w:hint="eastAsia" w:hAnsi="宋体" w:cs="宋体"/>
          <w:color w:val="000000" w:themeColor="text1"/>
          <w:sz w:val="24"/>
          <w:szCs w:val="24"/>
          <w:u w:val="single"/>
          <w14:textFill>
            <w14:solidFill>
              <w14:schemeClr w14:val="tx1"/>
            </w14:solidFill>
          </w14:textFill>
        </w:rPr>
        <w:tab/>
      </w:r>
      <w:r>
        <w:rPr>
          <w:rFonts w:hint="eastAsia" w:hAnsi="宋体" w:cs="宋体"/>
          <w:color w:val="000000" w:themeColor="text1"/>
          <w:sz w:val="24"/>
          <w:szCs w:val="24"/>
          <w:u w:val="single"/>
          <w14:textFill>
            <w14:solidFill>
              <w14:schemeClr w14:val="tx1"/>
            </w14:solidFill>
          </w14:textFill>
        </w:rPr>
        <w:t xml:space="preserve">      </w:t>
      </w:r>
    </w:p>
    <w:p w14:paraId="02E7B09A">
      <w:pPr>
        <w:pStyle w:val="16"/>
        <w:tabs>
          <w:tab w:val="left" w:pos="5370"/>
        </w:tabs>
        <w:spacing w:line="240" w:lineRule="atLeast"/>
        <w:ind w:left="1080" w:leftChars="257" w:hanging="540"/>
        <w:rPr>
          <w:rFonts w:hint="eastAsia" w:hAnsi="宋体" w:cs="宋体"/>
          <w:color w:val="000000" w:themeColor="text1"/>
          <w:sz w:val="24"/>
          <w:szCs w:val="24"/>
          <w:u w:val="single"/>
          <w14:textFill>
            <w14:solidFill>
              <w14:schemeClr w14:val="tx1"/>
            </w14:solidFill>
          </w14:textFill>
        </w:rPr>
      </w:pPr>
    </w:p>
    <w:p w14:paraId="0D269A97">
      <w:pPr>
        <w:pStyle w:val="35"/>
        <w:ind w:firstLine="720" w:firstLineChars="300"/>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法定代表人或其委托代理人（签/章）:</w:t>
      </w:r>
      <w:r>
        <w:rPr>
          <w:rFonts w:ascii="宋体" w:hAnsi="宋体" w:eastAsia="宋体" w:cs="宋体"/>
          <w:color w:val="000000" w:themeColor="text1"/>
          <w:szCs w:val="24"/>
          <w:u w:val="single"/>
          <w14:textFill>
            <w14:solidFill>
              <w14:schemeClr w14:val="tx1"/>
            </w14:solidFill>
          </w14:textFill>
        </w:rPr>
        <w:t xml:space="preserve">     </w:t>
      </w:r>
      <w:r>
        <w:rPr>
          <w:rFonts w:ascii="宋体" w:hAnsi="宋体" w:eastAsia="宋体" w:cs="宋体"/>
          <w:color w:val="000000" w:themeColor="text1"/>
          <w:szCs w:val="24"/>
          <w:u w:val="single"/>
          <w14:textFill>
            <w14:solidFill>
              <w14:schemeClr w14:val="tx1"/>
            </w14:solidFill>
          </w14:textFill>
        </w:rPr>
        <w:tab/>
      </w:r>
      <w:r>
        <w:rPr>
          <w:rFonts w:ascii="宋体" w:hAnsi="宋体" w:eastAsia="宋体" w:cs="宋体"/>
          <w:color w:val="000000" w:themeColor="text1"/>
          <w:szCs w:val="24"/>
          <w:u w:val="single"/>
          <w14:textFill>
            <w14:solidFill>
              <w14:schemeClr w14:val="tx1"/>
            </w14:solidFill>
          </w14:textFill>
        </w:rPr>
        <w:t xml:space="preserve">   </w:t>
      </w:r>
    </w:p>
    <w:p w14:paraId="29E78959">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2EC6E5DE">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注:1.如果</w:t>
      </w:r>
      <w:r>
        <w:rPr>
          <w:rFonts w:hint="eastAsia" w:hAnsi="宋体" w:cs="宋体"/>
          <w:color w:val="000000" w:themeColor="text1"/>
          <w:sz w:val="24"/>
          <w:szCs w:val="24"/>
          <w:lang w:eastAsia="zh-CN"/>
          <w14:textFill>
            <w14:solidFill>
              <w14:schemeClr w14:val="tx1"/>
            </w14:solidFill>
          </w14:textFill>
        </w:rPr>
        <w:t>投标人</w:t>
      </w:r>
      <w:r>
        <w:rPr>
          <w:rFonts w:hint="eastAsia" w:hAnsi="宋体" w:cs="宋体"/>
          <w:color w:val="000000" w:themeColor="text1"/>
          <w:sz w:val="24"/>
          <w:szCs w:val="24"/>
          <w14:textFill>
            <w14:solidFill>
              <w14:schemeClr w14:val="tx1"/>
            </w14:solidFill>
          </w14:textFill>
        </w:rPr>
        <w:t>认为需要，每种服务填写一份该表。</w:t>
      </w:r>
    </w:p>
    <w:p w14:paraId="2ECAA1B2">
      <w:pPr>
        <w:pStyle w:val="16"/>
        <w:spacing w:line="240" w:lineRule="atLeast"/>
        <w:ind w:left="1079" w:leftChars="428" w:hanging="180" w:hangingChars="75"/>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2.如果按单价计算的结果与总价不一致,以单价为准修正总价。</w:t>
      </w:r>
    </w:p>
    <w:p w14:paraId="3AD986A7">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3.如果不提供详细分项报价将视为没有实质性响应磋商文件。</w:t>
      </w:r>
    </w:p>
    <w:p w14:paraId="15BC168A">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4.上述各项的详细分项报价，应另页描述。</w:t>
      </w:r>
    </w:p>
    <w:p w14:paraId="4245214B">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5.如果磋商开启一览表（报价表）内容与磋商文件中明细表内容不一致的，以磋商开启一览表（报价表）内容为准。</w:t>
      </w:r>
      <w:bookmarkStart w:id="329" w:name="_Toc216582816"/>
      <w:bookmarkStart w:id="330" w:name="_Toc18267"/>
      <w:bookmarkStart w:id="331" w:name="_Toc515647819"/>
      <w:bookmarkStart w:id="332" w:name="_Toc12151"/>
      <w:bookmarkStart w:id="333" w:name="_Toc9921"/>
      <w:bookmarkStart w:id="334" w:name="_Toc22104"/>
      <w:bookmarkStart w:id="335" w:name="_Toc25251"/>
      <w:bookmarkStart w:id="336" w:name="_Toc22216"/>
      <w:bookmarkStart w:id="337" w:name="_Toc22132"/>
      <w:bookmarkStart w:id="338" w:name="_Toc24292"/>
      <w:bookmarkStart w:id="339" w:name="_Toc14037"/>
      <w:bookmarkStart w:id="340" w:name="_Toc6343"/>
    </w:p>
    <w:p w14:paraId="71C85445">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2C3D2637">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674080AC">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214E7C44">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3E99096D">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2838F4D9">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4DA14131">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6DC96A5C">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369F8262">
      <w:pPr>
        <w:pStyle w:val="16"/>
        <w:spacing w:line="240" w:lineRule="atLeast"/>
        <w:rPr>
          <w:rFonts w:hint="eastAsia" w:hAnsi="宋体" w:cs="宋体"/>
          <w:color w:val="000000" w:themeColor="text1"/>
          <w:sz w:val="24"/>
          <w:szCs w:val="24"/>
          <w14:textFill>
            <w14:solidFill>
              <w14:schemeClr w14:val="tx1"/>
            </w14:solidFill>
          </w14:textFill>
        </w:rPr>
      </w:pPr>
    </w:p>
    <w:bookmarkEnd w:id="329"/>
    <w:bookmarkEnd w:id="330"/>
    <w:bookmarkEnd w:id="331"/>
    <w:bookmarkEnd w:id="332"/>
    <w:bookmarkEnd w:id="333"/>
    <w:bookmarkEnd w:id="334"/>
    <w:bookmarkEnd w:id="335"/>
    <w:bookmarkEnd w:id="336"/>
    <w:bookmarkEnd w:id="337"/>
    <w:bookmarkEnd w:id="338"/>
    <w:bookmarkEnd w:id="339"/>
    <w:bookmarkEnd w:id="340"/>
    <w:p w14:paraId="2B83963F">
      <w:pPr>
        <w:pStyle w:val="16"/>
        <w:spacing w:line="240" w:lineRule="atLeast"/>
        <w:ind w:left="1080" w:leftChars="257" w:hanging="540"/>
        <w:jc w:val="center"/>
        <w:rPr>
          <w:rFonts w:hint="eastAsia"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3、服务说明一览表</w:t>
      </w:r>
    </w:p>
    <w:p w14:paraId="1B4901B5">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37E7DD81">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项目名称:                </w:t>
      </w:r>
    </w:p>
    <w:p w14:paraId="1978C5E6">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项目编号: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17"/>
        <w:gridCol w:w="1196"/>
        <w:gridCol w:w="1078"/>
        <w:gridCol w:w="1317"/>
        <w:gridCol w:w="1436"/>
        <w:gridCol w:w="1317"/>
      </w:tblGrid>
      <w:tr w14:paraId="502C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959" w:type="dxa"/>
            <w:noWrap w:val="0"/>
            <w:vAlign w:val="center"/>
          </w:tcPr>
          <w:p w14:paraId="6659C422">
            <w:pPr>
              <w:pStyle w:val="16"/>
              <w:spacing w:line="240" w:lineRule="atLeast"/>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序号</w:t>
            </w:r>
          </w:p>
        </w:tc>
        <w:tc>
          <w:tcPr>
            <w:tcW w:w="1317" w:type="dxa"/>
            <w:noWrap w:val="0"/>
            <w:vAlign w:val="center"/>
          </w:tcPr>
          <w:p w14:paraId="542734A0">
            <w:pPr>
              <w:pStyle w:val="16"/>
              <w:spacing w:line="240" w:lineRule="atLeast"/>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服务名称</w:t>
            </w:r>
          </w:p>
        </w:tc>
        <w:tc>
          <w:tcPr>
            <w:tcW w:w="1196" w:type="dxa"/>
            <w:noWrap w:val="0"/>
            <w:vAlign w:val="center"/>
          </w:tcPr>
          <w:p w14:paraId="159CB3D8">
            <w:pPr>
              <w:pStyle w:val="16"/>
              <w:spacing w:line="240" w:lineRule="atLeast"/>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服务内容</w:t>
            </w:r>
          </w:p>
        </w:tc>
        <w:tc>
          <w:tcPr>
            <w:tcW w:w="1078" w:type="dxa"/>
            <w:noWrap w:val="0"/>
            <w:vAlign w:val="center"/>
          </w:tcPr>
          <w:p w14:paraId="24BC2CA6">
            <w:pPr>
              <w:pStyle w:val="16"/>
              <w:spacing w:line="240" w:lineRule="atLeast"/>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数量</w:t>
            </w:r>
          </w:p>
        </w:tc>
        <w:tc>
          <w:tcPr>
            <w:tcW w:w="1317" w:type="dxa"/>
            <w:noWrap w:val="0"/>
            <w:vAlign w:val="center"/>
          </w:tcPr>
          <w:p w14:paraId="1EB6EE5B">
            <w:pPr>
              <w:pStyle w:val="16"/>
              <w:spacing w:line="240" w:lineRule="atLeast"/>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服务期限</w:t>
            </w:r>
          </w:p>
        </w:tc>
        <w:tc>
          <w:tcPr>
            <w:tcW w:w="1436" w:type="dxa"/>
            <w:noWrap w:val="0"/>
            <w:vAlign w:val="center"/>
          </w:tcPr>
          <w:p w14:paraId="1EE2BEF8">
            <w:pPr>
              <w:pStyle w:val="16"/>
              <w:spacing w:line="240" w:lineRule="atLeast"/>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服务地点</w:t>
            </w:r>
          </w:p>
        </w:tc>
        <w:tc>
          <w:tcPr>
            <w:tcW w:w="1317" w:type="dxa"/>
            <w:noWrap w:val="0"/>
            <w:vAlign w:val="center"/>
          </w:tcPr>
          <w:p w14:paraId="4902C623">
            <w:pPr>
              <w:pStyle w:val="16"/>
              <w:spacing w:line="240" w:lineRule="atLeast"/>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其它</w:t>
            </w:r>
          </w:p>
        </w:tc>
      </w:tr>
      <w:tr w14:paraId="0B15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14:paraId="3F965D11">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3391D82B">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196" w:type="dxa"/>
            <w:noWrap w:val="0"/>
            <w:vAlign w:val="top"/>
          </w:tcPr>
          <w:p w14:paraId="069E3A1F">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078" w:type="dxa"/>
            <w:noWrap w:val="0"/>
            <w:vAlign w:val="top"/>
          </w:tcPr>
          <w:p w14:paraId="11096638">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518F25F3">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436" w:type="dxa"/>
            <w:noWrap w:val="0"/>
            <w:vAlign w:val="top"/>
          </w:tcPr>
          <w:p w14:paraId="45181CCD">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3515AB5A">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r>
      <w:tr w14:paraId="0DC8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14:paraId="45D389E9">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7080071B">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196" w:type="dxa"/>
            <w:noWrap w:val="0"/>
            <w:vAlign w:val="top"/>
          </w:tcPr>
          <w:p w14:paraId="369C09AE">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078" w:type="dxa"/>
            <w:noWrap w:val="0"/>
            <w:vAlign w:val="top"/>
          </w:tcPr>
          <w:p w14:paraId="0DE1C289">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6F13C3DD">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436" w:type="dxa"/>
            <w:noWrap w:val="0"/>
            <w:vAlign w:val="top"/>
          </w:tcPr>
          <w:p w14:paraId="6E960C50">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0CB2B933">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r>
      <w:tr w14:paraId="4C21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14:paraId="08FCDD25">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4C1429F7">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196" w:type="dxa"/>
            <w:noWrap w:val="0"/>
            <w:vAlign w:val="top"/>
          </w:tcPr>
          <w:p w14:paraId="1CA45539">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078" w:type="dxa"/>
            <w:noWrap w:val="0"/>
            <w:vAlign w:val="top"/>
          </w:tcPr>
          <w:p w14:paraId="36ADBD02">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42E4D274">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436" w:type="dxa"/>
            <w:noWrap w:val="0"/>
            <w:vAlign w:val="top"/>
          </w:tcPr>
          <w:p w14:paraId="3CE9A5C8">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3FF366F1">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r>
      <w:tr w14:paraId="4E0D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14:paraId="168F5497">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2D51A96B">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196" w:type="dxa"/>
            <w:noWrap w:val="0"/>
            <w:vAlign w:val="top"/>
          </w:tcPr>
          <w:p w14:paraId="082831D4">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078" w:type="dxa"/>
            <w:noWrap w:val="0"/>
            <w:vAlign w:val="top"/>
          </w:tcPr>
          <w:p w14:paraId="58BF974A">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3D78451A">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436" w:type="dxa"/>
            <w:noWrap w:val="0"/>
            <w:vAlign w:val="top"/>
          </w:tcPr>
          <w:p w14:paraId="4D8548F4">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7AC2C758">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r>
      <w:tr w14:paraId="7AAA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14:paraId="47FC3F60">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0745CF5B">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196" w:type="dxa"/>
            <w:noWrap w:val="0"/>
            <w:vAlign w:val="top"/>
          </w:tcPr>
          <w:p w14:paraId="6B7D1F04">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078" w:type="dxa"/>
            <w:noWrap w:val="0"/>
            <w:vAlign w:val="top"/>
          </w:tcPr>
          <w:p w14:paraId="1F2D020F">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620FC250">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436" w:type="dxa"/>
            <w:noWrap w:val="0"/>
            <w:vAlign w:val="top"/>
          </w:tcPr>
          <w:p w14:paraId="3BB5CB87">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43204120">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r>
      <w:tr w14:paraId="2027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14:paraId="1F58929A">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160291D5">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196" w:type="dxa"/>
            <w:noWrap w:val="0"/>
            <w:vAlign w:val="top"/>
          </w:tcPr>
          <w:p w14:paraId="23057A34">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078" w:type="dxa"/>
            <w:noWrap w:val="0"/>
            <w:vAlign w:val="top"/>
          </w:tcPr>
          <w:p w14:paraId="1DA9D0C4">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78ADCB35">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436" w:type="dxa"/>
            <w:noWrap w:val="0"/>
            <w:vAlign w:val="top"/>
          </w:tcPr>
          <w:p w14:paraId="24691946">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526F44CD">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r>
      <w:tr w14:paraId="1AF2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14:paraId="26CA38BF">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22DC2026">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196" w:type="dxa"/>
            <w:noWrap w:val="0"/>
            <w:vAlign w:val="top"/>
          </w:tcPr>
          <w:p w14:paraId="797BDBED">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078" w:type="dxa"/>
            <w:noWrap w:val="0"/>
            <w:vAlign w:val="top"/>
          </w:tcPr>
          <w:p w14:paraId="7D4C5D74">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61C2EEB8">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436" w:type="dxa"/>
            <w:noWrap w:val="0"/>
            <w:vAlign w:val="top"/>
          </w:tcPr>
          <w:p w14:paraId="0BC764A2">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2A9D77E6">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r>
      <w:tr w14:paraId="1E69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14:paraId="431516D5">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0779A19D">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196" w:type="dxa"/>
            <w:noWrap w:val="0"/>
            <w:vAlign w:val="top"/>
          </w:tcPr>
          <w:p w14:paraId="7830CF84">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078" w:type="dxa"/>
            <w:noWrap w:val="0"/>
            <w:vAlign w:val="top"/>
          </w:tcPr>
          <w:p w14:paraId="05252B5E">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20150099">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436" w:type="dxa"/>
            <w:noWrap w:val="0"/>
            <w:vAlign w:val="top"/>
          </w:tcPr>
          <w:p w14:paraId="55381E18">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1317" w:type="dxa"/>
            <w:noWrap w:val="0"/>
            <w:vAlign w:val="top"/>
          </w:tcPr>
          <w:p w14:paraId="217C5E5B">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r>
    </w:tbl>
    <w:p w14:paraId="796D69BC">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69DBEBCA">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凡响应文件中服务条款（包括项目服务期、内容）与磋商文件有偏差的，均应在此表中列出（内容较多的可以标注见投标文件第几页，偏差包括正偏差和负偏差），未在此表中列出的视同完全满足磋商文件要求。</w:t>
      </w:r>
    </w:p>
    <w:p w14:paraId="6A30F2FD">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3BBBB65B">
      <w:pPr>
        <w:pStyle w:val="35"/>
        <w:ind w:firstLine="240"/>
        <w:rPr>
          <w:rFonts w:ascii="宋体" w:hAnsi="宋体" w:eastAsia="宋体" w:cs="宋体"/>
          <w:color w:val="000000" w:themeColor="text1"/>
          <w:szCs w:val="24"/>
          <w14:textFill>
            <w14:solidFill>
              <w14:schemeClr w14:val="tx1"/>
            </w14:solidFill>
          </w14:textFill>
        </w:rPr>
      </w:pPr>
    </w:p>
    <w:p w14:paraId="15FD18CD">
      <w:pPr>
        <w:pStyle w:val="16"/>
        <w:tabs>
          <w:tab w:val="left" w:pos="5370"/>
        </w:tabs>
        <w:spacing w:line="240" w:lineRule="atLeast"/>
        <w:ind w:left="1154" w:leftChars="485" w:hanging="136" w:hangingChars="57"/>
        <w:rPr>
          <w:rFonts w:hint="eastAsia"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投标人(盖单位章):</w:t>
      </w:r>
      <w:r>
        <w:rPr>
          <w:rFonts w:hint="eastAsia" w:hAnsi="宋体" w:cs="宋体"/>
          <w:color w:val="000000" w:themeColor="text1"/>
          <w:sz w:val="24"/>
          <w:szCs w:val="24"/>
          <w:u w:val="single"/>
          <w14:textFill>
            <w14:solidFill>
              <w14:schemeClr w14:val="tx1"/>
            </w14:solidFill>
          </w14:textFill>
        </w:rPr>
        <w:tab/>
      </w:r>
      <w:r>
        <w:rPr>
          <w:rFonts w:hint="eastAsia" w:hAnsi="宋体" w:cs="宋体"/>
          <w:color w:val="000000" w:themeColor="text1"/>
          <w:sz w:val="24"/>
          <w:szCs w:val="24"/>
          <w:u w:val="single"/>
          <w14:textFill>
            <w14:solidFill>
              <w14:schemeClr w14:val="tx1"/>
            </w14:solidFill>
          </w14:textFill>
        </w:rPr>
        <w:t xml:space="preserve">      </w:t>
      </w:r>
    </w:p>
    <w:p w14:paraId="5CCEA429">
      <w:pPr>
        <w:pStyle w:val="16"/>
        <w:tabs>
          <w:tab w:val="left" w:pos="5370"/>
        </w:tabs>
        <w:spacing w:line="240" w:lineRule="atLeast"/>
        <w:ind w:left="1080" w:leftChars="257" w:hanging="540"/>
        <w:rPr>
          <w:rFonts w:hint="eastAsia" w:hAnsi="宋体" w:cs="宋体"/>
          <w:color w:val="000000" w:themeColor="text1"/>
          <w:sz w:val="24"/>
          <w:szCs w:val="24"/>
          <w:u w:val="single"/>
          <w14:textFill>
            <w14:solidFill>
              <w14:schemeClr w14:val="tx1"/>
            </w14:solidFill>
          </w14:textFill>
        </w:rPr>
      </w:pPr>
    </w:p>
    <w:p w14:paraId="440CC3B7">
      <w:pPr>
        <w:pStyle w:val="35"/>
        <w:ind w:firstLine="960" w:firstLineChars="400"/>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法定代表人或其委托代理人（签/章）:</w:t>
      </w:r>
      <w:r>
        <w:rPr>
          <w:rFonts w:ascii="宋体" w:hAnsi="宋体" w:eastAsia="宋体" w:cs="宋体"/>
          <w:color w:val="000000" w:themeColor="text1"/>
          <w:szCs w:val="24"/>
          <w:u w:val="single"/>
          <w14:textFill>
            <w14:solidFill>
              <w14:schemeClr w14:val="tx1"/>
            </w14:solidFill>
          </w14:textFill>
        </w:rPr>
        <w:t xml:space="preserve">     </w:t>
      </w:r>
      <w:r>
        <w:rPr>
          <w:rFonts w:ascii="宋体" w:hAnsi="宋体" w:eastAsia="宋体" w:cs="宋体"/>
          <w:color w:val="000000" w:themeColor="text1"/>
          <w:szCs w:val="24"/>
          <w:u w:val="single"/>
          <w14:textFill>
            <w14:solidFill>
              <w14:schemeClr w14:val="tx1"/>
            </w14:solidFill>
          </w14:textFill>
        </w:rPr>
        <w:tab/>
      </w:r>
      <w:r>
        <w:rPr>
          <w:rFonts w:ascii="宋体" w:hAnsi="宋体" w:eastAsia="宋体" w:cs="宋体"/>
          <w:color w:val="000000" w:themeColor="text1"/>
          <w:szCs w:val="24"/>
          <w:u w:val="single"/>
          <w14:textFill>
            <w14:solidFill>
              <w14:schemeClr w14:val="tx1"/>
            </w14:solidFill>
          </w14:textFill>
        </w:rPr>
        <w:t xml:space="preserve">   </w:t>
      </w:r>
    </w:p>
    <w:p w14:paraId="67D17EC6">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4A6773FE">
      <w:pPr>
        <w:pStyle w:val="16"/>
        <w:spacing w:line="240" w:lineRule="atLeast"/>
        <w:ind w:left="1080" w:leftChars="257" w:hanging="540"/>
        <w:jc w:val="center"/>
        <w:rPr>
          <w:rFonts w:hint="eastAsia" w:hAnsi="宋体" w:cs="宋体"/>
          <w:color w:val="000000" w:themeColor="text1"/>
          <w:sz w:val="24"/>
          <w:szCs w:val="24"/>
          <w14:textFill>
            <w14:solidFill>
              <w14:schemeClr w14:val="tx1"/>
            </w14:solidFill>
          </w14:textFill>
        </w:rPr>
      </w:pPr>
    </w:p>
    <w:p w14:paraId="7A059696">
      <w:pPr>
        <w:pStyle w:val="16"/>
        <w:spacing w:line="240" w:lineRule="atLeast"/>
        <w:ind w:left="1080" w:leftChars="257" w:hanging="540"/>
        <w:jc w:val="center"/>
        <w:rPr>
          <w:rFonts w:hint="eastAsia" w:hAnsi="宋体" w:cs="宋体"/>
          <w:color w:val="000000" w:themeColor="text1"/>
          <w:sz w:val="24"/>
          <w:szCs w:val="24"/>
          <w14:textFill>
            <w14:solidFill>
              <w14:schemeClr w14:val="tx1"/>
            </w14:solidFill>
          </w14:textFill>
        </w:rPr>
        <w:sectPr>
          <w:footerReference r:id="rId5" w:type="default"/>
          <w:pgSz w:w="11906" w:h="16838"/>
          <w:pgMar w:top="1440" w:right="1797" w:bottom="1440" w:left="1797" w:header="851" w:footer="992" w:gutter="0"/>
          <w:pgNumType w:start="1"/>
          <w:cols w:space="720" w:num="1"/>
          <w:docGrid w:linePitch="312" w:charSpace="0"/>
        </w:sectPr>
      </w:pPr>
    </w:p>
    <w:p w14:paraId="7064DD09">
      <w:pPr>
        <w:pStyle w:val="4"/>
        <w:spacing w:before="0" w:line="240" w:lineRule="atLeast"/>
        <w:ind w:left="1080" w:leftChars="257" w:hanging="540"/>
        <w:rPr>
          <w:rFonts w:hint="eastAsia" w:ascii="宋体" w:hAnsi="宋体" w:eastAsia="宋体" w:cs="宋体"/>
          <w:color w:val="000000" w:themeColor="text1"/>
          <w:sz w:val="24"/>
          <w:szCs w:val="24"/>
          <w14:textFill>
            <w14:solidFill>
              <w14:schemeClr w14:val="tx1"/>
            </w14:solidFill>
          </w14:textFill>
        </w:rPr>
      </w:pPr>
      <w:bookmarkStart w:id="341" w:name="_Toc1232"/>
      <w:bookmarkStart w:id="342" w:name="_Toc28959"/>
      <w:bookmarkStart w:id="343" w:name="_Toc338"/>
      <w:bookmarkStart w:id="344" w:name="_Toc22563"/>
      <w:bookmarkStart w:id="345" w:name="_Toc216582817"/>
      <w:bookmarkStart w:id="346" w:name="_Toc9012"/>
      <w:bookmarkStart w:id="347" w:name="_Toc515647820"/>
      <w:bookmarkStart w:id="348" w:name="_Toc4880"/>
      <w:bookmarkStart w:id="349" w:name="_Toc1130"/>
      <w:bookmarkStart w:id="350" w:name="_Toc24864"/>
      <w:bookmarkStart w:id="351" w:name="_Toc32689"/>
      <w:bookmarkStart w:id="352" w:name="_Toc30176"/>
      <w:r>
        <w:rPr>
          <w:rFonts w:hint="eastAsia" w:ascii="宋体" w:hAnsi="宋体" w:eastAsia="宋体" w:cs="宋体"/>
          <w:color w:val="000000" w:themeColor="text1"/>
          <w:sz w:val="24"/>
          <w:szCs w:val="24"/>
          <w14:textFill>
            <w14:solidFill>
              <w14:schemeClr w14:val="tx1"/>
            </w14:solidFill>
          </w14:textFill>
        </w:rPr>
        <w:t>4</w:t>
      </w:r>
      <w:bookmarkEnd w:id="341"/>
      <w:bookmarkEnd w:id="342"/>
      <w:bookmarkEnd w:id="343"/>
      <w:bookmarkEnd w:id="344"/>
      <w:bookmarkEnd w:id="345"/>
      <w:bookmarkEnd w:id="346"/>
      <w:bookmarkEnd w:id="347"/>
      <w:bookmarkEnd w:id="348"/>
      <w:bookmarkEnd w:id="349"/>
      <w:bookmarkEnd w:id="350"/>
      <w:bookmarkEnd w:id="351"/>
      <w:bookmarkStart w:id="353" w:name="_Toc24350"/>
      <w:bookmarkStart w:id="354" w:name="_Toc4467"/>
      <w:bookmarkStart w:id="355" w:name="_Toc515647821"/>
      <w:bookmarkStart w:id="356" w:name="_Toc216582818"/>
      <w:bookmarkStart w:id="357" w:name="_Toc3060"/>
      <w:bookmarkStart w:id="358" w:name="_Toc1980"/>
      <w:bookmarkStart w:id="359" w:name="_Toc3332"/>
      <w:bookmarkStart w:id="360" w:name="_Toc3484"/>
      <w:bookmarkStart w:id="361" w:name="_Toc15724"/>
      <w:bookmarkStart w:id="362" w:name="_Toc13810"/>
      <w:bookmarkStart w:id="363" w:name="_Toc23"/>
      <w:r>
        <w:rPr>
          <w:rFonts w:hint="eastAsia" w:ascii="宋体" w:hAnsi="宋体" w:eastAsia="宋体" w:cs="宋体"/>
          <w:color w:val="000000" w:themeColor="text1"/>
          <w:sz w:val="24"/>
          <w:szCs w:val="24"/>
          <w14:textFill>
            <w14:solidFill>
              <w14:schemeClr w14:val="tx1"/>
            </w14:solidFill>
          </w14:textFill>
        </w:rPr>
        <w:t>、商务条款偏离表</w:t>
      </w:r>
      <w:bookmarkEnd w:id="352"/>
      <w:bookmarkEnd w:id="353"/>
      <w:bookmarkEnd w:id="354"/>
      <w:bookmarkEnd w:id="355"/>
      <w:bookmarkEnd w:id="356"/>
      <w:bookmarkEnd w:id="357"/>
      <w:bookmarkEnd w:id="358"/>
      <w:bookmarkEnd w:id="359"/>
      <w:bookmarkEnd w:id="360"/>
      <w:bookmarkEnd w:id="361"/>
      <w:bookmarkEnd w:id="362"/>
      <w:bookmarkEnd w:id="363"/>
    </w:p>
    <w:p w14:paraId="1A1336E6">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项目名称:                      </w:t>
      </w:r>
    </w:p>
    <w:p w14:paraId="6FC0469B">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项目编号:                                  </w:t>
      </w:r>
    </w:p>
    <w:tbl>
      <w:tblPr>
        <w:tblStyle w:val="3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730A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0A7D6F98">
            <w:pPr>
              <w:pStyle w:val="16"/>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序号</w:t>
            </w:r>
          </w:p>
        </w:tc>
        <w:tc>
          <w:tcPr>
            <w:tcW w:w="2040" w:type="dxa"/>
            <w:noWrap w:val="0"/>
            <w:vAlign w:val="center"/>
          </w:tcPr>
          <w:p w14:paraId="57412631">
            <w:pPr>
              <w:pStyle w:val="16"/>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磋商文件条款号</w:t>
            </w:r>
          </w:p>
        </w:tc>
        <w:tc>
          <w:tcPr>
            <w:tcW w:w="2520" w:type="dxa"/>
            <w:noWrap w:val="0"/>
            <w:vAlign w:val="center"/>
          </w:tcPr>
          <w:p w14:paraId="6DA779E4">
            <w:pPr>
              <w:pStyle w:val="16"/>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磋商文件的商务条款</w:t>
            </w:r>
          </w:p>
        </w:tc>
        <w:tc>
          <w:tcPr>
            <w:tcW w:w="2520" w:type="dxa"/>
            <w:noWrap w:val="0"/>
            <w:vAlign w:val="center"/>
          </w:tcPr>
          <w:p w14:paraId="1147876A">
            <w:pPr>
              <w:pStyle w:val="16"/>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磋商文件的商务条款</w:t>
            </w:r>
          </w:p>
        </w:tc>
        <w:tc>
          <w:tcPr>
            <w:tcW w:w="900" w:type="dxa"/>
            <w:noWrap w:val="0"/>
            <w:vAlign w:val="center"/>
          </w:tcPr>
          <w:p w14:paraId="29CEDF38">
            <w:pPr>
              <w:pStyle w:val="16"/>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说明</w:t>
            </w:r>
          </w:p>
        </w:tc>
      </w:tr>
      <w:tr w14:paraId="1816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C82A647">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040" w:type="dxa"/>
            <w:noWrap w:val="0"/>
            <w:vAlign w:val="top"/>
          </w:tcPr>
          <w:p w14:paraId="61429B1B">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67E63FA8">
            <w:pPr>
              <w:pStyle w:val="16"/>
              <w:spacing w:line="240" w:lineRule="atLeast"/>
              <w:ind w:left="1080" w:leftChars="257" w:hanging="540"/>
              <w:jc w:val="center"/>
              <w:rPr>
                <w:rFonts w:hint="eastAsia" w:hAnsi="宋体" w:cs="宋体"/>
                <w:color w:val="000000" w:themeColor="text1"/>
                <w:sz w:val="24"/>
                <w:szCs w:val="24"/>
                <w14:textFill>
                  <w14:solidFill>
                    <w14:schemeClr w14:val="tx1"/>
                  </w14:solidFill>
                </w14:textFill>
              </w:rPr>
            </w:pPr>
          </w:p>
        </w:tc>
        <w:tc>
          <w:tcPr>
            <w:tcW w:w="2520" w:type="dxa"/>
            <w:noWrap w:val="0"/>
            <w:vAlign w:val="top"/>
          </w:tcPr>
          <w:p w14:paraId="383909B2">
            <w:pPr>
              <w:pStyle w:val="16"/>
              <w:spacing w:line="240" w:lineRule="atLeast"/>
              <w:ind w:left="1080" w:leftChars="257" w:hanging="540"/>
              <w:jc w:val="center"/>
              <w:rPr>
                <w:rFonts w:hint="eastAsia" w:hAnsi="宋体" w:cs="宋体"/>
                <w:color w:val="000000" w:themeColor="text1"/>
                <w:sz w:val="24"/>
                <w:szCs w:val="24"/>
                <w14:textFill>
                  <w14:solidFill>
                    <w14:schemeClr w14:val="tx1"/>
                  </w14:solidFill>
                </w14:textFill>
              </w:rPr>
            </w:pPr>
          </w:p>
        </w:tc>
        <w:tc>
          <w:tcPr>
            <w:tcW w:w="900" w:type="dxa"/>
            <w:noWrap w:val="0"/>
            <w:vAlign w:val="top"/>
          </w:tcPr>
          <w:p w14:paraId="02DBFA7D">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r>
      <w:tr w14:paraId="0FF8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8A52D5E">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040" w:type="dxa"/>
            <w:noWrap w:val="0"/>
            <w:vAlign w:val="top"/>
          </w:tcPr>
          <w:p w14:paraId="71D6B99F">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42C372E1">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16F9C6C0">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900" w:type="dxa"/>
            <w:noWrap w:val="0"/>
            <w:vAlign w:val="top"/>
          </w:tcPr>
          <w:p w14:paraId="3DC56E58">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r>
      <w:tr w14:paraId="07B2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1028D66">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040" w:type="dxa"/>
            <w:noWrap w:val="0"/>
            <w:vAlign w:val="top"/>
          </w:tcPr>
          <w:p w14:paraId="506144E5">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006CBF0C">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586F02FF">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900" w:type="dxa"/>
            <w:noWrap w:val="0"/>
            <w:vAlign w:val="top"/>
          </w:tcPr>
          <w:p w14:paraId="0E0CDB6A">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r>
      <w:tr w14:paraId="7F86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86F9A00">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040" w:type="dxa"/>
            <w:noWrap w:val="0"/>
            <w:vAlign w:val="top"/>
          </w:tcPr>
          <w:p w14:paraId="7A068D15">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06A7A1BB">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0EA5A8F5">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900" w:type="dxa"/>
            <w:noWrap w:val="0"/>
            <w:vAlign w:val="top"/>
          </w:tcPr>
          <w:p w14:paraId="723F436D">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r>
      <w:tr w14:paraId="2303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40ADEC4">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040" w:type="dxa"/>
            <w:noWrap w:val="0"/>
            <w:vAlign w:val="top"/>
          </w:tcPr>
          <w:p w14:paraId="69BD893F">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30DA4391">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3E069CFD">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900" w:type="dxa"/>
            <w:noWrap w:val="0"/>
            <w:vAlign w:val="top"/>
          </w:tcPr>
          <w:p w14:paraId="086FDDD4">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r>
      <w:tr w14:paraId="46DC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96C4023">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040" w:type="dxa"/>
            <w:noWrap w:val="0"/>
            <w:vAlign w:val="top"/>
          </w:tcPr>
          <w:p w14:paraId="2A32B0D2">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78782F43">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6A1368C2">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900" w:type="dxa"/>
            <w:noWrap w:val="0"/>
            <w:vAlign w:val="top"/>
          </w:tcPr>
          <w:p w14:paraId="73647792">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r>
      <w:tr w14:paraId="5122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B2317B1">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040" w:type="dxa"/>
            <w:noWrap w:val="0"/>
            <w:vAlign w:val="top"/>
          </w:tcPr>
          <w:p w14:paraId="4C74FA08">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7EFEFAB3">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737558F8">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900" w:type="dxa"/>
            <w:noWrap w:val="0"/>
            <w:vAlign w:val="top"/>
          </w:tcPr>
          <w:p w14:paraId="6E0A90C2">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r>
      <w:tr w14:paraId="1924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E2C0F00">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040" w:type="dxa"/>
            <w:noWrap w:val="0"/>
            <w:vAlign w:val="top"/>
          </w:tcPr>
          <w:p w14:paraId="44DB21A9">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2EC6B3EE">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73E30129">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900" w:type="dxa"/>
            <w:noWrap w:val="0"/>
            <w:vAlign w:val="top"/>
          </w:tcPr>
          <w:p w14:paraId="6AF2DAC3">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r>
      <w:tr w14:paraId="3737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6AD2823">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040" w:type="dxa"/>
            <w:noWrap w:val="0"/>
            <w:vAlign w:val="top"/>
          </w:tcPr>
          <w:p w14:paraId="52F10D94">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17747ED6">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598D0005">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900" w:type="dxa"/>
            <w:noWrap w:val="0"/>
            <w:vAlign w:val="top"/>
          </w:tcPr>
          <w:p w14:paraId="1AEA1133">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r>
      <w:tr w14:paraId="7B4E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AFBF750">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040" w:type="dxa"/>
            <w:noWrap w:val="0"/>
            <w:vAlign w:val="top"/>
          </w:tcPr>
          <w:p w14:paraId="66BB8ED6">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39429982">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328BAB55">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900" w:type="dxa"/>
            <w:noWrap w:val="0"/>
            <w:vAlign w:val="top"/>
          </w:tcPr>
          <w:p w14:paraId="3B6D077D">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r>
      <w:tr w14:paraId="7949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307D994">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040" w:type="dxa"/>
            <w:noWrap w:val="0"/>
            <w:vAlign w:val="top"/>
          </w:tcPr>
          <w:p w14:paraId="697AC9DB">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33A8EAB6">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23F8A226">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900" w:type="dxa"/>
            <w:noWrap w:val="0"/>
            <w:vAlign w:val="top"/>
          </w:tcPr>
          <w:p w14:paraId="2AF5025F">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r>
      <w:tr w14:paraId="5DAE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50E5DD5">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040" w:type="dxa"/>
            <w:noWrap w:val="0"/>
            <w:vAlign w:val="top"/>
          </w:tcPr>
          <w:p w14:paraId="2EBD0989">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497D9C6F">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36CA0343">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900" w:type="dxa"/>
            <w:noWrap w:val="0"/>
            <w:vAlign w:val="top"/>
          </w:tcPr>
          <w:p w14:paraId="184D892E">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r>
      <w:tr w14:paraId="3F3E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89BFEA3">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040" w:type="dxa"/>
            <w:noWrap w:val="0"/>
            <w:vAlign w:val="top"/>
          </w:tcPr>
          <w:p w14:paraId="7E39F38B">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70D198DC">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26E4AB87">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900" w:type="dxa"/>
            <w:noWrap w:val="0"/>
            <w:vAlign w:val="top"/>
          </w:tcPr>
          <w:p w14:paraId="575AA11F">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r>
      <w:tr w14:paraId="53A0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140915C">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040" w:type="dxa"/>
            <w:noWrap w:val="0"/>
            <w:vAlign w:val="top"/>
          </w:tcPr>
          <w:p w14:paraId="605D9D46">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47BC9321">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2520" w:type="dxa"/>
            <w:noWrap w:val="0"/>
            <w:vAlign w:val="top"/>
          </w:tcPr>
          <w:p w14:paraId="03F065AA">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c>
          <w:tcPr>
            <w:tcW w:w="900" w:type="dxa"/>
            <w:noWrap w:val="0"/>
            <w:vAlign w:val="top"/>
          </w:tcPr>
          <w:p w14:paraId="7EC88188">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tc>
      </w:tr>
    </w:tbl>
    <w:p w14:paraId="1E7DEDD5">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4F60CD94">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3566D17B">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注：凡</w:t>
      </w:r>
      <w:r>
        <w:rPr>
          <w:rFonts w:hint="eastAsia" w:ascii="宋体" w:hAnsi="宋体" w:cs="宋体"/>
          <w:color w:val="000000" w:themeColor="text1"/>
          <w:sz w:val="24"/>
          <w:lang w:val="en-US" w:eastAsia="zh-CN"/>
          <w14:textFill>
            <w14:solidFill>
              <w14:schemeClr w14:val="tx1"/>
            </w14:solidFill>
          </w14:textFill>
        </w:rPr>
        <w:t>响应</w:t>
      </w:r>
      <w:r>
        <w:rPr>
          <w:rFonts w:hint="eastAsia" w:ascii="宋体" w:hAnsi="宋体" w:cs="宋体"/>
          <w:color w:val="000000" w:themeColor="text1"/>
          <w:sz w:val="24"/>
          <w14:textFill>
            <w14:solidFill>
              <w14:schemeClr w14:val="tx1"/>
            </w14:solidFill>
          </w14:textFill>
        </w:rPr>
        <w:t>文件中商务条款与磋商文件有偏差的，均应在此表中列出（内容较多的可以标注见</w:t>
      </w:r>
      <w:r>
        <w:rPr>
          <w:rFonts w:hint="eastAsia" w:ascii="宋体" w:hAnsi="宋体" w:cs="宋体"/>
          <w:color w:val="000000" w:themeColor="text1"/>
          <w:sz w:val="24"/>
          <w:lang w:val="en-US" w:eastAsia="zh-CN"/>
          <w14:textFill>
            <w14:solidFill>
              <w14:schemeClr w14:val="tx1"/>
            </w14:solidFill>
          </w14:textFill>
        </w:rPr>
        <w:t>响应</w:t>
      </w:r>
      <w:r>
        <w:rPr>
          <w:rFonts w:hint="eastAsia" w:ascii="宋体" w:hAnsi="宋体" w:cs="宋体"/>
          <w:color w:val="000000" w:themeColor="text1"/>
          <w:sz w:val="24"/>
          <w14:textFill>
            <w14:solidFill>
              <w14:schemeClr w14:val="tx1"/>
            </w14:solidFill>
          </w14:textFill>
        </w:rPr>
        <w:t>文件第几页，偏差包括正偏差和负偏差），未在此表中列出的视同完全满足磋商文件要求。</w:t>
      </w:r>
    </w:p>
    <w:p w14:paraId="523C4D1B">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72415929">
      <w:pPr>
        <w:rPr>
          <w:rFonts w:ascii="宋体" w:hAnsi="宋体" w:cs="宋体"/>
          <w:color w:val="000000" w:themeColor="text1"/>
          <w14:textFill>
            <w14:solidFill>
              <w14:schemeClr w14:val="tx1"/>
            </w14:solidFill>
          </w14:textFill>
        </w:rPr>
      </w:pPr>
    </w:p>
    <w:p w14:paraId="6760735A">
      <w:pPr>
        <w:pStyle w:val="27"/>
        <w:rPr>
          <w:color w:val="000000" w:themeColor="text1"/>
          <w14:textFill>
            <w14:solidFill>
              <w14:schemeClr w14:val="tx1"/>
            </w14:solidFill>
          </w14:textFill>
        </w:rPr>
      </w:pPr>
    </w:p>
    <w:p w14:paraId="582B9804">
      <w:pPr>
        <w:pStyle w:val="16"/>
        <w:tabs>
          <w:tab w:val="left" w:pos="5370"/>
        </w:tabs>
        <w:spacing w:line="240" w:lineRule="atLeast"/>
        <w:ind w:left="1154" w:leftChars="485" w:hanging="136" w:hangingChars="57"/>
        <w:rPr>
          <w:rFonts w:hint="eastAsia"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投标人(盖单位章):</w:t>
      </w:r>
      <w:r>
        <w:rPr>
          <w:rFonts w:hint="eastAsia" w:hAnsi="宋体" w:cs="宋体"/>
          <w:color w:val="000000" w:themeColor="text1"/>
          <w:sz w:val="24"/>
          <w:szCs w:val="24"/>
          <w:u w:val="single"/>
          <w14:textFill>
            <w14:solidFill>
              <w14:schemeClr w14:val="tx1"/>
            </w14:solidFill>
          </w14:textFill>
        </w:rPr>
        <w:tab/>
      </w:r>
      <w:r>
        <w:rPr>
          <w:rFonts w:hint="eastAsia" w:hAnsi="宋体" w:cs="宋体"/>
          <w:color w:val="000000" w:themeColor="text1"/>
          <w:sz w:val="24"/>
          <w:szCs w:val="24"/>
          <w:u w:val="single"/>
          <w14:textFill>
            <w14:solidFill>
              <w14:schemeClr w14:val="tx1"/>
            </w14:solidFill>
          </w14:textFill>
        </w:rPr>
        <w:t xml:space="preserve">      </w:t>
      </w:r>
    </w:p>
    <w:p w14:paraId="20FAC491">
      <w:pPr>
        <w:pStyle w:val="16"/>
        <w:tabs>
          <w:tab w:val="left" w:pos="5370"/>
        </w:tabs>
        <w:spacing w:line="240" w:lineRule="atLeast"/>
        <w:ind w:left="1080" w:leftChars="257" w:hanging="540"/>
        <w:rPr>
          <w:rFonts w:hint="eastAsia" w:hAnsi="宋体" w:cs="宋体"/>
          <w:color w:val="000000" w:themeColor="text1"/>
          <w:sz w:val="24"/>
          <w:szCs w:val="24"/>
          <w:u w:val="single"/>
          <w14:textFill>
            <w14:solidFill>
              <w14:schemeClr w14:val="tx1"/>
            </w14:solidFill>
          </w14:textFill>
        </w:rPr>
      </w:pPr>
    </w:p>
    <w:p w14:paraId="5AAAF167">
      <w:pPr>
        <w:pStyle w:val="35"/>
        <w:ind w:firstLine="960" w:firstLineChars="400"/>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法定代表人或其委托代理人（签/章）:</w:t>
      </w:r>
      <w:r>
        <w:rPr>
          <w:rFonts w:ascii="宋体" w:hAnsi="宋体" w:eastAsia="宋体" w:cs="宋体"/>
          <w:color w:val="000000" w:themeColor="text1"/>
          <w:szCs w:val="24"/>
          <w:u w:val="single"/>
          <w14:textFill>
            <w14:solidFill>
              <w14:schemeClr w14:val="tx1"/>
            </w14:solidFill>
          </w14:textFill>
        </w:rPr>
        <w:t xml:space="preserve">     </w:t>
      </w:r>
      <w:r>
        <w:rPr>
          <w:rFonts w:ascii="宋体" w:hAnsi="宋体" w:eastAsia="宋体" w:cs="宋体"/>
          <w:color w:val="000000" w:themeColor="text1"/>
          <w:szCs w:val="24"/>
          <w:u w:val="single"/>
          <w14:textFill>
            <w14:solidFill>
              <w14:schemeClr w14:val="tx1"/>
            </w14:solidFill>
          </w14:textFill>
        </w:rPr>
        <w:tab/>
      </w:r>
      <w:r>
        <w:rPr>
          <w:rFonts w:ascii="宋体" w:hAnsi="宋体" w:eastAsia="宋体" w:cs="宋体"/>
          <w:color w:val="000000" w:themeColor="text1"/>
          <w:szCs w:val="24"/>
          <w:u w:val="single"/>
          <w14:textFill>
            <w14:solidFill>
              <w14:schemeClr w14:val="tx1"/>
            </w14:solidFill>
          </w14:textFill>
        </w:rPr>
        <w:t xml:space="preserve">   </w:t>
      </w:r>
    </w:p>
    <w:p w14:paraId="005CED81">
      <w:pPr>
        <w:pStyle w:val="16"/>
        <w:tabs>
          <w:tab w:val="left" w:pos="5370"/>
        </w:tabs>
        <w:spacing w:line="240" w:lineRule="atLeast"/>
        <w:ind w:left="1080" w:leftChars="257" w:hanging="540"/>
        <w:rPr>
          <w:rFonts w:hint="eastAsia" w:hAnsi="宋体" w:cs="宋体"/>
          <w:color w:val="000000" w:themeColor="text1"/>
          <w:sz w:val="24"/>
          <w:szCs w:val="24"/>
          <w:u w:val="single"/>
          <w14:textFill>
            <w14:solidFill>
              <w14:schemeClr w14:val="tx1"/>
            </w14:solidFill>
          </w14:textFill>
        </w:rPr>
      </w:pPr>
    </w:p>
    <w:p w14:paraId="76AB8DE5">
      <w:pPr>
        <w:pStyle w:val="16"/>
        <w:spacing w:line="240" w:lineRule="atLeast"/>
        <w:rPr>
          <w:rFonts w:hint="eastAsia" w:hAnsi="宋体" w:cs="宋体"/>
          <w:color w:val="000000" w:themeColor="text1"/>
          <w:sz w:val="24"/>
          <w:szCs w:val="24"/>
          <w14:textFill>
            <w14:solidFill>
              <w14:schemeClr w14:val="tx1"/>
            </w14:solidFill>
          </w14:textFill>
        </w:rPr>
      </w:pPr>
    </w:p>
    <w:p w14:paraId="332221EB">
      <w:pPr>
        <w:pStyle w:val="16"/>
        <w:spacing w:line="240" w:lineRule="atLeast"/>
        <w:rPr>
          <w:rFonts w:hint="eastAsia" w:hAnsi="宋体" w:cs="宋体"/>
          <w:color w:val="000000" w:themeColor="text1"/>
          <w:sz w:val="24"/>
          <w:szCs w:val="24"/>
          <w14:textFill>
            <w14:solidFill>
              <w14:schemeClr w14:val="tx1"/>
            </w14:solidFill>
          </w14:textFill>
        </w:rPr>
      </w:pPr>
    </w:p>
    <w:p w14:paraId="5AD51D71">
      <w:pPr>
        <w:pStyle w:val="16"/>
        <w:spacing w:line="240" w:lineRule="atLeast"/>
        <w:rPr>
          <w:rFonts w:hint="eastAsia" w:hAnsi="宋体" w:cs="宋体"/>
          <w:color w:val="000000" w:themeColor="text1"/>
          <w:sz w:val="24"/>
          <w:szCs w:val="24"/>
          <w14:textFill>
            <w14:solidFill>
              <w14:schemeClr w14:val="tx1"/>
            </w14:solidFill>
          </w14:textFill>
        </w:rPr>
      </w:pPr>
    </w:p>
    <w:p w14:paraId="7B031E0C">
      <w:pPr>
        <w:pStyle w:val="16"/>
        <w:spacing w:line="240" w:lineRule="atLeast"/>
        <w:rPr>
          <w:rFonts w:hint="eastAsia" w:hAnsi="宋体" w:cs="宋体"/>
          <w:color w:val="000000" w:themeColor="text1"/>
          <w:sz w:val="24"/>
          <w:szCs w:val="24"/>
          <w14:textFill>
            <w14:solidFill>
              <w14:schemeClr w14:val="tx1"/>
            </w14:solidFill>
          </w14:textFill>
        </w:rPr>
      </w:pPr>
    </w:p>
    <w:p w14:paraId="7C3F9B7A">
      <w:pPr>
        <w:pStyle w:val="16"/>
        <w:spacing w:line="240" w:lineRule="atLeast"/>
        <w:ind w:left="1080" w:leftChars="257" w:hanging="540"/>
        <w:jc w:val="center"/>
        <w:rPr>
          <w:rFonts w:hint="eastAsia" w:hAnsi="宋体" w:cs="宋体"/>
          <w:b/>
          <w:bCs/>
          <w:color w:val="000000" w:themeColor="text1"/>
          <w:sz w:val="24"/>
          <w:szCs w:val="24"/>
          <w14:textFill>
            <w14:solidFill>
              <w14:schemeClr w14:val="tx1"/>
            </w14:solidFill>
          </w14:textFill>
        </w:rPr>
      </w:pPr>
      <w:bookmarkStart w:id="364" w:name="_Toc515647823"/>
      <w:bookmarkStart w:id="365" w:name="_Toc6055"/>
      <w:bookmarkStart w:id="366" w:name="_Toc388"/>
      <w:bookmarkStart w:id="367" w:name="_Toc15566"/>
      <w:bookmarkStart w:id="368" w:name="_Toc10444"/>
      <w:bookmarkStart w:id="369" w:name="_Toc32368"/>
      <w:bookmarkStart w:id="370" w:name="_Toc22578"/>
      <w:bookmarkStart w:id="371" w:name="_Toc10725"/>
      <w:bookmarkStart w:id="372" w:name="_Toc6526"/>
      <w:bookmarkStart w:id="373" w:name="_Toc29837"/>
      <w:bookmarkStart w:id="374" w:name="_Toc21312"/>
      <w:r>
        <w:rPr>
          <w:rFonts w:hint="eastAsia" w:hAnsi="宋体" w:cs="宋体"/>
          <w:b/>
          <w:bCs/>
          <w:color w:val="000000" w:themeColor="text1"/>
          <w:sz w:val="24"/>
          <w:szCs w:val="24"/>
          <w14:textFill>
            <w14:solidFill>
              <w14:schemeClr w14:val="tx1"/>
            </w14:solidFill>
          </w14:textFill>
        </w:rPr>
        <w:t>5、</w:t>
      </w:r>
      <w:bookmarkEnd w:id="364"/>
      <w:bookmarkEnd w:id="365"/>
      <w:bookmarkEnd w:id="366"/>
      <w:bookmarkEnd w:id="367"/>
      <w:bookmarkEnd w:id="368"/>
      <w:bookmarkEnd w:id="369"/>
      <w:bookmarkEnd w:id="370"/>
      <w:bookmarkEnd w:id="371"/>
      <w:bookmarkEnd w:id="372"/>
      <w:bookmarkEnd w:id="373"/>
      <w:bookmarkEnd w:id="374"/>
      <w:r>
        <w:rPr>
          <w:rFonts w:hint="eastAsia" w:hAnsi="宋体" w:cs="宋体"/>
          <w:b/>
          <w:bCs/>
          <w:color w:val="000000" w:themeColor="text1"/>
          <w:sz w:val="24"/>
          <w:szCs w:val="24"/>
          <w14:textFill>
            <w14:solidFill>
              <w14:schemeClr w14:val="tx1"/>
            </w14:solidFill>
          </w14:textFill>
        </w:rPr>
        <w:t>投标人企业（单位）类型声明函</w:t>
      </w:r>
    </w:p>
    <w:p w14:paraId="5EFE7E86">
      <w:pPr>
        <w:spacing w:line="240" w:lineRule="atLeast"/>
        <w:ind w:left="1080" w:leftChars="257" w:hanging="540"/>
        <w:jc w:val="center"/>
        <w:rPr>
          <w:rFonts w:ascii="方正仿宋_GB2312" w:hAnsi="Arial" w:eastAsia="方正仿宋_GB2312"/>
          <w:b/>
          <w:color w:val="000000" w:themeColor="text1"/>
          <w:kern w:val="0"/>
          <w:sz w:val="24"/>
          <w:szCs w:val="20"/>
          <w14:textFill>
            <w14:solidFill>
              <w14:schemeClr w14:val="tx1"/>
            </w14:solidFill>
          </w14:textFill>
        </w:rPr>
      </w:pPr>
    </w:p>
    <w:p w14:paraId="70FABCB1">
      <w:pPr>
        <w:widowControl/>
        <w:spacing w:before="100" w:beforeAutospacing="1" w:after="100" w:afterAutospacing="1" w:line="330" w:lineRule="atLeast"/>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本企业（单位）郑重声明下列事项（按照实际情况勾选或填空）：</w:t>
      </w:r>
    </w:p>
    <w:p w14:paraId="23AA9AD7">
      <w:pPr>
        <w:widowControl/>
        <w:spacing w:before="100" w:beforeAutospacing="1" w:after="100" w:afterAutospacing="1" w:line="330" w:lineRule="atLeast"/>
        <w:ind w:firstLine="42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1、□本企业（单位）为直接投标人，提供本企业（单位）服务。</w:t>
      </w:r>
    </w:p>
    <w:p w14:paraId="2BD843C1">
      <w:pPr>
        <w:widowControl/>
        <w:spacing w:before="100" w:beforeAutospacing="1" w:after="100" w:afterAutospacing="1" w:line="330" w:lineRule="atLeast"/>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shd w:val="clear" w:color="auto" w:fill="FFFFFF"/>
          <w14:textFill>
            <w14:solidFill>
              <w14:schemeClr w14:val="tx1"/>
            </w14:solidFill>
          </w14:textFill>
        </w:rPr>
        <w:t>《政府采购促进中小企业发展管理办法》（财库﹝2020﹞46号）的规定</w:t>
      </w:r>
      <w:r>
        <w:rPr>
          <w:rFonts w:hint="eastAsia" w:ascii="宋体" w:hAnsi="宋体" w:cs="宋体"/>
          <w:color w:val="000000" w:themeColor="text1"/>
          <w:kern w:val="0"/>
          <w:sz w:val="24"/>
          <w14:textFill>
            <w14:solidFill>
              <w14:schemeClr w14:val="tx1"/>
            </w14:solidFill>
          </w14:textFill>
        </w:rPr>
        <w:t>的划分标准，本企业为______（请填写：中型、小型、微型）企业。</w:t>
      </w:r>
    </w:p>
    <w:p w14:paraId="4E307DAA">
      <w:pPr>
        <w:widowControl/>
        <w:spacing w:before="100" w:beforeAutospacing="1" w:after="100" w:afterAutospacing="1" w:line="330" w:lineRule="atLeast"/>
        <w:ind w:firstLine="42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（2）本企业</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（请填写：是、不是）监狱企业。后附省级以上监狱管理局、戒毒管理局（含新疆生产建设兵团）出具的属于监狱企业的证明文件。</w:t>
      </w:r>
    </w:p>
    <w:p w14:paraId="2AC8C994">
      <w:pPr>
        <w:widowControl/>
        <w:spacing w:before="100" w:beforeAutospacing="1" w:after="100" w:afterAutospacing="1" w:line="330" w:lineRule="atLeast"/>
        <w:ind w:firstLine="42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（3）根据《关于促进残疾人就业政府采购政策的通知》（财库〔2017〕141号）。本单位</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（请填写：是、不是）残疾人福利性单位。</w:t>
      </w:r>
    </w:p>
    <w:p w14:paraId="4821DF71">
      <w:pPr>
        <w:widowControl/>
        <w:spacing w:before="100" w:beforeAutospacing="1" w:after="100" w:afterAutospacing="1" w:line="330" w:lineRule="atLeast"/>
        <w:ind w:firstLine="42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2、□本企业（单位）为联合体一方，提供本企业（单位）服务，由本企业（单位）提供服务。本企业（单位）提供协议合同金额占到共同投标协议合同总金额的比例为</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2189E9FC">
      <w:pPr>
        <w:widowControl/>
        <w:spacing w:before="100" w:beforeAutospacing="1" w:after="100" w:afterAutospacing="1" w:line="330" w:lineRule="atLeas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本企业（单位）对上述声明的真实性负责。如有虚假，将依法承担相应责任。</w:t>
      </w:r>
    </w:p>
    <w:p w14:paraId="347E361A">
      <w:pPr>
        <w:widowControl/>
        <w:spacing w:before="100" w:beforeAutospacing="1" w:after="100" w:afterAutospacing="1" w:line="330" w:lineRule="atLeas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14:paraId="761FA285">
      <w:pPr>
        <w:widowControl/>
        <w:spacing w:before="100" w:beforeAutospacing="1" w:after="100" w:afterAutospacing="1" w:line="330" w:lineRule="atLeast"/>
        <w:jc w:val="left"/>
        <w:rPr>
          <w:rFonts w:hint="eastAsia" w:ascii="宋体" w:hAnsi="宋体" w:cs="宋体"/>
          <w:color w:val="000000" w:themeColor="text1"/>
          <w:kern w:val="0"/>
          <w:sz w:val="24"/>
          <w14:textFill>
            <w14:solidFill>
              <w14:schemeClr w14:val="tx1"/>
            </w14:solidFill>
          </w14:textFill>
        </w:rPr>
      </w:pPr>
    </w:p>
    <w:p w14:paraId="0A885F3A">
      <w:pPr>
        <w:widowControl/>
        <w:spacing w:before="100" w:beforeAutospacing="1" w:after="100" w:afterAutospacing="1" w:line="330" w:lineRule="atLeast"/>
        <w:jc w:val="left"/>
        <w:rPr>
          <w:rFonts w:hint="eastAsia" w:ascii="宋体" w:hAnsi="宋体" w:cs="宋体"/>
          <w:color w:val="000000" w:themeColor="text1"/>
          <w:kern w:val="0"/>
          <w:sz w:val="24"/>
          <w14:textFill>
            <w14:solidFill>
              <w14:schemeClr w14:val="tx1"/>
            </w14:solidFill>
          </w14:textFill>
        </w:rPr>
      </w:pPr>
    </w:p>
    <w:p w14:paraId="5B853852">
      <w:pPr>
        <w:pStyle w:val="27"/>
        <w:rPr>
          <w:rFonts w:hint="eastAsia" w:ascii="宋体" w:hAnsi="宋体" w:cs="宋体"/>
          <w:color w:val="000000" w:themeColor="text1"/>
          <w:kern w:val="0"/>
          <w:sz w:val="24"/>
          <w14:textFill>
            <w14:solidFill>
              <w14:schemeClr w14:val="tx1"/>
            </w14:solidFill>
          </w14:textFill>
        </w:rPr>
      </w:pPr>
    </w:p>
    <w:p w14:paraId="46A2ED31">
      <w:pPr>
        <w:pStyle w:val="2"/>
        <w:rPr>
          <w:rFonts w:hint="eastAsia"/>
          <w:color w:val="000000" w:themeColor="text1"/>
          <w14:textFill>
            <w14:solidFill>
              <w14:schemeClr w14:val="tx1"/>
            </w14:solidFill>
          </w14:textFill>
        </w:rPr>
      </w:pPr>
    </w:p>
    <w:p w14:paraId="71DFD2F1">
      <w:pPr>
        <w:spacing w:line="240" w:lineRule="atLeast"/>
        <w:ind w:left="1080" w:leftChars="257" w:hanging="540"/>
        <w:jc w:val="center"/>
        <w:rPr>
          <w:rFonts w:hint="eastAsia" w:ascii="宋体" w:hAnsi="宋体" w:cs="宋体"/>
          <w:b/>
          <w:color w:val="000000" w:themeColor="text1"/>
          <w:kern w:val="0"/>
          <w:sz w:val="24"/>
          <w:szCs w:val="20"/>
          <w14:textFill>
            <w14:solidFill>
              <w14:schemeClr w14:val="tx1"/>
            </w14:solidFill>
          </w14:textFill>
        </w:rPr>
      </w:pPr>
      <w:r>
        <w:rPr>
          <w:rFonts w:hint="eastAsia" w:ascii="宋体" w:hAnsi="宋体" w:cs="宋体"/>
          <w:b/>
          <w:color w:val="000000" w:themeColor="text1"/>
          <w:kern w:val="0"/>
          <w:sz w:val="24"/>
          <w:szCs w:val="20"/>
          <w14:textFill>
            <w14:solidFill>
              <w14:schemeClr w14:val="tx1"/>
            </w14:solidFill>
          </w14:textFill>
        </w:rPr>
        <w:t>　</w:t>
      </w:r>
    </w:p>
    <w:p w14:paraId="08A03041">
      <w:pPr>
        <w:widowControl/>
        <w:spacing w:before="100" w:beforeAutospacing="1" w:after="100" w:afterAutospacing="1" w:line="330" w:lineRule="atLeast"/>
        <w:ind w:firstLine="3960" w:firstLineChars="165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投标人名称（盖单位章）：</w:t>
      </w:r>
      <w:r>
        <w:rPr>
          <w:rFonts w:hint="eastAsia" w:ascii="宋体" w:hAnsi="宋体" w:cs="宋体"/>
          <w:color w:val="000000" w:themeColor="text1"/>
          <w:kern w:val="0"/>
          <w:sz w:val="24"/>
          <w:u w:val="single"/>
          <w14:textFill>
            <w14:solidFill>
              <w14:schemeClr w14:val="tx1"/>
            </w14:solidFill>
          </w14:textFill>
        </w:rPr>
        <w:t xml:space="preserve">             </w:t>
      </w:r>
    </w:p>
    <w:p w14:paraId="7E99A879">
      <w:pPr>
        <w:widowControl/>
        <w:spacing w:before="100" w:beforeAutospacing="1" w:after="100" w:afterAutospacing="1" w:line="330" w:lineRule="atLeast"/>
        <w:ind w:firstLine="3720" w:firstLineChars="1550"/>
        <w:jc w:val="left"/>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日　                期：</w:t>
      </w:r>
      <w:r>
        <w:rPr>
          <w:rFonts w:hint="eastAsia" w:ascii="宋体" w:hAnsi="宋体" w:cs="宋体"/>
          <w:color w:val="000000" w:themeColor="text1"/>
          <w:kern w:val="0"/>
          <w:sz w:val="24"/>
          <w:u w:val="single"/>
          <w14:textFill>
            <w14:solidFill>
              <w14:schemeClr w14:val="tx1"/>
            </w14:solidFill>
          </w14:textFill>
        </w:rPr>
        <w:t xml:space="preserve">             </w:t>
      </w:r>
    </w:p>
    <w:p w14:paraId="1B993043">
      <w:pPr>
        <w:rPr>
          <w:rFonts w:hint="eastAsia" w:ascii="微软雅黑" w:hAnsi="微软雅黑" w:eastAsia="微软雅黑" w:cs="微软雅黑"/>
          <w:b/>
          <w:bCs/>
          <w:color w:val="000000" w:themeColor="text1"/>
          <w:kern w:val="0"/>
          <w:sz w:val="32"/>
          <w:szCs w:val="32"/>
          <w14:textFill>
            <w14:solidFill>
              <w14:schemeClr w14:val="tx1"/>
            </w14:solidFill>
          </w14:textFill>
        </w:rPr>
      </w:pPr>
    </w:p>
    <w:p w14:paraId="38DA80BD">
      <w:pPr>
        <w:rPr>
          <w:rFonts w:hint="eastAsia" w:ascii="微软雅黑" w:hAnsi="微软雅黑" w:eastAsia="微软雅黑" w:cs="微软雅黑"/>
          <w:b/>
          <w:bCs/>
          <w:color w:val="000000" w:themeColor="text1"/>
          <w:kern w:val="0"/>
          <w:sz w:val="32"/>
          <w:szCs w:val="32"/>
          <w14:textFill>
            <w14:solidFill>
              <w14:schemeClr w14:val="tx1"/>
            </w14:solidFill>
          </w14:textFill>
        </w:rPr>
      </w:pPr>
    </w:p>
    <w:p w14:paraId="17F4E726">
      <w:pPr>
        <w:rPr>
          <w:rFonts w:hint="eastAsia" w:ascii="微软雅黑" w:hAnsi="微软雅黑" w:eastAsia="微软雅黑" w:cs="微软雅黑"/>
          <w:b/>
          <w:bCs/>
          <w:color w:val="000000" w:themeColor="text1"/>
          <w:kern w:val="0"/>
          <w:sz w:val="32"/>
          <w:szCs w:val="32"/>
          <w14:textFill>
            <w14:solidFill>
              <w14:schemeClr w14:val="tx1"/>
            </w14:solidFill>
          </w14:textFill>
        </w:rPr>
      </w:pPr>
    </w:p>
    <w:p w14:paraId="1FAB3845">
      <w:pPr>
        <w:pStyle w:val="4"/>
        <w:spacing w:before="0"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5-1、中小企业声明函</w:t>
      </w:r>
    </w:p>
    <w:p w14:paraId="3283210F">
      <w:pPr>
        <w:widowControl/>
        <w:spacing w:before="100" w:beforeAutospacing="1" w:after="100" w:afterAutospacing="1" w:line="348" w:lineRule="atLeast"/>
        <w:ind w:firstLine="676" w:firstLineChars="282"/>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本公司（联合体）郑重声明，根据《政府采购促进中小企业发展管理办法》（财库﹝2020﹞46号）的规定，本公司参加</w:t>
      </w:r>
      <w:r>
        <w:rPr>
          <w:rFonts w:hint="eastAsia" w:ascii="宋体" w:hAnsi="宋体" w:cs="宋体"/>
          <w:color w:val="000000" w:themeColor="text1"/>
          <w:kern w:val="0"/>
          <w:sz w:val="24"/>
          <w:u w:val="single"/>
          <w:shd w:val="clear" w:color="auto" w:fill="FFFFFF"/>
          <w14:textFill>
            <w14:solidFill>
              <w14:schemeClr w14:val="tx1"/>
            </w14:solidFill>
          </w14:textFill>
        </w:rPr>
        <w:t>     （单位名称）</w:t>
      </w:r>
      <w:r>
        <w:rPr>
          <w:rFonts w:hint="eastAsia" w:ascii="宋体" w:hAnsi="宋体" w:cs="宋体"/>
          <w:color w:val="000000" w:themeColor="text1"/>
          <w:kern w:val="0"/>
          <w:sz w:val="24"/>
          <w:shd w:val="clear" w:color="auto" w:fill="FFFFFF"/>
          <w14:textFill>
            <w14:solidFill>
              <w14:schemeClr w14:val="tx1"/>
            </w14:solidFill>
          </w14:textFill>
        </w:rPr>
        <w:t>的</w:t>
      </w:r>
      <w:r>
        <w:rPr>
          <w:rFonts w:hint="eastAsia" w:ascii="宋体" w:hAnsi="宋体" w:cs="宋体"/>
          <w:color w:val="000000" w:themeColor="text1"/>
          <w:kern w:val="0"/>
          <w:sz w:val="24"/>
          <w:u w:val="single"/>
          <w:shd w:val="clear" w:color="auto" w:fill="FFFFFF"/>
          <w14:textFill>
            <w14:solidFill>
              <w14:schemeClr w14:val="tx1"/>
            </w14:solidFill>
          </w14:textFill>
        </w:rPr>
        <w:t>    （项目名称）</w:t>
      </w:r>
      <w:r>
        <w:rPr>
          <w:rFonts w:hint="eastAsia" w:ascii="宋体" w:hAnsi="宋体" w:cs="宋体"/>
          <w:color w:val="000000" w:themeColor="text1"/>
          <w:kern w:val="0"/>
          <w:sz w:val="24"/>
          <w:shd w:val="clear" w:color="auto" w:fill="FFFFFF"/>
          <w14:textFill>
            <w14:solidFill>
              <w14:schemeClr w14:val="tx1"/>
            </w14:solidFill>
          </w14:textFill>
        </w:rPr>
        <w:t>采购活动，服务全部由符合政策要求的中小企业承接。相关企业（含联合体中的中小企业、签订分包意向协议的中小企业）的具体情况如下：</w:t>
      </w:r>
    </w:p>
    <w:p w14:paraId="5FCE40DE">
      <w:pPr>
        <w:widowControl/>
        <w:spacing w:before="100" w:beforeAutospacing="1" w:after="100" w:afterAutospacing="1" w:line="348" w:lineRule="atLeast"/>
        <w:ind w:firstLine="384"/>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1.</w:t>
      </w:r>
      <w:r>
        <w:rPr>
          <w:rFonts w:hint="eastAsia" w:ascii="宋体" w:hAnsi="宋体" w:cs="宋体"/>
          <w:color w:val="000000" w:themeColor="text1"/>
          <w:kern w:val="0"/>
          <w:sz w:val="24"/>
          <w:u w:val="single"/>
          <w:shd w:val="clear" w:color="auto" w:fill="FFFFFF"/>
          <w14:textFill>
            <w14:solidFill>
              <w14:schemeClr w14:val="tx1"/>
            </w14:solidFill>
          </w14:textFill>
        </w:rPr>
        <w:t>     （标的名称）</w:t>
      </w:r>
      <w:r>
        <w:rPr>
          <w:rFonts w:hint="eastAsia" w:ascii="宋体" w:hAnsi="宋体" w:cs="宋体"/>
          <w:color w:val="000000" w:themeColor="text1"/>
          <w:kern w:val="0"/>
          <w:sz w:val="24"/>
          <w:shd w:val="clear" w:color="auto" w:fill="FFFFFF"/>
          <w14:textFill>
            <w14:solidFill>
              <w14:schemeClr w14:val="tx1"/>
            </w14:solidFill>
          </w14:textFill>
        </w:rPr>
        <w:t>，属于</w:t>
      </w:r>
      <w:r>
        <w:rPr>
          <w:rFonts w:hint="eastAsia" w:ascii="宋体" w:hAnsi="宋体" w:cs="宋体"/>
          <w:color w:val="000000" w:themeColor="text1"/>
          <w:kern w:val="0"/>
          <w:sz w:val="24"/>
          <w:u w:val="single"/>
          <w:shd w:val="clear" w:color="auto" w:fill="FFFFFF"/>
          <w14:textFill>
            <w14:solidFill>
              <w14:schemeClr w14:val="tx1"/>
            </w14:solidFill>
          </w14:textFill>
        </w:rPr>
        <w:t>     （采购文件中明确的所属行业）</w:t>
      </w:r>
      <w:r>
        <w:rPr>
          <w:rFonts w:hint="eastAsia" w:ascii="宋体" w:hAnsi="宋体" w:cs="宋体"/>
          <w:color w:val="000000" w:themeColor="text1"/>
          <w:kern w:val="0"/>
          <w:sz w:val="24"/>
          <w:shd w:val="clear" w:color="auto" w:fill="FFFFFF"/>
          <w14:textFill>
            <w14:solidFill>
              <w14:schemeClr w14:val="tx1"/>
            </w14:solidFill>
          </w14:textFill>
        </w:rPr>
        <w:t>行业；承接企业为</w:t>
      </w:r>
      <w:r>
        <w:rPr>
          <w:rFonts w:hint="eastAsia" w:ascii="宋体" w:hAnsi="宋体" w:cs="宋体"/>
          <w:color w:val="000000" w:themeColor="text1"/>
          <w:kern w:val="0"/>
          <w:sz w:val="24"/>
          <w:u w:val="single"/>
          <w:shd w:val="clear" w:color="auto" w:fill="FFFFFF"/>
          <w14:textFill>
            <w14:solidFill>
              <w14:schemeClr w14:val="tx1"/>
            </w14:solidFill>
          </w14:textFill>
        </w:rPr>
        <w:t>       （企业名称）</w:t>
      </w:r>
      <w:r>
        <w:rPr>
          <w:rFonts w:hint="eastAsia" w:ascii="宋体" w:hAnsi="宋体" w:cs="宋体"/>
          <w:color w:val="000000" w:themeColor="text1"/>
          <w:kern w:val="0"/>
          <w:sz w:val="24"/>
          <w:shd w:val="clear" w:color="auto" w:fill="FFFFFF"/>
          <w14:textFill>
            <w14:solidFill>
              <w14:schemeClr w14:val="tx1"/>
            </w14:solidFill>
          </w14:textFill>
        </w:rPr>
        <w:t>，从业人员</w:t>
      </w:r>
      <w:r>
        <w:rPr>
          <w:rFonts w:hint="eastAsia" w:ascii="宋体" w:hAnsi="宋体" w:cs="宋体"/>
          <w:color w:val="000000" w:themeColor="text1"/>
          <w:kern w:val="0"/>
          <w:sz w:val="24"/>
          <w:u w:val="single"/>
          <w:shd w:val="clear" w:color="auto" w:fill="FFFFFF"/>
          <w14:textFill>
            <w14:solidFill>
              <w14:schemeClr w14:val="tx1"/>
            </w14:solidFill>
          </w14:textFill>
        </w:rPr>
        <w:t>    </w:t>
      </w:r>
      <w:r>
        <w:rPr>
          <w:rFonts w:hint="eastAsia" w:ascii="宋体" w:hAnsi="宋体" w:cs="宋体"/>
          <w:color w:val="000000" w:themeColor="text1"/>
          <w:kern w:val="0"/>
          <w:sz w:val="24"/>
          <w:shd w:val="clear" w:color="auto" w:fill="FFFFFF"/>
          <w14:textFill>
            <w14:solidFill>
              <w14:schemeClr w14:val="tx1"/>
            </w14:solidFill>
          </w14:textFill>
        </w:rPr>
        <w:t>人，营业收入为</w:t>
      </w:r>
      <w:r>
        <w:rPr>
          <w:rFonts w:hint="eastAsia" w:ascii="宋体" w:hAnsi="宋体" w:cs="宋体"/>
          <w:color w:val="000000" w:themeColor="text1"/>
          <w:kern w:val="0"/>
          <w:sz w:val="24"/>
          <w:u w:val="single"/>
          <w:shd w:val="clear" w:color="auto" w:fill="FFFFFF"/>
          <w14:textFill>
            <w14:solidFill>
              <w14:schemeClr w14:val="tx1"/>
            </w14:solidFill>
          </w14:textFill>
        </w:rPr>
        <w:t>    </w:t>
      </w:r>
      <w:r>
        <w:rPr>
          <w:rFonts w:hint="eastAsia" w:ascii="宋体" w:hAnsi="宋体" w:cs="宋体"/>
          <w:color w:val="000000" w:themeColor="text1"/>
          <w:kern w:val="0"/>
          <w:sz w:val="24"/>
          <w:shd w:val="clear" w:color="auto" w:fill="FFFFFF"/>
          <w14:textFill>
            <w14:solidFill>
              <w14:schemeClr w14:val="tx1"/>
            </w14:solidFill>
          </w14:textFill>
        </w:rPr>
        <w:t>万元，资产总额为</w:t>
      </w:r>
      <w:r>
        <w:rPr>
          <w:rFonts w:hint="eastAsia" w:ascii="宋体" w:hAnsi="宋体" w:cs="宋体"/>
          <w:color w:val="000000" w:themeColor="text1"/>
          <w:kern w:val="0"/>
          <w:sz w:val="24"/>
          <w:u w:val="single"/>
          <w:shd w:val="clear" w:color="auto" w:fill="FFFFFF"/>
          <w14:textFill>
            <w14:solidFill>
              <w14:schemeClr w14:val="tx1"/>
            </w14:solidFill>
          </w14:textFill>
        </w:rPr>
        <w:t>   </w:t>
      </w:r>
      <w:r>
        <w:rPr>
          <w:rFonts w:hint="eastAsia" w:ascii="宋体" w:hAnsi="宋体" w:cs="宋体"/>
          <w:color w:val="000000" w:themeColor="text1"/>
          <w:kern w:val="0"/>
          <w:sz w:val="24"/>
          <w:shd w:val="clear" w:color="auto" w:fill="FFFFFF"/>
          <w14:textFill>
            <w14:solidFill>
              <w14:schemeClr w14:val="tx1"/>
            </w14:solidFill>
          </w14:textFill>
        </w:rPr>
        <w:t>万元，属于</w:t>
      </w:r>
      <w:r>
        <w:rPr>
          <w:rFonts w:hint="eastAsia" w:ascii="宋体" w:hAnsi="宋体" w:cs="宋体"/>
          <w:color w:val="000000" w:themeColor="text1"/>
          <w:kern w:val="0"/>
          <w:sz w:val="24"/>
          <w:u w:val="single"/>
          <w:shd w:val="clear" w:color="auto" w:fill="FFFFFF"/>
          <w14:textFill>
            <w14:solidFill>
              <w14:schemeClr w14:val="tx1"/>
            </w14:solidFill>
          </w14:textFill>
        </w:rPr>
        <w:t>     （中型企业、小型企业、微型企业）</w:t>
      </w:r>
      <w:r>
        <w:rPr>
          <w:rFonts w:hint="eastAsia" w:ascii="宋体" w:hAnsi="宋体" w:cs="宋体"/>
          <w:color w:val="000000" w:themeColor="text1"/>
          <w:kern w:val="0"/>
          <w:sz w:val="24"/>
          <w:shd w:val="clear" w:color="auto" w:fill="FFFFFF"/>
          <w14:textFill>
            <w14:solidFill>
              <w14:schemeClr w14:val="tx1"/>
            </w14:solidFill>
          </w14:textFill>
        </w:rPr>
        <w:t>；</w:t>
      </w:r>
    </w:p>
    <w:p w14:paraId="0F617830">
      <w:pPr>
        <w:widowControl/>
        <w:spacing w:before="100" w:beforeAutospacing="1" w:after="100" w:afterAutospacing="1" w:line="348" w:lineRule="atLeast"/>
        <w:ind w:firstLine="384"/>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2.</w:t>
      </w:r>
      <w:r>
        <w:rPr>
          <w:rFonts w:hint="eastAsia" w:ascii="宋体" w:hAnsi="宋体" w:cs="宋体"/>
          <w:color w:val="000000" w:themeColor="text1"/>
          <w:kern w:val="0"/>
          <w:sz w:val="24"/>
          <w:u w:val="single"/>
          <w:shd w:val="clear" w:color="auto" w:fill="FFFFFF"/>
          <w14:textFill>
            <w14:solidFill>
              <w14:schemeClr w14:val="tx1"/>
            </w14:solidFill>
          </w14:textFill>
        </w:rPr>
        <w:t>     （标的名称）</w:t>
      </w:r>
      <w:r>
        <w:rPr>
          <w:rFonts w:hint="eastAsia" w:ascii="宋体" w:hAnsi="宋体" w:cs="宋体"/>
          <w:color w:val="000000" w:themeColor="text1"/>
          <w:kern w:val="0"/>
          <w:sz w:val="24"/>
          <w:shd w:val="clear" w:color="auto" w:fill="FFFFFF"/>
          <w14:textFill>
            <w14:solidFill>
              <w14:schemeClr w14:val="tx1"/>
            </w14:solidFill>
          </w14:textFill>
        </w:rPr>
        <w:t>，属于</w:t>
      </w:r>
      <w:r>
        <w:rPr>
          <w:rFonts w:hint="eastAsia" w:ascii="宋体" w:hAnsi="宋体" w:cs="宋体"/>
          <w:color w:val="000000" w:themeColor="text1"/>
          <w:kern w:val="0"/>
          <w:sz w:val="24"/>
          <w:u w:val="single"/>
          <w:shd w:val="clear" w:color="auto" w:fill="FFFFFF"/>
          <w14:textFill>
            <w14:solidFill>
              <w14:schemeClr w14:val="tx1"/>
            </w14:solidFill>
          </w14:textFill>
        </w:rPr>
        <w:t>     （采购文件中明确的所属行业）</w:t>
      </w:r>
      <w:r>
        <w:rPr>
          <w:rFonts w:hint="eastAsia" w:ascii="宋体" w:hAnsi="宋体" w:cs="宋体"/>
          <w:color w:val="000000" w:themeColor="text1"/>
          <w:kern w:val="0"/>
          <w:sz w:val="24"/>
          <w:shd w:val="clear" w:color="auto" w:fill="FFFFFF"/>
          <w14:textFill>
            <w14:solidFill>
              <w14:schemeClr w14:val="tx1"/>
            </w14:solidFill>
          </w14:textFill>
        </w:rPr>
        <w:t>行业；承接企业为</w:t>
      </w:r>
      <w:r>
        <w:rPr>
          <w:rFonts w:hint="eastAsia" w:ascii="宋体" w:hAnsi="宋体" w:cs="宋体"/>
          <w:color w:val="000000" w:themeColor="text1"/>
          <w:kern w:val="0"/>
          <w:sz w:val="24"/>
          <w:u w:val="single"/>
          <w:shd w:val="clear" w:color="auto" w:fill="FFFFFF"/>
          <w14:textFill>
            <w14:solidFill>
              <w14:schemeClr w14:val="tx1"/>
            </w14:solidFill>
          </w14:textFill>
        </w:rPr>
        <w:t>       （企业名称）</w:t>
      </w:r>
      <w:r>
        <w:rPr>
          <w:rFonts w:hint="eastAsia" w:ascii="宋体" w:hAnsi="宋体" w:cs="宋体"/>
          <w:color w:val="000000" w:themeColor="text1"/>
          <w:kern w:val="0"/>
          <w:sz w:val="24"/>
          <w:shd w:val="clear" w:color="auto" w:fill="FFFFFF"/>
          <w14:textFill>
            <w14:solidFill>
              <w14:schemeClr w14:val="tx1"/>
            </w14:solidFill>
          </w14:textFill>
        </w:rPr>
        <w:t>，从业人员</w:t>
      </w:r>
      <w:r>
        <w:rPr>
          <w:rFonts w:hint="eastAsia" w:ascii="宋体" w:hAnsi="宋体" w:cs="宋体"/>
          <w:color w:val="000000" w:themeColor="text1"/>
          <w:kern w:val="0"/>
          <w:sz w:val="24"/>
          <w:u w:val="single"/>
          <w:shd w:val="clear" w:color="auto" w:fill="FFFFFF"/>
          <w14:textFill>
            <w14:solidFill>
              <w14:schemeClr w14:val="tx1"/>
            </w14:solidFill>
          </w14:textFill>
        </w:rPr>
        <w:t>    </w:t>
      </w:r>
      <w:r>
        <w:rPr>
          <w:rFonts w:hint="eastAsia" w:ascii="宋体" w:hAnsi="宋体" w:cs="宋体"/>
          <w:color w:val="000000" w:themeColor="text1"/>
          <w:kern w:val="0"/>
          <w:sz w:val="24"/>
          <w:shd w:val="clear" w:color="auto" w:fill="FFFFFF"/>
          <w14:textFill>
            <w14:solidFill>
              <w14:schemeClr w14:val="tx1"/>
            </w14:solidFill>
          </w14:textFill>
        </w:rPr>
        <w:t>人，营业收入为</w:t>
      </w:r>
      <w:r>
        <w:rPr>
          <w:rFonts w:hint="eastAsia" w:ascii="宋体" w:hAnsi="宋体" w:cs="宋体"/>
          <w:color w:val="000000" w:themeColor="text1"/>
          <w:kern w:val="0"/>
          <w:sz w:val="24"/>
          <w:u w:val="single"/>
          <w:shd w:val="clear" w:color="auto" w:fill="FFFFFF"/>
          <w14:textFill>
            <w14:solidFill>
              <w14:schemeClr w14:val="tx1"/>
            </w14:solidFill>
          </w14:textFill>
        </w:rPr>
        <w:t>    </w:t>
      </w:r>
      <w:r>
        <w:rPr>
          <w:rFonts w:hint="eastAsia" w:ascii="宋体" w:hAnsi="宋体" w:cs="宋体"/>
          <w:color w:val="000000" w:themeColor="text1"/>
          <w:kern w:val="0"/>
          <w:sz w:val="24"/>
          <w:shd w:val="clear" w:color="auto" w:fill="FFFFFF"/>
          <w14:textFill>
            <w14:solidFill>
              <w14:schemeClr w14:val="tx1"/>
            </w14:solidFill>
          </w14:textFill>
        </w:rPr>
        <w:t>万元，资产总额为</w:t>
      </w:r>
      <w:r>
        <w:rPr>
          <w:rFonts w:hint="eastAsia" w:ascii="宋体" w:hAnsi="宋体" w:cs="宋体"/>
          <w:color w:val="000000" w:themeColor="text1"/>
          <w:kern w:val="0"/>
          <w:sz w:val="24"/>
          <w:u w:val="single"/>
          <w:shd w:val="clear" w:color="auto" w:fill="FFFFFF"/>
          <w14:textFill>
            <w14:solidFill>
              <w14:schemeClr w14:val="tx1"/>
            </w14:solidFill>
          </w14:textFill>
        </w:rPr>
        <w:t>   </w:t>
      </w:r>
      <w:r>
        <w:rPr>
          <w:rFonts w:hint="eastAsia" w:ascii="宋体" w:hAnsi="宋体" w:cs="宋体"/>
          <w:color w:val="000000" w:themeColor="text1"/>
          <w:kern w:val="0"/>
          <w:sz w:val="24"/>
          <w:shd w:val="clear" w:color="auto" w:fill="FFFFFF"/>
          <w14:textFill>
            <w14:solidFill>
              <w14:schemeClr w14:val="tx1"/>
            </w14:solidFill>
          </w14:textFill>
        </w:rPr>
        <w:t>万元，属于</w:t>
      </w:r>
      <w:r>
        <w:rPr>
          <w:rFonts w:hint="eastAsia" w:ascii="宋体" w:hAnsi="宋体" w:cs="宋体"/>
          <w:color w:val="000000" w:themeColor="text1"/>
          <w:kern w:val="0"/>
          <w:sz w:val="24"/>
          <w:u w:val="single"/>
          <w:shd w:val="clear" w:color="auto" w:fill="FFFFFF"/>
          <w14:textFill>
            <w14:solidFill>
              <w14:schemeClr w14:val="tx1"/>
            </w14:solidFill>
          </w14:textFill>
        </w:rPr>
        <w:t>     （中型企业、小型企业、微型企业）</w:t>
      </w:r>
      <w:r>
        <w:rPr>
          <w:rFonts w:hint="eastAsia" w:ascii="宋体" w:hAnsi="宋体" w:cs="宋体"/>
          <w:color w:val="000000" w:themeColor="text1"/>
          <w:kern w:val="0"/>
          <w:sz w:val="24"/>
          <w:shd w:val="clear" w:color="auto" w:fill="FFFFFF"/>
          <w14:textFill>
            <w14:solidFill>
              <w14:schemeClr w14:val="tx1"/>
            </w14:solidFill>
          </w14:textFill>
        </w:rPr>
        <w:t>；</w:t>
      </w:r>
    </w:p>
    <w:p w14:paraId="010AE07B">
      <w:pPr>
        <w:widowControl/>
        <w:spacing w:before="100" w:beforeAutospacing="1" w:after="100" w:afterAutospacing="1" w:line="348" w:lineRule="atLeast"/>
        <w:ind w:firstLine="384"/>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w:t>
      </w:r>
    </w:p>
    <w:p w14:paraId="49C14A60">
      <w:pPr>
        <w:widowControl/>
        <w:spacing w:before="100" w:beforeAutospacing="1" w:after="100" w:afterAutospacing="1" w:line="348" w:lineRule="atLeast"/>
        <w:ind w:firstLine="384"/>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以上企业，不属于大企业的分支机构，不存在控股股东为大企业的情形，也不存在与大企业的负责人为同一人的情形。</w:t>
      </w:r>
    </w:p>
    <w:p w14:paraId="70F94102">
      <w:pPr>
        <w:widowControl/>
        <w:spacing w:before="100" w:beforeAutospacing="1" w:after="100" w:afterAutospacing="1" w:line="348" w:lineRule="atLeast"/>
        <w:ind w:firstLine="384"/>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本企业对上述声明内容的真实性负责。如有虚假，将依法承担相应责任。</w:t>
      </w:r>
    </w:p>
    <w:p w14:paraId="054B8AD5">
      <w:pPr>
        <w:widowControl/>
        <w:spacing w:before="100" w:beforeAutospacing="1" w:after="100" w:afterAutospacing="1" w:line="348" w:lineRule="atLeast"/>
        <w:ind w:firstLine="384"/>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  </w:t>
      </w:r>
    </w:p>
    <w:p w14:paraId="4ECAF0E8">
      <w:pPr>
        <w:widowControl/>
        <w:spacing w:before="100" w:beforeAutospacing="1" w:after="100" w:afterAutospacing="1" w:line="348" w:lineRule="atLeast"/>
        <w:ind w:firstLine="4224"/>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企业名称（盖章）：</w:t>
      </w:r>
    </w:p>
    <w:p w14:paraId="1477D46D">
      <w:pPr>
        <w:jc w:val="center"/>
        <w:rPr>
          <w:rFonts w:hint="eastAsia"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 xml:space="preserve">        日 期：</w:t>
      </w:r>
    </w:p>
    <w:p w14:paraId="6B8310E6">
      <w:pPr>
        <w:rPr>
          <w:rFonts w:hint="eastAsia" w:ascii="微软雅黑" w:hAnsi="微软雅黑" w:eastAsia="微软雅黑" w:cs="微软雅黑"/>
          <w:b/>
          <w:bCs/>
          <w:color w:val="000000" w:themeColor="text1"/>
          <w:kern w:val="0"/>
          <w:sz w:val="32"/>
          <w:szCs w:val="32"/>
          <w14:textFill>
            <w14:solidFill>
              <w14:schemeClr w14:val="tx1"/>
            </w14:solidFill>
          </w14:textFill>
        </w:rPr>
      </w:pPr>
    </w:p>
    <w:p w14:paraId="0AB3ACF9">
      <w:pPr>
        <w:rPr>
          <w:rFonts w:hint="eastAsia" w:ascii="微软雅黑" w:hAnsi="微软雅黑" w:eastAsia="微软雅黑" w:cs="微软雅黑"/>
          <w:b/>
          <w:bCs/>
          <w:color w:val="000000" w:themeColor="text1"/>
          <w:kern w:val="0"/>
          <w:sz w:val="32"/>
          <w:szCs w:val="32"/>
          <w14:textFill>
            <w14:solidFill>
              <w14:schemeClr w14:val="tx1"/>
            </w14:solidFill>
          </w14:textFill>
        </w:rPr>
      </w:pPr>
    </w:p>
    <w:p w14:paraId="66C74E26">
      <w:pPr>
        <w:rPr>
          <w:rFonts w:hint="eastAsia" w:ascii="微软雅黑" w:hAnsi="微软雅黑" w:eastAsia="微软雅黑" w:cs="微软雅黑"/>
          <w:b/>
          <w:bCs/>
          <w:color w:val="000000" w:themeColor="text1"/>
          <w:kern w:val="0"/>
          <w:sz w:val="32"/>
          <w:szCs w:val="32"/>
          <w14:textFill>
            <w14:solidFill>
              <w14:schemeClr w14:val="tx1"/>
            </w14:solidFill>
          </w14:textFill>
        </w:rPr>
      </w:pPr>
    </w:p>
    <w:p w14:paraId="5A729412">
      <w:pPr>
        <w:pStyle w:val="2"/>
        <w:rPr>
          <w:rFonts w:hint="eastAsia"/>
          <w:color w:val="000000" w:themeColor="text1"/>
          <w14:textFill>
            <w14:solidFill>
              <w14:schemeClr w14:val="tx1"/>
            </w14:solidFill>
          </w14:textFill>
        </w:rPr>
      </w:pPr>
    </w:p>
    <w:p w14:paraId="55E89CDA">
      <w:pPr>
        <w:pStyle w:val="35"/>
        <w:ind w:firstLine="240"/>
        <w:rPr>
          <w:color w:val="000000" w:themeColor="text1"/>
          <w14:textFill>
            <w14:solidFill>
              <w14:schemeClr w14:val="tx1"/>
            </w14:solidFill>
          </w14:textFill>
        </w:rPr>
      </w:pPr>
    </w:p>
    <w:p w14:paraId="5E3FC3C7">
      <w:pPr>
        <w:keepNext w:val="0"/>
        <w:keepLines w:val="0"/>
        <w:widowControl/>
        <w:suppressLineNumbers w:val="0"/>
        <w:jc w:val="left"/>
        <w:rPr>
          <w:rFonts w:ascii="宋体" w:hAnsi="宋体" w:eastAsia="微软雅黑" w:cs="宋体"/>
          <w:b/>
          <w:bCs/>
          <w:color w:val="000000" w:themeColor="text1"/>
          <w:kern w:val="0"/>
          <w:sz w:val="32"/>
          <w:szCs w:val="32"/>
          <w14:textFill>
            <w14:solidFill>
              <w14:schemeClr w14:val="tx1"/>
            </w14:solidFill>
          </w14:textFill>
        </w:rPr>
      </w:pPr>
      <w:r>
        <w:rPr>
          <w:rFonts w:hint="eastAsia" w:ascii="微软雅黑" w:hAnsi="微软雅黑" w:eastAsia="微软雅黑" w:cs="微软雅黑"/>
          <w:b/>
          <w:bCs/>
          <w:color w:val="000000" w:themeColor="text1"/>
          <w:kern w:val="0"/>
          <w:sz w:val="32"/>
          <w:szCs w:val="32"/>
          <w14:textFill>
            <w14:solidFill>
              <w14:schemeClr w14:val="tx1"/>
            </w14:solidFill>
          </w14:textFill>
        </w:rPr>
        <w:t>本项目所属行业为</w:t>
      </w:r>
      <w:r>
        <w:rPr>
          <w:rFonts w:hint="eastAsia" w:ascii="微软雅黑" w:hAnsi="微软雅黑" w:eastAsia="微软雅黑" w:cs="微软雅黑"/>
          <w:b/>
          <w:bCs/>
          <w:color w:val="000000" w:themeColor="text1"/>
          <w:kern w:val="0"/>
          <w:sz w:val="32"/>
          <w:szCs w:val="32"/>
          <w:lang w:val="en-US" w:eastAsia="zh-CN"/>
          <w14:textFill>
            <w14:solidFill>
              <w14:schemeClr w14:val="tx1"/>
            </w14:solidFill>
          </w14:textFill>
        </w:rPr>
        <w:t>餐饮业</w:t>
      </w:r>
      <w:r>
        <w:rPr>
          <w:rFonts w:hint="eastAsia" w:ascii="微软雅黑" w:hAnsi="微软雅黑" w:eastAsia="微软雅黑" w:cs="微软雅黑"/>
          <w:b/>
          <w:bCs/>
          <w:color w:val="000000" w:themeColor="text1"/>
          <w:kern w:val="0"/>
          <w:sz w:val="32"/>
          <w:szCs w:val="32"/>
          <w14:textFill>
            <w14:solidFill>
              <w14:schemeClr w14:val="tx1"/>
            </w14:solidFill>
          </w14:textFill>
        </w:rPr>
        <w:t>。</w:t>
      </w:r>
    </w:p>
    <w:p w14:paraId="16F6F3CB">
      <w:pP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注：潜在投标企业属于中小微企业的，请在投标文件中提供“投标人企业（单位）类型声明函”，如果未提供或提供虚假的“中小企业声明函”，投标企业将承担由此造成的一切不利后果。</w:t>
      </w:r>
    </w:p>
    <w:p w14:paraId="4DBB528C">
      <w:pPr>
        <w:jc w:val="left"/>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附：</w:t>
      </w:r>
    </w:p>
    <w:p w14:paraId="7D3395F5">
      <w:pPr>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中小微企业划型标准</w:t>
      </w:r>
    </w:p>
    <w:tbl>
      <w:tblPr>
        <w:tblStyle w:val="37"/>
        <w:tblW w:w="9610" w:type="dxa"/>
        <w:jc w:val="center"/>
        <w:tblLayout w:type="fixed"/>
        <w:tblCellMar>
          <w:top w:w="0" w:type="dxa"/>
          <w:left w:w="108" w:type="dxa"/>
          <w:bottom w:w="0" w:type="dxa"/>
          <w:right w:w="108" w:type="dxa"/>
        </w:tblCellMar>
      </w:tblPr>
      <w:tblGrid>
        <w:gridCol w:w="1570"/>
        <w:gridCol w:w="1660"/>
        <w:gridCol w:w="1466"/>
        <w:gridCol w:w="1903"/>
        <w:gridCol w:w="1877"/>
        <w:gridCol w:w="1134"/>
      </w:tblGrid>
      <w:tr w14:paraId="2D995445">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2D3C0B10">
            <w:pPr>
              <w:widowControl/>
              <w:snapToGrid w:val="0"/>
              <w:contextualSpacing/>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行业名称</w:t>
            </w:r>
          </w:p>
        </w:tc>
        <w:tc>
          <w:tcPr>
            <w:tcW w:w="1660" w:type="dxa"/>
            <w:tcBorders>
              <w:top w:val="single" w:color="auto" w:sz="4" w:space="0"/>
              <w:left w:val="nil"/>
              <w:bottom w:val="single" w:color="auto" w:sz="4" w:space="0"/>
              <w:right w:val="single" w:color="auto" w:sz="4" w:space="0"/>
            </w:tcBorders>
            <w:noWrap w:val="0"/>
            <w:vAlign w:val="center"/>
          </w:tcPr>
          <w:p w14:paraId="73F4914A">
            <w:pPr>
              <w:widowControl/>
              <w:snapToGrid w:val="0"/>
              <w:contextualSpacing/>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指标名称</w:t>
            </w:r>
          </w:p>
        </w:tc>
        <w:tc>
          <w:tcPr>
            <w:tcW w:w="1466" w:type="dxa"/>
            <w:tcBorders>
              <w:top w:val="single" w:color="auto" w:sz="4" w:space="0"/>
              <w:left w:val="nil"/>
              <w:bottom w:val="single" w:color="auto" w:sz="4" w:space="0"/>
              <w:right w:val="single" w:color="auto" w:sz="4" w:space="0"/>
            </w:tcBorders>
            <w:noWrap w:val="0"/>
            <w:vAlign w:val="center"/>
          </w:tcPr>
          <w:p w14:paraId="4BF64AC1">
            <w:pPr>
              <w:widowControl/>
              <w:snapToGrid w:val="0"/>
              <w:contextualSpacing/>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计量单位</w:t>
            </w:r>
          </w:p>
        </w:tc>
        <w:tc>
          <w:tcPr>
            <w:tcW w:w="1903" w:type="dxa"/>
            <w:tcBorders>
              <w:top w:val="single" w:color="auto" w:sz="4" w:space="0"/>
              <w:left w:val="nil"/>
              <w:bottom w:val="single" w:color="auto" w:sz="4" w:space="0"/>
              <w:right w:val="single" w:color="auto" w:sz="4" w:space="0"/>
            </w:tcBorders>
            <w:noWrap w:val="0"/>
            <w:vAlign w:val="center"/>
          </w:tcPr>
          <w:p w14:paraId="4E8BDAEE">
            <w:pPr>
              <w:widowControl/>
              <w:snapToGrid w:val="0"/>
              <w:contextualSpacing/>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中型</w:t>
            </w:r>
          </w:p>
        </w:tc>
        <w:tc>
          <w:tcPr>
            <w:tcW w:w="1877" w:type="dxa"/>
            <w:tcBorders>
              <w:top w:val="single" w:color="auto" w:sz="4" w:space="0"/>
              <w:left w:val="nil"/>
              <w:bottom w:val="single" w:color="auto" w:sz="4" w:space="0"/>
              <w:right w:val="single" w:color="auto" w:sz="4" w:space="0"/>
            </w:tcBorders>
            <w:noWrap w:val="0"/>
            <w:vAlign w:val="center"/>
          </w:tcPr>
          <w:p w14:paraId="51EE6095">
            <w:pPr>
              <w:widowControl/>
              <w:snapToGrid w:val="0"/>
              <w:contextualSpacing/>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小型</w:t>
            </w:r>
          </w:p>
        </w:tc>
        <w:tc>
          <w:tcPr>
            <w:tcW w:w="1134" w:type="dxa"/>
            <w:tcBorders>
              <w:top w:val="single" w:color="auto" w:sz="4" w:space="0"/>
              <w:left w:val="nil"/>
              <w:bottom w:val="single" w:color="auto" w:sz="4" w:space="0"/>
              <w:right w:val="single" w:color="auto" w:sz="4" w:space="0"/>
            </w:tcBorders>
            <w:noWrap w:val="0"/>
            <w:vAlign w:val="center"/>
          </w:tcPr>
          <w:p w14:paraId="50E155AB">
            <w:pPr>
              <w:widowControl/>
              <w:snapToGrid w:val="0"/>
              <w:contextualSpacing/>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微型</w:t>
            </w:r>
          </w:p>
        </w:tc>
      </w:tr>
      <w:tr w14:paraId="529D62EB">
        <w:tblPrEx>
          <w:tblCellMar>
            <w:top w:w="0" w:type="dxa"/>
            <w:left w:w="108" w:type="dxa"/>
            <w:bottom w:w="0" w:type="dxa"/>
            <w:right w:w="108" w:type="dxa"/>
          </w:tblCellMar>
        </w:tblPrEx>
        <w:trPr>
          <w:trHeight w:val="505" w:hRule="atLeast"/>
          <w:jc w:val="center"/>
        </w:trPr>
        <w:tc>
          <w:tcPr>
            <w:tcW w:w="1570" w:type="dxa"/>
            <w:tcBorders>
              <w:top w:val="nil"/>
              <w:left w:val="single" w:color="auto" w:sz="4" w:space="0"/>
              <w:bottom w:val="single" w:color="auto" w:sz="4" w:space="0"/>
              <w:right w:val="single" w:color="auto" w:sz="4" w:space="0"/>
            </w:tcBorders>
            <w:noWrap w:val="0"/>
            <w:vAlign w:val="center"/>
          </w:tcPr>
          <w:p w14:paraId="36608CFD">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农、林、牧、渔</w:t>
            </w:r>
          </w:p>
        </w:tc>
        <w:tc>
          <w:tcPr>
            <w:tcW w:w="1660" w:type="dxa"/>
            <w:tcBorders>
              <w:top w:val="nil"/>
              <w:left w:val="nil"/>
              <w:bottom w:val="single" w:color="auto" w:sz="4" w:space="0"/>
              <w:right w:val="single" w:color="auto" w:sz="4" w:space="0"/>
            </w:tcBorders>
            <w:noWrap w:val="0"/>
            <w:vAlign w:val="center"/>
          </w:tcPr>
          <w:p w14:paraId="5F875334">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14:paraId="1EA70131">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14:paraId="0B0F4818">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877" w:type="dxa"/>
            <w:tcBorders>
              <w:top w:val="nil"/>
              <w:left w:val="nil"/>
              <w:bottom w:val="single" w:color="auto" w:sz="4" w:space="0"/>
              <w:right w:val="single" w:color="auto" w:sz="4" w:space="0"/>
            </w:tcBorders>
            <w:noWrap w:val="0"/>
            <w:vAlign w:val="center"/>
          </w:tcPr>
          <w:p w14:paraId="3EE5700B">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1134" w:type="dxa"/>
            <w:tcBorders>
              <w:top w:val="nil"/>
              <w:left w:val="nil"/>
              <w:bottom w:val="single" w:color="auto" w:sz="4" w:space="0"/>
              <w:right w:val="single" w:color="auto" w:sz="4" w:space="0"/>
            </w:tcBorders>
            <w:noWrap w:val="0"/>
            <w:vAlign w:val="center"/>
          </w:tcPr>
          <w:p w14:paraId="7031C5AE">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14:paraId="0BCBB35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541EFF1">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工业</w:t>
            </w:r>
          </w:p>
        </w:tc>
        <w:tc>
          <w:tcPr>
            <w:tcW w:w="1660" w:type="dxa"/>
            <w:tcBorders>
              <w:top w:val="nil"/>
              <w:left w:val="nil"/>
              <w:bottom w:val="single" w:color="auto" w:sz="4" w:space="0"/>
              <w:right w:val="single" w:color="auto" w:sz="4" w:space="0"/>
            </w:tcBorders>
            <w:noWrap w:val="0"/>
            <w:vAlign w:val="center"/>
          </w:tcPr>
          <w:p w14:paraId="1022F46A">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14:paraId="33392CEB">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14:paraId="0B2D24A9">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877" w:type="dxa"/>
            <w:tcBorders>
              <w:top w:val="nil"/>
              <w:left w:val="nil"/>
              <w:bottom w:val="single" w:color="auto" w:sz="4" w:space="0"/>
              <w:right w:val="single" w:color="auto" w:sz="4" w:space="0"/>
            </w:tcBorders>
            <w:noWrap w:val="0"/>
            <w:vAlign w:val="center"/>
          </w:tcPr>
          <w:p w14:paraId="453C1492">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1134" w:type="dxa"/>
            <w:tcBorders>
              <w:top w:val="nil"/>
              <w:left w:val="nil"/>
              <w:bottom w:val="single" w:color="auto" w:sz="4" w:space="0"/>
              <w:right w:val="single" w:color="auto" w:sz="4" w:space="0"/>
            </w:tcBorders>
            <w:noWrap w:val="0"/>
            <w:vAlign w:val="center"/>
          </w:tcPr>
          <w:p w14:paraId="3A5C78E8">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14:paraId="36EC855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D21E249">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14:paraId="42F18A0A">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14:paraId="796C59AB">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14:paraId="094C2E90">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877" w:type="dxa"/>
            <w:tcBorders>
              <w:top w:val="nil"/>
              <w:left w:val="nil"/>
              <w:bottom w:val="single" w:color="auto" w:sz="4" w:space="0"/>
              <w:right w:val="single" w:color="auto" w:sz="4" w:space="0"/>
            </w:tcBorders>
            <w:noWrap w:val="0"/>
            <w:vAlign w:val="center"/>
          </w:tcPr>
          <w:p w14:paraId="07F0AB91">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1134" w:type="dxa"/>
            <w:tcBorders>
              <w:top w:val="nil"/>
              <w:left w:val="nil"/>
              <w:bottom w:val="single" w:color="auto" w:sz="4" w:space="0"/>
              <w:right w:val="single" w:color="auto" w:sz="4" w:space="0"/>
            </w:tcBorders>
            <w:noWrap w:val="0"/>
            <w:vAlign w:val="center"/>
          </w:tcPr>
          <w:p w14:paraId="476E698A">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14:paraId="1A7C97A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5737907">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建筑业</w:t>
            </w:r>
          </w:p>
        </w:tc>
        <w:tc>
          <w:tcPr>
            <w:tcW w:w="1660" w:type="dxa"/>
            <w:tcBorders>
              <w:top w:val="nil"/>
              <w:left w:val="nil"/>
              <w:bottom w:val="single" w:color="auto" w:sz="4" w:space="0"/>
              <w:right w:val="single" w:color="auto" w:sz="4" w:space="0"/>
            </w:tcBorders>
            <w:noWrap w:val="0"/>
            <w:vAlign w:val="center"/>
          </w:tcPr>
          <w:p w14:paraId="4DF58070">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14:paraId="201ADAA2">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14:paraId="7E5F2593">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877" w:type="dxa"/>
            <w:tcBorders>
              <w:top w:val="nil"/>
              <w:left w:val="nil"/>
              <w:bottom w:val="single" w:color="auto" w:sz="4" w:space="0"/>
              <w:right w:val="single" w:color="auto" w:sz="4" w:space="0"/>
            </w:tcBorders>
            <w:noWrap w:val="0"/>
            <w:vAlign w:val="center"/>
          </w:tcPr>
          <w:p w14:paraId="5083EF0B">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1134" w:type="dxa"/>
            <w:tcBorders>
              <w:top w:val="nil"/>
              <w:left w:val="nil"/>
              <w:bottom w:val="single" w:color="auto" w:sz="4" w:space="0"/>
              <w:right w:val="single" w:color="auto" w:sz="4" w:space="0"/>
            </w:tcBorders>
            <w:noWrap w:val="0"/>
            <w:vAlign w:val="center"/>
          </w:tcPr>
          <w:p w14:paraId="506FF86E">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14:paraId="15D0396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D7A10F2">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14:paraId="2AD364EF">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1466" w:type="dxa"/>
            <w:tcBorders>
              <w:top w:val="nil"/>
              <w:left w:val="nil"/>
              <w:bottom w:val="single" w:color="auto" w:sz="4" w:space="0"/>
              <w:right w:val="single" w:color="auto" w:sz="4" w:space="0"/>
            </w:tcBorders>
            <w:noWrap w:val="0"/>
            <w:vAlign w:val="center"/>
          </w:tcPr>
          <w:p w14:paraId="2867A07A">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14:paraId="1FA6FF37">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877" w:type="dxa"/>
            <w:tcBorders>
              <w:top w:val="nil"/>
              <w:left w:val="nil"/>
              <w:bottom w:val="single" w:color="auto" w:sz="4" w:space="0"/>
              <w:right w:val="single" w:color="auto" w:sz="4" w:space="0"/>
            </w:tcBorders>
            <w:noWrap w:val="0"/>
            <w:vAlign w:val="center"/>
          </w:tcPr>
          <w:p w14:paraId="28D78F5F">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1134" w:type="dxa"/>
            <w:tcBorders>
              <w:top w:val="nil"/>
              <w:left w:val="nil"/>
              <w:bottom w:val="single" w:color="auto" w:sz="4" w:space="0"/>
              <w:right w:val="single" w:color="auto" w:sz="4" w:space="0"/>
            </w:tcBorders>
            <w:noWrap w:val="0"/>
            <w:vAlign w:val="center"/>
          </w:tcPr>
          <w:p w14:paraId="11C80A7B">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14:paraId="648EF93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D53C0B6">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批发业</w:t>
            </w:r>
          </w:p>
        </w:tc>
        <w:tc>
          <w:tcPr>
            <w:tcW w:w="1660" w:type="dxa"/>
            <w:tcBorders>
              <w:top w:val="nil"/>
              <w:left w:val="nil"/>
              <w:bottom w:val="single" w:color="auto" w:sz="4" w:space="0"/>
              <w:right w:val="single" w:color="auto" w:sz="4" w:space="0"/>
            </w:tcBorders>
            <w:noWrap w:val="0"/>
            <w:vAlign w:val="center"/>
          </w:tcPr>
          <w:p w14:paraId="1D1405C8">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14:paraId="7F386BC4">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14:paraId="3E89EFC5">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877" w:type="dxa"/>
            <w:tcBorders>
              <w:top w:val="nil"/>
              <w:left w:val="nil"/>
              <w:bottom w:val="single" w:color="auto" w:sz="4" w:space="0"/>
              <w:right w:val="single" w:color="auto" w:sz="4" w:space="0"/>
            </w:tcBorders>
            <w:noWrap w:val="0"/>
            <w:vAlign w:val="center"/>
          </w:tcPr>
          <w:p w14:paraId="0E1F38C4">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1134" w:type="dxa"/>
            <w:tcBorders>
              <w:top w:val="nil"/>
              <w:left w:val="nil"/>
              <w:bottom w:val="single" w:color="auto" w:sz="4" w:space="0"/>
              <w:right w:val="single" w:color="auto" w:sz="4" w:space="0"/>
            </w:tcBorders>
            <w:noWrap w:val="0"/>
            <w:vAlign w:val="center"/>
          </w:tcPr>
          <w:p w14:paraId="191A4C12">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14:paraId="5B16B764">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33795B2">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14:paraId="0E420A62">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14:paraId="72F429E0">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14:paraId="44C0B35B">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877" w:type="dxa"/>
            <w:tcBorders>
              <w:top w:val="nil"/>
              <w:left w:val="nil"/>
              <w:bottom w:val="single" w:color="auto" w:sz="4" w:space="0"/>
              <w:right w:val="single" w:color="auto" w:sz="4" w:space="0"/>
            </w:tcBorders>
            <w:noWrap w:val="0"/>
            <w:vAlign w:val="center"/>
          </w:tcPr>
          <w:p w14:paraId="7CC0FC17">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134" w:type="dxa"/>
            <w:tcBorders>
              <w:top w:val="nil"/>
              <w:left w:val="nil"/>
              <w:bottom w:val="single" w:color="auto" w:sz="4" w:space="0"/>
              <w:right w:val="single" w:color="auto" w:sz="4" w:space="0"/>
            </w:tcBorders>
            <w:noWrap w:val="0"/>
            <w:vAlign w:val="center"/>
          </w:tcPr>
          <w:p w14:paraId="710995AC">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14:paraId="4E29E95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F75982A">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零售业</w:t>
            </w:r>
          </w:p>
        </w:tc>
        <w:tc>
          <w:tcPr>
            <w:tcW w:w="1660" w:type="dxa"/>
            <w:tcBorders>
              <w:top w:val="nil"/>
              <w:left w:val="nil"/>
              <w:bottom w:val="single" w:color="auto" w:sz="4" w:space="0"/>
              <w:right w:val="single" w:color="auto" w:sz="4" w:space="0"/>
            </w:tcBorders>
            <w:noWrap w:val="0"/>
            <w:vAlign w:val="center"/>
          </w:tcPr>
          <w:p w14:paraId="0453662C">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14:paraId="09119491">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14:paraId="1155DDA7">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877" w:type="dxa"/>
            <w:tcBorders>
              <w:top w:val="nil"/>
              <w:left w:val="nil"/>
              <w:bottom w:val="single" w:color="auto" w:sz="4" w:space="0"/>
              <w:right w:val="single" w:color="auto" w:sz="4" w:space="0"/>
            </w:tcBorders>
            <w:noWrap w:val="0"/>
            <w:vAlign w:val="center"/>
          </w:tcPr>
          <w:p w14:paraId="58D4219A">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1134" w:type="dxa"/>
            <w:tcBorders>
              <w:top w:val="nil"/>
              <w:left w:val="nil"/>
              <w:bottom w:val="single" w:color="auto" w:sz="4" w:space="0"/>
              <w:right w:val="single" w:color="auto" w:sz="4" w:space="0"/>
            </w:tcBorders>
            <w:noWrap w:val="0"/>
            <w:vAlign w:val="center"/>
          </w:tcPr>
          <w:p w14:paraId="29790379">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14:paraId="0EF9D33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509ABA9">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14:paraId="31D69B2F">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14:paraId="13479F8D">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14:paraId="058F98E1">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877" w:type="dxa"/>
            <w:tcBorders>
              <w:top w:val="nil"/>
              <w:left w:val="nil"/>
              <w:bottom w:val="single" w:color="auto" w:sz="4" w:space="0"/>
              <w:right w:val="single" w:color="auto" w:sz="4" w:space="0"/>
            </w:tcBorders>
            <w:noWrap w:val="0"/>
            <w:vAlign w:val="center"/>
          </w:tcPr>
          <w:p w14:paraId="7E09E580">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1134" w:type="dxa"/>
            <w:tcBorders>
              <w:top w:val="nil"/>
              <w:left w:val="nil"/>
              <w:bottom w:val="single" w:color="auto" w:sz="4" w:space="0"/>
              <w:right w:val="single" w:color="auto" w:sz="4" w:space="0"/>
            </w:tcBorders>
            <w:noWrap w:val="0"/>
            <w:vAlign w:val="center"/>
          </w:tcPr>
          <w:p w14:paraId="4B5CC17F">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14:paraId="26E0B83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D9363DB">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交通运输业</w:t>
            </w:r>
          </w:p>
        </w:tc>
        <w:tc>
          <w:tcPr>
            <w:tcW w:w="1660" w:type="dxa"/>
            <w:tcBorders>
              <w:top w:val="nil"/>
              <w:left w:val="nil"/>
              <w:bottom w:val="single" w:color="auto" w:sz="4" w:space="0"/>
              <w:right w:val="single" w:color="auto" w:sz="4" w:space="0"/>
            </w:tcBorders>
            <w:noWrap w:val="0"/>
            <w:vAlign w:val="center"/>
          </w:tcPr>
          <w:p w14:paraId="4870B9E5">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14:paraId="68765CF8">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14:paraId="3A803543">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877" w:type="dxa"/>
            <w:tcBorders>
              <w:top w:val="nil"/>
              <w:left w:val="nil"/>
              <w:bottom w:val="single" w:color="auto" w:sz="4" w:space="0"/>
              <w:right w:val="single" w:color="auto" w:sz="4" w:space="0"/>
            </w:tcBorders>
            <w:noWrap w:val="0"/>
            <w:vAlign w:val="center"/>
          </w:tcPr>
          <w:p w14:paraId="66EB0BFD">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1134" w:type="dxa"/>
            <w:tcBorders>
              <w:top w:val="nil"/>
              <w:left w:val="nil"/>
              <w:bottom w:val="single" w:color="auto" w:sz="4" w:space="0"/>
              <w:right w:val="single" w:color="auto" w:sz="4" w:space="0"/>
            </w:tcBorders>
            <w:noWrap w:val="0"/>
            <w:vAlign w:val="center"/>
          </w:tcPr>
          <w:p w14:paraId="659EBB45">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14:paraId="2D1CC43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FADA059">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14:paraId="2C128C58">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14:paraId="771BB722">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14:paraId="7648C7A4">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877" w:type="dxa"/>
            <w:tcBorders>
              <w:top w:val="nil"/>
              <w:left w:val="nil"/>
              <w:bottom w:val="single" w:color="auto" w:sz="4" w:space="0"/>
              <w:right w:val="single" w:color="auto" w:sz="4" w:space="0"/>
            </w:tcBorders>
            <w:noWrap w:val="0"/>
            <w:vAlign w:val="center"/>
          </w:tcPr>
          <w:p w14:paraId="2C309E3B">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1134" w:type="dxa"/>
            <w:tcBorders>
              <w:top w:val="nil"/>
              <w:left w:val="nil"/>
              <w:bottom w:val="single" w:color="auto" w:sz="4" w:space="0"/>
              <w:right w:val="single" w:color="auto" w:sz="4" w:space="0"/>
            </w:tcBorders>
            <w:noWrap w:val="0"/>
            <w:vAlign w:val="center"/>
          </w:tcPr>
          <w:p w14:paraId="0208A839">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14:paraId="0C40B06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009F230">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仓储业</w:t>
            </w:r>
          </w:p>
        </w:tc>
        <w:tc>
          <w:tcPr>
            <w:tcW w:w="1660" w:type="dxa"/>
            <w:tcBorders>
              <w:top w:val="nil"/>
              <w:left w:val="nil"/>
              <w:bottom w:val="single" w:color="auto" w:sz="4" w:space="0"/>
              <w:right w:val="single" w:color="auto" w:sz="4" w:space="0"/>
            </w:tcBorders>
            <w:noWrap w:val="0"/>
            <w:vAlign w:val="center"/>
          </w:tcPr>
          <w:p w14:paraId="0B16E618">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14:paraId="45A9CA3C">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14:paraId="11E8D79A">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877" w:type="dxa"/>
            <w:tcBorders>
              <w:top w:val="nil"/>
              <w:left w:val="nil"/>
              <w:bottom w:val="single" w:color="auto" w:sz="4" w:space="0"/>
              <w:right w:val="single" w:color="auto" w:sz="4" w:space="0"/>
            </w:tcBorders>
            <w:noWrap w:val="0"/>
            <w:vAlign w:val="center"/>
          </w:tcPr>
          <w:p w14:paraId="1298AAFB">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1134" w:type="dxa"/>
            <w:tcBorders>
              <w:top w:val="nil"/>
              <w:left w:val="nil"/>
              <w:bottom w:val="single" w:color="auto" w:sz="4" w:space="0"/>
              <w:right w:val="single" w:color="auto" w:sz="4" w:space="0"/>
            </w:tcBorders>
            <w:noWrap w:val="0"/>
            <w:vAlign w:val="center"/>
          </w:tcPr>
          <w:p w14:paraId="44E33BE6">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14:paraId="7177A80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A2D3DF3">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14:paraId="4CAC51A0">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14:paraId="36B0183A">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14:paraId="191276E6">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877" w:type="dxa"/>
            <w:tcBorders>
              <w:top w:val="nil"/>
              <w:left w:val="nil"/>
              <w:bottom w:val="single" w:color="auto" w:sz="4" w:space="0"/>
              <w:right w:val="single" w:color="auto" w:sz="4" w:space="0"/>
            </w:tcBorders>
            <w:noWrap w:val="0"/>
            <w:vAlign w:val="center"/>
          </w:tcPr>
          <w:p w14:paraId="38719FE6">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1134" w:type="dxa"/>
            <w:tcBorders>
              <w:top w:val="nil"/>
              <w:left w:val="nil"/>
              <w:bottom w:val="single" w:color="auto" w:sz="4" w:space="0"/>
              <w:right w:val="single" w:color="auto" w:sz="4" w:space="0"/>
            </w:tcBorders>
            <w:noWrap w:val="0"/>
            <w:vAlign w:val="center"/>
          </w:tcPr>
          <w:p w14:paraId="556DE8DA">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14:paraId="087455F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9511834">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邮政业</w:t>
            </w:r>
          </w:p>
        </w:tc>
        <w:tc>
          <w:tcPr>
            <w:tcW w:w="1660" w:type="dxa"/>
            <w:tcBorders>
              <w:top w:val="nil"/>
              <w:left w:val="nil"/>
              <w:bottom w:val="single" w:color="auto" w:sz="4" w:space="0"/>
              <w:right w:val="single" w:color="auto" w:sz="4" w:space="0"/>
            </w:tcBorders>
            <w:noWrap w:val="0"/>
            <w:vAlign w:val="center"/>
          </w:tcPr>
          <w:p w14:paraId="73147B0F">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14:paraId="5DFE7469">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14:paraId="1F61FF63">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877" w:type="dxa"/>
            <w:tcBorders>
              <w:top w:val="nil"/>
              <w:left w:val="nil"/>
              <w:bottom w:val="single" w:color="auto" w:sz="4" w:space="0"/>
              <w:right w:val="single" w:color="auto" w:sz="4" w:space="0"/>
            </w:tcBorders>
            <w:noWrap w:val="0"/>
            <w:vAlign w:val="center"/>
          </w:tcPr>
          <w:p w14:paraId="3FA81EBC">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1134" w:type="dxa"/>
            <w:tcBorders>
              <w:top w:val="nil"/>
              <w:left w:val="nil"/>
              <w:bottom w:val="single" w:color="auto" w:sz="4" w:space="0"/>
              <w:right w:val="single" w:color="auto" w:sz="4" w:space="0"/>
            </w:tcBorders>
            <w:noWrap w:val="0"/>
            <w:vAlign w:val="center"/>
          </w:tcPr>
          <w:p w14:paraId="655F24C5">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14:paraId="2180C41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48B71D0">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14:paraId="45FC0639">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14:paraId="6A755A0B">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14:paraId="5F8E353A">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877" w:type="dxa"/>
            <w:tcBorders>
              <w:top w:val="nil"/>
              <w:left w:val="nil"/>
              <w:bottom w:val="single" w:color="auto" w:sz="4" w:space="0"/>
              <w:right w:val="single" w:color="auto" w:sz="4" w:space="0"/>
            </w:tcBorders>
            <w:noWrap w:val="0"/>
            <w:vAlign w:val="center"/>
          </w:tcPr>
          <w:p w14:paraId="55F7AB99">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1134" w:type="dxa"/>
            <w:tcBorders>
              <w:top w:val="nil"/>
              <w:left w:val="nil"/>
              <w:bottom w:val="single" w:color="auto" w:sz="4" w:space="0"/>
              <w:right w:val="single" w:color="auto" w:sz="4" w:space="0"/>
            </w:tcBorders>
            <w:noWrap w:val="0"/>
            <w:vAlign w:val="center"/>
          </w:tcPr>
          <w:p w14:paraId="548CCE7B">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14:paraId="28D8F28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B92DAB5">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住宿业</w:t>
            </w:r>
          </w:p>
        </w:tc>
        <w:tc>
          <w:tcPr>
            <w:tcW w:w="1660" w:type="dxa"/>
            <w:tcBorders>
              <w:top w:val="nil"/>
              <w:left w:val="nil"/>
              <w:bottom w:val="single" w:color="auto" w:sz="4" w:space="0"/>
              <w:right w:val="single" w:color="auto" w:sz="4" w:space="0"/>
            </w:tcBorders>
            <w:noWrap w:val="0"/>
            <w:vAlign w:val="center"/>
          </w:tcPr>
          <w:p w14:paraId="1D3FF294">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14:paraId="63348765">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14:paraId="4A42EA88">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877" w:type="dxa"/>
            <w:tcBorders>
              <w:top w:val="nil"/>
              <w:left w:val="nil"/>
              <w:bottom w:val="single" w:color="auto" w:sz="4" w:space="0"/>
              <w:right w:val="single" w:color="auto" w:sz="4" w:space="0"/>
            </w:tcBorders>
            <w:noWrap w:val="0"/>
            <w:vAlign w:val="center"/>
          </w:tcPr>
          <w:p w14:paraId="27A0E52C">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1134" w:type="dxa"/>
            <w:tcBorders>
              <w:top w:val="nil"/>
              <w:left w:val="nil"/>
              <w:bottom w:val="single" w:color="auto" w:sz="4" w:space="0"/>
              <w:right w:val="single" w:color="auto" w:sz="4" w:space="0"/>
            </w:tcBorders>
            <w:noWrap w:val="0"/>
            <w:vAlign w:val="center"/>
          </w:tcPr>
          <w:p w14:paraId="2E8AAF8F">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14:paraId="620F2CC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E47E79C">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14:paraId="486AC331">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14:paraId="67A478C1">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14:paraId="7EAFEC72">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877" w:type="dxa"/>
            <w:tcBorders>
              <w:top w:val="nil"/>
              <w:left w:val="nil"/>
              <w:bottom w:val="single" w:color="auto" w:sz="4" w:space="0"/>
              <w:right w:val="single" w:color="auto" w:sz="4" w:space="0"/>
            </w:tcBorders>
            <w:noWrap w:val="0"/>
            <w:vAlign w:val="center"/>
          </w:tcPr>
          <w:p w14:paraId="24EF554D">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1134" w:type="dxa"/>
            <w:tcBorders>
              <w:top w:val="nil"/>
              <w:left w:val="nil"/>
              <w:bottom w:val="single" w:color="auto" w:sz="4" w:space="0"/>
              <w:right w:val="single" w:color="auto" w:sz="4" w:space="0"/>
            </w:tcBorders>
            <w:noWrap w:val="0"/>
            <w:vAlign w:val="center"/>
          </w:tcPr>
          <w:p w14:paraId="2C98B66F">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14:paraId="020CC2C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C8DDE87">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餐饮业</w:t>
            </w:r>
          </w:p>
        </w:tc>
        <w:tc>
          <w:tcPr>
            <w:tcW w:w="1660" w:type="dxa"/>
            <w:tcBorders>
              <w:top w:val="nil"/>
              <w:left w:val="nil"/>
              <w:bottom w:val="single" w:color="auto" w:sz="4" w:space="0"/>
              <w:right w:val="single" w:color="auto" w:sz="4" w:space="0"/>
            </w:tcBorders>
            <w:noWrap w:val="0"/>
            <w:vAlign w:val="center"/>
          </w:tcPr>
          <w:p w14:paraId="6716BF3E">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14:paraId="1F1F617D">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14:paraId="1906F816">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877" w:type="dxa"/>
            <w:tcBorders>
              <w:top w:val="nil"/>
              <w:left w:val="nil"/>
              <w:bottom w:val="single" w:color="auto" w:sz="4" w:space="0"/>
              <w:right w:val="single" w:color="auto" w:sz="4" w:space="0"/>
            </w:tcBorders>
            <w:noWrap w:val="0"/>
            <w:vAlign w:val="center"/>
          </w:tcPr>
          <w:p w14:paraId="1D8E03A3">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1134" w:type="dxa"/>
            <w:tcBorders>
              <w:top w:val="nil"/>
              <w:left w:val="nil"/>
              <w:bottom w:val="single" w:color="auto" w:sz="4" w:space="0"/>
              <w:right w:val="single" w:color="auto" w:sz="4" w:space="0"/>
            </w:tcBorders>
            <w:noWrap w:val="0"/>
            <w:vAlign w:val="center"/>
          </w:tcPr>
          <w:p w14:paraId="450C799F">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14:paraId="6BE9369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27CAC14">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14:paraId="0775A61E">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14:paraId="42C6D0A0">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14:paraId="215DFB76">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877" w:type="dxa"/>
            <w:tcBorders>
              <w:top w:val="nil"/>
              <w:left w:val="nil"/>
              <w:bottom w:val="single" w:color="auto" w:sz="4" w:space="0"/>
              <w:right w:val="single" w:color="auto" w:sz="4" w:space="0"/>
            </w:tcBorders>
            <w:noWrap w:val="0"/>
            <w:vAlign w:val="center"/>
          </w:tcPr>
          <w:p w14:paraId="5FF43F51">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1134" w:type="dxa"/>
            <w:tcBorders>
              <w:top w:val="nil"/>
              <w:left w:val="nil"/>
              <w:bottom w:val="single" w:color="auto" w:sz="4" w:space="0"/>
              <w:right w:val="single" w:color="auto" w:sz="4" w:space="0"/>
            </w:tcBorders>
            <w:noWrap w:val="0"/>
            <w:vAlign w:val="center"/>
          </w:tcPr>
          <w:p w14:paraId="08C8D3DB">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14:paraId="4B1791B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91DD8D4">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信息传输业</w:t>
            </w:r>
          </w:p>
        </w:tc>
        <w:tc>
          <w:tcPr>
            <w:tcW w:w="1660" w:type="dxa"/>
            <w:tcBorders>
              <w:top w:val="nil"/>
              <w:left w:val="nil"/>
              <w:bottom w:val="single" w:color="auto" w:sz="4" w:space="0"/>
              <w:right w:val="single" w:color="auto" w:sz="4" w:space="0"/>
            </w:tcBorders>
            <w:noWrap w:val="0"/>
            <w:vAlign w:val="center"/>
          </w:tcPr>
          <w:p w14:paraId="48F17B76">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14:paraId="1665D75D">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14:paraId="360C743E">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877" w:type="dxa"/>
            <w:tcBorders>
              <w:top w:val="nil"/>
              <w:left w:val="nil"/>
              <w:bottom w:val="single" w:color="auto" w:sz="4" w:space="0"/>
              <w:right w:val="single" w:color="auto" w:sz="4" w:space="0"/>
            </w:tcBorders>
            <w:noWrap w:val="0"/>
            <w:vAlign w:val="center"/>
          </w:tcPr>
          <w:p w14:paraId="68E8EA2F">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1134" w:type="dxa"/>
            <w:tcBorders>
              <w:top w:val="nil"/>
              <w:left w:val="nil"/>
              <w:bottom w:val="single" w:color="auto" w:sz="4" w:space="0"/>
              <w:right w:val="single" w:color="auto" w:sz="4" w:space="0"/>
            </w:tcBorders>
            <w:noWrap w:val="0"/>
            <w:vAlign w:val="center"/>
          </w:tcPr>
          <w:p w14:paraId="7EDF8B23">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14:paraId="3433712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3002153">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14:paraId="1F5246A1">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14:paraId="01D9D54A">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14:paraId="23C827FE">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877" w:type="dxa"/>
            <w:tcBorders>
              <w:top w:val="nil"/>
              <w:left w:val="nil"/>
              <w:bottom w:val="single" w:color="auto" w:sz="4" w:space="0"/>
              <w:right w:val="single" w:color="auto" w:sz="4" w:space="0"/>
            </w:tcBorders>
            <w:noWrap w:val="0"/>
            <w:vAlign w:val="center"/>
          </w:tcPr>
          <w:p w14:paraId="351FB3B3">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1134" w:type="dxa"/>
            <w:tcBorders>
              <w:top w:val="nil"/>
              <w:left w:val="nil"/>
              <w:bottom w:val="single" w:color="auto" w:sz="4" w:space="0"/>
              <w:right w:val="single" w:color="auto" w:sz="4" w:space="0"/>
            </w:tcBorders>
            <w:noWrap w:val="0"/>
            <w:vAlign w:val="center"/>
          </w:tcPr>
          <w:p w14:paraId="23A83D54">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14:paraId="0B0A4D64">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90BAF0C">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软件和信息技术服务业</w:t>
            </w:r>
          </w:p>
        </w:tc>
        <w:tc>
          <w:tcPr>
            <w:tcW w:w="1660" w:type="dxa"/>
            <w:tcBorders>
              <w:top w:val="nil"/>
              <w:left w:val="nil"/>
              <w:bottom w:val="single" w:color="auto" w:sz="4" w:space="0"/>
              <w:right w:val="single" w:color="auto" w:sz="4" w:space="0"/>
            </w:tcBorders>
            <w:noWrap w:val="0"/>
            <w:vAlign w:val="center"/>
          </w:tcPr>
          <w:p w14:paraId="5D3FF934">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14:paraId="3D97AA75">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14:paraId="76190C40">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877" w:type="dxa"/>
            <w:tcBorders>
              <w:top w:val="nil"/>
              <w:left w:val="nil"/>
              <w:bottom w:val="single" w:color="auto" w:sz="4" w:space="0"/>
              <w:right w:val="single" w:color="auto" w:sz="4" w:space="0"/>
            </w:tcBorders>
            <w:noWrap w:val="0"/>
            <w:vAlign w:val="center"/>
          </w:tcPr>
          <w:p w14:paraId="1B0FCC0C">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1134" w:type="dxa"/>
            <w:tcBorders>
              <w:top w:val="nil"/>
              <w:left w:val="nil"/>
              <w:bottom w:val="single" w:color="auto" w:sz="4" w:space="0"/>
              <w:right w:val="single" w:color="auto" w:sz="4" w:space="0"/>
            </w:tcBorders>
            <w:noWrap w:val="0"/>
            <w:vAlign w:val="center"/>
          </w:tcPr>
          <w:p w14:paraId="6727EDB0">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14:paraId="180D0FED">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3B99BC7">
            <w:pPr>
              <w:widowControl/>
              <w:snapToGrid w:val="0"/>
              <w:contextualSpacing/>
              <w:jc w:val="center"/>
              <w:rPr>
                <w:rFonts w:hint="eastAsia" w:ascii="宋体" w:hAnsi="宋体" w:cs="宋体"/>
                <w:color w:val="000000" w:themeColor="text1"/>
                <w:kern w:val="0"/>
                <w:sz w:val="24"/>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14:paraId="6CD2BFC0">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14:paraId="56863EA8">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14:paraId="63295D2E">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877" w:type="dxa"/>
            <w:tcBorders>
              <w:top w:val="nil"/>
              <w:left w:val="nil"/>
              <w:bottom w:val="single" w:color="auto" w:sz="4" w:space="0"/>
              <w:right w:val="single" w:color="auto" w:sz="4" w:space="0"/>
            </w:tcBorders>
            <w:noWrap w:val="0"/>
            <w:vAlign w:val="center"/>
          </w:tcPr>
          <w:p w14:paraId="10A773B0">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1134" w:type="dxa"/>
            <w:tcBorders>
              <w:top w:val="nil"/>
              <w:left w:val="nil"/>
              <w:bottom w:val="single" w:color="auto" w:sz="4" w:space="0"/>
              <w:right w:val="single" w:color="auto" w:sz="4" w:space="0"/>
            </w:tcBorders>
            <w:noWrap w:val="0"/>
            <w:vAlign w:val="center"/>
          </w:tcPr>
          <w:p w14:paraId="45CD7BA1">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14:paraId="3705739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F62A450">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房地产开发经营</w:t>
            </w:r>
          </w:p>
        </w:tc>
        <w:tc>
          <w:tcPr>
            <w:tcW w:w="1660" w:type="dxa"/>
            <w:tcBorders>
              <w:top w:val="nil"/>
              <w:left w:val="nil"/>
              <w:bottom w:val="single" w:color="auto" w:sz="4" w:space="0"/>
              <w:right w:val="single" w:color="auto" w:sz="4" w:space="0"/>
            </w:tcBorders>
            <w:noWrap w:val="0"/>
            <w:vAlign w:val="center"/>
          </w:tcPr>
          <w:p w14:paraId="359A7297">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14:paraId="1EBEC85C">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14:paraId="723248F8">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877" w:type="dxa"/>
            <w:tcBorders>
              <w:top w:val="nil"/>
              <w:left w:val="nil"/>
              <w:bottom w:val="single" w:color="auto" w:sz="4" w:space="0"/>
              <w:right w:val="single" w:color="auto" w:sz="4" w:space="0"/>
            </w:tcBorders>
            <w:noWrap w:val="0"/>
            <w:vAlign w:val="center"/>
          </w:tcPr>
          <w:p w14:paraId="33E8C216">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100≤X＜1000</w:t>
            </w:r>
          </w:p>
        </w:tc>
        <w:tc>
          <w:tcPr>
            <w:tcW w:w="1134" w:type="dxa"/>
            <w:tcBorders>
              <w:top w:val="nil"/>
              <w:left w:val="nil"/>
              <w:bottom w:val="single" w:color="auto" w:sz="4" w:space="0"/>
              <w:right w:val="single" w:color="auto" w:sz="4" w:space="0"/>
            </w:tcBorders>
            <w:noWrap w:val="0"/>
            <w:vAlign w:val="center"/>
          </w:tcPr>
          <w:p w14:paraId="1672904A">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14:paraId="2E5A1E6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E895F9D">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14:paraId="39BB0913">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1466" w:type="dxa"/>
            <w:tcBorders>
              <w:top w:val="nil"/>
              <w:left w:val="nil"/>
              <w:bottom w:val="single" w:color="auto" w:sz="4" w:space="0"/>
              <w:right w:val="single" w:color="auto" w:sz="4" w:space="0"/>
            </w:tcBorders>
            <w:noWrap w:val="0"/>
            <w:vAlign w:val="center"/>
          </w:tcPr>
          <w:p w14:paraId="00BE6682">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14:paraId="36C50AF8">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877" w:type="dxa"/>
            <w:tcBorders>
              <w:top w:val="nil"/>
              <w:left w:val="nil"/>
              <w:bottom w:val="single" w:color="auto" w:sz="4" w:space="0"/>
              <w:right w:val="single" w:color="auto" w:sz="4" w:space="0"/>
            </w:tcBorders>
            <w:noWrap w:val="0"/>
            <w:vAlign w:val="center"/>
          </w:tcPr>
          <w:p w14:paraId="04A75B4A">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2000≤Y＜5000</w:t>
            </w:r>
          </w:p>
        </w:tc>
        <w:tc>
          <w:tcPr>
            <w:tcW w:w="1134" w:type="dxa"/>
            <w:tcBorders>
              <w:top w:val="nil"/>
              <w:left w:val="nil"/>
              <w:bottom w:val="single" w:color="auto" w:sz="4" w:space="0"/>
              <w:right w:val="single" w:color="auto" w:sz="4" w:space="0"/>
            </w:tcBorders>
            <w:noWrap w:val="0"/>
            <w:vAlign w:val="center"/>
          </w:tcPr>
          <w:p w14:paraId="0D66712E">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w:t>
            </w:r>
          </w:p>
        </w:tc>
      </w:tr>
      <w:tr w14:paraId="75763E9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FFD3264">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物业管理</w:t>
            </w:r>
          </w:p>
        </w:tc>
        <w:tc>
          <w:tcPr>
            <w:tcW w:w="1660" w:type="dxa"/>
            <w:tcBorders>
              <w:top w:val="nil"/>
              <w:left w:val="nil"/>
              <w:bottom w:val="single" w:color="auto" w:sz="4" w:space="0"/>
              <w:right w:val="single" w:color="auto" w:sz="4" w:space="0"/>
            </w:tcBorders>
            <w:noWrap w:val="0"/>
            <w:vAlign w:val="center"/>
          </w:tcPr>
          <w:p w14:paraId="6FE01F53">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14:paraId="49B04D4F">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14:paraId="27E2BE1A">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877" w:type="dxa"/>
            <w:tcBorders>
              <w:top w:val="nil"/>
              <w:left w:val="nil"/>
              <w:bottom w:val="single" w:color="auto" w:sz="4" w:space="0"/>
              <w:right w:val="single" w:color="auto" w:sz="4" w:space="0"/>
            </w:tcBorders>
            <w:noWrap w:val="0"/>
            <w:vAlign w:val="center"/>
          </w:tcPr>
          <w:p w14:paraId="44F33AAC">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134" w:type="dxa"/>
            <w:tcBorders>
              <w:top w:val="nil"/>
              <w:left w:val="nil"/>
              <w:bottom w:val="single" w:color="auto" w:sz="4" w:space="0"/>
              <w:right w:val="single" w:color="auto" w:sz="4" w:space="0"/>
            </w:tcBorders>
            <w:noWrap w:val="0"/>
            <w:vAlign w:val="center"/>
          </w:tcPr>
          <w:p w14:paraId="1065B90E">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14:paraId="47339188">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E5DC59A">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14:paraId="6C5E2190">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1466" w:type="dxa"/>
            <w:tcBorders>
              <w:top w:val="nil"/>
              <w:left w:val="nil"/>
              <w:bottom w:val="single" w:color="auto" w:sz="4" w:space="0"/>
              <w:right w:val="single" w:color="auto" w:sz="4" w:space="0"/>
            </w:tcBorders>
            <w:noWrap w:val="0"/>
            <w:vAlign w:val="center"/>
          </w:tcPr>
          <w:p w14:paraId="6F03B8E6">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14:paraId="54F6B7E8">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877" w:type="dxa"/>
            <w:tcBorders>
              <w:top w:val="nil"/>
              <w:left w:val="nil"/>
              <w:bottom w:val="single" w:color="auto" w:sz="4" w:space="0"/>
              <w:right w:val="single" w:color="auto" w:sz="4" w:space="0"/>
            </w:tcBorders>
            <w:noWrap w:val="0"/>
            <w:vAlign w:val="center"/>
          </w:tcPr>
          <w:p w14:paraId="7C8B4737">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1134" w:type="dxa"/>
            <w:tcBorders>
              <w:top w:val="nil"/>
              <w:left w:val="nil"/>
              <w:bottom w:val="single" w:color="auto" w:sz="4" w:space="0"/>
              <w:right w:val="single" w:color="auto" w:sz="4" w:space="0"/>
            </w:tcBorders>
            <w:noWrap w:val="0"/>
            <w:vAlign w:val="center"/>
          </w:tcPr>
          <w:p w14:paraId="3B78417B">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14:paraId="6B7D29B9">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03FCA17">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租赁和商务服务业</w:t>
            </w:r>
          </w:p>
        </w:tc>
        <w:tc>
          <w:tcPr>
            <w:tcW w:w="1660" w:type="dxa"/>
            <w:tcBorders>
              <w:top w:val="nil"/>
              <w:left w:val="nil"/>
              <w:bottom w:val="single" w:color="auto" w:sz="4" w:space="0"/>
              <w:right w:val="single" w:color="auto" w:sz="4" w:space="0"/>
            </w:tcBorders>
            <w:noWrap w:val="0"/>
            <w:vAlign w:val="center"/>
          </w:tcPr>
          <w:p w14:paraId="224B40F2">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14:paraId="0D97E79D">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14:paraId="5D337D92">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877" w:type="dxa"/>
            <w:tcBorders>
              <w:top w:val="nil"/>
              <w:left w:val="nil"/>
              <w:bottom w:val="single" w:color="auto" w:sz="4" w:space="0"/>
              <w:right w:val="single" w:color="auto" w:sz="4" w:space="0"/>
            </w:tcBorders>
            <w:noWrap w:val="0"/>
            <w:vAlign w:val="center"/>
          </w:tcPr>
          <w:p w14:paraId="6E5E5076">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1134" w:type="dxa"/>
            <w:tcBorders>
              <w:top w:val="nil"/>
              <w:left w:val="nil"/>
              <w:bottom w:val="single" w:color="auto" w:sz="4" w:space="0"/>
              <w:right w:val="single" w:color="auto" w:sz="4" w:space="0"/>
            </w:tcBorders>
            <w:noWrap w:val="0"/>
            <w:vAlign w:val="center"/>
          </w:tcPr>
          <w:p w14:paraId="3F9A5461">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14:paraId="1F14644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6375C79">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p>
        </w:tc>
        <w:tc>
          <w:tcPr>
            <w:tcW w:w="1660" w:type="dxa"/>
            <w:tcBorders>
              <w:top w:val="nil"/>
              <w:left w:val="nil"/>
              <w:bottom w:val="single" w:color="auto" w:sz="4" w:space="0"/>
              <w:right w:val="single" w:color="auto" w:sz="4" w:space="0"/>
            </w:tcBorders>
            <w:noWrap w:val="0"/>
            <w:vAlign w:val="center"/>
          </w:tcPr>
          <w:p w14:paraId="25BF43CA">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1466" w:type="dxa"/>
            <w:tcBorders>
              <w:top w:val="nil"/>
              <w:left w:val="nil"/>
              <w:bottom w:val="single" w:color="auto" w:sz="4" w:space="0"/>
              <w:right w:val="single" w:color="auto" w:sz="4" w:space="0"/>
            </w:tcBorders>
            <w:noWrap w:val="0"/>
            <w:vAlign w:val="center"/>
          </w:tcPr>
          <w:p w14:paraId="28F61DE8">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903" w:type="dxa"/>
            <w:tcBorders>
              <w:top w:val="nil"/>
              <w:left w:val="nil"/>
              <w:bottom w:val="single" w:color="auto" w:sz="4" w:space="0"/>
              <w:right w:val="single" w:color="auto" w:sz="4" w:space="0"/>
            </w:tcBorders>
            <w:noWrap w:val="0"/>
            <w:vAlign w:val="center"/>
          </w:tcPr>
          <w:p w14:paraId="61075984">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877" w:type="dxa"/>
            <w:tcBorders>
              <w:top w:val="nil"/>
              <w:left w:val="nil"/>
              <w:bottom w:val="single" w:color="auto" w:sz="4" w:space="0"/>
              <w:right w:val="single" w:color="auto" w:sz="4" w:space="0"/>
            </w:tcBorders>
            <w:noWrap w:val="0"/>
            <w:vAlign w:val="center"/>
          </w:tcPr>
          <w:p w14:paraId="2044CC49">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1134" w:type="dxa"/>
            <w:tcBorders>
              <w:top w:val="nil"/>
              <w:left w:val="nil"/>
              <w:bottom w:val="single" w:color="auto" w:sz="4" w:space="0"/>
              <w:right w:val="single" w:color="auto" w:sz="4" w:space="0"/>
            </w:tcBorders>
            <w:noWrap w:val="0"/>
            <w:vAlign w:val="center"/>
          </w:tcPr>
          <w:p w14:paraId="758132FF">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14:paraId="39B958F2">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2FCC4D80">
            <w:pPr>
              <w:widowControl/>
              <w:snapToGrid w:val="0"/>
              <w:contextualSpacing/>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其他未列明行业</w:t>
            </w:r>
          </w:p>
        </w:tc>
        <w:tc>
          <w:tcPr>
            <w:tcW w:w="1660" w:type="dxa"/>
            <w:tcBorders>
              <w:top w:val="nil"/>
              <w:left w:val="nil"/>
              <w:bottom w:val="single" w:color="auto" w:sz="4" w:space="0"/>
              <w:right w:val="single" w:color="auto" w:sz="4" w:space="0"/>
            </w:tcBorders>
            <w:noWrap w:val="0"/>
            <w:vAlign w:val="center"/>
          </w:tcPr>
          <w:p w14:paraId="7DA6319A">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1466" w:type="dxa"/>
            <w:tcBorders>
              <w:top w:val="nil"/>
              <w:left w:val="nil"/>
              <w:bottom w:val="single" w:color="auto" w:sz="4" w:space="0"/>
              <w:right w:val="single" w:color="auto" w:sz="4" w:space="0"/>
            </w:tcBorders>
            <w:noWrap w:val="0"/>
            <w:vAlign w:val="center"/>
          </w:tcPr>
          <w:p w14:paraId="21F058E0">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903" w:type="dxa"/>
            <w:tcBorders>
              <w:top w:val="nil"/>
              <w:left w:val="nil"/>
              <w:bottom w:val="single" w:color="auto" w:sz="4" w:space="0"/>
              <w:right w:val="single" w:color="auto" w:sz="4" w:space="0"/>
            </w:tcBorders>
            <w:noWrap w:val="0"/>
            <w:vAlign w:val="center"/>
          </w:tcPr>
          <w:p w14:paraId="53240231">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877" w:type="dxa"/>
            <w:tcBorders>
              <w:top w:val="nil"/>
              <w:left w:val="nil"/>
              <w:bottom w:val="single" w:color="auto" w:sz="4" w:space="0"/>
              <w:right w:val="single" w:color="auto" w:sz="4" w:space="0"/>
            </w:tcBorders>
            <w:noWrap w:val="0"/>
            <w:vAlign w:val="center"/>
          </w:tcPr>
          <w:p w14:paraId="033B97F5">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1134" w:type="dxa"/>
            <w:tcBorders>
              <w:top w:val="nil"/>
              <w:left w:val="nil"/>
              <w:bottom w:val="single" w:color="auto" w:sz="4" w:space="0"/>
              <w:right w:val="single" w:color="auto" w:sz="4" w:space="0"/>
            </w:tcBorders>
            <w:noWrap w:val="0"/>
            <w:vAlign w:val="center"/>
          </w:tcPr>
          <w:p w14:paraId="56D25BF7">
            <w:pPr>
              <w:widowControl/>
              <w:snapToGrid w:val="0"/>
              <w:contextualSpacing/>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14:paraId="7EA740A9">
      <w:pPr>
        <w:spacing w:line="240" w:lineRule="atLeas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w:t>
      </w:r>
      <w:r>
        <w:rPr>
          <w:rFonts w:hint="eastAsia" w:ascii="宋体" w:hAnsi="宋体" w:cs="宋体"/>
          <w:color w:val="000000" w:themeColor="text1"/>
          <w:sz w:val="24"/>
          <w14:textFill>
            <w14:solidFill>
              <w14:schemeClr w14:val="tx1"/>
            </w14:solidFill>
          </w14:textFill>
        </w:rPr>
        <w:t>上述标准参照《关于印发中小企业划型标准规定的通知》（工信部联企业[2011]300号），大型、中型和小型企业须同时满足所列指标的下限，否则下划一档；微型企业只须满足所列指标中的一项即可。</w:t>
      </w:r>
    </w:p>
    <w:p w14:paraId="277363C1">
      <w:pPr>
        <w:spacing w:line="240" w:lineRule="atLeast"/>
        <w:ind w:left="1080" w:leftChars="257" w:hanging="540"/>
        <w:jc w:val="center"/>
        <w:rPr>
          <w:rFonts w:hint="eastAsia" w:ascii="宋体" w:hAnsi="宋体" w:cs="宋体"/>
          <w:b/>
          <w:color w:val="000000" w:themeColor="text1"/>
          <w:kern w:val="0"/>
          <w:sz w:val="24"/>
          <w14:textFill>
            <w14:solidFill>
              <w14:schemeClr w14:val="tx1"/>
            </w14:solidFill>
          </w14:textFill>
        </w:rPr>
      </w:pPr>
    </w:p>
    <w:p w14:paraId="582A2C5B">
      <w:pPr>
        <w:pStyle w:val="4"/>
        <w:spacing w:before="0" w:line="240" w:lineRule="atLeast"/>
        <w:ind w:left="1080" w:leftChars="257" w:hanging="540"/>
        <w:rPr>
          <w:rFonts w:hint="eastAsia" w:ascii="宋体" w:hAnsi="宋体" w:eastAsia="宋体" w:cs="宋体"/>
          <w:color w:val="000000" w:themeColor="text1"/>
          <w:sz w:val="24"/>
          <w:szCs w:val="24"/>
          <w14:textFill>
            <w14:solidFill>
              <w14:schemeClr w14:val="tx1"/>
            </w14:solidFill>
          </w14:textFill>
        </w:rPr>
      </w:pPr>
      <w:bookmarkStart w:id="375" w:name="_Toc4574"/>
      <w:bookmarkStart w:id="376" w:name="_Toc30054"/>
      <w:bookmarkStart w:id="377" w:name="_Toc3587"/>
      <w:bookmarkStart w:id="378" w:name="_Toc6452"/>
      <w:bookmarkStart w:id="379" w:name="_Toc18365"/>
      <w:bookmarkStart w:id="380" w:name="_Toc17196"/>
      <w:bookmarkStart w:id="381" w:name="_Toc6531"/>
      <w:bookmarkStart w:id="382" w:name="_Toc515647827"/>
      <w:bookmarkStart w:id="383" w:name="_Toc28516"/>
      <w:bookmarkStart w:id="384" w:name="_Toc30795"/>
      <w:bookmarkStart w:id="385" w:name="_Toc28099"/>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关联单位的说明</w:t>
      </w:r>
      <w:bookmarkEnd w:id="375"/>
      <w:bookmarkEnd w:id="376"/>
      <w:bookmarkEnd w:id="377"/>
      <w:bookmarkEnd w:id="378"/>
      <w:bookmarkEnd w:id="379"/>
      <w:bookmarkEnd w:id="380"/>
      <w:bookmarkEnd w:id="381"/>
      <w:bookmarkEnd w:id="382"/>
      <w:bookmarkEnd w:id="383"/>
      <w:bookmarkEnd w:id="384"/>
      <w:bookmarkEnd w:id="385"/>
    </w:p>
    <w:p w14:paraId="0307BAA0">
      <w:pPr>
        <w:pStyle w:val="6"/>
        <w:jc w:val="center"/>
        <w:rPr>
          <w:rFonts w:hint="eastAsia" w:hAnsi="宋体" w:cs="宋体"/>
          <w:color w:val="000000" w:themeColor="text1"/>
          <w:szCs w:val="24"/>
          <w14:textFill>
            <w14:solidFill>
              <w14:schemeClr w14:val="tx1"/>
            </w14:solidFill>
          </w14:textFill>
        </w:rPr>
      </w:pPr>
    </w:p>
    <w:p w14:paraId="7E7AA0C4">
      <w:pPr>
        <w:pStyle w:val="6"/>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说明：</w:t>
      </w:r>
      <w:r>
        <w:rPr>
          <w:rFonts w:hint="eastAsia" w:hAnsi="宋体" w:cs="宋体"/>
          <w:color w:val="000000" w:themeColor="text1"/>
          <w:szCs w:val="24"/>
          <w:lang w:eastAsia="zh-CN"/>
          <w14:textFill>
            <w14:solidFill>
              <w14:schemeClr w14:val="tx1"/>
            </w14:solidFill>
          </w14:textFill>
        </w:rPr>
        <w:t>投标人</w:t>
      </w:r>
      <w:r>
        <w:rPr>
          <w:rFonts w:hint="eastAsia" w:hAnsi="宋体" w:cs="宋体"/>
          <w:color w:val="000000" w:themeColor="text1"/>
          <w:szCs w:val="24"/>
          <w14:textFill>
            <w14:solidFill>
              <w14:schemeClr w14:val="tx1"/>
            </w14:solidFill>
          </w14:textFill>
        </w:rPr>
        <w:t>应当如实披露与本单位存在下列关联关系的单位名称：</w:t>
      </w:r>
    </w:p>
    <w:p w14:paraId="30C71DBC">
      <w:pPr>
        <w:pStyle w:val="6"/>
        <w:numPr>
          <w:ilvl w:val="0"/>
          <w:numId w:val="4"/>
        </w:numPr>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与</w:t>
      </w:r>
      <w:r>
        <w:rPr>
          <w:rFonts w:hint="eastAsia" w:hAnsi="宋体" w:cs="宋体"/>
          <w:color w:val="000000" w:themeColor="text1"/>
          <w:szCs w:val="24"/>
          <w:lang w:eastAsia="zh-CN"/>
          <w14:textFill>
            <w14:solidFill>
              <w14:schemeClr w14:val="tx1"/>
            </w14:solidFill>
          </w14:textFill>
        </w:rPr>
        <w:t>投标人</w:t>
      </w:r>
      <w:r>
        <w:rPr>
          <w:rFonts w:hint="eastAsia" w:hAnsi="宋体" w:cs="宋体"/>
          <w:color w:val="000000" w:themeColor="text1"/>
          <w:szCs w:val="24"/>
          <w14:textFill>
            <w14:solidFill>
              <w14:schemeClr w14:val="tx1"/>
            </w14:solidFill>
          </w14:textFill>
        </w:rPr>
        <w:t>单位负责人为同一人的其他单位；</w:t>
      </w:r>
    </w:p>
    <w:p w14:paraId="2CC4814F">
      <w:pPr>
        <w:pStyle w:val="6"/>
        <w:numPr>
          <w:ilvl w:val="0"/>
          <w:numId w:val="4"/>
        </w:numPr>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与</w:t>
      </w:r>
      <w:r>
        <w:rPr>
          <w:rFonts w:hint="eastAsia" w:hAnsi="宋体" w:cs="宋体"/>
          <w:color w:val="000000" w:themeColor="text1"/>
          <w:szCs w:val="24"/>
          <w:lang w:eastAsia="zh-CN"/>
          <w14:textFill>
            <w14:solidFill>
              <w14:schemeClr w14:val="tx1"/>
            </w14:solidFill>
          </w14:textFill>
        </w:rPr>
        <w:t>投标人</w:t>
      </w:r>
      <w:r>
        <w:rPr>
          <w:rFonts w:hint="eastAsia" w:hAnsi="宋体" w:cs="宋体"/>
          <w:color w:val="000000" w:themeColor="text1"/>
          <w:szCs w:val="24"/>
          <w14:textFill>
            <w14:solidFill>
              <w14:schemeClr w14:val="tx1"/>
            </w14:solidFill>
          </w14:textFill>
        </w:rPr>
        <w:t>存在直接控股、管理关系的其他单位。</w:t>
      </w:r>
    </w:p>
    <w:p w14:paraId="44BB6506">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67F4EEA0">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2C6D1AF0">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6AD3140A">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28A0BD24">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1F2E6A4A">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77E974D7">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4E288937">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37EDC319">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0859281C">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1CC6FD66">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66E8487F">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6B4A8446">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5AF5F090">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7EC1ECC2">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005094D4">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7F5872E0">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0DE772CC">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4F59D7E2">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5E02867A">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2AF9E771">
      <w:pPr>
        <w:pStyle w:val="16"/>
        <w:spacing w:line="240" w:lineRule="atLeast"/>
        <w:ind w:left="1080" w:leftChars="257" w:hanging="540"/>
        <w:rPr>
          <w:rFonts w:hint="eastAsia" w:hAnsi="宋体" w:cs="宋体"/>
          <w:color w:val="000000" w:themeColor="text1"/>
          <w:sz w:val="24"/>
          <w:szCs w:val="24"/>
          <w14:textFill>
            <w14:solidFill>
              <w14:schemeClr w14:val="tx1"/>
            </w14:solidFill>
          </w14:textFill>
        </w:rPr>
      </w:pPr>
    </w:p>
    <w:p w14:paraId="4E40BB83">
      <w:pPr>
        <w:pStyle w:val="4"/>
        <w:tabs>
          <w:tab w:val="left" w:pos="540"/>
        </w:tabs>
        <w:jc w:val="both"/>
        <w:rPr>
          <w:rFonts w:hint="eastAsia" w:ascii="宋体" w:hAnsi="宋体" w:eastAsia="宋体" w:cs="宋体"/>
          <w:color w:val="000000" w:themeColor="text1"/>
          <w:sz w:val="24"/>
          <w:szCs w:val="24"/>
          <w14:textFill>
            <w14:solidFill>
              <w14:schemeClr w14:val="tx1"/>
            </w14:solidFill>
          </w14:textFill>
        </w:rPr>
      </w:pPr>
    </w:p>
    <w:p w14:paraId="595760C2">
      <w:pPr>
        <w:pStyle w:val="16"/>
        <w:spacing w:line="360" w:lineRule="auto"/>
        <w:ind w:firstLine="964" w:firstLineChars="400"/>
        <w:rPr>
          <w:rFonts w:hint="eastAsia" w:hAnsi="宋体" w:cs="宋体"/>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br w:type="page"/>
      </w:r>
    </w:p>
    <w:p w14:paraId="5E803C7A">
      <w:pPr>
        <w:pStyle w:val="49"/>
        <w:rPr>
          <w:rFonts w:hint="eastAsia" w:hAnsi="宋体"/>
          <w:b/>
          <w:bCs/>
          <w:color w:val="000000" w:themeColor="text1"/>
          <w14:textFill>
            <w14:solidFill>
              <w14:schemeClr w14:val="tx1"/>
            </w14:solidFill>
          </w14:textFill>
        </w:rPr>
      </w:pPr>
    </w:p>
    <w:p w14:paraId="470C2892">
      <w:pPr>
        <w:numPr>
          <w:ilvl w:val="0"/>
          <w:numId w:val="0"/>
        </w:numPr>
        <w:snapToGrid w:val="0"/>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近三年(具体指</w:t>
      </w:r>
      <w:r>
        <w:rPr>
          <w:rFonts w:hint="eastAsia" w:ascii="宋体" w:hAnsi="宋体" w:cs="宋体"/>
          <w:b/>
          <w:bCs/>
          <w:color w:val="000000" w:themeColor="text1"/>
          <w:sz w:val="24"/>
          <w:lang w:eastAsia="zh-CN"/>
          <w14:textFill>
            <w14:solidFill>
              <w14:schemeClr w14:val="tx1"/>
            </w14:solidFill>
          </w14:textFill>
        </w:rPr>
        <w:t>2023年5月1日</w:t>
      </w:r>
      <w:r>
        <w:rPr>
          <w:rFonts w:hint="eastAsia" w:ascii="宋体" w:hAnsi="宋体" w:cs="宋体"/>
          <w:b/>
          <w:bCs/>
          <w:color w:val="000000" w:themeColor="text1"/>
          <w:sz w:val="24"/>
          <w14:textFill>
            <w14:solidFill>
              <w14:schemeClr w14:val="tx1"/>
            </w14:solidFill>
          </w14:textFill>
        </w:rPr>
        <w:t xml:space="preserve">至本项目投标截止之日) </w:t>
      </w:r>
    </w:p>
    <w:p w14:paraId="1CE5900A">
      <w:pPr>
        <w:numPr>
          <w:ilvl w:val="0"/>
          <w:numId w:val="0"/>
        </w:numPr>
        <w:snapToGrid w:val="0"/>
        <w:spacing w:line="360" w:lineRule="auto"/>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同类项目业绩一览表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18"/>
        <w:gridCol w:w="1401"/>
        <w:gridCol w:w="1303"/>
        <w:gridCol w:w="1374"/>
        <w:gridCol w:w="1256"/>
        <w:gridCol w:w="852"/>
      </w:tblGrid>
      <w:tr w14:paraId="041C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5" w:type="dxa"/>
            <w:noWrap w:val="0"/>
            <w:vAlign w:val="center"/>
          </w:tcPr>
          <w:p w14:paraId="28D0CDE0">
            <w:pPr>
              <w:snapToGrid w:val="0"/>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2018" w:type="dxa"/>
            <w:noWrap w:val="0"/>
            <w:vAlign w:val="center"/>
          </w:tcPr>
          <w:p w14:paraId="24E4CAA8">
            <w:pPr>
              <w:snapToGrid w:val="0"/>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项目名称</w:t>
            </w:r>
          </w:p>
        </w:tc>
        <w:tc>
          <w:tcPr>
            <w:tcW w:w="1401" w:type="dxa"/>
            <w:noWrap w:val="0"/>
            <w:vAlign w:val="center"/>
          </w:tcPr>
          <w:p w14:paraId="07CDB308">
            <w:pPr>
              <w:snapToGrid w:val="0"/>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合同金额</w:t>
            </w:r>
          </w:p>
        </w:tc>
        <w:tc>
          <w:tcPr>
            <w:tcW w:w="1303" w:type="dxa"/>
            <w:noWrap w:val="0"/>
            <w:vAlign w:val="center"/>
          </w:tcPr>
          <w:p w14:paraId="6BE2456C">
            <w:pPr>
              <w:snapToGrid w:val="0"/>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业主名称</w:t>
            </w:r>
          </w:p>
        </w:tc>
        <w:tc>
          <w:tcPr>
            <w:tcW w:w="1374" w:type="dxa"/>
            <w:noWrap w:val="0"/>
            <w:vAlign w:val="center"/>
          </w:tcPr>
          <w:p w14:paraId="33F0C7BE">
            <w:pPr>
              <w:snapToGrid w:val="0"/>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签约时间</w:t>
            </w:r>
          </w:p>
        </w:tc>
        <w:tc>
          <w:tcPr>
            <w:tcW w:w="1256" w:type="dxa"/>
            <w:noWrap w:val="0"/>
            <w:vAlign w:val="center"/>
          </w:tcPr>
          <w:p w14:paraId="2D6633AC">
            <w:pPr>
              <w:snapToGrid w:val="0"/>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完成情况</w:t>
            </w:r>
          </w:p>
        </w:tc>
        <w:tc>
          <w:tcPr>
            <w:tcW w:w="852" w:type="dxa"/>
            <w:noWrap w:val="0"/>
            <w:vAlign w:val="center"/>
          </w:tcPr>
          <w:p w14:paraId="5B92B049">
            <w:pPr>
              <w:snapToGrid w:val="0"/>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备注</w:t>
            </w:r>
          </w:p>
        </w:tc>
      </w:tr>
      <w:tr w14:paraId="57BF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7286E745">
            <w:pPr>
              <w:snapToGrid w:val="0"/>
              <w:spacing w:line="360" w:lineRule="auto"/>
              <w:rPr>
                <w:rFonts w:hint="eastAsia" w:ascii="宋体" w:hAnsi="宋体" w:cs="宋体"/>
                <w:color w:val="000000" w:themeColor="text1"/>
                <w:sz w:val="24"/>
                <w14:textFill>
                  <w14:solidFill>
                    <w14:schemeClr w14:val="tx1"/>
                  </w14:solidFill>
                </w14:textFill>
              </w:rPr>
            </w:pPr>
          </w:p>
        </w:tc>
        <w:tc>
          <w:tcPr>
            <w:tcW w:w="2018" w:type="dxa"/>
            <w:noWrap w:val="0"/>
            <w:vAlign w:val="top"/>
          </w:tcPr>
          <w:p w14:paraId="275F5C04">
            <w:pPr>
              <w:snapToGrid w:val="0"/>
              <w:spacing w:line="360" w:lineRule="auto"/>
              <w:rPr>
                <w:rFonts w:hint="eastAsia" w:ascii="宋体" w:hAnsi="宋体" w:cs="宋体"/>
                <w:color w:val="000000" w:themeColor="text1"/>
                <w:sz w:val="24"/>
                <w14:textFill>
                  <w14:solidFill>
                    <w14:schemeClr w14:val="tx1"/>
                  </w14:solidFill>
                </w14:textFill>
              </w:rPr>
            </w:pPr>
          </w:p>
        </w:tc>
        <w:tc>
          <w:tcPr>
            <w:tcW w:w="1401" w:type="dxa"/>
            <w:noWrap w:val="0"/>
            <w:vAlign w:val="top"/>
          </w:tcPr>
          <w:p w14:paraId="72FC8C1A">
            <w:pPr>
              <w:snapToGrid w:val="0"/>
              <w:spacing w:line="360" w:lineRule="auto"/>
              <w:rPr>
                <w:rFonts w:hint="eastAsia" w:ascii="宋体" w:hAnsi="宋体" w:cs="宋体"/>
                <w:color w:val="000000" w:themeColor="text1"/>
                <w:sz w:val="24"/>
                <w14:textFill>
                  <w14:solidFill>
                    <w14:schemeClr w14:val="tx1"/>
                  </w14:solidFill>
                </w14:textFill>
              </w:rPr>
            </w:pPr>
          </w:p>
        </w:tc>
        <w:tc>
          <w:tcPr>
            <w:tcW w:w="1303" w:type="dxa"/>
            <w:noWrap w:val="0"/>
            <w:vAlign w:val="top"/>
          </w:tcPr>
          <w:p w14:paraId="6A155E17">
            <w:pPr>
              <w:snapToGrid w:val="0"/>
              <w:spacing w:line="360" w:lineRule="auto"/>
              <w:rPr>
                <w:rFonts w:hint="eastAsia" w:ascii="宋体" w:hAnsi="宋体" w:cs="宋体"/>
                <w:color w:val="000000" w:themeColor="text1"/>
                <w:sz w:val="24"/>
                <w14:textFill>
                  <w14:solidFill>
                    <w14:schemeClr w14:val="tx1"/>
                  </w14:solidFill>
                </w14:textFill>
              </w:rPr>
            </w:pPr>
          </w:p>
        </w:tc>
        <w:tc>
          <w:tcPr>
            <w:tcW w:w="1374" w:type="dxa"/>
            <w:noWrap w:val="0"/>
            <w:vAlign w:val="top"/>
          </w:tcPr>
          <w:p w14:paraId="6537CD24">
            <w:pPr>
              <w:snapToGrid w:val="0"/>
              <w:spacing w:line="360" w:lineRule="auto"/>
              <w:rPr>
                <w:rFonts w:hint="eastAsia" w:ascii="宋体" w:hAnsi="宋体" w:cs="宋体"/>
                <w:color w:val="000000" w:themeColor="text1"/>
                <w:sz w:val="24"/>
                <w14:textFill>
                  <w14:solidFill>
                    <w14:schemeClr w14:val="tx1"/>
                  </w14:solidFill>
                </w14:textFill>
              </w:rPr>
            </w:pPr>
          </w:p>
        </w:tc>
        <w:tc>
          <w:tcPr>
            <w:tcW w:w="1256" w:type="dxa"/>
            <w:noWrap w:val="0"/>
            <w:vAlign w:val="top"/>
          </w:tcPr>
          <w:p w14:paraId="34F82BDB">
            <w:pPr>
              <w:snapToGrid w:val="0"/>
              <w:spacing w:line="360" w:lineRule="auto"/>
              <w:rPr>
                <w:rFonts w:hint="eastAsia" w:ascii="宋体" w:hAnsi="宋体" w:cs="宋体"/>
                <w:color w:val="000000" w:themeColor="text1"/>
                <w:sz w:val="24"/>
                <w14:textFill>
                  <w14:solidFill>
                    <w14:schemeClr w14:val="tx1"/>
                  </w14:solidFill>
                </w14:textFill>
              </w:rPr>
            </w:pPr>
          </w:p>
        </w:tc>
        <w:tc>
          <w:tcPr>
            <w:tcW w:w="852" w:type="dxa"/>
            <w:noWrap w:val="0"/>
            <w:vAlign w:val="top"/>
          </w:tcPr>
          <w:p w14:paraId="04B2AEA4">
            <w:pPr>
              <w:snapToGrid w:val="0"/>
              <w:spacing w:line="360" w:lineRule="auto"/>
              <w:rPr>
                <w:rFonts w:hint="eastAsia" w:ascii="宋体" w:hAnsi="宋体" w:cs="宋体"/>
                <w:color w:val="000000" w:themeColor="text1"/>
                <w:sz w:val="24"/>
                <w14:textFill>
                  <w14:solidFill>
                    <w14:schemeClr w14:val="tx1"/>
                  </w14:solidFill>
                </w14:textFill>
              </w:rPr>
            </w:pPr>
          </w:p>
        </w:tc>
      </w:tr>
      <w:tr w14:paraId="29D2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0A275945">
            <w:pPr>
              <w:snapToGrid w:val="0"/>
              <w:spacing w:line="360" w:lineRule="auto"/>
              <w:rPr>
                <w:rFonts w:hint="eastAsia" w:ascii="宋体" w:hAnsi="宋体" w:cs="宋体"/>
                <w:color w:val="000000" w:themeColor="text1"/>
                <w:sz w:val="24"/>
                <w14:textFill>
                  <w14:solidFill>
                    <w14:schemeClr w14:val="tx1"/>
                  </w14:solidFill>
                </w14:textFill>
              </w:rPr>
            </w:pPr>
          </w:p>
        </w:tc>
        <w:tc>
          <w:tcPr>
            <w:tcW w:w="2018" w:type="dxa"/>
            <w:noWrap w:val="0"/>
            <w:vAlign w:val="top"/>
          </w:tcPr>
          <w:p w14:paraId="15406205">
            <w:pPr>
              <w:snapToGrid w:val="0"/>
              <w:spacing w:line="360" w:lineRule="auto"/>
              <w:rPr>
                <w:rFonts w:hint="eastAsia" w:ascii="宋体" w:hAnsi="宋体" w:cs="宋体"/>
                <w:color w:val="000000" w:themeColor="text1"/>
                <w:sz w:val="24"/>
                <w14:textFill>
                  <w14:solidFill>
                    <w14:schemeClr w14:val="tx1"/>
                  </w14:solidFill>
                </w14:textFill>
              </w:rPr>
            </w:pPr>
          </w:p>
        </w:tc>
        <w:tc>
          <w:tcPr>
            <w:tcW w:w="1401" w:type="dxa"/>
            <w:noWrap w:val="0"/>
            <w:vAlign w:val="top"/>
          </w:tcPr>
          <w:p w14:paraId="08711528">
            <w:pPr>
              <w:snapToGrid w:val="0"/>
              <w:spacing w:line="360" w:lineRule="auto"/>
              <w:rPr>
                <w:rFonts w:hint="eastAsia" w:ascii="宋体" w:hAnsi="宋体" w:cs="宋体"/>
                <w:color w:val="000000" w:themeColor="text1"/>
                <w:sz w:val="24"/>
                <w14:textFill>
                  <w14:solidFill>
                    <w14:schemeClr w14:val="tx1"/>
                  </w14:solidFill>
                </w14:textFill>
              </w:rPr>
            </w:pPr>
          </w:p>
        </w:tc>
        <w:tc>
          <w:tcPr>
            <w:tcW w:w="1303" w:type="dxa"/>
            <w:noWrap w:val="0"/>
            <w:vAlign w:val="top"/>
          </w:tcPr>
          <w:p w14:paraId="1624EF19">
            <w:pPr>
              <w:snapToGrid w:val="0"/>
              <w:spacing w:line="360" w:lineRule="auto"/>
              <w:rPr>
                <w:rFonts w:hint="eastAsia" w:ascii="宋体" w:hAnsi="宋体" w:cs="宋体"/>
                <w:color w:val="000000" w:themeColor="text1"/>
                <w:sz w:val="24"/>
                <w14:textFill>
                  <w14:solidFill>
                    <w14:schemeClr w14:val="tx1"/>
                  </w14:solidFill>
                </w14:textFill>
              </w:rPr>
            </w:pPr>
          </w:p>
        </w:tc>
        <w:tc>
          <w:tcPr>
            <w:tcW w:w="1374" w:type="dxa"/>
            <w:noWrap w:val="0"/>
            <w:vAlign w:val="top"/>
          </w:tcPr>
          <w:p w14:paraId="5A319571">
            <w:pPr>
              <w:snapToGrid w:val="0"/>
              <w:spacing w:line="360" w:lineRule="auto"/>
              <w:rPr>
                <w:rFonts w:hint="eastAsia" w:ascii="宋体" w:hAnsi="宋体" w:cs="宋体"/>
                <w:color w:val="000000" w:themeColor="text1"/>
                <w:sz w:val="24"/>
                <w14:textFill>
                  <w14:solidFill>
                    <w14:schemeClr w14:val="tx1"/>
                  </w14:solidFill>
                </w14:textFill>
              </w:rPr>
            </w:pPr>
          </w:p>
        </w:tc>
        <w:tc>
          <w:tcPr>
            <w:tcW w:w="1256" w:type="dxa"/>
            <w:noWrap w:val="0"/>
            <w:vAlign w:val="top"/>
          </w:tcPr>
          <w:p w14:paraId="72B296A6">
            <w:pPr>
              <w:snapToGrid w:val="0"/>
              <w:spacing w:line="360" w:lineRule="auto"/>
              <w:rPr>
                <w:rFonts w:hint="eastAsia" w:ascii="宋体" w:hAnsi="宋体" w:cs="宋体"/>
                <w:color w:val="000000" w:themeColor="text1"/>
                <w:sz w:val="24"/>
                <w14:textFill>
                  <w14:solidFill>
                    <w14:schemeClr w14:val="tx1"/>
                  </w14:solidFill>
                </w14:textFill>
              </w:rPr>
            </w:pPr>
          </w:p>
        </w:tc>
        <w:tc>
          <w:tcPr>
            <w:tcW w:w="852" w:type="dxa"/>
            <w:noWrap w:val="0"/>
            <w:vAlign w:val="top"/>
          </w:tcPr>
          <w:p w14:paraId="268D3656">
            <w:pPr>
              <w:snapToGrid w:val="0"/>
              <w:spacing w:line="360" w:lineRule="auto"/>
              <w:rPr>
                <w:rFonts w:hint="eastAsia" w:ascii="宋体" w:hAnsi="宋体" w:cs="宋体"/>
                <w:color w:val="000000" w:themeColor="text1"/>
                <w:sz w:val="24"/>
                <w14:textFill>
                  <w14:solidFill>
                    <w14:schemeClr w14:val="tx1"/>
                  </w14:solidFill>
                </w14:textFill>
              </w:rPr>
            </w:pPr>
          </w:p>
        </w:tc>
      </w:tr>
      <w:tr w14:paraId="520D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2DDAB6DC">
            <w:pPr>
              <w:snapToGrid w:val="0"/>
              <w:spacing w:line="360" w:lineRule="auto"/>
              <w:rPr>
                <w:rFonts w:hint="eastAsia" w:ascii="宋体" w:hAnsi="宋体" w:cs="宋体"/>
                <w:color w:val="000000" w:themeColor="text1"/>
                <w:sz w:val="24"/>
                <w14:textFill>
                  <w14:solidFill>
                    <w14:schemeClr w14:val="tx1"/>
                  </w14:solidFill>
                </w14:textFill>
              </w:rPr>
            </w:pPr>
          </w:p>
        </w:tc>
        <w:tc>
          <w:tcPr>
            <w:tcW w:w="2018" w:type="dxa"/>
            <w:noWrap w:val="0"/>
            <w:vAlign w:val="top"/>
          </w:tcPr>
          <w:p w14:paraId="03C4DB0E">
            <w:pPr>
              <w:snapToGrid w:val="0"/>
              <w:spacing w:line="360" w:lineRule="auto"/>
              <w:rPr>
                <w:rFonts w:hint="eastAsia" w:ascii="宋体" w:hAnsi="宋体" w:cs="宋体"/>
                <w:color w:val="000000" w:themeColor="text1"/>
                <w:sz w:val="24"/>
                <w14:textFill>
                  <w14:solidFill>
                    <w14:schemeClr w14:val="tx1"/>
                  </w14:solidFill>
                </w14:textFill>
              </w:rPr>
            </w:pPr>
          </w:p>
        </w:tc>
        <w:tc>
          <w:tcPr>
            <w:tcW w:w="1401" w:type="dxa"/>
            <w:noWrap w:val="0"/>
            <w:vAlign w:val="top"/>
          </w:tcPr>
          <w:p w14:paraId="42586F4B">
            <w:pPr>
              <w:snapToGrid w:val="0"/>
              <w:spacing w:line="360" w:lineRule="auto"/>
              <w:rPr>
                <w:rFonts w:hint="eastAsia" w:ascii="宋体" w:hAnsi="宋体" w:cs="宋体"/>
                <w:color w:val="000000" w:themeColor="text1"/>
                <w:sz w:val="24"/>
                <w14:textFill>
                  <w14:solidFill>
                    <w14:schemeClr w14:val="tx1"/>
                  </w14:solidFill>
                </w14:textFill>
              </w:rPr>
            </w:pPr>
          </w:p>
        </w:tc>
        <w:tc>
          <w:tcPr>
            <w:tcW w:w="1303" w:type="dxa"/>
            <w:noWrap w:val="0"/>
            <w:vAlign w:val="top"/>
          </w:tcPr>
          <w:p w14:paraId="4B524B1E">
            <w:pPr>
              <w:snapToGrid w:val="0"/>
              <w:spacing w:line="360" w:lineRule="auto"/>
              <w:rPr>
                <w:rFonts w:hint="eastAsia" w:ascii="宋体" w:hAnsi="宋体" w:cs="宋体"/>
                <w:color w:val="000000" w:themeColor="text1"/>
                <w:sz w:val="24"/>
                <w14:textFill>
                  <w14:solidFill>
                    <w14:schemeClr w14:val="tx1"/>
                  </w14:solidFill>
                </w14:textFill>
              </w:rPr>
            </w:pPr>
          </w:p>
        </w:tc>
        <w:tc>
          <w:tcPr>
            <w:tcW w:w="1374" w:type="dxa"/>
            <w:noWrap w:val="0"/>
            <w:vAlign w:val="top"/>
          </w:tcPr>
          <w:p w14:paraId="5A373034">
            <w:pPr>
              <w:snapToGrid w:val="0"/>
              <w:spacing w:line="360" w:lineRule="auto"/>
              <w:rPr>
                <w:rFonts w:hint="eastAsia" w:ascii="宋体" w:hAnsi="宋体" w:cs="宋体"/>
                <w:color w:val="000000" w:themeColor="text1"/>
                <w:sz w:val="24"/>
                <w14:textFill>
                  <w14:solidFill>
                    <w14:schemeClr w14:val="tx1"/>
                  </w14:solidFill>
                </w14:textFill>
              </w:rPr>
            </w:pPr>
          </w:p>
        </w:tc>
        <w:tc>
          <w:tcPr>
            <w:tcW w:w="1256" w:type="dxa"/>
            <w:noWrap w:val="0"/>
            <w:vAlign w:val="top"/>
          </w:tcPr>
          <w:p w14:paraId="19E5E6CA">
            <w:pPr>
              <w:snapToGrid w:val="0"/>
              <w:spacing w:line="360" w:lineRule="auto"/>
              <w:rPr>
                <w:rFonts w:hint="eastAsia" w:ascii="宋体" w:hAnsi="宋体" w:cs="宋体"/>
                <w:color w:val="000000" w:themeColor="text1"/>
                <w:sz w:val="24"/>
                <w14:textFill>
                  <w14:solidFill>
                    <w14:schemeClr w14:val="tx1"/>
                  </w14:solidFill>
                </w14:textFill>
              </w:rPr>
            </w:pPr>
          </w:p>
        </w:tc>
        <w:tc>
          <w:tcPr>
            <w:tcW w:w="852" w:type="dxa"/>
            <w:noWrap w:val="0"/>
            <w:vAlign w:val="top"/>
          </w:tcPr>
          <w:p w14:paraId="2A653413">
            <w:pPr>
              <w:snapToGrid w:val="0"/>
              <w:spacing w:line="360" w:lineRule="auto"/>
              <w:rPr>
                <w:rFonts w:hint="eastAsia" w:ascii="宋体" w:hAnsi="宋体" w:cs="宋体"/>
                <w:color w:val="000000" w:themeColor="text1"/>
                <w:sz w:val="24"/>
                <w14:textFill>
                  <w14:solidFill>
                    <w14:schemeClr w14:val="tx1"/>
                  </w14:solidFill>
                </w14:textFill>
              </w:rPr>
            </w:pPr>
          </w:p>
        </w:tc>
      </w:tr>
      <w:tr w14:paraId="65B7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5457B098">
            <w:pPr>
              <w:snapToGrid w:val="0"/>
              <w:spacing w:line="360" w:lineRule="auto"/>
              <w:rPr>
                <w:rFonts w:hint="eastAsia" w:ascii="宋体" w:hAnsi="宋体" w:cs="宋体"/>
                <w:color w:val="000000" w:themeColor="text1"/>
                <w:sz w:val="24"/>
                <w14:textFill>
                  <w14:solidFill>
                    <w14:schemeClr w14:val="tx1"/>
                  </w14:solidFill>
                </w14:textFill>
              </w:rPr>
            </w:pPr>
          </w:p>
        </w:tc>
        <w:tc>
          <w:tcPr>
            <w:tcW w:w="2018" w:type="dxa"/>
            <w:noWrap w:val="0"/>
            <w:vAlign w:val="top"/>
          </w:tcPr>
          <w:p w14:paraId="2D494F3D">
            <w:pPr>
              <w:snapToGrid w:val="0"/>
              <w:spacing w:line="360" w:lineRule="auto"/>
              <w:rPr>
                <w:rFonts w:hint="eastAsia" w:ascii="宋体" w:hAnsi="宋体" w:cs="宋体"/>
                <w:color w:val="000000" w:themeColor="text1"/>
                <w:sz w:val="24"/>
                <w14:textFill>
                  <w14:solidFill>
                    <w14:schemeClr w14:val="tx1"/>
                  </w14:solidFill>
                </w14:textFill>
              </w:rPr>
            </w:pPr>
          </w:p>
        </w:tc>
        <w:tc>
          <w:tcPr>
            <w:tcW w:w="1401" w:type="dxa"/>
            <w:noWrap w:val="0"/>
            <w:vAlign w:val="top"/>
          </w:tcPr>
          <w:p w14:paraId="56BE6607">
            <w:pPr>
              <w:snapToGrid w:val="0"/>
              <w:spacing w:line="360" w:lineRule="auto"/>
              <w:rPr>
                <w:rFonts w:hint="eastAsia" w:ascii="宋体" w:hAnsi="宋体" w:cs="宋体"/>
                <w:color w:val="000000" w:themeColor="text1"/>
                <w:sz w:val="24"/>
                <w14:textFill>
                  <w14:solidFill>
                    <w14:schemeClr w14:val="tx1"/>
                  </w14:solidFill>
                </w14:textFill>
              </w:rPr>
            </w:pPr>
          </w:p>
        </w:tc>
        <w:tc>
          <w:tcPr>
            <w:tcW w:w="1303" w:type="dxa"/>
            <w:noWrap w:val="0"/>
            <w:vAlign w:val="top"/>
          </w:tcPr>
          <w:p w14:paraId="46ECEBE1">
            <w:pPr>
              <w:snapToGrid w:val="0"/>
              <w:spacing w:line="360" w:lineRule="auto"/>
              <w:rPr>
                <w:rFonts w:hint="eastAsia" w:ascii="宋体" w:hAnsi="宋体" w:cs="宋体"/>
                <w:color w:val="000000" w:themeColor="text1"/>
                <w:sz w:val="24"/>
                <w14:textFill>
                  <w14:solidFill>
                    <w14:schemeClr w14:val="tx1"/>
                  </w14:solidFill>
                </w14:textFill>
              </w:rPr>
            </w:pPr>
          </w:p>
        </w:tc>
        <w:tc>
          <w:tcPr>
            <w:tcW w:w="1374" w:type="dxa"/>
            <w:noWrap w:val="0"/>
            <w:vAlign w:val="top"/>
          </w:tcPr>
          <w:p w14:paraId="14F02EDB">
            <w:pPr>
              <w:snapToGrid w:val="0"/>
              <w:spacing w:line="360" w:lineRule="auto"/>
              <w:rPr>
                <w:rFonts w:hint="eastAsia" w:ascii="宋体" w:hAnsi="宋体" w:cs="宋体"/>
                <w:color w:val="000000" w:themeColor="text1"/>
                <w:sz w:val="24"/>
                <w14:textFill>
                  <w14:solidFill>
                    <w14:schemeClr w14:val="tx1"/>
                  </w14:solidFill>
                </w14:textFill>
              </w:rPr>
            </w:pPr>
          </w:p>
        </w:tc>
        <w:tc>
          <w:tcPr>
            <w:tcW w:w="1256" w:type="dxa"/>
            <w:noWrap w:val="0"/>
            <w:vAlign w:val="top"/>
          </w:tcPr>
          <w:p w14:paraId="5AABAF9E">
            <w:pPr>
              <w:snapToGrid w:val="0"/>
              <w:spacing w:line="360" w:lineRule="auto"/>
              <w:rPr>
                <w:rFonts w:hint="eastAsia" w:ascii="宋体" w:hAnsi="宋体" w:cs="宋体"/>
                <w:color w:val="000000" w:themeColor="text1"/>
                <w:sz w:val="24"/>
                <w14:textFill>
                  <w14:solidFill>
                    <w14:schemeClr w14:val="tx1"/>
                  </w14:solidFill>
                </w14:textFill>
              </w:rPr>
            </w:pPr>
          </w:p>
        </w:tc>
        <w:tc>
          <w:tcPr>
            <w:tcW w:w="852" w:type="dxa"/>
            <w:noWrap w:val="0"/>
            <w:vAlign w:val="top"/>
          </w:tcPr>
          <w:p w14:paraId="1EC04502">
            <w:pPr>
              <w:snapToGrid w:val="0"/>
              <w:spacing w:line="360" w:lineRule="auto"/>
              <w:rPr>
                <w:rFonts w:hint="eastAsia" w:ascii="宋体" w:hAnsi="宋体" w:cs="宋体"/>
                <w:color w:val="000000" w:themeColor="text1"/>
                <w:sz w:val="24"/>
                <w14:textFill>
                  <w14:solidFill>
                    <w14:schemeClr w14:val="tx1"/>
                  </w14:solidFill>
                </w14:textFill>
              </w:rPr>
            </w:pPr>
          </w:p>
        </w:tc>
      </w:tr>
      <w:tr w14:paraId="07E7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5F78F1D5">
            <w:pPr>
              <w:snapToGrid w:val="0"/>
              <w:spacing w:line="360" w:lineRule="auto"/>
              <w:rPr>
                <w:rFonts w:hint="eastAsia" w:ascii="宋体" w:hAnsi="宋体" w:cs="宋体"/>
                <w:color w:val="000000" w:themeColor="text1"/>
                <w:sz w:val="24"/>
                <w14:textFill>
                  <w14:solidFill>
                    <w14:schemeClr w14:val="tx1"/>
                  </w14:solidFill>
                </w14:textFill>
              </w:rPr>
            </w:pPr>
          </w:p>
        </w:tc>
        <w:tc>
          <w:tcPr>
            <w:tcW w:w="2018" w:type="dxa"/>
            <w:noWrap w:val="0"/>
            <w:vAlign w:val="top"/>
          </w:tcPr>
          <w:p w14:paraId="46E0681D">
            <w:pPr>
              <w:snapToGrid w:val="0"/>
              <w:spacing w:line="360" w:lineRule="auto"/>
              <w:rPr>
                <w:rFonts w:hint="eastAsia" w:ascii="宋体" w:hAnsi="宋体" w:cs="宋体"/>
                <w:color w:val="000000" w:themeColor="text1"/>
                <w:sz w:val="24"/>
                <w14:textFill>
                  <w14:solidFill>
                    <w14:schemeClr w14:val="tx1"/>
                  </w14:solidFill>
                </w14:textFill>
              </w:rPr>
            </w:pPr>
          </w:p>
        </w:tc>
        <w:tc>
          <w:tcPr>
            <w:tcW w:w="1401" w:type="dxa"/>
            <w:noWrap w:val="0"/>
            <w:vAlign w:val="top"/>
          </w:tcPr>
          <w:p w14:paraId="6CFA98EF">
            <w:pPr>
              <w:snapToGrid w:val="0"/>
              <w:spacing w:line="360" w:lineRule="auto"/>
              <w:rPr>
                <w:rFonts w:hint="eastAsia" w:ascii="宋体" w:hAnsi="宋体" w:cs="宋体"/>
                <w:color w:val="000000" w:themeColor="text1"/>
                <w:sz w:val="24"/>
                <w14:textFill>
                  <w14:solidFill>
                    <w14:schemeClr w14:val="tx1"/>
                  </w14:solidFill>
                </w14:textFill>
              </w:rPr>
            </w:pPr>
          </w:p>
        </w:tc>
        <w:tc>
          <w:tcPr>
            <w:tcW w:w="1303" w:type="dxa"/>
            <w:noWrap w:val="0"/>
            <w:vAlign w:val="top"/>
          </w:tcPr>
          <w:p w14:paraId="429A85B4">
            <w:pPr>
              <w:snapToGrid w:val="0"/>
              <w:spacing w:line="360" w:lineRule="auto"/>
              <w:rPr>
                <w:rFonts w:hint="eastAsia" w:ascii="宋体" w:hAnsi="宋体" w:cs="宋体"/>
                <w:color w:val="000000" w:themeColor="text1"/>
                <w:sz w:val="24"/>
                <w14:textFill>
                  <w14:solidFill>
                    <w14:schemeClr w14:val="tx1"/>
                  </w14:solidFill>
                </w14:textFill>
              </w:rPr>
            </w:pPr>
          </w:p>
        </w:tc>
        <w:tc>
          <w:tcPr>
            <w:tcW w:w="1374" w:type="dxa"/>
            <w:noWrap w:val="0"/>
            <w:vAlign w:val="top"/>
          </w:tcPr>
          <w:p w14:paraId="599C9348">
            <w:pPr>
              <w:snapToGrid w:val="0"/>
              <w:spacing w:line="360" w:lineRule="auto"/>
              <w:rPr>
                <w:rFonts w:hint="eastAsia" w:ascii="宋体" w:hAnsi="宋体" w:cs="宋体"/>
                <w:color w:val="000000" w:themeColor="text1"/>
                <w:sz w:val="24"/>
                <w14:textFill>
                  <w14:solidFill>
                    <w14:schemeClr w14:val="tx1"/>
                  </w14:solidFill>
                </w14:textFill>
              </w:rPr>
            </w:pPr>
          </w:p>
        </w:tc>
        <w:tc>
          <w:tcPr>
            <w:tcW w:w="1256" w:type="dxa"/>
            <w:noWrap w:val="0"/>
            <w:vAlign w:val="top"/>
          </w:tcPr>
          <w:p w14:paraId="3B46E03F">
            <w:pPr>
              <w:snapToGrid w:val="0"/>
              <w:spacing w:line="360" w:lineRule="auto"/>
              <w:rPr>
                <w:rFonts w:hint="eastAsia" w:ascii="宋体" w:hAnsi="宋体" w:cs="宋体"/>
                <w:color w:val="000000" w:themeColor="text1"/>
                <w:sz w:val="24"/>
                <w14:textFill>
                  <w14:solidFill>
                    <w14:schemeClr w14:val="tx1"/>
                  </w14:solidFill>
                </w14:textFill>
              </w:rPr>
            </w:pPr>
          </w:p>
        </w:tc>
        <w:tc>
          <w:tcPr>
            <w:tcW w:w="852" w:type="dxa"/>
            <w:noWrap w:val="0"/>
            <w:vAlign w:val="top"/>
          </w:tcPr>
          <w:p w14:paraId="562FEB48">
            <w:pPr>
              <w:snapToGrid w:val="0"/>
              <w:spacing w:line="360" w:lineRule="auto"/>
              <w:rPr>
                <w:rFonts w:hint="eastAsia" w:ascii="宋体" w:hAnsi="宋体" w:cs="宋体"/>
                <w:color w:val="000000" w:themeColor="text1"/>
                <w:sz w:val="24"/>
                <w14:textFill>
                  <w14:solidFill>
                    <w14:schemeClr w14:val="tx1"/>
                  </w14:solidFill>
                </w14:textFill>
              </w:rPr>
            </w:pPr>
          </w:p>
        </w:tc>
      </w:tr>
      <w:tr w14:paraId="6500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7C9FD237">
            <w:pPr>
              <w:snapToGrid w:val="0"/>
              <w:spacing w:line="360" w:lineRule="auto"/>
              <w:rPr>
                <w:rFonts w:hint="eastAsia" w:ascii="宋体" w:hAnsi="宋体" w:cs="宋体"/>
                <w:color w:val="000000" w:themeColor="text1"/>
                <w:sz w:val="24"/>
                <w14:textFill>
                  <w14:solidFill>
                    <w14:schemeClr w14:val="tx1"/>
                  </w14:solidFill>
                </w14:textFill>
              </w:rPr>
            </w:pPr>
          </w:p>
        </w:tc>
        <w:tc>
          <w:tcPr>
            <w:tcW w:w="2018" w:type="dxa"/>
            <w:noWrap w:val="0"/>
            <w:vAlign w:val="top"/>
          </w:tcPr>
          <w:p w14:paraId="18FBAD9E">
            <w:pPr>
              <w:snapToGrid w:val="0"/>
              <w:spacing w:line="360" w:lineRule="auto"/>
              <w:rPr>
                <w:rFonts w:hint="eastAsia" w:ascii="宋体" w:hAnsi="宋体" w:cs="宋体"/>
                <w:color w:val="000000" w:themeColor="text1"/>
                <w:sz w:val="24"/>
                <w14:textFill>
                  <w14:solidFill>
                    <w14:schemeClr w14:val="tx1"/>
                  </w14:solidFill>
                </w14:textFill>
              </w:rPr>
            </w:pPr>
          </w:p>
        </w:tc>
        <w:tc>
          <w:tcPr>
            <w:tcW w:w="1401" w:type="dxa"/>
            <w:noWrap w:val="0"/>
            <w:vAlign w:val="top"/>
          </w:tcPr>
          <w:p w14:paraId="23DC0C75">
            <w:pPr>
              <w:snapToGrid w:val="0"/>
              <w:spacing w:line="360" w:lineRule="auto"/>
              <w:rPr>
                <w:rFonts w:hint="eastAsia" w:ascii="宋体" w:hAnsi="宋体" w:cs="宋体"/>
                <w:color w:val="000000" w:themeColor="text1"/>
                <w:sz w:val="24"/>
                <w14:textFill>
                  <w14:solidFill>
                    <w14:schemeClr w14:val="tx1"/>
                  </w14:solidFill>
                </w14:textFill>
              </w:rPr>
            </w:pPr>
          </w:p>
        </w:tc>
        <w:tc>
          <w:tcPr>
            <w:tcW w:w="1303" w:type="dxa"/>
            <w:noWrap w:val="0"/>
            <w:vAlign w:val="top"/>
          </w:tcPr>
          <w:p w14:paraId="622BB981">
            <w:pPr>
              <w:snapToGrid w:val="0"/>
              <w:spacing w:line="360" w:lineRule="auto"/>
              <w:rPr>
                <w:rFonts w:hint="eastAsia" w:ascii="宋体" w:hAnsi="宋体" w:cs="宋体"/>
                <w:color w:val="000000" w:themeColor="text1"/>
                <w:sz w:val="24"/>
                <w14:textFill>
                  <w14:solidFill>
                    <w14:schemeClr w14:val="tx1"/>
                  </w14:solidFill>
                </w14:textFill>
              </w:rPr>
            </w:pPr>
          </w:p>
        </w:tc>
        <w:tc>
          <w:tcPr>
            <w:tcW w:w="1374" w:type="dxa"/>
            <w:noWrap w:val="0"/>
            <w:vAlign w:val="top"/>
          </w:tcPr>
          <w:p w14:paraId="5BCF3719">
            <w:pPr>
              <w:snapToGrid w:val="0"/>
              <w:spacing w:line="360" w:lineRule="auto"/>
              <w:rPr>
                <w:rFonts w:hint="eastAsia" w:ascii="宋体" w:hAnsi="宋体" w:cs="宋体"/>
                <w:color w:val="000000" w:themeColor="text1"/>
                <w:sz w:val="24"/>
                <w14:textFill>
                  <w14:solidFill>
                    <w14:schemeClr w14:val="tx1"/>
                  </w14:solidFill>
                </w14:textFill>
              </w:rPr>
            </w:pPr>
          </w:p>
        </w:tc>
        <w:tc>
          <w:tcPr>
            <w:tcW w:w="1256" w:type="dxa"/>
            <w:noWrap w:val="0"/>
            <w:vAlign w:val="top"/>
          </w:tcPr>
          <w:p w14:paraId="075A293C">
            <w:pPr>
              <w:snapToGrid w:val="0"/>
              <w:spacing w:line="360" w:lineRule="auto"/>
              <w:rPr>
                <w:rFonts w:hint="eastAsia" w:ascii="宋体" w:hAnsi="宋体" w:cs="宋体"/>
                <w:color w:val="000000" w:themeColor="text1"/>
                <w:sz w:val="24"/>
                <w14:textFill>
                  <w14:solidFill>
                    <w14:schemeClr w14:val="tx1"/>
                  </w14:solidFill>
                </w14:textFill>
              </w:rPr>
            </w:pPr>
          </w:p>
        </w:tc>
        <w:tc>
          <w:tcPr>
            <w:tcW w:w="852" w:type="dxa"/>
            <w:noWrap w:val="0"/>
            <w:vAlign w:val="top"/>
          </w:tcPr>
          <w:p w14:paraId="44332E23">
            <w:pPr>
              <w:snapToGrid w:val="0"/>
              <w:spacing w:line="360" w:lineRule="auto"/>
              <w:rPr>
                <w:rFonts w:hint="eastAsia" w:ascii="宋体" w:hAnsi="宋体" w:cs="宋体"/>
                <w:color w:val="000000" w:themeColor="text1"/>
                <w:sz w:val="24"/>
                <w14:textFill>
                  <w14:solidFill>
                    <w14:schemeClr w14:val="tx1"/>
                  </w14:solidFill>
                </w14:textFill>
              </w:rPr>
            </w:pPr>
          </w:p>
        </w:tc>
      </w:tr>
      <w:tr w14:paraId="1E04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0FB69BE8">
            <w:pPr>
              <w:snapToGrid w:val="0"/>
              <w:spacing w:line="360" w:lineRule="auto"/>
              <w:rPr>
                <w:rFonts w:hint="eastAsia" w:ascii="宋体" w:hAnsi="宋体" w:cs="宋体"/>
                <w:color w:val="000000" w:themeColor="text1"/>
                <w:sz w:val="24"/>
                <w14:textFill>
                  <w14:solidFill>
                    <w14:schemeClr w14:val="tx1"/>
                  </w14:solidFill>
                </w14:textFill>
              </w:rPr>
            </w:pPr>
          </w:p>
        </w:tc>
        <w:tc>
          <w:tcPr>
            <w:tcW w:w="2018" w:type="dxa"/>
            <w:noWrap w:val="0"/>
            <w:vAlign w:val="top"/>
          </w:tcPr>
          <w:p w14:paraId="398C83D0">
            <w:pPr>
              <w:snapToGrid w:val="0"/>
              <w:spacing w:line="360" w:lineRule="auto"/>
              <w:rPr>
                <w:rFonts w:hint="eastAsia" w:ascii="宋体" w:hAnsi="宋体" w:cs="宋体"/>
                <w:color w:val="000000" w:themeColor="text1"/>
                <w:sz w:val="24"/>
                <w14:textFill>
                  <w14:solidFill>
                    <w14:schemeClr w14:val="tx1"/>
                  </w14:solidFill>
                </w14:textFill>
              </w:rPr>
            </w:pPr>
          </w:p>
        </w:tc>
        <w:tc>
          <w:tcPr>
            <w:tcW w:w="1401" w:type="dxa"/>
            <w:noWrap w:val="0"/>
            <w:vAlign w:val="top"/>
          </w:tcPr>
          <w:p w14:paraId="057E2C4D">
            <w:pPr>
              <w:snapToGrid w:val="0"/>
              <w:spacing w:line="360" w:lineRule="auto"/>
              <w:rPr>
                <w:rFonts w:hint="eastAsia" w:ascii="宋体" w:hAnsi="宋体" w:cs="宋体"/>
                <w:color w:val="000000" w:themeColor="text1"/>
                <w:sz w:val="24"/>
                <w14:textFill>
                  <w14:solidFill>
                    <w14:schemeClr w14:val="tx1"/>
                  </w14:solidFill>
                </w14:textFill>
              </w:rPr>
            </w:pPr>
          </w:p>
        </w:tc>
        <w:tc>
          <w:tcPr>
            <w:tcW w:w="1303" w:type="dxa"/>
            <w:noWrap w:val="0"/>
            <w:vAlign w:val="top"/>
          </w:tcPr>
          <w:p w14:paraId="2FA137B1">
            <w:pPr>
              <w:snapToGrid w:val="0"/>
              <w:spacing w:line="360" w:lineRule="auto"/>
              <w:rPr>
                <w:rFonts w:hint="eastAsia" w:ascii="宋体" w:hAnsi="宋体" w:cs="宋体"/>
                <w:color w:val="000000" w:themeColor="text1"/>
                <w:sz w:val="24"/>
                <w14:textFill>
                  <w14:solidFill>
                    <w14:schemeClr w14:val="tx1"/>
                  </w14:solidFill>
                </w14:textFill>
              </w:rPr>
            </w:pPr>
          </w:p>
        </w:tc>
        <w:tc>
          <w:tcPr>
            <w:tcW w:w="1374" w:type="dxa"/>
            <w:noWrap w:val="0"/>
            <w:vAlign w:val="top"/>
          </w:tcPr>
          <w:p w14:paraId="25CA6F58">
            <w:pPr>
              <w:snapToGrid w:val="0"/>
              <w:spacing w:line="360" w:lineRule="auto"/>
              <w:rPr>
                <w:rFonts w:hint="eastAsia" w:ascii="宋体" w:hAnsi="宋体" w:cs="宋体"/>
                <w:color w:val="000000" w:themeColor="text1"/>
                <w:sz w:val="24"/>
                <w14:textFill>
                  <w14:solidFill>
                    <w14:schemeClr w14:val="tx1"/>
                  </w14:solidFill>
                </w14:textFill>
              </w:rPr>
            </w:pPr>
          </w:p>
        </w:tc>
        <w:tc>
          <w:tcPr>
            <w:tcW w:w="1256" w:type="dxa"/>
            <w:noWrap w:val="0"/>
            <w:vAlign w:val="top"/>
          </w:tcPr>
          <w:p w14:paraId="6A3D523E">
            <w:pPr>
              <w:snapToGrid w:val="0"/>
              <w:spacing w:line="360" w:lineRule="auto"/>
              <w:rPr>
                <w:rFonts w:hint="eastAsia" w:ascii="宋体" w:hAnsi="宋体" w:cs="宋体"/>
                <w:color w:val="000000" w:themeColor="text1"/>
                <w:sz w:val="24"/>
                <w14:textFill>
                  <w14:solidFill>
                    <w14:schemeClr w14:val="tx1"/>
                  </w14:solidFill>
                </w14:textFill>
              </w:rPr>
            </w:pPr>
          </w:p>
        </w:tc>
        <w:tc>
          <w:tcPr>
            <w:tcW w:w="852" w:type="dxa"/>
            <w:noWrap w:val="0"/>
            <w:vAlign w:val="top"/>
          </w:tcPr>
          <w:p w14:paraId="6FBF4D41">
            <w:pPr>
              <w:snapToGrid w:val="0"/>
              <w:spacing w:line="360" w:lineRule="auto"/>
              <w:rPr>
                <w:rFonts w:hint="eastAsia" w:ascii="宋体" w:hAnsi="宋体" w:cs="宋体"/>
                <w:color w:val="000000" w:themeColor="text1"/>
                <w:sz w:val="24"/>
                <w14:textFill>
                  <w14:solidFill>
                    <w14:schemeClr w14:val="tx1"/>
                  </w14:solidFill>
                </w14:textFill>
              </w:rPr>
            </w:pPr>
          </w:p>
        </w:tc>
      </w:tr>
      <w:tr w14:paraId="3BE6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10A20405">
            <w:pPr>
              <w:snapToGrid w:val="0"/>
              <w:spacing w:line="360" w:lineRule="auto"/>
              <w:rPr>
                <w:rFonts w:hint="eastAsia" w:ascii="宋体" w:hAnsi="宋体" w:cs="宋体"/>
                <w:color w:val="000000" w:themeColor="text1"/>
                <w:sz w:val="24"/>
                <w14:textFill>
                  <w14:solidFill>
                    <w14:schemeClr w14:val="tx1"/>
                  </w14:solidFill>
                </w14:textFill>
              </w:rPr>
            </w:pPr>
          </w:p>
        </w:tc>
        <w:tc>
          <w:tcPr>
            <w:tcW w:w="2018" w:type="dxa"/>
            <w:noWrap w:val="0"/>
            <w:vAlign w:val="top"/>
          </w:tcPr>
          <w:p w14:paraId="22042472">
            <w:pPr>
              <w:snapToGrid w:val="0"/>
              <w:spacing w:line="360" w:lineRule="auto"/>
              <w:rPr>
                <w:rFonts w:hint="eastAsia" w:ascii="宋体" w:hAnsi="宋体" w:cs="宋体"/>
                <w:color w:val="000000" w:themeColor="text1"/>
                <w:sz w:val="24"/>
                <w14:textFill>
                  <w14:solidFill>
                    <w14:schemeClr w14:val="tx1"/>
                  </w14:solidFill>
                </w14:textFill>
              </w:rPr>
            </w:pPr>
          </w:p>
        </w:tc>
        <w:tc>
          <w:tcPr>
            <w:tcW w:w="1401" w:type="dxa"/>
            <w:noWrap w:val="0"/>
            <w:vAlign w:val="top"/>
          </w:tcPr>
          <w:p w14:paraId="23858532">
            <w:pPr>
              <w:snapToGrid w:val="0"/>
              <w:spacing w:line="360" w:lineRule="auto"/>
              <w:rPr>
                <w:rFonts w:hint="eastAsia" w:ascii="宋体" w:hAnsi="宋体" w:cs="宋体"/>
                <w:color w:val="000000" w:themeColor="text1"/>
                <w:sz w:val="24"/>
                <w14:textFill>
                  <w14:solidFill>
                    <w14:schemeClr w14:val="tx1"/>
                  </w14:solidFill>
                </w14:textFill>
              </w:rPr>
            </w:pPr>
          </w:p>
        </w:tc>
        <w:tc>
          <w:tcPr>
            <w:tcW w:w="1303" w:type="dxa"/>
            <w:noWrap w:val="0"/>
            <w:vAlign w:val="top"/>
          </w:tcPr>
          <w:p w14:paraId="1BF0FB15">
            <w:pPr>
              <w:snapToGrid w:val="0"/>
              <w:spacing w:line="360" w:lineRule="auto"/>
              <w:rPr>
                <w:rFonts w:hint="eastAsia" w:ascii="宋体" w:hAnsi="宋体" w:cs="宋体"/>
                <w:color w:val="000000" w:themeColor="text1"/>
                <w:sz w:val="24"/>
                <w14:textFill>
                  <w14:solidFill>
                    <w14:schemeClr w14:val="tx1"/>
                  </w14:solidFill>
                </w14:textFill>
              </w:rPr>
            </w:pPr>
          </w:p>
        </w:tc>
        <w:tc>
          <w:tcPr>
            <w:tcW w:w="1374" w:type="dxa"/>
            <w:noWrap w:val="0"/>
            <w:vAlign w:val="top"/>
          </w:tcPr>
          <w:p w14:paraId="51078293">
            <w:pPr>
              <w:snapToGrid w:val="0"/>
              <w:spacing w:line="360" w:lineRule="auto"/>
              <w:rPr>
                <w:rFonts w:hint="eastAsia" w:ascii="宋体" w:hAnsi="宋体" w:cs="宋体"/>
                <w:color w:val="000000" w:themeColor="text1"/>
                <w:sz w:val="24"/>
                <w14:textFill>
                  <w14:solidFill>
                    <w14:schemeClr w14:val="tx1"/>
                  </w14:solidFill>
                </w14:textFill>
              </w:rPr>
            </w:pPr>
          </w:p>
        </w:tc>
        <w:tc>
          <w:tcPr>
            <w:tcW w:w="1256" w:type="dxa"/>
            <w:noWrap w:val="0"/>
            <w:vAlign w:val="top"/>
          </w:tcPr>
          <w:p w14:paraId="77F99408">
            <w:pPr>
              <w:snapToGrid w:val="0"/>
              <w:spacing w:line="360" w:lineRule="auto"/>
              <w:rPr>
                <w:rFonts w:hint="eastAsia" w:ascii="宋体" w:hAnsi="宋体" w:cs="宋体"/>
                <w:color w:val="000000" w:themeColor="text1"/>
                <w:sz w:val="24"/>
                <w14:textFill>
                  <w14:solidFill>
                    <w14:schemeClr w14:val="tx1"/>
                  </w14:solidFill>
                </w14:textFill>
              </w:rPr>
            </w:pPr>
          </w:p>
        </w:tc>
        <w:tc>
          <w:tcPr>
            <w:tcW w:w="852" w:type="dxa"/>
            <w:noWrap w:val="0"/>
            <w:vAlign w:val="top"/>
          </w:tcPr>
          <w:p w14:paraId="1D7BE849">
            <w:pPr>
              <w:snapToGrid w:val="0"/>
              <w:spacing w:line="360" w:lineRule="auto"/>
              <w:rPr>
                <w:rFonts w:hint="eastAsia" w:ascii="宋体" w:hAnsi="宋体" w:cs="宋体"/>
                <w:color w:val="000000" w:themeColor="text1"/>
                <w:sz w:val="24"/>
                <w14:textFill>
                  <w14:solidFill>
                    <w14:schemeClr w14:val="tx1"/>
                  </w14:solidFill>
                </w14:textFill>
              </w:rPr>
            </w:pPr>
          </w:p>
        </w:tc>
      </w:tr>
      <w:tr w14:paraId="14F4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65054E13">
            <w:pPr>
              <w:snapToGrid w:val="0"/>
              <w:spacing w:line="360" w:lineRule="auto"/>
              <w:rPr>
                <w:rFonts w:hint="eastAsia" w:ascii="宋体" w:hAnsi="宋体" w:cs="宋体"/>
                <w:color w:val="000000" w:themeColor="text1"/>
                <w:sz w:val="24"/>
                <w14:textFill>
                  <w14:solidFill>
                    <w14:schemeClr w14:val="tx1"/>
                  </w14:solidFill>
                </w14:textFill>
              </w:rPr>
            </w:pPr>
          </w:p>
        </w:tc>
        <w:tc>
          <w:tcPr>
            <w:tcW w:w="2018" w:type="dxa"/>
            <w:noWrap w:val="0"/>
            <w:vAlign w:val="top"/>
          </w:tcPr>
          <w:p w14:paraId="688CE338">
            <w:pPr>
              <w:snapToGrid w:val="0"/>
              <w:spacing w:line="360" w:lineRule="auto"/>
              <w:rPr>
                <w:rFonts w:hint="eastAsia" w:ascii="宋体" w:hAnsi="宋体" w:cs="宋体"/>
                <w:color w:val="000000" w:themeColor="text1"/>
                <w:sz w:val="24"/>
                <w14:textFill>
                  <w14:solidFill>
                    <w14:schemeClr w14:val="tx1"/>
                  </w14:solidFill>
                </w14:textFill>
              </w:rPr>
            </w:pPr>
          </w:p>
        </w:tc>
        <w:tc>
          <w:tcPr>
            <w:tcW w:w="1401" w:type="dxa"/>
            <w:noWrap w:val="0"/>
            <w:vAlign w:val="top"/>
          </w:tcPr>
          <w:p w14:paraId="255CCFFD">
            <w:pPr>
              <w:snapToGrid w:val="0"/>
              <w:spacing w:line="360" w:lineRule="auto"/>
              <w:rPr>
                <w:rFonts w:hint="eastAsia" w:ascii="宋体" w:hAnsi="宋体" w:cs="宋体"/>
                <w:color w:val="000000" w:themeColor="text1"/>
                <w:sz w:val="24"/>
                <w14:textFill>
                  <w14:solidFill>
                    <w14:schemeClr w14:val="tx1"/>
                  </w14:solidFill>
                </w14:textFill>
              </w:rPr>
            </w:pPr>
          </w:p>
        </w:tc>
        <w:tc>
          <w:tcPr>
            <w:tcW w:w="1303" w:type="dxa"/>
            <w:noWrap w:val="0"/>
            <w:vAlign w:val="top"/>
          </w:tcPr>
          <w:p w14:paraId="6EFB46BA">
            <w:pPr>
              <w:snapToGrid w:val="0"/>
              <w:spacing w:line="360" w:lineRule="auto"/>
              <w:rPr>
                <w:rFonts w:hint="eastAsia" w:ascii="宋体" w:hAnsi="宋体" w:cs="宋体"/>
                <w:color w:val="000000" w:themeColor="text1"/>
                <w:sz w:val="24"/>
                <w14:textFill>
                  <w14:solidFill>
                    <w14:schemeClr w14:val="tx1"/>
                  </w14:solidFill>
                </w14:textFill>
              </w:rPr>
            </w:pPr>
          </w:p>
        </w:tc>
        <w:tc>
          <w:tcPr>
            <w:tcW w:w="1374" w:type="dxa"/>
            <w:noWrap w:val="0"/>
            <w:vAlign w:val="top"/>
          </w:tcPr>
          <w:p w14:paraId="68101C6E">
            <w:pPr>
              <w:snapToGrid w:val="0"/>
              <w:spacing w:line="360" w:lineRule="auto"/>
              <w:rPr>
                <w:rFonts w:hint="eastAsia" w:ascii="宋体" w:hAnsi="宋体" w:cs="宋体"/>
                <w:color w:val="000000" w:themeColor="text1"/>
                <w:sz w:val="24"/>
                <w14:textFill>
                  <w14:solidFill>
                    <w14:schemeClr w14:val="tx1"/>
                  </w14:solidFill>
                </w14:textFill>
              </w:rPr>
            </w:pPr>
          </w:p>
        </w:tc>
        <w:tc>
          <w:tcPr>
            <w:tcW w:w="1256" w:type="dxa"/>
            <w:noWrap w:val="0"/>
            <w:vAlign w:val="top"/>
          </w:tcPr>
          <w:p w14:paraId="3FCCB468">
            <w:pPr>
              <w:snapToGrid w:val="0"/>
              <w:spacing w:line="360" w:lineRule="auto"/>
              <w:rPr>
                <w:rFonts w:hint="eastAsia" w:ascii="宋体" w:hAnsi="宋体" w:cs="宋体"/>
                <w:color w:val="000000" w:themeColor="text1"/>
                <w:sz w:val="24"/>
                <w14:textFill>
                  <w14:solidFill>
                    <w14:schemeClr w14:val="tx1"/>
                  </w14:solidFill>
                </w14:textFill>
              </w:rPr>
            </w:pPr>
          </w:p>
        </w:tc>
        <w:tc>
          <w:tcPr>
            <w:tcW w:w="852" w:type="dxa"/>
            <w:noWrap w:val="0"/>
            <w:vAlign w:val="top"/>
          </w:tcPr>
          <w:p w14:paraId="50A1A33A">
            <w:pPr>
              <w:snapToGrid w:val="0"/>
              <w:spacing w:line="360" w:lineRule="auto"/>
              <w:rPr>
                <w:rFonts w:hint="eastAsia" w:ascii="宋体" w:hAnsi="宋体" w:cs="宋体"/>
                <w:color w:val="000000" w:themeColor="text1"/>
                <w:sz w:val="24"/>
                <w14:textFill>
                  <w14:solidFill>
                    <w14:schemeClr w14:val="tx1"/>
                  </w14:solidFill>
                </w14:textFill>
              </w:rPr>
            </w:pPr>
          </w:p>
        </w:tc>
      </w:tr>
    </w:tbl>
    <w:p w14:paraId="0D6B3DEC">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p>
    <w:p w14:paraId="1475953A">
      <w:pPr>
        <w:snapToGrid w:val="0"/>
        <w:spacing w:line="360" w:lineRule="auto"/>
        <w:ind w:right="105" w:rightChars="50"/>
        <w:rPr>
          <w:rFonts w:hint="eastAsia" w:ascii="宋体" w:hAnsi="宋体" w:cs="宋体"/>
          <w:color w:val="000000" w:themeColor="text1"/>
          <w:sz w:val="24"/>
          <w14:textFill>
            <w14:solidFill>
              <w14:schemeClr w14:val="tx1"/>
            </w14:solidFill>
          </w14:textFill>
        </w:rPr>
      </w:pPr>
    </w:p>
    <w:p w14:paraId="19F16B27">
      <w:pPr>
        <w:pStyle w:val="16"/>
        <w:rPr>
          <w:rFonts w:hint="eastAsia" w:hAnsi="宋体" w:cs="宋体"/>
          <w:b/>
          <w:bCs/>
          <w:color w:val="000000" w:themeColor="text1"/>
          <w:sz w:val="24"/>
          <w:szCs w:val="24"/>
          <w14:textFill>
            <w14:solidFill>
              <w14:schemeClr w14:val="tx1"/>
            </w14:solidFill>
          </w14:textFill>
        </w:rPr>
      </w:pPr>
    </w:p>
    <w:p w14:paraId="551C089A">
      <w:pPr>
        <w:pStyle w:val="16"/>
        <w:ind w:firstLine="241" w:firstLineChars="100"/>
        <w:rPr>
          <w:rFonts w:hint="eastAsia" w:hAnsi="宋体" w:cs="宋体"/>
          <w:color w:val="000000" w:themeColor="text1"/>
          <w:sz w:val="24"/>
          <w:szCs w:val="24"/>
          <w14:textFill>
            <w14:solidFill>
              <w14:schemeClr w14:val="tx1"/>
            </w14:solidFill>
          </w14:textFill>
        </w:rPr>
      </w:pPr>
      <w:r>
        <w:rPr>
          <w:rFonts w:hint="eastAsia" w:hAnsi="宋体" w:cs="宋体"/>
          <w:b/>
          <w:bCs/>
          <w:color w:val="000000" w:themeColor="text1"/>
          <w:sz w:val="24"/>
          <w14:textFill>
            <w14:solidFill>
              <w14:schemeClr w14:val="tx1"/>
            </w14:solidFill>
          </w14:textFill>
        </w:rPr>
        <w:t>注：类似项目业绩（附中标通知书或合同等其他有效证明材料复印件）；</w:t>
      </w:r>
    </w:p>
    <w:p w14:paraId="6C133AC0">
      <w:pPr>
        <w:widowControl/>
        <w:autoSpaceDE w:val="0"/>
        <w:autoSpaceDN w:val="0"/>
        <w:adjustRightInd w:val="0"/>
        <w:spacing w:line="360" w:lineRule="auto"/>
        <w:rPr>
          <w:rFonts w:hint="eastAsia" w:ascii="宋体" w:hAnsi="宋体" w:cs="宋体"/>
          <w:b/>
          <w:bCs/>
          <w:color w:val="000000" w:themeColor="text1"/>
          <w:sz w:val="24"/>
          <w:u w:val="single"/>
          <w14:textFill>
            <w14:solidFill>
              <w14:schemeClr w14:val="tx1"/>
            </w14:solidFill>
          </w14:textFill>
        </w:rPr>
      </w:pPr>
    </w:p>
    <w:p w14:paraId="730CF393">
      <w:pPr>
        <w:widowControl/>
        <w:autoSpaceDE w:val="0"/>
        <w:autoSpaceDN w:val="0"/>
        <w:adjustRightInd w:val="0"/>
        <w:spacing w:line="360" w:lineRule="auto"/>
        <w:rPr>
          <w:rFonts w:hint="eastAsia" w:ascii="宋体" w:hAnsi="宋体" w:cs="宋体"/>
          <w:b/>
          <w:bCs/>
          <w:color w:val="000000" w:themeColor="text1"/>
          <w:sz w:val="24"/>
          <w:u w:val="single"/>
          <w14:textFill>
            <w14:solidFill>
              <w14:schemeClr w14:val="tx1"/>
            </w14:solidFill>
          </w14:textFill>
        </w:rPr>
      </w:pPr>
    </w:p>
    <w:p w14:paraId="1DDB2BFC">
      <w:pPr>
        <w:widowControl/>
        <w:autoSpaceDE w:val="0"/>
        <w:autoSpaceDN w:val="0"/>
        <w:adjustRightInd w:val="0"/>
        <w:spacing w:line="360" w:lineRule="auto"/>
        <w:rPr>
          <w:rFonts w:hint="eastAsia" w:ascii="宋体" w:hAnsi="宋体" w:cs="宋体"/>
          <w:b/>
          <w:bCs/>
          <w:color w:val="000000" w:themeColor="text1"/>
          <w:sz w:val="24"/>
          <w:u w:val="single"/>
          <w14:textFill>
            <w14:solidFill>
              <w14:schemeClr w14:val="tx1"/>
            </w14:solidFill>
          </w14:textFill>
        </w:rPr>
      </w:pPr>
    </w:p>
    <w:p w14:paraId="2E1B54E3">
      <w:pPr>
        <w:pStyle w:val="4"/>
        <w:tabs>
          <w:tab w:val="left" w:pos="540"/>
        </w:tabs>
        <w:rPr>
          <w:rFonts w:hint="eastAsia" w:ascii="宋体" w:hAnsi="宋体" w:eastAsia="宋体" w:cs="宋体"/>
          <w:color w:val="000000" w:themeColor="text1"/>
          <w:sz w:val="24"/>
          <w:szCs w:val="24"/>
          <w14:textFill>
            <w14:solidFill>
              <w14:schemeClr w14:val="tx1"/>
            </w14:solidFill>
          </w14:textFill>
        </w:rPr>
      </w:pPr>
    </w:p>
    <w:p w14:paraId="2C27F58B">
      <w:pPr>
        <w:widowControl/>
        <w:autoSpaceDE w:val="0"/>
        <w:autoSpaceDN w:val="0"/>
        <w:adjustRightInd w:val="0"/>
        <w:spacing w:line="360" w:lineRule="auto"/>
        <w:rPr>
          <w:rFonts w:hint="eastAsia" w:ascii="宋体" w:hAnsi="宋体" w:cs="宋体"/>
          <w:b/>
          <w:bCs/>
          <w:color w:val="000000" w:themeColor="text1"/>
          <w:sz w:val="24"/>
          <w:u w:val="single"/>
          <w14:textFill>
            <w14:solidFill>
              <w14:schemeClr w14:val="tx1"/>
            </w14:solidFill>
          </w14:textFill>
        </w:rPr>
      </w:pPr>
    </w:p>
    <w:p w14:paraId="07B3E24E">
      <w:pPr>
        <w:snapToGrid w:val="0"/>
        <w:spacing w:line="360" w:lineRule="auto"/>
        <w:jc w:val="left"/>
        <w:rPr>
          <w:rFonts w:hint="eastAsia" w:ascii="宋体" w:hAnsi="宋体" w:cs="宋体"/>
          <w:b/>
          <w:color w:val="000000" w:themeColor="text1"/>
          <w:sz w:val="24"/>
          <w14:textFill>
            <w14:solidFill>
              <w14:schemeClr w14:val="tx1"/>
            </w14:solidFill>
          </w14:textFill>
        </w:rPr>
      </w:pPr>
    </w:p>
    <w:p w14:paraId="500F944B">
      <w:pPr>
        <w:tabs>
          <w:tab w:val="left" w:pos="900"/>
        </w:tabs>
        <w:adjustRightInd w:val="0"/>
        <w:snapToGrid w:val="0"/>
        <w:spacing w:line="360" w:lineRule="auto"/>
        <w:jc w:val="left"/>
        <w:rPr>
          <w:rFonts w:hint="eastAsia" w:ascii="宋体" w:hAnsi="宋体" w:cs="宋体"/>
          <w:color w:val="000000" w:themeColor="text1"/>
          <w:sz w:val="24"/>
          <w14:textFill>
            <w14:solidFill>
              <w14:schemeClr w14:val="tx1"/>
            </w14:solidFill>
          </w14:textFill>
        </w:rPr>
      </w:pPr>
    </w:p>
    <w:p w14:paraId="5760B083">
      <w:pPr>
        <w:snapToGrid w:val="0"/>
        <w:spacing w:line="360" w:lineRule="auto"/>
        <w:jc w:val="center"/>
        <w:rPr>
          <w:rFonts w:hint="eastAsia" w:ascii="宋体" w:hAnsi="宋体" w:cs="宋体"/>
          <w:color w:val="000000" w:themeColor="text1"/>
          <w:sz w:val="24"/>
          <w14:textFill>
            <w14:solidFill>
              <w14:schemeClr w14:val="tx1"/>
            </w14:solidFill>
          </w14:textFill>
        </w:rPr>
      </w:pPr>
    </w:p>
    <w:p w14:paraId="50B92271">
      <w:pPr>
        <w:rPr>
          <w:rFonts w:hint="eastAsia" w:ascii="宋体" w:hAnsi="宋体" w:cs="宋体"/>
          <w:b/>
          <w:color w:val="000000" w:themeColor="text1"/>
          <w:sz w:val="24"/>
          <w14:textFill>
            <w14:solidFill>
              <w14:schemeClr w14:val="tx1"/>
            </w14:solidFill>
          </w14:textFill>
        </w:rPr>
      </w:pPr>
    </w:p>
    <w:p w14:paraId="2D3E9B59">
      <w:pPr>
        <w:pStyle w:val="4"/>
        <w:tabs>
          <w:tab w:val="left" w:pos="540"/>
        </w:tabs>
        <w:rPr>
          <w:rFonts w:hint="eastAsia" w:ascii="宋体" w:hAnsi="宋体" w:eastAsia="宋体" w:cs="宋体"/>
          <w:color w:val="000000" w:themeColor="text1"/>
          <w:sz w:val="24"/>
          <w:szCs w:val="24"/>
          <w14:textFill>
            <w14:solidFill>
              <w14:schemeClr w14:val="tx1"/>
            </w14:solidFill>
          </w14:textFill>
        </w:rPr>
      </w:pPr>
    </w:p>
    <w:p w14:paraId="7FCD50A0">
      <w:pPr>
        <w:pStyle w:val="16"/>
        <w:spacing w:line="240" w:lineRule="atLeast"/>
        <w:ind w:firstLine="720" w:firstLineChars="300"/>
        <w:rPr>
          <w:rFonts w:hint="eastAsia" w:hAnsi="宋体" w:cs="宋体"/>
          <w:color w:val="000000" w:themeColor="text1"/>
          <w:sz w:val="24"/>
          <w:szCs w:val="24"/>
          <w14:textFill>
            <w14:solidFill>
              <w14:schemeClr w14:val="tx1"/>
            </w14:solidFill>
          </w14:textFill>
        </w:rPr>
      </w:pPr>
      <w:bookmarkStart w:id="386" w:name="_Hlt520350957"/>
      <w:bookmarkEnd w:id="386"/>
      <w:bookmarkStart w:id="387" w:name="_Hlt520274911"/>
      <w:bookmarkEnd w:id="387"/>
      <w:bookmarkStart w:id="388" w:name="_Hlt520271212"/>
      <w:bookmarkEnd w:id="388"/>
      <w:bookmarkStart w:id="389" w:name="_Hlt520274407"/>
      <w:bookmarkEnd w:id="389"/>
      <w:bookmarkStart w:id="390" w:name="_Hlt520350918"/>
      <w:bookmarkEnd w:id="390"/>
      <w:bookmarkStart w:id="391" w:name="_Hlt520343392"/>
      <w:bookmarkEnd w:id="391"/>
      <w:bookmarkStart w:id="392" w:name="_Hlt520273711"/>
      <w:bookmarkEnd w:id="392"/>
      <w:bookmarkStart w:id="393" w:name="_Hlt520274393"/>
      <w:bookmarkEnd w:id="393"/>
      <w:bookmarkStart w:id="394" w:name="_Hlt520273973"/>
      <w:bookmarkEnd w:id="394"/>
      <w:bookmarkStart w:id="395" w:name="_Hlt520343000"/>
      <w:bookmarkEnd w:id="395"/>
      <w:bookmarkStart w:id="396" w:name="_Hlt520274065"/>
      <w:bookmarkEnd w:id="396"/>
    </w:p>
    <w:p w14:paraId="62FB8AF3">
      <w:pPr>
        <w:pStyle w:val="17"/>
        <w:ind w:left="2520"/>
        <w:rPr>
          <w:rFonts w:hint="eastAsia" w:ascii="宋体" w:hAnsi="宋体" w:cs="宋体"/>
          <w:color w:val="000000" w:themeColor="text1"/>
          <w:sz w:val="24"/>
          <w14:textFill>
            <w14:solidFill>
              <w14:schemeClr w14:val="tx1"/>
            </w14:solidFill>
          </w14:textFill>
        </w:rPr>
      </w:pPr>
    </w:p>
    <w:p w14:paraId="20261B49">
      <w:pPr>
        <w:rPr>
          <w:rFonts w:hint="eastAsia"/>
          <w:color w:val="000000" w:themeColor="text1"/>
          <w14:textFill>
            <w14:solidFill>
              <w14:schemeClr w14:val="tx1"/>
            </w14:solidFill>
          </w14:textFill>
        </w:rPr>
      </w:pPr>
    </w:p>
    <w:p w14:paraId="14F1ACD4">
      <w:pPr>
        <w:pStyle w:val="17"/>
        <w:ind w:left="2520"/>
        <w:rPr>
          <w:rFonts w:hint="eastAsia"/>
          <w:color w:val="000000" w:themeColor="text1"/>
          <w14:textFill>
            <w14:solidFill>
              <w14:schemeClr w14:val="tx1"/>
            </w14:solidFill>
          </w14:textFill>
        </w:rPr>
      </w:pPr>
    </w:p>
    <w:p w14:paraId="78A2FE0F">
      <w:pPr>
        <w:pStyle w:val="16"/>
        <w:spacing w:line="240" w:lineRule="atLeast"/>
        <w:ind w:firstLine="720" w:firstLineChars="300"/>
        <w:rPr>
          <w:rFonts w:hint="eastAsia" w:hAnsi="宋体" w:cs="宋体"/>
          <w:color w:val="000000" w:themeColor="text1"/>
          <w:sz w:val="24"/>
          <w:szCs w:val="24"/>
          <w14:textFill>
            <w14:solidFill>
              <w14:schemeClr w14:val="tx1"/>
            </w14:solidFill>
          </w14:textFill>
        </w:rPr>
      </w:pPr>
    </w:p>
    <w:p w14:paraId="2D39CB14">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br w:type="page"/>
      </w:r>
    </w:p>
    <w:p w14:paraId="59A738BC">
      <w:pPr>
        <w:pStyle w:val="16"/>
        <w:spacing w:line="48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hAnsi="宋体" w:cs="宋体"/>
          <w:b/>
          <w:bCs/>
          <w:color w:val="000000" w:themeColor="text1"/>
          <w:sz w:val="24"/>
          <w:szCs w:val="24"/>
          <w:lang w:val="en-US" w:eastAsia="zh-CN"/>
          <w14:textFill>
            <w14:solidFill>
              <w14:schemeClr w14:val="tx1"/>
            </w14:solidFill>
          </w14:textFill>
        </w:rPr>
        <w:t>8</w:t>
      </w:r>
      <w:r>
        <w:rPr>
          <w:rFonts w:hint="eastAsia" w:ascii="宋体" w:hAnsi="宋体" w:eastAsia="宋体" w:cs="宋体"/>
          <w:b/>
          <w:bCs/>
          <w:color w:val="000000" w:themeColor="text1"/>
          <w:sz w:val="24"/>
          <w:szCs w:val="24"/>
          <w:lang w:val="en-US" w:eastAsia="zh-CN"/>
          <w14:textFill>
            <w14:solidFill>
              <w14:schemeClr w14:val="tx1"/>
            </w14:solidFill>
          </w14:textFill>
        </w:rPr>
        <w:t>、项目团队</w:t>
      </w:r>
    </w:p>
    <w:p w14:paraId="79EA213B">
      <w:pPr>
        <w:pStyle w:val="16"/>
        <w:spacing w:line="48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hAnsi="宋体" w:cs="宋体"/>
          <w:b/>
          <w:bCs/>
          <w:color w:val="000000" w:themeColor="text1"/>
          <w:sz w:val="24"/>
          <w:szCs w:val="24"/>
          <w:lang w:val="en-US" w:eastAsia="zh-CN"/>
          <w14:textFill>
            <w14:solidFill>
              <w14:schemeClr w14:val="tx1"/>
            </w14:solidFill>
          </w14:textFill>
        </w:rPr>
        <w:t>9</w:t>
      </w:r>
      <w:r>
        <w:rPr>
          <w:rFonts w:hint="eastAsia" w:ascii="宋体" w:hAnsi="宋体" w:eastAsia="宋体" w:cs="宋体"/>
          <w:b/>
          <w:bCs/>
          <w:color w:val="000000" w:themeColor="text1"/>
          <w:sz w:val="24"/>
          <w:szCs w:val="24"/>
          <w:lang w:val="en-US" w:eastAsia="zh-CN"/>
          <w14:textFill>
            <w14:solidFill>
              <w14:schemeClr w14:val="tx1"/>
            </w14:solidFill>
          </w14:textFill>
        </w:rPr>
        <w:t>、食谱方案</w:t>
      </w:r>
    </w:p>
    <w:p w14:paraId="0724CA10">
      <w:pPr>
        <w:pStyle w:val="16"/>
        <w:spacing w:line="48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hAnsi="宋体" w:cs="宋体"/>
          <w:b/>
          <w:bCs/>
          <w:color w:val="000000" w:themeColor="text1"/>
          <w:sz w:val="24"/>
          <w:szCs w:val="24"/>
          <w:lang w:val="en-US" w:eastAsia="zh-CN"/>
          <w14:textFill>
            <w14:solidFill>
              <w14:schemeClr w14:val="tx1"/>
            </w14:solidFill>
          </w14:textFill>
        </w:rPr>
        <w:t>10</w:t>
      </w:r>
      <w:r>
        <w:rPr>
          <w:rFonts w:hint="eastAsia" w:ascii="宋体" w:hAnsi="宋体" w:eastAsia="宋体" w:cs="宋体"/>
          <w:b/>
          <w:bCs/>
          <w:color w:val="000000" w:themeColor="text1"/>
          <w:sz w:val="24"/>
          <w:szCs w:val="24"/>
          <w:lang w:val="en-US" w:eastAsia="zh-CN"/>
          <w14:textFill>
            <w14:solidFill>
              <w14:schemeClr w14:val="tx1"/>
            </w14:solidFill>
          </w14:textFill>
        </w:rPr>
        <w:t>、服务方案</w:t>
      </w:r>
    </w:p>
    <w:p w14:paraId="2CEA9835">
      <w:pPr>
        <w:pStyle w:val="16"/>
        <w:spacing w:line="48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hAnsi="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、卫生保障制度</w:t>
      </w:r>
    </w:p>
    <w:p w14:paraId="0C9B084E">
      <w:pPr>
        <w:pStyle w:val="16"/>
        <w:spacing w:line="48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hAnsi="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lang w:val="en-US" w:eastAsia="zh-CN"/>
          <w14:textFill>
            <w14:solidFill>
              <w14:schemeClr w14:val="tx1"/>
            </w14:solidFill>
          </w14:textFill>
        </w:rPr>
        <w:t>、食品质量保证体系及措施</w:t>
      </w:r>
    </w:p>
    <w:p w14:paraId="7A7B133C">
      <w:pPr>
        <w:pStyle w:val="16"/>
        <w:spacing w:line="48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hAnsi="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lang w:val="en-US" w:eastAsia="zh-CN"/>
          <w14:textFill>
            <w14:solidFill>
              <w14:schemeClr w14:val="tx1"/>
            </w14:solidFill>
          </w14:textFill>
        </w:rPr>
        <w:t>、应急方案</w:t>
      </w:r>
    </w:p>
    <w:p w14:paraId="21948CE9">
      <w:pPr>
        <w:pStyle w:val="16"/>
        <w:spacing w:line="48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hAnsi="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lang w:val="en-US" w:eastAsia="zh-CN"/>
          <w14:textFill>
            <w14:solidFill>
              <w14:schemeClr w14:val="tx1"/>
            </w14:solidFill>
          </w14:textFill>
        </w:rPr>
        <w:t>、培训方案</w:t>
      </w:r>
    </w:p>
    <w:p w14:paraId="55A6E3BB">
      <w:pPr>
        <w:pStyle w:val="16"/>
        <w:spacing w:line="48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hAnsi="宋体" w:cs="宋体"/>
          <w:b/>
          <w:bCs/>
          <w:color w:val="000000" w:themeColor="text1"/>
          <w:sz w:val="24"/>
          <w:szCs w:val="24"/>
          <w:lang w:val="en-US" w:eastAsia="zh-CN"/>
          <w14:textFill>
            <w14:solidFill>
              <w14:schemeClr w14:val="tx1"/>
            </w14:solidFill>
          </w14:textFill>
        </w:rPr>
        <w:t>5</w:t>
      </w:r>
      <w:r>
        <w:rPr>
          <w:rFonts w:hint="eastAsia" w:ascii="宋体" w:hAnsi="宋体" w:eastAsia="宋体" w:cs="宋体"/>
          <w:b/>
          <w:bCs/>
          <w:color w:val="000000" w:themeColor="text1"/>
          <w:sz w:val="24"/>
          <w:szCs w:val="24"/>
          <w:lang w:val="en-US" w:eastAsia="zh-CN"/>
          <w14:textFill>
            <w14:solidFill>
              <w14:schemeClr w14:val="tx1"/>
            </w14:solidFill>
          </w14:textFill>
        </w:rPr>
        <w:t>、投标文件还应包括投标人须知第10条的所有技术文件（如有）</w:t>
      </w:r>
    </w:p>
    <w:p w14:paraId="0D55C827">
      <w:pPr>
        <w:pStyle w:val="16"/>
        <w:spacing w:line="480" w:lineRule="auto"/>
        <w:rPr>
          <w:rFonts w:hint="eastAsia" w:ascii="宋体" w:hAnsi="宋体" w:eastAsia="宋体" w:cs="宋体"/>
          <w:b/>
          <w:bCs/>
          <w:color w:val="000000" w:themeColor="text1"/>
          <w:sz w:val="24"/>
          <w:szCs w:val="24"/>
          <w:lang w:val="en-US" w:eastAsia="zh-CN"/>
          <w14:textFill>
            <w14:solidFill>
              <w14:schemeClr w14:val="tx1"/>
            </w14:solidFill>
          </w14:textFill>
        </w:rPr>
      </w:pPr>
    </w:p>
    <w:p w14:paraId="08F7834F">
      <w:pPr>
        <w:pStyle w:val="16"/>
        <w:spacing w:line="240" w:lineRule="atLeast"/>
        <w:rPr>
          <w:rFonts w:hint="eastAsia" w:hAnsi="宋体" w:cs="宋体"/>
          <w:b/>
          <w:bCs/>
          <w:color w:val="000000" w:themeColor="text1"/>
          <w:sz w:val="24"/>
          <w:szCs w:val="24"/>
          <w14:textFill>
            <w14:solidFill>
              <w14:schemeClr w14:val="tx1"/>
            </w14:solidFill>
          </w14:textFill>
        </w:rPr>
      </w:pPr>
    </w:p>
    <w:p w14:paraId="0960605A">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000000" w:themeColor="text1"/>
          <w:kern w:val="0"/>
          <w:sz w:val="24"/>
          <w:szCs w:val="20"/>
          <w:highlight w:val="none"/>
          <w:lang w:val="en-US" w:eastAsia="zh-CN"/>
          <w14:textFill>
            <w14:solidFill>
              <w14:schemeClr w14:val="tx1"/>
            </w14:solidFill>
          </w14:textFill>
        </w:rPr>
      </w:pPr>
    </w:p>
    <w:p w14:paraId="113169B4">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000000" w:themeColor="text1"/>
          <w:kern w:val="0"/>
          <w:sz w:val="24"/>
          <w:szCs w:val="20"/>
          <w:highlight w:val="none"/>
          <w:lang w:val="en-US" w:eastAsia="zh-CN"/>
          <w14:textFill>
            <w14:solidFill>
              <w14:schemeClr w14:val="tx1"/>
            </w14:solidFill>
          </w14:textFill>
        </w:rPr>
      </w:pPr>
    </w:p>
    <w:p w14:paraId="51163594">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000000" w:themeColor="text1"/>
          <w:kern w:val="0"/>
          <w:sz w:val="24"/>
          <w:szCs w:val="20"/>
          <w:highlight w:val="none"/>
          <w:lang w:val="en-US" w:eastAsia="zh-CN"/>
          <w14:textFill>
            <w14:solidFill>
              <w14:schemeClr w14:val="tx1"/>
            </w14:solidFill>
          </w14:textFill>
        </w:rPr>
      </w:pPr>
    </w:p>
    <w:p w14:paraId="0888156A">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000000" w:themeColor="text1"/>
          <w:kern w:val="0"/>
          <w:sz w:val="24"/>
          <w:szCs w:val="20"/>
          <w:highlight w:val="none"/>
          <w:lang w:val="en-US" w:eastAsia="zh-CN"/>
          <w14:textFill>
            <w14:solidFill>
              <w14:schemeClr w14:val="tx1"/>
            </w14:solidFill>
          </w14:textFill>
        </w:rPr>
      </w:pPr>
    </w:p>
    <w:p w14:paraId="21091883">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000000" w:themeColor="text1"/>
          <w:kern w:val="0"/>
          <w:sz w:val="24"/>
          <w:szCs w:val="20"/>
          <w:highlight w:val="none"/>
          <w:lang w:val="en-US" w:eastAsia="zh-CN"/>
          <w14:textFill>
            <w14:solidFill>
              <w14:schemeClr w14:val="tx1"/>
            </w14:solidFill>
          </w14:textFill>
        </w:rPr>
      </w:pPr>
    </w:p>
    <w:p w14:paraId="64C423DE">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000000" w:themeColor="text1"/>
          <w:kern w:val="0"/>
          <w:sz w:val="24"/>
          <w:szCs w:val="20"/>
          <w:highlight w:val="none"/>
          <w:lang w:val="en-US" w:eastAsia="zh-CN"/>
          <w14:textFill>
            <w14:solidFill>
              <w14:schemeClr w14:val="tx1"/>
            </w14:solidFill>
          </w14:textFill>
        </w:rPr>
      </w:pPr>
    </w:p>
    <w:p w14:paraId="4986684C">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000000" w:themeColor="text1"/>
          <w:kern w:val="0"/>
          <w:sz w:val="24"/>
          <w:szCs w:val="20"/>
          <w:highlight w:val="none"/>
          <w:lang w:val="en-US" w:eastAsia="zh-CN"/>
          <w14:textFill>
            <w14:solidFill>
              <w14:schemeClr w14:val="tx1"/>
            </w14:solidFill>
          </w14:textFill>
        </w:rPr>
      </w:pPr>
    </w:p>
    <w:p w14:paraId="171EE736">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000000" w:themeColor="text1"/>
          <w:kern w:val="0"/>
          <w:sz w:val="24"/>
          <w:szCs w:val="20"/>
          <w:highlight w:val="none"/>
          <w:lang w:val="en-US" w:eastAsia="zh-CN"/>
          <w14:textFill>
            <w14:solidFill>
              <w14:schemeClr w14:val="tx1"/>
            </w14:solidFill>
          </w14:textFill>
        </w:rPr>
      </w:pPr>
    </w:p>
    <w:p w14:paraId="257EC42C">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000000" w:themeColor="text1"/>
          <w:kern w:val="0"/>
          <w:sz w:val="24"/>
          <w:szCs w:val="20"/>
          <w:highlight w:val="none"/>
          <w:lang w:val="en-US" w:eastAsia="zh-CN"/>
          <w14:textFill>
            <w14:solidFill>
              <w14:schemeClr w14:val="tx1"/>
            </w14:solidFill>
          </w14:textFill>
        </w:rPr>
      </w:pPr>
    </w:p>
    <w:p w14:paraId="5FC52E56">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000000" w:themeColor="text1"/>
          <w:kern w:val="0"/>
          <w:sz w:val="24"/>
          <w:szCs w:val="20"/>
          <w:highlight w:val="none"/>
          <w:lang w:val="en-US" w:eastAsia="zh-CN"/>
          <w14:textFill>
            <w14:solidFill>
              <w14:schemeClr w14:val="tx1"/>
            </w14:solidFill>
          </w14:textFill>
        </w:rPr>
      </w:pPr>
    </w:p>
    <w:p w14:paraId="589C57BD">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000000" w:themeColor="text1"/>
          <w:kern w:val="0"/>
          <w:sz w:val="24"/>
          <w:szCs w:val="20"/>
          <w:highlight w:val="none"/>
          <w:lang w:val="en-US" w:eastAsia="zh-CN"/>
          <w14:textFill>
            <w14:solidFill>
              <w14:schemeClr w14:val="tx1"/>
            </w14:solidFill>
          </w14:textFill>
        </w:rPr>
      </w:pPr>
    </w:p>
    <w:p w14:paraId="29E613C3">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000000" w:themeColor="text1"/>
          <w:kern w:val="0"/>
          <w:sz w:val="24"/>
          <w:szCs w:val="20"/>
          <w:highlight w:val="none"/>
          <w:lang w:val="en-US" w:eastAsia="zh-CN"/>
          <w14:textFill>
            <w14:solidFill>
              <w14:schemeClr w14:val="tx1"/>
            </w14:solidFill>
          </w14:textFill>
        </w:rPr>
      </w:pPr>
    </w:p>
    <w:p w14:paraId="3553D702">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000000" w:themeColor="text1"/>
          <w:kern w:val="0"/>
          <w:sz w:val="24"/>
          <w:szCs w:val="20"/>
          <w:highlight w:val="none"/>
          <w:lang w:val="en-US" w:eastAsia="zh-CN"/>
          <w14:textFill>
            <w14:solidFill>
              <w14:schemeClr w14:val="tx1"/>
            </w14:solidFill>
          </w14:textFill>
        </w:rPr>
      </w:pPr>
    </w:p>
    <w:p w14:paraId="7685F37E">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eastAsia="宋体" w:cs="宋体"/>
          <w:b/>
          <w:color w:val="000000" w:themeColor="text1"/>
          <w:kern w:val="0"/>
          <w:sz w:val="24"/>
          <w:szCs w:val="20"/>
          <w:highlight w:val="none"/>
          <w14:textFill>
            <w14:solidFill>
              <w14:schemeClr w14:val="tx1"/>
            </w14:solidFill>
          </w14:textFill>
        </w:rPr>
      </w:pPr>
      <w:r>
        <w:rPr>
          <w:rFonts w:hint="eastAsia" w:ascii="宋体" w:hAnsi="宋体" w:cs="宋体"/>
          <w:b/>
          <w:color w:val="000000" w:themeColor="text1"/>
          <w:kern w:val="0"/>
          <w:sz w:val="24"/>
          <w:szCs w:val="20"/>
          <w:highlight w:val="none"/>
          <w:lang w:val="en-US" w:eastAsia="zh-CN"/>
          <w14:textFill>
            <w14:solidFill>
              <w14:schemeClr w14:val="tx1"/>
            </w14:solidFill>
          </w14:textFill>
        </w:rPr>
        <w:t>响应文件</w:t>
      </w:r>
      <w:r>
        <w:rPr>
          <w:rFonts w:hint="eastAsia" w:ascii="宋体" w:hAnsi="宋体" w:eastAsia="宋体" w:cs="宋体"/>
          <w:b/>
          <w:color w:val="000000" w:themeColor="text1"/>
          <w:kern w:val="0"/>
          <w:sz w:val="24"/>
          <w:szCs w:val="20"/>
          <w:highlight w:val="none"/>
          <w14:textFill>
            <w14:solidFill>
              <w14:schemeClr w14:val="tx1"/>
            </w14:solidFill>
          </w14:textFill>
        </w:rPr>
        <w:t>格式范本</w:t>
      </w:r>
    </w:p>
    <w:tbl>
      <w:tblPr>
        <w:tblStyle w:val="37"/>
        <w:tblpPr w:leftFromText="180" w:rightFromText="180" w:vertAnchor="text" w:horzAnchor="page" w:tblpX="2052"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14:paraId="46250F6A">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noWrap w:val="0"/>
            <w:vAlign w:val="top"/>
          </w:tcPr>
          <w:p w14:paraId="3E8B98C2">
            <w:pPr>
              <w:pStyle w:val="2"/>
              <w:keepNext w:val="0"/>
              <w:keepLines w:val="0"/>
              <w:pageBreakBefore w:val="0"/>
              <w:widowControl w:val="0"/>
              <w:kinsoku/>
              <w:overflowPunct/>
              <w:bidi w:val="0"/>
              <w:jc w:val="right"/>
              <w:rPr>
                <w:rFonts w:hint="eastAsia" w:ascii="宋体" w:hAnsi="宋体" w:eastAsia="宋体" w:cs="宋体"/>
                <w:b/>
                <w:bCs/>
                <w:color w:val="000000" w:themeColor="text1"/>
                <w:sz w:val="28"/>
                <w:szCs w:val="28"/>
                <w:highlight w:val="none"/>
                <w14:textFill>
                  <w14:solidFill>
                    <w14:schemeClr w14:val="tx1"/>
                  </w14:solidFill>
                </w14:textFill>
              </w:rPr>
            </w:pPr>
          </w:p>
          <w:p w14:paraId="6997EE8D">
            <w:pPr>
              <w:pStyle w:val="2"/>
              <w:keepNext w:val="0"/>
              <w:keepLines w:val="0"/>
              <w:pageBreakBefore w:val="0"/>
              <w:widowControl w:val="0"/>
              <w:kinsoku/>
              <w:overflowPunct/>
              <w:bidi w:val="0"/>
              <w:ind w:firstLine="4216" w:firstLineChars="1500"/>
              <w:rPr>
                <w:rFonts w:hint="eastAsia" w:ascii="宋体" w:hAnsi="宋体" w:eastAsia="宋体" w:cs="宋体"/>
                <w:b/>
                <w:bCs/>
                <w:color w:val="000000" w:themeColor="text1"/>
                <w:sz w:val="28"/>
                <w:szCs w:val="28"/>
                <w:highlight w:val="none"/>
                <w14:textFill>
                  <w14:solidFill>
                    <w14:schemeClr w14:val="tx1"/>
                  </w14:solidFill>
                </w14:textFill>
              </w:rPr>
            </w:pPr>
          </w:p>
          <w:p w14:paraId="52C1165D">
            <w:pPr>
              <w:pStyle w:val="2"/>
              <w:keepNext w:val="0"/>
              <w:keepLines w:val="0"/>
              <w:pageBreakBefore w:val="0"/>
              <w:widowControl w:val="0"/>
              <w:kinsoku/>
              <w:overflowPunct/>
              <w:bidi w:val="0"/>
              <w:ind w:firstLine="4216" w:firstLineChars="1500"/>
              <w:rPr>
                <w:rFonts w:hint="eastAsia" w:ascii="宋体" w:hAnsi="宋体" w:eastAsia="宋体" w:cs="宋体"/>
                <w:b/>
                <w:bCs/>
                <w:color w:val="000000" w:themeColor="text1"/>
                <w:sz w:val="28"/>
                <w:szCs w:val="28"/>
                <w:highlight w:val="none"/>
                <w14:textFill>
                  <w14:solidFill>
                    <w14:schemeClr w14:val="tx1"/>
                  </w14:solidFill>
                </w14:textFill>
              </w:rPr>
            </w:pPr>
          </w:p>
          <w:p w14:paraId="139D4535">
            <w:pPr>
              <w:pStyle w:val="2"/>
              <w:keepNext w:val="0"/>
              <w:keepLines w:val="0"/>
              <w:pageBreakBefore w:val="0"/>
              <w:widowControl w:val="0"/>
              <w:kinsoku/>
              <w:overflowPunct/>
              <w:bidi w:val="0"/>
              <w:rPr>
                <w:rFonts w:hint="eastAsia" w:ascii="宋体" w:hAnsi="宋体" w:eastAsia="宋体" w:cs="宋体"/>
                <w:b/>
                <w:bCs/>
                <w:color w:val="000000" w:themeColor="text1"/>
                <w:sz w:val="28"/>
                <w:szCs w:val="28"/>
                <w:highlight w:val="none"/>
                <w14:textFill>
                  <w14:solidFill>
                    <w14:schemeClr w14:val="tx1"/>
                  </w14:solidFill>
                </w14:textFill>
              </w:rPr>
            </w:pPr>
          </w:p>
          <w:p w14:paraId="1062F614">
            <w:pPr>
              <w:pStyle w:val="2"/>
              <w:keepNext w:val="0"/>
              <w:keepLines w:val="0"/>
              <w:pageBreakBefore w:val="0"/>
              <w:widowControl w:val="0"/>
              <w:kinsoku/>
              <w:overflowPunct/>
              <w:bidi w:val="0"/>
              <w:ind w:firstLine="2530" w:firstLineChars="9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 *** *** *** ***   项目</w:t>
            </w:r>
          </w:p>
          <w:p w14:paraId="60D2B20E">
            <w:pPr>
              <w:pStyle w:val="2"/>
              <w:keepNext w:val="0"/>
              <w:keepLines w:val="0"/>
              <w:pageBreakBefore w:val="0"/>
              <w:widowControl w:val="0"/>
              <w:kinsoku/>
              <w:overflowPunct/>
              <w:bidi w:val="0"/>
              <w:jc w:val="center"/>
              <w:rPr>
                <w:rFonts w:hint="eastAsia" w:ascii="宋体" w:hAnsi="宋体" w:eastAsia="宋体" w:cs="宋体"/>
                <w:b/>
                <w:bCs/>
                <w:color w:val="000000" w:themeColor="text1"/>
                <w:sz w:val="21"/>
                <w:szCs w:val="21"/>
                <w:highlight w:val="none"/>
                <w14:textFill>
                  <w14:solidFill>
                    <w14:schemeClr w14:val="tx1"/>
                  </w14:solidFill>
                </w14:textFill>
              </w:rPr>
            </w:pPr>
          </w:p>
          <w:p w14:paraId="7D8F6F80">
            <w:pPr>
              <w:pStyle w:val="2"/>
              <w:keepNext w:val="0"/>
              <w:keepLines w:val="0"/>
              <w:pageBreakBefore w:val="0"/>
              <w:widowControl w:val="0"/>
              <w:kinsoku/>
              <w:overflowPunct/>
              <w:bidi w:val="0"/>
              <w:ind w:firstLine="3162" w:firstLineChars="150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编号</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p w14:paraId="05D925DC">
            <w:pPr>
              <w:pStyle w:val="2"/>
              <w:keepNext w:val="0"/>
              <w:keepLines w:val="0"/>
              <w:pageBreakBefore w:val="0"/>
              <w:widowControl w:val="0"/>
              <w:kinsoku/>
              <w:overflowPunct/>
              <w:bidi w:val="0"/>
              <w:jc w:val="center"/>
              <w:rPr>
                <w:rFonts w:hint="eastAsia" w:ascii="宋体" w:hAnsi="宋体" w:eastAsia="宋体" w:cs="宋体"/>
                <w:b/>
                <w:bCs/>
                <w:color w:val="000000" w:themeColor="text1"/>
                <w:sz w:val="48"/>
                <w:highlight w:val="none"/>
                <w14:textFill>
                  <w14:solidFill>
                    <w14:schemeClr w14:val="tx1"/>
                  </w14:solidFill>
                </w14:textFill>
              </w:rPr>
            </w:pPr>
          </w:p>
          <w:p w14:paraId="477A59C2">
            <w:pPr>
              <w:pStyle w:val="2"/>
              <w:keepNext w:val="0"/>
              <w:keepLines w:val="0"/>
              <w:pageBreakBefore w:val="0"/>
              <w:widowControl w:val="0"/>
              <w:kinsoku/>
              <w:overflowPunct/>
              <w:bidi w:val="0"/>
              <w:jc w:val="center"/>
              <w:rPr>
                <w:rFonts w:hint="eastAsia" w:ascii="宋体" w:hAnsi="宋体" w:eastAsia="宋体" w:cs="宋体"/>
                <w:b/>
                <w:bCs/>
                <w:color w:val="000000" w:themeColor="text1"/>
                <w:sz w:val="48"/>
                <w:highlight w:val="none"/>
                <w14:textFill>
                  <w14:solidFill>
                    <w14:schemeClr w14:val="tx1"/>
                  </w14:solidFill>
                </w14:textFill>
              </w:rPr>
            </w:pPr>
            <w:r>
              <w:rPr>
                <w:rFonts w:hint="eastAsia" w:cs="宋体"/>
                <w:b/>
                <w:bCs/>
                <w:color w:val="000000" w:themeColor="text1"/>
                <w:sz w:val="48"/>
                <w:highlight w:val="none"/>
                <w:lang w:val="en-US" w:eastAsia="zh-CN"/>
                <w14:textFill>
                  <w14:solidFill>
                    <w14:schemeClr w14:val="tx1"/>
                  </w14:solidFill>
                </w14:textFill>
              </w:rPr>
              <w:t>响应文件</w:t>
            </w:r>
          </w:p>
          <w:p w14:paraId="41591191">
            <w:pPr>
              <w:keepNext w:val="0"/>
              <w:keepLines w:val="0"/>
              <w:pageBreakBefore w:val="0"/>
              <w:widowControl w:val="0"/>
              <w:kinsoku/>
              <w:overflowPunct/>
              <w:bidi w:val="0"/>
              <w:jc w:val="center"/>
              <w:rPr>
                <w:rFonts w:hint="eastAsia" w:ascii="宋体" w:hAnsi="宋体" w:eastAsia="宋体" w:cs="宋体"/>
                <w:b/>
                <w:color w:val="000000" w:themeColor="text1"/>
                <w:sz w:val="32"/>
                <w:highlight w:val="none"/>
                <w14:textFill>
                  <w14:solidFill>
                    <w14:schemeClr w14:val="tx1"/>
                  </w14:solidFill>
                </w14:textFill>
              </w:rPr>
            </w:pPr>
          </w:p>
          <w:p w14:paraId="749C6B6C">
            <w:pPr>
              <w:pStyle w:val="6"/>
              <w:keepNext w:val="0"/>
              <w:keepLines w:val="0"/>
              <w:pageBreakBefore w:val="0"/>
              <w:widowControl w:val="0"/>
              <w:kinsoku/>
              <w:overflowPunct/>
              <w:bidi w:val="0"/>
              <w:rPr>
                <w:rFonts w:hint="eastAsia" w:ascii="宋体" w:hAnsi="宋体" w:eastAsia="宋体" w:cs="宋体"/>
                <w:b/>
                <w:color w:val="000000" w:themeColor="text1"/>
                <w:sz w:val="32"/>
                <w:highlight w:val="none"/>
                <w14:textFill>
                  <w14:solidFill>
                    <w14:schemeClr w14:val="tx1"/>
                  </w14:solidFill>
                </w14:textFill>
              </w:rPr>
            </w:pPr>
          </w:p>
          <w:p w14:paraId="20D4F736">
            <w:pPr>
              <w:pStyle w:val="6"/>
              <w:keepNext w:val="0"/>
              <w:keepLines w:val="0"/>
              <w:pageBreakBefore w:val="0"/>
              <w:widowControl w:val="0"/>
              <w:kinsoku/>
              <w:overflowPunct/>
              <w:bidi w:val="0"/>
              <w:rPr>
                <w:rFonts w:hint="eastAsia" w:ascii="宋体" w:hAnsi="宋体" w:eastAsia="宋体" w:cs="宋体"/>
                <w:b/>
                <w:color w:val="000000" w:themeColor="text1"/>
                <w:sz w:val="32"/>
                <w:highlight w:val="none"/>
                <w14:textFill>
                  <w14:solidFill>
                    <w14:schemeClr w14:val="tx1"/>
                  </w14:solidFill>
                </w14:textFill>
              </w:rPr>
            </w:pPr>
          </w:p>
          <w:p w14:paraId="207E3221">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投标单位：（公章）</w:t>
            </w:r>
          </w:p>
          <w:p w14:paraId="17EC2352">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p w14:paraId="7E5D9785">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w:t>
            </w:r>
          </w:p>
          <w:p w14:paraId="606377E8">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w:t>
            </w:r>
          </w:p>
          <w:p w14:paraId="0E58523E">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p w14:paraId="67C239BA">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02F837CB">
            <w:pPr>
              <w:keepNext w:val="0"/>
              <w:keepLines w:val="0"/>
              <w:pageBreakBefore w:val="0"/>
              <w:widowControl w:val="0"/>
              <w:kinsoku/>
              <w:overflowPunct/>
              <w:bidi w:val="0"/>
              <w:spacing w:line="360" w:lineRule="auto"/>
              <w:ind w:left="176" w:leftChars="84" w:firstLine="960" w:firstLineChars="400"/>
              <w:rPr>
                <w:rFonts w:hint="eastAsia" w:ascii="宋体" w:hAnsi="宋体" w:eastAsia="宋体" w:cs="宋体"/>
                <w:color w:val="000000" w:themeColor="text1"/>
                <w:sz w:val="24"/>
                <w:highlight w:val="none"/>
                <w14:textFill>
                  <w14:solidFill>
                    <w14:schemeClr w14:val="tx1"/>
                  </w14:solidFill>
                </w14:textFill>
              </w:rPr>
            </w:pPr>
          </w:p>
          <w:p w14:paraId="533DE958">
            <w:pPr>
              <w:keepNext w:val="0"/>
              <w:keepLines w:val="0"/>
              <w:pageBreakBefore w:val="0"/>
              <w:widowControl w:val="0"/>
              <w:kinsoku/>
              <w:overflowPunct/>
              <w:bidi w:val="0"/>
              <w:jc w:val="center"/>
              <w:rPr>
                <w:rFonts w:hint="eastAsia" w:ascii="宋体" w:hAnsi="宋体" w:eastAsia="宋体" w:cs="宋体"/>
                <w:b/>
                <w:bCs/>
                <w:color w:val="000000" w:themeColor="text1"/>
                <w:highlight w:val="none"/>
                <w14:textFill>
                  <w14:solidFill>
                    <w14:schemeClr w14:val="tx1"/>
                  </w14:solidFill>
                </w14:textFill>
              </w:rPr>
            </w:pPr>
          </w:p>
          <w:p w14:paraId="7128E306">
            <w:pPr>
              <w:keepNext w:val="0"/>
              <w:keepLines w:val="0"/>
              <w:pageBreakBefore w:val="0"/>
              <w:widowControl w:val="0"/>
              <w:kinsoku/>
              <w:overflowPunct/>
              <w:bidi w:val="0"/>
              <w:jc w:val="center"/>
              <w:rPr>
                <w:rFonts w:hint="eastAsia" w:ascii="宋体" w:hAnsi="宋体" w:eastAsia="宋体" w:cs="宋体"/>
                <w:b/>
                <w:bCs/>
                <w:color w:val="000000" w:themeColor="text1"/>
                <w:highlight w:val="none"/>
                <w14:textFill>
                  <w14:solidFill>
                    <w14:schemeClr w14:val="tx1"/>
                  </w14:solidFill>
                </w14:textFill>
              </w:rPr>
            </w:pPr>
          </w:p>
          <w:p w14:paraId="23C4602C">
            <w:pPr>
              <w:keepNext w:val="0"/>
              <w:keepLines w:val="0"/>
              <w:pageBreakBefore w:val="0"/>
              <w:widowControl w:val="0"/>
              <w:kinsoku/>
              <w:overflowPunct/>
              <w:bidi w:val="0"/>
              <w:jc w:val="center"/>
              <w:rPr>
                <w:rFonts w:hint="eastAsia" w:ascii="宋体" w:hAnsi="宋体" w:eastAsia="宋体" w:cs="宋体"/>
                <w:b/>
                <w:bCs/>
                <w:color w:val="000000" w:themeColor="text1"/>
                <w:highlight w:val="none"/>
                <w14:textFill>
                  <w14:solidFill>
                    <w14:schemeClr w14:val="tx1"/>
                  </w14:solidFill>
                </w14:textFill>
              </w:rPr>
            </w:pPr>
          </w:p>
        </w:tc>
      </w:tr>
    </w:tbl>
    <w:p w14:paraId="661CDAB0">
      <w:pPr>
        <w:pStyle w:val="6"/>
        <w:keepNext w:val="0"/>
        <w:keepLines w:val="0"/>
        <w:pageBreakBefore w:val="0"/>
        <w:widowControl w:val="0"/>
        <w:kinsoku/>
        <w:overflowPunct/>
        <w:bidi w:val="0"/>
        <w:rPr>
          <w:rFonts w:hint="eastAsia" w:ascii="宋体" w:hAnsi="宋体" w:eastAsia="宋体" w:cs="宋体"/>
          <w:color w:val="000000" w:themeColor="text1"/>
          <w:highlight w:val="none"/>
          <w14:textFill>
            <w14:solidFill>
              <w14:schemeClr w14:val="tx1"/>
            </w14:solidFill>
          </w14:textFill>
        </w:rPr>
      </w:pPr>
    </w:p>
    <w:p w14:paraId="4C939B71">
      <w:pPr>
        <w:keepNext w:val="0"/>
        <w:keepLines w:val="0"/>
        <w:pageBreakBefore w:val="0"/>
        <w:widowControl w:val="0"/>
        <w:kinsoku/>
        <w:overflowPunct/>
        <w:bidi w:val="0"/>
        <w:spacing w:line="240" w:lineRule="atLeast"/>
        <w:ind w:left="1080" w:leftChars="257" w:hanging="540"/>
        <w:jc w:val="center"/>
        <w:rPr>
          <w:rFonts w:hint="eastAsia" w:ascii="宋体" w:hAnsi="宋体" w:eastAsia="宋体" w:cs="宋体"/>
          <w:b/>
          <w:color w:val="000000" w:themeColor="text1"/>
          <w:sz w:val="48"/>
          <w:szCs w:val="48"/>
          <w:highlight w:val="none"/>
          <w14:textFill>
            <w14:solidFill>
              <w14:schemeClr w14:val="tx1"/>
            </w14:solidFill>
          </w14:textFill>
        </w:rPr>
      </w:pPr>
    </w:p>
    <w:p w14:paraId="27D2AC4C">
      <w:pPr>
        <w:pStyle w:val="3"/>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第3章  招标公告</w:t>
      </w:r>
    </w:p>
    <w:p w14:paraId="7A967D40">
      <w:pPr>
        <w:pStyle w:val="89"/>
        <w:keepNext w:val="0"/>
        <w:keepLines w:val="0"/>
        <w:pageBreakBefore w:val="0"/>
        <w:widowControl/>
        <w:kinsoku/>
        <w:wordWrap/>
        <w:overflowPunct/>
        <w:topLinePunct w:val="0"/>
        <w:autoSpaceDE/>
        <w:autoSpaceDN/>
        <w:bidi w:val="0"/>
        <w:adjustRightInd/>
        <w:snapToGrid/>
        <w:spacing w:line="380" w:lineRule="exact"/>
        <w:textAlignment w:val="auto"/>
        <w:rPr>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一、项目基本情况</w:t>
      </w:r>
    </w:p>
    <w:p w14:paraId="3EDD6F1C">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14:textFill>
            <w14:solidFill>
              <w14:schemeClr w14:val="tx1"/>
            </w14:solidFill>
          </w14:textFill>
        </w:rPr>
        <w:t>项目编</w:t>
      </w:r>
      <w:r>
        <w:rPr>
          <w:rFonts w:hint="eastAsia" w:ascii="宋体" w:hAnsi="宋体" w:eastAsia="宋体" w:cs="宋体"/>
          <w:color w:val="000000" w:themeColor="text1"/>
          <w:lang w:eastAsia="zh-CN"/>
          <w14:textFill>
            <w14:solidFill>
              <w14:schemeClr w14:val="tx1"/>
            </w14:solidFill>
          </w14:textFill>
        </w:rPr>
        <w:t>号：</w:t>
      </w:r>
      <w:r>
        <w:rPr>
          <w:rFonts w:hint="eastAsia" w:ascii="宋体" w:hAnsi="宋体" w:cs="宋体"/>
          <w:color w:val="000000" w:themeColor="text1"/>
          <w:highlight w:val="none"/>
          <w:lang w:val="en-US" w:eastAsia="zh-CN"/>
          <w14:textFill>
            <w14:solidFill>
              <w14:schemeClr w14:val="tx1"/>
            </w14:solidFill>
          </w14:textFill>
        </w:rPr>
        <w:t>XJHYCG-(CS)2026-02-01</w:t>
      </w:r>
    </w:p>
    <w:p w14:paraId="52C23A9A">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hint="eastAsia" w:ascii="宋体" w:hAnsi="宋体" w:cs="宋体"/>
          <w:color w:val="000000" w:themeColor="text1"/>
          <w:lang w:eastAsia="zh-CN"/>
          <w14:textFill>
            <w14:solidFill>
              <w14:schemeClr w14:val="tx1"/>
            </w14:solidFill>
          </w14:textFill>
        </w:rPr>
        <w:t xml:space="preserve">喀什地区大数据中心餐饮服务项目（二次） </w:t>
      </w:r>
      <w:r>
        <w:rPr>
          <w:rFonts w:hint="eastAsia" w:ascii="宋体" w:hAnsi="宋体" w:cs="宋体"/>
          <w:color w:val="000000" w:themeColor="text1"/>
          <w14:textFill>
            <w14:solidFill>
              <w14:schemeClr w14:val="tx1"/>
            </w14:solidFill>
          </w14:textFill>
        </w:rPr>
        <w:t> </w:t>
      </w:r>
    </w:p>
    <w:p w14:paraId="1AB94AF2">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采购方式：竞争性磋商 </w:t>
      </w:r>
    </w:p>
    <w:p w14:paraId="13620F51">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预算金额（元）：</w:t>
      </w:r>
      <w:r>
        <w:rPr>
          <w:rFonts w:hint="eastAsia" w:ascii="宋体" w:hAnsi="宋体" w:cs="宋体"/>
          <w:color w:val="000000" w:themeColor="text1"/>
          <w:lang w:val="en-US" w:eastAsia="zh-CN"/>
          <w14:textFill>
            <w14:solidFill>
              <w14:schemeClr w14:val="tx1"/>
            </w14:solidFill>
          </w14:textFill>
        </w:rPr>
        <w:t>679000.00元</w:t>
      </w:r>
    </w:p>
    <w:p w14:paraId="3D7943D1">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最高限价（元）：</w:t>
      </w:r>
      <w:r>
        <w:rPr>
          <w:rFonts w:hint="eastAsia" w:ascii="宋体" w:hAnsi="宋体" w:cs="宋体"/>
          <w:color w:val="000000" w:themeColor="text1"/>
          <w:lang w:val="en-US" w:eastAsia="zh-CN"/>
          <w14:textFill>
            <w14:solidFill>
              <w14:schemeClr w14:val="tx1"/>
            </w14:solidFill>
          </w14:textFill>
        </w:rPr>
        <w:t>679000.00元</w:t>
      </w:r>
    </w:p>
    <w:p w14:paraId="2951496F">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采购需求：</w:t>
      </w:r>
    </w:p>
    <w:p w14:paraId="3F19808E">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标项名称：</w:t>
      </w:r>
      <w:r>
        <w:rPr>
          <w:rFonts w:hint="eastAsia" w:ascii="宋体" w:hAnsi="宋体" w:cs="宋体"/>
          <w:color w:val="000000" w:themeColor="text1"/>
          <w:lang w:eastAsia="zh-CN"/>
          <w14:textFill>
            <w14:solidFill>
              <w14:schemeClr w14:val="tx1"/>
            </w14:solidFill>
          </w14:textFill>
        </w:rPr>
        <w:t xml:space="preserve">喀什地区大数据中心餐饮服务项目（二次） </w:t>
      </w:r>
      <w:r>
        <w:rPr>
          <w:rFonts w:hint="eastAsia" w:ascii="宋体" w:hAnsi="宋体" w:cs="宋体"/>
          <w:color w:val="000000" w:themeColor="text1"/>
          <w14:textFill>
            <w14:solidFill>
              <w14:schemeClr w14:val="tx1"/>
            </w14:solidFill>
          </w14:textFill>
        </w:rPr>
        <w:t> </w:t>
      </w:r>
    </w:p>
    <w:p w14:paraId="732E0C15">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数量:1</w:t>
      </w:r>
    </w:p>
    <w:p w14:paraId="20E65176">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预算金额（元）:</w:t>
      </w:r>
      <w:r>
        <w:rPr>
          <w:rFonts w:hint="eastAsia" w:ascii="宋体" w:hAnsi="宋体" w:cs="宋体"/>
          <w:color w:val="000000" w:themeColor="text1"/>
          <w:lang w:val="en-US" w:eastAsia="zh-CN"/>
          <w14:textFill>
            <w14:solidFill>
              <w14:schemeClr w14:val="tx1"/>
            </w14:solidFill>
          </w14:textFill>
        </w:rPr>
        <w:t>679000.00元</w:t>
      </w:r>
    </w:p>
    <w:p w14:paraId="6AF8A26F">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单位：次</w:t>
      </w:r>
    </w:p>
    <w:p w14:paraId="17B2843A">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简要规格描述：喀什地区大数据中心餐饮服务</w:t>
      </w:r>
    </w:p>
    <w:p w14:paraId="1B378C42">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ascii="宋体" w:hAnsi="宋体" w:cs="宋体"/>
          <w:color w:val="000000" w:themeColor="text1"/>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合同</w:t>
      </w:r>
      <w:r>
        <w:rPr>
          <w:rFonts w:hint="eastAsia" w:ascii="宋体" w:hAnsi="宋体" w:cs="宋体"/>
          <w:color w:val="000000" w:themeColor="text1"/>
          <w14:textFill>
            <w14:solidFill>
              <w14:schemeClr w14:val="tx1"/>
            </w14:solidFill>
          </w14:textFill>
        </w:rPr>
        <w:t>履约期限：</w:t>
      </w:r>
      <w:r>
        <w:rPr>
          <w:rFonts w:hint="eastAsia" w:ascii="宋体" w:hAnsi="宋体" w:eastAsia="宋体" w:cs="宋体"/>
          <w:color w:val="000000" w:themeColor="text1"/>
          <w:highlight w:val="none"/>
          <w:lang w:eastAsia="zh-CN"/>
          <w14:textFill>
            <w14:solidFill>
              <w14:schemeClr w14:val="tx1"/>
            </w14:solidFill>
          </w14:textFill>
        </w:rPr>
        <w:t>标项1</w:t>
      </w:r>
      <w:r>
        <w:rPr>
          <w:rFonts w:hint="eastAsia" w:ascii="宋体" w:hAnsi="宋体" w:cs="宋体"/>
          <w:color w:val="000000" w:themeColor="text1"/>
          <w14:textFill>
            <w14:solidFill>
              <w14:schemeClr w14:val="tx1"/>
            </w14:solidFill>
          </w14:textFill>
        </w:rPr>
        <w:t>，详见</w:t>
      </w:r>
      <w:r>
        <w:rPr>
          <w:rFonts w:hint="eastAsia" w:ascii="宋体" w:hAnsi="宋体" w:cs="宋体"/>
          <w:color w:val="000000" w:themeColor="text1"/>
          <w:lang w:val="en-US" w:eastAsia="zh-CN"/>
          <w14:textFill>
            <w14:solidFill>
              <w14:schemeClr w14:val="tx1"/>
            </w14:solidFill>
          </w14:textFill>
        </w:rPr>
        <w:t>采购</w:t>
      </w:r>
      <w:r>
        <w:rPr>
          <w:rFonts w:hint="eastAsia" w:ascii="宋体" w:hAnsi="宋体" w:cs="宋体"/>
          <w:color w:val="000000" w:themeColor="text1"/>
          <w14:textFill>
            <w14:solidFill>
              <w14:schemeClr w14:val="tx1"/>
            </w14:solidFill>
          </w14:textFill>
        </w:rPr>
        <w:t>文件</w:t>
      </w:r>
    </w:p>
    <w:p w14:paraId="7819E604">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本项目（否）接受联合体投标。  </w:t>
      </w:r>
    </w:p>
    <w:p w14:paraId="61216CDC">
      <w:pPr>
        <w:pStyle w:val="89"/>
        <w:keepNext w:val="0"/>
        <w:keepLines w:val="0"/>
        <w:pageBreakBefore w:val="0"/>
        <w:widowControl/>
        <w:kinsoku/>
        <w:wordWrap/>
        <w:overflowPunct/>
        <w:topLinePunct w:val="0"/>
        <w:autoSpaceDE/>
        <w:autoSpaceDN/>
        <w:bidi w:val="0"/>
        <w:adjustRightInd/>
        <w:snapToGrid/>
        <w:spacing w:line="380" w:lineRule="exact"/>
        <w:textAlignment w:val="auto"/>
        <w:rPr>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二、申请人的资格要求：</w:t>
      </w:r>
    </w:p>
    <w:p w14:paraId="427B1D3E">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1.满足《中华人民共和国政府采购法》第二十二条规定；</w:t>
      </w:r>
    </w:p>
    <w:p w14:paraId="39A02217">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2.落实政府采购政策需满足的资格要求：标项1：专门面向中小</w:t>
      </w:r>
      <w:r>
        <w:rPr>
          <w:rFonts w:hint="eastAsia" w:ascii="宋体" w:hAnsi="宋体" w:cs="宋体"/>
          <w:color w:val="000000" w:themeColor="text1"/>
          <w:lang w:val="en-US" w:eastAsia="zh-CN"/>
          <w14:textFill>
            <w14:solidFill>
              <w14:schemeClr w14:val="tx1"/>
            </w14:solidFill>
          </w14:textFill>
        </w:rPr>
        <w:t>微</w:t>
      </w:r>
      <w:r>
        <w:rPr>
          <w:rFonts w:hint="eastAsia" w:ascii="宋体" w:hAnsi="宋体" w:eastAsia="宋体" w:cs="宋体"/>
          <w:color w:val="000000" w:themeColor="text1"/>
          <w:lang w:val="en-US" w:eastAsia="zh-CN"/>
          <w14:textFill>
            <w14:solidFill>
              <w14:schemeClr w14:val="tx1"/>
            </w14:solidFill>
          </w14:textFill>
        </w:rPr>
        <w:t>企业采购</w:t>
      </w:r>
      <w:r>
        <w:rPr>
          <w:rFonts w:hint="eastAsia" w:ascii="宋体" w:hAnsi="宋体" w:cs="宋体"/>
          <w:color w:val="000000" w:themeColor="text1"/>
          <w:lang w:val="en-US" w:eastAsia="zh-CN"/>
          <w14:textFill>
            <w14:solidFill>
              <w14:schemeClr w14:val="tx1"/>
            </w14:solidFill>
          </w14:textFill>
        </w:rPr>
        <w:t>；</w:t>
      </w:r>
    </w:p>
    <w:p w14:paraId="6245F2AC">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3.本项目的特定资格要求：标项1：</w:t>
      </w:r>
      <w:r>
        <w:rPr>
          <w:rFonts w:hint="eastAsia" w:ascii="宋体" w:hAnsi="宋体" w:eastAsia="宋体" w:cs="宋体"/>
          <w:color w:val="000000" w:themeColor="text1"/>
          <w:highlight w:val="none"/>
          <w:lang w:eastAsia="zh-CN"/>
          <w14:textFill>
            <w14:solidFill>
              <w14:schemeClr w14:val="tx1"/>
            </w14:solidFill>
          </w14:textFill>
        </w:rPr>
        <w:t>具</w:t>
      </w:r>
      <w:r>
        <w:rPr>
          <w:rFonts w:hint="eastAsia" w:ascii="宋体" w:hAnsi="宋体" w:eastAsia="宋体" w:cs="宋体"/>
          <w:color w:val="000000" w:themeColor="text1"/>
          <w:lang w:val="en-US" w:eastAsia="zh-CN"/>
          <w14:textFill>
            <w14:solidFill>
              <w14:schemeClr w14:val="tx1"/>
            </w14:solidFill>
          </w14:textFill>
        </w:rPr>
        <w:t>备《食品经营许可证》</w:t>
      </w:r>
      <w:r>
        <w:rPr>
          <w:rFonts w:hint="eastAsia" w:ascii="宋体" w:hAnsi="宋体" w:eastAsia="宋体" w:cs="宋体"/>
          <w:color w:val="000000" w:themeColor="text1"/>
          <w:lang w:eastAsia="zh-CN"/>
          <w14:textFill>
            <w14:solidFill>
              <w14:schemeClr w14:val="tx1"/>
            </w14:solidFill>
          </w14:textFill>
        </w:rPr>
        <w:t>；</w:t>
      </w:r>
    </w:p>
    <w:p w14:paraId="4C7D53D3">
      <w:pPr>
        <w:pStyle w:val="89"/>
        <w:keepNext w:val="0"/>
        <w:keepLines w:val="0"/>
        <w:pageBreakBefore w:val="0"/>
        <w:widowControl/>
        <w:kinsoku/>
        <w:wordWrap/>
        <w:overflowPunct/>
        <w:topLinePunct w:val="0"/>
        <w:autoSpaceDE/>
        <w:autoSpaceDN/>
        <w:bidi w:val="0"/>
        <w:adjustRightInd/>
        <w:snapToGrid/>
        <w:spacing w:line="380" w:lineRule="exact"/>
        <w:textAlignment w:val="auto"/>
        <w:rPr>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三、获取采购文件</w:t>
      </w:r>
    </w:p>
    <w:p w14:paraId="7B3808ED">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时间：</w:t>
      </w:r>
      <w:r>
        <w:rPr>
          <w:rFonts w:hint="eastAsia" w:ascii="宋体" w:hAnsi="宋体" w:cs="宋体"/>
          <w:color w:val="000000" w:themeColor="text1"/>
          <w:sz w:val="24"/>
          <w:szCs w:val="24"/>
          <w:highlight w:val="none"/>
          <w:lang w:val="en-US" w:eastAsia="zh-CN"/>
          <w14:textFill>
            <w14:solidFill>
              <w14:schemeClr w14:val="tx1"/>
            </w14:solidFill>
          </w14:textFill>
        </w:rPr>
        <w:t>2026年5月13日至2026年5月20日，每天上午00:00至14:00，下午14:00至23:59（北京时间，法定节假日除外）</w:t>
      </w:r>
    </w:p>
    <w:p w14:paraId="5CB93D1D">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地点：政采云平台线上</w:t>
      </w:r>
    </w:p>
    <w:p w14:paraId="0F6D8CE0">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方式：</w:t>
      </w:r>
      <w:r>
        <w:rPr>
          <w:rFonts w:hint="eastAsia" w:ascii="宋体" w:hAnsi="宋体" w:cs="宋体"/>
          <w:color w:val="000000" w:themeColor="text1"/>
          <w:lang w:val="en-US" w:eastAsia="zh-CN"/>
          <w14:textFill>
            <w14:solidFill>
              <w14:schemeClr w14:val="tx1"/>
            </w14:solidFill>
          </w14:textFill>
        </w:rPr>
        <w:t>投标人</w:t>
      </w:r>
      <w:r>
        <w:rPr>
          <w:rFonts w:hint="eastAsia" w:ascii="宋体" w:hAnsi="宋体" w:eastAsia="宋体" w:cs="宋体"/>
          <w:color w:val="000000" w:themeColor="text1"/>
          <w:lang w:val="en-US" w:eastAsia="zh-CN"/>
          <w14:textFill>
            <w14:solidFill>
              <w14:schemeClr w14:val="tx1"/>
            </w14:solidFill>
          </w14:textFill>
        </w:rPr>
        <w:t>登录政采云平台https://www.zcygov.cn/在线申请获取采购文件（进入“项目采购”应用，在获取采购文件菜单中选择项目，申请获取采购文件），或者点击采购公告底部潜在</w:t>
      </w:r>
      <w:r>
        <w:rPr>
          <w:rFonts w:hint="eastAsia" w:ascii="宋体" w:hAnsi="宋体" w:cs="宋体"/>
          <w:color w:val="000000" w:themeColor="text1"/>
          <w:lang w:val="en-US" w:eastAsia="zh-CN"/>
          <w14:textFill>
            <w14:solidFill>
              <w14:schemeClr w14:val="tx1"/>
            </w14:solidFill>
          </w14:textFill>
        </w:rPr>
        <w:t>投标人</w:t>
      </w:r>
      <w:r>
        <w:rPr>
          <w:rFonts w:hint="eastAsia" w:ascii="宋体" w:hAnsi="宋体" w:eastAsia="宋体" w:cs="宋体"/>
          <w:color w:val="000000" w:themeColor="text1"/>
          <w:lang w:val="en-US" w:eastAsia="zh-CN"/>
          <w14:textFill>
            <w14:solidFill>
              <w14:schemeClr w14:val="tx1"/>
            </w14:solidFill>
          </w14:textFill>
        </w:rPr>
        <w:t>“获取采购文件”，页面跳转后登陆，直接获取采购文件。</w:t>
      </w:r>
    </w:p>
    <w:p w14:paraId="2FF491F3">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售价（元）：0</w:t>
      </w:r>
    </w:p>
    <w:p w14:paraId="70C1CAAC">
      <w:pPr>
        <w:pStyle w:val="89"/>
        <w:keepNext w:val="0"/>
        <w:keepLines w:val="0"/>
        <w:pageBreakBefore w:val="0"/>
        <w:widowControl/>
        <w:kinsoku/>
        <w:wordWrap/>
        <w:overflowPunct/>
        <w:topLinePunct w:val="0"/>
        <w:autoSpaceDE/>
        <w:autoSpaceDN/>
        <w:bidi w:val="0"/>
        <w:adjustRightInd/>
        <w:snapToGrid/>
        <w:spacing w:line="380" w:lineRule="exact"/>
        <w:textAlignment w:val="auto"/>
        <w:rPr>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四、响应文件提交</w:t>
      </w:r>
    </w:p>
    <w:p w14:paraId="1207B6EB">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截止时间：</w:t>
      </w:r>
      <w:r>
        <w:rPr>
          <w:rFonts w:hint="eastAsia" w:ascii="宋体" w:hAnsi="宋体" w:cs="宋体"/>
          <w:color w:val="000000" w:themeColor="text1"/>
          <w:sz w:val="24"/>
          <w:szCs w:val="24"/>
          <w:highlight w:val="none"/>
          <w:lang w:eastAsia="zh-CN"/>
          <w14:textFill>
            <w14:solidFill>
              <w14:schemeClr w14:val="tx1"/>
            </w14:solidFill>
          </w14:textFill>
        </w:rPr>
        <w:t>2026年5月25日10:30（北京时间）</w:t>
      </w:r>
    </w:p>
    <w:p w14:paraId="0D21A9E0">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地点：请登录政采云投标客户端投标</w:t>
      </w:r>
    </w:p>
    <w:p w14:paraId="65C4CCF5">
      <w:pPr>
        <w:pStyle w:val="89"/>
        <w:keepNext w:val="0"/>
        <w:keepLines w:val="0"/>
        <w:pageBreakBefore w:val="0"/>
        <w:widowControl/>
        <w:kinsoku/>
        <w:wordWrap/>
        <w:overflowPunct/>
        <w:topLinePunct w:val="0"/>
        <w:autoSpaceDE/>
        <w:autoSpaceDN/>
        <w:bidi w:val="0"/>
        <w:adjustRightInd/>
        <w:snapToGrid/>
        <w:spacing w:line="360" w:lineRule="atLeast"/>
        <w:textAlignment w:val="auto"/>
        <w:rPr>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五、响应文件开启</w:t>
      </w:r>
    </w:p>
    <w:p w14:paraId="5E1E16EC">
      <w:pPr>
        <w:pStyle w:val="89"/>
        <w:keepNext w:val="0"/>
        <w:keepLines w:val="0"/>
        <w:pageBreakBefore w:val="0"/>
        <w:widowControl/>
        <w:kinsoku/>
        <w:wordWrap/>
        <w:overflowPunct/>
        <w:topLinePunct w:val="0"/>
        <w:autoSpaceDE/>
        <w:autoSpaceDN/>
        <w:bidi w:val="0"/>
        <w:adjustRightInd/>
        <w:snapToGrid/>
        <w:spacing w:before="55" w:after="55" w:line="360" w:lineRule="atLeast"/>
        <w:ind w:firstLine="482"/>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开启时间：</w:t>
      </w:r>
      <w:r>
        <w:rPr>
          <w:rFonts w:hint="eastAsia" w:ascii="宋体" w:hAnsi="宋体" w:cs="宋体"/>
          <w:color w:val="000000" w:themeColor="text1"/>
          <w:sz w:val="24"/>
          <w:szCs w:val="24"/>
          <w:highlight w:val="none"/>
          <w:lang w:eastAsia="zh-CN"/>
          <w14:textFill>
            <w14:solidFill>
              <w14:schemeClr w14:val="tx1"/>
            </w14:solidFill>
          </w14:textFill>
        </w:rPr>
        <w:t>2026年5月25日10:30（北京时间）</w:t>
      </w:r>
    </w:p>
    <w:p w14:paraId="246FD0D3">
      <w:pPr>
        <w:pStyle w:val="89"/>
        <w:keepNext w:val="0"/>
        <w:keepLines w:val="0"/>
        <w:pageBreakBefore w:val="0"/>
        <w:widowControl/>
        <w:kinsoku/>
        <w:wordWrap/>
        <w:overflowPunct/>
        <w:topLinePunct w:val="0"/>
        <w:autoSpaceDE/>
        <w:autoSpaceDN/>
        <w:bidi w:val="0"/>
        <w:adjustRightInd/>
        <w:snapToGrid/>
        <w:spacing w:before="55" w:after="55" w:line="360" w:lineRule="atLeast"/>
        <w:ind w:firstLine="482"/>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地点：投标人登录政采云平台https://www.zcygov.cn/，进入“项目采购-开标评标-右边选择对应项目点击“进入项目”进入开标大厅。</w:t>
      </w:r>
    </w:p>
    <w:p w14:paraId="66D70587">
      <w:pPr>
        <w:pStyle w:val="89"/>
        <w:keepNext w:val="0"/>
        <w:keepLines w:val="0"/>
        <w:pageBreakBefore w:val="0"/>
        <w:widowControl/>
        <w:kinsoku/>
        <w:wordWrap/>
        <w:overflowPunct/>
        <w:topLinePunct w:val="0"/>
        <w:autoSpaceDE/>
        <w:autoSpaceDN/>
        <w:bidi w:val="0"/>
        <w:adjustRightInd/>
        <w:snapToGrid/>
        <w:spacing w:line="360" w:lineRule="atLeast"/>
        <w:textAlignment w:val="auto"/>
        <w:rPr>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六、公告期限</w:t>
      </w:r>
    </w:p>
    <w:p w14:paraId="0489F386">
      <w:pPr>
        <w:pStyle w:val="89"/>
        <w:keepNext w:val="0"/>
        <w:keepLines w:val="0"/>
        <w:pageBreakBefore w:val="0"/>
        <w:widowControl/>
        <w:kinsoku/>
        <w:wordWrap/>
        <w:overflowPunct/>
        <w:topLinePunct w:val="0"/>
        <w:autoSpaceDE/>
        <w:autoSpaceDN/>
        <w:bidi w:val="0"/>
        <w:adjustRightInd/>
        <w:snapToGrid/>
        <w:spacing w:before="55" w:after="55" w:line="360" w:lineRule="atLeast"/>
        <w:ind w:firstLine="482"/>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自本公告发布之日起5个工作日。</w:t>
      </w:r>
    </w:p>
    <w:p w14:paraId="6232F937">
      <w:pPr>
        <w:pStyle w:val="89"/>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七</w:t>
      </w:r>
      <w:r>
        <w:rPr>
          <w:rFonts w:hint="eastAsia" w:ascii="宋体" w:hAnsi="宋体" w:eastAsia="宋体" w:cs="宋体"/>
          <w:b/>
          <w:bCs/>
          <w:color w:val="000000" w:themeColor="text1"/>
          <w14:textFill>
            <w14:solidFill>
              <w14:schemeClr w14:val="tx1"/>
            </w14:solidFill>
          </w14:textFill>
        </w:rPr>
        <w:t>、其他补充事宜</w:t>
      </w:r>
    </w:p>
    <w:p w14:paraId="64FBCDD7">
      <w:pPr>
        <w:pStyle w:val="89"/>
        <w:keepNext w:val="0"/>
        <w:keepLines w:val="0"/>
        <w:pageBreakBefore w:val="0"/>
        <w:widowControl/>
        <w:kinsoku/>
        <w:wordWrap/>
        <w:overflowPunct/>
        <w:topLinePunct w:val="0"/>
        <w:autoSpaceDE/>
        <w:autoSpaceDN/>
        <w:bidi w:val="0"/>
        <w:adjustRightInd/>
        <w:snapToGrid/>
        <w:spacing w:before="55" w:after="55" w:line="360" w:lineRule="atLeast"/>
        <w:ind w:firstLine="482"/>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1、本项目实行网上投标，采用电子投标文件。</w:t>
      </w:r>
    </w:p>
    <w:p w14:paraId="4DB17359">
      <w:pPr>
        <w:pStyle w:val="89"/>
        <w:keepNext w:val="0"/>
        <w:keepLines w:val="0"/>
        <w:pageBreakBefore w:val="0"/>
        <w:widowControl/>
        <w:kinsoku/>
        <w:wordWrap/>
        <w:overflowPunct/>
        <w:topLinePunct w:val="0"/>
        <w:autoSpaceDE/>
        <w:autoSpaceDN/>
        <w:bidi w:val="0"/>
        <w:adjustRightInd/>
        <w:snapToGrid/>
        <w:spacing w:before="55" w:after="55" w:line="360" w:lineRule="atLeast"/>
        <w:ind w:firstLine="482"/>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75EC6BC5">
      <w:pPr>
        <w:pStyle w:val="89"/>
        <w:keepNext w:val="0"/>
        <w:keepLines w:val="0"/>
        <w:pageBreakBefore w:val="0"/>
        <w:widowControl/>
        <w:kinsoku/>
        <w:wordWrap/>
        <w:overflowPunct/>
        <w:topLinePunct w:val="0"/>
        <w:autoSpaceDE/>
        <w:autoSpaceDN/>
        <w:bidi w:val="0"/>
        <w:adjustRightInd/>
        <w:snapToGrid/>
        <w:spacing w:before="55" w:after="55" w:line="360" w:lineRule="atLeast"/>
        <w:ind w:firstLine="482"/>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cs="宋体"/>
          <w:color w:val="000000" w:themeColor="text1"/>
          <w:lang w:val="en-US" w:eastAsia="zh-CN"/>
          <w14:textFill>
            <w14:solidFill>
              <w14:schemeClr w14:val="tx1"/>
            </w14:solidFill>
          </w14:textFill>
        </w:rPr>
        <w:t>投标人</w:t>
      </w:r>
      <w:r>
        <w:rPr>
          <w:rFonts w:hint="eastAsia" w:ascii="宋体" w:hAnsi="宋体" w:eastAsia="宋体" w:cs="宋体"/>
          <w:color w:val="000000" w:themeColor="text1"/>
          <w:lang w:val="en-US" w:eastAsia="zh-CN"/>
          <w14:textFill>
            <w14:solidFill>
              <w14:schemeClr w14:val="tx1"/>
            </w14:solidFill>
          </w14:textFill>
        </w:rPr>
        <w:t>将政采云电子交易客户端下载、安装完成后，可通过账号密码或CA登录客户端进行投标文件的制作。在使用政采云投标客户端时，建议使用WIN7及以上操作系统。。</w:t>
      </w:r>
    </w:p>
    <w:p w14:paraId="527D64EB">
      <w:pPr>
        <w:pStyle w:val="89"/>
        <w:keepNext w:val="0"/>
        <w:keepLines w:val="0"/>
        <w:pageBreakBefore w:val="0"/>
        <w:widowControl/>
        <w:kinsoku/>
        <w:wordWrap w:val="0"/>
        <w:overflowPunct/>
        <w:topLinePunct/>
        <w:autoSpaceDE/>
        <w:autoSpaceDN/>
        <w:bidi w:val="0"/>
        <w:adjustRightInd/>
        <w:snapToGrid/>
        <w:spacing w:before="55" w:after="55" w:line="360" w:lineRule="atLeast"/>
        <w:ind w:firstLine="482"/>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4、其他事项：各</w:t>
      </w:r>
      <w:r>
        <w:rPr>
          <w:rFonts w:hint="eastAsia" w:ascii="宋体" w:hAnsi="宋体" w:cs="宋体"/>
          <w:color w:val="000000" w:themeColor="text1"/>
          <w:lang w:val="en-US" w:eastAsia="zh-CN"/>
          <w14:textFill>
            <w14:solidFill>
              <w14:schemeClr w14:val="tx1"/>
            </w14:solidFill>
          </w14:textFill>
        </w:rPr>
        <w:t>投标人</w:t>
      </w:r>
      <w:r>
        <w:rPr>
          <w:rFonts w:hint="eastAsia" w:ascii="宋体" w:hAnsi="宋体" w:eastAsia="宋体" w:cs="宋体"/>
          <w:color w:val="000000" w:themeColor="text1"/>
          <w:lang w:val="en-US" w:eastAsia="zh-CN"/>
          <w14:textFill>
            <w14:solidFill>
              <w14:schemeClr w14:val="tx1"/>
            </w14:solidFill>
          </w14:textFill>
        </w:rPr>
        <w:t>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w:t>
      </w:r>
      <w:r>
        <w:rPr>
          <w:rFonts w:hint="eastAsia" w:ascii="宋体" w:hAnsi="宋体" w:cs="宋体"/>
          <w:color w:val="000000" w:themeColor="text1"/>
          <w:lang w:val="en-US" w:eastAsia="zh-CN"/>
          <w14:textFill>
            <w14:solidFill>
              <w14:schemeClr w14:val="tx1"/>
            </w14:solidFill>
          </w14:textFill>
        </w:rPr>
        <w:t>投标人</w:t>
      </w:r>
      <w:r>
        <w:rPr>
          <w:rFonts w:hint="eastAsia" w:ascii="宋体" w:hAnsi="宋体" w:eastAsia="宋体" w:cs="宋体"/>
          <w:color w:val="000000" w:themeColor="text1"/>
          <w:lang w:val="en-US" w:eastAsia="zh-CN"/>
          <w14:textFill>
            <w14:solidFill>
              <w14:schemeClr w14:val="tx1"/>
            </w14:solidFill>
          </w14:textFill>
        </w:rPr>
        <w:t>”版面获取操作指南，同时对自助查询无法解决的问题可通过政采云在线客服获取服务。 </w:t>
      </w:r>
    </w:p>
    <w:p w14:paraId="22EC6082">
      <w:pPr>
        <w:pStyle w:val="89"/>
        <w:keepNext w:val="0"/>
        <w:keepLines w:val="0"/>
        <w:pageBreakBefore w:val="0"/>
        <w:widowControl/>
        <w:kinsoku/>
        <w:wordWrap/>
        <w:overflowPunct/>
        <w:topLinePunct w:val="0"/>
        <w:autoSpaceDE/>
        <w:autoSpaceDN/>
        <w:bidi w:val="0"/>
        <w:adjustRightInd/>
        <w:snapToGrid/>
        <w:spacing w:line="360" w:lineRule="atLeast"/>
        <w:ind w:right="0"/>
        <w:textAlignment w:val="auto"/>
        <w:rPr>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八</w:t>
      </w:r>
      <w:r>
        <w:rPr>
          <w:rFonts w:hint="eastAsia" w:ascii="宋体" w:hAnsi="宋体" w:cs="宋体"/>
          <w:b/>
          <w:bCs/>
          <w:color w:val="000000" w:themeColor="text1"/>
          <w:highlight w:val="none"/>
          <w14:textFill>
            <w14:solidFill>
              <w14:schemeClr w14:val="tx1"/>
            </w14:solidFill>
          </w14:textFill>
        </w:rPr>
        <w:t>、对本次招标提出询问，请按以下方式联系</w:t>
      </w:r>
    </w:p>
    <w:p w14:paraId="0D336EAC">
      <w:pPr>
        <w:pStyle w:val="89"/>
        <w:keepNext w:val="0"/>
        <w:keepLines w:val="0"/>
        <w:pageBreakBefore w:val="0"/>
        <w:widowControl/>
        <w:kinsoku/>
        <w:wordWrap/>
        <w:overflowPunct/>
        <w:topLinePunct w:val="0"/>
        <w:autoSpaceDE/>
        <w:autoSpaceDN/>
        <w:bidi w:val="0"/>
        <w:adjustRightInd/>
        <w:snapToGrid/>
        <w:spacing w:line="360" w:lineRule="atLeast"/>
        <w:ind w:left="0" w:right="0" w:firstLine="48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1.采购人信息</w:t>
      </w:r>
    </w:p>
    <w:p w14:paraId="316699D0">
      <w:pPr>
        <w:pStyle w:val="89"/>
        <w:keepNext w:val="0"/>
        <w:keepLines w:val="0"/>
        <w:pageBreakBefore w:val="0"/>
        <w:widowControl/>
        <w:kinsoku/>
        <w:wordWrap/>
        <w:overflowPunct/>
        <w:topLinePunct w:val="0"/>
        <w:autoSpaceDE/>
        <w:autoSpaceDN/>
        <w:bidi w:val="0"/>
        <w:adjustRightInd/>
        <w:snapToGrid/>
        <w:spacing w:line="360" w:lineRule="atLeast"/>
        <w:ind w:left="0" w:right="0" w:firstLine="480"/>
        <w:textAlignment w:val="auto"/>
        <w:rPr>
          <w:rFonts w:hint="eastAsia" w:ascii="宋体" w:hAnsi="宋体" w:eastAsia="宋体" w:cs="宋体"/>
          <w:color w:val="000000" w:themeColor="text1"/>
          <w:highlight w:val="none"/>
          <w:lang w:val="en-US" w:eastAsia="zh-CN"/>
          <w14:textFill>
            <w14:solidFill>
              <w14:schemeClr w14:val="tx1"/>
            </w14:solidFill>
          </w14:textFill>
        </w:rPr>
      </w:pPr>
      <w:bookmarkStart w:id="397" w:name="_Toc28359009"/>
      <w:bookmarkStart w:id="398" w:name="_Toc28359086"/>
      <w:r>
        <w:rPr>
          <w:rFonts w:hint="eastAsia" w:ascii="宋体" w:hAnsi="宋体" w:eastAsia="宋体" w:cs="宋体"/>
          <w:color w:val="000000" w:themeColor="text1"/>
          <w:highlight w:val="none"/>
          <w:lang w:val="en-US" w:eastAsia="zh-CN"/>
          <w14:textFill>
            <w14:solidFill>
              <w14:schemeClr w14:val="tx1"/>
            </w14:solidFill>
          </w14:textFill>
        </w:rPr>
        <w:t>名 称：</w:t>
      </w:r>
      <w:r>
        <w:rPr>
          <w:rFonts w:hint="eastAsia" w:ascii="宋体" w:hAnsi="宋体" w:cs="宋体"/>
          <w:color w:val="000000" w:themeColor="text1"/>
          <w:highlight w:val="none"/>
          <w:lang w:val="en-US" w:eastAsia="zh-CN"/>
          <w14:textFill>
            <w14:solidFill>
              <w14:schemeClr w14:val="tx1"/>
            </w14:solidFill>
          </w14:textFill>
        </w:rPr>
        <w:t>喀什地区数字化发展局</w:t>
      </w:r>
    </w:p>
    <w:p w14:paraId="366887FC">
      <w:pPr>
        <w:pStyle w:val="89"/>
        <w:keepNext w:val="0"/>
        <w:keepLines w:val="0"/>
        <w:pageBreakBefore w:val="0"/>
        <w:widowControl/>
        <w:kinsoku/>
        <w:wordWrap/>
        <w:overflowPunct/>
        <w:topLinePunct w:val="0"/>
        <w:autoSpaceDE/>
        <w:autoSpaceDN/>
        <w:bidi w:val="0"/>
        <w:adjustRightInd/>
        <w:snapToGrid/>
        <w:spacing w:line="360" w:lineRule="atLeast"/>
        <w:ind w:left="0" w:right="0" w:firstLine="48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地 址：</w:t>
      </w:r>
      <w:r>
        <w:rPr>
          <w:rFonts w:hint="eastAsia" w:ascii="宋体" w:hAnsi="宋体" w:cs="宋体"/>
          <w:color w:val="000000" w:themeColor="text1"/>
          <w:highlight w:val="none"/>
          <w:lang w:val="en-US" w:eastAsia="zh-CN"/>
          <w14:textFill>
            <w14:solidFill>
              <w14:schemeClr w14:val="tx1"/>
            </w14:solidFill>
          </w14:textFill>
        </w:rPr>
        <w:t>新疆维吾尔自治区喀什市深喀大道8号</w:t>
      </w:r>
    </w:p>
    <w:p w14:paraId="6005AD07">
      <w:pPr>
        <w:pStyle w:val="89"/>
        <w:keepNext w:val="0"/>
        <w:keepLines w:val="0"/>
        <w:pageBreakBefore w:val="0"/>
        <w:widowControl/>
        <w:kinsoku/>
        <w:wordWrap/>
        <w:overflowPunct/>
        <w:topLinePunct w:val="0"/>
        <w:autoSpaceDE/>
        <w:autoSpaceDN/>
        <w:bidi w:val="0"/>
        <w:adjustRightInd/>
        <w:snapToGrid/>
        <w:spacing w:line="360" w:lineRule="atLeast"/>
        <w:ind w:left="0" w:right="0" w:firstLine="48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联系方式：</w:t>
      </w:r>
      <w:bookmarkEnd w:id="397"/>
      <w:bookmarkEnd w:id="398"/>
      <w:r>
        <w:rPr>
          <w:rFonts w:hint="eastAsia" w:ascii="宋体" w:hAnsi="宋体" w:cs="宋体"/>
          <w:color w:val="000000" w:themeColor="text1"/>
          <w:sz w:val="24"/>
          <w:szCs w:val="24"/>
          <w:lang w:val="en-US" w:eastAsia="zh-CN"/>
          <w14:textFill>
            <w14:solidFill>
              <w14:schemeClr w14:val="tx1"/>
            </w14:solidFill>
          </w14:textFill>
        </w:rPr>
        <w:t>15739906960</w:t>
      </w:r>
    </w:p>
    <w:p w14:paraId="66E9D85C">
      <w:pPr>
        <w:pStyle w:val="89"/>
        <w:keepNext w:val="0"/>
        <w:keepLines w:val="0"/>
        <w:pageBreakBefore w:val="0"/>
        <w:widowControl/>
        <w:kinsoku/>
        <w:wordWrap/>
        <w:overflowPunct/>
        <w:topLinePunct w:val="0"/>
        <w:autoSpaceDE/>
        <w:autoSpaceDN/>
        <w:bidi w:val="0"/>
        <w:adjustRightInd/>
        <w:snapToGrid/>
        <w:spacing w:line="360" w:lineRule="atLeast"/>
        <w:ind w:left="0" w:right="0" w:firstLine="48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2.采购代理机构信息</w:t>
      </w:r>
    </w:p>
    <w:p w14:paraId="6EB3D86F">
      <w:pPr>
        <w:pStyle w:val="89"/>
        <w:keepNext w:val="0"/>
        <w:keepLines w:val="0"/>
        <w:pageBreakBefore w:val="0"/>
        <w:widowControl/>
        <w:kinsoku/>
        <w:wordWrap/>
        <w:overflowPunct/>
        <w:topLinePunct w:val="0"/>
        <w:autoSpaceDE/>
        <w:autoSpaceDN/>
        <w:bidi w:val="0"/>
        <w:adjustRightInd/>
        <w:snapToGrid/>
        <w:spacing w:line="360" w:lineRule="atLeast"/>
        <w:ind w:left="0" w:right="0" w:firstLine="48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名 称：</w:t>
      </w:r>
      <w:r>
        <w:rPr>
          <w:rFonts w:hint="eastAsia" w:ascii="宋体" w:hAnsi="宋体" w:cs="宋体"/>
          <w:color w:val="000000" w:themeColor="text1"/>
          <w:highlight w:val="none"/>
          <w:lang w:val="en-US" w:eastAsia="zh-CN"/>
          <w14:textFill>
            <w14:solidFill>
              <w14:schemeClr w14:val="tx1"/>
            </w14:solidFill>
          </w14:textFill>
        </w:rPr>
        <w:t>新疆宏宇建设工程项目管理有限责任公司</w:t>
      </w:r>
      <w:r>
        <w:rPr>
          <w:rFonts w:hint="eastAsia" w:ascii="宋体" w:hAnsi="宋体" w:eastAsia="宋体" w:cs="宋体"/>
          <w:color w:val="000000" w:themeColor="text1"/>
          <w:highlight w:val="none"/>
          <w:lang w:val="en-US" w:eastAsia="zh-CN"/>
          <w14:textFill>
            <w14:solidFill>
              <w14:schemeClr w14:val="tx1"/>
            </w14:solidFill>
          </w14:textFill>
        </w:rPr>
        <w:t>　</w:t>
      </w:r>
    </w:p>
    <w:p w14:paraId="470898B7">
      <w:pPr>
        <w:pStyle w:val="89"/>
        <w:keepNext w:val="0"/>
        <w:keepLines w:val="0"/>
        <w:pageBreakBefore w:val="0"/>
        <w:widowControl/>
        <w:kinsoku/>
        <w:wordWrap/>
        <w:overflowPunct/>
        <w:topLinePunct w:val="0"/>
        <w:autoSpaceDE/>
        <w:autoSpaceDN/>
        <w:bidi w:val="0"/>
        <w:adjustRightInd/>
        <w:snapToGrid/>
        <w:spacing w:line="360" w:lineRule="atLeast"/>
        <w:ind w:left="479" w:leftChars="228" w:right="0" w:firstLine="0" w:firstLineChars="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地 址：</w:t>
      </w:r>
      <w:r>
        <w:rPr>
          <w:rFonts w:hint="eastAsia" w:ascii="宋体" w:hAnsi="宋体" w:cs="宋体"/>
          <w:color w:val="000000" w:themeColor="text1"/>
          <w:highlight w:val="none"/>
          <w:lang w:val="en-US" w:eastAsia="zh-CN"/>
          <w14:textFill>
            <w14:solidFill>
              <w14:schemeClr w14:val="tx1"/>
            </w14:solidFill>
          </w14:textFill>
        </w:rPr>
        <w:t>喀什市深喀大道西泓世贸大厦406室</w:t>
      </w:r>
      <w:r>
        <w:rPr>
          <w:rFonts w:hint="eastAsia" w:ascii="宋体" w:hAnsi="宋体" w:eastAsia="宋体" w:cs="宋体"/>
          <w:color w:val="000000" w:themeColor="text1"/>
          <w:highlight w:val="none"/>
          <w:lang w:val="en-US" w:eastAsia="zh-CN"/>
          <w14:textFill>
            <w14:solidFill>
              <w14:schemeClr w14:val="tx1"/>
            </w14:solidFill>
          </w14:textFill>
        </w:rPr>
        <w:t>　</w:t>
      </w:r>
      <w:r>
        <w:rPr>
          <w:rFonts w:hint="eastAsia" w:ascii="宋体" w:hAnsi="宋体" w:cs="宋体"/>
          <w:color w:val="000000" w:themeColor="text1"/>
          <w:highlight w:val="none"/>
          <w:lang w:val="en-US" w:eastAsia="zh-CN"/>
          <w14:textFill>
            <w14:solidFill>
              <w14:schemeClr w14:val="tx1"/>
            </w14:solidFill>
          </w14:textFill>
        </w:rPr>
        <w:t xml:space="preserve"> </w:t>
      </w:r>
    </w:p>
    <w:p w14:paraId="4A928B68">
      <w:pPr>
        <w:pStyle w:val="89"/>
        <w:keepNext w:val="0"/>
        <w:keepLines w:val="0"/>
        <w:pageBreakBefore w:val="0"/>
        <w:widowControl/>
        <w:kinsoku/>
        <w:wordWrap/>
        <w:overflowPunct/>
        <w:topLinePunct w:val="0"/>
        <w:autoSpaceDE/>
        <w:autoSpaceDN/>
        <w:bidi w:val="0"/>
        <w:adjustRightInd/>
        <w:snapToGrid/>
        <w:spacing w:line="360" w:lineRule="atLeast"/>
        <w:ind w:left="0" w:right="0" w:firstLine="48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联系方式：</w:t>
      </w:r>
      <w:bookmarkStart w:id="399" w:name="_Toc28359010"/>
      <w:bookmarkStart w:id="400" w:name="_Toc28359087"/>
      <w:r>
        <w:rPr>
          <w:rFonts w:hint="eastAsia" w:ascii="宋体" w:hAnsi="宋体" w:cs="宋体"/>
          <w:color w:val="000000" w:themeColor="text1"/>
          <w:highlight w:val="none"/>
          <w:lang w:val="en-US" w:eastAsia="zh-CN"/>
          <w14:textFill>
            <w14:solidFill>
              <w14:schemeClr w14:val="tx1"/>
            </w14:solidFill>
          </w14:textFill>
        </w:rPr>
        <w:t xml:space="preserve">19909980987 </w:t>
      </w:r>
    </w:p>
    <w:p w14:paraId="2C2979FE">
      <w:pPr>
        <w:pStyle w:val="89"/>
        <w:keepNext w:val="0"/>
        <w:keepLines w:val="0"/>
        <w:pageBreakBefore w:val="0"/>
        <w:widowControl/>
        <w:kinsoku/>
        <w:wordWrap/>
        <w:overflowPunct/>
        <w:topLinePunct w:val="0"/>
        <w:autoSpaceDE/>
        <w:autoSpaceDN/>
        <w:bidi w:val="0"/>
        <w:adjustRightInd/>
        <w:snapToGrid/>
        <w:spacing w:line="360" w:lineRule="atLeast"/>
        <w:ind w:left="0" w:right="0" w:firstLine="48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3.项目联系方式</w:t>
      </w:r>
      <w:bookmarkEnd w:id="399"/>
      <w:bookmarkEnd w:id="400"/>
    </w:p>
    <w:p w14:paraId="4F8945A0">
      <w:pPr>
        <w:pStyle w:val="89"/>
        <w:keepNext w:val="0"/>
        <w:keepLines w:val="0"/>
        <w:pageBreakBefore w:val="0"/>
        <w:widowControl/>
        <w:kinsoku/>
        <w:wordWrap/>
        <w:overflowPunct/>
        <w:topLinePunct w:val="0"/>
        <w:autoSpaceDE/>
        <w:autoSpaceDN/>
        <w:bidi w:val="0"/>
        <w:adjustRightInd/>
        <w:snapToGrid/>
        <w:spacing w:line="360" w:lineRule="atLeast"/>
        <w:ind w:left="0" w:right="0" w:firstLine="48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项目联系人：</w:t>
      </w:r>
      <w:r>
        <w:rPr>
          <w:rFonts w:hint="eastAsia" w:ascii="宋体" w:hAnsi="宋体" w:cs="宋体"/>
          <w:color w:val="000000" w:themeColor="text1"/>
          <w:highlight w:val="none"/>
          <w:lang w:val="en-US" w:eastAsia="zh-CN"/>
          <w14:textFill>
            <w14:solidFill>
              <w14:schemeClr w14:val="tx1"/>
            </w14:solidFill>
          </w14:textFill>
        </w:rPr>
        <w:t>张戈</w:t>
      </w:r>
    </w:p>
    <w:p w14:paraId="13B2AF3B">
      <w:pPr>
        <w:pStyle w:val="89"/>
        <w:keepNext w:val="0"/>
        <w:keepLines w:val="0"/>
        <w:pageBreakBefore w:val="0"/>
        <w:widowControl/>
        <w:kinsoku/>
        <w:wordWrap/>
        <w:overflowPunct/>
        <w:topLinePunct w:val="0"/>
        <w:autoSpaceDE/>
        <w:autoSpaceDN/>
        <w:bidi w:val="0"/>
        <w:adjustRightInd/>
        <w:snapToGrid/>
        <w:spacing w:line="360" w:lineRule="atLeast"/>
        <w:ind w:left="0" w:right="0" w:firstLine="480"/>
        <w:textAlignment w:val="auto"/>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电 话：</w:t>
      </w:r>
      <w:r>
        <w:rPr>
          <w:rFonts w:hint="eastAsia" w:ascii="宋体" w:hAnsi="宋体" w:cs="宋体"/>
          <w:color w:val="000000" w:themeColor="text1"/>
          <w:highlight w:val="none"/>
          <w:lang w:val="en-US" w:eastAsia="zh-CN"/>
          <w14:textFill>
            <w14:solidFill>
              <w14:schemeClr w14:val="tx1"/>
            </w14:solidFill>
          </w14:textFill>
        </w:rPr>
        <w:t xml:space="preserve">19909980987 </w:t>
      </w:r>
    </w:p>
    <w:p w14:paraId="5EF5E124">
      <w:pPr>
        <w:pStyle w:val="3"/>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第</w:t>
      </w:r>
      <w:r>
        <w:rPr>
          <w:rFonts w:hint="eastAsia" w:ascii="宋体" w:hAnsi="宋体" w:eastAsia="宋体" w:cs="宋体"/>
          <w:b/>
          <w:color w:val="000000" w:themeColor="text1"/>
          <w:highlight w:val="none"/>
          <w:lang w:val="en-US" w:eastAsia="zh-CN"/>
          <w14:textFill>
            <w14:solidFill>
              <w14:schemeClr w14:val="tx1"/>
            </w14:solidFill>
          </w14:textFill>
        </w:rPr>
        <w:t>4</w:t>
      </w:r>
      <w:r>
        <w:rPr>
          <w:rFonts w:hint="eastAsia" w:ascii="宋体" w:hAnsi="宋体" w:eastAsia="宋体" w:cs="宋体"/>
          <w:b/>
          <w:color w:val="000000" w:themeColor="text1"/>
          <w:highlight w:val="none"/>
          <w:lang w:eastAsia="zh-CN"/>
          <w14:textFill>
            <w14:solidFill>
              <w14:schemeClr w14:val="tx1"/>
            </w14:solidFill>
          </w14:textFill>
        </w:rPr>
        <w:t>章</w:t>
      </w:r>
      <w:r>
        <w:rPr>
          <w:rFonts w:hint="eastAsia" w:ascii="宋体" w:hAnsi="宋体" w:eastAsia="宋体" w:cs="宋体"/>
          <w:b/>
          <w:color w:val="000000" w:themeColor="text1"/>
          <w:highlight w:val="none"/>
          <w14:textFill>
            <w14:solidFill>
              <w14:schemeClr w14:val="tx1"/>
            </w14:solidFill>
          </w14:textFill>
        </w:rPr>
        <w:t xml:space="preserve"> </w:t>
      </w:r>
      <w:bookmarkStart w:id="401" w:name="_Toc10488"/>
      <w:bookmarkStart w:id="402" w:name="_Toc507399903"/>
      <w:bookmarkStart w:id="403" w:name="_Toc31583"/>
      <w:bookmarkStart w:id="404" w:name="_Toc512937850"/>
      <w:bookmarkStart w:id="405" w:name="_Toc515647830"/>
      <w:bookmarkStart w:id="406" w:name="_Toc20439"/>
      <w:bookmarkStart w:id="407" w:name="_Toc216582823"/>
      <w:r>
        <w:rPr>
          <w:rFonts w:hint="eastAsia" w:ascii="宋体" w:hAnsi="宋体" w:eastAsia="宋体" w:cs="宋体"/>
          <w:color w:val="000000" w:themeColor="text1"/>
          <w:highlight w:val="none"/>
          <w14:textFill>
            <w14:solidFill>
              <w14:schemeClr w14:val="tx1"/>
            </w14:solidFill>
          </w14:textFill>
        </w:rPr>
        <w:t>投标人须知资料表</w:t>
      </w:r>
      <w:bookmarkEnd w:id="401"/>
      <w:bookmarkEnd w:id="402"/>
      <w:bookmarkEnd w:id="403"/>
      <w:bookmarkEnd w:id="404"/>
      <w:bookmarkEnd w:id="405"/>
      <w:bookmarkEnd w:id="406"/>
      <w:bookmarkEnd w:id="407"/>
    </w:p>
    <w:p w14:paraId="6E4F4CF7">
      <w:pPr>
        <w:keepNext w:val="0"/>
        <w:keepLines w:val="0"/>
        <w:pageBreakBefore w:val="0"/>
        <w:widowControl w:val="0"/>
        <w:kinsoku/>
        <w:overflowPunct/>
        <w:bidi w:val="0"/>
        <w:spacing w:line="240" w:lineRule="atLeast"/>
        <w:ind w:firstLine="360" w:firstLineChars="1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本表是本招标项目的具体资料，是对投标人须知的具体补充和修改，如有矛盾，应以本资料表为准。</w:t>
      </w:r>
    </w:p>
    <w:tbl>
      <w:tblPr>
        <w:tblStyle w:val="37"/>
        <w:tblW w:w="85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050"/>
      </w:tblGrid>
      <w:tr w14:paraId="6F626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1468" w:type="dxa"/>
            <w:noWrap w:val="0"/>
            <w:vAlign w:val="center"/>
          </w:tcPr>
          <w:p w14:paraId="29DABD4B">
            <w:pPr>
              <w:spacing w:line="240" w:lineRule="atLeas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条款号</w:t>
            </w:r>
          </w:p>
        </w:tc>
        <w:tc>
          <w:tcPr>
            <w:tcW w:w="7050" w:type="dxa"/>
            <w:noWrap w:val="0"/>
            <w:vAlign w:val="center"/>
          </w:tcPr>
          <w:p w14:paraId="51CD20B9">
            <w:pPr>
              <w:spacing w:line="240" w:lineRule="atLeas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内      容</w:t>
            </w:r>
          </w:p>
        </w:tc>
      </w:tr>
      <w:tr w14:paraId="77359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4A985C87">
            <w:pPr>
              <w:spacing w:line="240" w:lineRule="atLeast"/>
              <w:ind w:left="1080" w:leftChars="257" w:hanging="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7050" w:type="dxa"/>
            <w:noWrap w:val="0"/>
            <w:vAlign w:val="center"/>
          </w:tcPr>
          <w:p w14:paraId="0BC22E2C">
            <w:pPr>
              <w:spacing w:line="240" w:lineRule="atLeas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采 购 人：</w:t>
            </w:r>
            <w:r>
              <w:rPr>
                <w:rFonts w:hint="eastAsia" w:ascii="宋体" w:hAnsi="宋体" w:cs="宋体"/>
                <w:color w:val="000000" w:themeColor="text1"/>
                <w:sz w:val="24"/>
                <w:highlight w:val="none"/>
                <w:lang w:eastAsia="zh-CN"/>
                <w14:textFill>
                  <w14:solidFill>
                    <w14:schemeClr w14:val="tx1"/>
                  </w14:solidFill>
                </w14:textFill>
              </w:rPr>
              <w:t>喀什地区数字化发展局</w:t>
            </w:r>
          </w:p>
          <w:p w14:paraId="02F370AB">
            <w:pPr>
              <w:spacing w:line="240" w:lineRule="atLeas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联系方式：</w:t>
            </w:r>
            <w:r>
              <w:rPr>
                <w:rFonts w:hint="eastAsia" w:ascii="宋体" w:hAnsi="宋体" w:cs="宋体"/>
                <w:color w:val="000000" w:themeColor="text1"/>
                <w:sz w:val="24"/>
                <w:szCs w:val="24"/>
                <w:lang w:val="en-US" w:eastAsia="zh-CN"/>
                <w14:textFill>
                  <w14:solidFill>
                    <w14:schemeClr w14:val="tx1"/>
                  </w14:solidFill>
                </w14:textFill>
              </w:rPr>
              <w:t>15739906960</w:t>
            </w:r>
          </w:p>
        </w:tc>
      </w:tr>
      <w:tr w14:paraId="7FE64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5A2B992E">
            <w:pPr>
              <w:spacing w:line="240" w:lineRule="atLeast"/>
              <w:ind w:left="1080" w:leftChars="257" w:hanging="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7050" w:type="dxa"/>
            <w:noWrap w:val="0"/>
            <w:vAlign w:val="center"/>
          </w:tcPr>
          <w:p w14:paraId="0089EFB6">
            <w:pPr>
              <w:spacing w:line="240" w:lineRule="atLeas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采购代理机构：</w:t>
            </w:r>
            <w:r>
              <w:rPr>
                <w:rFonts w:hint="eastAsia" w:ascii="宋体" w:hAnsi="宋体" w:cs="宋体"/>
                <w:color w:val="000000" w:themeColor="text1"/>
                <w:sz w:val="24"/>
                <w:highlight w:val="none"/>
                <w:lang w:eastAsia="zh-CN"/>
                <w14:textFill>
                  <w14:solidFill>
                    <w14:schemeClr w14:val="tx1"/>
                  </w14:solidFill>
                </w14:textFill>
              </w:rPr>
              <w:t>新疆宏宇建设工程项目管理有限责任公司</w:t>
            </w:r>
          </w:p>
          <w:p w14:paraId="06808591">
            <w:pPr>
              <w:spacing w:line="240" w:lineRule="atLeas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地址：</w:t>
            </w:r>
            <w:r>
              <w:rPr>
                <w:rFonts w:hint="eastAsia" w:ascii="宋体" w:hAnsi="宋体" w:cs="宋体"/>
                <w:color w:val="000000" w:themeColor="text1"/>
                <w:sz w:val="24"/>
                <w:highlight w:val="none"/>
                <w:lang w:eastAsia="zh-CN"/>
                <w14:textFill>
                  <w14:solidFill>
                    <w14:schemeClr w14:val="tx1"/>
                  </w14:solidFill>
                </w14:textFill>
              </w:rPr>
              <w:t>喀什市深喀大道西泓世贸大厦406室</w:t>
            </w:r>
          </w:p>
          <w:p w14:paraId="18AE12CE">
            <w:pPr>
              <w:spacing w:line="240" w:lineRule="atLeas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业务联系人：</w:t>
            </w:r>
            <w:r>
              <w:rPr>
                <w:rFonts w:hint="eastAsia" w:ascii="宋体" w:hAnsi="宋体" w:cs="宋体"/>
                <w:color w:val="000000" w:themeColor="text1"/>
                <w:sz w:val="24"/>
                <w:highlight w:val="none"/>
                <w:lang w:eastAsia="zh-CN"/>
                <w14:textFill>
                  <w14:solidFill>
                    <w14:schemeClr w14:val="tx1"/>
                  </w14:solidFill>
                </w14:textFill>
              </w:rPr>
              <w:t>张戈</w:t>
            </w:r>
            <w:r>
              <w:rPr>
                <w:rFonts w:hint="eastAsia" w:ascii="宋体" w:hAnsi="宋体" w:eastAsia="宋体" w:cs="宋体"/>
                <w:color w:val="000000" w:themeColor="text1"/>
                <w:sz w:val="24"/>
                <w:highlight w:val="none"/>
                <w:lang w:eastAsia="zh-CN"/>
                <w14:textFill>
                  <w14:solidFill>
                    <w14:schemeClr w14:val="tx1"/>
                  </w14:solidFill>
                </w14:textFill>
              </w:rPr>
              <w:t xml:space="preserve"> 电</w:t>
            </w:r>
            <w:r>
              <w:rPr>
                <w:rFonts w:hint="eastAsia" w:ascii="宋体" w:hAnsi="宋体" w:eastAsia="宋体" w:cs="宋体"/>
                <w:color w:val="000000" w:themeColor="text1"/>
                <w:sz w:val="24"/>
                <w:highlight w:val="none"/>
                <w:lang w:val="en-US" w:eastAsia="zh-CN"/>
                <w14:textFill>
                  <w14:solidFill>
                    <w14:schemeClr w14:val="tx1"/>
                  </w14:solidFill>
                </w14:textFill>
              </w:rPr>
              <w:t>话：</w:t>
            </w:r>
            <w:r>
              <w:rPr>
                <w:rFonts w:hint="eastAsia" w:ascii="宋体" w:hAnsi="宋体" w:cs="宋体"/>
                <w:color w:val="000000" w:themeColor="text1"/>
                <w:sz w:val="24"/>
                <w:highlight w:val="none"/>
                <w:lang w:eastAsia="zh-CN"/>
                <w14:textFill>
                  <w14:solidFill>
                    <w14:schemeClr w14:val="tx1"/>
                  </w14:solidFill>
                </w14:textFill>
              </w:rPr>
              <w:t xml:space="preserve">19909980987 </w:t>
            </w:r>
          </w:p>
        </w:tc>
      </w:tr>
      <w:tr w14:paraId="36E29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468" w:type="dxa"/>
            <w:noWrap w:val="0"/>
            <w:vAlign w:val="center"/>
          </w:tcPr>
          <w:p w14:paraId="06FA9166">
            <w:pPr>
              <w:spacing w:line="240" w:lineRule="atLeast"/>
              <w:ind w:left="1080" w:leftChars="257" w:hanging="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1.3.4</w:t>
            </w:r>
          </w:p>
        </w:tc>
        <w:tc>
          <w:tcPr>
            <w:tcW w:w="7050" w:type="dxa"/>
            <w:noWrap w:val="0"/>
            <w:vAlign w:val="center"/>
          </w:tcPr>
          <w:p w14:paraId="72F3FB10">
            <w:pPr>
              <w:widowControl/>
              <w:spacing w:line="3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合格投标人的资格要求：</w:t>
            </w:r>
          </w:p>
          <w:p w14:paraId="12BCB27B">
            <w:pPr>
              <w:pStyle w:val="6"/>
              <w:ind w:firstLine="0"/>
              <w:rPr>
                <w:rFonts w:hint="eastAsia" w:hAnsi="宋体" w:cs="宋体"/>
                <w:b/>
                <w:bCs/>
                <w:color w:val="000000" w:themeColor="text1"/>
                <w:szCs w:val="24"/>
                <w:highlight w:val="none"/>
                <w:lang w:val="en-US" w:eastAsia="zh-CN"/>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1.满足《</w:t>
            </w:r>
            <w:r>
              <w:rPr>
                <w:rFonts w:hint="eastAsia" w:hAnsi="宋体" w:cs="宋体"/>
                <w:b/>
                <w:bCs/>
                <w:color w:val="000000" w:themeColor="text1"/>
                <w:szCs w:val="24"/>
                <w:highlight w:val="none"/>
                <w:lang w:val="en-US" w:eastAsia="zh-CN"/>
                <w14:textFill>
                  <w14:solidFill>
                    <w14:schemeClr w14:val="tx1"/>
                  </w14:solidFill>
                </w14:textFill>
              </w:rPr>
              <w:t>中华人民共和国政府采购法》第二十二条规定；</w:t>
            </w:r>
          </w:p>
          <w:p w14:paraId="2E8B4B78">
            <w:pPr>
              <w:pStyle w:val="6"/>
              <w:ind w:firstLine="0"/>
              <w:rPr>
                <w:rFonts w:hint="eastAsia" w:hAnsi="宋体" w:cs="宋体"/>
                <w:b/>
                <w:bCs/>
                <w:color w:val="000000" w:themeColor="text1"/>
                <w:szCs w:val="24"/>
                <w:highlight w:val="none"/>
                <w:lang w:val="en-US" w:eastAsia="zh-CN"/>
                <w14:textFill>
                  <w14:solidFill>
                    <w14:schemeClr w14:val="tx1"/>
                  </w14:solidFill>
                </w14:textFill>
              </w:rPr>
            </w:pPr>
            <w:r>
              <w:rPr>
                <w:rFonts w:hint="eastAsia" w:hAnsi="宋体" w:cs="宋体"/>
                <w:b/>
                <w:bCs/>
                <w:color w:val="000000" w:themeColor="text1"/>
                <w:szCs w:val="24"/>
                <w:highlight w:val="none"/>
                <w:lang w:val="en-US" w:eastAsia="zh-CN"/>
                <w14:textFill>
                  <w14:solidFill>
                    <w14:schemeClr w14:val="tx1"/>
                  </w14:solidFill>
                </w14:textFill>
              </w:rPr>
              <w:t>2.单位三证合一营业执照；</w:t>
            </w:r>
          </w:p>
          <w:p w14:paraId="3C28710B">
            <w:pPr>
              <w:pStyle w:val="6"/>
              <w:ind w:firstLine="0"/>
              <w:rPr>
                <w:rFonts w:hint="default" w:hAnsi="宋体" w:cs="宋体"/>
                <w:b/>
                <w:bCs/>
                <w:color w:val="000000" w:themeColor="text1"/>
                <w:szCs w:val="24"/>
                <w:highlight w:val="none"/>
                <w:lang w:val="en-US" w:eastAsia="zh-CN"/>
                <w14:textFill>
                  <w14:solidFill>
                    <w14:schemeClr w14:val="tx1"/>
                  </w14:solidFill>
                </w14:textFill>
              </w:rPr>
            </w:pPr>
            <w:r>
              <w:rPr>
                <w:rFonts w:hint="eastAsia" w:hAnsi="宋体" w:cs="宋体"/>
                <w:b/>
                <w:bCs/>
                <w:color w:val="000000" w:themeColor="text1"/>
                <w:szCs w:val="24"/>
                <w:highlight w:val="none"/>
                <w:lang w:val="en-US" w:eastAsia="zh-CN"/>
                <w14:textFill>
                  <w14:solidFill>
                    <w14:schemeClr w14:val="tx1"/>
                  </w14:solidFill>
                </w14:textFill>
              </w:rPr>
              <w:t>3.《食品经营许可证》；</w:t>
            </w:r>
          </w:p>
          <w:p w14:paraId="51919A12">
            <w:pPr>
              <w:pStyle w:val="6"/>
              <w:ind w:firstLine="0"/>
              <w:rPr>
                <w:rFonts w:hint="eastAsia" w:hAnsi="宋体" w:cs="宋体"/>
                <w:b/>
                <w:bCs/>
                <w:color w:val="000000" w:themeColor="text1"/>
                <w:szCs w:val="24"/>
                <w:highlight w:val="none"/>
                <w:lang w:val="en-US" w:eastAsia="zh-CN"/>
                <w14:textFill>
                  <w14:solidFill>
                    <w14:schemeClr w14:val="tx1"/>
                  </w14:solidFill>
                </w14:textFill>
              </w:rPr>
            </w:pPr>
            <w:r>
              <w:rPr>
                <w:rFonts w:hint="eastAsia" w:hAnsi="宋体" w:cs="宋体"/>
                <w:b/>
                <w:bCs/>
                <w:color w:val="000000" w:themeColor="text1"/>
                <w:szCs w:val="24"/>
                <w:highlight w:val="none"/>
                <w:lang w:val="en-US" w:eastAsia="zh-CN"/>
                <w14:textFill>
                  <w14:solidFill>
                    <w14:schemeClr w14:val="tx1"/>
                  </w14:solidFill>
                </w14:textFill>
              </w:rPr>
              <w:t>4.法人投标的需提供法定代表人身份证明书；被授权委托人需提供法人授权委托书；</w:t>
            </w:r>
          </w:p>
          <w:p w14:paraId="6C663B30">
            <w:pPr>
              <w:pStyle w:val="6"/>
              <w:ind w:firstLine="0"/>
              <w:rPr>
                <w:rFonts w:hint="eastAsia" w:hAnsi="宋体" w:cs="宋体"/>
                <w:b/>
                <w:bCs/>
                <w:color w:val="000000" w:themeColor="text1"/>
                <w:szCs w:val="24"/>
                <w:highlight w:val="none"/>
                <w:lang w:val="en-US" w:eastAsia="zh-CN"/>
                <w14:textFill>
                  <w14:solidFill>
                    <w14:schemeClr w14:val="tx1"/>
                  </w14:solidFill>
                </w14:textFill>
              </w:rPr>
            </w:pPr>
            <w:r>
              <w:rPr>
                <w:rFonts w:hint="eastAsia" w:hAnsi="宋体" w:cs="宋体"/>
                <w:b/>
                <w:bCs/>
                <w:color w:val="000000" w:themeColor="text1"/>
                <w:szCs w:val="24"/>
                <w:highlight w:val="none"/>
                <w:lang w:val="en-US" w:eastAsia="zh-CN"/>
                <w14:textFill>
                  <w14:solidFill>
                    <w14:schemeClr w14:val="tx1"/>
                  </w14:solidFill>
                </w14:textFill>
              </w:rPr>
              <w:t>5.2024年度或2025年度经会计事务所出具财务审计报告；（2026年新成立的公司须提供近三个月任意一个月的银行资信证明）；</w:t>
            </w:r>
          </w:p>
          <w:p w14:paraId="6488FCB6">
            <w:pPr>
              <w:pStyle w:val="6"/>
              <w:ind w:firstLine="0"/>
              <w:rPr>
                <w:rFonts w:hint="eastAsia" w:ascii="宋体" w:hAnsi="宋体" w:eastAsia="宋体" w:cs="宋体"/>
                <w:b/>
                <w:bCs/>
                <w:color w:val="000000" w:themeColor="text1"/>
                <w:szCs w:val="24"/>
                <w:highlight w:val="none"/>
                <w:lang w:val="en-US" w:eastAsia="zh-CN"/>
                <w14:textFill>
                  <w14:solidFill>
                    <w14:schemeClr w14:val="tx1"/>
                  </w14:solidFill>
                </w14:textFill>
              </w:rPr>
            </w:pPr>
            <w:r>
              <w:rPr>
                <w:rFonts w:hint="eastAsia" w:hAnsi="宋体" w:cs="宋体"/>
                <w:b/>
                <w:bCs/>
                <w:color w:val="000000" w:themeColor="text1"/>
                <w:szCs w:val="24"/>
                <w:highlight w:val="none"/>
                <w:lang w:val="en-US" w:eastAsia="zh-CN"/>
                <w14:textFill>
                  <w14:solidFill>
                    <w14:schemeClr w14:val="tx1"/>
                  </w14:solidFill>
                </w14:textFill>
              </w:rPr>
              <w:t>6.依法缴纳近六个月中</w:t>
            </w:r>
            <w:r>
              <w:rPr>
                <w:rFonts w:hint="eastAsia" w:ascii="宋体" w:hAnsi="宋体" w:eastAsia="宋体" w:cs="宋体"/>
                <w:b/>
                <w:bCs/>
                <w:color w:val="000000" w:themeColor="text1"/>
                <w:szCs w:val="24"/>
                <w:highlight w:val="none"/>
                <w:lang w:val="en-US" w:eastAsia="zh-CN"/>
                <w14:textFill>
                  <w14:solidFill>
                    <w14:schemeClr w14:val="tx1"/>
                  </w14:solidFill>
                </w14:textFill>
              </w:rPr>
              <w:t>任意一个月的社保凭证；依法缴纳近六个月任意一个月的税收良好记录证明（零申报需加盖税务机关章、无拖欠税收证明需加盖税务机关章、完税证明为非社保缴纳明细）；</w:t>
            </w:r>
          </w:p>
          <w:p w14:paraId="4698415F">
            <w:pPr>
              <w:pStyle w:val="6"/>
              <w:ind w:firstLine="0"/>
              <w:rPr>
                <w:rFonts w:hint="eastAsia" w:ascii="宋体" w:hAnsi="宋体" w:eastAsia="宋体" w:cs="宋体"/>
                <w:b/>
                <w:bCs/>
                <w:color w:val="000000" w:themeColor="text1"/>
                <w:szCs w:val="24"/>
                <w:highlight w:val="none"/>
                <w:lang w:val="en-US" w:eastAsia="zh-CN"/>
                <w14:textFill>
                  <w14:solidFill>
                    <w14:schemeClr w14:val="tx1"/>
                  </w14:solidFill>
                </w14:textFill>
              </w:rPr>
            </w:pPr>
            <w:r>
              <w:rPr>
                <w:rFonts w:hint="eastAsia" w:hAnsi="宋体" w:cs="宋体"/>
                <w:b/>
                <w:bCs/>
                <w:color w:val="000000" w:themeColor="text1"/>
                <w:szCs w:val="24"/>
                <w:highlight w:val="none"/>
                <w:lang w:val="en-US" w:eastAsia="zh-CN"/>
                <w14:textFill>
                  <w14:solidFill>
                    <w14:schemeClr w14:val="tx1"/>
                  </w14:solidFill>
                </w14:textFill>
              </w:rPr>
              <w:t>7</w:t>
            </w:r>
            <w:r>
              <w:rPr>
                <w:rFonts w:hint="eastAsia" w:ascii="宋体" w:hAnsi="宋体" w:eastAsia="宋体" w:cs="宋体"/>
                <w:b/>
                <w:bCs/>
                <w:color w:val="000000" w:themeColor="text1"/>
                <w:szCs w:val="24"/>
                <w:highlight w:val="none"/>
                <w:lang w:val="en-US" w:eastAsia="zh-CN"/>
                <w14:textFill>
                  <w14:solidFill>
                    <w14:schemeClr w14:val="tx1"/>
                  </w14:solidFill>
                </w14:textFill>
              </w:rPr>
              <w:t>.</w:t>
            </w:r>
            <w:r>
              <w:rPr>
                <w:rFonts w:hint="eastAsia" w:hAnsi="宋体" w:cs="宋体"/>
                <w:b/>
                <w:bCs/>
                <w:color w:val="000000" w:themeColor="text1"/>
                <w:szCs w:val="24"/>
                <w:highlight w:val="none"/>
                <w:lang w:val="en-US" w:eastAsia="zh-CN"/>
                <w14:textFill>
                  <w14:solidFill>
                    <w14:schemeClr w14:val="tx1"/>
                  </w14:solidFill>
                </w14:textFill>
              </w:rPr>
              <w:t>未被“信用中国”网站列入严重失信、经营异常，“中国政府采购网”网站列入政府采购严重违法失信行为信息记录名单（处罚期限尚未届满的）的；“国家企业信用信息公示系统”被列入经营异常名录信息、列入严重违法失信企业名单（黑名单）的企业</w:t>
            </w:r>
            <w:r>
              <w:rPr>
                <w:rFonts w:hint="eastAsia" w:ascii="宋体" w:hAnsi="宋体" w:eastAsia="宋体" w:cs="宋体"/>
                <w:b/>
                <w:bCs/>
                <w:color w:val="000000" w:themeColor="text1"/>
                <w:szCs w:val="24"/>
                <w:highlight w:val="none"/>
                <w:lang w:val="en-US" w:eastAsia="zh-CN"/>
                <w14:textFill>
                  <w14:solidFill>
                    <w14:schemeClr w14:val="tx1"/>
                  </w14:solidFill>
                </w14:textFill>
              </w:rPr>
              <w:t>，附网站截图或报告；</w:t>
            </w:r>
          </w:p>
          <w:p w14:paraId="226B0C84">
            <w:pPr>
              <w:pStyle w:val="6"/>
              <w:ind w:firstLine="0"/>
              <w:rPr>
                <w:rFonts w:hint="eastAsia" w:ascii="宋体" w:hAnsi="宋体" w:eastAsia="宋体" w:cs="宋体"/>
                <w:b/>
                <w:bCs/>
                <w:color w:val="000000" w:themeColor="text1"/>
                <w:szCs w:val="24"/>
                <w:highlight w:val="none"/>
                <w:lang w:val="en-US" w:eastAsia="zh-CN"/>
                <w14:textFill>
                  <w14:solidFill>
                    <w14:schemeClr w14:val="tx1"/>
                  </w14:solidFill>
                </w14:textFill>
              </w:rPr>
            </w:pPr>
            <w:r>
              <w:rPr>
                <w:rFonts w:hint="eastAsia" w:hAnsi="宋体" w:cs="宋体"/>
                <w:b/>
                <w:bCs/>
                <w:color w:val="000000" w:themeColor="text1"/>
                <w:szCs w:val="24"/>
                <w:highlight w:val="none"/>
                <w:lang w:val="en-US" w:eastAsia="zh-CN"/>
                <w14:textFill>
                  <w14:solidFill>
                    <w14:schemeClr w14:val="tx1"/>
                  </w14:solidFill>
                </w14:textFill>
              </w:rPr>
              <w:t>8</w:t>
            </w:r>
            <w:r>
              <w:rPr>
                <w:rFonts w:hint="eastAsia" w:ascii="宋体" w:hAnsi="宋体" w:eastAsia="宋体" w:cs="宋体"/>
                <w:b/>
                <w:bCs/>
                <w:color w:val="000000" w:themeColor="text1"/>
                <w:szCs w:val="24"/>
                <w:highlight w:val="none"/>
                <w:lang w:val="en-US" w:eastAsia="zh-CN"/>
                <w14:textFill>
                  <w14:solidFill>
                    <w14:schemeClr w14:val="tx1"/>
                  </w14:solidFill>
                </w14:textFill>
              </w:rPr>
              <w:t>.投标单位（</w:t>
            </w:r>
            <w:r>
              <w:rPr>
                <w:rFonts w:hint="eastAsia" w:hAnsi="宋体" w:cs="宋体"/>
                <w:b/>
                <w:bCs/>
                <w:color w:val="000000" w:themeColor="text1"/>
                <w:szCs w:val="24"/>
                <w:highlight w:val="none"/>
                <w:lang w:val="en-US" w:eastAsia="zh-CN"/>
                <w14:textFill>
                  <w14:solidFill>
                    <w14:schemeClr w14:val="tx1"/>
                  </w14:solidFill>
                </w14:textFill>
              </w:rPr>
              <w:t>投标人</w:t>
            </w:r>
            <w:r>
              <w:rPr>
                <w:rFonts w:hint="eastAsia" w:ascii="宋体" w:hAnsi="宋体" w:eastAsia="宋体" w:cs="宋体"/>
                <w:b/>
                <w:bCs/>
                <w:color w:val="000000" w:themeColor="text1"/>
                <w:szCs w:val="24"/>
                <w:highlight w:val="none"/>
                <w:lang w:val="en-US" w:eastAsia="zh-CN"/>
                <w14:textFill>
                  <w14:solidFill>
                    <w14:schemeClr w14:val="tx1"/>
                  </w14:solidFill>
                </w14:textFill>
              </w:rPr>
              <w:t>）提供针对本次项目《反商业贿赂承诺书》；</w:t>
            </w:r>
          </w:p>
          <w:p w14:paraId="324A96C9">
            <w:pPr>
              <w:pStyle w:val="6"/>
              <w:ind w:firstLine="0"/>
              <w:rPr>
                <w:rFonts w:hint="eastAsia" w:ascii="宋体" w:hAnsi="宋体" w:eastAsia="宋体" w:cs="宋体"/>
                <w:b/>
                <w:bCs/>
                <w:color w:val="000000" w:themeColor="text1"/>
                <w:szCs w:val="24"/>
                <w:highlight w:val="none"/>
                <w:lang w:val="en-US" w:eastAsia="zh-CN"/>
                <w14:textFill>
                  <w14:solidFill>
                    <w14:schemeClr w14:val="tx1"/>
                  </w14:solidFill>
                </w14:textFill>
              </w:rPr>
            </w:pPr>
            <w:r>
              <w:rPr>
                <w:rFonts w:hint="eastAsia" w:hAnsi="宋体" w:cs="宋体"/>
                <w:b/>
                <w:bCs/>
                <w:color w:val="000000" w:themeColor="text1"/>
                <w:szCs w:val="24"/>
                <w:highlight w:val="none"/>
                <w:lang w:val="en-US" w:eastAsia="zh-CN"/>
                <w14:textFill>
                  <w14:solidFill>
                    <w14:schemeClr w14:val="tx1"/>
                  </w14:solidFill>
                </w14:textFill>
              </w:rPr>
              <w:t>9</w:t>
            </w:r>
            <w:r>
              <w:rPr>
                <w:rFonts w:hint="eastAsia" w:ascii="宋体" w:hAnsi="宋体" w:eastAsia="宋体" w:cs="宋体"/>
                <w:b/>
                <w:bCs/>
                <w:color w:val="000000" w:themeColor="text1"/>
                <w:szCs w:val="24"/>
                <w:highlight w:val="none"/>
                <w:lang w:val="en-US" w:eastAsia="zh-CN"/>
                <w14:textFill>
                  <w14:solidFill>
                    <w14:schemeClr w14:val="tx1"/>
                  </w14:solidFill>
                </w14:textFill>
              </w:rPr>
              <w:t>.参加政府采购活动近3年内，在经营活动中没有重大违法记录的书面声明；</w:t>
            </w:r>
          </w:p>
          <w:p w14:paraId="309B02D4">
            <w:pPr>
              <w:pStyle w:val="6"/>
              <w:ind w:firstLine="0"/>
              <w:rPr>
                <w:rFonts w:hint="eastAsia" w:ascii="宋体" w:hAnsi="宋体" w:cs="宋体"/>
                <w:color w:val="000000" w:themeColor="text1"/>
                <w:sz w:val="24"/>
                <w:highlight w:val="none"/>
                <w14:textFill>
                  <w14:solidFill>
                    <w14:schemeClr w14:val="tx1"/>
                  </w14:solidFill>
                </w14:textFill>
              </w:rPr>
            </w:pPr>
            <w:r>
              <w:rPr>
                <w:rFonts w:hint="eastAsia" w:hAnsi="宋体" w:cs="宋体"/>
                <w:b/>
                <w:bCs/>
                <w:color w:val="000000" w:themeColor="text1"/>
                <w:szCs w:val="24"/>
                <w:highlight w:val="none"/>
                <w:lang w:val="en-US" w:eastAsia="zh-CN"/>
                <w14:textFill>
                  <w14:solidFill>
                    <w14:schemeClr w14:val="tx1"/>
                  </w14:solidFill>
                </w14:textFill>
              </w:rPr>
              <w:t>10</w:t>
            </w:r>
            <w:r>
              <w:rPr>
                <w:rFonts w:hint="eastAsia" w:ascii="宋体" w:hAnsi="宋体" w:eastAsia="宋体" w:cs="宋体"/>
                <w:b/>
                <w:bCs/>
                <w:color w:val="000000" w:themeColor="text1"/>
                <w:szCs w:val="24"/>
                <w:highlight w:val="none"/>
                <w:lang w:val="en-US" w:eastAsia="zh-CN"/>
                <w14:textFill>
                  <w14:solidFill>
                    <w14:schemeClr w14:val="tx1"/>
                  </w14:solidFill>
                </w14:textFill>
              </w:rPr>
              <w:t>.投标保证金缴纳凭证或投标保函；</w:t>
            </w:r>
            <w:r>
              <w:rPr>
                <w:rFonts w:hint="eastAsia" w:ascii="宋体" w:hAnsi="宋体" w:eastAsia="宋体" w:cs="宋体"/>
                <w:b/>
                <w:bCs/>
                <w:color w:val="000000" w:themeColor="text1"/>
                <w:szCs w:val="24"/>
                <w:highlight w:val="none"/>
                <w14:textFill>
                  <w14:solidFill>
                    <w14:schemeClr w14:val="tx1"/>
                  </w14:solidFill>
                </w14:textFill>
              </w:rPr>
              <w:t xml:space="preserve"> </w:t>
            </w:r>
          </w:p>
        </w:tc>
      </w:tr>
      <w:tr w14:paraId="7599B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trPr>
        <w:tc>
          <w:tcPr>
            <w:tcW w:w="1468" w:type="dxa"/>
            <w:noWrap w:val="0"/>
            <w:vAlign w:val="center"/>
          </w:tcPr>
          <w:p w14:paraId="1121A026">
            <w:pPr>
              <w:spacing w:line="240" w:lineRule="atLeast"/>
              <w:ind w:left="1080" w:leftChars="257" w:hanging="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1.3.5   </w:t>
            </w:r>
          </w:p>
        </w:tc>
        <w:tc>
          <w:tcPr>
            <w:tcW w:w="7050" w:type="dxa"/>
            <w:noWrap w:val="0"/>
            <w:vAlign w:val="center"/>
          </w:tcPr>
          <w:p w14:paraId="20CA9B8B">
            <w:pPr>
              <w:spacing w:line="240" w:lineRule="atLeas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是否允许采购进口产品：</w:t>
            </w:r>
            <w:r>
              <w:rPr>
                <w:rFonts w:hint="eastAsia" w:ascii="宋体" w:hAnsi="宋体" w:cs="宋体"/>
                <w:color w:val="000000" w:themeColor="text1"/>
                <w:sz w:val="24"/>
                <w:highlight w:val="none"/>
                <w:u w:val="single"/>
                <w14:textFill>
                  <w14:solidFill>
                    <w14:schemeClr w14:val="tx1"/>
                  </w14:solidFill>
                </w14:textFill>
              </w:rPr>
              <w:t>否</w:t>
            </w:r>
          </w:p>
        </w:tc>
      </w:tr>
      <w:tr w14:paraId="5C207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1468" w:type="dxa"/>
            <w:noWrap w:val="0"/>
            <w:vAlign w:val="center"/>
          </w:tcPr>
          <w:p w14:paraId="2AE71111">
            <w:pPr>
              <w:spacing w:line="240" w:lineRule="atLeast"/>
              <w:ind w:left="1080" w:leftChars="257" w:hanging="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1.3.6</w:t>
            </w:r>
          </w:p>
        </w:tc>
        <w:tc>
          <w:tcPr>
            <w:tcW w:w="7050" w:type="dxa"/>
            <w:noWrap w:val="0"/>
            <w:vAlign w:val="center"/>
          </w:tcPr>
          <w:p w14:paraId="743A0999">
            <w:pPr>
              <w:spacing w:line="240" w:lineRule="atLeas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是否为专门面向中小企业采购：</w:t>
            </w:r>
            <w:r>
              <w:rPr>
                <w:rFonts w:hint="eastAsia" w:ascii="宋体" w:hAnsi="宋体" w:cs="宋体"/>
                <w:color w:val="000000" w:themeColor="text1"/>
                <w:sz w:val="24"/>
                <w:highlight w:val="none"/>
                <w:u w:val="single"/>
                <w:lang w:val="en-US" w:eastAsia="zh-CN"/>
                <w14:textFill>
                  <w14:solidFill>
                    <w14:schemeClr w14:val="tx1"/>
                  </w14:solidFill>
                </w14:textFill>
              </w:rPr>
              <w:t>是</w:t>
            </w:r>
          </w:p>
        </w:tc>
      </w:tr>
      <w:tr w14:paraId="58AC7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trPr>
        <w:tc>
          <w:tcPr>
            <w:tcW w:w="1468" w:type="dxa"/>
            <w:noWrap w:val="0"/>
            <w:vAlign w:val="center"/>
          </w:tcPr>
          <w:p w14:paraId="6B0FEB39">
            <w:pPr>
              <w:spacing w:line="240" w:lineRule="atLeast"/>
              <w:ind w:left="1080" w:leftChars="257" w:hanging="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p>
        </w:tc>
        <w:tc>
          <w:tcPr>
            <w:tcW w:w="7050" w:type="dxa"/>
            <w:noWrap w:val="0"/>
            <w:vAlign w:val="center"/>
          </w:tcPr>
          <w:p w14:paraId="48DAD389">
            <w:pPr>
              <w:spacing w:line="240" w:lineRule="atLeas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是否允许联合体投标：</w:t>
            </w:r>
            <w:r>
              <w:rPr>
                <w:rFonts w:hint="eastAsia" w:ascii="宋体" w:hAnsi="宋体" w:cs="宋体"/>
                <w:color w:val="000000" w:themeColor="text1"/>
                <w:sz w:val="24"/>
                <w:highlight w:val="none"/>
                <w:u w:val="single"/>
                <w14:textFill>
                  <w14:solidFill>
                    <w14:schemeClr w14:val="tx1"/>
                  </w14:solidFill>
                </w14:textFill>
              </w:rPr>
              <w:t>否</w:t>
            </w:r>
          </w:p>
        </w:tc>
      </w:tr>
      <w:tr w14:paraId="60B0F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trPr>
        <w:tc>
          <w:tcPr>
            <w:tcW w:w="1468" w:type="dxa"/>
            <w:noWrap w:val="0"/>
            <w:vAlign w:val="center"/>
          </w:tcPr>
          <w:p w14:paraId="5E5F4D89">
            <w:pPr>
              <w:widowControl/>
              <w:spacing w:line="3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p>
        </w:tc>
        <w:tc>
          <w:tcPr>
            <w:tcW w:w="7050" w:type="dxa"/>
            <w:noWrap w:val="0"/>
            <w:vAlign w:val="center"/>
          </w:tcPr>
          <w:p w14:paraId="4776AD87">
            <w:pPr>
              <w:spacing w:line="240" w:lineRule="atLeast"/>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预算价</w:t>
            </w:r>
            <w:r>
              <w:rPr>
                <w:rFonts w:hint="eastAsia" w:ascii="宋体" w:hAnsi="宋体" w:cs="宋体"/>
                <w:b/>
                <w:bCs/>
                <w:color w:val="000000" w:themeColor="text1"/>
                <w:sz w:val="24"/>
                <w:highlight w:val="none"/>
                <w:lang w:val="en-US" w:eastAsia="zh-CN"/>
                <w14:textFill>
                  <w14:solidFill>
                    <w14:schemeClr w14:val="tx1"/>
                  </w14:solidFill>
                </w14:textFill>
              </w:rPr>
              <w:t>679000.00元</w:t>
            </w:r>
            <w:r>
              <w:rPr>
                <w:rFonts w:hint="eastAsia" w:ascii="宋体" w:hAnsi="宋体" w:eastAsia="宋体" w:cs="宋体"/>
                <w:b/>
                <w:bCs/>
                <w:color w:val="000000" w:themeColor="text1"/>
                <w:sz w:val="24"/>
                <w:highlight w:val="none"/>
                <w:lang w:val="en-US" w:eastAsia="zh-CN"/>
                <w14:textFill>
                  <w14:solidFill>
                    <w14:schemeClr w14:val="tx1"/>
                  </w14:solidFill>
                </w14:textFill>
              </w:rPr>
              <w:t>；</w:t>
            </w:r>
          </w:p>
          <w:p w14:paraId="27054796">
            <w:pPr>
              <w:spacing w:line="240" w:lineRule="atLeast"/>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最高限价</w:t>
            </w:r>
            <w:r>
              <w:rPr>
                <w:rFonts w:hint="eastAsia" w:ascii="宋体" w:hAnsi="宋体" w:cs="宋体"/>
                <w:b/>
                <w:bCs/>
                <w:color w:val="000000" w:themeColor="text1"/>
                <w:sz w:val="24"/>
                <w:highlight w:val="none"/>
                <w:lang w:val="en-US" w:eastAsia="zh-CN"/>
                <w14:textFill>
                  <w14:solidFill>
                    <w14:schemeClr w14:val="tx1"/>
                  </w14:solidFill>
                </w14:textFill>
              </w:rPr>
              <w:t>679000.00元</w:t>
            </w:r>
            <w:r>
              <w:rPr>
                <w:rFonts w:hint="eastAsia" w:ascii="宋体" w:hAnsi="宋体" w:eastAsia="宋体" w:cs="宋体"/>
                <w:b/>
                <w:bCs/>
                <w:color w:val="000000" w:themeColor="text1"/>
                <w:sz w:val="24"/>
                <w:highlight w:val="none"/>
                <w:lang w:val="en-US" w:eastAsia="zh-CN"/>
                <w14:textFill>
                  <w14:solidFill>
                    <w14:schemeClr w14:val="tx1"/>
                  </w14:solidFill>
                </w14:textFill>
              </w:rPr>
              <w:t>；</w:t>
            </w:r>
          </w:p>
        </w:tc>
      </w:tr>
      <w:tr w14:paraId="17FE5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6CA017E6">
            <w:pPr>
              <w:spacing w:line="240" w:lineRule="atLeast"/>
              <w:ind w:left="1080" w:leftChars="257" w:hanging="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w:t>
            </w:r>
          </w:p>
        </w:tc>
        <w:tc>
          <w:tcPr>
            <w:tcW w:w="7050" w:type="dxa"/>
            <w:noWrap w:val="0"/>
            <w:vAlign w:val="center"/>
          </w:tcPr>
          <w:p w14:paraId="725EB0C8">
            <w:pPr>
              <w:spacing w:line="240" w:lineRule="atLeas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保证金形式：☑保函  ☑电汇  ☑支票</w:t>
            </w:r>
          </w:p>
          <w:p w14:paraId="120FA987">
            <w:pPr>
              <w:spacing w:line="240" w:lineRule="atLeas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☑网银 （本项目允许的其他形式） </w:t>
            </w:r>
          </w:p>
          <w:p w14:paraId="1211C015">
            <w:pPr>
              <w:spacing w:line="240" w:lineRule="atLeas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保证金数额：</w:t>
            </w:r>
            <w:r>
              <w:rPr>
                <w:rFonts w:hint="eastAsia" w:ascii="宋体" w:hAnsi="宋体" w:cs="宋体"/>
                <w:color w:val="000000" w:themeColor="text1"/>
                <w:sz w:val="24"/>
                <w:lang w:val="en-US" w:eastAsia="zh-CN"/>
                <w14:textFill>
                  <w14:solidFill>
                    <w14:schemeClr w14:val="tx1"/>
                  </w14:solidFill>
                </w14:textFill>
              </w:rPr>
              <w:t>7000</w:t>
            </w:r>
            <w:r>
              <w:rPr>
                <w:rFonts w:hint="eastAsia" w:ascii="宋体" w:hAnsi="宋体" w:cs="宋体"/>
                <w:color w:val="000000" w:themeColor="text1"/>
                <w:sz w:val="24"/>
                <w14:textFill>
                  <w14:solidFill>
                    <w14:schemeClr w14:val="tx1"/>
                  </w14:solidFill>
                </w14:textFill>
              </w:rPr>
              <w:t>.00元（</w:t>
            </w:r>
            <w:r>
              <w:rPr>
                <w:rFonts w:hint="eastAsia" w:ascii="宋体" w:hAnsi="宋体" w:cs="宋体"/>
                <w:color w:val="000000" w:themeColor="text1"/>
                <w:sz w:val="24"/>
                <w:lang w:val="en-US" w:eastAsia="zh-CN"/>
                <w14:textFill>
                  <w14:solidFill>
                    <w14:schemeClr w14:val="tx1"/>
                  </w14:solidFill>
                </w14:textFill>
              </w:rPr>
              <w:t>柒仟元整</w:t>
            </w:r>
            <w:r>
              <w:rPr>
                <w:rFonts w:hint="eastAsia" w:ascii="宋体" w:hAnsi="宋体" w:cs="宋体"/>
                <w:color w:val="000000" w:themeColor="text1"/>
                <w:sz w:val="24"/>
                <w14:textFill>
                  <w14:solidFill>
                    <w14:schemeClr w14:val="tx1"/>
                  </w14:solidFill>
                </w14:textFill>
              </w:rPr>
              <w:t>）</w:t>
            </w:r>
          </w:p>
          <w:p w14:paraId="6B813C6C">
            <w:pPr>
              <w:spacing w:line="240" w:lineRule="atLeas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开户名称：</w:t>
            </w:r>
            <w:r>
              <w:rPr>
                <w:rFonts w:hint="eastAsia" w:ascii="宋体" w:hAnsi="宋体" w:cs="宋体"/>
                <w:color w:val="000000" w:themeColor="text1"/>
                <w:sz w:val="24"/>
                <w14:textFill>
                  <w14:solidFill>
                    <w14:schemeClr w14:val="tx1"/>
                  </w14:solidFill>
                </w14:textFill>
              </w:rPr>
              <w:t>新疆宏宇建设工程项目管理有限责任公司喀什分公司</w:t>
            </w:r>
          </w:p>
          <w:p w14:paraId="5F65CA19">
            <w:pPr>
              <w:spacing w:line="240" w:lineRule="atLeas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开户银行：</w:t>
            </w:r>
            <w:r>
              <w:rPr>
                <w:rFonts w:hint="eastAsia" w:ascii="宋体" w:hAnsi="宋体" w:cs="宋体"/>
                <w:color w:val="000000" w:themeColor="text1"/>
                <w:sz w:val="24"/>
                <w14:textFill>
                  <w14:solidFill>
                    <w14:schemeClr w14:val="tx1"/>
                  </w14:solidFill>
                </w14:textFill>
              </w:rPr>
              <w:t>中国银行股份有限公司喀什市克孜都维路支行</w:t>
            </w:r>
          </w:p>
          <w:p w14:paraId="0AC42CA4">
            <w:pPr>
              <w:spacing w:line="240" w:lineRule="atLeast"/>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行号：</w:t>
            </w:r>
            <w:r>
              <w:rPr>
                <w:rFonts w:hint="eastAsia" w:ascii="宋体" w:hAnsi="宋体" w:cs="宋体"/>
                <w:color w:val="000000" w:themeColor="text1"/>
                <w:sz w:val="24"/>
                <w14:textFill>
                  <w14:solidFill>
                    <w14:schemeClr w14:val="tx1"/>
                  </w14:solidFill>
                </w14:textFill>
              </w:rPr>
              <w:t>104894001038</w:t>
            </w:r>
          </w:p>
          <w:p w14:paraId="7D6D3937">
            <w:pPr>
              <w:spacing w:line="240" w:lineRule="atLeas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账号：</w:t>
            </w:r>
            <w:r>
              <w:rPr>
                <w:rFonts w:hint="eastAsia" w:ascii="宋体" w:hAnsi="宋体" w:cs="宋体"/>
                <w:color w:val="000000" w:themeColor="text1"/>
                <w:sz w:val="24"/>
                <w14:textFill>
                  <w14:solidFill>
                    <w14:schemeClr w14:val="tx1"/>
                  </w14:solidFill>
                </w14:textFill>
              </w:rPr>
              <w:t>107077046505</w:t>
            </w:r>
          </w:p>
          <w:p w14:paraId="27D98B7F">
            <w:pPr>
              <w:spacing w:line="240" w:lineRule="atLeast"/>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到账截止时间：</w:t>
            </w:r>
            <w:r>
              <w:rPr>
                <w:rFonts w:hint="eastAsia" w:ascii="宋体" w:hAnsi="宋体" w:cs="宋体"/>
                <w:color w:val="000000" w:themeColor="text1"/>
                <w:sz w:val="24"/>
                <w:lang w:eastAsia="zh-CN"/>
                <w14:textFill>
                  <w14:solidFill>
                    <w14:schemeClr w14:val="tx1"/>
                  </w14:solidFill>
                </w14:textFill>
              </w:rPr>
              <w:t>2026年5月25日1</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lang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（北京时间）</w:t>
            </w:r>
          </w:p>
        </w:tc>
      </w:tr>
      <w:tr w14:paraId="71291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1468" w:type="dxa"/>
            <w:noWrap w:val="0"/>
            <w:vAlign w:val="center"/>
          </w:tcPr>
          <w:p w14:paraId="21B12AC7">
            <w:pPr>
              <w:spacing w:line="240" w:lineRule="atLeast"/>
              <w:ind w:left="1080" w:leftChars="257" w:hanging="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w:t>
            </w:r>
          </w:p>
        </w:tc>
        <w:tc>
          <w:tcPr>
            <w:tcW w:w="7050" w:type="dxa"/>
            <w:noWrap w:val="0"/>
            <w:vAlign w:val="center"/>
          </w:tcPr>
          <w:p w14:paraId="03F6A0E2">
            <w:pPr>
              <w:spacing w:line="240" w:lineRule="atLeas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投标有效期：</w:t>
            </w:r>
            <w:r>
              <w:rPr>
                <w:rFonts w:hint="eastAsia" w:ascii="宋体" w:hAnsi="宋体" w:cs="宋体"/>
                <w:color w:val="000000" w:themeColor="text1"/>
                <w:sz w:val="24"/>
                <w:highlight w:val="none"/>
                <w:u w:val="single"/>
                <w:lang w:val="en-US" w:eastAsia="zh-CN"/>
                <w14:textFill>
                  <w14:solidFill>
                    <w14:schemeClr w14:val="tx1"/>
                  </w14:solidFill>
                </w14:textFill>
              </w:rPr>
              <w:t>90</w:t>
            </w:r>
            <w:r>
              <w:rPr>
                <w:rFonts w:hint="eastAsia" w:ascii="宋体" w:hAnsi="宋体" w:cs="宋体"/>
                <w:color w:val="000000" w:themeColor="text1"/>
                <w:sz w:val="24"/>
                <w:highlight w:val="none"/>
                <w14:textFill>
                  <w14:solidFill>
                    <w14:schemeClr w14:val="tx1"/>
                  </w14:solidFill>
                </w14:textFill>
              </w:rPr>
              <w:t>日历日</w:t>
            </w:r>
          </w:p>
        </w:tc>
      </w:tr>
      <w:tr w14:paraId="47636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14:paraId="4042D2F9">
            <w:pPr>
              <w:spacing w:line="240" w:lineRule="atLeast"/>
              <w:ind w:left="1080" w:leftChars="257" w:hanging="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w:t>
            </w:r>
          </w:p>
        </w:tc>
        <w:tc>
          <w:tcPr>
            <w:tcW w:w="7050" w:type="dxa"/>
            <w:noWrap w:val="0"/>
            <w:vAlign w:val="center"/>
          </w:tcPr>
          <w:p w14:paraId="689FED32">
            <w:pPr>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本项目实行全流程电子化“不见面”网上开标，请各潜在投标人自行下载学习（新疆政府采购网下载专区）注：投标截止时间前按要求在政采云上传电子版投标文件。</w:t>
            </w:r>
          </w:p>
        </w:tc>
      </w:tr>
      <w:tr w14:paraId="528D7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14:paraId="6BE13184">
            <w:pPr>
              <w:spacing w:line="240" w:lineRule="atLeast"/>
              <w:ind w:left="1080" w:leftChars="257" w:hanging="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w:t>
            </w:r>
          </w:p>
        </w:tc>
        <w:tc>
          <w:tcPr>
            <w:tcW w:w="7050" w:type="dxa"/>
            <w:noWrap w:val="0"/>
            <w:vAlign w:val="center"/>
          </w:tcPr>
          <w:p w14:paraId="3E746159">
            <w:pPr>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投标截止时间：</w:t>
            </w:r>
            <w:r>
              <w:rPr>
                <w:rFonts w:hint="eastAsia" w:ascii="宋体" w:hAnsi="宋体" w:cs="宋体"/>
                <w:color w:val="000000" w:themeColor="text1"/>
                <w:sz w:val="24"/>
                <w:highlight w:val="none"/>
                <w:lang w:val="en-US" w:eastAsia="zh-CN"/>
                <w14:textFill>
                  <w14:solidFill>
                    <w14:schemeClr w14:val="tx1"/>
                  </w14:solidFill>
                </w14:textFill>
              </w:rPr>
              <w:t>2026年5月25日10:30（北京时间）</w:t>
            </w:r>
          </w:p>
        </w:tc>
      </w:tr>
      <w:tr w14:paraId="44176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62C7484C">
            <w:pPr>
              <w:spacing w:line="240" w:lineRule="atLeast"/>
              <w:ind w:left="1080" w:leftChars="257" w:hanging="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w:t>
            </w:r>
          </w:p>
        </w:tc>
        <w:tc>
          <w:tcPr>
            <w:tcW w:w="7050" w:type="dxa"/>
            <w:noWrap w:val="0"/>
            <w:vAlign w:val="center"/>
          </w:tcPr>
          <w:p w14:paraId="5D4AAB30">
            <w:pPr>
              <w:spacing w:line="240" w:lineRule="atLeas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开标时间：</w:t>
            </w:r>
            <w:r>
              <w:rPr>
                <w:rFonts w:hint="eastAsia" w:ascii="宋体" w:hAnsi="宋体" w:cs="宋体"/>
                <w:color w:val="000000" w:themeColor="text1"/>
                <w:sz w:val="24"/>
                <w:highlight w:val="none"/>
                <w:lang w:val="en-US" w:eastAsia="zh-CN"/>
                <w14:textFill>
                  <w14:solidFill>
                    <w14:schemeClr w14:val="tx1"/>
                  </w14:solidFill>
                </w14:textFill>
              </w:rPr>
              <w:t>2026年5月25日10:30（北京时间）</w:t>
            </w:r>
          </w:p>
          <w:p w14:paraId="7DF6AC42">
            <w:pPr>
              <w:spacing w:line="240" w:lineRule="atLeas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开标地点：</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highlight w:val="none"/>
                <w:lang w:val="en-US" w:eastAsia="zh-CN"/>
                <w14:textFill>
                  <w14:solidFill>
                    <w14:schemeClr w14:val="tx1"/>
                  </w14:solidFill>
                </w14:textFill>
              </w:rPr>
              <w:instrText xml:space="preserve"> HYPERLINK "https://www.zcygov.cn在线投标" </w:instrTex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highlight w:val="none"/>
                <w:lang w:val="en-US" w:eastAsia="zh-CN"/>
                <w14:textFill>
                  <w14:solidFill>
                    <w14:schemeClr w14:val="tx1"/>
                  </w14:solidFill>
                </w14:textFill>
              </w:rPr>
              <w:t>https://www.zcygov.cn在线投标</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tc>
      </w:tr>
      <w:tr w14:paraId="74FAA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2558EC51">
            <w:pPr>
              <w:spacing w:line="240" w:lineRule="atLeast"/>
              <w:ind w:left="1080" w:leftChars="257" w:hanging="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20.5</w:t>
            </w:r>
          </w:p>
        </w:tc>
        <w:tc>
          <w:tcPr>
            <w:tcW w:w="7050" w:type="dxa"/>
            <w:noWrap w:val="0"/>
            <w:vAlign w:val="center"/>
          </w:tcPr>
          <w:p w14:paraId="32946C07">
            <w:pPr>
              <w:spacing w:line="240" w:lineRule="atLeas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核心内容：</w:t>
            </w:r>
            <w:r>
              <w:rPr>
                <w:rFonts w:hint="eastAsia" w:ascii="宋体" w:hAnsi="宋体" w:cs="宋体"/>
                <w:color w:val="000000" w:themeColor="text1"/>
                <w:sz w:val="24"/>
                <w:highlight w:val="none"/>
                <w:lang w:val="en-US" w:eastAsia="zh-CN"/>
                <w14:textFill>
                  <w14:solidFill>
                    <w14:schemeClr w14:val="tx1"/>
                  </w14:solidFill>
                </w14:textFill>
              </w:rPr>
              <w:t>食堂外包服务</w:t>
            </w:r>
          </w:p>
        </w:tc>
      </w:tr>
      <w:tr w14:paraId="4689B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297822E8">
            <w:pPr>
              <w:spacing w:line="240" w:lineRule="atLeast"/>
              <w:ind w:left="1080" w:leftChars="257" w:hanging="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w:t>
            </w:r>
          </w:p>
        </w:tc>
        <w:tc>
          <w:tcPr>
            <w:tcW w:w="7050" w:type="dxa"/>
            <w:noWrap w:val="0"/>
            <w:vAlign w:val="center"/>
          </w:tcPr>
          <w:p w14:paraId="4CC0C79F">
            <w:pPr>
              <w:spacing w:line="240" w:lineRule="atLeas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评标方法：综合评分法    　　　　　</w:t>
            </w:r>
          </w:p>
        </w:tc>
      </w:tr>
      <w:tr w14:paraId="013B2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7" w:hRule="atLeast"/>
        </w:trPr>
        <w:tc>
          <w:tcPr>
            <w:tcW w:w="1468" w:type="dxa"/>
            <w:noWrap w:val="0"/>
            <w:vAlign w:val="center"/>
          </w:tcPr>
          <w:p w14:paraId="5C071FAB">
            <w:pPr>
              <w:spacing w:line="240" w:lineRule="atLeast"/>
              <w:ind w:left="1080" w:leftChars="257" w:hanging="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w:t>
            </w:r>
          </w:p>
        </w:tc>
        <w:tc>
          <w:tcPr>
            <w:tcW w:w="7050" w:type="dxa"/>
            <w:noWrap w:val="0"/>
            <w:vAlign w:val="center"/>
          </w:tcPr>
          <w:p w14:paraId="4F33AA65">
            <w:pPr>
              <w:spacing w:line="240" w:lineRule="atLeas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推荐中标候选</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的数量：</w:t>
            </w:r>
            <w:r>
              <w:rPr>
                <w:rFonts w:hint="eastAsia" w:ascii="宋体" w:hAnsi="宋体" w:cs="宋体"/>
                <w:color w:val="000000" w:themeColor="text1"/>
                <w:sz w:val="24"/>
                <w:highlight w:val="none"/>
                <w:u w:val="single"/>
                <w14:textFill>
                  <w14:solidFill>
                    <w14:schemeClr w14:val="tx1"/>
                  </w14:solidFill>
                </w14:textFill>
              </w:rPr>
              <w:t>3个</w:t>
            </w:r>
          </w:p>
        </w:tc>
      </w:tr>
      <w:tr w14:paraId="3706D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8" w:hRule="atLeast"/>
        </w:trPr>
        <w:tc>
          <w:tcPr>
            <w:tcW w:w="1468" w:type="dxa"/>
            <w:noWrap w:val="0"/>
            <w:vAlign w:val="center"/>
          </w:tcPr>
          <w:p w14:paraId="7BB7B706">
            <w:pPr>
              <w:spacing w:line="240" w:lineRule="atLeast"/>
              <w:ind w:left="1080" w:leftChars="257" w:hanging="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w:t>
            </w:r>
          </w:p>
        </w:tc>
        <w:tc>
          <w:tcPr>
            <w:tcW w:w="7050" w:type="dxa"/>
            <w:noWrap w:val="0"/>
            <w:vAlign w:val="center"/>
          </w:tcPr>
          <w:p w14:paraId="4E6D584D">
            <w:pPr>
              <w:spacing w:line="240" w:lineRule="atLeas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招标人是否委托评标委员会直接确定中标人：</w:t>
            </w:r>
            <w:r>
              <w:rPr>
                <w:rFonts w:hint="eastAsia" w:ascii="宋体" w:hAnsi="宋体" w:cs="宋体"/>
                <w:color w:val="000000" w:themeColor="text1"/>
                <w:sz w:val="24"/>
                <w:highlight w:val="none"/>
                <w:u w:val="single"/>
                <w14:textFill>
                  <w14:solidFill>
                    <w14:schemeClr w14:val="tx1"/>
                  </w14:solidFill>
                </w14:textFill>
              </w:rPr>
              <w:t>否</w:t>
            </w:r>
            <w:r>
              <w:rPr>
                <w:rFonts w:hint="eastAsia" w:ascii="宋体" w:hAnsi="宋体" w:cs="宋体"/>
                <w:color w:val="000000" w:themeColor="text1"/>
                <w:sz w:val="24"/>
                <w:highlight w:val="none"/>
                <w14:textFill>
                  <w14:solidFill>
                    <w14:schemeClr w14:val="tx1"/>
                  </w14:solidFill>
                </w14:textFill>
              </w:rPr>
              <w:t xml:space="preserve"> </w:t>
            </w:r>
          </w:p>
        </w:tc>
      </w:tr>
      <w:tr w14:paraId="465C0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trPr>
        <w:tc>
          <w:tcPr>
            <w:tcW w:w="1468" w:type="dxa"/>
            <w:noWrap w:val="0"/>
            <w:vAlign w:val="center"/>
          </w:tcPr>
          <w:p w14:paraId="1EF413A8">
            <w:pPr>
              <w:spacing w:line="240" w:lineRule="atLeast"/>
              <w:ind w:left="1080" w:leftChars="257" w:hanging="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w:t>
            </w:r>
          </w:p>
        </w:tc>
        <w:tc>
          <w:tcPr>
            <w:tcW w:w="7050" w:type="dxa"/>
            <w:noWrap w:val="0"/>
            <w:vAlign w:val="center"/>
          </w:tcPr>
          <w:p w14:paraId="77FEF343">
            <w:pPr>
              <w:spacing w:line="240" w:lineRule="atLeas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履约保证金金额：中标价的5%。</w:t>
            </w:r>
          </w:p>
          <w:p w14:paraId="6A0DD07C">
            <w:pPr>
              <w:spacing w:line="240" w:lineRule="atLeas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履约保证金形式：转账、电汇、保函</w:t>
            </w:r>
          </w:p>
          <w:p w14:paraId="646F272A">
            <w:pPr>
              <w:spacing w:line="240" w:lineRule="atLeas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提交履约保证金的时间：与业主自行商定</w:t>
            </w:r>
          </w:p>
          <w:p w14:paraId="50DC7019">
            <w:pPr>
              <w:spacing w:line="240" w:lineRule="atLeas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服务验收合格后无息返还（双方也可以通过协商另行约定其他退还时间和方式及用途）。</w:t>
            </w:r>
          </w:p>
        </w:tc>
      </w:tr>
      <w:tr w14:paraId="52725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02BD5B41">
            <w:pPr>
              <w:spacing w:line="240" w:lineRule="atLeast"/>
              <w:ind w:left="1080" w:leftChars="257" w:hanging="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w:t>
            </w:r>
          </w:p>
        </w:tc>
        <w:tc>
          <w:tcPr>
            <w:tcW w:w="7050" w:type="dxa"/>
            <w:noWrap w:val="0"/>
            <w:vAlign w:val="center"/>
          </w:tcPr>
          <w:p w14:paraId="03811980">
            <w:pPr>
              <w:spacing w:line="240" w:lineRule="atLeas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招标代理服务费：参照计价格2002【1980】号文计取，由成交供应商支付。</w:t>
            </w:r>
          </w:p>
          <w:p w14:paraId="16FB745C">
            <w:pPr>
              <w:spacing w:line="240" w:lineRule="atLeas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支付形式：对公转账  </w:t>
            </w:r>
          </w:p>
          <w:p w14:paraId="058DD241">
            <w:pPr>
              <w:spacing w:line="240" w:lineRule="atLeas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支付时间：领取成交通知书时</w:t>
            </w:r>
          </w:p>
        </w:tc>
      </w:tr>
      <w:tr w14:paraId="5994E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6" w:hRule="atLeast"/>
        </w:trPr>
        <w:tc>
          <w:tcPr>
            <w:tcW w:w="8518" w:type="dxa"/>
            <w:gridSpan w:val="2"/>
            <w:noWrap w:val="0"/>
            <w:vAlign w:val="center"/>
          </w:tcPr>
          <w:p w14:paraId="54C6E3D5">
            <w:pPr>
              <w:spacing w:line="240" w:lineRule="atLeast"/>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适用于本投标人须知的额外增加的变动：</w:t>
            </w:r>
          </w:p>
        </w:tc>
      </w:tr>
    </w:tbl>
    <w:p w14:paraId="2EF61201">
      <w:pPr>
        <w:keepNext w:val="0"/>
        <w:keepLines w:val="0"/>
        <w:pageBreakBefore w:val="0"/>
        <w:widowControl w:val="0"/>
        <w:kinsoku/>
        <w:overflowPunct/>
        <w:bidi w:val="0"/>
        <w:spacing w:line="240" w:lineRule="atLeast"/>
        <w:ind w:left="1080" w:leftChars="257" w:hanging="540"/>
        <w:rPr>
          <w:rFonts w:hint="eastAsia" w:ascii="宋体" w:hAnsi="宋体" w:eastAsia="宋体" w:cs="宋体"/>
          <w:color w:val="000000" w:themeColor="text1"/>
          <w:sz w:val="24"/>
          <w:highlight w:val="none"/>
          <w14:textFill>
            <w14:solidFill>
              <w14:schemeClr w14:val="tx1"/>
            </w14:solidFill>
          </w14:textFill>
        </w:rPr>
        <w:sectPr>
          <w:headerReference r:id="rId6" w:type="default"/>
          <w:footerReference r:id="rId8" w:type="default"/>
          <w:headerReference r:id="rId7" w:type="even"/>
          <w:footerReference r:id="rId9"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7C680F21">
      <w:pPr>
        <w:pStyle w:val="3"/>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000000" w:themeColor="text1"/>
          <w:highlight w:val="none"/>
          <w:lang w:eastAsia="zh-CN"/>
          <w14:textFill>
            <w14:solidFill>
              <w14:schemeClr w14:val="tx1"/>
            </w14:solidFill>
          </w14:textFill>
        </w:rPr>
      </w:pPr>
      <w:bookmarkStart w:id="408" w:name="_Toc9032"/>
      <w:bookmarkStart w:id="409" w:name="_Toc515647831"/>
      <w:bookmarkStart w:id="410" w:name="_Toc22779"/>
      <w:bookmarkStart w:id="411" w:name="_Toc9887"/>
      <w:bookmarkStart w:id="412" w:name="_Toc216582825"/>
      <w:bookmarkStart w:id="413" w:name="_Toc512937852"/>
      <w:bookmarkStart w:id="414" w:name="_Toc219175638"/>
      <w:bookmarkStart w:id="415" w:name="_Toc218935354"/>
      <w:bookmarkStart w:id="416" w:name="_Toc507399906"/>
      <w:r>
        <w:rPr>
          <w:rFonts w:hint="eastAsia" w:ascii="宋体" w:hAnsi="宋体" w:eastAsia="宋体" w:cs="宋体"/>
          <w:color w:val="000000" w:themeColor="text1"/>
          <w:highlight w:val="none"/>
          <w:lang w:val="en-US" w:eastAsia="zh-CN"/>
          <w14:textFill>
            <w14:solidFill>
              <w14:schemeClr w14:val="tx1"/>
            </w14:solidFill>
          </w14:textFill>
        </w:rPr>
        <w:t xml:space="preserve">     </w:t>
      </w:r>
      <w:bookmarkEnd w:id="408"/>
      <w:bookmarkEnd w:id="409"/>
      <w:bookmarkEnd w:id="410"/>
      <w:bookmarkEnd w:id="411"/>
      <w:bookmarkEnd w:id="412"/>
      <w:bookmarkEnd w:id="413"/>
      <w:bookmarkEnd w:id="414"/>
      <w:bookmarkEnd w:id="415"/>
      <w:bookmarkEnd w:id="416"/>
      <w:r>
        <w:rPr>
          <w:rFonts w:hint="eastAsia" w:ascii="宋体" w:hAnsi="宋体" w:eastAsia="宋体" w:cs="宋体"/>
          <w:b/>
          <w:color w:val="000000" w:themeColor="text1"/>
          <w:highlight w:val="none"/>
          <w:lang w:eastAsia="zh-CN"/>
          <w14:textFill>
            <w14:solidFill>
              <w14:schemeClr w14:val="tx1"/>
            </w14:solidFill>
          </w14:textFill>
        </w:rPr>
        <w:t>第</w:t>
      </w:r>
      <w:r>
        <w:rPr>
          <w:rFonts w:hint="eastAsia" w:ascii="宋体" w:hAnsi="宋体" w:eastAsia="宋体" w:cs="宋体"/>
          <w:b/>
          <w:color w:val="000000" w:themeColor="text1"/>
          <w:highlight w:val="none"/>
          <w:lang w:val="en-US" w:eastAsia="zh-CN"/>
          <w14:textFill>
            <w14:solidFill>
              <w14:schemeClr w14:val="tx1"/>
            </w14:solidFill>
          </w14:textFill>
        </w:rPr>
        <w:t>5</w:t>
      </w:r>
      <w:r>
        <w:rPr>
          <w:rFonts w:hint="eastAsia" w:ascii="宋体" w:hAnsi="宋体" w:eastAsia="宋体" w:cs="宋体"/>
          <w:b/>
          <w:color w:val="000000" w:themeColor="text1"/>
          <w:highlight w:val="none"/>
          <w:lang w:eastAsia="zh-CN"/>
          <w14:textFill>
            <w14:solidFill>
              <w14:schemeClr w14:val="tx1"/>
            </w14:solidFill>
          </w14:textFill>
        </w:rPr>
        <w:t>章</w:t>
      </w:r>
      <w:r>
        <w:rPr>
          <w:rFonts w:hint="eastAsia" w:ascii="宋体" w:hAnsi="宋体" w:eastAsia="宋体" w:cs="宋体"/>
          <w:b/>
          <w:color w:val="000000" w:themeColor="text1"/>
          <w:highlight w:val="none"/>
          <w:lang w:val="en-US" w:eastAsia="zh-CN"/>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服务需求一览表及项目要求</w:t>
      </w:r>
    </w:p>
    <w:p w14:paraId="513EED37">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417" w:name="_Toc23331"/>
      <w:bookmarkStart w:id="418" w:name="_Toc515647832"/>
      <w:bookmarkStart w:id="419" w:name="_Toc7971"/>
      <w:bookmarkStart w:id="420" w:name="_Toc507399907"/>
      <w:bookmarkStart w:id="421" w:name="_Toc32647"/>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一：餐饮标准</w:t>
      </w:r>
    </w:p>
    <w:p w14:paraId="1AE9FCA6">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（一）标准40元/人/天。用餐人数100人左右（以实际用餐人数为准），乙方须严格按照用餐标准，保证每人每天三餐质量标准达到40元。</w:t>
      </w:r>
    </w:p>
    <w:p w14:paraId="04F2DCD1">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早餐：菜品不少于一荤两素，主食馒头、花卷、油条、煎饼、面包、包子、糕点等七选一；面点牛肉面、鸡蛋面、米线等三选一，汤类牛奶、粥、玉米糊糊、豆浆等四选一；辅食配鸡蛋、泡（咸）菜等。</w:t>
      </w:r>
    </w:p>
    <w:p w14:paraId="1C951128">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午餐：菜品不少于两荤两素，主食为米饭</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/馒头</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、拉面，备选抓饭、油泼面、</w:t>
      </w:r>
    </w:p>
    <w:p w14:paraId="71F0B7F2">
      <w:pPr>
        <w:keepNext w:val="0"/>
        <w:keepLines w:val="0"/>
        <w:pageBreakBefore w:val="0"/>
        <w:widowControl w:val="0"/>
        <w:kinsoku/>
        <w:wordWrap/>
        <w:overflowPunct/>
        <w:topLinePunct w:val="0"/>
        <w:bidi w:val="0"/>
        <w:adjustRightInd/>
        <w:snapToGrid/>
        <w:spacing w:line="400" w:lineRule="exact"/>
        <w:ind w:leftChars="0" w:firstLine="0" w:firstLineChars="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包子、饺子等不少于一样；汤类不少于两种（一荤一素），辅食配酸奶和季节性水果等。</w:t>
      </w:r>
    </w:p>
    <w:p w14:paraId="238D0FF5">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晚餐：菜品不少于两荤两素，主食米饭、拉面、包子、饺子等不少于一样；汤（粥）类不少于两种（一荤一素）；辅食配季节性水果等。</w:t>
      </w:r>
    </w:p>
    <w:p w14:paraId="65DAB70E">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（二）餐饮要求</w:t>
      </w:r>
    </w:p>
    <w:p w14:paraId="2CC02977">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供餐时间：乙方需提供早餐、中餐、晚餐，确保干部职工在确定的开餐时</w:t>
      </w:r>
      <w:r>
        <w:rPr>
          <w:color w:val="000000" w:themeColor="text1"/>
          <w:sz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3027680</wp:posOffset>
                </wp:positionH>
                <wp:positionV relativeFrom="paragraph">
                  <wp:posOffset>881380</wp:posOffset>
                </wp:positionV>
                <wp:extent cx="635" cy="635"/>
                <wp:effectExtent l="12700" t="12700" r="24765" b="15240"/>
                <wp:wrapNone/>
                <wp:docPr id="1" name="墨迹 1"/>
                <wp:cNvGraphicFramePr/>
                <a:graphic xmlns:a="http://schemas.openxmlformats.org/drawingml/2006/main">
                  <a:graphicData uri="http://schemas.microsoft.com/office/word/2010/wordprocessingInk">
                    <mc:AlternateContent xmlns:a14="http://schemas.microsoft.com/office/drawing/2010/main">
                      <mc:Choice Requires="a14">
                        <w14:contentPart bwMode="clr" r:id="rId21">
                          <w14:nvContentPartPr>
                            <w14:cNvPr id="1" name="墨迹 1"/>
                            <w14:cNvContentPartPr/>
                          </w14:nvContentPartPr>
                          <w14:xfrm>
                            <a:off x="4107815" y="5659755"/>
                            <a:ext cx="635" cy="635"/>
                          </w14:xfrm>
                        </w14:contentPart>
                      </mc:Choice>
                    </mc:AlternateContent>
                  </a:graphicData>
                </a:graphic>
              </wp:anchor>
            </w:drawing>
          </mc:Choice>
          <mc:Fallback>
            <w:pict>
              <v:shape id="_x0000_s1026" o:spid="_x0000_s1026" o:spt="75" style="position:absolute;left:0pt;margin-left:238.4pt;margin-top:69.4pt;height:0.05pt;width:0.05pt;z-index:251668480;mso-width-relative:page;mso-height-relative:page;" coordsize="21600,21600" o:gfxdata="UEsDBAoAAAAAAIdO4kAAAAAAAAAAAAAAAAAEAAAAZHJzL1BLAwQUAAAACACHTuJA+8A9PdsAAAAL&#10;AQAADwAAAGRycy9kb3ducmV2LnhtbE2PMU/DMBCFdyT+g3VILKh10kQlDXE6IHVAiIECqrq5ydWO&#10;iM9R7Dbl33NMdHt37+ndd9X64npxxjF0nhSk8wQEUuPbjoyCz4/NrAARoqZW955QwQ8GWNe3N5Uu&#10;Wz/RO5630QguoVBqBTbGoZQyNBadDnM/ILF39KPTkcfRyHbUE5e7Xi6SZCmd7ogvWD3gs8Xme3ty&#10;CrKjfdnt94Mxm9fUdsXX28NqWil1f5cmTyAiXuJ/GP7wGR1qZjr4E7VB9AryxyWjRzayggUn8mLB&#10;4sCbPMtA1pW8/qH+BVBLAwQUAAAACACHTuJAoBA68JkBAACGAwAADgAAAGRycy9lMm9Eb2MueG1s&#10;rZNNTsMwFIT3SNzB8p7mh6YtUVMWVEgsKF3AAYxjNxaxHT27TXsdVlyBFadB4hi8NP2jCAkhdrbH&#10;Gc/3RhleLnVJFgKcsiajUSekRBhuc2VmGX24vz4bUOI8MzkrrREZXQlHL0enJ8O6SkVsC1vmAgia&#10;GJfWVUYL76s0CBwvhGauYythUJQWNPO4hVmQA6vRXZdBHIa9oLaQV2C5cA5Px61IN47wG0MrpeJi&#10;bPlcC+NbVxAl84jkClU5OlqnlVJwfyelE56UyBr3Q6T1uxU+Fnf7vYSSRzxL4m5Ig9GQpTNgVaH4&#10;JhL7TaQjRs2UwRA7qzHzjMxBfbPSioN1VvoOtzpowdYTQqooPJrVjXlqyKIun0PKrfFIP2Xgt22s&#10;hb88oUscQX1rc+ybl/DPZRBIVZ5RuMmjfXyzuNoDTGGPNVlMgTT3I0oM05jo/fnl4+2VRE05W/jJ&#10;189RCTbST8ZLCbppBGdMlhntRmF/EGH1q4wmveSinyRt+WLpCccLvXMUOarN4sC/9dm+dtACRvjS&#10;9+G+iXfw+4w+AVBLAwQKAAAAAACHTuJAAAAAAAAAAAAAAAAACAAAAGRycy9pbmsvUEsDBBQAAAAI&#10;AIdO4kBaiajJ2gEAAMIEAAAQAAAAZHJzL2luay9pbmsxLnhtbLVTTW+jMBC9r9T/YLnngM1ngkp6&#10;i7TSrlRtW2n3SMEBq2BHtgnJv9/BEKdV6WGl7QWZsd+bmTdv7u5PXYuOTGkuRY6pRzBiopQVF3WO&#10;n592qzVG2hSiKlopWI7PTOP77c23Oy5euzaDLwIGocdT1+a4MeaQ+f4wDN4QelLVfkBI6H8Xrz9/&#10;4O2MqtieC24gpb6ESikMO5mRLONVjktzIu49cD/KXpXMXY8RVV5fGFWUbCdVVxjH2BRCsBaJooO6&#10;f2Nkzgc4cMhTM4VRDxVoSNRhfxny598huw+QrjiBrCQIXcKKHceMvhUs+7zwByUPTBnOrhpNHc0X&#10;Z1RO/7a5qUvFtGz7UViMjkXbQ7/B2gujJIqTZBNsaBi5Oqi/0PpHblDhy7hBrk+5wYjzhKj/XrK5&#10;7bf6zGI6n1wGanjHwL3dwRnHaCAew49GWY8HJEhWJFoF6RPdZGGYxfGb8cy2vPC9qF43jutFXQ1o&#10;b5x6U1cDr0zjBkE8EsMENhHMIiBJFMBmLXhwiahhvG7M/2AqZSvB+7M3bvdrkhByXYCl5LwWUrEH&#10;sJbuFXNYi5p1tzBn6YXtti5Hs5i/2D7Ht3bBkUVOAasmTROSeIQQlFJK43Q6Jum7dXGZYN7b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B5GLyd&#10;uAAAACEBAAAZAAAAZHJzL19yZWxzL2Uyb0RvYy54bWwucmVsc4XPsWrEMAwG4L3QdzDaGyUdylHi&#10;ZDkOspYUbjWOkpjEsrGc0nv7euzBwQ0ahND3S23/63f1Q0lcYA1NVYMitmFyvGj4Hi9vJ1CSDU9m&#10;D0wabiTQd68v7RftJpclWV0UVRQWDWvO8RNR7EreSBUicZnMIXmTS5sWjMZuZiF8r+sPTP8N6O5M&#10;NUwa0jA1oMZbLMnP7TDPztI52MMT5wcRaA/JwV/9XlCTFsoaHG9YqqnKoYBdi3ePdX9QSwMEFAAA&#10;AAgAh07iQAMVKdoFAQAALQIAABMAAABbQ29udGVudF9UeXBlc10ueG1slZHBTsMwEETvSPyD5StK&#10;nPaAEGrSAylHQKh8gGVvEqv22vKa0P49TtpeEKXi4IO9M29G69V67ywbIZLxWPNFWXEGqLw22Nf8&#10;Y/tcPHBGSaKW1iPU/ADE183tzWp7CEAsu5FqPqQUHoUgNYCTVPoAmCedj06mfI29CFLtZA9iWVX3&#10;QnlMgKlIE4M3qxY6+WkT2+zz87FJBEucPR2FU1bNZQjWKJlyUzGi/pFSnBLK7Jw1NJhAd7kGF78m&#10;TJPLASffa15NNBrYm4zpRbpcQ+hIQvsvjDCWf0Omlo4K33VGQdlGarPtHcZzq0t0WPrWq//CN7Pr&#10;GtvgTuSzuELPEmfPLDF/dvMNUEsBAhQAFAAAAAgAh07iQAMVKdoFAQAALQIAABMAAAAAAAAAAQAg&#10;AAAAUgcAAFtDb250ZW50X1R5cGVzXS54bWxQSwECFAAKAAAAAACHTuJAAAAAAAAAAAAAAAAABgAA&#10;AAAAAAAAABAAAAAdBQAAX3JlbHMvUEsBAhQAFAAAAAgAh07iQIoUZjzRAAAAlAEAAAsAAAAAAAAA&#10;AQAgAAAAQQUAAF9yZWxzLy5yZWxzUEsBAhQACgAAAAAAh07iQAAAAAAAAAAAAAAAAAQAAAAAAAAA&#10;AAAQAAAAAAAAAGRycy9QSwECFAAKAAAAAACHTuJAAAAAAAAAAAAAAAAACgAAAAAAAAAAABAAAAA7&#10;BgAAZHJzL19yZWxzL1BLAQIUABQAAAAIAIdO4kB5GLyduAAAACEBAAAZAAAAAAAAAAEAIAAAAGMG&#10;AABkcnMvX3JlbHMvZTJvRG9jLnhtbC5yZWxzUEsBAhQAFAAAAAgAh07iQPvAPT3bAAAACwEAAA8A&#10;AAAAAAAAAQAgAAAAIgAAAGRycy9kb3ducmV2LnhtbFBLAQIUABQAAAAIAIdO4kCgEDrwmQEAAIYD&#10;AAAOAAAAAAAAAAEAIAAAACoBAABkcnMvZTJvRG9jLnhtbFBLAQIUAAoAAAAAAIdO4kAAAAAAAAAA&#10;AAAAAAAIAAAAAAAAAAAAEAAAAO8CAABkcnMvaW5rL1BLAQIUABQAAAAIAIdO4kBaiajJ2gEAAMIE&#10;AAAQAAAAAAAAAAEAIAAAABUDAABkcnMvaW5rL2luazEueG1sUEsFBgAAAAAKAAoATAIAAIgIAAAA&#10;AA==&#10;">
                <v:imagedata r:id="rId22" o:title=""/>
                <o:lock v:ext="edit"/>
              </v:shape>
            </w:pict>
          </mc:Fallback>
        </mc:AlternateConten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间内有充足的餐食供应（包含双休日和节假日），乙方应当确保在以下时间前提前准备好餐食（夏季时间：早餐：9:30、午餐：13:30、晚餐：19:50；冬季时间：早餐：9:30、午餐：13:30、晚餐：19:30）。菜谱：乙方每月十五日前必须公布下个月菜谱，</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半</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月一换，做到营养均衡、米面合理、荤素科学，并严格按照菜单计划执行，未能按照菜单执行的要提前一天向甲方书面告知。</w:t>
      </w:r>
    </w:p>
    <w:p w14:paraId="3CF066C1">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二、人员配备要求</w:t>
      </w:r>
    </w:p>
    <w:p w14:paraId="1D2408D0">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食堂经理：1名，国语必须达到无障碍沟通交流，年龄不高于40岁，5年以上食堂管理经验，具备食品卫生安全管理知识；熟悉食材采购、成本控制及员工培训流程；能够统筹协调食堂人员管理、卫生管理、应急处置等各类事件，由甲方管理。</w:t>
      </w:r>
    </w:p>
    <w:p w14:paraId="04214166">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厨师：2名，国语必须达到无障碍沟通交流，年龄不高于45岁，需有5年以上食堂烹饪经验，持有厨师职业资格证书，具备良好的厨艺和创新能力，熟悉各类菜品的烹饪技巧，能根据不同口味和需求制作多样化菜品。需提供以往的菜品制作案例，中标后需进行现场厨艺考核，考核通过后方可正式上岗。</w:t>
      </w:r>
    </w:p>
    <w:p w14:paraId="323F241E">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配菜工：2名，国语必须达到无障碍沟通交流，年龄不高于45岁，有1年以上配菜工作经验，熟悉各类食材的切配方法和标准，能够按厨师要求清洗、切割食材（蔬菜洗净去根，肉类去筋膜，水产去内脏）；生熟食材分工具处理；保证食材的合理搭配和美观，每日预估食材用量，从仓库领取原料并核对质量，发现变质食材立即报告；配合厨师完成临时备料任务（如协助腌制肉类、准备凉拌菜）。</w:t>
      </w:r>
    </w:p>
    <w:p w14:paraId="6C51FF75">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面点工：2名，国语必须达到无障碍沟通交流，年龄不高于45岁，需持有相关资质证明，擅长制作各种中式和西式面点，具备2年以上面点制作经验，能独立完成包子、馒头、面条、馕、面包等主食制作，保证面点的口感和品质。</w:t>
      </w:r>
    </w:p>
    <w:p w14:paraId="2260991E">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洗碗工：2名，国语必须达到无障碍沟通交流，年龄不高于50岁，吃苦耐劳，按“一刮二洗三冲四消毒五保洁”流程清洗餐具，消毒时间需达标（如蒸汽消毒≥15分钟）；每餐结束后30分钟内完成餐具回收与清洗，消毒后餐具需存入密闭保洁柜；保持洗碗间地面干燥、无积水，垃圾分类处理（食物残渣入专用垃圾桶，碎片单独存放）；开餐前检查餐具库存，确保下餐次供应充足，破损餐具需及时挑出并报告。</w:t>
      </w:r>
    </w:p>
    <w:p w14:paraId="3E20176B">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服务员：5名，国语必须达到无障碍沟通交流，年龄不高于40岁，需持有相关资质证明，具备基本的服务礼仪和沟通能力，能够为就餐人员提供优质的服务。开餐前，做好餐厅、餐桌清洁、餐具摆放，检查保温设备运行正常；用餐过程中做好秩序引导，打餐等工作；用餐后及时保洁。</w:t>
      </w:r>
    </w:p>
    <w:p w14:paraId="469F7A14">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7.乙方开的工资要与厨师和其他服务人员的技能水平相符，如出现高工资低技能的，甲方有权下发整改通知书并要求更换，连续收到三次整改通知书的，甲方有权单方面解除合同。</w:t>
      </w:r>
    </w:p>
    <w:p w14:paraId="2F2AF4D0">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乙方应当服从甲方的要求，向甲方报备乙方及乙方人员的详细档案资料，乙方聘用人员均需持有健康证并通过政审。厨师、配菜工、面点工等需至少持有健康证和相应的职业资格证书；食堂经理、配菜工、服务员等需至少持有健康证。</w:t>
      </w:r>
    </w:p>
    <w:p w14:paraId="0EF62B01">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乙方聘用人员时必须先审核验证相关身份证明、资质和从业证明等，确保符合要求后征求甲方意见，由甲方审核相关身份证明、资质和从业证明等，确定可聘用人员后，按甲方要求签订保密协议。在签订保密协议后，乙方方可与聘用人员签订劳动合同。甲方和聘用人员签订保密协议，是基于内部管理工作的需要，甲方与乙方的聘用人员之间不存在任何劳动关系。所有食堂乙方的工作人员工资和福利均由乙方负责，乙方应对其承担劳动法上的全部权利义务。</w:t>
      </w:r>
    </w:p>
    <w:p w14:paraId="51E96C30">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未经甲方同意，乙方不得随意更换食堂工作人员。如因特殊情况需要更换，需提前5个工作日向甲方提出书面申请（申请需盖章），并经甲方同意后方可更换，且新更换人员需符合相关要求。同一个月内人员变化超过最初确定人员20%的，甲方有权扣除相应月份服务费的20%，依次类推。</w:t>
      </w:r>
    </w:p>
    <w:p w14:paraId="33CE72ED">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11.工作人员要着统一服装，戴口罩，后堂工作人员戴工作帽，衣着确保干净整齐。此项费用开支由乙方负责。</w:t>
      </w:r>
    </w:p>
    <w:p w14:paraId="63D63FA9">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12.乙方必须严格执行劳动法等法律法规和当地政策法规，为工作人员购买社保等。</w:t>
      </w:r>
    </w:p>
    <w:p w14:paraId="5654F154">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备注：所有人员须持有健康证。</w:t>
      </w:r>
    </w:p>
    <w:p w14:paraId="06BE0A57">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三、卫生要求</w:t>
      </w:r>
    </w:p>
    <w:p w14:paraId="60E7A949">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（一）人员卫生要求</w:t>
      </w:r>
    </w:p>
    <w:p w14:paraId="740411CA">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1.乙方工作人员在工作时必须将工衣、工帽穿戴整齐，穿着大方，工作服要保持清洁卫生，勤洗勤换并做到专人专用，离开岗位应及时换下工作服。</w:t>
      </w:r>
    </w:p>
    <w:p w14:paraId="77D1B68F">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2.乙方工作人员严禁留长发、胡子、长指甲，头发盘在工作帽内为宜，严禁留长指甲及涂指甲油。</w:t>
      </w:r>
    </w:p>
    <w:p w14:paraId="29B656B8">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3.乙方所有工作人员在供餐时必须戴好口罩，需要用手接触食品及餐具时必须戴上一次性卫生手套，从业人员持有效健康证明及卫生知识培训合格证明上岗。</w:t>
      </w:r>
    </w:p>
    <w:p w14:paraId="4FBC12F2">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（二）食品加工卫生要求</w:t>
      </w:r>
    </w:p>
    <w:p w14:paraId="61AFC33D">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食品加工过程需严格遵守食品安全操作规范，生熟食品分开加工，防止交叉污染；食材需新鲜、无变质、无污染，加工前需进行清洗和消毒处理；烹饪过程中需保证食品熟透，避免食物中毒事件的发生。</w:t>
      </w:r>
    </w:p>
    <w:p w14:paraId="50C65001">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1.肉类去净残毛、污垢。</w:t>
      </w:r>
    </w:p>
    <w:p w14:paraId="059ED915">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2.家禽等去净残毛、内脏、尾翘等物。</w:t>
      </w:r>
    </w:p>
    <w:p w14:paraId="25CCE463">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3.食材洗涤须一浸、二洗、三清、四进筐。</w:t>
      </w:r>
    </w:p>
    <w:p w14:paraId="318AB6E8">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4.原材料、半成品、成品容器分开使用，干货、瓜果蔬菜、肉类食品的清洗池分开使用，避免交叉污染。生熟食品用的刀具、砧板严格分开使用。</w:t>
      </w:r>
    </w:p>
    <w:p w14:paraId="01E1EFDC">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5.乙方需要准备好每日餐食的留样，以备溯源备查。</w:t>
      </w:r>
    </w:p>
    <w:p w14:paraId="7A9C1F1C">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（三）餐具、厨房卫生要求</w:t>
      </w:r>
    </w:p>
    <w:p w14:paraId="63C6F261">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1.饭勺、汤勺、菜勺、铲子不能直接放在台面上，应放置在干净的桶内或盆子里且须有区域标识。</w:t>
      </w:r>
    </w:p>
    <w:p w14:paraId="389EA00C">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2.清洗瓜果蔬菜、肉类食品、餐具、用具的水池必须标识清楚并分开使用，下班前必须将所有水池清洗干净，炒锅、煲汤锅用完后要保持清洁。</w:t>
      </w:r>
    </w:p>
    <w:p w14:paraId="62E29A51">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3.炉灶、蒸柜等厨房设备每天清洁，抽油烟系统一个月定期清洁。</w:t>
      </w:r>
    </w:p>
    <w:p w14:paraId="06673557">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4.工作台、货架、调料台随时保证清洗干净。</w:t>
      </w:r>
    </w:p>
    <w:p w14:paraId="63AAD2CE">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5.乙方在入驻前需进行一次彻底大扫除。每周必须对食堂进行一次彻底的卫生大扫除，范围包括：前堂、后堂、洗手间、烹调间、粗加工间、走廊、餐厅、供餐区等所有的设施、设备等。</w:t>
      </w:r>
    </w:p>
    <w:p w14:paraId="3ED43F7C">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6.垃圾桶和馊水桶身需基本保持干净、标识明确并加盖，按时清理。</w:t>
      </w:r>
    </w:p>
    <w:p w14:paraId="047AA137">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7.厨房用具、设备等原则上由甲方提供，由乙方免费使用，乙方应本着提高服务质量原则，积极主动采购必要的用具。</w:t>
      </w:r>
    </w:p>
    <w:p w14:paraId="65C177F3">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8.乙方对厨房设施设备和用具使用时应爱惜爱护，承包期内需提供不低于</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1%服务费</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用于食堂设备设施维修维护和部分</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厨具更换</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p>
    <w:p w14:paraId="002848DD">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（四）餐厅卫生要求</w:t>
      </w:r>
    </w:p>
    <w:p w14:paraId="4D74B580">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1.开餐前餐厅内的桌椅必须保持干净，台面无饭粒菜渣、无油污水渍，凳脚无积尘物，地面干净无油污，开餐过程中也必须有专人维护餐厅内的清洁。</w:t>
      </w:r>
    </w:p>
    <w:p w14:paraId="2CD7BD92">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2.每3天1次</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例行</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大扫除，用清洁剂清洗台面、地面，做到餐厅内、后厨内无蝇、蚊、蟑螂、老鼠等（建议专业公司进行灭杀）。</w:t>
      </w:r>
    </w:p>
    <w:p w14:paraId="536993D7">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3.乙方负责食堂大厅入口、大厅内部、大厅卫生间、大厅包间、后堂、后堂卸货口、一楼包间等和用餐相关地方的环境卫生和防疫消杀工作。</w:t>
      </w:r>
    </w:p>
    <w:p w14:paraId="25F7E481">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4.乙方负责厨房下水道疏通和厨房下水道垃圾及时清掏工作。</w:t>
      </w:r>
    </w:p>
    <w:p w14:paraId="13244246">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5.用餐餐巾纸由乙方提供，确保一张桌子一包纸。</w:t>
      </w:r>
    </w:p>
    <w:p w14:paraId="15DEEC3A">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6.相关的清洁洗洁物品、打扫卫生工具等（包括但不限于扫把、</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簸箕</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、拖把、抹布、钢丝球、清洁剂、橡胶手套、垃圾袋、垃圾桶等）由乙方提供。</w:t>
      </w:r>
    </w:p>
    <w:p w14:paraId="557231AE">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（五）物资防疫要求</w:t>
      </w:r>
    </w:p>
    <w:p w14:paraId="07394DE7">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1.严格遵守防疫要求，使用已经进行严格消杀和符合防疫要求的食材和物品。</w:t>
      </w:r>
    </w:p>
    <w:p w14:paraId="09AF1A9C">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2.菜品方面野生动物不得使用，特别是明令禁止的野生动植物。</w:t>
      </w:r>
    </w:p>
    <w:p w14:paraId="4EA4DD97">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3.野生的菌类等不得使用。</w:t>
      </w:r>
    </w:p>
    <w:p w14:paraId="74F44526">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4.发霉变质、腐败的食材、调料等不得使用。</w:t>
      </w:r>
    </w:p>
    <w:p w14:paraId="43EF8CA4">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5.三餐不得提供上一餐剩下的饭菜等。</w:t>
      </w:r>
    </w:p>
    <w:p w14:paraId="228BCD7E">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6.乙方负责餐具消杀工作，一日三餐后所有餐具必须放入消毒柜进行消毒，</w:t>
      </w:r>
    </w:p>
    <w:p w14:paraId="1E96028F">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此项内容为“好差评”制度必査内容，由甲方人员随机抽查。</w:t>
      </w:r>
    </w:p>
    <w:p w14:paraId="7E5311FF">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7.冰箱等冷藏设备要定期清洁，严格消毒。</w:t>
      </w:r>
    </w:p>
    <w:p w14:paraId="1778385C">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8.相关的防疫消杀物品、物资，由乙方提供。</w:t>
      </w:r>
    </w:p>
    <w:p w14:paraId="5FD2FE6F">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食材采购需选择正规的供应商，索取相关的检验检疫证明和票据；食材运输过程中需采取必要的防护措施，防止食材受到污染；物资储存需分类存放，遵循先进先出的原则，定期检查食材的质量和保质期，及时处理过期和变质的食材。</w:t>
      </w:r>
    </w:p>
    <w:p w14:paraId="200C1700">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四、其他要求</w:t>
      </w:r>
    </w:p>
    <w:p w14:paraId="2ED3841F">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1.乙方所聘人员食宿问题由乙方自行解决。</w:t>
      </w:r>
    </w:p>
    <w:p w14:paraId="3A5E9BBD">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2.乙方所有人员应遵守甲方单位的反食品浪费各项规章制度，自觉接受甲方管理。</w:t>
      </w:r>
    </w:p>
    <w:p w14:paraId="6AE7ADCF">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乙方严格遵守用水、用电、用气等操作规范，每天安排1名工作人员值班，每天3次对厨房餐厅等重点部位进行检查，重点检查电、气水用完后是否及时关闭，是否有漏电、漏水、漏气等安全隐患，并做好相关记录，严防发生安全生产事故，如发生安全生产事故，造成的一切损失和相关责任由乙方承担。</w:t>
      </w:r>
    </w:p>
    <w:p w14:paraId="53FA8F00">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在承包期限内，乙方是该食堂的实际管理人，期间因工作发生的所有安全事故由乙方自行承担，与甲方无关，包括但不限于水电气暖的使用不当、在屋内摔倒等一切给乙方造成的人身伤害，甲方都不承担任何责任。</w:t>
      </w:r>
    </w:p>
    <w:p w14:paraId="1E771EC0">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5.乙方需要具备能应对人员临时增加、停水、停电、停气等突发状况的能力，并及时拿出补救措施按时供应餐食。</w:t>
      </w:r>
    </w:p>
    <w:p w14:paraId="457F5E10">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6.合同期间，因乙方及乙方工作人员的责任，造成甲方及甲方工作人员和（或）乙方及乙方工作人员财产和人身伤害的由乙方承担赔偿责任。</w:t>
      </w:r>
    </w:p>
    <w:p w14:paraId="501C65DD">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7.乙方需要具备能接受突发紧急工作接待任务的能力，根据甲方要求，全力配合做好临时性的接待任务。</w:t>
      </w:r>
    </w:p>
    <w:p w14:paraId="1806E561">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8.乙方响应文件中所投人员需全部投入本项目使用，如所投人员少1人，乙方向甲方支付违约金10000元/人。</w:t>
      </w:r>
    </w:p>
    <w:p w14:paraId="72F5E36F">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9.甲方对乙方的饭菜质量实行“好差评”制度，每月由甲方组织用餐人员开展饭菜质量、服务质量、后堂卫生、食堂卫生等满意度测评，一个</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季度</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一次，满意度低于</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0%的列为差评，第一次差评的甲方书面告知整改；第二次差评的，甲方有权扣除当月餐饮服务费总金额的10%；第三次差评的甲方有权单方面终止合同。</w:t>
      </w:r>
    </w:p>
    <w:p w14:paraId="666D7B12">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10.乙方工作人员须提供就餐刷卡所需设备、干部饭卡充值账户等必要条件，就餐时需每天早中晚监督就餐人员刷卡。</w:t>
      </w:r>
    </w:p>
    <w:p w14:paraId="56625AF5">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11.乙方需积极配合甲方的工作安排，按照甲方的要求提供优质的餐饮服务；服从甲方的管理和监督，定期向甲方汇报食堂运营情况。</w:t>
      </w:r>
    </w:p>
    <w:p w14:paraId="48A2BA9B">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12.乙方需制定完善的食品安全应急预案，明确应急处置流程和责任分工，定期组织演练，确保在发生食品安全事故时能够及时、有效地进行处理。</w:t>
      </w:r>
    </w:p>
    <w:p w14:paraId="0F46F757">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13.食堂需采取节能环保措施，如使用节能灯具、节水器具等，减少能源消耗和环境污染；垃圾需进行分类处理，提高资源回收利用率。</w:t>
      </w:r>
    </w:p>
    <w:p w14:paraId="241AE6A4">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五、合同履约期限:</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本项目服务期限为</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年</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(注:本项目合同签订为一年一签，最多签3年，一年合同期满后采购人将对中标方总体服务质量进行</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满意度测评</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年度测评</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结果为优秀</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（满意度90%）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以下的</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终止</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合同;</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测评</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结果为优秀</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（满意度90%及以上）</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，可续签服务合同，合同期满后，是否续签，由采购人决定)</w:t>
      </w:r>
    </w:p>
    <w:p w14:paraId="55E47512">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六、项目地点:喀什地区</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数字化发展局</w:t>
      </w:r>
    </w:p>
    <w:p w14:paraId="57C7C736">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七、付款(进度和方式):按月支付或季度支付（具体以合同签订为准）。</w:t>
      </w:r>
    </w:p>
    <w:p w14:paraId="66C75484">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p>
    <w:p w14:paraId="1818BD2C">
      <w:pPr>
        <w:pStyle w:val="3"/>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240" w:lineRule="atLeast"/>
        <w:ind w:rightChars="0"/>
        <w:jc w:val="center"/>
        <w:textAlignment w:val="auto"/>
        <w:rPr>
          <w:rFonts w:hint="eastAsia" w:ascii="宋体" w:hAnsi="宋体" w:eastAsia="宋体" w:cs="宋体"/>
          <w:color w:val="000000" w:themeColor="text1"/>
          <w:highlight w:val="none"/>
          <w:lang w:eastAsia="zh-CN"/>
          <w14:textFill>
            <w14:solidFill>
              <w14:schemeClr w14:val="tx1"/>
            </w14:solidFill>
          </w14:textFill>
        </w:rPr>
      </w:pPr>
    </w:p>
    <w:p w14:paraId="7C5B63D5">
      <w:pPr>
        <w:pStyle w:val="3"/>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240" w:lineRule="atLeast"/>
        <w:ind w:rightChars="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第</w:t>
      </w:r>
      <w:r>
        <w:rPr>
          <w:rFonts w:hint="eastAsia" w:ascii="宋体" w:hAnsi="宋体" w:eastAsia="宋体" w:cs="宋体"/>
          <w:color w:val="000000" w:themeColor="text1"/>
          <w:highlight w:val="none"/>
          <w:lang w:val="en-US" w:eastAsia="zh-CN"/>
          <w14:textFill>
            <w14:solidFill>
              <w14:schemeClr w14:val="tx1"/>
            </w14:solidFill>
          </w14:textFill>
        </w:rPr>
        <w:t>6章</w:t>
      </w:r>
      <w:r>
        <w:rPr>
          <w:rFonts w:hint="eastAsia"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评标方法和标准</w:t>
      </w:r>
      <w:bookmarkEnd w:id="417"/>
      <w:bookmarkEnd w:id="418"/>
      <w:bookmarkEnd w:id="419"/>
      <w:bookmarkEnd w:id="420"/>
      <w:bookmarkEnd w:id="421"/>
    </w:p>
    <w:p w14:paraId="23F63D1B">
      <w:pPr>
        <w:pStyle w:val="2"/>
        <w:keepNext w:val="0"/>
        <w:keepLines w:val="0"/>
        <w:pageBreakBefore w:val="0"/>
        <w:widowControl w:val="0"/>
        <w:numPr>
          <w:ilvl w:val="0"/>
          <w:numId w:val="0"/>
        </w:numPr>
        <w:tabs>
          <w:tab w:val="clear" w:pos="567"/>
        </w:tabs>
        <w:kinsoku/>
        <w:wordWrap/>
        <w:overflowPunct/>
        <w:topLinePunct w:val="0"/>
        <w:bidi w:val="0"/>
        <w:adjustRightInd/>
        <w:spacing w:before="0" w:line="400" w:lineRule="exact"/>
        <w:ind w:firstLine="480" w:firstLineChars="200"/>
        <w:jc w:val="left"/>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本项目将按照</w:t>
      </w:r>
      <w:r>
        <w:rPr>
          <w:rFonts w:hint="eastAsia" w:cs="宋体"/>
          <w:b w:val="0"/>
          <w:bCs w:val="0"/>
          <w:color w:val="000000" w:themeColor="text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highlight w:val="none"/>
          <w:lang w:eastAsia="zh-CN"/>
          <w14:textFill>
            <w14:solidFill>
              <w14:schemeClr w14:val="tx1"/>
            </w14:solidFill>
          </w14:textFill>
        </w:rPr>
        <w:t>文件</w:t>
      </w:r>
      <w:r>
        <w:rPr>
          <w:rFonts w:hint="eastAsia" w:ascii="宋体" w:hAnsi="宋体" w:eastAsia="宋体" w:cs="宋体"/>
          <w:b w:val="0"/>
          <w:bCs w:val="0"/>
          <w:color w:val="000000" w:themeColor="text1"/>
          <w:highlight w:val="none"/>
          <w14:textFill>
            <w14:solidFill>
              <w14:schemeClr w14:val="tx1"/>
            </w14:solidFill>
          </w14:textFill>
        </w:rPr>
        <w:t>第一章</w:t>
      </w:r>
      <w:r>
        <w:rPr>
          <w:rFonts w:hint="eastAsia" w:cs="宋体"/>
          <w:b w:val="0"/>
          <w:bCs w:val="0"/>
          <w:color w:val="000000" w:themeColor="text1"/>
          <w:highlight w:val="none"/>
          <w:lang w:eastAsia="zh-CN"/>
          <w14:textFill>
            <w14:solidFill>
              <w14:schemeClr w14:val="tx1"/>
            </w14:solidFill>
          </w14:textFill>
        </w:rPr>
        <w:t>投标人</w:t>
      </w:r>
      <w:r>
        <w:rPr>
          <w:rFonts w:hint="eastAsia" w:ascii="宋体" w:hAnsi="宋体" w:eastAsia="宋体" w:cs="宋体"/>
          <w:b w:val="0"/>
          <w:bCs w:val="0"/>
          <w:color w:val="000000" w:themeColor="text1"/>
          <w:highlight w:val="none"/>
          <w14:textFill>
            <w14:solidFill>
              <w14:schemeClr w14:val="tx1"/>
            </w14:solidFill>
          </w14:textFill>
        </w:rPr>
        <w:t xml:space="preserve">须知中“五 </w:t>
      </w:r>
      <w:r>
        <w:rPr>
          <w:rFonts w:hint="eastAsia" w:ascii="宋体" w:hAnsi="宋体" w:eastAsia="宋体" w:cs="宋体"/>
          <w:b w:val="0"/>
          <w:bCs w:val="0"/>
          <w:color w:val="000000" w:themeColor="text1"/>
          <w:highlight w:val="none"/>
          <w:lang w:val="en-US" w:eastAsia="zh-CN"/>
          <w14:textFill>
            <w14:solidFill>
              <w14:schemeClr w14:val="tx1"/>
            </w14:solidFill>
          </w14:textFill>
        </w:rPr>
        <w:t>招标</w:t>
      </w:r>
      <w:r>
        <w:rPr>
          <w:rFonts w:hint="eastAsia" w:ascii="宋体" w:hAnsi="宋体" w:eastAsia="宋体" w:cs="宋体"/>
          <w:b w:val="0"/>
          <w:bCs w:val="0"/>
          <w:color w:val="000000" w:themeColor="text1"/>
          <w:highlight w:val="none"/>
          <w14:textFill>
            <w14:solidFill>
              <w14:schemeClr w14:val="tx1"/>
            </w14:solidFill>
          </w14:textFill>
        </w:rPr>
        <w:t>开启及评审”、“六 确定</w:t>
      </w:r>
      <w:r>
        <w:rPr>
          <w:rFonts w:hint="eastAsia" w:ascii="宋体" w:hAnsi="宋体" w:eastAsia="宋体" w:cs="宋体"/>
          <w:b w:val="0"/>
          <w:bCs w:val="0"/>
          <w:color w:val="000000" w:themeColor="text1"/>
          <w:highlight w:val="none"/>
          <w:lang w:eastAsia="zh-CN"/>
          <w14:textFill>
            <w14:solidFill>
              <w14:schemeClr w14:val="tx1"/>
            </w14:solidFill>
          </w14:textFill>
        </w:rPr>
        <w:t>中标</w:t>
      </w:r>
      <w:r>
        <w:rPr>
          <w:rFonts w:hint="eastAsia" w:ascii="宋体" w:hAnsi="宋体" w:eastAsia="宋体" w:cs="宋体"/>
          <w:b w:val="0"/>
          <w:bCs w:val="0"/>
          <w:color w:val="000000" w:themeColor="text1"/>
          <w:highlight w:val="none"/>
          <w14:textFill>
            <w14:solidFill>
              <w14:schemeClr w14:val="tx1"/>
            </w14:solidFill>
          </w14:textFill>
        </w:rPr>
        <w:t>”及本章的规定评标。</w:t>
      </w:r>
    </w:p>
    <w:p w14:paraId="3893F5A0">
      <w:pPr>
        <w:keepNext w:val="0"/>
        <w:keepLines w:val="0"/>
        <w:pageBreakBefore w:val="0"/>
        <w:widowControl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bCs/>
          <w:i w:val="0"/>
          <w:caps w:val="0"/>
          <w:color w:val="000000" w:themeColor="text1"/>
          <w:spacing w:val="0"/>
          <w:kern w:val="0"/>
          <w:sz w:val="24"/>
          <w:szCs w:val="24"/>
          <w:highlight w:val="none"/>
          <w:lang w:val="en-US" w:eastAsia="zh-CN" w:bidi="ar"/>
          <w14:textFill>
            <w14:solidFill>
              <w14:schemeClr w14:val="tx1"/>
            </w14:solidFill>
          </w14:textFill>
        </w:rPr>
        <w:t>项目基本情况</w:t>
      </w:r>
    </w:p>
    <w:p w14:paraId="120DBEAC">
      <w:pPr>
        <w:keepNext w:val="0"/>
        <w:keepLines w:val="0"/>
        <w:pageBreakBefore w:val="0"/>
        <w:widowControl w:val="0"/>
        <w:kinsoku/>
        <w:wordWrap/>
        <w:overflowPunct/>
        <w:topLinePunct w:val="0"/>
        <w:bidi w:val="0"/>
        <w:adjustRightInd/>
        <w:spacing w:line="400" w:lineRule="exac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项目名称：</w:t>
      </w:r>
      <w:r>
        <w:rPr>
          <w:rFonts w:hint="eastAsia" w:ascii="宋体" w:hAnsi="宋体" w:cs="宋体"/>
          <w:color w:val="000000" w:themeColor="text1"/>
          <w:sz w:val="24"/>
          <w:highlight w:val="none"/>
          <w:lang w:val="en-US" w:eastAsia="zh-CN"/>
          <w14:textFill>
            <w14:solidFill>
              <w14:schemeClr w14:val="tx1"/>
            </w14:solidFill>
          </w14:textFill>
        </w:rPr>
        <w:t xml:space="preserve">喀什地区大数据中心餐饮服务项目（二次）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14:paraId="67A352BC">
      <w:pPr>
        <w:keepNext w:val="0"/>
        <w:keepLines w:val="0"/>
        <w:pageBreakBefore w:val="0"/>
        <w:widowControl w:val="0"/>
        <w:kinsoku/>
        <w:wordWrap/>
        <w:overflowPunct/>
        <w:topLinePunct w:val="0"/>
        <w:bidi w:val="0"/>
        <w:adjustRightInd/>
        <w:spacing w:line="400" w:lineRule="exac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地点：投标人登录政采云平台https://www.zcygov.cn/，进入“项目采购-开标评标-右边选择对应项目点击“进入项目”进入开标大厅。</w:t>
      </w:r>
    </w:p>
    <w:p w14:paraId="4E15227C">
      <w:pPr>
        <w:keepNext w:val="0"/>
        <w:keepLines w:val="0"/>
        <w:pageBreakBefore w:val="0"/>
        <w:widowControl w:val="0"/>
        <w:kinsoku/>
        <w:wordWrap/>
        <w:overflowPunct/>
        <w:topLinePunct w:val="0"/>
        <w:bidi w:val="0"/>
        <w:adjustRightInd/>
        <w:spacing w:line="400" w:lineRule="exac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采购方式：竞争性磋商</w:t>
      </w:r>
    </w:p>
    <w:p w14:paraId="77122C78">
      <w:pPr>
        <w:keepNext w:val="0"/>
        <w:keepLines w:val="0"/>
        <w:pageBreakBefore w:val="0"/>
        <w:widowControl w:val="0"/>
        <w:kinsoku/>
        <w:wordWrap/>
        <w:overflowPunct/>
        <w:topLinePunct w:val="0"/>
        <w:bidi w:val="0"/>
        <w:adjustRightInd/>
        <w:spacing w:line="400" w:lineRule="exac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评标办法：综合评分法</w:t>
      </w:r>
    </w:p>
    <w:p w14:paraId="5930BF9F">
      <w:pPr>
        <w:keepNext w:val="0"/>
        <w:keepLines w:val="0"/>
        <w:pageBreakBefore w:val="0"/>
        <w:widowControl w:val="0"/>
        <w:numPr>
          <w:ilvl w:val="0"/>
          <w:numId w:val="0"/>
        </w:numPr>
        <w:kinsoku/>
        <w:wordWrap/>
        <w:overflowPunct/>
        <w:topLinePunct w:val="0"/>
        <w:bidi w:val="0"/>
        <w:adjustRightInd/>
        <w:spacing w:line="400" w:lineRule="exact"/>
        <w:ind w:leftChars="0"/>
        <w:textAlignment w:val="auto"/>
        <w:rPr>
          <w:rFonts w:hint="eastAsia" w:ascii="宋体" w:hAnsi="宋体" w:eastAsia="宋体" w:cs="宋体"/>
          <w:b w:val="0"/>
          <w:bCs w:val="0"/>
          <w:color w:val="000000" w:themeColor="text1"/>
          <w:sz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highlight w:val="none"/>
          <w:lang w:eastAsia="zh-CN"/>
          <w14:textFill>
            <w14:solidFill>
              <w14:schemeClr w14:val="tx1"/>
            </w14:solidFill>
          </w14:textFill>
        </w:rPr>
        <w:t>是指</w:t>
      </w:r>
      <w:r>
        <w:rPr>
          <w:rFonts w:hint="eastAsia" w:ascii="宋体" w:hAnsi="宋体" w:cs="宋体"/>
          <w:b w:val="0"/>
          <w:bCs w:val="0"/>
          <w:color w:val="000000" w:themeColor="text1"/>
          <w:sz w:val="24"/>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4"/>
          <w:highlight w:val="none"/>
          <w:lang w:eastAsia="zh-CN"/>
          <w14:textFill>
            <w14:solidFill>
              <w14:schemeClr w14:val="tx1"/>
            </w14:solidFill>
          </w14:textFill>
        </w:rPr>
        <w:t>满足</w:t>
      </w:r>
      <w:r>
        <w:rPr>
          <w:rFonts w:hint="eastAsia" w:ascii="宋体" w:hAnsi="宋体" w:cs="宋体"/>
          <w:b w:val="0"/>
          <w:bCs w:val="0"/>
          <w:color w:val="000000" w:themeColor="text1"/>
          <w:sz w:val="24"/>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highlight w:val="none"/>
          <w:lang w:eastAsia="zh-CN"/>
          <w14:textFill>
            <w14:solidFill>
              <w14:schemeClr w14:val="tx1"/>
            </w14:solidFill>
          </w14:textFill>
        </w:rPr>
        <w:t>文件全部实质性要求且按评审因素的量化指标评审得分最高的</w:t>
      </w:r>
      <w:r>
        <w:rPr>
          <w:rFonts w:hint="eastAsia" w:ascii="宋体" w:hAnsi="宋体" w:cs="宋体"/>
          <w:b w:val="0"/>
          <w:bCs w:val="0"/>
          <w:color w:val="000000" w:themeColor="text1"/>
          <w:sz w:val="24"/>
          <w:highlight w:val="none"/>
          <w:lang w:eastAsia="zh-CN"/>
          <w14:textFill>
            <w14:solidFill>
              <w14:schemeClr w14:val="tx1"/>
            </w14:solidFill>
          </w14:textFill>
        </w:rPr>
        <w:t>投标人</w:t>
      </w:r>
      <w:r>
        <w:rPr>
          <w:rFonts w:hint="eastAsia" w:ascii="宋体" w:hAnsi="宋体" w:eastAsia="宋体" w:cs="宋体"/>
          <w:b w:val="0"/>
          <w:bCs w:val="0"/>
          <w:color w:val="000000" w:themeColor="text1"/>
          <w:sz w:val="24"/>
          <w:highlight w:val="none"/>
          <w:lang w:eastAsia="zh-CN"/>
          <w14:textFill>
            <w14:solidFill>
              <w14:schemeClr w14:val="tx1"/>
            </w14:solidFill>
          </w14:textFill>
        </w:rPr>
        <w:t>为中标候选单位的评审方法。</w:t>
      </w:r>
    </w:p>
    <w:p w14:paraId="6BB99395">
      <w:pPr>
        <w:keepNext w:val="0"/>
        <w:keepLines w:val="0"/>
        <w:pageBreakBefore w:val="0"/>
        <w:widowControl w:val="0"/>
        <w:kinsoku/>
        <w:wordWrap/>
        <w:overflowPunct/>
        <w:topLinePunct w:val="0"/>
        <w:bidi w:val="0"/>
        <w:adjustRightInd/>
        <w:spacing w:line="400" w:lineRule="exact"/>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none"/>
          <w:lang w:eastAsia="zh-CN"/>
          <w14:textFill>
            <w14:solidFill>
              <w14:schemeClr w14:val="tx1"/>
            </w14:solidFill>
          </w14:textFill>
        </w:rPr>
        <w:t>拒绝接收</w:t>
      </w:r>
      <w:r>
        <w:rPr>
          <w:rFonts w:hint="eastAsia" w:ascii="宋体" w:hAnsi="宋体" w:cs="宋体"/>
          <w:b/>
          <w:bCs/>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
          <w:bCs/>
          <w:color w:val="000000" w:themeColor="text1"/>
          <w:sz w:val="24"/>
          <w:szCs w:val="24"/>
          <w:highlight w:val="none"/>
          <w:lang w:eastAsia="zh-CN"/>
          <w14:textFill>
            <w14:solidFill>
              <w14:schemeClr w14:val="tx1"/>
            </w14:solidFill>
          </w14:textFill>
        </w:rPr>
        <w:t>的情形</w:t>
      </w:r>
    </w:p>
    <w:p w14:paraId="52CB34F0">
      <w:pPr>
        <w:keepNext w:val="0"/>
        <w:keepLines w:val="0"/>
        <w:pageBreakBefore w:val="0"/>
        <w:widowControl w:val="0"/>
        <w:kinsoku/>
        <w:wordWrap/>
        <w:overflowPunct/>
        <w:topLinePunct w:val="0"/>
        <w:bidi w:val="0"/>
        <w:adjustRightInd/>
        <w:spacing w:line="400" w:lineRule="exact"/>
        <w:ind w:left="0" w:leftChars="0"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在递交</w:t>
      </w:r>
      <w:r>
        <w:rPr>
          <w:rFonts w:hint="eastAsia" w:ascii="宋体" w:hAnsi="宋体" w:cs="宋体"/>
          <w:b w:val="0"/>
          <w:bCs w:val="0"/>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4"/>
          <w:szCs w:val="24"/>
          <w:highlight w:val="none"/>
          <w14:textFill>
            <w14:solidFill>
              <w14:schemeClr w14:val="tx1"/>
            </w14:solidFill>
          </w14:textFill>
        </w:rPr>
        <w:t>截止时间后</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递交</w:t>
      </w:r>
      <w:r>
        <w:rPr>
          <w:rFonts w:hint="eastAsia" w:ascii="宋体" w:hAnsi="宋体" w:eastAsia="宋体" w:cs="宋体"/>
          <w:b w:val="0"/>
          <w:bCs w:val="0"/>
          <w:color w:val="000000" w:themeColor="text1"/>
          <w:sz w:val="24"/>
          <w:szCs w:val="24"/>
          <w:highlight w:val="none"/>
          <w14:textFill>
            <w14:solidFill>
              <w14:schemeClr w14:val="tx1"/>
            </w14:solidFill>
          </w14:textFill>
        </w:rPr>
        <w:t>的</w:t>
      </w:r>
      <w:r>
        <w:rPr>
          <w:rFonts w:hint="eastAsia" w:ascii="宋体" w:hAnsi="宋体" w:cs="宋体"/>
          <w:b w:val="0"/>
          <w:bCs w:val="0"/>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4"/>
          <w:szCs w:val="24"/>
          <w:highlight w:val="none"/>
          <w14:textFill>
            <w14:solidFill>
              <w14:schemeClr w14:val="tx1"/>
            </w14:solidFill>
          </w14:textFill>
        </w:rPr>
        <w:t>的，采购人和采购代理机构将拒绝</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签</w:t>
      </w:r>
      <w:r>
        <w:rPr>
          <w:rFonts w:hint="eastAsia" w:ascii="宋体" w:hAnsi="宋体" w:eastAsia="宋体" w:cs="宋体"/>
          <w:b w:val="0"/>
          <w:bCs w:val="0"/>
          <w:color w:val="000000" w:themeColor="text1"/>
          <w:sz w:val="24"/>
          <w:szCs w:val="24"/>
          <w:highlight w:val="none"/>
          <w14:textFill>
            <w14:solidFill>
              <w14:schemeClr w14:val="tx1"/>
            </w14:solidFill>
          </w14:textFill>
        </w:rPr>
        <w:t>收。</w:t>
      </w:r>
    </w:p>
    <w:p w14:paraId="559A319D">
      <w:pPr>
        <w:keepNext w:val="0"/>
        <w:keepLines w:val="0"/>
        <w:pageBreakBefore w:val="0"/>
        <w:widowControl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三、不得开启</w:t>
      </w:r>
      <w:r>
        <w:rPr>
          <w:rFonts w:hint="eastAsia" w:ascii="宋体" w:hAnsi="宋体" w:cs="宋体"/>
          <w:b/>
          <w:bCs/>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的情形</w:t>
      </w:r>
    </w:p>
    <w:p w14:paraId="59D869C2">
      <w:pPr>
        <w:keepNext w:val="0"/>
        <w:keepLines w:val="0"/>
        <w:pageBreakBefore w:val="0"/>
        <w:widowControl w:val="0"/>
        <w:numPr>
          <w:ilvl w:val="0"/>
          <w:numId w:val="0"/>
        </w:numPr>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bCs w:val="0"/>
          <w:color w:val="000000" w:themeColor="text1"/>
          <w:sz w:val="24"/>
          <w:szCs w:val="24"/>
          <w:highlight w:val="none"/>
          <w14:textFill>
            <w14:solidFill>
              <w14:schemeClr w14:val="tx1"/>
            </w14:solidFill>
          </w14:textFill>
        </w:rPr>
        <w:t>不足3家的，不得开启</w:t>
      </w:r>
      <w:r>
        <w:rPr>
          <w:rFonts w:hint="eastAsia" w:ascii="宋体" w:hAnsi="宋体" w:cs="宋体"/>
          <w:b w:val="0"/>
          <w:bCs w:val="0"/>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2CABFE8F">
      <w:pPr>
        <w:pStyle w:val="2"/>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四</w:t>
      </w:r>
      <w:r>
        <w:rPr>
          <w:rFonts w:hint="eastAsia" w:ascii="宋体" w:hAnsi="宋体" w:eastAsia="宋体" w:cs="宋体"/>
          <w:b/>
          <w:bCs/>
          <w:color w:val="000000" w:themeColor="text1"/>
          <w:highlight w:val="none"/>
          <w14:textFill>
            <w14:solidFill>
              <w14:schemeClr w14:val="tx1"/>
            </w14:solidFill>
          </w14:textFill>
        </w:rPr>
        <w:t>.</w:t>
      </w:r>
      <w:r>
        <w:rPr>
          <w:rFonts w:hint="eastAsia" w:cs="宋体"/>
          <w:b/>
          <w:bCs/>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b/>
          <w:bCs/>
          <w:color w:val="000000" w:themeColor="text1"/>
          <w:highlight w:val="none"/>
          <w14:textFill>
            <w14:solidFill>
              <w14:schemeClr w14:val="tx1"/>
            </w14:solidFill>
          </w14:textFill>
        </w:rPr>
        <w:t>无效的情形：</w:t>
      </w:r>
    </w:p>
    <w:p w14:paraId="7A8068FB">
      <w:pPr>
        <w:keepNext w:val="0"/>
        <w:keepLines w:val="0"/>
        <w:pageBreakBefore w:val="0"/>
        <w:widowControl w:val="0"/>
        <w:numPr>
          <w:ilvl w:val="0"/>
          <w:numId w:val="0"/>
        </w:numPr>
        <w:kinsoku/>
        <w:wordWrap/>
        <w:overflowPunct/>
        <w:topLinePunct w:val="0"/>
        <w:bidi w:val="0"/>
        <w:adjustRightInd/>
        <w:snapToGrid/>
        <w:spacing w:line="400" w:lineRule="exact"/>
        <w:ind w:leftChars="0" w:firstLine="480" w:firstLineChars="200"/>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采购人或采购代理机构将在</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投标</w:t>
      </w:r>
      <w:r>
        <w:rPr>
          <w:rFonts w:hint="eastAsia" w:ascii="宋体" w:hAnsi="宋体" w:eastAsia="宋体" w:cs="宋体"/>
          <w:b w:val="0"/>
          <w:bCs w:val="0"/>
          <w:color w:val="000000" w:themeColor="text1"/>
          <w:sz w:val="24"/>
          <w:szCs w:val="24"/>
          <w:highlight w:val="none"/>
          <w14:textFill>
            <w14:solidFill>
              <w14:schemeClr w14:val="tx1"/>
            </w14:solidFill>
          </w14:textFill>
        </w:rPr>
        <w:t>开启前1个工作日至递交</w:t>
      </w:r>
      <w:r>
        <w:rPr>
          <w:rFonts w:hint="eastAsia" w:ascii="宋体" w:hAnsi="宋体" w:cs="宋体"/>
          <w:b w:val="0"/>
          <w:bCs w:val="0"/>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4"/>
          <w:szCs w:val="24"/>
          <w:highlight w:val="none"/>
          <w14:textFill>
            <w14:solidFill>
              <w14:schemeClr w14:val="tx1"/>
            </w14:solidFill>
          </w14:textFill>
        </w:rPr>
        <w:t>截止</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前</w:t>
      </w:r>
      <w:r>
        <w:rPr>
          <w:rFonts w:hint="eastAsia" w:ascii="宋体" w:hAnsi="宋体" w:eastAsia="宋体" w:cs="宋体"/>
          <w:b w:val="0"/>
          <w:bCs w:val="0"/>
          <w:color w:val="000000" w:themeColor="text1"/>
          <w:sz w:val="24"/>
          <w:szCs w:val="24"/>
          <w:highlight w:val="none"/>
          <w14:textFill>
            <w14:solidFill>
              <w14:schemeClr w14:val="tx1"/>
            </w14:solidFill>
          </w14:textFill>
        </w:rPr>
        <w:t>查询</w:t>
      </w:r>
      <w:r>
        <w:rPr>
          <w:rFonts w:hint="eastAsia" w:ascii="宋体" w:hAnsi="宋体" w:cs="宋体"/>
          <w:b w:val="0"/>
          <w:bCs w:val="0"/>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bCs w:val="0"/>
          <w:color w:val="000000" w:themeColor="text1"/>
          <w:sz w:val="24"/>
          <w:szCs w:val="24"/>
          <w:highlight w:val="none"/>
          <w14:textFill>
            <w14:solidFill>
              <w14:schemeClr w14:val="tx1"/>
            </w14:solidFill>
          </w14:textFill>
        </w:rPr>
        <w:t>的信用记录。</w:t>
      </w:r>
      <w:r>
        <w:rPr>
          <w:rFonts w:hint="eastAsia" w:ascii="宋体" w:hAnsi="宋体" w:cs="宋体"/>
          <w:b w:val="0"/>
          <w:bCs w:val="0"/>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bCs w:val="0"/>
          <w:color w:val="000000" w:themeColor="text1"/>
          <w:sz w:val="24"/>
          <w:szCs w:val="24"/>
          <w:highlight w:val="none"/>
          <w14:textFill>
            <w14:solidFill>
              <w14:schemeClr w14:val="tx1"/>
            </w14:solidFill>
          </w14:textFill>
        </w:rPr>
        <w:t>存在不良信用记录的，其</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b w:val="0"/>
          <w:bCs w:val="0"/>
          <w:color w:val="000000" w:themeColor="text1"/>
          <w:sz w:val="24"/>
          <w:szCs w:val="24"/>
          <w:highlight w:val="none"/>
          <w14:textFill>
            <w14:solidFill>
              <w14:schemeClr w14:val="tx1"/>
            </w14:solidFill>
          </w14:textFill>
        </w:rPr>
        <w:t>资格将被认定为无效。</w:t>
      </w:r>
    </w:p>
    <w:p w14:paraId="212ED4EB">
      <w:pPr>
        <w:pStyle w:val="49"/>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如采购人所采购产品为政府强制采购的节能产品，</w:t>
      </w:r>
      <w:r>
        <w:rPr>
          <w:rFonts w:hint="eastAsia" w:hAnsi="宋体" w:cs="宋体"/>
          <w:b w:val="0"/>
          <w:bCs w:val="0"/>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bCs w:val="0"/>
          <w:color w:val="000000" w:themeColor="text1"/>
          <w:sz w:val="24"/>
          <w:szCs w:val="24"/>
          <w:highlight w:val="none"/>
          <w14:textFill>
            <w14:solidFill>
              <w14:schemeClr w14:val="tx1"/>
            </w14:solidFill>
          </w14:textFill>
        </w:rPr>
        <w:t>所投产品的品牌及型号必须为清单中有效期内产品并提供证明文件，否则其</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投标资格</w:t>
      </w:r>
      <w:r>
        <w:rPr>
          <w:rFonts w:hint="eastAsia" w:ascii="宋体" w:hAnsi="宋体" w:eastAsia="宋体" w:cs="宋体"/>
          <w:b w:val="0"/>
          <w:bCs w:val="0"/>
          <w:color w:val="000000" w:themeColor="text1"/>
          <w:sz w:val="24"/>
          <w:szCs w:val="24"/>
          <w:highlight w:val="none"/>
          <w14:textFill>
            <w14:solidFill>
              <w14:schemeClr w14:val="tx1"/>
            </w14:solidFill>
          </w14:textFill>
        </w:rPr>
        <w:t>将被认定为无效。</w:t>
      </w:r>
    </w:p>
    <w:p w14:paraId="0911AA73">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在比较与评价之前，根据本须知的规定，</w:t>
      </w: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要审查每份</w:t>
      </w:r>
      <w:r>
        <w:rPr>
          <w:rFonts w:hint="eastAsia" w:ascii="宋体" w:hAnsi="宋体" w:cs="宋体"/>
          <w:b w:val="0"/>
          <w:bCs w:val="0"/>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4"/>
          <w:szCs w:val="24"/>
          <w:highlight w:val="none"/>
          <w14:textFill>
            <w14:solidFill>
              <w14:schemeClr w14:val="tx1"/>
            </w14:solidFill>
          </w14:textFill>
        </w:rPr>
        <w:t>是否实质上响应了</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文件</w:t>
      </w:r>
      <w:r>
        <w:rPr>
          <w:rFonts w:hint="eastAsia" w:ascii="宋体" w:hAnsi="宋体" w:eastAsia="宋体" w:cs="宋体"/>
          <w:b w:val="0"/>
          <w:bCs w:val="0"/>
          <w:color w:val="000000" w:themeColor="text1"/>
          <w:sz w:val="24"/>
          <w:szCs w:val="24"/>
          <w:highlight w:val="none"/>
          <w14:textFill>
            <w14:solidFill>
              <w14:schemeClr w14:val="tx1"/>
            </w14:solidFill>
          </w14:textFill>
        </w:rPr>
        <w:t>的要求。实质上响应的</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投标</w:t>
      </w:r>
      <w:r>
        <w:rPr>
          <w:rFonts w:hint="eastAsia" w:ascii="宋体" w:hAnsi="宋体" w:eastAsia="宋体" w:cs="宋体"/>
          <w:b w:val="0"/>
          <w:bCs w:val="0"/>
          <w:color w:val="000000" w:themeColor="text1"/>
          <w:sz w:val="24"/>
          <w:szCs w:val="24"/>
          <w:highlight w:val="none"/>
          <w14:textFill>
            <w14:solidFill>
              <w14:schemeClr w14:val="tx1"/>
            </w14:solidFill>
          </w14:textFill>
        </w:rPr>
        <w:t>应该是与</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文件</w:t>
      </w:r>
      <w:r>
        <w:rPr>
          <w:rFonts w:hint="eastAsia" w:ascii="宋体" w:hAnsi="宋体" w:eastAsia="宋体" w:cs="宋体"/>
          <w:b w:val="0"/>
          <w:bCs w:val="0"/>
          <w:color w:val="000000" w:themeColor="text1"/>
          <w:sz w:val="24"/>
          <w:szCs w:val="24"/>
          <w:highlight w:val="none"/>
          <w14:textFill>
            <w14:solidFill>
              <w14:schemeClr w14:val="tx1"/>
            </w14:solidFill>
          </w14:textFill>
        </w:rPr>
        <w:t>要求的全部条款、条件和规格相符，没有重大偏离的</w:t>
      </w:r>
      <w:r>
        <w:rPr>
          <w:rFonts w:hint="eastAsia" w:ascii="宋体" w:hAnsi="宋体" w:cs="宋体"/>
          <w:b w:val="0"/>
          <w:bCs w:val="0"/>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4"/>
          <w:szCs w:val="24"/>
          <w:highlight w:val="none"/>
          <w14:textFill>
            <w14:solidFill>
              <w14:schemeClr w14:val="tx1"/>
            </w14:solidFill>
          </w14:textFill>
        </w:rPr>
        <w:t>。对关键条款的偏离，将被认定为无效。</w:t>
      </w:r>
      <w:r>
        <w:rPr>
          <w:rFonts w:hint="eastAsia" w:ascii="宋体" w:hAnsi="宋体" w:cs="宋体"/>
          <w:b w:val="0"/>
          <w:bCs w:val="0"/>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bCs w:val="0"/>
          <w:color w:val="000000" w:themeColor="text1"/>
          <w:sz w:val="24"/>
          <w:szCs w:val="24"/>
          <w:highlight w:val="none"/>
          <w14:textFill>
            <w14:solidFill>
              <w14:schemeClr w14:val="tx1"/>
            </w14:solidFill>
          </w14:textFill>
        </w:rPr>
        <w:t>不得通过修正或撤销不符合要求的偏离，从而使其</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投标</w:t>
      </w:r>
      <w:r>
        <w:rPr>
          <w:rFonts w:hint="eastAsia" w:ascii="宋体" w:hAnsi="宋体" w:eastAsia="宋体" w:cs="宋体"/>
          <w:b w:val="0"/>
          <w:bCs w:val="0"/>
          <w:color w:val="000000" w:themeColor="text1"/>
          <w:sz w:val="24"/>
          <w:szCs w:val="24"/>
          <w:highlight w:val="none"/>
          <w14:textFill>
            <w14:solidFill>
              <w14:schemeClr w14:val="tx1"/>
            </w14:solidFill>
          </w14:textFill>
        </w:rPr>
        <w:t>成为实质上响应的</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投标</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5E88662A">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14:textFill>
            <w14:solidFill>
              <w14:schemeClr w14:val="tx1"/>
            </w14:solidFill>
          </w14:textFill>
        </w:rPr>
        <w:t>未按</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文件</w:t>
      </w:r>
      <w:r>
        <w:rPr>
          <w:rFonts w:hint="eastAsia" w:ascii="宋体" w:hAnsi="宋体" w:eastAsia="宋体" w:cs="宋体"/>
          <w:b w:val="0"/>
          <w:bCs w:val="0"/>
          <w:color w:val="000000" w:themeColor="text1"/>
          <w:sz w:val="24"/>
          <w:szCs w:val="24"/>
          <w:highlight w:val="none"/>
          <w14:textFill>
            <w14:solidFill>
              <w14:schemeClr w14:val="tx1"/>
            </w14:solidFill>
          </w14:textFill>
        </w:rPr>
        <w:t>规定的形式和金额提交</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投标</w:t>
      </w:r>
      <w:r>
        <w:rPr>
          <w:rFonts w:hint="eastAsia" w:ascii="宋体" w:hAnsi="宋体" w:eastAsia="宋体" w:cs="宋体"/>
          <w:b w:val="0"/>
          <w:bCs w:val="0"/>
          <w:color w:val="000000" w:themeColor="text1"/>
          <w:sz w:val="24"/>
          <w:szCs w:val="24"/>
          <w:highlight w:val="none"/>
          <w14:textFill>
            <w14:solidFill>
              <w14:schemeClr w14:val="tx1"/>
            </w14:solidFill>
          </w14:textFill>
        </w:rPr>
        <w:t>保证金的；</w:t>
      </w:r>
    </w:p>
    <w:p w14:paraId="1080CB1F">
      <w:pPr>
        <w:keepNext w:val="0"/>
        <w:keepLines w:val="0"/>
        <w:pageBreakBefore w:val="0"/>
        <w:widowControl w:val="0"/>
        <w:tabs>
          <w:tab w:val="left" w:pos="817"/>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未按照</w:t>
      </w:r>
      <w:r>
        <w:rPr>
          <w:rFonts w:hint="eastAsia" w:ascii="宋体" w:hAnsi="宋体" w:cs="宋体"/>
          <w:b w:val="0"/>
          <w:bCs w:val="0"/>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b w:val="0"/>
          <w:bCs w:val="0"/>
          <w:color w:val="000000" w:themeColor="text1"/>
          <w:sz w:val="24"/>
          <w:szCs w:val="24"/>
          <w:highlight w:val="none"/>
          <w14:textFill>
            <w14:solidFill>
              <w14:schemeClr w14:val="tx1"/>
            </w14:solidFill>
          </w14:textFill>
        </w:rPr>
        <w:t>规定要求签署、盖章的；</w:t>
      </w:r>
    </w:p>
    <w:p w14:paraId="2F79CA21">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14:textFill>
            <w14:solidFill>
              <w14:schemeClr w14:val="tx1"/>
            </w14:solidFill>
          </w14:textFill>
        </w:rPr>
        <w:t>未满足</w:t>
      </w:r>
      <w:r>
        <w:rPr>
          <w:rFonts w:hint="eastAsia" w:ascii="宋体" w:hAnsi="宋体" w:cs="宋体"/>
          <w:b w:val="0"/>
          <w:bCs w:val="0"/>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b w:val="0"/>
          <w:bCs w:val="0"/>
          <w:color w:val="000000" w:themeColor="text1"/>
          <w:sz w:val="24"/>
          <w:szCs w:val="24"/>
          <w:highlight w:val="none"/>
          <w14:textFill>
            <w14:solidFill>
              <w14:schemeClr w14:val="tx1"/>
            </w14:solidFill>
          </w14:textFill>
        </w:rPr>
        <w:t>中技术条款的实质性要求；</w:t>
      </w:r>
    </w:p>
    <w:p w14:paraId="7E01D6D6">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4"/>
          <w:szCs w:val="24"/>
          <w:highlight w:val="none"/>
          <w14:textFill>
            <w14:solidFill>
              <w14:schemeClr w14:val="tx1"/>
            </w14:solidFill>
          </w14:textFill>
        </w:rPr>
        <w:t>与其他</w:t>
      </w:r>
      <w:r>
        <w:rPr>
          <w:rFonts w:hint="eastAsia" w:ascii="宋体" w:hAnsi="宋体" w:cs="宋体"/>
          <w:b w:val="0"/>
          <w:bCs w:val="0"/>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bCs w:val="0"/>
          <w:color w:val="000000" w:themeColor="text1"/>
          <w:sz w:val="24"/>
          <w:szCs w:val="24"/>
          <w:highlight w:val="none"/>
          <w14:textFill>
            <w14:solidFill>
              <w14:schemeClr w14:val="tx1"/>
            </w14:solidFill>
          </w14:textFill>
        </w:rPr>
        <w:t>串通参加</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投标</w:t>
      </w:r>
      <w:r>
        <w:rPr>
          <w:rFonts w:hint="eastAsia" w:ascii="宋体" w:hAnsi="宋体" w:eastAsia="宋体" w:cs="宋体"/>
          <w:b w:val="0"/>
          <w:bCs w:val="0"/>
          <w:color w:val="000000" w:themeColor="text1"/>
          <w:sz w:val="24"/>
          <w:szCs w:val="24"/>
          <w:highlight w:val="none"/>
          <w14:textFill>
            <w14:solidFill>
              <w14:schemeClr w14:val="tx1"/>
            </w14:solidFill>
          </w14:textFill>
        </w:rPr>
        <w:t>，或者与采购人串通参加</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投标</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49D0C2EE">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14:textFill>
            <w14:solidFill>
              <w14:schemeClr w14:val="tx1"/>
            </w14:solidFill>
          </w14:textFill>
        </w:rPr>
        <w:t>属于</w:t>
      </w:r>
      <w:r>
        <w:rPr>
          <w:rFonts w:hint="eastAsia" w:ascii="宋体" w:hAnsi="宋体" w:cs="宋体"/>
          <w:b w:val="0"/>
          <w:bCs w:val="0"/>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b w:val="0"/>
          <w:bCs w:val="0"/>
          <w:color w:val="000000" w:themeColor="text1"/>
          <w:sz w:val="24"/>
          <w:szCs w:val="24"/>
          <w:highlight w:val="none"/>
          <w14:textFill>
            <w14:solidFill>
              <w14:schemeClr w14:val="tx1"/>
            </w14:solidFill>
          </w14:textFill>
        </w:rPr>
        <w:t>规定的其他无效情形；</w:t>
      </w:r>
    </w:p>
    <w:p w14:paraId="5C5EB9B2">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认为</w:t>
      </w:r>
      <w:r>
        <w:rPr>
          <w:rFonts w:hint="eastAsia" w:ascii="宋体" w:hAnsi="宋体" w:cs="宋体"/>
          <w:b w:val="0"/>
          <w:bCs w:val="0"/>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bCs w:val="0"/>
          <w:color w:val="000000" w:themeColor="text1"/>
          <w:sz w:val="24"/>
          <w:szCs w:val="24"/>
          <w:highlight w:val="none"/>
          <w14:textFill>
            <w14:solidFill>
              <w14:schemeClr w14:val="tx1"/>
            </w14:solidFill>
          </w14:textFill>
        </w:rPr>
        <w:t>的报价明显低于其他通过符合性检查</w:t>
      </w:r>
      <w:r>
        <w:rPr>
          <w:rFonts w:hint="eastAsia" w:ascii="宋体" w:hAnsi="宋体" w:cs="宋体"/>
          <w:b w:val="0"/>
          <w:bCs w:val="0"/>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bCs w:val="0"/>
          <w:color w:val="000000" w:themeColor="text1"/>
          <w:sz w:val="24"/>
          <w:szCs w:val="24"/>
          <w:highlight w:val="none"/>
          <w14:textFill>
            <w14:solidFill>
              <w14:schemeClr w14:val="tx1"/>
            </w14:solidFill>
          </w14:textFill>
        </w:rPr>
        <w:t>的报价，有可能影响履约的，且</w:t>
      </w:r>
      <w:r>
        <w:rPr>
          <w:rFonts w:hint="eastAsia" w:ascii="宋体" w:hAnsi="宋体" w:cs="宋体"/>
          <w:b w:val="0"/>
          <w:bCs w:val="0"/>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bCs w:val="0"/>
          <w:color w:val="000000" w:themeColor="text1"/>
          <w:sz w:val="24"/>
          <w:szCs w:val="24"/>
          <w:highlight w:val="none"/>
          <w14:textFill>
            <w14:solidFill>
              <w14:schemeClr w14:val="tx1"/>
            </w14:solidFill>
          </w14:textFill>
        </w:rPr>
        <w:t>未按照规定证明其报价合理性的；</w:t>
      </w:r>
    </w:p>
    <w:p w14:paraId="1FDFC08D">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cs="宋体"/>
          <w:b w:val="0"/>
          <w:bCs w:val="0"/>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4"/>
          <w:szCs w:val="24"/>
          <w:highlight w:val="none"/>
          <w14:textFill>
            <w14:solidFill>
              <w14:schemeClr w14:val="tx1"/>
            </w14:solidFill>
          </w14:textFill>
        </w:rPr>
        <w:t>含有采购人不能接受的附加条件的；</w:t>
      </w:r>
    </w:p>
    <w:p w14:paraId="70E87297">
      <w:pPr>
        <w:keepNext w:val="0"/>
        <w:keepLines w:val="0"/>
        <w:pageBreakBefore w:val="0"/>
        <w:widowControl w:val="0"/>
        <w:tabs>
          <w:tab w:val="left" w:pos="0"/>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b w:val="0"/>
          <w:bCs w:val="0"/>
          <w:color w:val="000000" w:themeColor="text1"/>
          <w:sz w:val="24"/>
          <w:szCs w:val="24"/>
          <w:highlight w:val="none"/>
          <w14:textFill>
            <w14:solidFill>
              <w14:schemeClr w14:val="tx1"/>
            </w14:solidFill>
          </w14:textFill>
        </w:rPr>
        <w:t>不符合法规和</w:t>
      </w:r>
      <w:r>
        <w:rPr>
          <w:rFonts w:hint="eastAsia" w:ascii="宋体" w:hAnsi="宋体" w:cs="宋体"/>
          <w:b w:val="0"/>
          <w:bCs w:val="0"/>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b w:val="0"/>
          <w:bCs w:val="0"/>
          <w:color w:val="000000" w:themeColor="text1"/>
          <w:sz w:val="24"/>
          <w:szCs w:val="24"/>
          <w:highlight w:val="none"/>
          <w14:textFill>
            <w14:solidFill>
              <w14:schemeClr w14:val="tx1"/>
            </w14:solidFill>
          </w14:textFill>
        </w:rPr>
        <w:t>中规定的其他实质性要求的。</w:t>
      </w:r>
    </w:p>
    <w:p w14:paraId="381CC88C">
      <w:pPr>
        <w:pStyle w:val="49"/>
        <w:keepNext w:val="0"/>
        <w:keepLines w:val="0"/>
        <w:pageBreakBefore w:val="0"/>
        <w:widowControl w:val="0"/>
        <w:kinsoku/>
        <w:wordWrap/>
        <w:overflowPunct/>
        <w:topLinePunct w:val="0"/>
        <w:bidi w:val="0"/>
        <w:adjustRightInd/>
        <w:spacing w:line="400" w:lineRule="exac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hAnsi="宋体" w:cs="宋体"/>
          <w:b/>
          <w:bCs/>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的开启</w:t>
      </w:r>
    </w:p>
    <w:p w14:paraId="06AEB439">
      <w:pPr>
        <w:pStyle w:val="2"/>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在</w:t>
      </w:r>
      <w:r>
        <w:rPr>
          <w:rFonts w:hint="eastAsia" w:cs="宋体"/>
          <w:b w:val="0"/>
          <w:bCs w:val="0"/>
          <w:color w:val="000000" w:themeColor="text1"/>
          <w:kern w:val="2"/>
          <w:sz w:val="24"/>
          <w:szCs w:val="24"/>
          <w:highlight w:val="none"/>
          <w:lang w:val="en-US" w:eastAsia="zh-CN" w:bidi="ar-SA"/>
          <w14:textFill>
            <w14:solidFill>
              <w14:schemeClr w14:val="tx1"/>
            </w14:solidFill>
          </w14:textFill>
        </w:rPr>
        <w:t>磋商文件</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确定的提交</w:t>
      </w:r>
      <w:r>
        <w:rPr>
          <w:rFonts w:hint="eastAsia" w:cs="宋体"/>
          <w:b w:val="0"/>
          <w:bCs w:val="0"/>
          <w:color w:val="000000" w:themeColor="text1"/>
          <w:kern w:val="2"/>
          <w:sz w:val="24"/>
          <w:szCs w:val="24"/>
          <w:highlight w:val="none"/>
          <w:lang w:val="en-US" w:eastAsia="zh-CN" w:bidi="ar-SA"/>
          <w14:textFill>
            <w14:solidFill>
              <w14:schemeClr w14:val="tx1"/>
            </w14:solidFill>
          </w14:textFill>
        </w:rPr>
        <w:t>响应文件</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截止时间后进行。开标由采购代理主持,</w:t>
      </w:r>
      <w:r>
        <w:rPr>
          <w:rFonts w:hint="eastAsia" w:cs="宋体"/>
          <w:b w:val="0"/>
          <w:bCs w:val="0"/>
          <w:color w:val="000000" w:themeColor="text1"/>
          <w:kern w:val="2"/>
          <w:sz w:val="24"/>
          <w:szCs w:val="24"/>
          <w:highlight w:val="none"/>
          <w:lang w:val="en-US" w:eastAsia="zh-CN" w:bidi="ar-SA"/>
          <w14:textFill>
            <w14:solidFill>
              <w14:schemeClr w14:val="tx1"/>
            </w14:solidFill>
          </w14:textFill>
        </w:rPr>
        <w:t>投标人</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投标的</w:t>
      </w:r>
      <w:r>
        <w:rPr>
          <w:rFonts w:hint="eastAsia" w:cs="宋体"/>
          <w:b w:val="0"/>
          <w:bCs w:val="0"/>
          <w:color w:val="000000" w:themeColor="text1"/>
          <w:kern w:val="2"/>
          <w:sz w:val="24"/>
          <w:szCs w:val="24"/>
          <w:highlight w:val="none"/>
          <w:lang w:val="en-US" w:eastAsia="zh-CN" w:bidi="ar-SA"/>
          <w14:textFill>
            <w14:solidFill>
              <w14:schemeClr w14:val="tx1"/>
            </w14:solidFill>
          </w14:textFill>
        </w:rPr>
        <w:t>投标人</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应委派代表参加投标会议。</w:t>
      </w:r>
    </w:p>
    <w:p w14:paraId="6983C466">
      <w:pPr>
        <w:pStyle w:val="16"/>
        <w:keepNext w:val="0"/>
        <w:keepLines w:val="0"/>
        <w:pageBreakBefore w:val="0"/>
        <w:widowControl w:val="0"/>
        <w:numPr>
          <w:ilvl w:val="0"/>
          <w:numId w:val="0"/>
        </w:numPr>
        <w:kinsoku/>
        <w:wordWrap/>
        <w:overflowPunct/>
        <w:topLinePunct w:val="0"/>
        <w:bidi w:val="0"/>
        <w:adjustRightInd/>
        <w:snapToGrid w:val="0"/>
        <w:spacing w:line="400" w:lineRule="exact"/>
        <w:ind w:firstLine="466" w:firstLineChars="200"/>
        <w:textAlignment w:val="auto"/>
        <w:rPr>
          <w:rFonts w:hint="eastAsia" w:ascii="宋体" w:hAnsi="宋体" w:eastAsia="宋体" w:cs="宋体"/>
          <w:b/>
          <w:bCs/>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4"/>
          <w:sz w:val="24"/>
          <w:szCs w:val="24"/>
          <w:highlight w:val="none"/>
          <w:lang w:val="en-US" w:eastAsia="zh-CN"/>
          <w14:textFill>
            <w14:solidFill>
              <w14:schemeClr w14:val="tx1"/>
            </w14:solidFill>
          </w14:textFill>
        </w:rPr>
        <w:t>六、项目评审专家：</w:t>
      </w:r>
    </w:p>
    <w:p w14:paraId="2488E7E0">
      <w:pPr>
        <w:pStyle w:val="16"/>
        <w:keepNext w:val="0"/>
        <w:keepLines w:val="0"/>
        <w:pageBreakBefore w:val="0"/>
        <w:widowControl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t>按照《中华人民共和国政府采购法》、《中华人民共和国政府采购法实施条例》、</w:t>
      </w:r>
      <w:r>
        <w:rPr>
          <w:rFonts w:hint="eastAsia" w:ascii="宋体" w:hAnsi="宋体" w:eastAsia="宋体" w:cs="宋体"/>
          <w:color w:val="000000" w:themeColor="text1"/>
          <w:sz w:val="24"/>
          <w:highlight w:val="none"/>
          <w:lang w:eastAsia="zh-CN"/>
          <w14:textFill>
            <w14:solidFill>
              <w14:schemeClr w14:val="tx1"/>
            </w14:solidFill>
          </w14:textFill>
        </w:rPr>
        <w:t>《政府采购竞争性投标采购方式管理暂行办法》</w:t>
      </w:r>
      <w:r>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t>及本项目本级和上级财政部门的有关规定依法组建的评审小组，负责评审工作；本项目评审专家由</w:t>
      </w:r>
      <w:r>
        <w:rPr>
          <w:rFonts w:hint="eastAsia" w:hAnsi="宋体" w:cs="宋体"/>
          <w:b w:val="0"/>
          <w:bCs w:val="0"/>
          <w:color w:val="000000" w:themeColor="text1"/>
          <w:spacing w:val="-4"/>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t>人组成。</w:t>
      </w:r>
    </w:p>
    <w:p w14:paraId="74407CAF">
      <w:pPr>
        <w:pStyle w:val="16"/>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t>评审专家要求：</w:t>
      </w:r>
    </w:p>
    <w:p w14:paraId="70FB9BC8">
      <w:pPr>
        <w:pStyle w:val="16"/>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t>　　1.组织评标委员会推选评标组长，采购人代表不得担任组长；</w:t>
      </w:r>
    </w:p>
    <w:p w14:paraId="01333771">
      <w:pPr>
        <w:pStyle w:val="16"/>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000000" w:themeColor="text1"/>
          <w:sz w:val="32"/>
          <w:szCs w:val="32"/>
          <w:highlight w:val="none"/>
          <w14:textFill>
            <w14:solidFill>
              <w14:schemeClr w14:val="tx1"/>
            </w14:solidFill>
          </w14:textFill>
        </w:rPr>
      </w:pPr>
      <w:r>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t>　　2.在评标期间采取必要的通讯管理措施，保证评标活动不受外界干扰，将手机关闭或调成静音交友现场项目监督人员统一保管；</w:t>
      </w:r>
    </w:p>
    <w:p w14:paraId="7F5E0C10">
      <w:pPr>
        <w:pStyle w:val="16"/>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t>　　3.审查、评价</w:t>
      </w:r>
      <w:r>
        <w:rPr>
          <w:rFonts w:hint="eastAsia" w:hAnsi="宋体" w:cs="宋体"/>
          <w:b w:val="0"/>
          <w:bCs w:val="0"/>
          <w:color w:val="000000" w:themeColor="text1"/>
          <w:spacing w:val="-4"/>
          <w:sz w:val="24"/>
          <w:szCs w:val="24"/>
          <w:highlight w:val="none"/>
          <w:lang w:val="en-US" w:eastAsia="zh-CN"/>
          <w14:textFill>
            <w14:solidFill>
              <w14:schemeClr w14:val="tx1"/>
            </w14:solidFill>
          </w14:textFill>
        </w:rPr>
        <w:t>响应文件</w:t>
      </w:r>
      <w:r>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t>是否符合</w:t>
      </w:r>
      <w:r>
        <w:rPr>
          <w:rFonts w:hint="eastAsia" w:hAnsi="宋体" w:cs="宋体"/>
          <w:b w:val="0"/>
          <w:bCs w:val="0"/>
          <w:color w:val="000000" w:themeColor="text1"/>
          <w:spacing w:val="-4"/>
          <w:sz w:val="24"/>
          <w:szCs w:val="24"/>
          <w:highlight w:val="none"/>
          <w:lang w:val="en-US" w:eastAsia="zh-CN"/>
          <w14:textFill>
            <w14:solidFill>
              <w14:schemeClr w14:val="tx1"/>
            </w14:solidFill>
          </w14:textFill>
        </w:rPr>
        <w:t>磋商文件</w:t>
      </w:r>
      <w:r>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t>的商务、技术等实质性要求；</w:t>
      </w:r>
    </w:p>
    <w:p w14:paraId="0673E736">
      <w:pPr>
        <w:pStyle w:val="16"/>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t>　　4.要求投标人对</w:t>
      </w:r>
      <w:r>
        <w:rPr>
          <w:rFonts w:hint="eastAsia" w:hAnsi="宋体" w:cs="宋体"/>
          <w:b w:val="0"/>
          <w:bCs w:val="0"/>
          <w:color w:val="000000" w:themeColor="text1"/>
          <w:spacing w:val="-4"/>
          <w:sz w:val="24"/>
          <w:szCs w:val="24"/>
          <w:highlight w:val="none"/>
          <w:lang w:val="en-US" w:eastAsia="zh-CN"/>
          <w14:textFill>
            <w14:solidFill>
              <w14:schemeClr w14:val="tx1"/>
            </w14:solidFill>
          </w14:textFill>
        </w:rPr>
        <w:t>响应文件</w:t>
      </w:r>
      <w:r>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t>有关事项作出澄清或者说明；</w:t>
      </w:r>
    </w:p>
    <w:p w14:paraId="36E17106">
      <w:pPr>
        <w:pStyle w:val="16"/>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t>　　5.对</w:t>
      </w:r>
      <w:r>
        <w:rPr>
          <w:rFonts w:hint="eastAsia" w:hAnsi="宋体" w:cs="宋体"/>
          <w:b w:val="0"/>
          <w:bCs w:val="0"/>
          <w:color w:val="000000" w:themeColor="text1"/>
          <w:spacing w:val="-4"/>
          <w:sz w:val="24"/>
          <w:szCs w:val="24"/>
          <w:highlight w:val="none"/>
          <w:lang w:val="en-US" w:eastAsia="zh-CN"/>
          <w14:textFill>
            <w14:solidFill>
              <w14:schemeClr w14:val="tx1"/>
            </w14:solidFill>
          </w14:textFill>
        </w:rPr>
        <w:t>响应文件</w:t>
      </w:r>
      <w:r>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t>进行比较和评价；</w:t>
      </w:r>
    </w:p>
    <w:p w14:paraId="5E85B9E4">
      <w:pPr>
        <w:pStyle w:val="16"/>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t>　　6.确定中标候选人名单，以及根据采购人委托直接确定中标人；</w:t>
      </w:r>
    </w:p>
    <w:p w14:paraId="6F7F5A70">
      <w:pPr>
        <w:pStyle w:val="16"/>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t>　　7.向采购人、采购代理机构或者有关部门报告评标中发现的违法行为。</w:t>
      </w:r>
    </w:p>
    <w:p w14:paraId="62D925C7">
      <w:pPr>
        <w:pStyle w:val="2"/>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七、</w:t>
      </w:r>
      <w:r>
        <w:rPr>
          <w:rFonts w:hint="eastAsia" w:ascii="宋体" w:hAnsi="宋体" w:eastAsia="宋体" w:cs="宋体"/>
          <w:b/>
          <w:bCs/>
          <w:color w:val="000000" w:themeColor="text1"/>
          <w:highlight w:val="none"/>
          <w14:textFill>
            <w14:solidFill>
              <w14:schemeClr w14:val="tx1"/>
            </w14:solidFill>
          </w14:textFill>
        </w:rPr>
        <w:t>评标</w:t>
      </w:r>
    </w:p>
    <w:p w14:paraId="34C39EE8">
      <w:pPr>
        <w:pStyle w:val="2"/>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1、评标的依据为</w:t>
      </w:r>
      <w:r>
        <w:rPr>
          <w:rFonts w:hint="eastAsia" w:cs="宋体"/>
          <w:b w:val="0"/>
          <w:bCs w:val="0"/>
          <w:color w:val="000000" w:themeColor="text1"/>
          <w:highlight w:val="none"/>
          <w:lang w:val="en-US" w:eastAsia="zh-CN"/>
          <w14:textFill>
            <w14:solidFill>
              <w14:schemeClr w14:val="tx1"/>
            </w14:solidFill>
          </w14:textFill>
        </w:rPr>
        <w:t>磋商文件</w:t>
      </w:r>
      <w:r>
        <w:rPr>
          <w:rFonts w:hint="eastAsia" w:ascii="宋体" w:hAnsi="宋体" w:eastAsia="宋体" w:cs="宋体"/>
          <w:b w:val="0"/>
          <w:bCs w:val="0"/>
          <w:color w:val="000000" w:themeColor="text1"/>
          <w:highlight w:val="none"/>
          <w:lang w:val="en-US" w:eastAsia="zh-CN"/>
          <w14:textFill>
            <w14:solidFill>
              <w14:schemeClr w14:val="tx1"/>
            </w14:solidFill>
          </w14:textFill>
        </w:rPr>
        <w:t>和</w:t>
      </w:r>
      <w:r>
        <w:rPr>
          <w:rFonts w:hint="eastAsia" w:cs="宋体"/>
          <w:b w:val="0"/>
          <w:bCs w:val="0"/>
          <w:color w:val="000000" w:themeColor="text1"/>
          <w:highlight w:val="none"/>
          <w:lang w:val="en-US" w:eastAsia="zh-CN"/>
          <w14:textFill>
            <w14:solidFill>
              <w14:schemeClr w14:val="tx1"/>
            </w14:solidFill>
          </w14:textFill>
        </w:rPr>
        <w:t>响应文件</w:t>
      </w:r>
      <w:r>
        <w:rPr>
          <w:rFonts w:hint="eastAsia" w:ascii="宋体" w:hAnsi="宋体" w:eastAsia="宋体" w:cs="宋体"/>
          <w:b w:val="0"/>
          <w:bCs w:val="0"/>
          <w:color w:val="000000" w:themeColor="text1"/>
          <w:highlight w:val="none"/>
          <w:lang w:val="en-US" w:eastAsia="zh-CN"/>
          <w14:textFill>
            <w14:solidFill>
              <w14:schemeClr w14:val="tx1"/>
            </w14:solidFill>
          </w14:textFill>
        </w:rPr>
        <w:t>；</w:t>
      </w:r>
    </w:p>
    <w:p w14:paraId="4DE5E3A3">
      <w:pPr>
        <w:pStyle w:val="2"/>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2、本项目采用综合评分法：总分100分，其中报价分值</w:t>
      </w:r>
      <w:r>
        <w:rPr>
          <w:rFonts w:hint="eastAsia" w:cs="宋体"/>
          <w:b w:val="0"/>
          <w:bCs w:val="0"/>
          <w:color w:val="000000" w:themeColor="text1"/>
          <w:highlight w:val="none"/>
          <w:lang w:val="en-US" w:eastAsia="zh-CN"/>
          <w14:textFill>
            <w14:solidFill>
              <w14:schemeClr w14:val="tx1"/>
            </w14:solidFill>
          </w14:textFill>
        </w:rPr>
        <w:t>1</w:t>
      </w:r>
      <w:r>
        <w:rPr>
          <w:rFonts w:hint="eastAsia" w:ascii="宋体" w:hAnsi="宋体" w:eastAsia="宋体" w:cs="宋体"/>
          <w:b w:val="0"/>
          <w:bCs w:val="0"/>
          <w:color w:val="000000" w:themeColor="text1"/>
          <w:highlight w:val="none"/>
          <w:lang w:val="en-US" w:eastAsia="zh-CN"/>
          <w14:textFill>
            <w14:solidFill>
              <w14:schemeClr w14:val="tx1"/>
            </w14:solidFill>
          </w14:textFill>
        </w:rPr>
        <w:t>0分，商务及技术部分得分</w:t>
      </w:r>
      <w:r>
        <w:rPr>
          <w:rFonts w:hint="eastAsia" w:cs="宋体"/>
          <w:b w:val="0"/>
          <w:bCs w:val="0"/>
          <w:color w:val="000000" w:themeColor="text1"/>
          <w:highlight w:val="none"/>
          <w:lang w:val="en-US" w:eastAsia="zh-CN"/>
          <w14:textFill>
            <w14:solidFill>
              <w14:schemeClr w14:val="tx1"/>
            </w14:solidFill>
          </w14:textFill>
        </w:rPr>
        <w:t>9</w:t>
      </w:r>
      <w:r>
        <w:rPr>
          <w:rFonts w:hint="eastAsia" w:ascii="宋体" w:hAnsi="宋体" w:eastAsia="宋体" w:cs="宋体"/>
          <w:b w:val="0"/>
          <w:bCs w:val="0"/>
          <w:color w:val="000000" w:themeColor="text1"/>
          <w:highlight w:val="none"/>
          <w:lang w:val="en-US" w:eastAsia="zh-CN"/>
          <w14:textFill>
            <w14:solidFill>
              <w14:schemeClr w14:val="tx1"/>
            </w14:solidFill>
          </w14:textFill>
        </w:rPr>
        <w:t>0分。</w:t>
      </w:r>
    </w:p>
    <w:p w14:paraId="63E3E774">
      <w:pPr>
        <w:pStyle w:val="2"/>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3、</w:t>
      </w:r>
      <w:r>
        <w:rPr>
          <w:rFonts w:hint="eastAsia" w:cs="宋体"/>
          <w:b w:val="0"/>
          <w:bCs w:val="0"/>
          <w:color w:val="000000" w:themeColor="text1"/>
          <w:highlight w:val="none"/>
          <w:lang w:val="en-US" w:eastAsia="zh-CN"/>
          <w14:textFill>
            <w14:solidFill>
              <w14:schemeClr w14:val="tx1"/>
            </w14:solidFill>
          </w14:textFill>
        </w:rPr>
        <w:t>磋商小组</w:t>
      </w:r>
      <w:r>
        <w:rPr>
          <w:rFonts w:hint="eastAsia" w:ascii="宋体" w:hAnsi="宋体" w:eastAsia="宋体" w:cs="宋体"/>
          <w:b w:val="0"/>
          <w:bCs w:val="0"/>
          <w:color w:val="000000" w:themeColor="text1"/>
          <w:highlight w:val="none"/>
          <w:lang w:val="en-US" w:eastAsia="zh-CN"/>
          <w14:textFill>
            <w14:solidFill>
              <w14:schemeClr w14:val="tx1"/>
            </w14:solidFill>
          </w14:textFill>
        </w:rPr>
        <w:t>成员到齐后，推选</w:t>
      </w:r>
      <w:r>
        <w:rPr>
          <w:rFonts w:hint="eastAsia" w:cs="宋体"/>
          <w:b w:val="0"/>
          <w:bCs w:val="0"/>
          <w:color w:val="000000" w:themeColor="text1"/>
          <w:highlight w:val="none"/>
          <w:lang w:val="en-US" w:eastAsia="zh-CN"/>
          <w14:textFill>
            <w14:solidFill>
              <w14:schemeClr w14:val="tx1"/>
            </w14:solidFill>
          </w14:textFill>
        </w:rPr>
        <w:t>磋商小组</w:t>
      </w:r>
      <w:r>
        <w:rPr>
          <w:rFonts w:hint="eastAsia" w:ascii="宋体" w:hAnsi="宋体" w:eastAsia="宋体" w:cs="宋体"/>
          <w:b w:val="0"/>
          <w:bCs w:val="0"/>
          <w:color w:val="000000" w:themeColor="text1"/>
          <w:highlight w:val="none"/>
          <w:lang w:val="en-US" w:eastAsia="zh-CN"/>
          <w14:textFill>
            <w14:solidFill>
              <w14:schemeClr w14:val="tx1"/>
            </w14:solidFill>
          </w14:textFill>
        </w:rPr>
        <w:t>组长。依据</w:t>
      </w:r>
      <w:r>
        <w:rPr>
          <w:rFonts w:hint="eastAsia" w:cs="宋体"/>
          <w:b w:val="0"/>
          <w:bCs w:val="0"/>
          <w:color w:val="000000" w:themeColor="text1"/>
          <w:highlight w:val="none"/>
          <w:lang w:val="en-US" w:eastAsia="zh-CN"/>
          <w14:textFill>
            <w14:solidFill>
              <w14:schemeClr w14:val="tx1"/>
            </w14:solidFill>
          </w14:textFill>
        </w:rPr>
        <w:t>磋商文件</w:t>
      </w:r>
      <w:r>
        <w:rPr>
          <w:rFonts w:hint="eastAsia" w:ascii="宋体" w:hAnsi="宋体" w:eastAsia="宋体" w:cs="宋体"/>
          <w:b w:val="0"/>
          <w:bCs w:val="0"/>
          <w:color w:val="000000" w:themeColor="text1"/>
          <w:highlight w:val="none"/>
          <w:lang w:val="en-US" w:eastAsia="zh-CN"/>
          <w14:textFill>
            <w14:solidFill>
              <w14:schemeClr w14:val="tx1"/>
            </w14:solidFill>
          </w14:textFill>
        </w:rPr>
        <w:t>和</w:t>
      </w:r>
      <w:r>
        <w:rPr>
          <w:rFonts w:hint="eastAsia" w:cs="宋体"/>
          <w:b w:val="0"/>
          <w:bCs w:val="0"/>
          <w:color w:val="000000" w:themeColor="text1"/>
          <w:highlight w:val="none"/>
          <w:lang w:val="en-US" w:eastAsia="zh-CN"/>
          <w14:textFill>
            <w14:solidFill>
              <w14:schemeClr w14:val="tx1"/>
            </w14:solidFill>
          </w14:textFill>
        </w:rPr>
        <w:t>响应文件</w:t>
      </w:r>
      <w:r>
        <w:rPr>
          <w:rFonts w:hint="eastAsia" w:ascii="宋体" w:hAnsi="宋体" w:eastAsia="宋体" w:cs="宋体"/>
          <w:b w:val="0"/>
          <w:bCs w:val="0"/>
          <w:color w:val="000000" w:themeColor="text1"/>
          <w:highlight w:val="none"/>
          <w:lang w:val="en-US" w:eastAsia="zh-CN"/>
          <w14:textFill>
            <w14:solidFill>
              <w14:schemeClr w14:val="tx1"/>
            </w14:solidFill>
          </w14:textFill>
        </w:rPr>
        <w:t>进行认真查阅。审查响文件是否完整，是否有计算错误，要求的投标保证金是否提供，文件是否恰当地签署；</w:t>
      </w:r>
    </w:p>
    <w:p w14:paraId="7DB5143B">
      <w:pPr>
        <w:pStyle w:val="2"/>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4、在对</w:t>
      </w:r>
      <w:r>
        <w:rPr>
          <w:rFonts w:hint="eastAsia" w:cs="宋体"/>
          <w:b w:val="0"/>
          <w:bCs w:val="0"/>
          <w:color w:val="000000" w:themeColor="text1"/>
          <w:highlight w:val="none"/>
          <w:lang w:val="en-US" w:eastAsia="zh-CN"/>
          <w14:textFill>
            <w14:solidFill>
              <w14:schemeClr w14:val="tx1"/>
            </w14:solidFill>
          </w14:textFill>
        </w:rPr>
        <w:t>响应文件</w:t>
      </w:r>
      <w:r>
        <w:rPr>
          <w:rFonts w:hint="eastAsia" w:ascii="宋体" w:hAnsi="宋体" w:eastAsia="宋体" w:cs="宋体"/>
          <w:b w:val="0"/>
          <w:bCs w:val="0"/>
          <w:color w:val="000000" w:themeColor="text1"/>
          <w:highlight w:val="none"/>
          <w:lang w:val="en-US" w:eastAsia="zh-CN"/>
          <w14:textFill>
            <w14:solidFill>
              <w14:schemeClr w14:val="tx1"/>
            </w14:solidFill>
          </w14:textFill>
        </w:rPr>
        <w:t>进行详细评估前，依据投标方提供的资格证明文件审查投标方的财务、技术和服务能力。如果确定投标方无资格履行合同，其投标将被拒绝；</w:t>
      </w:r>
    </w:p>
    <w:p w14:paraId="2413CA69">
      <w:pPr>
        <w:pStyle w:val="2"/>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5、</w:t>
      </w:r>
      <w:r>
        <w:rPr>
          <w:rFonts w:hint="eastAsia" w:cs="宋体"/>
          <w:b w:val="0"/>
          <w:bCs w:val="0"/>
          <w:color w:val="000000" w:themeColor="text1"/>
          <w:highlight w:val="none"/>
          <w:lang w:val="en-US" w:eastAsia="zh-CN"/>
          <w14:textFill>
            <w14:solidFill>
              <w14:schemeClr w14:val="tx1"/>
            </w14:solidFill>
          </w14:textFill>
        </w:rPr>
        <w:t>磋商小组</w:t>
      </w:r>
      <w:r>
        <w:rPr>
          <w:rFonts w:hint="eastAsia" w:ascii="宋体" w:hAnsi="宋体" w:eastAsia="宋体" w:cs="宋体"/>
          <w:b w:val="0"/>
          <w:bCs w:val="0"/>
          <w:color w:val="000000" w:themeColor="text1"/>
          <w:highlight w:val="none"/>
          <w:lang w:val="en-US" w:eastAsia="zh-CN"/>
          <w14:textFill>
            <w14:solidFill>
              <w14:schemeClr w14:val="tx1"/>
            </w14:solidFill>
          </w14:textFill>
        </w:rPr>
        <w:t>将确定每一</w:t>
      </w:r>
      <w:r>
        <w:rPr>
          <w:rFonts w:hint="eastAsia" w:cs="宋体"/>
          <w:b w:val="0"/>
          <w:bCs w:val="0"/>
          <w:color w:val="000000" w:themeColor="text1"/>
          <w:highlight w:val="none"/>
          <w:lang w:val="en-US" w:eastAsia="zh-CN"/>
          <w14:textFill>
            <w14:solidFill>
              <w14:schemeClr w14:val="tx1"/>
            </w14:solidFill>
          </w14:textFill>
        </w:rPr>
        <w:t>投标人</w:t>
      </w:r>
      <w:r>
        <w:rPr>
          <w:rFonts w:hint="eastAsia" w:ascii="宋体" w:hAnsi="宋体" w:eastAsia="宋体" w:cs="宋体"/>
          <w:b w:val="0"/>
          <w:bCs w:val="0"/>
          <w:color w:val="000000" w:themeColor="text1"/>
          <w:highlight w:val="none"/>
          <w:lang w:val="en-US" w:eastAsia="zh-CN"/>
          <w14:textFill>
            <w14:solidFill>
              <w14:schemeClr w14:val="tx1"/>
            </w14:solidFill>
          </w14:textFill>
        </w:rPr>
        <w:t>是否对</w:t>
      </w:r>
      <w:r>
        <w:rPr>
          <w:rFonts w:hint="eastAsia" w:cs="宋体"/>
          <w:b w:val="0"/>
          <w:bCs w:val="0"/>
          <w:color w:val="000000" w:themeColor="text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highlight w:val="none"/>
          <w:lang w:val="en-US" w:eastAsia="zh-CN"/>
          <w14:textFill>
            <w14:solidFill>
              <w14:schemeClr w14:val="tx1"/>
            </w14:solidFill>
          </w14:textFill>
        </w:rPr>
        <w:t>文件的要求做出了实质性的响应，而没有重大偏离。实质性响应的响应是指投标符合</w:t>
      </w:r>
      <w:r>
        <w:rPr>
          <w:rFonts w:hint="eastAsia" w:cs="宋体"/>
          <w:b w:val="0"/>
          <w:bCs w:val="0"/>
          <w:color w:val="000000" w:themeColor="text1"/>
          <w:highlight w:val="none"/>
          <w:lang w:val="en-US" w:eastAsia="zh-CN"/>
          <w14:textFill>
            <w14:solidFill>
              <w14:schemeClr w14:val="tx1"/>
            </w14:solidFill>
          </w14:textFill>
        </w:rPr>
        <w:t>磋商文件</w:t>
      </w:r>
      <w:r>
        <w:rPr>
          <w:rFonts w:hint="eastAsia" w:ascii="宋体" w:hAnsi="宋体" w:eastAsia="宋体" w:cs="宋体"/>
          <w:b w:val="0"/>
          <w:bCs w:val="0"/>
          <w:color w:val="000000" w:themeColor="text1"/>
          <w:highlight w:val="none"/>
          <w:lang w:val="en-US" w:eastAsia="zh-CN"/>
          <w14:textFill>
            <w14:solidFill>
              <w14:schemeClr w14:val="tx1"/>
            </w14:solidFill>
          </w14:textFill>
        </w:rPr>
        <w:t>的所有条款、条件和规定且没有重大偏离或保留。重大偏离或保留系指影响到</w:t>
      </w:r>
      <w:r>
        <w:rPr>
          <w:rFonts w:hint="eastAsia" w:cs="宋体"/>
          <w:b w:val="0"/>
          <w:bCs w:val="0"/>
          <w:color w:val="000000" w:themeColor="text1"/>
          <w:highlight w:val="none"/>
          <w:lang w:val="en-US" w:eastAsia="zh-CN"/>
          <w14:textFill>
            <w14:solidFill>
              <w14:schemeClr w14:val="tx1"/>
            </w14:solidFill>
          </w14:textFill>
        </w:rPr>
        <w:t>磋商文件</w:t>
      </w:r>
      <w:r>
        <w:rPr>
          <w:rFonts w:hint="eastAsia" w:ascii="宋体" w:hAnsi="宋体" w:eastAsia="宋体" w:cs="宋体"/>
          <w:b w:val="0"/>
          <w:bCs w:val="0"/>
          <w:color w:val="000000" w:themeColor="text1"/>
          <w:highlight w:val="none"/>
          <w:lang w:val="en-US" w:eastAsia="zh-CN"/>
          <w14:textFill>
            <w14:solidFill>
              <w14:schemeClr w14:val="tx1"/>
            </w14:solidFill>
          </w14:textFill>
        </w:rPr>
        <w:t>规定的供货范围、服务和性能，或限制了买方的权利和投标方的义务的规定，而纠正这些偏离将影响到其他提交实质性投标的投标方的公平竞争地位。</w:t>
      </w:r>
    </w:p>
    <w:p w14:paraId="75D8BA94">
      <w:pPr>
        <w:pStyle w:val="2"/>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对</w:t>
      </w:r>
      <w:r>
        <w:rPr>
          <w:rFonts w:hint="eastAsia" w:cs="宋体"/>
          <w:b/>
          <w:bCs/>
          <w:color w:val="000000" w:themeColor="text1"/>
          <w:highlight w:val="none"/>
          <w:lang w:val="en-US" w:eastAsia="zh-CN"/>
          <w14:textFill>
            <w14:solidFill>
              <w14:schemeClr w14:val="tx1"/>
            </w14:solidFill>
          </w14:textFill>
        </w:rPr>
        <w:t>响应文件</w:t>
      </w:r>
      <w:r>
        <w:rPr>
          <w:rFonts w:hint="eastAsia" w:ascii="宋体" w:hAnsi="宋体" w:eastAsia="宋体" w:cs="宋体"/>
          <w:b/>
          <w:bCs/>
          <w:color w:val="000000" w:themeColor="text1"/>
          <w:highlight w:val="none"/>
          <w:lang w:val="en-US" w:eastAsia="zh-CN"/>
          <w14:textFill>
            <w14:solidFill>
              <w14:schemeClr w14:val="tx1"/>
            </w14:solidFill>
          </w14:textFill>
        </w:rPr>
        <w:t>的评估和比较：</w:t>
      </w:r>
    </w:p>
    <w:p w14:paraId="728F797A">
      <w:pPr>
        <w:pStyle w:val="2"/>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初步评审</w:t>
      </w:r>
    </w:p>
    <w:p w14:paraId="194AECDB">
      <w:pPr>
        <w:pStyle w:val="2"/>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lang w:val="en-US" w:eastAsia="zh-CN"/>
          <w14:textFill>
            <w14:solidFill>
              <w14:schemeClr w14:val="tx1"/>
            </w14:solidFill>
          </w14:textFill>
        </w:rPr>
        <w:t>资格性检查</w:t>
      </w:r>
    </w:p>
    <w:p w14:paraId="19007D5D">
      <w:pPr>
        <w:pStyle w:val="2"/>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依据法律法规和</w:t>
      </w:r>
      <w:r>
        <w:rPr>
          <w:rFonts w:hint="eastAsia" w:cs="宋体"/>
          <w:b w:val="0"/>
          <w:bCs w:val="0"/>
          <w:color w:val="000000" w:themeColor="text1"/>
          <w:highlight w:val="none"/>
          <w:lang w:val="en-US" w:eastAsia="zh-CN"/>
          <w14:textFill>
            <w14:solidFill>
              <w14:schemeClr w14:val="tx1"/>
            </w14:solidFill>
          </w14:textFill>
        </w:rPr>
        <w:t>磋商文件</w:t>
      </w:r>
      <w:r>
        <w:rPr>
          <w:rFonts w:hint="eastAsia" w:ascii="宋体" w:hAnsi="宋体" w:eastAsia="宋体" w:cs="宋体"/>
          <w:b w:val="0"/>
          <w:bCs w:val="0"/>
          <w:color w:val="000000" w:themeColor="text1"/>
          <w:highlight w:val="none"/>
          <w:lang w:val="en-US" w:eastAsia="zh-CN"/>
          <w14:textFill>
            <w14:solidFill>
              <w14:schemeClr w14:val="tx1"/>
            </w14:solidFill>
          </w14:textFill>
        </w:rPr>
        <w:t>的规定，</w:t>
      </w:r>
      <w:r>
        <w:rPr>
          <w:rFonts w:hint="eastAsia" w:eastAsia="宋体" w:cs="宋体"/>
          <w:b w:val="0"/>
          <w:bCs w:val="0"/>
          <w:color w:val="000000" w:themeColor="text1"/>
          <w:highlight w:val="none"/>
          <w:lang w:val="en-US" w:eastAsia="zh-CN"/>
          <w14:textFill>
            <w14:solidFill>
              <w14:schemeClr w14:val="tx1"/>
            </w14:solidFill>
          </w14:textFill>
        </w:rPr>
        <w:t>资格审查小组</w:t>
      </w:r>
      <w:r>
        <w:rPr>
          <w:rFonts w:hint="eastAsia" w:ascii="宋体" w:hAnsi="宋体" w:eastAsia="宋体" w:cs="宋体"/>
          <w:b w:val="0"/>
          <w:bCs w:val="0"/>
          <w:color w:val="000000" w:themeColor="text1"/>
          <w:highlight w:val="none"/>
          <w:lang w:val="en-US" w:eastAsia="zh-CN"/>
          <w14:textFill>
            <w14:solidFill>
              <w14:schemeClr w14:val="tx1"/>
            </w14:solidFill>
          </w14:textFill>
        </w:rPr>
        <w:t>对</w:t>
      </w:r>
      <w:r>
        <w:rPr>
          <w:rFonts w:hint="eastAsia" w:cs="宋体"/>
          <w:b w:val="0"/>
          <w:bCs w:val="0"/>
          <w:color w:val="000000" w:themeColor="text1"/>
          <w:highlight w:val="none"/>
          <w:lang w:val="en-US" w:eastAsia="zh-CN"/>
          <w14:textFill>
            <w14:solidFill>
              <w14:schemeClr w14:val="tx1"/>
            </w14:solidFill>
          </w14:textFill>
        </w:rPr>
        <w:t>响应文件</w:t>
      </w:r>
      <w:r>
        <w:rPr>
          <w:rFonts w:hint="eastAsia" w:ascii="宋体" w:hAnsi="宋体" w:eastAsia="宋体" w:cs="宋体"/>
          <w:b w:val="0"/>
          <w:bCs w:val="0"/>
          <w:color w:val="000000" w:themeColor="text1"/>
          <w:highlight w:val="none"/>
          <w:lang w:val="en-US" w:eastAsia="zh-CN"/>
          <w14:textFill>
            <w14:solidFill>
              <w14:schemeClr w14:val="tx1"/>
            </w14:solidFill>
          </w14:textFill>
        </w:rPr>
        <w:t>中的资格证明进行审查，以确定投标人是否具备投标资格。</w:t>
      </w:r>
    </w:p>
    <w:p w14:paraId="72D59B15">
      <w:pPr>
        <w:pStyle w:val="2"/>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eastAsia="宋体" w:cs="宋体"/>
          <w:b/>
          <w:bCs/>
          <w:color w:val="000000" w:themeColor="text1"/>
          <w:highlight w:val="none"/>
          <w:lang w:val="en-US" w:eastAsia="zh-CN"/>
          <w14:textFill>
            <w14:solidFill>
              <w14:schemeClr w14:val="tx1"/>
            </w14:solidFill>
          </w14:textFill>
        </w:rPr>
        <w:t>2、</w:t>
      </w:r>
      <w:r>
        <w:rPr>
          <w:rFonts w:hint="eastAsia" w:cs="宋体"/>
          <w:b/>
          <w:bCs/>
          <w:color w:val="000000" w:themeColor="text1"/>
          <w:highlight w:val="none"/>
          <w:lang w:val="en-US" w:eastAsia="zh-CN"/>
          <w14:textFill>
            <w14:solidFill>
              <w14:schemeClr w14:val="tx1"/>
            </w14:solidFill>
          </w14:textFill>
        </w:rPr>
        <w:t>响应文件</w:t>
      </w:r>
      <w:r>
        <w:rPr>
          <w:rFonts w:hint="eastAsia" w:ascii="宋体" w:hAnsi="宋体" w:eastAsia="宋体" w:cs="宋体"/>
          <w:b/>
          <w:bCs/>
          <w:color w:val="000000" w:themeColor="text1"/>
          <w:highlight w:val="none"/>
          <w:lang w:val="en-US" w:eastAsia="zh-CN"/>
          <w14:textFill>
            <w14:solidFill>
              <w14:schemeClr w14:val="tx1"/>
            </w14:solidFill>
          </w14:textFill>
        </w:rPr>
        <w:t>的符合性审查</w:t>
      </w:r>
    </w:p>
    <w:p w14:paraId="4E9E8E9D">
      <w:pPr>
        <w:pStyle w:val="2"/>
        <w:keepNext w:val="0"/>
        <w:keepLines w:val="0"/>
        <w:pageBreakBefore w:val="0"/>
        <w:widowControl w:val="0"/>
        <w:tabs>
          <w:tab w:val="clear" w:pos="567"/>
        </w:tabs>
        <w:kinsoku/>
        <w:wordWrap/>
        <w:overflowPunct/>
        <w:topLinePunct w:val="0"/>
        <w:bidi w:val="0"/>
        <w:adjustRightInd/>
        <w:spacing w:before="0" w:line="400" w:lineRule="exact"/>
        <w:ind w:firstLine="48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cs="宋体"/>
          <w:b w:val="0"/>
          <w:bCs w:val="0"/>
          <w:color w:val="000000" w:themeColor="text1"/>
          <w:highlight w:val="none"/>
          <w:lang w:val="en-US" w:eastAsia="zh-CN"/>
          <w14:textFill>
            <w14:solidFill>
              <w14:schemeClr w14:val="tx1"/>
            </w14:solidFill>
          </w14:textFill>
        </w:rPr>
        <w:t>响应文件</w:t>
      </w:r>
      <w:r>
        <w:rPr>
          <w:rFonts w:hint="eastAsia" w:ascii="宋体" w:hAnsi="宋体" w:eastAsia="宋体" w:cs="宋体"/>
          <w:b w:val="0"/>
          <w:bCs w:val="0"/>
          <w:color w:val="000000" w:themeColor="text1"/>
          <w:highlight w:val="none"/>
          <w:lang w:val="en-US" w:eastAsia="zh-CN"/>
          <w14:textFill>
            <w14:solidFill>
              <w14:schemeClr w14:val="tx1"/>
            </w14:solidFill>
          </w14:textFill>
        </w:rPr>
        <w:t>是否实质性响应</w:t>
      </w:r>
      <w:r>
        <w:rPr>
          <w:rFonts w:hint="eastAsia" w:cs="宋体"/>
          <w:b w:val="0"/>
          <w:bCs w:val="0"/>
          <w:color w:val="000000" w:themeColor="text1"/>
          <w:highlight w:val="none"/>
          <w:lang w:val="en-US" w:eastAsia="zh-CN"/>
          <w14:textFill>
            <w14:solidFill>
              <w14:schemeClr w14:val="tx1"/>
            </w14:solidFill>
          </w14:textFill>
        </w:rPr>
        <w:t>磋商文件</w:t>
      </w:r>
      <w:r>
        <w:rPr>
          <w:rFonts w:hint="eastAsia" w:ascii="宋体" w:hAnsi="宋体" w:eastAsia="宋体" w:cs="宋体"/>
          <w:b w:val="0"/>
          <w:bCs w:val="0"/>
          <w:color w:val="000000" w:themeColor="text1"/>
          <w:highlight w:val="none"/>
          <w:lang w:val="en-US" w:eastAsia="zh-CN"/>
          <w14:textFill>
            <w14:solidFill>
              <w14:schemeClr w14:val="tx1"/>
            </w14:solidFill>
          </w14:textFill>
        </w:rPr>
        <w:t>要求由</w:t>
      </w:r>
      <w:r>
        <w:rPr>
          <w:rFonts w:hint="eastAsia" w:cs="宋体"/>
          <w:b w:val="0"/>
          <w:bCs w:val="0"/>
          <w:color w:val="000000" w:themeColor="text1"/>
          <w:highlight w:val="none"/>
          <w:lang w:val="en-US" w:eastAsia="zh-CN"/>
          <w14:textFill>
            <w14:solidFill>
              <w14:schemeClr w14:val="tx1"/>
            </w14:solidFill>
          </w14:textFill>
        </w:rPr>
        <w:t>磋商小组</w:t>
      </w:r>
      <w:r>
        <w:rPr>
          <w:rFonts w:hint="eastAsia" w:ascii="宋体" w:hAnsi="宋体" w:eastAsia="宋体" w:cs="宋体"/>
          <w:b w:val="0"/>
          <w:bCs w:val="0"/>
          <w:color w:val="000000" w:themeColor="text1"/>
          <w:highlight w:val="none"/>
          <w:lang w:val="en-US" w:eastAsia="zh-CN"/>
          <w14:textFill>
            <w14:solidFill>
              <w14:schemeClr w14:val="tx1"/>
            </w14:solidFill>
          </w14:textFill>
        </w:rPr>
        <w:t>依据</w:t>
      </w:r>
      <w:r>
        <w:rPr>
          <w:rFonts w:hint="eastAsia" w:cs="宋体"/>
          <w:b w:val="0"/>
          <w:bCs w:val="0"/>
          <w:color w:val="000000" w:themeColor="text1"/>
          <w:highlight w:val="none"/>
          <w:lang w:val="en-US" w:eastAsia="zh-CN"/>
          <w14:textFill>
            <w14:solidFill>
              <w14:schemeClr w14:val="tx1"/>
            </w14:solidFill>
          </w14:textFill>
        </w:rPr>
        <w:t>磋商文件</w:t>
      </w:r>
      <w:r>
        <w:rPr>
          <w:rFonts w:hint="eastAsia" w:ascii="宋体" w:hAnsi="宋体" w:eastAsia="宋体" w:cs="宋体"/>
          <w:b w:val="0"/>
          <w:bCs w:val="0"/>
          <w:color w:val="000000" w:themeColor="text1"/>
          <w:highlight w:val="none"/>
          <w:lang w:val="en-US" w:eastAsia="zh-CN"/>
          <w14:textFill>
            <w14:solidFill>
              <w14:schemeClr w14:val="tx1"/>
            </w14:solidFill>
          </w14:textFill>
        </w:rPr>
        <w:t>规定认定。</w:t>
      </w:r>
      <w:r>
        <w:rPr>
          <w:rFonts w:hint="eastAsia" w:cs="宋体"/>
          <w:b w:val="0"/>
          <w:bCs w:val="0"/>
          <w:color w:val="000000" w:themeColor="text1"/>
          <w:highlight w:val="none"/>
          <w:lang w:val="en-US" w:eastAsia="zh-CN"/>
          <w14:textFill>
            <w14:solidFill>
              <w14:schemeClr w14:val="tx1"/>
            </w14:solidFill>
          </w14:textFill>
        </w:rPr>
        <w:t>磋商小组</w:t>
      </w:r>
      <w:r>
        <w:rPr>
          <w:rFonts w:hint="eastAsia" w:ascii="宋体" w:hAnsi="宋体" w:eastAsia="宋体" w:cs="宋体"/>
          <w:b w:val="0"/>
          <w:bCs w:val="0"/>
          <w:color w:val="000000" w:themeColor="text1"/>
          <w:highlight w:val="none"/>
          <w:lang w:val="en-US" w:eastAsia="zh-CN"/>
          <w14:textFill>
            <w14:solidFill>
              <w14:schemeClr w14:val="tx1"/>
            </w14:solidFill>
          </w14:textFill>
        </w:rPr>
        <w:t>决定</w:t>
      </w:r>
      <w:r>
        <w:rPr>
          <w:rFonts w:hint="eastAsia" w:cs="宋体"/>
          <w:b w:val="0"/>
          <w:bCs w:val="0"/>
          <w:color w:val="000000" w:themeColor="text1"/>
          <w:highlight w:val="none"/>
          <w:lang w:val="en-US" w:eastAsia="zh-CN"/>
          <w14:textFill>
            <w14:solidFill>
              <w14:schemeClr w14:val="tx1"/>
            </w14:solidFill>
          </w14:textFill>
        </w:rPr>
        <w:t>响应文件</w:t>
      </w:r>
      <w:r>
        <w:rPr>
          <w:rFonts w:hint="eastAsia" w:ascii="宋体" w:hAnsi="宋体" w:eastAsia="宋体" w:cs="宋体"/>
          <w:b w:val="0"/>
          <w:bCs w:val="0"/>
          <w:color w:val="000000" w:themeColor="text1"/>
          <w:highlight w:val="none"/>
          <w:lang w:val="en-US" w:eastAsia="zh-CN"/>
          <w14:textFill>
            <w14:solidFill>
              <w14:schemeClr w14:val="tx1"/>
            </w14:solidFill>
          </w14:textFill>
        </w:rPr>
        <w:t>的实质性只根据</w:t>
      </w:r>
      <w:r>
        <w:rPr>
          <w:rFonts w:hint="eastAsia" w:cs="宋体"/>
          <w:b w:val="0"/>
          <w:bCs w:val="0"/>
          <w:color w:val="000000" w:themeColor="text1"/>
          <w:highlight w:val="none"/>
          <w:lang w:val="en-US" w:eastAsia="zh-CN"/>
          <w14:textFill>
            <w14:solidFill>
              <w14:schemeClr w14:val="tx1"/>
            </w14:solidFill>
          </w14:textFill>
        </w:rPr>
        <w:t>响应文件</w:t>
      </w:r>
      <w:r>
        <w:rPr>
          <w:rFonts w:hint="eastAsia" w:ascii="宋体" w:hAnsi="宋体" w:eastAsia="宋体" w:cs="宋体"/>
          <w:b w:val="0"/>
          <w:bCs w:val="0"/>
          <w:color w:val="000000" w:themeColor="text1"/>
          <w:highlight w:val="none"/>
          <w:lang w:val="en-US" w:eastAsia="zh-CN"/>
          <w14:textFill>
            <w14:solidFill>
              <w14:schemeClr w14:val="tx1"/>
            </w14:solidFill>
          </w14:textFill>
        </w:rPr>
        <w:t>本身的真实无误的内容，而不依据外部的证据。依据</w:t>
      </w:r>
      <w:r>
        <w:rPr>
          <w:rFonts w:hint="eastAsia" w:cs="宋体"/>
          <w:b w:val="0"/>
          <w:bCs w:val="0"/>
          <w:color w:val="000000" w:themeColor="text1"/>
          <w:highlight w:val="none"/>
          <w:lang w:val="en-US" w:eastAsia="zh-CN"/>
          <w14:textFill>
            <w14:solidFill>
              <w14:schemeClr w14:val="tx1"/>
            </w14:solidFill>
          </w14:textFill>
        </w:rPr>
        <w:t>磋商文件</w:t>
      </w:r>
      <w:r>
        <w:rPr>
          <w:rFonts w:hint="eastAsia" w:ascii="宋体" w:hAnsi="宋体" w:eastAsia="宋体" w:cs="宋体"/>
          <w:b w:val="0"/>
          <w:bCs w:val="0"/>
          <w:color w:val="000000" w:themeColor="text1"/>
          <w:highlight w:val="none"/>
          <w:lang w:val="en-US" w:eastAsia="zh-CN"/>
          <w14:textFill>
            <w14:solidFill>
              <w14:schemeClr w14:val="tx1"/>
            </w14:solidFill>
          </w14:textFill>
        </w:rPr>
        <w:t>的规定，从</w:t>
      </w:r>
      <w:r>
        <w:rPr>
          <w:rFonts w:hint="eastAsia" w:cs="宋体"/>
          <w:b w:val="0"/>
          <w:bCs w:val="0"/>
          <w:color w:val="000000" w:themeColor="text1"/>
          <w:highlight w:val="none"/>
          <w:lang w:val="en-US" w:eastAsia="zh-CN"/>
          <w14:textFill>
            <w14:solidFill>
              <w14:schemeClr w14:val="tx1"/>
            </w14:solidFill>
          </w14:textFill>
        </w:rPr>
        <w:t>响应文件</w:t>
      </w:r>
      <w:r>
        <w:rPr>
          <w:rFonts w:hint="eastAsia" w:ascii="宋体" w:hAnsi="宋体" w:eastAsia="宋体" w:cs="宋体"/>
          <w:b w:val="0"/>
          <w:bCs w:val="0"/>
          <w:color w:val="000000" w:themeColor="text1"/>
          <w:highlight w:val="none"/>
          <w:lang w:val="en-US" w:eastAsia="zh-CN"/>
          <w14:textFill>
            <w14:solidFill>
              <w14:schemeClr w14:val="tx1"/>
            </w14:solidFill>
          </w14:textFill>
        </w:rPr>
        <w:t>的有效性、完整性和对</w:t>
      </w:r>
      <w:r>
        <w:rPr>
          <w:rFonts w:hint="eastAsia" w:cs="宋体"/>
          <w:b w:val="0"/>
          <w:bCs w:val="0"/>
          <w:color w:val="000000" w:themeColor="text1"/>
          <w:highlight w:val="none"/>
          <w:lang w:val="en-US" w:eastAsia="zh-CN"/>
          <w14:textFill>
            <w14:solidFill>
              <w14:schemeClr w14:val="tx1"/>
            </w14:solidFill>
          </w14:textFill>
        </w:rPr>
        <w:t>磋商文件</w:t>
      </w:r>
      <w:r>
        <w:rPr>
          <w:rFonts w:hint="eastAsia" w:ascii="宋体" w:hAnsi="宋体" w:eastAsia="宋体" w:cs="宋体"/>
          <w:b w:val="0"/>
          <w:bCs w:val="0"/>
          <w:color w:val="000000" w:themeColor="text1"/>
          <w:highlight w:val="none"/>
          <w:lang w:val="en-US" w:eastAsia="zh-CN"/>
          <w14:textFill>
            <w14:solidFill>
              <w14:schemeClr w14:val="tx1"/>
            </w14:solidFill>
          </w14:textFill>
        </w:rPr>
        <w:t>的响应程度进行审查，以确定是否对</w:t>
      </w:r>
      <w:r>
        <w:rPr>
          <w:rFonts w:hint="eastAsia" w:cs="宋体"/>
          <w:b w:val="0"/>
          <w:bCs w:val="0"/>
          <w:color w:val="000000" w:themeColor="text1"/>
          <w:highlight w:val="none"/>
          <w:lang w:val="en-US" w:eastAsia="zh-CN"/>
          <w14:textFill>
            <w14:solidFill>
              <w14:schemeClr w14:val="tx1"/>
            </w14:solidFill>
          </w14:textFill>
        </w:rPr>
        <w:t>磋商文件</w:t>
      </w:r>
      <w:r>
        <w:rPr>
          <w:rFonts w:hint="eastAsia" w:ascii="宋体" w:hAnsi="宋体" w:eastAsia="宋体" w:cs="宋体"/>
          <w:b w:val="0"/>
          <w:bCs w:val="0"/>
          <w:color w:val="000000" w:themeColor="text1"/>
          <w:highlight w:val="none"/>
          <w:lang w:val="en-US" w:eastAsia="zh-CN"/>
          <w14:textFill>
            <w14:solidFill>
              <w14:schemeClr w14:val="tx1"/>
            </w14:solidFill>
          </w14:textFill>
        </w:rPr>
        <w:t>的实质性要求作出响应。</w:t>
      </w:r>
    </w:p>
    <w:p w14:paraId="13D2853E">
      <w:pPr>
        <w:pStyle w:val="2"/>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3、详细评审</w:t>
      </w:r>
    </w:p>
    <w:p w14:paraId="2D3FDBB3">
      <w:pPr>
        <w:pStyle w:val="2"/>
        <w:keepNext w:val="0"/>
        <w:keepLines w:val="0"/>
        <w:pageBreakBefore w:val="0"/>
        <w:widowControl w:val="0"/>
        <w:numPr>
          <w:ilvl w:val="0"/>
          <w:numId w:val="5"/>
        </w:numPr>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经初步评审合格的</w:t>
      </w:r>
      <w:r>
        <w:rPr>
          <w:rFonts w:hint="eastAsia" w:cs="宋体"/>
          <w:b w:val="0"/>
          <w:bCs w:val="0"/>
          <w:color w:val="000000" w:themeColor="text1"/>
          <w:highlight w:val="none"/>
          <w:lang w:val="en-US" w:eastAsia="zh-CN"/>
          <w14:textFill>
            <w14:solidFill>
              <w14:schemeClr w14:val="tx1"/>
            </w14:solidFill>
          </w14:textFill>
        </w:rPr>
        <w:t>响应文件</w:t>
      </w:r>
      <w:r>
        <w:rPr>
          <w:rFonts w:hint="eastAsia" w:ascii="宋体" w:hAnsi="宋体" w:eastAsia="宋体" w:cs="宋体"/>
          <w:b w:val="0"/>
          <w:bCs w:val="0"/>
          <w:color w:val="000000" w:themeColor="text1"/>
          <w:highlight w:val="none"/>
          <w:lang w:val="en-US" w:eastAsia="zh-CN"/>
          <w14:textFill>
            <w14:solidFill>
              <w14:schemeClr w14:val="tx1"/>
            </w14:solidFill>
          </w14:textFill>
        </w:rPr>
        <w:t>，</w:t>
      </w:r>
      <w:r>
        <w:rPr>
          <w:rFonts w:hint="eastAsia" w:cs="宋体"/>
          <w:b w:val="0"/>
          <w:bCs w:val="0"/>
          <w:color w:val="000000" w:themeColor="text1"/>
          <w:highlight w:val="none"/>
          <w:lang w:val="en-US" w:eastAsia="zh-CN"/>
          <w14:textFill>
            <w14:solidFill>
              <w14:schemeClr w14:val="tx1"/>
            </w14:solidFill>
          </w14:textFill>
        </w:rPr>
        <w:t>磋商小组</w:t>
      </w:r>
      <w:r>
        <w:rPr>
          <w:rFonts w:hint="eastAsia" w:ascii="宋体" w:hAnsi="宋体" w:eastAsia="宋体" w:cs="宋体"/>
          <w:b w:val="0"/>
          <w:bCs w:val="0"/>
          <w:color w:val="000000" w:themeColor="text1"/>
          <w:highlight w:val="none"/>
          <w:lang w:val="en-US" w:eastAsia="zh-CN"/>
          <w14:textFill>
            <w14:solidFill>
              <w14:schemeClr w14:val="tx1"/>
            </w14:solidFill>
          </w14:textFill>
        </w:rPr>
        <w:t>应当根据本文件确定的评标标准和方法，对其技术和商务部分作进一步的评审和比较。</w:t>
      </w:r>
    </w:p>
    <w:p w14:paraId="616A35D9">
      <w:pPr>
        <w:pStyle w:val="2"/>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2、采用综合评分法，即</w:t>
      </w:r>
      <w:r>
        <w:rPr>
          <w:rFonts w:hint="eastAsia" w:cs="宋体"/>
          <w:b w:val="0"/>
          <w:bCs w:val="0"/>
          <w:color w:val="000000" w:themeColor="text1"/>
          <w:highlight w:val="none"/>
          <w:lang w:val="en-US" w:eastAsia="zh-CN"/>
          <w14:textFill>
            <w14:solidFill>
              <w14:schemeClr w14:val="tx1"/>
            </w14:solidFill>
          </w14:textFill>
        </w:rPr>
        <w:t>响应文件</w:t>
      </w:r>
      <w:r>
        <w:rPr>
          <w:rFonts w:hint="eastAsia" w:ascii="宋体" w:hAnsi="宋体" w:eastAsia="宋体" w:cs="宋体"/>
          <w:b w:val="0"/>
          <w:bCs w:val="0"/>
          <w:color w:val="000000" w:themeColor="text1"/>
          <w:highlight w:val="none"/>
          <w:lang w:val="en-US" w:eastAsia="zh-CN"/>
          <w14:textFill>
            <w14:solidFill>
              <w14:schemeClr w14:val="tx1"/>
            </w14:solidFill>
          </w14:textFill>
        </w:rPr>
        <w:t>满足</w:t>
      </w:r>
      <w:r>
        <w:rPr>
          <w:rFonts w:hint="eastAsia" w:cs="宋体"/>
          <w:b w:val="0"/>
          <w:bCs w:val="0"/>
          <w:color w:val="000000" w:themeColor="text1"/>
          <w:highlight w:val="none"/>
          <w:lang w:val="en-US" w:eastAsia="zh-CN"/>
          <w14:textFill>
            <w14:solidFill>
              <w14:schemeClr w14:val="tx1"/>
            </w14:solidFill>
          </w14:textFill>
        </w:rPr>
        <w:t>磋商文件</w:t>
      </w:r>
      <w:r>
        <w:rPr>
          <w:rFonts w:hint="eastAsia" w:ascii="宋体" w:hAnsi="宋体" w:eastAsia="宋体" w:cs="宋体"/>
          <w:b w:val="0"/>
          <w:bCs w:val="0"/>
          <w:color w:val="000000" w:themeColor="text1"/>
          <w:highlight w:val="none"/>
          <w:lang w:val="en-US" w:eastAsia="zh-CN"/>
          <w14:textFill>
            <w14:solidFill>
              <w14:schemeClr w14:val="tx1"/>
            </w14:solidFill>
          </w14:textFill>
        </w:rPr>
        <w:t>全部实质性要求，且按照评审因素的量化指标评审得分最高的投标人为中标候选人。</w:t>
      </w:r>
    </w:p>
    <w:p w14:paraId="1E0BDDD9">
      <w:pPr>
        <w:pStyle w:val="2"/>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4、评标的保密性</w:t>
      </w:r>
    </w:p>
    <w:p w14:paraId="399A16A5">
      <w:pPr>
        <w:pStyle w:val="2"/>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1、开标后，直到授予投标商合同为止，凡属于审查、澄清、评价和比较的有关资料以及授标建议等</w:t>
      </w:r>
      <w:r>
        <w:rPr>
          <w:rFonts w:hint="eastAsia" w:cs="宋体"/>
          <w:b w:val="0"/>
          <w:bCs w:val="0"/>
          <w:color w:val="000000" w:themeColor="text1"/>
          <w:highlight w:val="none"/>
          <w:lang w:val="en-US" w:eastAsia="zh-CN"/>
          <w14:textFill>
            <w14:solidFill>
              <w14:schemeClr w14:val="tx1"/>
            </w14:solidFill>
          </w14:textFill>
        </w:rPr>
        <w:t>磋商小组</w:t>
      </w:r>
      <w:r>
        <w:rPr>
          <w:rFonts w:hint="eastAsia" w:ascii="宋体" w:hAnsi="宋体" w:eastAsia="宋体" w:cs="宋体"/>
          <w:b w:val="0"/>
          <w:bCs w:val="0"/>
          <w:color w:val="000000" w:themeColor="text1"/>
          <w:highlight w:val="none"/>
          <w:lang w:val="en-US" w:eastAsia="zh-CN"/>
          <w14:textFill>
            <w14:solidFill>
              <w14:schemeClr w14:val="tx1"/>
            </w14:solidFill>
          </w14:textFill>
        </w:rPr>
        <w:t>成员或参与评标的有关工作人员均不得向投标商或其他无关人员透露，</w:t>
      </w:r>
    </w:p>
    <w:p w14:paraId="353109DA">
      <w:pPr>
        <w:pStyle w:val="2"/>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违者给予警告、取消担任</w:t>
      </w:r>
      <w:r>
        <w:rPr>
          <w:rFonts w:hint="eastAsia" w:cs="宋体"/>
          <w:b w:val="0"/>
          <w:bCs w:val="0"/>
          <w:color w:val="000000" w:themeColor="text1"/>
          <w:highlight w:val="none"/>
          <w:lang w:val="en-US" w:eastAsia="zh-CN"/>
          <w14:textFill>
            <w14:solidFill>
              <w14:schemeClr w14:val="tx1"/>
            </w14:solidFill>
          </w14:textFill>
        </w:rPr>
        <w:t>磋商小组</w:t>
      </w:r>
      <w:r>
        <w:rPr>
          <w:rFonts w:hint="eastAsia" w:ascii="宋体" w:hAnsi="宋体" w:eastAsia="宋体" w:cs="宋体"/>
          <w:b w:val="0"/>
          <w:bCs w:val="0"/>
          <w:color w:val="000000" w:themeColor="text1"/>
          <w:highlight w:val="none"/>
          <w:lang w:val="en-US" w:eastAsia="zh-CN"/>
          <w14:textFill>
            <w14:solidFill>
              <w14:schemeClr w14:val="tx1"/>
            </w14:solidFill>
          </w14:textFill>
        </w:rPr>
        <w:t>成员的资格，不得再参加任何项目的评标。</w:t>
      </w:r>
    </w:p>
    <w:p w14:paraId="18DE770B">
      <w:pPr>
        <w:pStyle w:val="2"/>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2、投标商在评标过程中，所进行的力图影响评标结果的不符合《政府采购法》、《政府采购竞争性投标采购方式管理暂行办法》及本次项目中有关规定的活动，将被取消中标资格。</w:t>
      </w:r>
    </w:p>
    <w:p w14:paraId="4E5B850B">
      <w:pPr>
        <w:pStyle w:val="2"/>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八、定标</w:t>
      </w:r>
    </w:p>
    <w:p w14:paraId="4AE1ABEB">
      <w:pPr>
        <w:pStyle w:val="2"/>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1.定标标准</w:t>
      </w:r>
    </w:p>
    <w:p w14:paraId="7F6C54D3">
      <w:pPr>
        <w:pStyle w:val="2"/>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（一）原则：招标人将依据本项目根据</w:t>
      </w:r>
      <w:r>
        <w:rPr>
          <w:rFonts w:hint="eastAsia" w:cs="宋体"/>
          <w:b w:val="0"/>
          <w:bCs w:val="0"/>
          <w:color w:val="000000" w:themeColor="text1"/>
          <w:highlight w:val="none"/>
          <w:lang w:val="en-US" w:eastAsia="zh-CN"/>
          <w14:textFill>
            <w14:solidFill>
              <w14:schemeClr w14:val="tx1"/>
            </w14:solidFill>
          </w14:textFill>
        </w:rPr>
        <w:t>磋商小组</w:t>
      </w:r>
      <w:r>
        <w:rPr>
          <w:rFonts w:hint="eastAsia" w:ascii="宋体" w:hAnsi="宋体" w:eastAsia="宋体" w:cs="宋体"/>
          <w:b w:val="0"/>
          <w:bCs w:val="0"/>
          <w:color w:val="000000" w:themeColor="text1"/>
          <w:highlight w:val="none"/>
          <w:lang w:val="en-US" w:eastAsia="zh-CN"/>
          <w14:textFill>
            <w14:solidFill>
              <w14:schemeClr w14:val="tx1"/>
            </w14:solidFill>
          </w14:textFill>
        </w:rPr>
        <w:t>推荐的中标候选人名单，按顺序确定中标人。</w:t>
      </w:r>
    </w:p>
    <w:p w14:paraId="131E8F34">
      <w:pPr>
        <w:pStyle w:val="2"/>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（二）程序：</w:t>
      </w:r>
    </w:p>
    <w:p w14:paraId="69E879A0">
      <w:pPr>
        <w:pStyle w:val="2"/>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1、采购代理机构在评审结束后2个工作日内将评审报告送采购人确认。</w:t>
      </w:r>
    </w:p>
    <w:p w14:paraId="6C3C52C1">
      <w:pPr>
        <w:pStyle w:val="2"/>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2、采购人应当在收到评审报告后5个工作日内，从评审报告提出的中标候选单位中，按照排序由高到低的原则确定中标单位，也可以书面授权</w:t>
      </w:r>
      <w:r>
        <w:rPr>
          <w:rFonts w:hint="eastAsia" w:cs="宋体"/>
          <w:b w:val="0"/>
          <w:bCs w:val="0"/>
          <w:color w:val="000000" w:themeColor="text1"/>
          <w:highlight w:val="none"/>
          <w:lang w:val="en-US" w:eastAsia="zh-CN"/>
          <w14:textFill>
            <w14:solidFill>
              <w14:schemeClr w14:val="tx1"/>
            </w14:solidFill>
          </w14:textFill>
        </w:rPr>
        <w:t>磋商小组</w:t>
      </w:r>
      <w:r>
        <w:rPr>
          <w:rFonts w:hint="eastAsia" w:ascii="宋体" w:hAnsi="宋体" w:eastAsia="宋体" w:cs="宋体"/>
          <w:b w:val="0"/>
          <w:bCs w:val="0"/>
          <w:color w:val="000000" w:themeColor="text1"/>
          <w:highlight w:val="none"/>
          <w:lang w:val="en-US" w:eastAsia="zh-CN"/>
          <w14:textFill>
            <w14:solidFill>
              <w14:schemeClr w14:val="tx1"/>
            </w14:solidFill>
          </w14:textFill>
        </w:rPr>
        <w:t>直接确定中标单位。采购人逾期未确定中标单位且不提出异议的，视为确定评审报告提出的排序第一的</w:t>
      </w:r>
      <w:r>
        <w:rPr>
          <w:rFonts w:hint="eastAsia" w:cs="宋体"/>
          <w:b w:val="0"/>
          <w:bCs w:val="0"/>
          <w:color w:val="000000" w:themeColor="text1"/>
          <w:highlight w:val="none"/>
          <w:lang w:val="en-US" w:eastAsia="zh-CN"/>
          <w14:textFill>
            <w14:solidFill>
              <w14:schemeClr w14:val="tx1"/>
            </w14:solidFill>
          </w14:textFill>
        </w:rPr>
        <w:t>投标人</w:t>
      </w:r>
      <w:r>
        <w:rPr>
          <w:rFonts w:hint="eastAsia" w:ascii="宋体" w:hAnsi="宋体" w:eastAsia="宋体" w:cs="宋体"/>
          <w:b w:val="0"/>
          <w:bCs w:val="0"/>
          <w:color w:val="000000" w:themeColor="text1"/>
          <w:highlight w:val="none"/>
          <w:lang w:val="en-US" w:eastAsia="zh-CN"/>
          <w14:textFill>
            <w14:solidFill>
              <w14:schemeClr w14:val="tx1"/>
            </w14:solidFill>
          </w14:textFill>
        </w:rPr>
        <w:t>为中标单位。采购人或者采购代理机构应当在中标单位确定后2个工作日内，在省级以上财政部门指定的政府采购信息发布媒体上公告成交结果，同时向中标单位发出成交通知书，并将</w:t>
      </w:r>
      <w:r>
        <w:rPr>
          <w:rFonts w:hint="eastAsia" w:cs="宋体"/>
          <w:b w:val="0"/>
          <w:bCs w:val="0"/>
          <w:color w:val="000000" w:themeColor="text1"/>
          <w:highlight w:val="none"/>
          <w:lang w:val="en-US" w:eastAsia="zh-CN"/>
          <w14:textFill>
            <w14:solidFill>
              <w14:schemeClr w14:val="tx1"/>
            </w14:solidFill>
          </w14:textFill>
        </w:rPr>
        <w:t>磋商文件</w:t>
      </w:r>
      <w:r>
        <w:rPr>
          <w:rFonts w:hint="eastAsia" w:ascii="宋体" w:hAnsi="宋体" w:eastAsia="宋体" w:cs="宋体"/>
          <w:b w:val="0"/>
          <w:bCs w:val="0"/>
          <w:color w:val="000000" w:themeColor="text1"/>
          <w:highlight w:val="none"/>
          <w:lang w:val="en-US" w:eastAsia="zh-CN"/>
          <w14:textFill>
            <w14:solidFill>
              <w14:schemeClr w14:val="tx1"/>
            </w14:solidFill>
          </w14:textFill>
        </w:rPr>
        <w:t>随成交结果同时公告。 采购人与中标单位应当在成交通知书发出之日起30日内，按照</w:t>
      </w:r>
      <w:r>
        <w:rPr>
          <w:rFonts w:hint="eastAsia" w:cs="宋体"/>
          <w:b w:val="0"/>
          <w:bCs w:val="0"/>
          <w:color w:val="000000" w:themeColor="text1"/>
          <w:highlight w:val="none"/>
          <w:lang w:val="en-US" w:eastAsia="zh-CN"/>
          <w14:textFill>
            <w14:solidFill>
              <w14:schemeClr w14:val="tx1"/>
            </w14:solidFill>
          </w14:textFill>
        </w:rPr>
        <w:t>磋商文件</w:t>
      </w:r>
      <w:r>
        <w:rPr>
          <w:rFonts w:hint="eastAsia" w:ascii="宋体" w:hAnsi="宋体" w:eastAsia="宋体" w:cs="宋体"/>
          <w:b w:val="0"/>
          <w:bCs w:val="0"/>
          <w:color w:val="000000" w:themeColor="text1"/>
          <w:highlight w:val="none"/>
          <w:lang w:val="en-US" w:eastAsia="zh-CN"/>
          <w14:textFill>
            <w14:solidFill>
              <w14:schemeClr w14:val="tx1"/>
            </w14:solidFill>
          </w14:textFill>
        </w:rPr>
        <w:t>确定的合同文本以及采购标的、规格型号、采购金额、采购数量、技术和服务要求等事项签订政府采购合同。</w:t>
      </w:r>
    </w:p>
    <w:p w14:paraId="527FBE3D">
      <w:pPr>
        <w:pStyle w:val="2"/>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中标候选人并列式时的处理方式：</w:t>
      </w: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   </w:t>
      </w:r>
    </w:p>
    <w:p w14:paraId="7C2033CF">
      <w:pPr>
        <w:pStyle w:val="2"/>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Times New Roman"/>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采用综合评标法，则：</w:t>
      </w:r>
      <w:r>
        <w:rPr>
          <w:rFonts w:hint="eastAsia" w:ascii="宋体" w:hAnsi="宋体"/>
          <w:bCs/>
          <w:color w:val="000000" w:themeColor="text1"/>
          <w:sz w:val="24"/>
          <w:highlight w:val="none"/>
          <w14:textFill>
            <w14:solidFill>
              <w14:schemeClr w14:val="tx1"/>
            </w14:solidFill>
          </w14:textFill>
        </w:rPr>
        <w:t>确定满足</w:t>
      </w:r>
      <w:r>
        <w:rPr>
          <w:rFonts w:hint="eastAsia"/>
          <w:bCs/>
          <w:color w:val="000000" w:themeColor="text1"/>
          <w:sz w:val="24"/>
          <w:highlight w:val="none"/>
          <w:lang w:val="en-US" w:eastAsia="zh-CN"/>
          <w14:textFill>
            <w14:solidFill>
              <w14:schemeClr w14:val="tx1"/>
            </w14:solidFill>
          </w14:textFill>
        </w:rPr>
        <w:t>磋商文件</w:t>
      </w:r>
      <w:r>
        <w:rPr>
          <w:rFonts w:hint="eastAsia" w:ascii="宋体" w:hAnsi="宋体"/>
          <w:bCs/>
          <w:color w:val="000000" w:themeColor="text1"/>
          <w:sz w:val="24"/>
          <w:highlight w:val="none"/>
          <w14:textFill>
            <w14:solidFill>
              <w14:schemeClr w14:val="tx1"/>
            </w14:solidFill>
          </w14:textFill>
        </w:rPr>
        <w:t>全部实质性要求，且按照评审因素的量化指标评审得分最高的投标人为排名第一的中标候选人。评审得分相同的，</w:t>
      </w:r>
      <w:r>
        <w:rPr>
          <w:rFonts w:ascii="宋体" w:hAnsi="宋体"/>
          <w:bCs/>
          <w:color w:val="000000" w:themeColor="text1"/>
          <w:sz w:val="24"/>
          <w:highlight w:val="non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按投标报价由低到高顺序排列。如报价相同则技术部分得分最高优先</w:t>
      </w:r>
      <w:r>
        <w:rPr>
          <w:rFonts w:hint="eastAsia" w:ascii="宋体" w:hAnsi="宋体" w:eastAsia="宋体" w:cs="Times New Roman"/>
          <w:bCs/>
          <w:color w:val="000000" w:themeColor="text1"/>
          <w:sz w:val="24"/>
          <w:highlight w:val="none"/>
          <w:lang w:val="en-US" w:eastAsia="zh-CN"/>
          <w14:textFill>
            <w14:solidFill>
              <w14:schemeClr w14:val="tx1"/>
            </w14:solidFill>
          </w14:textFill>
        </w:rPr>
        <w:t>。</w:t>
      </w:r>
    </w:p>
    <w:p w14:paraId="7903D43F">
      <w:pPr>
        <w:pStyle w:val="2"/>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九、中小企业落实政策</w:t>
      </w:r>
    </w:p>
    <w:p w14:paraId="7DE8AFFE">
      <w:pPr>
        <w:pStyle w:val="2"/>
        <w:keepNext w:val="0"/>
        <w:keepLines w:val="0"/>
        <w:pageBreakBefore w:val="0"/>
        <w:tabs>
          <w:tab w:val="clear" w:pos="567"/>
        </w:tabs>
        <w:kinsoku/>
        <w:wordWrap/>
        <w:overflowPunct/>
        <w:topLinePunct w:val="0"/>
        <w:bidi w:val="0"/>
        <w:adjustRightInd/>
        <w:spacing w:before="0" w:line="400" w:lineRule="exact"/>
        <w:ind w:left="-181" w:leftChars="-86" w:right="218" w:rightChars="104" w:firstLine="663" w:firstLineChars="275"/>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本项目专门面向中小微企业采购    </w:t>
      </w:r>
      <w:r>
        <w:rPr>
          <w:rFonts w:hint="eastAsia" w:ascii="宋体" w:hAnsi="宋体" w:eastAsia="宋体" w:cs="宋体"/>
          <w:b w:val="0"/>
          <w:bCs w:val="0"/>
          <w:color w:val="000000" w:themeColor="text1"/>
          <w:highlight w:val="none"/>
          <w14:textFill>
            <w14:solidFill>
              <w14:schemeClr w14:val="tx1"/>
            </w14:solidFill>
          </w14:textFill>
        </w:rPr>
        <w:t xml:space="preserve">    </w:t>
      </w:r>
    </w:p>
    <w:p w14:paraId="32CA604E">
      <w:pPr>
        <w:keepNext w:val="0"/>
        <w:keepLines w:val="0"/>
        <w:pageBreakBefore w:val="0"/>
        <w:widowControl w:val="0"/>
        <w:kinsoku/>
        <w:overflowPunct/>
        <w:bidi w:val="0"/>
        <w:spacing w:line="440" w:lineRule="exact"/>
        <w:jc w:val="center"/>
        <w:outlineLvl w:val="0"/>
        <w:rPr>
          <w:rFonts w:hint="eastAsia" w:ascii="宋体" w:hAnsi="宋体" w:eastAsia="宋体" w:cs="宋体"/>
          <w:b/>
          <w:color w:val="000000" w:themeColor="text1"/>
          <w:sz w:val="32"/>
          <w:szCs w:val="32"/>
          <w:highlight w:val="none"/>
          <w14:textFill>
            <w14:solidFill>
              <w14:schemeClr w14:val="tx1"/>
            </w14:solidFill>
          </w14:textFill>
        </w:rPr>
      </w:pPr>
    </w:p>
    <w:p w14:paraId="24C49387">
      <w:pPr>
        <w:pStyle w:val="6"/>
        <w:rPr>
          <w:rFonts w:hint="eastAsia" w:ascii="宋体" w:hAnsi="宋体" w:eastAsia="宋体" w:cs="宋体"/>
          <w:b/>
          <w:color w:val="000000" w:themeColor="text1"/>
          <w:sz w:val="32"/>
          <w:szCs w:val="32"/>
          <w:highlight w:val="none"/>
          <w14:textFill>
            <w14:solidFill>
              <w14:schemeClr w14:val="tx1"/>
            </w14:solidFill>
          </w14:textFill>
        </w:rPr>
      </w:pPr>
    </w:p>
    <w:p w14:paraId="370FD79E">
      <w:pPr>
        <w:rPr>
          <w:rFonts w:hint="eastAsia" w:ascii="宋体" w:hAnsi="宋体" w:eastAsia="宋体" w:cs="宋体"/>
          <w:b/>
          <w:color w:val="000000" w:themeColor="text1"/>
          <w:sz w:val="32"/>
          <w:szCs w:val="32"/>
          <w:highlight w:val="none"/>
          <w14:textFill>
            <w14:solidFill>
              <w14:schemeClr w14:val="tx1"/>
            </w14:solidFill>
          </w14:textFill>
        </w:rPr>
      </w:pPr>
    </w:p>
    <w:p w14:paraId="3B3BA980">
      <w:pPr>
        <w:pStyle w:val="6"/>
        <w:rPr>
          <w:rFonts w:hint="eastAsia" w:ascii="宋体" w:hAnsi="宋体" w:eastAsia="宋体" w:cs="宋体"/>
          <w:b/>
          <w:color w:val="000000" w:themeColor="text1"/>
          <w:sz w:val="32"/>
          <w:szCs w:val="32"/>
          <w:highlight w:val="none"/>
          <w14:textFill>
            <w14:solidFill>
              <w14:schemeClr w14:val="tx1"/>
            </w14:solidFill>
          </w14:textFill>
        </w:rPr>
      </w:pPr>
    </w:p>
    <w:p w14:paraId="5FFC6EE6">
      <w:pPr>
        <w:rPr>
          <w:rFonts w:hint="eastAsia" w:ascii="宋体" w:hAnsi="宋体" w:eastAsia="宋体" w:cs="宋体"/>
          <w:b/>
          <w:color w:val="000000" w:themeColor="text1"/>
          <w:sz w:val="32"/>
          <w:szCs w:val="32"/>
          <w:highlight w:val="none"/>
          <w14:textFill>
            <w14:solidFill>
              <w14:schemeClr w14:val="tx1"/>
            </w14:solidFill>
          </w14:textFill>
        </w:rPr>
      </w:pPr>
    </w:p>
    <w:p w14:paraId="49664F9E">
      <w:pPr>
        <w:pStyle w:val="6"/>
        <w:rPr>
          <w:rFonts w:hint="eastAsia" w:ascii="宋体" w:hAnsi="宋体" w:eastAsia="宋体" w:cs="宋体"/>
          <w:b/>
          <w:color w:val="000000" w:themeColor="text1"/>
          <w:sz w:val="32"/>
          <w:szCs w:val="32"/>
          <w:highlight w:val="none"/>
          <w14:textFill>
            <w14:solidFill>
              <w14:schemeClr w14:val="tx1"/>
            </w14:solidFill>
          </w14:textFill>
        </w:rPr>
      </w:pPr>
    </w:p>
    <w:p w14:paraId="65FB3EA0">
      <w:pPr>
        <w:rPr>
          <w:rFonts w:hint="eastAsia" w:ascii="宋体" w:hAnsi="宋体" w:eastAsia="宋体" w:cs="宋体"/>
          <w:b/>
          <w:color w:val="000000" w:themeColor="text1"/>
          <w:sz w:val="32"/>
          <w:szCs w:val="32"/>
          <w:highlight w:val="none"/>
          <w14:textFill>
            <w14:solidFill>
              <w14:schemeClr w14:val="tx1"/>
            </w14:solidFill>
          </w14:textFill>
        </w:rPr>
      </w:pPr>
    </w:p>
    <w:p w14:paraId="3014A02B">
      <w:pPr>
        <w:pStyle w:val="6"/>
        <w:rPr>
          <w:rFonts w:hint="eastAsia" w:ascii="宋体" w:hAnsi="宋体" w:eastAsia="宋体" w:cs="宋体"/>
          <w:b/>
          <w:color w:val="000000" w:themeColor="text1"/>
          <w:sz w:val="32"/>
          <w:szCs w:val="32"/>
          <w:highlight w:val="none"/>
          <w14:textFill>
            <w14:solidFill>
              <w14:schemeClr w14:val="tx1"/>
            </w14:solidFill>
          </w14:textFill>
        </w:rPr>
      </w:pPr>
    </w:p>
    <w:p w14:paraId="41CE4D05">
      <w:pPr>
        <w:rPr>
          <w:rFonts w:hint="eastAsia" w:ascii="宋体" w:hAnsi="宋体" w:eastAsia="宋体" w:cs="宋体"/>
          <w:b/>
          <w:color w:val="000000" w:themeColor="text1"/>
          <w:sz w:val="32"/>
          <w:szCs w:val="32"/>
          <w:highlight w:val="none"/>
          <w14:textFill>
            <w14:solidFill>
              <w14:schemeClr w14:val="tx1"/>
            </w14:solidFill>
          </w14:textFill>
        </w:rPr>
      </w:pPr>
    </w:p>
    <w:p w14:paraId="445661C4">
      <w:pPr>
        <w:pStyle w:val="6"/>
        <w:rPr>
          <w:rFonts w:hint="eastAsia" w:ascii="宋体" w:hAnsi="宋体" w:eastAsia="宋体" w:cs="宋体"/>
          <w:b/>
          <w:color w:val="000000" w:themeColor="text1"/>
          <w:sz w:val="32"/>
          <w:szCs w:val="32"/>
          <w:highlight w:val="none"/>
          <w14:textFill>
            <w14:solidFill>
              <w14:schemeClr w14:val="tx1"/>
            </w14:solidFill>
          </w14:textFill>
        </w:rPr>
      </w:pPr>
    </w:p>
    <w:p w14:paraId="62BC1378">
      <w:pPr>
        <w:rPr>
          <w:rFonts w:hint="eastAsia" w:ascii="宋体" w:hAnsi="宋体" w:eastAsia="宋体" w:cs="宋体"/>
          <w:b/>
          <w:color w:val="000000" w:themeColor="text1"/>
          <w:sz w:val="32"/>
          <w:szCs w:val="32"/>
          <w:highlight w:val="none"/>
          <w14:textFill>
            <w14:solidFill>
              <w14:schemeClr w14:val="tx1"/>
            </w14:solidFill>
          </w14:textFill>
        </w:rPr>
      </w:pPr>
    </w:p>
    <w:p w14:paraId="5D6B0174">
      <w:pPr>
        <w:pStyle w:val="6"/>
        <w:rPr>
          <w:rFonts w:hint="eastAsia" w:ascii="宋体" w:hAnsi="宋体" w:eastAsia="宋体" w:cs="宋体"/>
          <w:b/>
          <w:color w:val="000000" w:themeColor="text1"/>
          <w:sz w:val="32"/>
          <w:szCs w:val="32"/>
          <w:highlight w:val="none"/>
          <w14:textFill>
            <w14:solidFill>
              <w14:schemeClr w14:val="tx1"/>
            </w14:solidFill>
          </w14:textFill>
        </w:rPr>
      </w:pPr>
    </w:p>
    <w:p w14:paraId="1DFBBDC5">
      <w:pPr>
        <w:rPr>
          <w:rFonts w:hint="eastAsia" w:ascii="宋体" w:hAnsi="宋体" w:eastAsia="宋体" w:cs="宋体"/>
          <w:b/>
          <w:color w:val="000000" w:themeColor="text1"/>
          <w:sz w:val="32"/>
          <w:szCs w:val="32"/>
          <w:highlight w:val="none"/>
          <w14:textFill>
            <w14:solidFill>
              <w14:schemeClr w14:val="tx1"/>
            </w14:solidFill>
          </w14:textFill>
        </w:rPr>
      </w:pPr>
    </w:p>
    <w:p w14:paraId="374FD2ED">
      <w:pPr>
        <w:pStyle w:val="6"/>
        <w:rPr>
          <w:rFonts w:hint="eastAsia"/>
          <w:color w:val="000000" w:themeColor="text1"/>
          <w14:textFill>
            <w14:solidFill>
              <w14:schemeClr w14:val="tx1"/>
            </w14:solidFill>
          </w14:textFill>
        </w:rPr>
      </w:pPr>
    </w:p>
    <w:p w14:paraId="7ED05AA7">
      <w:pPr>
        <w:keepNext w:val="0"/>
        <w:keepLines w:val="0"/>
        <w:pageBreakBefore w:val="0"/>
        <w:widowControl w:val="0"/>
        <w:kinsoku/>
        <w:overflowPunct/>
        <w:bidi w:val="0"/>
        <w:spacing w:line="440" w:lineRule="exact"/>
        <w:jc w:val="center"/>
        <w:outlineLvl w:val="0"/>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lang w:eastAsia="zh-CN"/>
          <w14:textFill>
            <w14:solidFill>
              <w14:schemeClr w14:val="tx1"/>
            </w14:solidFill>
          </w14:textFill>
        </w:rPr>
        <w:t>响应文件</w:t>
      </w:r>
      <w:r>
        <w:rPr>
          <w:rFonts w:hint="eastAsia" w:ascii="宋体" w:hAnsi="宋体" w:eastAsia="宋体" w:cs="宋体"/>
          <w:b/>
          <w:color w:val="000000" w:themeColor="text1"/>
          <w:sz w:val="32"/>
          <w:szCs w:val="32"/>
          <w:highlight w:val="none"/>
          <w14:textFill>
            <w14:solidFill>
              <w14:schemeClr w14:val="tx1"/>
            </w14:solidFill>
          </w14:textFill>
        </w:rPr>
        <w:t>的初审</w:t>
      </w:r>
    </w:p>
    <w:p w14:paraId="4F41384E">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 xml:space="preserve">    </w:t>
      </w:r>
      <w:r>
        <w:rPr>
          <w:rFonts w:hint="eastAsia" w:ascii="宋体" w:hAnsi="宋体" w:cs="宋体"/>
          <w:bCs/>
          <w:color w:val="000000" w:themeColor="text1"/>
          <w:szCs w:val="21"/>
          <w:highlight w:val="none"/>
          <w:lang w:eastAsia="zh-CN"/>
          <w14:textFill>
            <w14:solidFill>
              <w14:schemeClr w14:val="tx1"/>
            </w14:solidFill>
          </w14:textFill>
        </w:rPr>
        <w:t>响应文件</w:t>
      </w:r>
      <w:r>
        <w:rPr>
          <w:rFonts w:hint="eastAsia" w:ascii="宋体" w:hAnsi="宋体" w:eastAsia="宋体" w:cs="宋体"/>
          <w:bCs/>
          <w:color w:val="000000" w:themeColor="text1"/>
          <w:szCs w:val="21"/>
          <w:highlight w:val="none"/>
          <w14:textFill>
            <w14:solidFill>
              <w14:schemeClr w14:val="tx1"/>
            </w14:solidFill>
          </w14:textFill>
        </w:rPr>
        <w:t>的初审分为资格性检查和符合性检查。</w:t>
      </w:r>
    </w:p>
    <w:p w14:paraId="35F6028D">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（一）、资格性检查是指评标委员会依据法律法规和</w:t>
      </w:r>
      <w:r>
        <w:rPr>
          <w:rFonts w:hint="eastAsia" w:ascii="宋体" w:hAnsi="宋体" w:cs="宋体"/>
          <w:bCs/>
          <w:color w:val="000000" w:themeColor="text1"/>
          <w:szCs w:val="21"/>
          <w:highlight w:val="none"/>
          <w:lang w:eastAsia="zh-CN"/>
          <w14:textFill>
            <w14:solidFill>
              <w14:schemeClr w14:val="tx1"/>
            </w14:solidFill>
          </w14:textFill>
        </w:rPr>
        <w:t>磋商文件</w:t>
      </w:r>
      <w:r>
        <w:rPr>
          <w:rFonts w:hint="eastAsia" w:ascii="宋体" w:hAnsi="宋体" w:eastAsia="宋体" w:cs="宋体"/>
          <w:bCs/>
          <w:color w:val="000000" w:themeColor="text1"/>
          <w:szCs w:val="21"/>
          <w:highlight w:val="none"/>
          <w14:textFill>
            <w14:solidFill>
              <w14:schemeClr w14:val="tx1"/>
            </w14:solidFill>
          </w14:textFill>
        </w:rPr>
        <w:t>的规定，对</w:t>
      </w:r>
      <w:r>
        <w:rPr>
          <w:rFonts w:hint="eastAsia" w:ascii="宋体" w:hAnsi="宋体" w:cs="宋体"/>
          <w:bCs/>
          <w:color w:val="000000" w:themeColor="text1"/>
          <w:szCs w:val="21"/>
          <w:highlight w:val="none"/>
          <w:lang w:eastAsia="zh-CN"/>
          <w14:textFill>
            <w14:solidFill>
              <w14:schemeClr w14:val="tx1"/>
            </w14:solidFill>
          </w14:textFill>
        </w:rPr>
        <w:t>响应文件</w:t>
      </w:r>
      <w:r>
        <w:rPr>
          <w:rFonts w:hint="eastAsia" w:ascii="宋体" w:hAnsi="宋体" w:eastAsia="宋体" w:cs="宋体"/>
          <w:bCs/>
          <w:color w:val="000000" w:themeColor="text1"/>
          <w:szCs w:val="21"/>
          <w:highlight w:val="none"/>
          <w14:textFill>
            <w14:solidFill>
              <w14:schemeClr w14:val="tx1"/>
            </w14:solidFill>
          </w14:textFill>
        </w:rPr>
        <w:t>中的资格证明、投标保证金等进行审查，以确定投标投标人是否具备投标资格。</w:t>
      </w:r>
    </w:p>
    <w:p w14:paraId="0AE78962">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资格性检查包含如下内容：</w:t>
      </w:r>
    </w:p>
    <w:tbl>
      <w:tblPr>
        <w:tblStyle w:val="37"/>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05"/>
        <w:gridCol w:w="6012"/>
        <w:gridCol w:w="780"/>
        <w:gridCol w:w="699"/>
      </w:tblGrid>
      <w:tr w14:paraId="440A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244" w:type="dxa"/>
            <w:vMerge w:val="restart"/>
            <w:noWrap w:val="0"/>
            <w:vAlign w:val="center"/>
          </w:tcPr>
          <w:p w14:paraId="6C203C3A">
            <w:pPr>
              <w:keepNext w:val="0"/>
              <w:keepLines w:val="0"/>
              <w:pageBreakBefore w:val="0"/>
              <w:widowControl w:val="0"/>
              <w:kinsoku/>
              <w:overflowPunct/>
              <w:bidi w:val="0"/>
              <w:spacing w:line="440" w:lineRule="exact"/>
              <w:jc w:val="center"/>
              <w:outlineLvl w:val="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w:t>
            </w:r>
          </w:p>
        </w:tc>
        <w:tc>
          <w:tcPr>
            <w:tcW w:w="6717" w:type="dxa"/>
            <w:gridSpan w:val="2"/>
            <w:vMerge w:val="restart"/>
            <w:noWrap w:val="0"/>
            <w:vAlign w:val="center"/>
          </w:tcPr>
          <w:p w14:paraId="712BBAFF">
            <w:pPr>
              <w:keepNext w:val="0"/>
              <w:keepLines w:val="0"/>
              <w:pageBreakBefore w:val="0"/>
              <w:widowControl w:val="0"/>
              <w:kinsoku/>
              <w:overflowPunct/>
              <w:bidi w:val="0"/>
              <w:spacing w:line="440" w:lineRule="exact"/>
              <w:jc w:val="center"/>
              <w:outlineLvl w:val="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评审内容</w:t>
            </w:r>
          </w:p>
        </w:tc>
        <w:tc>
          <w:tcPr>
            <w:tcW w:w="1479" w:type="dxa"/>
            <w:gridSpan w:val="2"/>
            <w:noWrap w:val="0"/>
            <w:vAlign w:val="center"/>
          </w:tcPr>
          <w:p w14:paraId="261F76A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评审</w:t>
            </w:r>
          </w:p>
          <w:p w14:paraId="771117B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意见</w:t>
            </w:r>
          </w:p>
        </w:tc>
      </w:tr>
      <w:tr w14:paraId="069F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4BF8CA1D">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6717" w:type="dxa"/>
            <w:gridSpan w:val="2"/>
            <w:vMerge w:val="continue"/>
            <w:noWrap w:val="0"/>
            <w:vAlign w:val="top"/>
          </w:tcPr>
          <w:p w14:paraId="68D3104B">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780" w:type="dxa"/>
            <w:noWrap w:val="0"/>
            <w:vAlign w:val="center"/>
          </w:tcPr>
          <w:p w14:paraId="25E7074A">
            <w:pPr>
              <w:keepNext w:val="0"/>
              <w:keepLines w:val="0"/>
              <w:pageBreakBefore w:val="0"/>
              <w:widowControl w:val="0"/>
              <w:kinsoku/>
              <w:overflowPunct/>
              <w:bidi w:val="0"/>
              <w:spacing w:line="440" w:lineRule="exact"/>
              <w:jc w:val="center"/>
              <w:outlineLvl w:val="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是</w:t>
            </w:r>
          </w:p>
        </w:tc>
        <w:tc>
          <w:tcPr>
            <w:tcW w:w="699" w:type="dxa"/>
            <w:noWrap w:val="0"/>
            <w:vAlign w:val="center"/>
          </w:tcPr>
          <w:p w14:paraId="4B8899C9">
            <w:pPr>
              <w:keepNext w:val="0"/>
              <w:keepLines w:val="0"/>
              <w:pageBreakBefore w:val="0"/>
              <w:widowControl w:val="0"/>
              <w:kinsoku/>
              <w:overflowPunct/>
              <w:bidi w:val="0"/>
              <w:spacing w:line="440" w:lineRule="exact"/>
              <w:jc w:val="center"/>
              <w:outlineLvl w:val="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否</w:t>
            </w:r>
          </w:p>
        </w:tc>
      </w:tr>
      <w:tr w14:paraId="296D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4" w:type="dxa"/>
            <w:vMerge w:val="restart"/>
            <w:noWrap w:val="0"/>
            <w:vAlign w:val="center"/>
          </w:tcPr>
          <w:p w14:paraId="709CE193">
            <w:pPr>
              <w:keepNext w:val="0"/>
              <w:keepLines w:val="0"/>
              <w:pageBreakBefore w:val="0"/>
              <w:widowControl w:val="0"/>
              <w:kinsoku/>
              <w:overflowPunct/>
              <w:bidi w:val="0"/>
              <w:spacing w:line="440" w:lineRule="exact"/>
              <w:jc w:val="center"/>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审查标准</w:t>
            </w:r>
          </w:p>
        </w:tc>
        <w:tc>
          <w:tcPr>
            <w:tcW w:w="705" w:type="dxa"/>
            <w:noWrap w:val="0"/>
            <w:vAlign w:val="center"/>
          </w:tcPr>
          <w:p w14:paraId="2810B27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p>
        </w:tc>
        <w:tc>
          <w:tcPr>
            <w:tcW w:w="6012" w:type="dxa"/>
            <w:noWrap w:val="0"/>
            <w:vAlign w:val="center"/>
          </w:tcPr>
          <w:p w14:paraId="48C5F95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单位三证合一营业执照</w:t>
            </w:r>
          </w:p>
        </w:tc>
        <w:tc>
          <w:tcPr>
            <w:tcW w:w="780" w:type="dxa"/>
            <w:noWrap w:val="0"/>
            <w:vAlign w:val="top"/>
          </w:tcPr>
          <w:p w14:paraId="4DADFB1C">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699" w:type="dxa"/>
            <w:noWrap w:val="0"/>
            <w:vAlign w:val="top"/>
          </w:tcPr>
          <w:p w14:paraId="0AD85793">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r>
      <w:tr w14:paraId="71CA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44" w:type="dxa"/>
            <w:vMerge w:val="continue"/>
            <w:noWrap w:val="0"/>
            <w:vAlign w:val="center"/>
          </w:tcPr>
          <w:p w14:paraId="23885A24">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705" w:type="dxa"/>
            <w:shd w:val="clear" w:color="auto" w:fill="auto"/>
            <w:noWrap w:val="0"/>
            <w:vAlign w:val="center"/>
          </w:tcPr>
          <w:p w14:paraId="447BFF0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2</w:t>
            </w:r>
          </w:p>
        </w:tc>
        <w:tc>
          <w:tcPr>
            <w:tcW w:w="6012" w:type="dxa"/>
            <w:noWrap w:val="0"/>
            <w:vAlign w:val="center"/>
          </w:tcPr>
          <w:p w14:paraId="24B90DB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《食品经营许可证》</w:t>
            </w:r>
          </w:p>
        </w:tc>
        <w:tc>
          <w:tcPr>
            <w:tcW w:w="780" w:type="dxa"/>
            <w:noWrap w:val="0"/>
            <w:vAlign w:val="top"/>
          </w:tcPr>
          <w:p w14:paraId="7EADDB84">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699" w:type="dxa"/>
            <w:noWrap w:val="0"/>
            <w:vAlign w:val="top"/>
          </w:tcPr>
          <w:p w14:paraId="6F84DCFD">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r>
      <w:tr w14:paraId="15F9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7B3E1DB3">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705" w:type="dxa"/>
            <w:shd w:val="clear" w:color="auto" w:fill="auto"/>
            <w:noWrap w:val="0"/>
            <w:vAlign w:val="center"/>
          </w:tcPr>
          <w:p w14:paraId="0F6D791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3</w:t>
            </w:r>
          </w:p>
        </w:tc>
        <w:tc>
          <w:tcPr>
            <w:tcW w:w="6012" w:type="dxa"/>
            <w:noWrap w:val="0"/>
            <w:vAlign w:val="center"/>
          </w:tcPr>
          <w:p w14:paraId="7B80A2AC">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法人本人投标的需提供法定代表人身份证明书；被授权委托人需提供法人授权委托书</w:t>
            </w:r>
          </w:p>
        </w:tc>
        <w:tc>
          <w:tcPr>
            <w:tcW w:w="780" w:type="dxa"/>
            <w:noWrap w:val="0"/>
            <w:vAlign w:val="top"/>
          </w:tcPr>
          <w:p w14:paraId="5BD48544">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699" w:type="dxa"/>
            <w:noWrap w:val="0"/>
            <w:vAlign w:val="top"/>
          </w:tcPr>
          <w:p w14:paraId="50EF8D6B">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r>
      <w:tr w14:paraId="186F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1103761">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705" w:type="dxa"/>
            <w:shd w:val="clear" w:color="auto" w:fill="auto"/>
            <w:noWrap w:val="0"/>
            <w:vAlign w:val="center"/>
          </w:tcPr>
          <w:p w14:paraId="249570A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4</w:t>
            </w:r>
          </w:p>
        </w:tc>
        <w:tc>
          <w:tcPr>
            <w:tcW w:w="6012" w:type="dxa"/>
            <w:noWrap w:val="0"/>
            <w:vAlign w:val="center"/>
          </w:tcPr>
          <w:p w14:paraId="251F526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提供</w:t>
            </w:r>
            <w:r>
              <w:rPr>
                <w:rFonts w:hint="eastAsia" w:ascii="宋体" w:hAnsi="宋体" w:cs="宋体"/>
                <w:bCs/>
                <w:color w:val="000000" w:themeColor="text1"/>
                <w:szCs w:val="21"/>
                <w:highlight w:val="none"/>
                <w:lang w:val="en-US" w:eastAsia="zh-CN"/>
                <w14:textFill>
                  <w14:solidFill>
                    <w14:schemeClr w14:val="tx1"/>
                  </w14:solidFill>
                </w14:textFill>
              </w:rPr>
              <w:t>2024年度或2025年度</w:t>
            </w:r>
            <w:r>
              <w:rPr>
                <w:rFonts w:hint="eastAsia" w:ascii="宋体" w:hAnsi="宋体" w:eastAsia="宋体" w:cs="宋体"/>
                <w:bCs/>
                <w:color w:val="000000" w:themeColor="text1"/>
                <w:szCs w:val="21"/>
                <w:highlight w:val="none"/>
                <w:lang w:val="en-US" w:eastAsia="zh-CN"/>
                <w14:textFill>
                  <w14:solidFill>
                    <w14:schemeClr w14:val="tx1"/>
                  </w14:solidFill>
                </w14:textFill>
              </w:rPr>
              <w:t>经会计事务所出具财务审计报告；（</w:t>
            </w:r>
            <w:r>
              <w:rPr>
                <w:rFonts w:hint="eastAsia" w:ascii="宋体" w:hAnsi="宋体" w:cs="宋体"/>
                <w:bCs/>
                <w:color w:val="000000" w:themeColor="text1"/>
                <w:szCs w:val="21"/>
                <w:highlight w:val="none"/>
                <w:lang w:val="en-US" w:eastAsia="zh-CN"/>
                <w14:textFill>
                  <w14:solidFill>
                    <w14:schemeClr w14:val="tx1"/>
                  </w14:solidFill>
                </w14:textFill>
              </w:rPr>
              <w:t>2026年新成立的公司须提供近三个月任意一个月的银行资信证明</w:t>
            </w:r>
            <w:r>
              <w:rPr>
                <w:rFonts w:hint="eastAsia" w:ascii="宋体" w:hAnsi="宋体" w:eastAsia="宋体" w:cs="宋体"/>
                <w:bCs/>
                <w:color w:val="000000" w:themeColor="text1"/>
                <w:szCs w:val="21"/>
                <w:highlight w:val="none"/>
                <w:lang w:val="en-US" w:eastAsia="zh-CN"/>
                <w14:textFill>
                  <w14:solidFill>
                    <w14:schemeClr w14:val="tx1"/>
                  </w14:solidFill>
                </w14:textFill>
              </w:rPr>
              <w:t>）</w:t>
            </w:r>
          </w:p>
        </w:tc>
        <w:tc>
          <w:tcPr>
            <w:tcW w:w="780" w:type="dxa"/>
            <w:noWrap w:val="0"/>
            <w:vAlign w:val="top"/>
          </w:tcPr>
          <w:p w14:paraId="7A0399EB">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699" w:type="dxa"/>
            <w:noWrap w:val="0"/>
            <w:vAlign w:val="top"/>
          </w:tcPr>
          <w:p w14:paraId="5CDDC9DA">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r>
      <w:tr w14:paraId="7229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4AAFCD7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themeColor="text1"/>
                <w:szCs w:val="21"/>
                <w:highlight w:val="none"/>
                <w:lang w:val="en-US" w:eastAsia="zh-CN"/>
                <w14:textFill>
                  <w14:solidFill>
                    <w14:schemeClr w14:val="tx1"/>
                  </w14:solidFill>
                </w14:textFill>
              </w:rPr>
            </w:pPr>
          </w:p>
        </w:tc>
        <w:tc>
          <w:tcPr>
            <w:tcW w:w="705" w:type="dxa"/>
            <w:shd w:val="clear" w:color="auto" w:fill="auto"/>
            <w:noWrap w:val="0"/>
            <w:vAlign w:val="center"/>
          </w:tcPr>
          <w:p w14:paraId="735927D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Cs/>
                <w:color w:val="000000" w:themeColor="text1"/>
                <w:kern w:val="2"/>
                <w:sz w:val="21"/>
                <w:szCs w:val="21"/>
                <w:highlight w:val="none"/>
                <w:lang w:val="en-US" w:eastAsia="zh-CN" w:bidi="ar-SA"/>
                <w14:textFill>
                  <w14:solidFill>
                    <w14:schemeClr w14:val="tx1"/>
                  </w14:solidFill>
                </w14:textFill>
              </w:rPr>
              <w:t>5</w:t>
            </w:r>
          </w:p>
        </w:tc>
        <w:tc>
          <w:tcPr>
            <w:tcW w:w="6012" w:type="dxa"/>
            <w:noWrap w:val="0"/>
            <w:vAlign w:val="center"/>
          </w:tcPr>
          <w:p w14:paraId="0989C51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依法缴纳近六个月中任意一个月的社保凭证；依法缴纳近六个月任意一个月的税收良好记录证明（零申报需加盖税务机关章、无拖欠税收证明需加盖税务机关章、完税证明为非社保缴纳明细）</w:t>
            </w:r>
          </w:p>
        </w:tc>
        <w:tc>
          <w:tcPr>
            <w:tcW w:w="780" w:type="dxa"/>
            <w:noWrap w:val="0"/>
            <w:vAlign w:val="top"/>
          </w:tcPr>
          <w:p w14:paraId="20B9861C">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themeColor="text1"/>
                <w:szCs w:val="21"/>
                <w:highlight w:val="none"/>
                <w:lang w:val="en-US" w:eastAsia="zh-CN"/>
                <w14:textFill>
                  <w14:solidFill>
                    <w14:schemeClr w14:val="tx1"/>
                  </w14:solidFill>
                </w14:textFill>
              </w:rPr>
            </w:pPr>
          </w:p>
        </w:tc>
        <w:tc>
          <w:tcPr>
            <w:tcW w:w="699" w:type="dxa"/>
            <w:noWrap w:val="0"/>
            <w:vAlign w:val="top"/>
          </w:tcPr>
          <w:p w14:paraId="5729D22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themeColor="text1"/>
                <w:szCs w:val="21"/>
                <w:highlight w:val="none"/>
                <w:lang w:val="en-US" w:eastAsia="zh-CN"/>
                <w14:textFill>
                  <w14:solidFill>
                    <w14:schemeClr w14:val="tx1"/>
                  </w14:solidFill>
                </w14:textFill>
              </w:rPr>
            </w:pPr>
          </w:p>
        </w:tc>
      </w:tr>
      <w:tr w14:paraId="5763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6F2885A">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themeColor="text1"/>
                <w:szCs w:val="21"/>
                <w:highlight w:val="none"/>
                <w:lang w:val="en-US" w:eastAsia="zh-CN"/>
                <w14:textFill>
                  <w14:solidFill>
                    <w14:schemeClr w14:val="tx1"/>
                  </w14:solidFill>
                </w14:textFill>
              </w:rPr>
            </w:pPr>
          </w:p>
        </w:tc>
        <w:tc>
          <w:tcPr>
            <w:tcW w:w="705" w:type="dxa"/>
            <w:shd w:val="clear" w:color="auto" w:fill="auto"/>
            <w:noWrap w:val="0"/>
            <w:vAlign w:val="center"/>
          </w:tcPr>
          <w:p w14:paraId="7DA3A63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Cs/>
                <w:color w:val="000000" w:themeColor="text1"/>
                <w:kern w:val="2"/>
                <w:sz w:val="21"/>
                <w:szCs w:val="21"/>
                <w:highlight w:val="none"/>
                <w:lang w:val="en-US" w:eastAsia="zh-CN" w:bidi="ar-SA"/>
                <w14:textFill>
                  <w14:solidFill>
                    <w14:schemeClr w14:val="tx1"/>
                  </w14:solidFill>
                </w14:textFill>
              </w:rPr>
              <w:t>6</w:t>
            </w:r>
          </w:p>
        </w:tc>
        <w:tc>
          <w:tcPr>
            <w:tcW w:w="6012" w:type="dxa"/>
            <w:noWrap w:val="0"/>
            <w:vAlign w:val="center"/>
          </w:tcPr>
          <w:p w14:paraId="0916C90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未被“信用中国”网站列入严重失信、经营异常，“中国政府采购网”网站列入政府采购严重违法失信行为信息记录名单（处罚期限尚未届满的）的；“国家企业信用信息公示系统”被列入经营异常名录信息、列入严重违法失信企业名单（黑名单）的企业</w:t>
            </w:r>
            <w:r>
              <w:rPr>
                <w:rFonts w:hint="eastAsia" w:ascii="宋体" w:hAnsi="宋体" w:eastAsia="宋体" w:cs="宋体"/>
                <w:bCs/>
                <w:color w:val="000000" w:themeColor="text1"/>
                <w:szCs w:val="21"/>
                <w:highlight w:val="none"/>
                <w:lang w:val="en-US" w:eastAsia="zh-CN"/>
                <w14:textFill>
                  <w14:solidFill>
                    <w14:schemeClr w14:val="tx1"/>
                  </w14:solidFill>
                </w14:textFill>
              </w:rPr>
              <w:t>，附网站截图或报告</w:t>
            </w:r>
          </w:p>
        </w:tc>
        <w:tc>
          <w:tcPr>
            <w:tcW w:w="780" w:type="dxa"/>
            <w:noWrap w:val="0"/>
            <w:vAlign w:val="top"/>
          </w:tcPr>
          <w:p w14:paraId="73EC899E">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themeColor="text1"/>
                <w:szCs w:val="21"/>
                <w:highlight w:val="none"/>
                <w:lang w:val="en-US" w:eastAsia="zh-CN"/>
                <w14:textFill>
                  <w14:solidFill>
                    <w14:schemeClr w14:val="tx1"/>
                  </w14:solidFill>
                </w14:textFill>
              </w:rPr>
            </w:pPr>
          </w:p>
        </w:tc>
        <w:tc>
          <w:tcPr>
            <w:tcW w:w="699" w:type="dxa"/>
            <w:noWrap w:val="0"/>
            <w:vAlign w:val="top"/>
          </w:tcPr>
          <w:p w14:paraId="51FEB403">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themeColor="text1"/>
                <w:szCs w:val="21"/>
                <w:highlight w:val="none"/>
                <w:lang w:val="en-US" w:eastAsia="zh-CN"/>
                <w14:textFill>
                  <w14:solidFill>
                    <w14:schemeClr w14:val="tx1"/>
                  </w14:solidFill>
                </w14:textFill>
              </w:rPr>
            </w:pPr>
          </w:p>
        </w:tc>
      </w:tr>
      <w:tr w14:paraId="5F2C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12FE6CF">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705" w:type="dxa"/>
            <w:shd w:val="clear" w:color="auto" w:fill="auto"/>
            <w:noWrap w:val="0"/>
            <w:vAlign w:val="center"/>
          </w:tcPr>
          <w:p w14:paraId="23D0C09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Cs/>
                <w:color w:val="000000" w:themeColor="text1"/>
                <w:kern w:val="2"/>
                <w:sz w:val="21"/>
                <w:szCs w:val="21"/>
                <w:highlight w:val="none"/>
                <w:lang w:val="en-US" w:eastAsia="zh-CN" w:bidi="ar-SA"/>
                <w14:textFill>
                  <w14:solidFill>
                    <w14:schemeClr w14:val="tx1"/>
                  </w14:solidFill>
                </w14:textFill>
              </w:rPr>
              <w:t>7</w:t>
            </w:r>
          </w:p>
        </w:tc>
        <w:tc>
          <w:tcPr>
            <w:tcW w:w="6012" w:type="dxa"/>
            <w:noWrap w:val="0"/>
            <w:vAlign w:val="center"/>
          </w:tcPr>
          <w:p w14:paraId="349E7BC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提供《反商业贿赂承诺书》</w:t>
            </w:r>
          </w:p>
        </w:tc>
        <w:tc>
          <w:tcPr>
            <w:tcW w:w="780" w:type="dxa"/>
            <w:noWrap w:val="0"/>
            <w:vAlign w:val="top"/>
          </w:tcPr>
          <w:p w14:paraId="732829B9">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699" w:type="dxa"/>
            <w:noWrap w:val="0"/>
            <w:vAlign w:val="top"/>
          </w:tcPr>
          <w:p w14:paraId="61ADA173">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r>
      <w:tr w14:paraId="04C2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7088F550">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705" w:type="dxa"/>
            <w:shd w:val="clear" w:color="auto" w:fill="auto"/>
            <w:noWrap w:val="0"/>
            <w:vAlign w:val="center"/>
          </w:tcPr>
          <w:p w14:paraId="0545F50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Cs/>
                <w:color w:val="000000" w:themeColor="text1"/>
                <w:kern w:val="2"/>
                <w:sz w:val="21"/>
                <w:szCs w:val="21"/>
                <w:highlight w:val="none"/>
                <w:lang w:val="en-US" w:eastAsia="zh-CN" w:bidi="ar-SA"/>
                <w14:textFill>
                  <w14:solidFill>
                    <w14:schemeClr w14:val="tx1"/>
                  </w14:solidFill>
                </w14:textFill>
              </w:rPr>
              <w:t>8</w:t>
            </w:r>
          </w:p>
        </w:tc>
        <w:tc>
          <w:tcPr>
            <w:tcW w:w="6012" w:type="dxa"/>
            <w:noWrap w:val="0"/>
            <w:vAlign w:val="center"/>
          </w:tcPr>
          <w:p w14:paraId="0E488D8F">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参加政府采购活动近3年内，在经营活动中没有重大违法记录的书面声明</w:t>
            </w:r>
          </w:p>
        </w:tc>
        <w:tc>
          <w:tcPr>
            <w:tcW w:w="780" w:type="dxa"/>
            <w:noWrap w:val="0"/>
            <w:vAlign w:val="top"/>
          </w:tcPr>
          <w:p w14:paraId="2CB0CD36">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699" w:type="dxa"/>
            <w:noWrap w:val="0"/>
            <w:vAlign w:val="top"/>
          </w:tcPr>
          <w:p w14:paraId="777F2C3F">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r>
      <w:tr w14:paraId="2E85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15E480B2">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705" w:type="dxa"/>
            <w:shd w:val="clear" w:color="auto" w:fill="auto"/>
            <w:noWrap w:val="0"/>
            <w:vAlign w:val="center"/>
          </w:tcPr>
          <w:p w14:paraId="1081271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Cs/>
                <w:color w:val="000000" w:themeColor="text1"/>
                <w:kern w:val="2"/>
                <w:sz w:val="21"/>
                <w:szCs w:val="21"/>
                <w:highlight w:val="none"/>
                <w:lang w:val="en-US" w:eastAsia="zh-CN" w:bidi="ar-SA"/>
                <w14:textFill>
                  <w14:solidFill>
                    <w14:schemeClr w14:val="tx1"/>
                  </w14:solidFill>
                </w14:textFill>
              </w:rPr>
              <w:t>9</w:t>
            </w:r>
          </w:p>
        </w:tc>
        <w:tc>
          <w:tcPr>
            <w:tcW w:w="6012" w:type="dxa"/>
            <w:noWrap w:val="0"/>
            <w:vAlign w:val="center"/>
          </w:tcPr>
          <w:p w14:paraId="277EB41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投标保证金缴纳凭证或投标担保函</w:t>
            </w:r>
          </w:p>
        </w:tc>
        <w:tc>
          <w:tcPr>
            <w:tcW w:w="780" w:type="dxa"/>
            <w:noWrap w:val="0"/>
            <w:vAlign w:val="top"/>
          </w:tcPr>
          <w:p w14:paraId="2C3D730A">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699" w:type="dxa"/>
            <w:noWrap w:val="0"/>
            <w:vAlign w:val="top"/>
          </w:tcPr>
          <w:p w14:paraId="6803D5A3">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r>
      <w:tr w14:paraId="4300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44" w:type="dxa"/>
            <w:noWrap w:val="0"/>
            <w:vAlign w:val="center"/>
          </w:tcPr>
          <w:p w14:paraId="73E0B396">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705" w:type="dxa"/>
            <w:noWrap w:val="0"/>
            <w:vAlign w:val="top"/>
          </w:tcPr>
          <w:p w14:paraId="1936AA6A">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6012" w:type="dxa"/>
            <w:noWrap w:val="0"/>
            <w:vAlign w:val="top"/>
          </w:tcPr>
          <w:p w14:paraId="6F97A1B0">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结论：是否通过评审（须填写通过或不通过）</w:t>
            </w:r>
          </w:p>
          <w:p w14:paraId="7377E74C">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注：如有一项不合格，作废标处理。</w:t>
            </w:r>
          </w:p>
        </w:tc>
        <w:tc>
          <w:tcPr>
            <w:tcW w:w="1479" w:type="dxa"/>
            <w:gridSpan w:val="2"/>
            <w:noWrap w:val="0"/>
            <w:vAlign w:val="top"/>
          </w:tcPr>
          <w:p w14:paraId="7E9C40EE">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r>
    </w:tbl>
    <w:p w14:paraId="098A3415">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通过上述资格性检查，可初步判定投标人的</w:t>
      </w:r>
      <w:r>
        <w:rPr>
          <w:rFonts w:hint="eastAsia" w:ascii="宋体" w:hAnsi="宋体" w:cs="宋体"/>
          <w:bCs/>
          <w:color w:val="000000" w:themeColor="text1"/>
          <w:szCs w:val="21"/>
          <w:highlight w:val="none"/>
          <w:lang w:eastAsia="zh-CN"/>
          <w14:textFill>
            <w14:solidFill>
              <w14:schemeClr w14:val="tx1"/>
            </w14:solidFill>
          </w14:textFill>
        </w:rPr>
        <w:t>响应文件</w:t>
      </w:r>
      <w:r>
        <w:rPr>
          <w:rFonts w:hint="eastAsia" w:ascii="宋体" w:hAnsi="宋体" w:eastAsia="宋体" w:cs="宋体"/>
          <w:bCs/>
          <w:color w:val="000000" w:themeColor="text1"/>
          <w:szCs w:val="21"/>
          <w:highlight w:val="none"/>
          <w14:textFill>
            <w14:solidFill>
              <w14:schemeClr w14:val="tx1"/>
            </w14:solidFill>
          </w14:textFill>
        </w:rPr>
        <w:t>是否符合</w:t>
      </w:r>
      <w:r>
        <w:rPr>
          <w:rFonts w:hint="eastAsia" w:ascii="宋体" w:hAnsi="宋体" w:cs="宋体"/>
          <w:bCs/>
          <w:color w:val="000000" w:themeColor="text1"/>
          <w:szCs w:val="21"/>
          <w:highlight w:val="none"/>
          <w:lang w:eastAsia="zh-CN"/>
          <w14:textFill>
            <w14:solidFill>
              <w14:schemeClr w14:val="tx1"/>
            </w14:solidFill>
          </w14:textFill>
        </w:rPr>
        <w:t>磋商文件</w:t>
      </w:r>
      <w:r>
        <w:rPr>
          <w:rFonts w:hint="eastAsia" w:ascii="宋体" w:hAnsi="宋体" w:eastAsia="宋体" w:cs="宋体"/>
          <w:bCs/>
          <w:color w:val="000000" w:themeColor="text1"/>
          <w:szCs w:val="21"/>
          <w:highlight w:val="none"/>
          <w14:textFill>
            <w14:solidFill>
              <w14:schemeClr w14:val="tx1"/>
            </w14:solidFill>
          </w14:textFill>
        </w:rPr>
        <w:t>的要求。对于上述审查内容，投标人必须响应，否则其</w:t>
      </w:r>
      <w:r>
        <w:rPr>
          <w:rFonts w:hint="eastAsia" w:ascii="宋体" w:hAnsi="宋体" w:cs="宋体"/>
          <w:bCs/>
          <w:color w:val="000000" w:themeColor="text1"/>
          <w:szCs w:val="21"/>
          <w:highlight w:val="none"/>
          <w:lang w:eastAsia="zh-CN"/>
          <w14:textFill>
            <w14:solidFill>
              <w14:schemeClr w14:val="tx1"/>
            </w14:solidFill>
          </w14:textFill>
        </w:rPr>
        <w:t>响应文件</w:t>
      </w:r>
      <w:r>
        <w:rPr>
          <w:rFonts w:hint="eastAsia" w:ascii="宋体" w:hAnsi="宋体" w:eastAsia="宋体" w:cs="宋体"/>
          <w:bCs/>
          <w:color w:val="000000" w:themeColor="text1"/>
          <w:szCs w:val="21"/>
          <w:highlight w:val="none"/>
          <w14:textFill>
            <w14:solidFill>
              <w14:schemeClr w14:val="tx1"/>
            </w14:solidFill>
          </w14:textFill>
        </w:rPr>
        <w:t>作废标处理。</w:t>
      </w:r>
    </w:p>
    <w:p w14:paraId="34CCA37A">
      <w:pPr>
        <w:rPr>
          <w:rFonts w:hint="eastAsia"/>
          <w:color w:val="000000" w:themeColor="text1"/>
          <w14:textFill>
            <w14:solidFill>
              <w14:schemeClr w14:val="tx1"/>
            </w14:solidFill>
          </w14:textFill>
        </w:rPr>
      </w:pPr>
    </w:p>
    <w:p w14:paraId="1267D29D">
      <w:pPr>
        <w:rPr>
          <w:rFonts w:hint="eastAsia"/>
          <w:color w:val="000000" w:themeColor="text1"/>
          <w14:textFill>
            <w14:solidFill>
              <w14:schemeClr w14:val="tx1"/>
            </w14:solidFill>
          </w14:textFill>
        </w:rPr>
      </w:pPr>
    </w:p>
    <w:p w14:paraId="47D8B174">
      <w:pPr>
        <w:pStyle w:val="46"/>
        <w:rPr>
          <w:rFonts w:hint="eastAsia"/>
          <w:color w:val="000000" w:themeColor="text1"/>
          <w14:textFill>
            <w14:solidFill>
              <w14:schemeClr w14:val="tx1"/>
            </w14:solidFill>
          </w14:textFill>
        </w:rPr>
      </w:pPr>
    </w:p>
    <w:p w14:paraId="5FCEFD18">
      <w:pPr>
        <w:keepNext w:val="0"/>
        <w:keepLines w:val="0"/>
        <w:pageBreakBefore w:val="0"/>
        <w:widowControl w:val="0"/>
        <w:kinsoku/>
        <w:overflowPunct/>
        <w:bidi w:val="0"/>
        <w:spacing w:line="440" w:lineRule="exact"/>
        <w:jc w:val="center"/>
        <w:outlineLvl w:val="0"/>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符合性检查</w:t>
      </w:r>
    </w:p>
    <w:p w14:paraId="5FFE7E41">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1、符合性检查包含下列内容</w:t>
      </w:r>
    </w:p>
    <w:tbl>
      <w:tblPr>
        <w:tblStyle w:val="37"/>
        <w:tblpPr w:leftFromText="180" w:rightFromText="180" w:vertAnchor="text" w:horzAnchor="margin" w:tblpXSpec="center" w:tblpY="78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14:paraId="4DD15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noWrap w:val="0"/>
            <w:vAlign w:val="center"/>
          </w:tcPr>
          <w:p w14:paraId="1CD1C6CE">
            <w:pPr>
              <w:keepNext w:val="0"/>
              <w:keepLines w:val="0"/>
              <w:pageBreakBefore w:val="0"/>
              <w:widowControl w:val="0"/>
              <w:kinsoku/>
              <w:overflowPunct/>
              <w:bidi w:val="0"/>
              <w:spacing w:line="440" w:lineRule="exact"/>
              <w:jc w:val="left"/>
              <w:outlineLvl w:val="0"/>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项目</w:t>
            </w:r>
          </w:p>
        </w:tc>
        <w:tc>
          <w:tcPr>
            <w:tcW w:w="6688" w:type="dxa"/>
            <w:gridSpan w:val="2"/>
            <w:tcBorders>
              <w:top w:val="single" w:color="auto" w:sz="4" w:space="0"/>
            </w:tcBorders>
            <w:noWrap w:val="0"/>
            <w:vAlign w:val="center"/>
          </w:tcPr>
          <w:p w14:paraId="1DF4F395">
            <w:pPr>
              <w:keepNext w:val="0"/>
              <w:keepLines w:val="0"/>
              <w:pageBreakBefore w:val="0"/>
              <w:widowControl w:val="0"/>
              <w:kinsoku/>
              <w:overflowPunct/>
              <w:bidi w:val="0"/>
              <w:spacing w:line="440" w:lineRule="exact"/>
              <w:jc w:val="center"/>
              <w:outlineLvl w:val="0"/>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评审内容</w:t>
            </w:r>
          </w:p>
        </w:tc>
        <w:tc>
          <w:tcPr>
            <w:tcW w:w="1260" w:type="dxa"/>
            <w:gridSpan w:val="2"/>
            <w:tcBorders>
              <w:top w:val="single" w:color="auto" w:sz="4" w:space="0"/>
              <w:right w:val="single" w:color="auto" w:sz="4" w:space="0"/>
            </w:tcBorders>
            <w:noWrap w:val="0"/>
            <w:vAlign w:val="center"/>
          </w:tcPr>
          <w:p w14:paraId="4902CE01">
            <w:pPr>
              <w:keepNext w:val="0"/>
              <w:keepLines w:val="0"/>
              <w:pageBreakBefore w:val="0"/>
              <w:widowControl w:val="0"/>
              <w:kinsoku/>
              <w:overflowPunct/>
              <w:bidi w:val="0"/>
              <w:spacing w:line="440" w:lineRule="exact"/>
              <w:jc w:val="center"/>
              <w:outlineLvl w:val="0"/>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评审</w:t>
            </w:r>
          </w:p>
          <w:p w14:paraId="5FD84BE5">
            <w:pPr>
              <w:keepNext w:val="0"/>
              <w:keepLines w:val="0"/>
              <w:pageBreakBefore w:val="0"/>
              <w:widowControl w:val="0"/>
              <w:kinsoku/>
              <w:overflowPunct/>
              <w:bidi w:val="0"/>
              <w:spacing w:line="440" w:lineRule="exact"/>
              <w:jc w:val="center"/>
              <w:outlineLvl w:val="0"/>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意见</w:t>
            </w:r>
          </w:p>
        </w:tc>
      </w:tr>
      <w:tr w14:paraId="25F08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noWrap w:val="0"/>
            <w:vAlign w:val="center"/>
          </w:tcPr>
          <w:p w14:paraId="3ECE466C">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6688" w:type="dxa"/>
            <w:gridSpan w:val="2"/>
            <w:tcBorders>
              <w:bottom w:val="single" w:color="auto" w:sz="4" w:space="0"/>
            </w:tcBorders>
            <w:noWrap w:val="0"/>
            <w:vAlign w:val="top"/>
          </w:tcPr>
          <w:p w14:paraId="57EA0197">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683" w:type="dxa"/>
            <w:noWrap w:val="0"/>
            <w:vAlign w:val="center"/>
          </w:tcPr>
          <w:p w14:paraId="6B9E2BDF">
            <w:pPr>
              <w:keepNext w:val="0"/>
              <w:keepLines w:val="0"/>
              <w:pageBreakBefore w:val="0"/>
              <w:widowControl w:val="0"/>
              <w:kinsoku/>
              <w:overflowPunct/>
              <w:bidi w:val="0"/>
              <w:spacing w:line="440" w:lineRule="exact"/>
              <w:jc w:val="center"/>
              <w:outlineLvl w:val="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是</w:t>
            </w:r>
          </w:p>
        </w:tc>
        <w:tc>
          <w:tcPr>
            <w:tcW w:w="577" w:type="dxa"/>
            <w:tcBorders>
              <w:right w:val="single" w:color="auto" w:sz="4" w:space="0"/>
            </w:tcBorders>
            <w:noWrap w:val="0"/>
            <w:vAlign w:val="center"/>
          </w:tcPr>
          <w:p w14:paraId="6C779B07">
            <w:pPr>
              <w:keepNext w:val="0"/>
              <w:keepLines w:val="0"/>
              <w:pageBreakBefore w:val="0"/>
              <w:widowControl w:val="0"/>
              <w:kinsoku/>
              <w:overflowPunct/>
              <w:bidi w:val="0"/>
              <w:spacing w:line="440" w:lineRule="exact"/>
              <w:jc w:val="center"/>
              <w:outlineLvl w:val="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否</w:t>
            </w:r>
          </w:p>
        </w:tc>
      </w:tr>
      <w:tr w14:paraId="22C37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noWrap w:val="0"/>
            <w:vAlign w:val="center"/>
          </w:tcPr>
          <w:p w14:paraId="07A1EDE8">
            <w:pPr>
              <w:keepNext w:val="0"/>
              <w:keepLines w:val="0"/>
              <w:pageBreakBefore w:val="0"/>
              <w:widowControl w:val="0"/>
              <w:kinsoku/>
              <w:overflowPunct/>
              <w:bidi w:val="0"/>
              <w:spacing w:line="440" w:lineRule="exact"/>
              <w:jc w:val="center"/>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审</w:t>
            </w:r>
          </w:p>
          <w:p w14:paraId="712A560A">
            <w:pPr>
              <w:keepNext w:val="0"/>
              <w:keepLines w:val="0"/>
              <w:pageBreakBefore w:val="0"/>
              <w:widowControl w:val="0"/>
              <w:kinsoku/>
              <w:overflowPunct/>
              <w:bidi w:val="0"/>
              <w:spacing w:line="440" w:lineRule="exact"/>
              <w:jc w:val="center"/>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查</w:t>
            </w:r>
          </w:p>
          <w:p w14:paraId="5C6AD0C4">
            <w:pPr>
              <w:keepNext w:val="0"/>
              <w:keepLines w:val="0"/>
              <w:pageBreakBefore w:val="0"/>
              <w:widowControl w:val="0"/>
              <w:kinsoku/>
              <w:overflowPunct/>
              <w:bidi w:val="0"/>
              <w:spacing w:line="440" w:lineRule="exact"/>
              <w:jc w:val="center"/>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标</w:t>
            </w:r>
          </w:p>
          <w:p w14:paraId="3F44D0AA">
            <w:pPr>
              <w:keepNext w:val="0"/>
              <w:keepLines w:val="0"/>
              <w:pageBreakBefore w:val="0"/>
              <w:widowControl w:val="0"/>
              <w:kinsoku/>
              <w:overflowPunct/>
              <w:bidi w:val="0"/>
              <w:spacing w:line="440" w:lineRule="exact"/>
              <w:jc w:val="center"/>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准</w:t>
            </w:r>
          </w:p>
        </w:tc>
        <w:tc>
          <w:tcPr>
            <w:tcW w:w="598" w:type="dxa"/>
            <w:tcBorders>
              <w:top w:val="single" w:color="auto" w:sz="4" w:space="0"/>
              <w:left w:val="single" w:color="auto" w:sz="4" w:space="0"/>
              <w:right w:val="single" w:color="auto" w:sz="4" w:space="0"/>
            </w:tcBorders>
            <w:noWrap w:val="0"/>
            <w:vAlign w:val="center"/>
          </w:tcPr>
          <w:p w14:paraId="0A5A81A6">
            <w:pPr>
              <w:keepNext w:val="0"/>
              <w:keepLines w:val="0"/>
              <w:pageBreakBefore w:val="0"/>
              <w:widowControl w:val="0"/>
              <w:kinsoku/>
              <w:overflowPunct/>
              <w:bidi w:val="0"/>
              <w:spacing w:line="440" w:lineRule="exact"/>
              <w:jc w:val="center"/>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p>
        </w:tc>
        <w:tc>
          <w:tcPr>
            <w:tcW w:w="6090" w:type="dxa"/>
            <w:tcBorders>
              <w:top w:val="single" w:color="auto" w:sz="4" w:space="0"/>
              <w:left w:val="single" w:color="auto" w:sz="4" w:space="0"/>
              <w:right w:val="single" w:color="auto" w:sz="4" w:space="0"/>
            </w:tcBorders>
            <w:noWrap w:val="0"/>
            <w:vAlign w:val="top"/>
          </w:tcPr>
          <w:p w14:paraId="6D1EA5D4">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投标报价高于设定的采购预算价的；</w:t>
            </w:r>
          </w:p>
        </w:tc>
        <w:tc>
          <w:tcPr>
            <w:tcW w:w="683" w:type="dxa"/>
            <w:tcBorders>
              <w:left w:val="single" w:color="auto" w:sz="4" w:space="0"/>
              <w:right w:val="single" w:color="auto" w:sz="4" w:space="0"/>
            </w:tcBorders>
            <w:noWrap w:val="0"/>
            <w:vAlign w:val="top"/>
          </w:tcPr>
          <w:p w14:paraId="2C908A29">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577" w:type="dxa"/>
            <w:tcBorders>
              <w:left w:val="single" w:color="auto" w:sz="4" w:space="0"/>
              <w:right w:val="single" w:color="auto" w:sz="4" w:space="0"/>
            </w:tcBorders>
            <w:noWrap w:val="0"/>
            <w:vAlign w:val="top"/>
          </w:tcPr>
          <w:p w14:paraId="7B061916">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r>
      <w:tr w14:paraId="194B1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noWrap w:val="0"/>
            <w:vAlign w:val="center"/>
          </w:tcPr>
          <w:p w14:paraId="69ECB920">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18AA12DF">
            <w:pPr>
              <w:keepNext w:val="0"/>
              <w:keepLines w:val="0"/>
              <w:pageBreakBefore w:val="0"/>
              <w:widowControl w:val="0"/>
              <w:kinsoku/>
              <w:overflowPunct/>
              <w:bidi w:val="0"/>
              <w:spacing w:line="440" w:lineRule="exact"/>
              <w:jc w:val="center"/>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w:t>
            </w:r>
          </w:p>
        </w:tc>
        <w:tc>
          <w:tcPr>
            <w:tcW w:w="6090" w:type="dxa"/>
            <w:tcBorders>
              <w:left w:val="single" w:color="auto" w:sz="4" w:space="0"/>
              <w:bottom w:val="single" w:color="auto" w:sz="4" w:space="0"/>
              <w:right w:val="single" w:color="auto" w:sz="4" w:space="0"/>
            </w:tcBorders>
            <w:noWrap w:val="0"/>
            <w:vAlign w:val="top"/>
          </w:tcPr>
          <w:p w14:paraId="5CD8915E">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投标人对同一招标项目作出两个以上报价未明确效力的；</w:t>
            </w:r>
          </w:p>
        </w:tc>
        <w:tc>
          <w:tcPr>
            <w:tcW w:w="683" w:type="dxa"/>
            <w:tcBorders>
              <w:left w:val="single" w:color="auto" w:sz="4" w:space="0"/>
              <w:right w:val="single" w:color="auto" w:sz="4" w:space="0"/>
            </w:tcBorders>
            <w:noWrap w:val="0"/>
            <w:vAlign w:val="top"/>
          </w:tcPr>
          <w:p w14:paraId="45007026">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577" w:type="dxa"/>
            <w:tcBorders>
              <w:left w:val="single" w:color="auto" w:sz="4" w:space="0"/>
              <w:right w:val="single" w:color="auto" w:sz="4" w:space="0"/>
            </w:tcBorders>
            <w:noWrap w:val="0"/>
            <w:vAlign w:val="top"/>
          </w:tcPr>
          <w:p w14:paraId="3EFDD31B">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r>
      <w:tr w14:paraId="645E7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14:paraId="6642CF22">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306A54C5">
            <w:pPr>
              <w:keepNext w:val="0"/>
              <w:keepLines w:val="0"/>
              <w:pageBreakBefore w:val="0"/>
              <w:widowControl w:val="0"/>
              <w:kinsoku/>
              <w:overflowPunct/>
              <w:bidi w:val="0"/>
              <w:spacing w:line="440" w:lineRule="exact"/>
              <w:jc w:val="center"/>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2749A5DA">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未按</w:t>
            </w:r>
            <w:r>
              <w:rPr>
                <w:rFonts w:hint="eastAsia" w:ascii="宋体" w:hAnsi="宋体" w:cs="宋体"/>
                <w:bCs/>
                <w:color w:val="000000" w:themeColor="text1"/>
                <w:szCs w:val="21"/>
                <w:highlight w:val="none"/>
                <w:lang w:eastAsia="zh-CN"/>
                <w14:textFill>
                  <w14:solidFill>
                    <w14:schemeClr w14:val="tx1"/>
                  </w14:solidFill>
                </w14:textFill>
              </w:rPr>
              <w:t>磋商文件</w:t>
            </w:r>
            <w:r>
              <w:rPr>
                <w:rFonts w:hint="eastAsia" w:ascii="宋体" w:hAnsi="宋体" w:eastAsia="宋体" w:cs="宋体"/>
                <w:bCs/>
                <w:color w:val="000000" w:themeColor="text1"/>
                <w:szCs w:val="21"/>
                <w:highlight w:val="none"/>
                <w14:textFill>
                  <w14:solidFill>
                    <w14:schemeClr w14:val="tx1"/>
                  </w14:solidFill>
                </w14:textFill>
              </w:rPr>
              <w:t>规定的格式填写，内容不全或关键字迹模糊、无法辨认的；</w:t>
            </w:r>
          </w:p>
        </w:tc>
        <w:tc>
          <w:tcPr>
            <w:tcW w:w="683" w:type="dxa"/>
            <w:tcBorders>
              <w:left w:val="single" w:color="auto" w:sz="4" w:space="0"/>
            </w:tcBorders>
            <w:noWrap w:val="0"/>
            <w:vAlign w:val="top"/>
          </w:tcPr>
          <w:p w14:paraId="16389BE4">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577" w:type="dxa"/>
            <w:tcBorders>
              <w:right w:val="single" w:color="auto" w:sz="4" w:space="0"/>
            </w:tcBorders>
            <w:noWrap w:val="0"/>
            <w:vAlign w:val="top"/>
          </w:tcPr>
          <w:p w14:paraId="39B64B26">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r>
      <w:tr w14:paraId="1DF9F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14:paraId="61AC7862">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30F9E109">
            <w:pPr>
              <w:keepNext w:val="0"/>
              <w:keepLines w:val="0"/>
              <w:pageBreakBefore w:val="0"/>
              <w:widowControl w:val="0"/>
              <w:kinsoku/>
              <w:overflowPunct/>
              <w:bidi w:val="0"/>
              <w:spacing w:line="440" w:lineRule="exact"/>
              <w:jc w:val="center"/>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2BE604AE">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投标人名称、组织机构与资格预审时不符，涉嫌以他人名义投标的；</w:t>
            </w:r>
          </w:p>
        </w:tc>
        <w:tc>
          <w:tcPr>
            <w:tcW w:w="683" w:type="dxa"/>
            <w:tcBorders>
              <w:left w:val="single" w:color="auto" w:sz="4" w:space="0"/>
            </w:tcBorders>
            <w:noWrap w:val="0"/>
            <w:vAlign w:val="top"/>
          </w:tcPr>
          <w:p w14:paraId="044861CC">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577" w:type="dxa"/>
            <w:tcBorders>
              <w:right w:val="single" w:color="auto" w:sz="4" w:space="0"/>
            </w:tcBorders>
            <w:noWrap w:val="0"/>
            <w:vAlign w:val="top"/>
          </w:tcPr>
          <w:p w14:paraId="6E9CF7E7">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r>
      <w:tr w14:paraId="4DCBA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14:paraId="509FBD9F">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598" w:type="dxa"/>
            <w:tcBorders>
              <w:left w:val="single" w:color="auto" w:sz="4" w:space="0"/>
            </w:tcBorders>
            <w:noWrap w:val="0"/>
            <w:vAlign w:val="center"/>
          </w:tcPr>
          <w:p w14:paraId="44308A2E">
            <w:pPr>
              <w:keepNext w:val="0"/>
              <w:keepLines w:val="0"/>
              <w:pageBreakBefore w:val="0"/>
              <w:widowControl w:val="0"/>
              <w:kinsoku/>
              <w:overflowPunct/>
              <w:bidi w:val="0"/>
              <w:spacing w:line="440" w:lineRule="exact"/>
              <w:jc w:val="center"/>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w:t>
            </w:r>
          </w:p>
        </w:tc>
        <w:tc>
          <w:tcPr>
            <w:tcW w:w="6090" w:type="dxa"/>
            <w:tcBorders>
              <w:right w:val="single" w:color="auto" w:sz="4" w:space="0"/>
            </w:tcBorders>
            <w:noWrap w:val="0"/>
            <w:vAlign w:val="top"/>
          </w:tcPr>
          <w:p w14:paraId="557A0278">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评标委员会共同确定有实质上不响应</w:t>
            </w:r>
            <w:r>
              <w:rPr>
                <w:rFonts w:hint="eastAsia" w:ascii="宋体" w:hAnsi="宋体" w:cs="宋体"/>
                <w:bCs/>
                <w:color w:val="000000" w:themeColor="text1"/>
                <w:szCs w:val="21"/>
                <w:highlight w:val="none"/>
                <w:lang w:eastAsia="zh-CN"/>
                <w14:textFill>
                  <w14:solidFill>
                    <w14:schemeClr w14:val="tx1"/>
                  </w14:solidFill>
                </w14:textFill>
              </w:rPr>
              <w:t>磋商文件</w:t>
            </w:r>
            <w:r>
              <w:rPr>
                <w:rFonts w:hint="eastAsia" w:ascii="宋体" w:hAnsi="宋体" w:eastAsia="宋体" w:cs="宋体"/>
                <w:bCs/>
                <w:color w:val="000000" w:themeColor="text1"/>
                <w:szCs w:val="21"/>
                <w:highlight w:val="none"/>
                <w14:textFill>
                  <w14:solidFill>
                    <w14:schemeClr w14:val="tx1"/>
                  </w14:solidFill>
                </w14:textFill>
              </w:rPr>
              <w:t>要求的；</w:t>
            </w:r>
          </w:p>
        </w:tc>
        <w:tc>
          <w:tcPr>
            <w:tcW w:w="683" w:type="dxa"/>
            <w:tcBorders>
              <w:left w:val="single" w:color="auto" w:sz="4" w:space="0"/>
            </w:tcBorders>
            <w:noWrap w:val="0"/>
            <w:vAlign w:val="top"/>
          </w:tcPr>
          <w:p w14:paraId="653F9CBC">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577" w:type="dxa"/>
            <w:tcBorders>
              <w:right w:val="single" w:color="auto" w:sz="4" w:space="0"/>
            </w:tcBorders>
            <w:noWrap w:val="0"/>
            <w:vAlign w:val="top"/>
          </w:tcPr>
          <w:p w14:paraId="36EB0DF2">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r>
      <w:tr w14:paraId="53318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noWrap w:val="0"/>
            <w:vAlign w:val="center"/>
          </w:tcPr>
          <w:p w14:paraId="09DD95DE">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598" w:type="dxa"/>
            <w:tcBorders>
              <w:left w:val="single" w:color="auto" w:sz="4" w:space="0"/>
              <w:bottom w:val="single" w:color="auto" w:sz="4" w:space="0"/>
            </w:tcBorders>
            <w:noWrap w:val="0"/>
            <w:vAlign w:val="center"/>
          </w:tcPr>
          <w:p w14:paraId="31712E1C">
            <w:pPr>
              <w:keepNext w:val="0"/>
              <w:keepLines w:val="0"/>
              <w:pageBreakBefore w:val="0"/>
              <w:widowControl w:val="0"/>
              <w:kinsoku/>
              <w:overflowPunct/>
              <w:bidi w:val="0"/>
              <w:spacing w:line="440" w:lineRule="exact"/>
              <w:jc w:val="center"/>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w:t>
            </w:r>
          </w:p>
        </w:tc>
        <w:tc>
          <w:tcPr>
            <w:tcW w:w="6090" w:type="dxa"/>
            <w:tcBorders>
              <w:bottom w:val="single" w:color="auto" w:sz="4" w:space="0"/>
              <w:right w:val="single" w:color="auto" w:sz="4" w:space="0"/>
            </w:tcBorders>
            <w:noWrap w:val="0"/>
            <w:vAlign w:val="top"/>
          </w:tcPr>
          <w:p w14:paraId="496159DC">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响应文件</w:t>
            </w:r>
            <w:r>
              <w:rPr>
                <w:rFonts w:hint="eastAsia" w:ascii="宋体" w:hAnsi="宋体" w:eastAsia="宋体" w:cs="宋体"/>
                <w:bCs/>
                <w:color w:val="000000" w:themeColor="text1"/>
                <w:szCs w:val="21"/>
                <w:highlight w:val="none"/>
                <w14:textFill>
                  <w14:solidFill>
                    <w14:schemeClr w14:val="tx1"/>
                  </w14:solidFill>
                </w14:textFill>
              </w:rPr>
              <w:t>没有投标单位法定代表人或其授权代表签字（章）和加盖投标单位公章的；</w:t>
            </w:r>
          </w:p>
        </w:tc>
        <w:tc>
          <w:tcPr>
            <w:tcW w:w="683" w:type="dxa"/>
            <w:tcBorders>
              <w:left w:val="single" w:color="auto" w:sz="4" w:space="0"/>
              <w:bottom w:val="single" w:color="auto" w:sz="4" w:space="0"/>
            </w:tcBorders>
            <w:noWrap w:val="0"/>
            <w:vAlign w:val="top"/>
          </w:tcPr>
          <w:p w14:paraId="2291E6F1">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577" w:type="dxa"/>
            <w:tcBorders>
              <w:bottom w:val="single" w:color="auto" w:sz="4" w:space="0"/>
              <w:right w:val="single" w:color="auto" w:sz="4" w:space="0"/>
            </w:tcBorders>
            <w:noWrap w:val="0"/>
            <w:vAlign w:val="top"/>
          </w:tcPr>
          <w:p w14:paraId="2E7DFF77">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r>
      <w:tr w14:paraId="660D7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noWrap w:val="0"/>
            <w:vAlign w:val="center"/>
          </w:tcPr>
          <w:p w14:paraId="29B05418">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4B32662F">
            <w:pPr>
              <w:keepNext w:val="0"/>
              <w:keepLines w:val="0"/>
              <w:pageBreakBefore w:val="0"/>
              <w:widowControl w:val="0"/>
              <w:kinsoku/>
              <w:overflowPunct/>
              <w:bidi w:val="0"/>
              <w:spacing w:line="440" w:lineRule="exact"/>
              <w:jc w:val="center"/>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7</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04EA9B33">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投标的政府采购项目完成期限超过</w:t>
            </w:r>
            <w:r>
              <w:rPr>
                <w:rFonts w:hint="eastAsia" w:ascii="宋体" w:hAnsi="宋体" w:cs="宋体"/>
                <w:bCs/>
                <w:color w:val="000000" w:themeColor="text1"/>
                <w:szCs w:val="21"/>
                <w:highlight w:val="none"/>
                <w:lang w:eastAsia="zh-CN"/>
                <w14:textFill>
                  <w14:solidFill>
                    <w14:schemeClr w14:val="tx1"/>
                  </w14:solidFill>
                </w14:textFill>
              </w:rPr>
              <w:t>磋商文件</w:t>
            </w:r>
            <w:r>
              <w:rPr>
                <w:rFonts w:hint="eastAsia" w:ascii="宋体" w:hAnsi="宋体" w:eastAsia="宋体" w:cs="宋体"/>
                <w:bCs/>
                <w:color w:val="000000" w:themeColor="text1"/>
                <w:szCs w:val="21"/>
                <w:highlight w:val="none"/>
                <w14:textFill>
                  <w14:solidFill>
                    <w14:schemeClr w14:val="tx1"/>
                  </w14:solidFill>
                </w14:textFill>
              </w:rPr>
              <w:t>规定期限的；</w:t>
            </w:r>
          </w:p>
        </w:tc>
        <w:tc>
          <w:tcPr>
            <w:tcW w:w="683" w:type="dxa"/>
            <w:tcBorders>
              <w:top w:val="single" w:color="auto" w:sz="4" w:space="0"/>
              <w:left w:val="single" w:color="auto" w:sz="4" w:space="0"/>
              <w:bottom w:val="single" w:color="auto" w:sz="4" w:space="0"/>
              <w:right w:val="single" w:color="auto" w:sz="4" w:space="0"/>
            </w:tcBorders>
            <w:noWrap w:val="0"/>
            <w:vAlign w:val="top"/>
          </w:tcPr>
          <w:p w14:paraId="133995AE">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577" w:type="dxa"/>
            <w:tcBorders>
              <w:top w:val="single" w:color="auto" w:sz="4" w:space="0"/>
              <w:left w:val="single" w:color="auto" w:sz="4" w:space="0"/>
              <w:bottom w:val="single" w:color="auto" w:sz="4" w:space="0"/>
              <w:right w:val="single" w:color="auto" w:sz="4" w:space="0"/>
            </w:tcBorders>
            <w:noWrap w:val="0"/>
            <w:vAlign w:val="top"/>
          </w:tcPr>
          <w:p w14:paraId="74BDB502">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r>
      <w:tr w14:paraId="1550A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noWrap w:val="0"/>
            <w:vAlign w:val="center"/>
          </w:tcPr>
          <w:p w14:paraId="1676DA70">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598" w:type="dxa"/>
            <w:tcBorders>
              <w:left w:val="single" w:color="auto" w:sz="4" w:space="0"/>
            </w:tcBorders>
            <w:noWrap w:val="0"/>
            <w:vAlign w:val="center"/>
          </w:tcPr>
          <w:p w14:paraId="3C5D3EF2">
            <w:pPr>
              <w:keepNext w:val="0"/>
              <w:keepLines w:val="0"/>
              <w:pageBreakBefore w:val="0"/>
              <w:widowControl w:val="0"/>
              <w:kinsoku/>
              <w:overflowPunct/>
              <w:bidi w:val="0"/>
              <w:spacing w:line="440" w:lineRule="exact"/>
              <w:jc w:val="center"/>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8</w:t>
            </w:r>
          </w:p>
        </w:tc>
        <w:tc>
          <w:tcPr>
            <w:tcW w:w="6090" w:type="dxa"/>
            <w:tcBorders>
              <w:right w:val="single" w:color="auto" w:sz="4" w:space="0"/>
            </w:tcBorders>
            <w:noWrap w:val="0"/>
            <w:vAlign w:val="top"/>
          </w:tcPr>
          <w:p w14:paraId="7DC55FB2">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响应文件</w:t>
            </w:r>
            <w:r>
              <w:rPr>
                <w:rFonts w:hint="eastAsia" w:ascii="宋体" w:hAnsi="宋体" w:eastAsia="宋体" w:cs="宋体"/>
                <w:bCs/>
                <w:color w:val="000000" w:themeColor="text1"/>
                <w:szCs w:val="21"/>
                <w:highlight w:val="none"/>
                <w14:textFill>
                  <w14:solidFill>
                    <w14:schemeClr w14:val="tx1"/>
                  </w14:solidFill>
                </w14:textFill>
              </w:rPr>
              <w:t>附有采购人不能接受条件的；</w:t>
            </w:r>
          </w:p>
        </w:tc>
        <w:tc>
          <w:tcPr>
            <w:tcW w:w="683" w:type="dxa"/>
            <w:tcBorders>
              <w:left w:val="single" w:color="auto" w:sz="4" w:space="0"/>
            </w:tcBorders>
            <w:noWrap w:val="0"/>
            <w:vAlign w:val="top"/>
          </w:tcPr>
          <w:p w14:paraId="7BA232D5">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577" w:type="dxa"/>
            <w:tcBorders>
              <w:right w:val="single" w:color="auto" w:sz="4" w:space="0"/>
            </w:tcBorders>
            <w:noWrap w:val="0"/>
            <w:vAlign w:val="top"/>
          </w:tcPr>
          <w:p w14:paraId="7EF8E369">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r>
      <w:tr w14:paraId="4121E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14:paraId="25319005">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598" w:type="dxa"/>
            <w:tcBorders>
              <w:left w:val="single" w:color="auto" w:sz="4" w:space="0"/>
            </w:tcBorders>
            <w:noWrap w:val="0"/>
            <w:vAlign w:val="center"/>
          </w:tcPr>
          <w:p w14:paraId="2FA39A16">
            <w:pPr>
              <w:keepNext w:val="0"/>
              <w:keepLines w:val="0"/>
              <w:pageBreakBefore w:val="0"/>
              <w:widowControl w:val="0"/>
              <w:kinsoku/>
              <w:overflowPunct/>
              <w:bidi w:val="0"/>
              <w:spacing w:line="440" w:lineRule="exact"/>
              <w:jc w:val="center"/>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9</w:t>
            </w:r>
          </w:p>
        </w:tc>
        <w:tc>
          <w:tcPr>
            <w:tcW w:w="6090" w:type="dxa"/>
            <w:tcBorders>
              <w:right w:val="single" w:color="auto" w:sz="4" w:space="0"/>
            </w:tcBorders>
            <w:noWrap w:val="0"/>
            <w:vAlign w:val="top"/>
          </w:tcPr>
          <w:p w14:paraId="0F1421E0">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不满足</w:t>
            </w:r>
            <w:r>
              <w:rPr>
                <w:rFonts w:hint="eastAsia" w:ascii="宋体" w:hAnsi="宋体" w:cs="宋体"/>
                <w:bCs/>
                <w:color w:val="000000" w:themeColor="text1"/>
                <w:szCs w:val="21"/>
                <w:highlight w:val="none"/>
                <w:lang w:val="en-US" w:eastAsia="zh-CN"/>
                <w14:textFill>
                  <w14:solidFill>
                    <w14:schemeClr w14:val="tx1"/>
                  </w14:solidFill>
                </w14:textFill>
              </w:rPr>
              <w:t>磋商</w:t>
            </w:r>
            <w:r>
              <w:rPr>
                <w:rFonts w:hint="eastAsia" w:ascii="宋体" w:hAnsi="宋体" w:eastAsia="宋体" w:cs="宋体"/>
                <w:bCs/>
                <w:color w:val="000000" w:themeColor="text1"/>
                <w:szCs w:val="21"/>
                <w:highlight w:val="none"/>
                <w14:textFill>
                  <w14:solidFill>
                    <w14:schemeClr w14:val="tx1"/>
                  </w14:solidFill>
                </w14:textFill>
              </w:rPr>
              <w:t>文件实质性要求的其他情形.....</w:t>
            </w:r>
          </w:p>
        </w:tc>
        <w:tc>
          <w:tcPr>
            <w:tcW w:w="683" w:type="dxa"/>
            <w:tcBorders>
              <w:left w:val="single" w:color="auto" w:sz="4" w:space="0"/>
            </w:tcBorders>
            <w:noWrap w:val="0"/>
            <w:vAlign w:val="top"/>
          </w:tcPr>
          <w:p w14:paraId="0CFEFAC3">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577" w:type="dxa"/>
            <w:tcBorders>
              <w:right w:val="single" w:color="auto" w:sz="4" w:space="0"/>
            </w:tcBorders>
            <w:noWrap w:val="0"/>
            <w:vAlign w:val="top"/>
          </w:tcPr>
          <w:p w14:paraId="18AF80BB">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r>
      <w:tr w14:paraId="7860E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noWrap w:val="0"/>
            <w:vAlign w:val="center"/>
          </w:tcPr>
          <w:p w14:paraId="5BDB4FE7">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c>
          <w:tcPr>
            <w:tcW w:w="6688" w:type="dxa"/>
            <w:gridSpan w:val="2"/>
            <w:tcBorders>
              <w:left w:val="single" w:color="auto" w:sz="4" w:space="0"/>
              <w:bottom w:val="single" w:color="auto" w:sz="4" w:space="0"/>
              <w:right w:val="single" w:color="auto" w:sz="4" w:space="0"/>
            </w:tcBorders>
            <w:noWrap w:val="0"/>
            <w:vAlign w:val="top"/>
          </w:tcPr>
          <w:p w14:paraId="2BB4A9C1">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结论：是否通过评审（须填写通过或不通过）</w:t>
            </w:r>
          </w:p>
          <w:p w14:paraId="6E8ADDDD">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top"/>
          </w:tcPr>
          <w:p w14:paraId="51BADC81">
            <w:pPr>
              <w:keepNext w:val="0"/>
              <w:keepLines w:val="0"/>
              <w:pageBreakBefore w:val="0"/>
              <w:widowControl w:val="0"/>
              <w:kinsoku/>
              <w:overflowPunct/>
              <w:bidi w:val="0"/>
              <w:spacing w:line="440" w:lineRule="exact"/>
              <w:jc w:val="left"/>
              <w:outlineLvl w:val="0"/>
              <w:rPr>
                <w:rFonts w:hint="eastAsia" w:ascii="宋体" w:hAnsi="宋体" w:eastAsia="宋体" w:cs="宋体"/>
                <w:bCs/>
                <w:color w:val="000000" w:themeColor="text1"/>
                <w:szCs w:val="21"/>
                <w:highlight w:val="none"/>
                <w14:textFill>
                  <w14:solidFill>
                    <w14:schemeClr w14:val="tx1"/>
                  </w14:solidFill>
                </w14:textFill>
              </w:rPr>
            </w:pPr>
          </w:p>
        </w:tc>
      </w:tr>
    </w:tbl>
    <w:p w14:paraId="45EA7318">
      <w:pPr>
        <w:pStyle w:val="2"/>
        <w:keepNext w:val="0"/>
        <w:keepLines w:val="0"/>
        <w:pageBreakBefore w:val="0"/>
        <w:widowControl w:val="0"/>
        <w:tabs>
          <w:tab w:val="clear" w:pos="567"/>
        </w:tabs>
        <w:kinsoku/>
        <w:overflowPunct/>
        <w:bidi w:val="0"/>
        <w:spacing w:before="0" w:line="360" w:lineRule="auto"/>
        <w:rPr>
          <w:rFonts w:hint="eastAsia" w:ascii="宋体" w:hAnsi="宋体" w:eastAsia="宋体" w:cs="宋体"/>
          <w:color w:val="000000" w:themeColor="text1"/>
          <w:highlight w:val="none"/>
          <w14:textFill>
            <w14:solidFill>
              <w14:schemeClr w14:val="tx1"/>
            </w14:solidFill>
          </w14:textFill>
        </w:rPr>
      </w:pPr>
    </w:p>
    <w:p w14:paraId="5F38424F">
      <w:pPr>
        <w:pStyle w:val="4"/>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000000" w:themeColor="text1"/>
          <w:sz w:val="28"/>
          <w:szCs w:val="21"/>
          <w:highlight w:val="none"/>
          <w14:textFill>
            <w14:solidFill>
              <w14:schemeClr w14:val="tx1"/>
            </w14:solidFill>
          </w14:textFill>
        </w:rPr>
      </w:pPr>
      <w:r>
        <w:rPr>
          <w:rFonts w:hint="eastAsia" w:ascii="宋体" w:hAnsi="宋体" w:eastAsia="宋体" w:cs="宋体"/>
          <w:b w:val="0"/>
          <w:bCs/>
          <w:color w:val="000000" w:themeColor="text1"/>
          <w:sz w:val="40"/>
          <w:szCs w:val="40"/>
          <w:highlight w:val="none"/>
          <w14:textFill>
            <w14:solidFill>
              <w14:schemeClr w14:val="tx1"/>
            </w14:solidFill>
          </w14:textFill>
        </w:rPr>
        <w:br w:type="page"/>
      </w:r>
      <w:r>
        <w:rPr>
          <w:rFonts w:hint="eastAsia" w:ascii="宋体" w:hAnsi="宋体" w:eastAsia="宋体" w:cs="宋体"/>
          <w:color w:val="000000" w:themeColor="text1"/>
          <w:sz w:val="28"/>
          <w:szCs w:val="21"/>
          <w:highlight w:val="none"/>
          <w14:textFill>
            <w14:solidFill>
              <w14:schemeClr w14:val="tx1"/>
            </w14:solidFill>
          </w14:textFill>
        </w:rPr>
        <w:t>综合评分表</w:t>
      </w:r>
    </w:p>
    <w:tbl>
      <w:tblPr>
        <w:tblStyle w:val="38"/>
        <w:tblW w:w="9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296"/>
        <w:gridCol w:w="6619"/>
      </w:tblGrid>
      <w:tr w14:paraId="7113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94" w:type="dxa"/>
            <w:shd w:val="clear" w:color="auto" w:fill="auto"/>
            <w:vAlign w:val="center"/>
          </w:tcPr>
          <w:p w14:paraId="48C95E2E">
            <w:pPr>
              <w:keepNext w:val="0"/>
              <w:keepLines w:val="0"/>
              <w:pageBreakBefore w:val="0"/>
              <w:kinsoku/>
              <w:wordWrap w:val="0"/>
              <w:overflowPunct/>
              <w:topLinePunct/>
              <w:autoSpaceDE w:val="0"/>
              <w:autoSpaceDN w:val="0"/>
              <w:bidi w:val="0"/>
              <w:adjustRightInd w:val="0"/>
              <w:spacing w:before="48"/>
              <w:ind w:right="-20" w:rightChars="0"/>
              <w:jc w:val="center"/>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评分因素</w:t>
            </w:r>
          </w:p>
        </w:tc>
        <w:tc>
          <w:tcPr>
            <w:tcW w:w="1296" w:type="dxa"/>
            <w:shd w:val="clear" w:color="auto" w:fill="auto"/>
            <w:vAlign w:val="center"/>
          </w:tcPr>
          <w:p w14:paraId="6E4A6830">
            <w:pPr>
              <w:keepNext w:val="0"/>
              <w:keepLines w:val="0"/>
              <w:pageBreakBefore w:val="0"/>
              <w:kinsoku/>
              <w:wordWrap w:val="0"/>
              <w:overflowPunct/>
              <w:topLinePunct/>
              <w:autoSpaceDE w:val="0"/>
              <w:autoSpaceDN w:val="0"/>
              <w:bidi w:val="0"/>
              <w:adjustRightInd w:val="0"/>
              <w:spacing w:before="48"/>
              <w:ind w:right="120" w:rightChars="0"/>
              <w:jc w:val="center"/>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分值</w:t>
            </w:r>
          </w:p>
        </w:tc>
        <w:tc>
          <w:tcPr>
            <w:tcW w:w="6619" w:type="dxa"/>
            <w:shd w:val="clear" w:color="auto" w:fill="auto"/>
            <w:vAlign w:val="center"/>
          </w:tcPr>
          <w:p w14:paraId="18B94074">
            <w:pPr>
              <w:keepNext w:val="0"/>
              <w:keepLines w:val="0"/>
              <w:pageBreakBefore w:val="0"/>
              <w:kinsoku/>
              <w:wordWrap w:val="0"/>
              <w:overflowPunct/>
              <w:topLinePunct/>
              <w:autoSpaceDE w:val="0"/>
              <w:autoSpaceDN w:val="0"/>
              <w:bidi w:val="0"/>
              <w:adjustRightInd w:val="0"/>
              <w:spacing w:before="48"/>
              <w:ind w:right="120" w:rightChars="0"/>
              <w:jc w:val="center"/>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评分标准</w:t>
            </w:r>
          </w:p>
        </w:tc>
      </w:tr>
      <w:tr w14:paraId="2BA3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shd w:val="clear" w:color="auto" w:fill="auto"/>
            <w:vAlign w:val="center"/>
          </w:tcPr>
          <w:p w14:paraId="170C7507">
            <w:pPr>
              <w:pStyle w:val="94"/>
              <w:keepNext w:val="0"/>
              <w:keepLines w:val="0"/>
              <w:pageBreakBefore w:val="0"/>
              <w:kinsoku/>
              <w:wordWrap w:val="0"/>
              <w:overflowPunct/>
              <w:topLinePunct/>
              <w:autoSpaceDE/>
              <w:autoSpaceDN/>
              <w:bidi w:val="0"/>
              <w:adjustRightInd/>
              <w:spacing w:line="400" w:lineRule="exact"/>
              <w:jc w:val="center"/>
              <w:textAlignment w:val="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报价 </w:t>
            </w:r>
          </w:p>
          <w:p w14:paraId="29F0C3EE">
            <w:pPr>
              <w:pStyle w:val="94"/>
              <w:keepNext w:val="0"/>
              <w:keepLines w:val="0"/>
              <w:pageBreakBefore w:val="0"/>
              <w:kinsoku/>
              <w:wordWrap w:val="0"/>
              <w:overflowPunct/>
              <w:topLinePunct/>
              <w:autoSpaceDE/>
              <w:autoSpaceDN/>
              <w:bidi w:val="0"/>
              <w:adjustRightInd/>
              <w:spacing w:line="400" w:lineRule="exact"/>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cs="宋体"/>
                <w:color w:val="000000" w:themeColor="text1"/>
                <w:kern w:val="0"/>
                <w:sz w:val="24"/>
                <w:szCs w:val="24"/>
                <w:highlight w:val="none"/>
                <w14:textFill>
                  <w14:solidFill>
                    <w14:schemeClr w14:val="tx1"/>
                  </w14:solidFill>
                </w14:textFill>
              </w:rPr>
              <w:t>分）</w:t>
            </w:r>
          </w:p>
        </w:tc>
        <w:tc>
          <w:tcPr>
            <w:tcW w:w="1296" w:type="dxa"/>
            <w:shd w:val="clear" w:color="auto" w:fill="auto"/>
            <w:vAlign w:val="center"/>
          </w:tcPr>
          <w:p w14:paraId="46357EC5">
            <w:pPr>
              <w:pStyle w:val="94"/>
              <w:keepNext w:val="0"/>
              <w:keepLines w:val="0"/>
              <w:pageBreakBefore w:val="0"/>
              <w:kinsoku/>
              <w:wordWrap w:val="0"/>
              <w:overflowPunct/>
              <w:topLinePunct/>
              <w:autoSpaceDE/>
              <w:autoSpaceDN/>
              <w:bidi w:val="0"/>
              <w:adjustRightInd/>
              <w:spacing w:line="400" w:lineRule="exact"/>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619" w:type="dxa"/>
            <w:shd w:val="clear" w:color="auto" w:fill="auto"/>
            <w:vAlign w:val="center"/>
          </w:tcPr>
          <w:p w14:paraId="635F6463">
            <w:pPr>
              <w:pStyle w:val="10"/>
              <w:keepNext w:val="0"/>
              <w:keepLines w:val="0"/>
              <w:pageBreakBefore w:val="0"/>
              <w:kinsoku/>
              <w:wordWrap w:val="0"/>
              <w:overflowPunct/>
              <w:topLinePunct/>
              <w:autoSpaceDE/>
              <w:autoSpaceDN/>
              <w:bidi w:val="0"/>
              <w:adjustRightInd/>
              <w:spacing w:before="0" w:line="400" w:lineRule="exact"/>
              <w:ind w:left="0" w:leftChars="0" w:firstLine="0" w:firstLineChars="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完全满足招标文件中要求的投标单位报价中的最低价为评标基准价。按照下列公式计算各投标人的价格得分：投标报价得分=(评标基准价／投标报价)×价格权值×100。计算分数时四舍五入取小数点后两位。</w:t>
            </w:r>
            <w:r>
              <w:rPr>
                <w:rFonts w:hint="eastAsia" w:ascii="宋体" w:hAnsi="宋体" w:cs="宋体"/>
                <w:b/>
                <w:bCs/>
                <w:color w:val="000000" w:themeColor="text1"/>
                <w:kern w:val="0"/>
                <w:sz w:val="22"/>
                <w:szCs w:val="22"/>
                <w:highlight w:val="none"/>
                <w14:textFill>
                  <w14:solidFill>
                    <w14:schemeClr w14:val="tx1"/>
                  </w14:solidFill>
                </w14:textFill>
              </w:rPr>
              <w:t>（优惠政策详见第六章第九款：中小企业落实政策）</w:t>
            </w:r>
          </w:p>
        </w:tc>
      </w:tr>
      <w:tr w14:paraId="530A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Merge w:val="restart"/>
            <w:shd w:val="clear" w:color="auto" w:fill="auto"/>
            <w:vAlign w:val="center"/>
          </w:tcPr>
          <w:p w14:paraId="55818F6D">
            <w:pPr>
              <w:pStyle w:val="94"/>
              <w:keepNext w:val="0"/>
              <w:keepLines w:val="0"/>
              <w:pageBreakBefore w:val="0"/>
              <w:kinsoku/>
              <w:wordWrap w:val="0"/>
              <w:overflowPunct/>
              <w:topLinePunct/>
              <w:autoSpaceDE/>
              <w:autoSpaceDN/>
              <w:bidi w:val="0"/>
              <w:adjustRightInd/>
              <w:spacing w:line="400" w:lineRule="exact"/>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商务部分（</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1296" w:type="dxa"/>
            <w:shd w:val="clear" w:color="auto" w:fill="auto"/>
            <w:vAlign w:val="center"/>
          </w:tcPr>
          <w:p w14:paraId="4D4C8118">
            <w:pPr>
              <w:keepNext w:val="0"/>
              <w:keepLines w:val="0"/>
              <w:pageBreakBefore w:val="0"/>
              <w:kinsoku/>
              <w:wordWrap w:val="0"/>
              <w:overflowPunct/>
              <w:topLinePunct/>
              <w:autoSpaceDE w:val="0"/>
              <w:autoSpaceDN w:val="0"/>
              <w:bidi w:val="0"/>
              <w:adjustRightInd w:val="0"/>
              <w:spacing w:before="65"/>
              <w:ind w:right="120" w:rightChars="0" w:firstLine="240" w:firstLineChars="10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业绩</w:t>
            </w:r>
          </w:p>
          <w:p w14:paraId="305FBA13">
            <w:pPr>
              <w:keepNext w:val="0"/>
              <w:keepLines w:val="0"/>
              <w:pageBreakBefore w:val="0"/>
              <w:kinsoku/>
              <w:wordWrap w:val="0"/>
              <w:overflowPunct/>
              <w:topLinePunct/>
              <w:autoSpaceDE w:val="0"/>
              <w:autoSpaceDN w:val="0"/>
              <w:bidi w:val="0"/>
              <w:adjustRightInd w:val="0"/>
              <w:spacing w:before="65"/>
              <w:ind w:right="120" w:right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0-6分）</w:t>
            </w:r>
          </w:p>
        </w:tc>
        <w:tc>
          <w:tcPr>
            <w:tcW w:w="6619" w:type="dxa"/>
            <w:shd w:val="clear" w:color="auto" w:fill="auto"/>
            <w:vAlign w:val="center"/>
          </w:tcPr>
          <w:p w14:paraId="35863770">
            <w:pPr>
              <w:keepNext w:val="0"/>
              <w:keepLines w:val="0"/>
              <w:pageBreakBefore w:val="0"/>
              <w:kinsoku/>
              <w:wordWrap w:val="0"/>
              <w:overflowPunct/>
              <w:topLinePunct/>
              <w:autoSpaceDE/>
              <w:autoSpaceDN/>
              <w:bidi w:val="0"/>
              <w:adjustRightInd/>
              <w:spacing w:line="40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提供近三年（2022年至今）类似项目业绩证明材料，每提供1个得2分，最高6分。</w:t>
            </w:r>
          </w:p>
          <w:p w14:paraId="5AD8459A">
            <w:pPr>
              <w:keepNext w:val="0"/>
              <w:keepLines w:val="0"/>
              <w:pageBreakBefore w:val="0"/>
              <w:kinsoku/>
              <w:wordWrap w:val="0"/>
              <w:overflowPunct/>
              <w:topLinePunct/>
              <w:autoSpaceDE/>
              <w:autoSpaceDN/>
              <w:bidi w:val="0"/>
              <w:adjustRightInd/>
              <w:snapToGrid w:val="0"/>
              <w:spacing w:line="4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须提供中标（成</w:t>
            </w:r>
            <w:r>
              <w:rPr>
                <w:rFonts w:hint="eastAsia" w:ascii="宋体" w:hAnsi="宋体" w:eastAsia="宋体" w:cs="宋体"/>
                <w:color w:val="000000" w:themeColor="text1"/>
                <w:spacing w:val="-1"/>
                <w:sz w:val="24"/>
                <w:szCs w:val="24"/>
                <w14:textFill>
                  <w14:solidFill>
                    <w14:schemeClr w14:val="tx1"/>
                  </w14:solidFill>
                </w14:textFill>
              </w:rPr>
              <w:t>交）通知书或项目合同，项目合同复印件包含但不限于合同首页、</w:t>
            </w:r>
            <w:r>
              <w:rPr>
                <w:rFonts w:hint="eastAsia" w:ascii="宋体" w:hAnsi="宋体" w:eastAsia="宋体" w:cs="宋体"/>
                <w:color w:val="000000" w:themeColor="text1"/>
                <w:spacing w:val="-2"/>
                <w:sz w:val="24"/>
                <w:szCs w:val="24"/>
                <w14:textFill>
                  <w14:solidFill>
                    <w14:schemeClr w14:val="tx1"/>
                  </w14:solidFill>
                </w14:textFill>
              </w:rPr>
              <w:t>关键信息页、</w:t>
            </w:r>
            <w:r>
              <w:rPr>
                <w:rFonts w:hint="eastAsia" w:ascii="宋体" w:hAnsi="宋体" w:eastAsia="宋体" w:cs="宋体"/>
                <w:color w:val="000000" w:themeColor="text1"/>
                <w:spacing w:val="1"/>
                <w:sz w:val="24"/>
                <w:szCs w:val="24"/>
                <w14:textFill>
                  <w14:solidFill>
                    <w14:schemeClr w14:val="tx1"/>
                  </w14:solidFill>
                </w14:textFill>
              </w:rPr>
              <w:t>双方签章页</w:t>
            </w:r>
            <w:r>
              <w:rPr>
                <w:rFonts w:hint="eastAsia" w:ascii="宋体" w:hAnsi="宋体" w:eastAsia="宋体" w:cs="宋体"/>
                <w:color w:val="000000" w:themeColor="text1"/>
                <w:sz w:val="24"/>
                <w:szCs w:val="24"/>
                <w:lang w:val="en-US" w:eastAsia="zh-CN"/>
                <w14:textFill>
                  <w14:solidFill>
                    <w14:schemeClr w14:val="tx1"/>
                  </w14:solidFill>
                </w14:textFill>
              </w:rPr>
              <w:t>。</w:t>
            </w:r>
          </w:p>
        </w:tc>
      </w:tr>
      <w:tr w14:paraId="08C7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Merge w:val="continue"/>
            <w:shd w:val="clear" w:color="auto" w:fill="auto"/>
            <w:vAlign w:val="center"/>
          </w:tcPr>
          <w:p w14:paraId="659E8886">
            <w:pPr>
              <w:pStyle w:val="94"/>
              <w:keepNext w:val="0"/>
              <w:keepLines w:val="0"/>
              <w:pageBreakBefore w:val="0"/>
              <w:kinsoku/>
              <w:wordWrap w:val="0"/>
              <w:overflowPunct/>
              <w:topLinePunct/>
              <w:autoSpaceDE/>
              <w:autoSpaceDN/>
              <w:bidi w:val="0"/>
              <w:adjustRightInd/>
              <w:spacing w:line="400" w:lineRule="exact"/>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1296" w:type="dxa"/>
            <w:shd w:val="clear" w:color="auto" w:fill="auto"/>
            <w:vAlign w:val="center"/>
          </w:tcPr>
          <w:p w14:paraId="4111DCEA">
            <w:pPr>
              <w:pStyle w:val="94"/>
              <w:keepNext w:val="0"/>
              <w:keepLines w:val="0"/>
              <w:pageBreakBefore w:val="0"/>
              <w:kinsoku/>
              <w:wordWrap w:val="0"/>
              <w:overflowPunct/>
              <w:topLinePunct/>
              <w:autoSpaceDE/>
              <w:autoSpaceDN/>
              <w:bidi w:val="0"/>
              <w:adjustRightInd/>
              <w:spacing w:line="400" w:lineRule="exact"/>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项目团队</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0-14</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619" w:type="dxa"/>
            <w:shd w:val="clear" w:color="auto" w:fill="auto"/>
            <w:vAlign w:val="center"/>
          </w:tcPr>
          <w:p w14:paraId="7685373D">
            <w:pPr>
              <w:keepNext w:val="0"/>
              <w:keepLines w:val="0"/>
              <w:pageBreakBefore w:val="0"/>
              <w:kinsoku/>
              <w:wordWrap w:val="0"/>
              <w:overflowPunct/>
              <w:topLinePunct/>
              <w:autoSpaceDE/>
              <w:autoSpaceDN/>
              <w:bidi w:val="0"/>
              <w:adjustRightInd/>
              <w:spacing w:line="40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满足项目配备人员要求基础上</w:t>
            </w:r>
          </w:p>
          <w:p w14:paraId="25478AA1">
            <w:pPr>
              <w:keepNext w:val="0"/>
              <w:keepLines w:val="0"/>
              <w:pageBreakBefore w:val="0"/>
              <w:kinsoku/>
              <w:wordWrap w:val="0"/>
              <w:overflowPunct/>
              <w:topLinePunct/>
              <w:autoSpaceDE/>
              <w:autoSpaceDN/>
              <w:bidi w:val="0"/>
              <w:adjustRightInd/>
              <w:spacing w:line="40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1、项目配备人员每增加1人加1分，本项最多加6分；</w:t>
            </w:r>
          </w:p>
          <w:p w14:paraId="16895578">
            <w:pPr>
              <w:keepNext w:val="0"/>
              <w:keepLines w:val="0"/>
              <w:pageBreakBefore w:val="0"/>
              <w:kinsoku/>
              <w:wordWrap w:val="0"/>
              <w:overflowPunct/>
              <w:topLinePunct/>
              <w:autoSpaceDE/>
              <w:autoSpaceDN/>
              <w:bidi w:val="0"/>
              <w:adjustRightInd/>
              <w:spacing w:line="400" w:lineRule="exact"/>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2、厨师、面点工每增加1名中级职称加1分，高级职称加2分，本项最多加4分</w:t>
            </w:r>
            <w:r>
              <w:rPr>
                <w:rFonts w:hint="eastAsia" w:ascii="宋体" w:hAnsi="宋体" w:eastAsia="宋体" w:cs="宋体"/>
                <w:color w:val="000000" w:themeColor="text1"/>
                <w:sz w:val="24"/>
                <w:szCs w:val="24"/>
                <w:lang w:val="en-US"/>
                <w14:textFill>
                  <w14:solidFill>
                    <w14:schemeClr w14:val="tx1"/>
                  </w14:solidFill>
                </w14:textFill>
              </w:rPr>
              <w:t>。</w:t>
            </w:r>
          </w:p>
          <w:p w14:paraId="4393F4D4">
            <w:pPr>
              <w:pStyle w:val="6"/>
              <w:keepNext w:val="0"/>
              <w:keepLines w:val="0"/>
              <w:pageBreakBefore w:val="0"/>
              <w:kinsoku/>
              <w:wordWrap w:val="0"/>
              <w:overflowPunct/>
              <w:topLinePunct/>
              <w:bidi w:val="0"/>
              <w:spacing w:line="400" w:lineRule="exact"/>
              <w:ind w:left="0" w:leftChars="0" w:firstLine="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3、食堂经理</w:t>
            </w:r>
            <w:r>
              <w:rPr>
                <w:rFonts w:hint="eastAsia" w:ascii="宋体" w:hAnsi="宋体" w:eastAsia="宋体" w:cs="宋体"/>
                <w:color w:val="000000" w:themeColor="text1"/>
                <w:sz w:val="24"/>
                <w:szCs w:val="24"/>
                <w14:textFill>
                  <w14:solidFill>
                    <w14:schemeClr w14:val="tx1"/>
                  </w14:solidFill>
                </w14:textFill>
              </w:rPr>
              <w:t>持有食品经营管理相关培训证书</w:t>
            </w:r>
            <w:r>
              <w:rPr>
                <w:rFonts w:hint="eastAsia" w:ascii="宋体" w:hAnsi="宋体" w:eastAsia="宋体" w:cs="宋体"/>
                <w:color w:val="000000" w:themeColor="text1"/>
                <w:sz w:val="24"/>
                <w:szCs w:val="24"/>
                <w:lang w:val="en-US" w:eastAsia="zh-CN"/>
                <w14:textFill>
                  <w14:solidFill>
                    <w14:schemeClr w14:val="tx1"/>
                  </w14:solidFill>
                </w14:textFill>
              </w:rPr>
              <w:t>加2分，不持有不加分；</w:t>
            </w:r>
          </w:p>
          <w:p w14:paraId="3CD58350">
            <w:pPr>
              <w:keepNext w:val="0"/>
              <w:keepLines w:val="0"/>
              <w:pageBreakBefore w:val="0"/>
              <w:kinsoku/>
              <w:wordWrap w:val="0"/>
              <w:overflowPunct/>
              <w:topLinePunct/>
              <w:bidi w:val="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4、项目配备人员中有普通话水平测试等级证书的加0.5分，本项最多得2分。</w:t>
            </w:r>
          </w:p>
          <w:p w14:paraId="15664CD5">
            <w:pPr>
              <w:keepNext w:val="0"/>
              <w:keepLines w:val="0"/>
              <w:pageBreakBefore w:val="0"/>
              <w:kinsoku/>
              <w:wordWrap w:val="0"/>
              <w:overflowPunct/>
              <w:topLinePunct/>
              <w:autoSpaceDE/>
              <w:autoSpaceDN/>
              <w:bidi w:val="0"/>
              <w:adjustRightInd/>
              <w:spacing w:line="40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注：须提供</w:t>
            </w:r>
            <w:r>
              <w:rPr>
                <w:rFonts w:hint="eastAsia" w:ascii="宋体" w:hAnsi="宋体" w:eastAsia="宋体" w:cs="宋体"/>
                <w:color w:val="000000" w:themeColor="text1"/>
                <w:sz w:val="24"/>
                <w:szCs w:val="24"/>
                <w:lang w:val="en-US" w:eastAsia="zh-CN"/>
                <w14:textFill>
                  <w14:solidFill>
                    <w14:schemeClr w14:val="tx1"/>
                  </w14:solidFill>
                </w14:textFill>
              </w:rPr>
              <w:t>相关职称证、相关证书</w:t>
            </w:r>
            <w:r>
              <w:rPr>
                <w:rFonts w:hint="eastAsia" w:ascii="宋体" w:hAnsi="宋体" w:eastAsia="宋体" w:cs="宋体"/>
                <w:color w:val="000000" w:themeColor="text1"/>
                <w:sz w:val="24"/>
                <w:szCs w:val="24"/>
                <w:lang w:val="en-US"/>
                <w14:textFill>
                  <w14:solidFill>
                    <w14:schemeClr w14:val="tx1"/>
                  </w14:solidFill>
                </w14:textFill>
              </w:rPr>
              <w:t>。</w:t>
            </w:r>
          </w:p>
        </w:tc>
      </w:tr>
      <w:tr w14:paraId="2E96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Merge w:val="restart"/>
            <w:shd w:val="clear" w:color="auto" w:fill="auto"/>
            <w:vAlign w:val="center"/>
          </w:tcPr>
          <w:p w14:paraId="7FEA66C9">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1B2F5110">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3FCD268A">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655E2905">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技术部分</w:t>
            </w:r>
          </w:p>
          <w:p w14:paraId="1C5FFC20">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1296" w:type="dxa"/>
            <w:shd w:val="clear" w:color="auto" w:fill="auto"/>
            <w:vAlign w:val="center"/>
          </w:tcPr>
          <w:p w14:paraId="60BCA242">
            <w:pPr>
              <w:keepNext w:val="0"/>
              <w:keepLines w:val="0"/>
              <w:pageBreakBefore w:val="0"/>
              <w:widowControl w:val="0"/>
              <w:kinsoku/>
              <w:wordWrap w:val="0"/>
              <w:overflowPunct/>
              <w:topLinePunct/>
              <w:autoSpaceDE/>
              <w:autoSpaceDN/>
              <w:bidi w:val="0"/>
              <w:adjustRightInd/>
              <w:snapToGrid/>
              <w:spacing w:line="400" w:lineRule="exact"/>
              <w:jc w:val="center"/>
              <w:textAlignment w:val="auto"/>
              <w:outlineLvl w:val="9"/>
              <w:rPr>
                <w:rFonts w:hint="eastAsia" w:ascii="宋体" w:hAnsi="宋体" w:eastAsia="宋体" w:cs="宋体"/>
                <w:color w:val="000000" w:themeColor="text1"/>
                <w:kern w:val="0"/>
                <w:sz w:val="24"/>
                <w:szCs w:val="24"/>
                <w:highlight w:val="yellow"/>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食谱方案</w:t>
            </w:r>
            <w:r>
              <w:rPr>
                <w:rFonts w:hint="eastAsia" w:ascii="宋体" w:hAnsi="宋体" w:eastAsia="宋体" w:cs="宋体"/>
                <w:color w:val="000000" w:themeColor="text1"/>
                <w:sz w:val="24"/>
                <w:szCs w:val="24"/>
                <w:highlight w:val="none"/>
                <w:lang w:val="en-US" w:eastAsia="zh-CN"/>
                <w14:textFill>
                  <w14:solidFill>
                    <w14:schemeClr w14:val="tx1"/>
                  </w14:solidFill>
                </w14:textFill>
              </w:rPr>
              <w:t>（0-8分）</w:t>
            </w:r>
          </w:p>
        </w:tc>
        <w:tc>
          <w:tcPr>
            <w:tcW w:w="6619" w:type="dxa"/>
            <w:shd w:val="clear" w:color="auto" w:fill="auto"/>
            <w:vAlign w:val="center"/>
          </w:tcPr>
          <w:p w14:paraId="0CAFC261">
            <w:pPr>
              <w:keepNext w:val="0"/>
              <w:keepLines w:val="0"/>
              <w:pageBreakBefore w:val="0"/>
              <w:kinsoku/>
              <w:wordWrap w:val="0"/>
              <w:overflowPunct/>
              <w:topLinePunct/>
              <w:autoSpaceDE/>
              <w:autoSpaceDN/>
              <w:bidi w:val="0"/>
              <w:adjustRightInd/>
              <w:spacing w:line="4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提供不少于一周（7天）食谱，对食谱菜品种类、数量、营养搭配合理方面进行评审。</w:t>
            </w:r>
          </w:p>
          <w:p w14:paraId="4B097F2E">
            <w:pPr>
              <w:keepNext w:val="0"/>
              <w:keepLines w:val="0"/>
              <w:pageBreakBefore w:val="0"/>
              <w:kinsoku/>
              <w:wordWrap w:val="0"/>
              <w:overflowPunct/>
              <w:topLinePunct/>
              <w:autoSpaceDE/>
              <w:autoSpaceDN/>
              <w:bidi w:val="0"/>
              <w:adjustRightInd/>
              <w:spacing w:line="4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包含但不限于以下内容：1、四季菜品搭配合理；2、饮食特色鲜明；3、花色品种丰富；4、营养搭配合理；</w:t>
            </w:r>
          </w:p>
          <w:p w14:paraId="2492F1F2">
            <w:pPr>
              <w:keepNext w:val="0"/>
              <w:keepLines w:val="0"/>
              <w:pageBreakBefore w:val="0"/>
              <w:kinsoku/>
              <w:wordWrap w:val="0"/>
              <w:overflowPunct/>
              <w:topLinePunct/>
              <w:autoSpaceDE/>
              <w:autoSpaceDN/>
              <w:bidi w:val="0"/>
              <w:adjustRightInd/>
              <w:spacing w:line="400" w:lineRule="exact"/>
              <w:textAlignment w:val="auto"/>
              <w:rPr>
                <w:rFonts w:hint="eastAsia" w:ascii="宋体" w:hAnsi="宋体" w:eastAsia="宋体" w:cs="宋体"/>
                <w:color w:val="000000" w:themeColor="text1"/>
                <w:kern w:val="2"/>
                <w:sz w:val="24"/>
                <w:szCs w:val="24"/>
                <w:highlight w:val="yellow"/>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以上方案内容完整清晰明确且科学合理、可行性高具有针对性并满足采购需求的得 8分，每缺少一项内容扣 2分,每有一项内容阐述不全面、不符合项目实际情况、无法满足采购需求的扣1分，扣完为止;不提供不得分</w:t>
            </w:r>
          </w:p>
        </w:tc>
      </w:tr>
      <w:tr w14:paraId="17C7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194" w:type="dxa"/>
            <w:vMerge w:val="continue"/>
            <w:shd w:val="clear" w:color="auto" w:fill="auto"/>
            <w:vAlign w:val="center"/>
          </w:tcPr>
          <w:p w14:paraId="6A1AA558">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1296" w:type="dxa"/>
            <w:shd w:val="clear" w:color="auto" w:fill="auto"/>
            <w:vAlign w:val="center"/>
          </w:tcPr>
          <w:p w14:paraId="022202DF">
            <w:pPr>
              <w:pStyle w:val="94"/>
              <w:keepNext w:val="0"/>
              <w:keepLines w:val="0"/>
              <w:pageBreakBefore w:val="0"/>
              <w:kinsoku/>
              <w:wordWrap w:val="0"/>
              <w:overflowPunct/>
              <w:topLinePunct/>
              <w:autoSpaceDE/>
              <w:autoSpaceDN/>
              <w:bidi w:val="0"/>
              <w:adjustRightInd/>
              <w:spacing w:line="400" w:lineRule="exact"/>
              <w:jc w:val="center"/>
              <w:textAlignment w:val="auto"/>
              <w:rPr>
                <w:rFonts w:hint="eastAsia" w:ascii="宋体" w:hAnsi="宋体" w:eastAsia="宋体" w:cs="宋体"/>
                <w:color w:val="000000" w:themeColor="text1"/>
                <w:kern w:val="2"/>
                <w:sz w:val="24"/>
                <w:szCs w:val="24"/>
                <w:highlight w:val="yellow"/>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服务方案</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0-24分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6619" w:type="dxa"/>
            <w:shd w:val="clear" w:color="auto" w:fill="auto"/>
            <w:vAlign w:val="center"/>
          </w:tcPr>
          <w:p w14:paraId="2AC047EC">
            <w:pPr>
              <w:keepNext w:val="0"/>
              <w:keepLines w:val="0"/>
              <w:pageBreakBefore w:val="0"/>
              <w:numPr>
                <w:ilvl w:val="0"/>
                <w:numId w:val="0"/>
              </w:numPr>
              <w:kinsoku/>
              <w:wordWrap w:val="0"/>
              <w:overflowPunct/>
              <w:topLinePunct/>
              <w:autoSpaceDE/>
              <w:autoSpaceDN/>
              <w:bidi w:val="0"/>
              <w:adjustRightInd/>
              <w:spacing w:line="400" w:lineRule="exact"/>
              <w:ind w:left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针对本项目提供的服务方案，内容包含但不限于：</w:t>
            </w:r>
          </w:p>
          <w:p w14:paraId="7C6D311F">
            <w:pPr>
              <w:keepNext w:val="0"/>
              <w:keepLines w:val="0"/>
              <w:pageBreakBefore w:val="0"/>
              <w:numPr>
                <w:ilvl w:val="0"/>
                <w:numId w:val="0"/>
              </w:numPr>
              <w:kinsoku/>
              <w:wordWrap w:val="0"/>
              <w:overflowPunct/>
              <w:topLinePunct/>
              <w:autoSpaceDE/>
              <w:autoSpaceDN/>
              <w:bidi w:val="0"/>
              <w:adjustRightInd/>
              <w:spacing w:line="400" w:lineRule="exact"/>
              <w:ind w:left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1、项目服务工作计划；2、服务标准及服务质量3、设施设备用具管理制度；4、餐具清洗消毒管理制度；5、食品加工中对食材质量、用量把控；6、</w:t>
            </w:r>
            <w:r>
              <w:rPr>
                <w:rFonts w:hint="eastAsia" w:ascii="宋体" w:hAnsi="宋体" w:eastAsia="宋体" w:cs="宋体"/>
                <w:color w:val="000000" w:themeColor="text1"/>
                <w:sz w:val="24"/>
                <w:szCs w:val="24"/>
                <w14:textFill>
                  <w14:solidFill>
                    <w14:schemeClr w14:val="tx1"/>
                  </w14:solidFill>
                </w14:textFill>
              </w:rPr>
              <w:t>厨房设备的使用、维修管理制度方案</w:t>
            </w:r>
            <w:r>
              <w:rPr>
                <w:rFonts w:hint="eastAsia" w:ascii="宋体" w:hAnsi="宋体" w:eastAsia="宋体" w:cs="宋体"/>
                <w:color w:val="000000" w:themeColor="text1"/>
                <w:sz w:val="24"/>
                <w:szCs w:val="24"/>
                <w:lang w:eastAsia="zh-CN"/>
                <w14:textFill>
                  <w14:solidFill>
                    <w14:schemeClr w14:val="tx1"/>
                  </w14:solidFill>
                </w14:textFill>
              </w:rPr>
              <w:t>；</w:t>
            </w:r>
          </w:p>
          <w:p w14:paraId="00228417">
            <w:pPr>
              <w:keepNext w:val="0"/>
              <w:keepLines w:val="0"/>
              <w:pageBreakBefore w:val="0"/>
              <w:numPr>
                <w:ilvl w:val="0"/>
                <w:numId w:val="0"/>
              </w:numPr>
              <w:kinsoku/>
              <w:wordWrap w:val="0"/>
              <w:overflowPunct/>
              <w:topLinePunct/>
              <w:autoSpaceDE/>
              <w:autoSpaceDN/>
              <w:bidi w:val="0"/>
              <w:adjustRightInd/>
              <w:spacing w:line="400" w:lineRule="exact"/>
              <w:ind w:left="0" w:leftChars="0" w:firstLine="0" w:firstLineChars="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以上方案内容完整清晰明确且科学合理、可行性高具有针对性并满足服务需求的得24分，每缺少一项内容扣4分，每有一项方案内容完整，但针对性较弱的扣1分；每有一项内容不完整、未能满足服务需求的或每有一处不具有针对性、逻辑性错误且不完整的扣2分；扣完为止。</w:t>
            </w:r>
          </w:p>
        </w:tc>
      </w:tr>
      <w:tr w14:paraId="6220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1194" w:type="dxa"/>
            <w:vMerge w:val="continue"/>
            <w:shd w:val="clear" w:color="auto" w:fill="auto"/>
            <w:vAlign w:val="center"/>
          </w:tcPr>
          <w:p w14:paraId="33262362">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1296" w:type="dxa"/>
            <w:shd w:val="clear" w:color="auto" w:fill="auto"/>
            <w:vAlign w:val="center"/>
          </w:tcPr>
          <w:p w14:paraId="004524B7">
            <w:pPr>
              <w:pStyle w:val="94"/>
              <w:keepNext w:val="0"/>
              <w:keepLines w:val="0"/>
              <w:pageBreakBefore w:val="0"/>
              <w:kinsoku/>
              <w:wordWrap w:val="0"/>
              <w:overflowPunct/>
              <w:topLinePunct/>
              <w:autoSpaceDE/>
              <w:autoSpaceDN/>
              <w:bidi w:val="0"/>
              <w:adjustRightInd/>
              <w:spacing w:line="400" w:lineRule="exact"/>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卫生保障制度</w:t>
            </w:r>
          </w:p>
          <w:p w14:paraId="645C0315">
            <w:pPr>
              <w:pStyle w:val="94"/>
              <w:keepNext w:val="0"/>
              <w:keepLines w:val="0"/>
              <w:pageBreakBefore w:val="0"/>
              <w:kinsoku/>
              <w:wordWrap w:val="0"/>
              <w:overflowPunct/>
              <w:topLinePunct/>
              <w:autoSpaceDE/>
              <w:autoSpaceDN/>
              <w:bidi w:val="0"/>
              <w:adjustRightInd/>
              <w:spacing w:line="400" w:lineRule="exact"/>
              <w:jc w:val="center"/>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（0-12分）</w:t>
            </w:r>
          </w:p>
        </w:tc>
        <w:tc>
          <w:tcPr>
            <w:tcW w:w="6619" w:type="dxa"/>
            <w:shd w:val="clear" w:color="auto" w:fill="auto"/>
            <w:vAlign w:val="center"/>
          </w:tcPr>
          <w:p w14:paraId="68056F31">
            <w:pPr>
              <w:keepNext w:val="0"/>
              <w:keepLines w:val="0"/>
              <w:pageBreakBefore w:val="0"/>
              <w:widowControl/>
              <w:kinsoku/>
              <w:wordWrap w:val="0"/>
              <w:overflowPunct/>
              <w:topLinePunct/>
              <w:autoSpaceDE/>
              <w:autoSpaceDN/>
              <w:bidi w:val="0"/>
              <w:adjustRightInd/>
              <w:spacing w:line="400" w:lineRule="exact"/>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针对本项目具体的卫生保障制度，应包括但不限于：1、食品加工卫生；2、人员卫生；3、餐具、厨房卫生；4、餐厅环境卫生等内容。</w:t>
            </w:r>
          </w:p>
          <w:p w14:paraId="759C4CA8">
            <w:pPr>
              <w:keepNext w:val="0"/>
              <w:keepLines w:val="0"/>
              <w:pageBreakBefore w:val="0"/>
              <w:widowControl/>
              <w:kinsoku/>
              <w:wordWrap w:val="0"/>
              <w:overflowPunct/>
              <w:topLinePunct/>
              <w:autoSpaceDE/>
              <w:autoSpaceDN/>
              <w:bidi w:val="0"/>
              <w:adjustRightInd/>
              <w:spacing w:line="400" w:lineRule="exact"/>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以上方案内容完整清晰明确且科学合理、可行性高具有针对性并满足采购需求的得 12分，每缺少一项内容扣 3分,每有一项内容阐述不全面、不符合项目实际情况、无法满足采购需求的扣1分，扣完为止;不提供不得分</w:t>
            </w:r>
          </w:p>
        </w:tc>
      </w:tr>
      <w:tr w14:paraId="35FB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1194" w:type="dxa"/>
            <w:vMerge w:val="continue"/>
            <w:shd w:val="clear" w:color="auto" w:fill="auto"/>
            <w:vAlign w:val="center"/>
          </w:tcPr>
          <w:p w14:paraId="2C70A759">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1296" w:type="dxa"/>
            <w:shd w:val="clear" w:color="auto" w:fill="auto"/>
            <w:vAlign w:val="center"/>
          </w:tcPr>
          <w:p w14:paraId="71DB2F9C">
            <w:pPr>
              <w:pStyle w:val="94"/>
              <w:keepNext w:val="0"/>
              <w:keepLines w:val="0"/>
              <w:pageBreakBefore w:val="0"/>
              <w:kinsoku/>
              <w:wordWrap w:val="0"/>
              <w:overflowPunct/>
              <w:topLinePunct/>
              <w:autoSpaceDE/>
              <w:autoSpaceDN/>
              <w:bidi w:val="0"/>
              <w:adjustRightInd/>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食品质量保证体系及措施</w:t>
            </w:r>
          </w:p>
          <w:p w14:paraId="0B03A521">
            <w:pPr>
              <w:pStyle w:val="94"/>
              <w:keepNext w:val="0"/>
              <w:keepLines w:val="0"/>
              <w:pageBreakBefore w:val="0"/>
              <w:kinsoku/>
              <w:wordWrap w:val="0"/>
              <w:overflowPunct/>
              <w:topLinePunct/>
              <w:autoSpaceDE/>
              <w:autoSpaceDN/>
              <w:bidi w:val="0"/>
              <w:adjustRightInd/>
              <w:spacing w:line="400" w:lineRule="exact"/>
              <w:jc w:val="center"/>
              <w:textAlignment w:val="auto"/>
              <w:rPr>
                <w:rFonts w:hint="eastAsia" w:ascii="宋体" w:hAnsi="宋体" w:eastAsia="宋体" w:cs="宋体"/>
                <w:color w:val="000000" w:themeColor="text1"/>
                <w:kern w:val="0"/>
                <w:sz w:val="24"/>
                <w:szCs w:val="24"/>
                <w:highlight w:val="yellow"/>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（0-10分）</w:t>
            </w:r>
          </w:p>
        </w:tc>
        <w:tc>
          <w:tcPr>
            <w:tcW w:w="6619" w:type="dxa"/>
            <w:shd w:val="clear" w:color="auto" w:fill="auto"/>
            <w:vAlign w:val="center"/>
          </w:tcPr>
          <w:p w14:paraId="14B90EF6">
            <w:pPr>
              <w:pStyle w:val="94"/>
              <w:keepNext w:val="0"/>
              <w:keepLines w:val="0"/>
              <w:pageBreakBefore w:val="0"/>
              <w:numPr>
                <w:ilvl w:val="0"/>
                <w:numId w:val="0"/>
              </w:numPr>
              <w:kinsoku/>
              <w:wordWrap w:val="0"/>
              <w:overflowPunct/>
              <w:topLinePunct/>
              <w:autoSpaceDE/>
              <w:autoSpaceDN/>
              <w:bidi w:val="0"/>
              <w:adjustRightInd/>
              <w:spacing w:line="400" w:lineRule="exact"/>
              <w:ind w:left="0" w:leftChars="0" w:firstLine="0" w:firstLineChars="0"/>
              <w:textAlignment w:val="auto"/>
              <w:rPr>
                <w:rFonts w:hint="eastAsia" w:ascii="宋体" w:hAnsi="宋体" w:eastAsia="宋体" w:cs="宋体"/>
                <w:color w:val="000000" w:themeColor="text1"/>
                <w:kern w:val="0"/>
                <w:sz w:val="24"/>
                <w:szCs w:val="24"/>
                <w:highlight w:val="none"/>
                <w:lang w:val="ru-RU"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ru-RU" w:eastAsia="zh-CN" w:bidi="ar"/>
                <w14:textFill>
                  <w14:solidFill>
                    <w14:schemeClr w14:val="tx1"/>
                  </w14:solidFill>
                </w14:textFill>
              </w:rPr>
              <w:t>食品质量保证体系健全，包括但不限于：①食品原材料管理；②仓储管理；③食品加工管理；④食品留样制度；⑤餐厨垃圾处理；</w:t>
            </w:r>
          </w:p>
          <w:p w14:paraId="1967458A">
            <w:pPr>
              <w:pStyle w:val="94"/>
              <w:keepNext w:val="0"/>
              <w:keepLines w:val="0"/>
              <w:pageBreakBefore w:val="0"/>
              <w:numPr>
                <w:ilvl w:val="0"/>
                <w:numId w:val="0"/>
              </w:numPr>
              <w:kinsoku/>
              <w:wordWrap w:val="0"/>
              <w:overflowPunct/>
              <w:topLinePunct/>
              <w:autoSpaceDE/>
              <w:autoSpaceDN/>
              <w:bidi w:val="0"/>
              <w:adjustRightInd/>
              <w:spacing w:line="400" w:lineRule="exact"/>
              <w:ind w:left="0" w:leftChars="0" w:firstLine="0" w:firstLineChars="0"/>
              <w:textAlignment w:val="auto"/>
              <w:rPr>
                <w:rFonts w:hint="eastAsia" w:ascii="宋体" w:hAnsi="宋体" w:eastAsia="宋体" w:cs="宋体"/>
                <w:color w:val="000000" w:themeColor="text1"/>
                <w:kern w:val="0"/>
                <w:sz w:val="24"/>
                <w:szCs w:val="24"/>
                <w:highlight w:val="yellow"/>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以上措施内容完整清晰明确且科学合理、可行性高具有针对性并满足服务需求的得10分，每缺少一项内容扣2分，每有一项内容不完整、未能满足服务需求的或每有一处不具有针对性、逻辑性错误且不完整的扣1分；扣完为止。</w:t>
            </w:r>
          </w:p>
        </w:tc>
      </w:tr>
      <w:tr w14:paraId="42D7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1194" w:type="dxa"/>
            <w:vMerge w:val="continue"/>
            <w:shd w:val="clear" w:color="auto" w:fill="auto"/>
            <w:vAlign w:val="center"/>
          </w:tcPr>
          <w:p w14:paraId="03060C98">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1296" w:type="dxa"/>
            <w:shd w:val="clear" w:color="auto" w:fill="auto"/>
            <w:vAlign w:val="center"/>
          </w:tcPr>
          <w:p w14:paraId="75ED099B">
            <w:pPr>
              <w:pStyle w:val="94"/>
              <w:keepNext w:val="0"/>
              <w:keepLines w:val="0"/>
              <w:pageBreakBefore w:val="0"/>
              <w:kinsoku/>
              <w:wordWrap w:val="0"/>
              <w:overflowPunct/>
              <w:topLinePunct/>
              <w:autoSpaceDE/>
              <w:autoSpaceDN/>
              <w:bidi w:val="0"/>
              <w:adjustRightInd/>
              <w:spacing w:line="400" w:lineRule="exact"/>
              <w:jc w:val="center"/>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应急方案（0-10分）</w:t>
            </w:r>
          </w:p>
        </w:tc>
        <w:tc>
          <w:tcPr>
            <w:tcW w:w="6619" w:type="dxa"/>
            <w:shd w:val="clear" w:color="auto" w:fill="auto"/>
            <w:vAlign w:val="center"/>
          </w:tcPr>
          <w:p w14:paraId="116640DE">
            <w:pPr>
              <w:keepNext w:val="0"/>
              <w:keepLines w:val="0"/>
              <w:pageBreakBefore w:val="0"/>
              <w:widowControl/>
              <w:kinsoku/>
              <w:wordWrap w:val="0"/>
              <w:overflowPunct/>
              <w:topLinePunct/>
              <w:autoSpaceDE/>
              <w:autoSpaceDN/>
              <w:bidi w:val="0"/>
              <w:adjustRightInd/>
              <w:spacing w:line="400" w:lineRule="exact"/>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供应商根据项目特点制定应急方案，包括但不限于：1、突发断水、断电、停气的应急措施；2、消防（火情、水情、漏气、漏电等）应急方案；3、食品安全事件；4、流行病、传染病方案；5、采购人单位突发紧急接待任务方案等的应急方案等进行综合评分。</w:t>
            </w:r>
          </w:p>
          <w:p w14:paraId="6940585D">
            <w:pPr>
              <w:keepNext w:val="0"/>
              <w:keepLines w:val="0"/>
              <w:pageBreakBefore w:val="0"/>
              <w:widowControl/>
              <w:kinsoku/>
              <w:wordWrap w:val="0"/>
              <w:overflowPunct/>
              <w:topLinePunct/>
              <w:autoSpaceDE/>
              <w:autoSpaceDN/>
              <w:bidi w:val="0"/>
              <w:adjustRightInd/>
              <w:spacing w:line="400" w:lineRule="exact"/>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方案完整、完全满足项目需求、内容无错误或无缺陷的得10分。每缺少一项内容扣2分，每有一项内容有缺陷或每有一项内容不满足项目需求或每有一项内容错误（方案内容存在凭空想象与编造、内容与实际实施存在差异性，语义表述不清，存在歧义、混乱，内容不充实完善等）的扣1分。扣完为止。</w:t>
            </w:r>
          </w:p>
        </w:tc>
      </w:tr>
      <w:tr w14:paraId="0095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Merge w:val="continue"/>
            <w:shd w:val="clear" w:color="auto" w:fill="auto"/>
            <w:vAlign w:val="center"/>
          </w:tcPr>
          <w:p w14:paraId="4A303A41">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1296" w:type="dxa"/>
            <w:shd w:val="clear" w:color="auto" w:fill="auto"/>
            <w:vAlign w:val="center"/>
          </w:tcPr>
          <w:p w14:paraId="22FF975B">
            <w:pPr>
              <w:pStyle w:val="94"/>
              <w:keepNext w:val="0"/>
              <w:keepLines w:val="0"/>
              <w:pageBreakBefore w:val="0"/>
              <w:kinsoku/>
              <w:wordWrap w:val="0"/>
              <w:overflowPunct/>
              <w:topLinePunct/>
              <w:autoSpaceDE/>
              <w:autoSpaceDN/>
              <w:bidi w:val="0"/>
              <w:adjustRightInd/>
              <w:spacing w:line="400" w:lineRule="exact"/>
              <w:jc w:val="center"/>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培训方案（0-6分）</w:t>
            </w:r>
          </w:p>
        </w:tc>
        <w:tc>
          <w:tcPr>
            <w:tcW w:w="6619" w:type="dxa"/>
            <w:shd w:val="clear" w:color="auto" w:fill="auto"/>
            <w:vAlign w:val="center"/>
          </w:tcPr>
          <w:p w14:paraId="3C72ED1F">
            <w:pPr>
              <w:keepNext w:val="0"/>
              <w:keepLines w:val="0"/>
              <w:pageBreakBefore w:val="0"/>
              <w:widowControl/>
              <w:kinsoku/>
              <w:wordWrap w:val="0"/>
              <w:overflowPunct/>
              <w:topLinePunct/>
              <w:autoSpaceDE/>
              <w:autoSpaceDN/>
              <w:bidi w:val="0"/>
              <w:adjustRightInd/>
              <w:spacing w:line="400" w:lineRule="exact"/>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每季度对员工开展安全、技能培训。应包括但不限于：1、岗前和在岗培训；2、针对食品安全；3、消防安全等内容。根据培训方案的内容、贴合度、可执行性等进行评价： </w:t>
            </w:r>
          </w:p>
          <w:p w14:paraId="627FA64C">
            <w:pPr>
              <w:keepNext w:val="0"/>
              <w:keepLines w:val="0"/>
              <w:pageBreakBefore w:val="0"/>
              <w:widowControl/>
              <w:kinsoku/>
              <w:wordWrap w:val="0"/>
              <w:overflowPunct/>
              <w:topLinePunct/>
              <w:autoSpaceDE/>
              <w:autoSpaceDN/>
              <w:bidi w:val="0"/>
              <w:adjustRightInd/>
              <w:spacing w:line="400" w:lineRule="exact"/>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包含上述所有内容，完整详实，适应本项目实际需求，可执行性强，完全切合项目实际需求，阐述条理清晰，认识深刻准确，得 6分； </w:t>
            </w:r>
          </w:p>
          <w:p w14:paraId="4EBFD9DF">
            <w:pPr>
              <w:keepNext w:val="0"/>
              <w:keepLines w:val="0"/>
              <w:pageBreakBefore w:val="0"/>
              <w:widowControl/>
              <w:kinsoku/>
              <w:wordWrap w:val="0"/>
              <w:overflowPunct/>
              <w:topLinePunct/>
              <w:autoSpaceDE/>
              <w:autoSpaceDN/>
              <w:bidi w:val="0"/>
              <w:adjustRightInd/>
              <w:spacing w:line="400" w:lineRule="exact"/>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每缺少上述任何一项内容扣2分； </w:t>
            </w:r>
          </w:p>
          <w:p w14:paraId="25CFD00D">
            <w:pPr>
              <w:keepNext w:val="0"/>
              <w:keepLines w:val="0"/>
              <w:pageBreakBefore w:val="0"/>
              <w:widowControl/>
              <w:kinsoku/>
              <w:wordWrap w:val="0"/>
              <w:overflowPunct/>
              <w:topLinePunct/>
              <w:autoSpaceDE/>
              <w:autoSpaceDN/>
              <w:bidi w:val="0"/>
              <w:adjustRightInd/>
              <w:spacing w:line="400" w:lineRule="exact"/>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针对上述任一项内容描述不清或叙述不完整或不符合项目实际需求不能满足工作任务的或具有不科学、不合理、不完善之处的，扣 1 分； </w:t>
            </w:r>
          </w:p>
          <w:p w14:paraId="2BC1A08D">
            <w:pPr>
              <w:keepNext w:val="0"/>
              <w:keepLines w:val="0"/>
              <w:pageBreakBefore w:val="0"/>
              <w:widowControl/>
              <w:kinsoku/>
              <w:wordWrap w:val="0"/>
              <w:overflowPunct/>
              <w:topLinePunct/>
              <w:autoSpaceDE/>
              <w:autoSpaceDN/>
              <w:bidi w:val="0"/>
              <w:adjustRightInd/>
              <w:spacing w:line="400" w:lineRule="exact"/>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未提供方案或方案明显与本项目实际情况不符，得 0 分。</w:t>
            </w:r>
          </w:p>
        </w:tc>
      </w:tr>
    </w:tbl>
    <w:p w14:paraId="16ABD46F">
      <w:pPr>
        <w:rPr>
          <w:rFonts w:hint="eastAsia"/>
          <w:color w:val="000000" w:themeColor="text1"/>
          <w14:textFill>
            <w14:solidFill>
              <w14:schemeClr w14:val="tx1"/>
            </w14:solidFill>
          </w14:textFill>
        </w:rPr>
      </w:pPr>
    </w:p>
    <w:p w14:paraId="381C7AB4">
      <w:pPr>
        <w:pStyle w:val="2"/>
        <w:rPr>
          <w:rFonts w:hint="eastAsia"/>
          <w:color w:val="000000" w:themeColor="text1"/>
          <w:sz w:val="24"/>
          <w:szCs w:val="24"/>
          <w14:textFill>
            <w14:solidFill>
              <w14:schemeClr w14:val="tx1"/>
            </w14:solidFill>
          </w14:textFill>
        </w:rPr>
        <w:sectPr>
          <w:headerReference r:id="rId10" w:type="default"/>
          <w:footerReference r:id="rId11" w:type="default"/>
          <w:pgSz w:w="11906" w:h="16838"/>
          <w:pgMar w:top="1701" w:right="1701" w:bottom="1701" w:left="1701" w:header="851" w:footer="851" w:gutter="0"/>
          <w:pgBorders>
            <w:top w:val="none" w:sz="0" w:space="0"/>
            <w:left w:val="none" w:sz="0" w:space="0"/>
            <w:bottom w:val="none" w:sz="0" w:space="0"/>
            <w:right w:val="none" w:sz="0" w:space="0"/>
          </w:pgBorders>
          <w:pgNumType w:fmt="decimal"/>
          <w:cols w:space="720" w:num="1"/>
          <w:docGrid w:type="lines" w:linePitch="312" w:charSpace="0"/>
        </w:sectPr>
      </w:pPr>
    </w:p>
    <w:p w14:paraId="4DF9852A">
      <w:pPr>
        <w:keepNext w:val="0"/>
        <w:keepLines w:val="0"/>
        <w:pageBreakBefore w:val="0"/>
        <w:widowControl w:val="0"/>
        <w:kinsoku/>
        <w:overflowPunct/>
        <w:bidi w:val="0"/>
        <w:rPr>
          <w:rFonts w:hint="eastAsia" w:ascii="宋体" w:hAnsi="宋体" w:eastAsia="宋体" w:cs="宋体"/>
          <w:color w:val="000000" w:themeColor="text1"/>
          <w:highlight w:val="none"/>
          <w14:textFill>
            <w14:solidFill>
              <w14:schemeClr w14:val="tx1"/>
            </w14:solidFill>
          </w14:textFill>
        </w:rPr>
      </w:pPr>
      <w:bookmarkStart w:id="422" w:name="_Toc507399904"/>
    </w:p>
    <w:p w14:paraId="3CF7F57E">
      <w:pPr>
        <w:pStyle w:val="3"/>
        <w:tabs>
          <w:tab w:val="left" w:pos="0"/>
        </w:tabs>
        <w:spacing w:before="0" w:after="0" w:line="240" w:lineRule="atLeast"/>
        <w:rPr>
          <w:rFonts w:hint="eastAsia" w:hAnsi="宋体" w:cs="宋体"/>
          <w:color w:val="000000" w:themeColor="text1"/>
          <w:sz w:val="24"/>
          <w:szCs w:val="24"/>
          <w14:textFill>
            <w14:solidFill>
              <w14:schemeClr w14:val="tx1"/>
            </w14:solidFill>
          </w14:textFill>
        </w:rPr>
      </w:pPr>
      <w:bookmarkStart w:id="423" w:name="_Toc6865"/>
      <w:bookmarkStart w:id="424" w:name="_Toc4337"/>
      <w:bookmarkStart w:id="425" w:name="_Toc515647833"/>
      <w:bookmarkStart w:id="426" w:name="_Toc16468"/>
      <w:bookmarkStart w:id="427" w:name="_Toc4796"/>
      <w:r>
        <w:rPr>
          <w:rFonts w:hint="eastAsia" w:ascii="宋体" w:hAnsi="宋体" w:eastAsia="宋体" w:cs="宋体"/>
          <w:strike w:val="0"/>
          <w:dstrike w:val="0"/>
          <w:color w:val="000000" w:themeColor="text1"/>
          <w:highlight w:val="none"/>
          <w:lang w:eastAsia="zh-CN"/>
          <w14:textFill>
            <w14:solidFill>
              <w14:schemeClr w14:val="tx1"/>
            </w14:solidFill>
          </w14:textFill>
        </w:rPr>
        <w:t>第</w:t>
      </w:r>
      <w:r>
        <w:rPr>
          <w:rFonts w:hint="eastAsia" w:ascii="宋体" w:hAnsi="宋体" w:eastAsia="宋体" w:cs="宋体"/>
          <w:strike w:val="0"/>
          <w:dstrike w:val="0"/>
          <w:color w:val="000000" w:themeColor="text1"/>
          <w:highlight w:val="none"/>
          <w:lang w:val="en-US" w:eastAsia="zh-CN"/>
          <w14:textFill>
            <w14:solidFill>
              <w14:schemeClr w14:val="tx1"/>
            </w14:solidFill>
          </w14:textFill>
        </w:rPr>
        <w:t>7</w:t>
      </w:r>
      <w:r>
        <w:rPr>
          <w:rFonts w:hint="eastAsia" w:ascii="宋体" w:hAnsi="宋体" w:eastAsia="宋体" w:cs="宋体"/>
          <w:strike w:val="0"/>
          <w:dstrike w:val="0"/>
          <w:color w:val="000000" w:themeColor="text1"/>
          <w:highlight w:val="none"/>
          <w:lang w:eastAsia="zh-CN"/>
          <w14:textFill>
            <w14:solidFill>
              <w14:schemeClr w14:val="tx1"/>
            </w14:solidFill>
          </w14:textFill>
        </w:rPr>
        <w:t>章</w:t>
      </w:r>
      <w:r>
        <w:rPr>
          <w:rFonts w:hint="eastAsia" w:ascii="宋体" w:hAnsi="宋体" w:eastAsia="宋体" w:cs="宋体"/>
          <w:strike w:val="0"/>
          <w:dstrike w:val="0"/>
          <w:color w:val="000000" w:themeColor="text1"/>
          <w:highlight w:val="none"/>
          <w:lang w:val="en-US" w:eastAsia="zh-CN"/>
          <w14:textFill>
            <w14:solidFill>
              <w14:schemeClr w14:val="tx1"/>
            </w14:solidFill>
          </w14:textFill>
        </w:rPr>
        <w:t xml:space="preserve"> </w:t>
      </w:r>
      <w:bookmarkEnd w:id="422"/>
      <w:bookmarkEnd w:id="423"/>
      <w:bookmarkEnd w:id="424"/>
      <w:bookmarkEnd w:id="425"/>
      <w:bookmarkEnd w:id="426"/>
      <w:bookmarkEnd w:id="427"/>
      <w:bookmarkStart w:id="428" w:name="_Hlt487972895"/>
      <w:bookmarkEnd w:id="428"/>
      <w:r>
        <w:rPr>
          <w:rFonts w:hint="eastAsia" w:hAnsi="宋体" w:cs="宋体"/>
          <w:color w:val="000000" w:themeColor="text1"/>
          <w:szCs w:val="32"/>
          <w14:textFill>
            <w14:solidFill>
              <w14:schemeClr w14:val="tx1"/>
            </w14:solidFill>
          </w14:textFill>
        </w:rPr>
        <w:t>政府采购合同</w:t>
      </w:r>
      <w:bookmarkStart w:id="429" w:name="_Toc487900382"/>
      <w:bookmarkStart w:id="430" w:name="_Toc216513788"/>
    </w:p>
    <w:bookmarkEnd w:id="429"/>
    <w:bookmarkEnd w:id="430"/>
    <w:p w14:paraId="1F3578A7">
      <w:pPr>
        <w:spacing w:line="240" w:lineRule="atLeast"/>
        <w:rPr>
          <w:rFonts w:hint="eastAsia" w:ascii="宋体" w:hAnsi="宋体" w:cs="宋体"/>
          <w:b/>
          <w:color w:val="000000" w:themeColor="text1"/>
          <w:kern w:val="44"/>
          <w:sz w:val="24"/>
          <w14:textFill>
            <w14:solidFill>
              <w14:schemeClr w14:val="tx1"/>
            </w14:solidFill>
          </w14:textFill>
        </w:rPr>
      </w:pPr>
    </w:p>
    <w:p w14:paraId="7881EB35">
      <w:pPr>
        <w:pStyle w:val="6"/>
        <w:spacing w:line="240" w:lineRule="atLeast"/>
        <w:ind w:firstLine="480"/>
        <w:rPr>
          <w:rFonts w:hint="eastAsia" w:hAnsi="宋体" w:cs="宋体"/>
          <w:color w:val="000000" w:themeColor="text1"/>
          <w:szCs w:val="24"/>
          <w14:textFill>
            <w14:solidFill>
              <w14:schemeClr w14:val="tx1"/>
            </w14:solidFill>
          </w14:textFill>
        </w:rPr>
      </w:pPr>
    </w:p>
    <w:p w14:paraId="14A0CCA7">
      <w:pPr>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合同编号：</w:t>
      </w:r>
      <w:r>
        <w:rPr>
          <w:rFonts w:hint="eastAsia" w:ascii="宋体" w:hAnsi="宋体" w:cs="宋体"/>
          <w:color w:val="000000" w:themeColor="text1"/>
          <w:sz w:val="24"/>
          <w:u w:val="single"/>
          <w14:textFill>
            <w14:solidFill>
              <w14:schemeClr w14:val="tx1"/>
            </w14:solidFill>
          </w14:textFill>
        </w:rPr>
        <w:t xml:space="preserve">           </w:t>
      </w:r>
    </w:p>
    <w:p w14:paraId="7B30837E">
      <w:pPr>
        <w:spacing w:line="480" w:lineRule="auto"/>
        <w:jc w:val="center"/>
        <w:rPr>
          <w:rFonts w:hint="eastAsia" w:ascii="宋体" w:hAnsi="宋体" w:cs="宋体"/>
          <w:b/>
          <w:color w:val="000000" w:themeColor="text1"/>
          <w:sz w:val="28"/>
          <w:szCs w:val="28"/>
          <w14:textFill>
            <w14:solidFill>
              <w14:schemeClr w14:val="tx1"/>
            </w14:solidFill>
          </w14:textFill>
        </w:rPr>
      </w:pPr>
    </w:p>
    <w:p w14:paraId="4EB0E7F4">
      <w:pPr>
        <w:spacing w:line="480" w:lineRule="auto"/>
        <w:jc w:val="center"/>
        <w:rPr>
          <w:rFonts w:hint="eastAsia" w:ascii="宋体" w:hAnsi="宋体" w:cs="宋体"/>
          <w:b/>
          <w:color w:val="000000" w:themeColor="text1"/>
          <w:sz w:val="28"/>
          <w:szCs w:val="28"/>
          <w14:textFill>
            <w14:solidFill>
              <w14:schemeClr w14:val="tx1"/>
            </w14:solidFill>
          </w14:textFill>
        </w:rPr>
      </w:pPr>
    </w:p>
    <w:p w14:paraId="2F1972C8">
      <w:pPr>
        <w:spacing w:line="480" w:lineRule="auto"/>
        <w:jc w:val="center"/>
        <w:rPr>
          <w:rFonts w:hint="eastAsia" w:ascii="宋体" w:hAnsi="宋体" w:cs="宋体"/>
          <w:b/>
          <w:color w:val="000000" w:themeColor="text1"/>
          <w:sz w:val="28"/>
          <w:szCs w:val="28"/>
          <w14:textFill>
            <w14:solidFill>
              <w14:schemeClr w14:val="tx1"/>
            </w14:solidFill>
          </w14:textFill>
        </w:rPr>
      </w:pPr>
    </w:p>
    <w:p w14:paraId="6F83ECA7">
      <w:pPr>
        <w:spacing w:line="480" w:lineRule="auto"/>
        <w:jc w:val="center"/>
        <w:rPr>
          <w:rFonts w:hint="eastAsia"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政府采购合同参考范本</w:t>
      </w:r>
    </w:p>
    <w:p w14:paraId="28EEBC1C">
      <w:pPr>
        <w:spacing w:line="48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（服务类）</w:t>
      </w:r>
    </w:p>
    <w:p w14:paraId="0AE22868">
      <w:pPr>
        <w:pStyle w:val="68"/>
        <w:ind w:firstLine="0"/>
        <w:rPr>
          <w:rFonts w:hint="eastAsia" w:hAnsi="宋体" w:cs="宋体"/>
          <w:color w:val="000000" w:themeColor="text1"/>
          <w:szCs w:val="24"/>
          <w14:textFill>
            <w14:solidFill>
              <w14:schemeClr w14:val="tx1"/>
            </w14:solidFill>
          </w14:textFill>
        </w:rPr>
      </w:pPr>
    </w:p>
    <w:p w14:paraId="3B889DF6">
      <w:pPr>
        <w:pStyle w:val="68"/>
        <w:ind w:firstLine="0"/>
        <w:rPr>
          <w:rFonts w:hint="eastAsia" w:hAnsi="宋体" w:cs="宋体"/>
          <w:color w:val="000000" w:themeColor="text1"/>
          <w:szCs w:val="24"/>
          <w14:textFill>
            <w14:solidFill>
              <w14:schemeClr w14:val="tx1"/>
            </w14:solidFill>
          </w14:textFill>
        </w:rPr>
      </w:pPr>
    </w:p>
    <w:p w14:paraId="1D514294">
      <w:pPr>
        <w:pStyle w:val="68"/>
        <w:ind w:firstLine="0"/>
        <w:rPr>
          <w:rFonts w:hint="eastAsia" w:hAnsi="宋体" w:cs="宋体"/>
          <w:color w:val="000000" w:themeColor="text1"/>
          <w:szCs w:val="24"/>
          <w14:textFill>
            <w14:solidFill>
              <w14:schemeClr w14:val="tx1"/>
            </w14:solidFill>
          </w14:textFill>
        </w:rPr>
      </w:pPr>
    </w:p>
    <w:p w14:paraId="18C3CFB4">
      <w:pPr>
        <w:pStyle w:val="68"/>
        <w:ind w:firstLine="0"/>
        <w:jc w:val="center"/>
        <w:rPr>
          <w:rFonts w:hint="eastAsia" w:hAnsi="宋体" w:cs="宋体"/>
          <w:b/>
          <w:color w:val="000000" w:themeColor="text1"/>
          <w:szCs w:val="24"/>
          <w14:textFill>
            <w14:solidFill>
              <w14:schemeClr w14:val="tx1"/>
            </w14:solidFill>
          </w14:textFill>
        </w:rPr>
      </w:pPr>
      <w:r>
        <w:rPr>
          <w:rFonts w:hint="eastAsia" w:hAnsi="宋体" w:cs="宋体"/>
          <w:b/>
          <w:color w:val="000000" w:themeColor="text1"/>
          <w:szCs w:val="24"/>
          <w14:textFill>
            <w14:solidFill>
              <w14:schemeClr w14:val="tx1"/>
            </w14:solidFill>
          </w14:textFill>
        </w:rPr>
        <w:t>第一部分 合同书</w:t>
      </w:r>
    </w:p>
    <w:p w14:paraId="36265971">
      <w:pPr>
        <w:pStyle w:val="68"/>
        <w:ind w:firstLine="0"/>
        <w:rPr>
          <w:rFonts w:hint="eastAsia" w:hAnsi="宋体" w:cs="宋体"/>
          <w:color w:val="000000" w:themeColor="text1"/>
          <w:szCs w:val="24"/>
          <w14:textFill>
            <w14:solidFill>
              <w14:schemeClr w14:val="tx1"/>
            </w14:solidFill>
          </w14:textFill>
        </w:rPr>
      </w:pPr>
    </w:p>
    <w:p w14:paraId="4D4B2D1B">
      <w:pPr>
        <w:pStyle w:val="68"/>
        <w:ind w:firstLine="0"/>
        <w:rPr>
          <w:rFonts w:hint="eastAsia" w:hAnsi="宋体" w:cs="宋体"/>
          <w:color w:val="000000" w:themeColor="text1"/>
          <w:szCs w:val="24"/>
          <w14:textFill>
            <w14:solidFill>
              <w14:schemeClr w14:val="tx1"/>
            </w14:solidFill>
          </w14:textFill>
        </w:rPr>
      </w:pPr>
    </w:p>
    <w:p w14:paraId="3A96C52B">
      <w:pPr>
        <w:spacing w:before="120" w:line="22" w:lineRule="atLeast"/>
        <w:rPr>
          <w:rFonts w:hint="eastAsia" w:ascii="宋体" w:hAnsi="宋体" w:cs="宋体"/>
          <w:color w:val="000000" w:themeColor="text1"/>
          <w:sz w:val="24"/>
          <w14:textFill>
            <w14:solidFill>
              <w14:schemeClr w14:val="tx1"/>
            </w14:solidFill>
          </w14:textFill>
        </w:rPr>
      </w:pPr>
    </w:p>
    <w:p w14:paraId="5F1D8E81">
      <w:pPr>
        <w:spacing w:before="120" w:line="22" w:lineRule="atLeast"/>
        <w:ind w:left="96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 xml:space="preserve">                                   </w:t>
      </w:r>
    </w:p>
    <w:p w14:paraId="0D7CA5EB">
      <w:pPr>
        <w:pStyle w:val="80"/>
        <w:spacing w:before="120" w:line="22" w:lineRule="atLeast"/>
        <w:rPr>
          <w:rFonts w:hint="eastAsia" w:ascii="宋体" w:hAnsi="宋体" w:eastAsia="宋体" w:cs="宋体"/>
          <w:color w:val="000000" w:themeColor="text1"/>
          <w:szCs w:val="24"/>
          <w14:textFill>
            <w14:solidFill>
              <w14:schemeClr w14:val="tx1"/>
            </w14:solidFill>
          </w14:textFill>
        </w:rPr>
      </w:pPr>
    </w:p>
    <w:p w14:paraId="4BDE4952">
      <w:pPr>
        <w:pStyle w:val="80"/>
        <w:spacing w:before="120" w:line="22" w:lineRule="atLeast"/>
        <w:rPr>
          <w:rFonts w:hint="eastAsia" w:ascii="宋体" w:hAnsi="宋体" w:eastAsia="宋体" w:cs="宋体"/>
          <w:color w:val="000000" w:themeColor="text1"/>
          <w:szCs w:val="24"/>
          <w14:textFill>
            <w14:solidFill>
              <w14:schemeClr w14:val="tx1"/>
            </w14:solidFill>
          </w14:textFill>
        </w:rPr>
      </w:pPr>
    </w:p>
    <w:p w14:paraId="53EFA0F5">
      <w:pPr>
        <w:rPr>
          <w:rFonts w:hint="eastAsia" w:ascii="宋体" w:hAnsi="宋体" w:cs="宋体"/>
          <w:color w:val="000000" w:themeColor="text1"/>
          <w14:textFill>
            <w14:solidFill>
              <w14:schemeClr w14:val="tx1"/>
            </w14:solidFill>
          </w14:textFill>
        </w:rPr>
      </w:pPr>
    </w:p>
    <w:p w14:paraId="41D6D1AE">
      <w:pPr>
        <w:spacing w:before="120" w:line="22" w:lineRule="atLeast"/>
        <w:ind w:left="96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w:t>
      </w:r>
      <w:r>
        <w:rPr>
          <w:rFonts w:hint="eastAsia" w:ascii="宋体" w:hAnsi="宋体" w:cs="宋体"/>
          <w:color w:val="000000" w:themeColor="text1"/>
          <w:sz w:val="24"/>
          <w:u w:val="single"/>
          <w14:textFill>
            <w14:solidFill>
              <w14:schemeClr w14:val="tx1"/>
            </w14:solidFill>
          </w14:textFill>
        </w:rPr>
        <w:t xml:space="preserve">                                       </w:t>
      </w:r>
    </w:p>
    <w:p w14:paraId="7F647F9B">
      <w:pPr>
        <w:spacing w:before="120" w:line="22" w:lineRule="atLeast"/>
        <w:rPr>
          <w:rFonts w:hint="eastAsia" w:ascii="宋体" w:hAnsi="宋体" w:cs="宋体"/>
          <w:color w:val="000000" w:themeColor="text1"/>
          <w:sz w:val="24"/>
          <w14:textFill>
            <w14:solidFill>
              <w14:schemeClr w14:val="tx1"/>
            </w14:solidFill>
          </w14:textFill>
        </w:rPr>
      </w:pPr>
    </w:p>
    <w:p w14:paraId="32DC931C">
      <w:pPr>
        <w:spacing w:before="120" w:line="22" w:lineRule="atLeast"/>
        <w:ind w:left="96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w:t>
      </w:r>
      <w:r>
        <w:rPr>
          <w:rFonts w:hint="eastAsia" w:ascii="宋体" w:hAnsi="宋体" w:cs="宋体"/>
          <w:color w:val="000000" w:themeColor="text1"/>
          <w:sz w:val="24"/>
          <w:u w:val="single"/>
          <w14:textFill>
            <w14:solidFill>
              <w14:schemeClr w14:val="tx1"/>
            </w14:solidFill>
          </w14:textFill>
        </w:rPr>
        <w:t xml:space="preserve">                                       </w:t>
      </w:r>
    </w:p>
    <w:p w14:paraId="7A9A7B05">
      <w:pPr>
        <w:spacing w:before="120" w:line="22" w:lineRule="atLeast"/>
        <w:rPr>
          <w:rFonts w:hint="eastAsia" w:ascii="宋体" w:hAnsi="宋体" w:cs="宋体"/>
          <w:color w:val="000000" w:themeColor="text1"/>
          <w:sz w:val="24"/>
          <w14:textFill>
            <w14:solidFill>
              <w14:schemeClr w14:val="tx1"/>
            </w14:solidFill>
          </w14:textFill>
        </w:rPr>
      </w:pPr>
    </w:p>
    <w:p w14:paraId="5B5E67DD">
      <w:pPr>
        <w:spacing w:before="120" w:line="22" w:lineRule="atLeast"/>
        <w:ind w:firstLine="960" w:firstLineChars="4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签订地：</w:t>
      </w:r>
      <w:r>
        <w:rPr>
          <w:rFonts w:hint="eastAsia" w:ascii="宋体" w:hAnsi="宋体" w:cs="宋体"/>
          <w:color w:val="000000" w:themeColor="text1"/>
          <w:sz w:val="24"/>
          <w:u w:val="single"/>
          <w14:textFill>
            <w14:solidFill>
              <w14:schemeClr w14:val="tx1"/>
            </w14:solidFill>
          </w14:textFill>
        </w:rPr>
        <w:t xml:space="preserve">                                     </w:t>
      </w:r>
    </w:p>
    <w:p w14:paraId="39FCA171">
      <w:pPr>
        <w:spacing w:before="120" w:line="22" w:lineRule="atLeast"/>
        <w:rPr>
          <w:rFonts w:hint="eastAsia" w:ascii="宋体" w:hAnsi="宋体" w:cs="宋体"/>
          <w:color w:val="000000" w:themeColor="text1"/>
          <w:sz w:val="24"/>
          <w14:textFill>
            <w14:solidFill>
              <w14:schemeClr w14:val="tx1"/>
            </w14:solidFill>
          </w14:textFill>
        </w:rPr>
      </w:pPr>
    </w:p>
    <w:p w14:paraId="7819A17E">
      <w:pPr>
        <w:spacing w:before="120" w:line="22" w:lineRule="atLeast"/>
        <w:ind w:firstLine="960" w:firstLineChars="4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签订日期：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2D75360">
      <w:pPr>
        <w:autoSpaceDE w:val="0"/>
        <w:autoSpaceDN w:val="0"/>
        <w:adjustRightInd w:val="0"/>
        <w:spacing w:line="600" w:lineRule="exact"/>
        <w:ind w:firstLine="640"/>
        <w:jc w:val="center"/>
        <w:rPr>
          <w:rFonts w:hint="eastAsia" w:ascii="宋体" w:hAnsi="宋体" w:cs="宋体"/>
          <w:color w:val="000000" w:themeColor="text1"/>
          <w:sz w:val="24"/>
          <w14:textFill>
            <w14:solidFill>
              <w14:schemeClr w14:val="tx1"/>
            </w14:solidFill>
          </w14:textFill>
        </w:rPr>
        <w:sectPr>
          <w:headerReference r:id="rId14" w:type="first"/>
          <w:footerReference r:id="rId17" w:type="first"/>
          <w:headerReference r:id="rId12" w:type="default"/>
          <w:footerReference r:id="rId15" w:type="default"/>
          <w:headerReference r:id="rId13" w:type="even"/>
          <w:footerReference r:id="rId16" w:type="even"/>
          <w:pgSz w:w="11907" w:h="16840"/>
          <w:pgMar w:top="1474" w:right="1814" w:bottom="1474" w:left="1814" w:header="851" w:footer="851" w:gutter="0"/>
          <w:cols w:space="720" w:num="1"/>
          <w:docGrid w:linePitch="462" w:charSpace="0"/>
        </w:sectPr>
      </w:pPr>
    </w:p>
    <w:p w14:paraId="1D45B566">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lang w:val="zh-CN"/>
          <w14:textFill>
            <w14:solidFill>
              <w14:schemeClr w14:val="tx1"/>
            </w14:solidFill>
          </w14:textFill>
        </w:rPr>
        <w:t xml:space="preserve">        </w:t>
      </w:r>
      <w:r>
        <w:rPr>
          <w:rFonts w:hint="eastAsia" w:ascii="宋体" w:hAnsi="宋体" w:cs="宋体"/>
          <w:color w:val="000000" w:themeColor="text1"/>
          <w:sz w:val="24"/>
          <w:lang w:val="zh-CN"/>
          <w14:textFill>
            <w14:solidFill>
              <w14:schemeClr w14:val="tx1"/>
            </w14:solidFill>
          </w14:textFill>
        </w:rPr>
        <w:t>年</w:t>
      </w:r>
      <w:r>
        <w:rPr>
          <w:rFonts w:hint="eastAsia" w:ascii="宋体" w:hAnsi="宋体" w:cs="宋体"/>
          <w:color w:val="000000" w:themeColor="text1"/>
          <w:sz w:val="24"/>
          <w:u w:val="single"/>
          <w:lang w:val="zh-CN"/>
          <w14:textFill>
            <w14:solidFill>
              <w14:schemeClr w14:val="tx1"/>
            </w14:solidFill>
          </w14:textFill>
        </w:rPr>
        <w:t xml:space="preserve">    </w:t>
      </w:r>
      <w:r>
        <w:rPr>
          <w:rFonts w:hint="eastAsia" w:ascii="宋体" w:hAnsi="宋体" w:cs="宋体"/>
          <w:color w:val="000000" w:themeColor="text1"/>
          <w:sz w:val="24"/>
          <w:lang w:val="zh-CN"/>
          <w14:textFill>
            <w14:solidFill>
              <w14:schemeClr w14:val="tx1"/>
            </w14:solidFill>
          </w14:textFill>
        </w:rPr>
        <w:t>月</w:t>
      </w:r>
      <w:r>
        <w:rPr>
          <w:rFonts w:hint="eastAsia" w:ascii="宋体" w:hAnsi="宋体" w:cs="宋体"/>
          <w:color w:val="000000" w:themeColor="text1"/>
          <w:sz w:val="24"/>
          <w:u w:val="single"/>
          <w:lang w:val="zh-CN"/>
          <w14:textFill>
            <w14:solidFill>
              <w14:schemeClr w14:val="tx1"/>
            </w14:solidFill>
          </w14:textFill>
        </w:rPr>
        <w:t xml:space="preserve">    </w:t>
      </w:r>
      <w:r>
        <w:rPr>
          <w:rFonts w:hint="eastAsia" w:ascii="宋体" w:hAnsi="宋体" w:cs="宋体"/>
          <w:color w:val="000000" w:themeColor="text1"/>
          <w:sz w:val="24"/>
          <w:lang w:val="zh-CN"/>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（采购人名称）   </w:t>
      </w:r>
      <w:r>
        <w:rPr>
          <w:rFonts w:hint="eastAsia" w:ascii="宋体" w:hAnsi="宋体" w:cs="宋体"/>
          <w:color w:val="000000" w:themeColor="text1"/>
          <w:sz w:val="24"/>
          <w14:textFill>
            <w14:solidFill>
              <w14:schemeClr w14:val="tx1"/>
            </w14:solidFill>
          </w14:textFill>
        </w:rPr>
        <w:t>以</w:t>
      </w:r>
      <w:r>
        <w:rPr>
          <w:rFonts w:hint="eastAsia" w:ascii="宋体" w:hAnsi="宋体" w:cs="宋体"/>
          <w:color w:val="000000" w:themeColor="text1"/>
          <w:sz w:val="24"/>
          <w:u w:val="single"/>
          <w14:textFill>
            <w14:solidFill>
              <w14:schemeClr w14:val="tx1"/>
            </w14:solidFill>
          </w14:textFill>
        </w:rPr>
        <w:t xml:space="preserve">   （政府采购方式）  </w:t>
      </w:r>
      <w:r>
        <w:rPr>
          <w:rFonts w:hint="eastAsia" w:ascii="宋体" w:hAnsi="宋体" w:cs="宋体"/>
          <w:color w:val="000000" w:themeColor="text1"/>
          <w:sz w:val="24"/>
          <w14:textFill>
            <w14:solidFill>
              <w14:schemeClr w14:val="tx1"/>
            </w14:solidFill>
          </w14:textFill>
        </w:rPr>
        <w:t>对</w:t>
      </w:r>
      <w:r>
        <w:rPr>
          <w:rFonts w:hint="eastAsia" w:ascii="宋体" w:hAnsi="宋体" w:cs="宋体"/>
          <w:color w:val="000000" w:themeColor="text1"/>
          <w:sz w:val="24"/>
          <w:u w:val="single"/>
          <w14:textFill>
            <w14:solidFill>
              <w14:schemeClr w14:val="tx1"/>
            </w14:solidFill>
          </w14:textFill>
        </w:rPr>
        <w:t xml:space="preserve">   （同前页项目名称）   </w:t>
      </w:r>
      <w:r>
        <w:rPr>
          <w:rFonts w:hint="eastAsia" w:ascii="宋体" w:hAnsi="宋体" w:cs="宋体"/>
          <w:color w:val="000000" w:themeColor="text1"/>
          <w:sz w:val="24"/>
          <w14:textFill>
            <w14:solidFill>
              <w14:schemeClr w14:val="tx1"/>
            </w14:solidFill>
          </w14:textFill>
        </w:rPr>
        <w:t>项目进行了采购。经</w:t>
      </w:r>
      <w:r>
        <w:rPr>
          <w:rFonts w:hint="eastAsia" w:ascii="宋体" w:hAnsi="宋体" w:cs="宋体"/>
          <w:color w:val="000000" w:themeColor="text1"/>
          <w:sz w:val="24"/>
          <w:u w:val="single"/>
          <w14:textFill>
            <w14:solidFill>
              <w14:schemeClr w14:val="tx1"/>
            </w14:solidFill>
          </w14:textFill>
        </w:rPr>
        <w:t xml:space="preserve">   （相关评定主体名称）   </w:t>
      </w:r>
      <w:r>
        <w:rPr>
          <w:rFonts w:hint="eastAsia" w:ascii="宋体" w:hAnsi="宋体" w:cs="宋体"/>
          <w:color w:val="000000" w:themeColor="text1"/>
          <w:sz w:val="24"/>
          <w14:textFill>
            <w14:solidFill>
              <w14:schemeClr w14:val="tx1"/>
            </w14:solidFill>
          </w14:textFill>
        </w:rPr>
        <w:t>评定，</w:t>
      </w:r>
      <w:r>
        <w:rPr>
          <w:rFonts w:hint="eastAsia" w:ascii="宋体" w:hAnsi="宋体" w:cs="宋体"/>
          <w:color w:val="000000" w:themeColor="text1"/>
          <w:sz w:val="24"/>
          <w:u w:val="single"/>
          <w14:textFill>
            <w14:solidFill>
              <w14:schemeClr w14:val="tx1"/>
            </w14:solidFill>
          </w14:textFill>
        </w:rPr>
        <w:t xml:space="preserve">   （中标</w:t>
      </w:r>
      <w:r>
        <w:rPr>
          <w:rFonts w:hint="eastAsia" w:ascii="宋体" w:hAnsi="宋体" w:cs="宋体"/>
          <w:color w:val="000000" w:themeColor="text1"/>
          <w:sz w:val="24"/>
          <w:u w:val="single"/>
          <w:lang w:eastAsia="zh-CN"/>
          <w14:textFill>
            <w14:solidFill>
              <w14:schemeClr w14:val="tx1"/>
            </w14:solidFill>
          </w14:textFill>
        </w:rPr>
        <w:t>投标人</w:t>
      </w:r>
      <w:r>
        <w:rPr>
          <w:rFonts w:hint="eastAsia" w:ascii="宋体" w:hAnsi="宋体" w:cs="宋体"/>
          <w:color w:val="000000" w:themeColor="text1"/>
          <w:sz w:val="24"/>
          <w:u w:val="single"/>
          <w14:textFill>
            <w14:solidFill>
              <w14:schemeClr w14:val="tx1"/>
            </w14:solidFill>
          </w14:textFill>
        </w:rPr>
        <w:t xml:space="preserve">名称） </w:t>
      </w:r>
      <w:r>
        <w:rPr>
          <w:rFonts w:hint="eastAsia" w:ascii="宋体" w:hAnsi="宋体" w:cs="宋体"/>
          <w:color w:val="000000" w:themeColor="text1"/>
          <w:sz w:val="24"/>
          <w14:textFill>
            <w14:solidFill>
              <w14:schemeClr w14:val="tx1"/>
            </w14:solidFill>
          </w14:textFill>
        </w:rPr>
        <w:t>为该项目中标</w:t>
      </w:r>
      <w:r>
        <w:rPr>
          <w:rFonts w:hint="eastAsia" w:ascii="宋体" w:hAnsi="宋体" w:cs="宋体"/>
          <w:color w:val="000000" w:themeColor="text1"/>
          <w:sz w:val="24"/>
          <w:lang w:eastAsia="zh-CN"/>
          <w14:textFill>
            <w14:solidFill>
              <w14:schemeClr w14:val="tx1"/>
            </w14:solidFill>
          </w14:textFill>
        </w:rPr>
        <w:t>投标人</w:t>
      </w:r>
      <w:r>
        <w:rPr>
          <w:rFonts w:hint="eastAsia" w:ascii="宋体" w:hAnsi="宋体" w:cs="宋体"/>
          <w:color w:val="000000" w:themeColor="text1"/>
          <w:sz w:val="24"/>
          <w14:textFill>
            <w14:solidFill>
              <w14:schemeClr w14:val="tx1"/>
            </w14:solidFill>
          </w14:textFill>
        </w:rPr>
        <w:t>。现于中标通知书发出之日起三十日内，按照采购文件确定的事项签订本合同。</w:t>
      </w:r>
    </w:p>
    <w:p w14:paraId="11064F30">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w:t>
      </w:r>
      <w:r>
        <w:rPr>
          <w:rFonts w:hint="eastAsia" w:ascii="宋体" w:hAnsi="宋体" w:cs="宋体"/>
          <w:color w:val="000000" w:themeColor="text1"/>
          <w:sz w:val="24"/>
          <w:lang w:val="zh-CN" w:eastAsia="zh-CN"/>
          <w14:textFill>
            <w14:solidFill>
              <w14:schemeClr w14:val="tx1"/>
            </w14:solidFill>
          </w14:textFill>
        </w:rPr>
        <w:t>《民法典》</w:t>
      </w:r>
      <w:r>
        <w:rPr>
          <w:rFonts w:hint="eastAsia" w:ascii="宋体" w:hAnsi="宋体" w:cs="宋体"/>
          <w:color w:val="000000" w:themeColor="text1"/>
          <w:sz w:val="24"/>
          <w:lang w:val="zh-CN"/>
          <w14:textFill>
            <w14:solidFill>
              <w14:schemeClr w14:val="tx1"/>
            </w14:solidFill>
          </w14:textFill>
        </w:rPr>
        <w:t>、《中华人民共和国政府采购法》等相关法律法规之规定，按照平等、自愿、公平和诚实信用的原则，经</w:t>
      </w:r>
      <w:r>
        <w:rPr>
          <w:rFonts w:hint="eastAsia" w:ascii="宋体" w:hAnsi="宋体" w:cs="宋体"/>
          <w:color w:val="000000" w:themeColor="text1"/>
          <w:sz w:val="24"/>
          <w:u w:val="single"/>
          <w14:textFill>
            <w14:solidFill>
              <w14:schemeClr w14:val="tx1"/>
            </w14:solidFill>
          </w14:textFill>
        </w:rPr>
        <w:t xml:space="preserve">   （采购人名称）   </w:t>
      </w:r>
      <w:r>
        <w:rPr>
          <w:rFonts w:hint="eastAsia" w:ascii="宋体" w:hAnsi="宋体" w:cs="宋体"/>
          <w:color w:val="000000" w:themeColor="text1"/>
          <w:sz w:val="24"/>
          <w:lang w:val="zh-CN"/>
          <w14:textFill>
            <w14:solidFill>
              <w14:schemeClr w14:val="tx1"/>
            </w14:solidFill>
          </w14:textFill>
        </w:rPr>
        <w:t>(以下简称：甲方)和</w:t>
      </w:r>
      <w:r>
        <w:rPr>
          <w:rFonts w:hint="eastAsia" w:ascii="宋体" w:hAnsi="宋体" w:cs="宋体"/>
          <w:color w:val="000000" w:themeColor="text1"/>
          <w:sz w:val="24"/>
          <w:u w:val="single"/>
          <w14:textFill>
            <w14:solidFill>
              <w14:schemeClr w14:val="tx1"/>
            </w14:solidFill>
          </w14:textFill>
        </w:rPr>
        <w:t xml:space="preserve">   （中标</w:t>
      </w:r>
      <w:r>
        <w:rPr>
          <w:rFonts w:hint="eastAsia" w:ascii="宋体" w:hAnsi="宋体" w:cs="宋体"/>
          <w:color w:val="000000" w:themeColor="text1"/>
          <w:sz w:val="24"/>
          <w:u w:val="single"/>
          <w:lang w:eastAsia="zh-CN"/>
          <w14:textFill>
            <w14:solidFill>
              <w14:schemeClr w14:val="tx1"/>
            </w14:solidFill>
          </w14:textFill>
        </w:rPr>
        <w:t>投标人</w:t>
      </w:r>
      <w:r>
        <w:rPr>
          <w:rFonts w:hint="eastAsia" w:ascii="宋体" w:hAnsi="宋体" w:cs="宋体"/>
          <w:color w:val="000000" w:themeColor="text1"/>
          <w:sz w:val="24"/>
          <w:u w:val="single"/>
          <w14:textFill>
            <w14:solidFill>
              <w14:schemeClr w14:val="tx1"/>
            </w14:solidFill>
          </w14:textFill>
        </w:rPr>
        <w:t xml:space="preserve">名称）   </w:t>
      </w:r>
      <w:r>
        <w:rPr>
          <w:rFonts w:hint="eastAsia" w:ascii="宋体" w:hAnsi="宋体" w:cs="宋体"/>
          <w:color w:val="000000" w:themeColor="text1"/>
          <w:sz w:val="24"/>
          <w:lang w:val="zh-CN"/>
          <w14:textFill>
            <w14:solidFill>
              <w14:schemeClr w14:val="tx1"/>
            </w14:solidFill>
          </w14:textFill>
        </w:rPr>
        <w:t>(以下简称：乙方)协商一致，约定以下合同</w:t>
      </w:r>
      <w:r>
        <w:rPr>
          <w:rFonts w:hint="eastAsia" w:ascii="宋体" w:hAnsi="宋体" w:cs="宋体"/>
          <w:color w:val="000000" w:themeColor="text1"/>
          <w:sz w:val="24"/>
          <w14:textFill>
            <w14:solidFill>
              <w14:schemeClr w14:val="tx1"/>
            </w14:solidFill>
          </w14:textFill>
        </w:rPr>
        <w:t>条款，以兹共同遵守、全面履行。</w:t>
      </w:r>
    </w:p>
    <w:p w14:paraId="55733C1F">
      <w:pPr>
        <w:spacing w:line="560" w:lineRule="exact"/>
        <w:ind w:firstLine="482" w:firstLineChars="200"/>
        <w:outlineLvl w:val="0"/>
        <w:rPr>
          <w:rFonts w:hint="eastAsia" w:ascii="宋体" w:hAnsi="宋体" w:cs="宋体"/>
          <w:color w:val="000000" w:themeColor="text1"/>
          <w:sz w:val="24"/>
          <w14:textFill>
            <w14:solidFill>
              <w14:schemeClr w14:val="tx1"/>
            </w14:solidFill>
          </w14:textFill>
        </w:rPr>
      </w:pPr>
      <w:bookmarkStart w:id="431" w:name="_Toc15367"/>
      <w:bookmarkStart w:id="432" w:name="_Toc20421"/>
      <w:bookmarkStart w:id="433" w:name="_Toc19273"/>
      <w:bookmarkStart w:id="434" w:name="_Toc28855"/>
      <w:r>
        <w:rPr>
          <w:rFonts w:hint="eastAsia" w:ascii="宋体" w:hAnsi="宋体" w:cs="宋体"/>
          <w:b/>
          <w:color w:val="000000" w:themeColor="text1"/>
          <w:sz w:val="24"/>
          <w14:textFill>
            <w14:solidFill>
              <w14:schemeClr w14:val="tx1"/>
            </w14:solidFill>
          </w14:textFill>
        </w:rPr>
        <w:t>1.1 合同组成部分</w:t>
      </w:r>
      <w:bookmarkEnd w:id="431"/>
      <w:bookmarkEnd w:id="432"/>
      <w:bookmarkEnd w:id="433"/>
      <w:bookmarkEnd w:id="434"/>
    </w:p>
    <w:p w14:paraId="5F9BABE9">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23950FE">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 本合同及其补充合同、变更协议；</w:t>
      </w:r>
    </w:p>
    <w:p w14:paraId="32E09A47">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 中标通知书；</w:t>
      </w:r>
    </w:p>
    <w:p w14:paraId="2C147FDA">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1.1.3 投标文件（含澄清或者说明文件）；</w:t>
      </w:r>
    </w:p>
    <w:p w14:paraId="12C6CE00">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1.1.4 招标文件（含澄清或者修改文件）；</w:t>
      </w:r>
    </w:p>
    <w:p w14:paraId="4633C36D">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1.1.5 其他相关采购文件。</w:t>
      </w:r>
    </w:p>
    <w:p w14:paraId="6246F611">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435" w:name="_Toc22185"/>
      <w:bookmarkStart w:id="436" w:name="_Toc6773"/>
      <w:bookmarkStart w:id="437" w:name="_Toc18585"/>
      <w:bookmarkStart w:id="438" w:name="_Toc2918"/>
      <w:bookmarkStart w:id="439" w:name="_Toc6311"/>
      <w:r>
        <w:rPr>
          <w:rFonts w:hint="eastAsia" w:ascii="宋体" w:hAnsi="宋体" w:cs="宋体"/>
          <w:b/>
          <w:color w:val="000000" w:themeColor="text1"/>
          <w:sz w:val="24"/>
          <w14:textFill>
            <w14:solidFill>
              <w14:schemeClr w14:val="tx1"/>
            </w14:solidFill>
          </w14:textFill>
        </w:rPr>
        <w:t>1.2 标的</w:t>
      </w:r>
      <w:bookmarkEnd w:id="435"/>
      <w:bookmarkEnd w:id="436"/>
      <w:bookmarkEnd w:id="437"/>
      <w:bookmarkEnd w:id="438"/>
      <w:bookmarkEnd w:id="439"/>
    </w:p>
    <w:p w14:paraId="7415D4C0">
      <w:pPr>
        <w:spacing w:line="560" w:lineRule="exact"/>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1.2.1 标的名称：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2B49E85B">
      <w:pPr>
        <w:spacing w:line="560" w:lineRule="exact"/>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1.2.2 标的数量：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24BA7F52">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1.2.3 标的质量：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0B03695A">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440" w:name="_Toc1386"/>
      <w:bookmarkStart w:id="441" w:name="_Toc4929"/>
      <w:bookmarkStart w:id="442" w:name="_Toc5635"/>
      <w:bookmarkStart w:id="443" w:name="_Toc13918"/>
      <w:bookmarkStart w:id="444" w:name="_Toc21124"/>
      <w:r>
        <w:rPr>
          <w:rFonts w:hint="eastAsia" w:ascii="宋体" w:hAnsi="宋体" w:cs="宋体"/>
          <w:b/>
          <w:color w:val="000000" w:themeColor="text1"/>
          <w:sz w:val="24"/>
          <w14:textFill>
            <w14:solidFill>
              <w14:schemeClr w14:val="tx1"/>
            </w14:solidFill>
          </w14:textFill>
        </w:rPr>
        <w:t>1.3 价款</w:t>
      </w:r>
      <w:bookmarkEnd w:id="440"/>
      <w:bookmarkEnd w:id="441"/>
      <w:bookmarkEnd w:id="442"/>
      <w:bookmarkEnd w:id="443"/>
      <w:bookmarkEnd w:id="444"/>
    </w:p>
    <w:p w14:paraId="5A1E3632">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本合同总价为：￥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元（大写：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元人民币）。</w:t>
      </w:r>
    </w:p>
    <w:p w14:paraId="3AC6E27B">
      <w:pPr>
        <w:spacing w:line="560" w:lineRule="exact"/>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分项价格：</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E51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74CFE21">
            <w:pPr>
              <w:pStyle w:val="66"/>
              <w:spacing w:line="560" w:lineRule="exact"/>
              <w:jc w:val="center"/>
              <w:rPr>
                <w:rFonts w:hint="eastAsia"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序号</w:t>
            </w:r>
          </w:p>
        </w:tc>
        <w:tc>
          <w:tcPr>
            <w:tcW w:w="3402" w:type="dxa"/>
            <w:noWrap w:val="0"/>
            <w:vAlign w:val="center"/>
          </w:tcPr>
          <w:p w14:paraId="05B9172C">
            <w:pPr>
              <w:pStyle w:val="66"/>
              <w:spacing w:line="560" w:lineRule="exact"/>
              <w:ind w:firstLine="200"/>
              <w:jc w:val="center"/>
              <w:rPr>
                <w:rFonts w:hint="eastAsia"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分项名称</w:t>
            </w:r>
          </w:p>
        </w:tc>
        <w:tc>
          <w:tcPr>
            <w:tcW w:w="2552" w:type="dxa"/>
            <w:noWrap w:val="0"/>
            <w:vAlign w:val="center"/>
          </w:tcPr>
          <w:p w14:paraId="3AD37C3D">
            <w:pPr>
              <w:pStyle w:val="66"/>
              <w:spacing w:line="560" w:lineRule="exact"/>
              <w:jc w:val="center"/>
              <w:rPr>
                <w:rFonts w:hint="eastAsia"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分项价格</w:t>
            </w:r>
          </w:p>
        </w:tc>
      </w:tr>
      <w:tr w14:paraId="01ED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EB0C245">
            <w:pPr>
              <w:pStyle w:val="66"/>
              <w:spacing w:line="560" w:lineRule="exact"/>
              <w:ind w:firstLine="200"/>
              <w:jc w:val="center"/>
              <w:rPr>
                <w:rFonts w:hint="eastAsia" w:hAnsi="宋体" w:cs="宋体"/>
                <w:color w:val="000000" w:themeColor="text1"/>
                <w:kern w:val="2"/>
                <w:sz w:val="24"/>
                <w:szCs w:val="24"/>
                <w14:textFill>
                  <w14:solidFill>
                    <w14:schemeClr w14:val="tx1"/>
                  </w14:solidFill>
                </w14:textFill>
              </w:rPr>
            </w:pPr>
          </w:p>
        </w:tc>
        <w:tc>
          <w:tcPr>
            <w:tcW w:w="3402" w:type="dxa"/>
            <w:noWrap w:val="0"/>
            <w:vAlign w:val="center"/>
          </w:tcPr>
          <w:p w14:paraId="375F81C3">
            <w:pPr>
              <w:pStyle w:val="66"/>
              <w:spacing w:line="560" w:lineRule="exact"/>
              <w:ind w:firstLine="200"/>
              <w:jc w:val="center"/>
              <w:rPr>
                <w:rFonts w:hint="eastAsia" w:hAnsi="宋体" w:cs="宋体"/>
                <w:color w:val="000000" w:themeColor="text1"/>
                <w:kern w:val="2"/>
                <w:sz w:val="24"/>
                <w:szCs w:val="24"/>
                <w14:textFill>
                  <w14:solidFill>
                    <w14:schemeClr w14:val="tx1"/>
                  </w14:solidFill>
                </w14:textFill>
              </w:rPr>
            </w:pPr>
          </w:p>
        </w:tc>
        <w:tc>
          <w:tcPr>
            <w:tcW w:w="2552" w:type="dxa"/>
            <w:noWrap w:val="0"/>
            <w:vAlign w:val="center"/>
          </w:tcPr>
          <w:p w14:paraId="60A653D4">
            <w:pPr>
              <w:pStyle w:val="66"/>
              <w:spacing w:line="560" w:lineRule="exact"/>
              <w:ind w:firstLine="200"/>
              <w:jc w:val="center"/>
              <w:rPr>
                <w:rFonts w:hint="eastAsia" w:hAnsi="宋体" w:cs="宋体"/>
                <w:color w:val="000000" w:themeColor="text1"/>
                <w:kern w:val="2"/>
                <w:sz w:val="24"/>
                <w:szCs w:val="24"/>
                <w14:textFill>
                  <w14:solidFill>
                    <w14:schemeClr w14:val="tx1"/>
                  </w14:solidFill>
                </w14:textFill>
              </w:rPr>
            </w:pPr>
          </w:p>
        </w:tc>
      </w:tr>
      <w:tr w14:paraId="1020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4FE7604">
            <w:pPr>
              <w:pStyle w:val="66"/>
              <w:spacing w:line="560" w:lineRule="exact"/>
              <w:ind w:firstLine="200"/>
              <w:jc w:val="center"/>
              <w:rPr>
                <w:rFonts w:hint="eastAsia" w:hAnsi="宋体" w:cs="宋体"/>
                <w:color w:val="000000" w:themeColor="text1"/>
                <w:kern w:val="2"/>
                <w:sz w:val="24"/>
                <w:szCs w:val="24"/>
                <w14:textFill>
                  <w14:solidFill>
                    <w14:schemeClr w14:val="tx1"/>
                  </w14:solidFill>
                </w14:textFill>
              </w:rPr>
            </w:pPr>
          </w:p>
        </w:tc>
        <w:tc>
          <w:tcPr>
            <w:tcW w:w="3402" w:type="dxa"/>
            <w:noWrap w:val="0"/>
            <w:vAlign w:val="center"/>
          </w:tcPr>
          <w:p w14:paraId="7AEC91C9">
            <w:pPr>
              <w:pStyle w:val="66"/>
              <w:spacing w:line="560" w:lineRule="exact"/>
              <w:ind w:firstLine="200"/>
              <w:jc w:val="center"/>
              <w:rPr>
                <w:rFonts w:hint="eastAsia" w:hAnsi="宋体" w:cs="宋体"/>
                <w:color w:val="000000" w:themeColor="text1"/>
                <w:kern w:val="2"/>
                <w:sz w:val="24"/>
                <w:szCs w:val="24"/>
                <w14:textFill>
                  <w14:solidFill>
                    <w14:schemeClr w14:val="tx1"/>
                  </w14:solidFill>
                </w14:textFill>
              </w:rPr>
            </w:pPr>
          </w:p>
        </w:tc>
        <w:tc>
          <w:tcPr>
            <w:tcW w:w="2552" w:type="dxa"/>
            <w:noWrap w:val="0"/>
            <w:vAlign w:val="center"/>
          </w:tcPr>
          <w:p w14:paraId="61E519CF">
            <w:pPr>
              <w:pStyle w:val="66"/>
              <w:spacing w:line="560" w:lineRule="exact"/>
              <w:ind w:firstLine="200"/>
              <w:jc w:val="center"/>
              <w:rPr>
                <w:rFonts w:hint="eastAsia" w:hAnsi="宋体" w:cs="宋体"/>
                <w:color w:val="000000" w:themeColor="text1"/>
                <w:kern w:val="2"/>
                <w:sz w:val="24"/>
                <w:szCs w:val="24"/>
                <w14:textFill>
                  <w14:solidFill>
                    <w14:schemeClr w14:val="tx1"/>
                  </w14:solidFill>
                </w14:textFill>
              </w:rPr>
            </w:pPr>
          </w:p>
        </w:tc>
      </w:tr>
      <w:tr w14:paraId="724B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E4426FA">
            <w:pPr>
              <w:pStyle w:val="66"/>
              <w:spacing w:line="560" w:lineRule="exact"/>
              <w:ind w:firstLine="200"/>
              <w:jc w:val="center"/>
              <w:rPr>
                <w:rFonts w:hint="eastAsia" w:hAnsi="宋体" w:cs="宋体"/>
                <w:color w:val="000000" w:themeColor="text1"/>
                <w:kern w:val="2"/>
                <w:sz w:val="24"/>
                <w:szCs w:val="24"/>
                <w14:textFill>
                  <w14:solidFill>
                    <w14:schemeClr w14:val="tx1"/>
                  </w14:solidFill>
                </w14:textFill>
              </w:rPr>
            </w:pPr>
          </w:p>
        </w:tc>
        <w:tc>
          <w:tcPr>
            <w:tcW w:w="3402" w:type="dxa"/>
            <w:noWrap w:val="0"/>
            <w:vAlign w:val="center"/>
          </w:tcPr>
          <w:p w14:paraId="00F4D71B">
            <w:pPr>
              <w:pStyle w:val="66"/>
              <w:spacing w:line="560" w:lineRule="exact"/>
              <w:ind w:firstLine="200"/>
              <w:jc w:val="center"/>
              <w:rPr>
                <w:rFonts w:hint="eastAsia" w:hAnsi="宋体" w:cs="宋体"/>
                <w:color w:val="000000" w:themeColor="text1"/>
                <w:kern w:val="2"/>
                <w:sz w:val="24"/>
                <w:szCs w:val="24"/>
                <w14:textFill>
                  <w14:solidFill>
                    <w14:schemeClr w14:val="tx1"/>
                  </w14:solidFill>
                </w14:textFill>
              </w:rPr>
            </w:pPr>
          </w:p>
        </w:tc>
        <w:tc>
          <w:tcPr>
            <w:tcW w:w="2552" w:type="dxa"/>
            <w:noWrap w:val="0"/>
            <w:vAlign w:val="center"/>
          </w:tcPr>
          <w:p w14:paraId="6B433C01">
            <w:pPr>
              <w:pStyle w:val="66"/>
              <w:spacing w:line="560" w:lineRule="exact"/>
              <w:ind w:firstLine="200"/>
              <w:jc w:val="center"/>
              <w:rPr>
                <w:rFonts w:hint="eastAsia" w:hAnsi="宋体" w:cs="宋体"/>
                <w:color w:val="000000" w:themeColor="text1"/>
                <w:kern w:val="2"/>
                <w:sz w:val="24"/>
                <w:szCs w:val="24"/>
                <w14:textFill>
                  <w14:solidFill>
                    <w14:schemeClr w14:val="tx1"/>
                  </w14:solidFill>
                </w14:textFill>
              </w:rPr>
            </w:pPr>
          </w:p>
        </w:tc>
      </w:tr>
      <w:tr w14:paraId="414C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1FB2FF4">
            <w:pPr>
              <w:pStyle w:val="66"/>
              <w:spacing w:line="560" w:lineRule="exact"/>
              <w:ind w:firstLine="200"/>
              <w:jc w:val="center"/>
              <w:rPr>
                <w:rFonts w:hint="eastAsia" w:hAnsi="宋体" w:cs="宋体"/>
                <w:color w:val="000000" w:themeColor="text1"/>
                <w:kern w:val="2"/>
                <w:sz w:val="24"/>
                <w:szCs w:val="24"/>
                <w14:textFill>
                  <w14:solidFill>
                    <w14:schemeClr w14:val="tx1"/>
                  </w14:solidFill>
                </w14:textFill>
              </w:rPr>
            </w:pPr>
          </w:p>
        </w:tc>
        <w:tc>
          <w:tcPr>
            <w:tcW w:w="3402" w:type="dxa"/>
            <w:noWrap w:val="0"/>
            <w:vAlign w:val="center"/>
          </w:tcPr>
          <w:p w14:paraId="7942F688">
            <w:pPr>
              <w:pStyle w:val="66"/>
              <w:spacing w:line="560" w:lineRule="exact"/>
              <w:ind w:firstLine="200"/>
              <w:jc w:val="center"/>
              <w:rPr>
                <w:rFonts w:hint="eastAsia" w:hAnsi="宋体" w:cs="宋体"/>
                <w:color w:val="000000" w:themeColor="text1"/>
                <w:kern w:val="2"/>
                <w:sz w:val="24"/>
                <w:szCs w:val="24"/>
                <w14:textFill>
                  <w14:solidFill>
                    <w14:schemeClr w14:val="tx1"/>
                  </w14:solidFill>
                </w14:textFill>
              </w:rPr>
            </w:pPr>
          </w:p>
        </w:tc>
        <w:tc>
          <w:tcPr>
            <w:tcW w:w="2552" w:type="dxa"/>
            <w:noWrap w:val="0"/>
            <w:vAlign w:val="center"/>
          </w:tcPr>
          <w:p w14:paraId="2DB7BC95">
            <w:pPr>
              <w:pStyle w:val="66"/>
              <w:spacing w:line="560" w:lineRule="exact"/>
              <w:ind w:firstLine="200"/>
              <w:jc w:val="center"/>
              <w:rPr>
                <w:rFonts w:hint="eastAsia" w:hAnsi="宋体" w:cs="宋体"/>
                <w:color w:val="000000" w:themeColor="text1"/>
                <w:kern w:val="2"/>
                <w:sz w:val="24"/>
                <w:szCs w:val="24"/>
                <w14:textFill>
                  <w14:solidFill>
                    <w14:schemeClr w14:val="tx1"/>
                  </w14:solidFill>
                </w14:textFill>
              </w:rPr>
            </w:pPr>
          </w:p>
        </w:tc>
      </w:tr>
      <w:tr w14:paraId="773F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2A240824">
            <w:pPr>
              <w:pStyle w:val="66"/>
              <w:spacing w:line="560" w:lineRule="exact"/>
              <w:ind w:firstLine="200"/>
              <w:jc w:val="center"/>
              <w:rPr>
                <w:rFonts w:hint="eastAsia"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总价</w:t>
            </w:r>
          </w:p>
        </w:tc>
        <w:tc>
          <w:tcPr>
            <w:tcW w:w="2552" w:type="dxa"/>
            <w:noWrap w:val="0"/>
            <w:vAlign w:val="center"/>
          </w:tcPr>
          <w:p w14:paraId="2C3E18AA">
            <w:pPr>
              <w:pStyle w:val="66"/>
              <w:spacing w:line="560" w:lineRule="exact"/>
              <w:ind w:firstLine="200"/>
              <w:jc w:val="center"/>
              <w:rPr>
                <w:rFonts w:hint="eastAsia" w:hAnsi="宋体" w:cs="宋体"/>
                <w:color w:val="000000" w:themeColor="text1"/>
                <w:kern w:val="2"/>
                <w:sz w:val="24"/>
                <w:szCs w:val="24"/>
                <w14:textFill>
                  <w14:solidFill>
                    <w14:schemeClr w14:val="tx1"/>
                  </w14:solidFill>
                </w14:textFill>
              </w:rPr>
            </w:pPr>
          </w:p>
        </w:tc>
      </w:tr>
    </w:tbl>
    <w:p w14:paraId="7DC20FFE">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445" w:name="_Toc14993"/>
      <w:bookmarkStart w:id="446" w:name="_Toc30506"/>
      <w:bookmarkStart w:id="447" w:name="_Toc3654"/>
      <w:bookmarkStart w:id="448" w:name="_Toc26916"/>
      <w:bookmarkStart w:id="449" w:name="_Toc30158"/>
      <w:r>
        <w:rPr>
          <w:rFonts w:hint="eastAsia" w:ascii="宋体" w:hAnsi="宋体" w:cs="宋体"/>
          <w:b/>
          <w:color w:val="000000" w:themeColor="text1"/>
          <w:sz w:val="24"/>
          <w14:textFill>
            <w14:solidFill>
              <w14:schemeClr w14:val="tx1"/>
            </w14:solidFill>
          </w14:textFill>
        </w:rPr>
        <w:t>1.4 付款方式和发票开具方式</w:t>
      </w:r>
      <w:bookmarkEnd w:id="445"/>
      <w:bookmarkEnd w:id="446"/>
      <w:bookmarkEnd w:id="447"/>
      <w:bookmarkEnd w:id="448"/>
      <w:bookmarkEnd w:id="449"/>
    </w:p>
    <w:p w14:paraId="0414ADD7">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1.4.1付款方式：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4E8E78BC">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 发票开具方式：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F72DF43">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450" w:name="_Toc31421"/>
      <w:bookmarkStart w:id="451" w:name="_Toc11108"/>
      <w:bookmarkStart w:id="452" w:name="_Toc3625"/>
      <w:bookmarkStart w:id="453" w:name="_Toc4760"/>
      <w:bookmarkStart w:id="454" w:name="_Toc8772"/>
      <w:r>
        <w:rPr>
          <w:rFonts w:hint="eastAsia" w:ascii="宋体" w:hAnsi="宋体" w:cs="宋体"/>
          <w:b/>
          <w:color w:val="000000" w:themeColor="text1"/>
          <w:sz w:val="24"/>
          <w14:textFill>
            <w14:solidFill>
              <w14:schemeClr w14:val="tx1"/>
            </w14:solidFill>
          </w14:textFill>
        </w:rPr>
        <w:t>1.5 履行期限、地点和方式</w:t>
      </w:r>
      <w:bookmarkEnd w:id="450"/>
      <w:bookmarkEnd w:id="451"/>
      <w:bookmarkEnd w:id="452"/>
      <w:bookmarkEnd w:id="453"/>
      <w:bookmarkEnd w:id="454"/>
    </w:p>
    <w:p w14:paraId="3FE60232">
      <w:pPr>
        <w:spacing w:line="560" w:lineRule="exact"/>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1.5.1 履行期限：</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69FB006F">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 履行地点：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2BE96AC">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1.5.3 履行方式：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3C560975">
      <w:pPr>
        <w:spacing w:line="560" w:lineRule="exact"/>
        <w:ind w:firstLine="482" w:firstLineChars="200"/>
        <w:outlineLvl w:val="0"/>
        <w:rPr>
          <w:rFonts w:hint="eastAsia" w:ascii="宋体" w:hAnsi="宋体" w:cs="宋体"/>
          <w:color w:val="000000" w:themeColor="text1"/>
          <w:sz w:val="24"/>
          <w:u w:val="single"/>
          <w14:textFill>
            <w14:solidFill>
              <w14:schemeClr w14:val="tx1"/>
            </w14:solidFill>
          </w14:textFill>
        </w:rPr>
      </w:pPr>
      <w:bookmarkStart w:id="455" w:name="_Toc24662"/>
      <w:bookmarkStart w:id="456" w:name="_Toc3079"/>
      <w:bookmarkStart w:id="457" w:name="_Toc2375"/>
      <w:bookmarkStart w:id="458" w:name="_Toc8586"/>
      <w:bookmarkStart w:id="459" w:name="_Toc5698"/>
      <w:r>
        <w:rPr>
          <w:rFonts w:hint="eastAsia" w:ascii="宋体" w:hAnsi="宋体" w:cs="宋体"/>
          <w:b/>
          <w:color w:val="000000" w:themeColor="text1"/>
          <w:sz w:val="24"/>
          <w14:textFill>
            <w14:solidFill>
              <w14:schemeClr w14:val="tx1"/>
            </w14:solidFill>
          </w14:textFill>
        </w:rPr>
        <w:t>1.6 违约责任</w:t>
      </w:r>
      <w:bookmarkEnd w:id="455"/>
      <w:bookmarkEnd w:id="456"/>
      <w:bookmarkEnd w:id="457"/>
      <w:bookmarkEnd w:id="458"/>
      <w:bookmarkEnd w:id="459"/>
    </w:p>
    <w:p w14:paraId="531C55F0">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%计算，最高限额为本合同总价的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%；迟延履行的违约金计算数额达到前述最高限额之日起，甲方有权在要求乙方支付违约金的同时，书面通知乙方解除本合同；</w:t>
      </w:r>
    </w:p>
    <w:p w14:paraId="7736FE70">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 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%计算，最高限额为本合同总价的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%；迟延付款的违约金计算数额达到前述最高限额之日起，乙方有权在要求甲方支付违约金的同时，书面通知甲方解除本合同；</w:t>
      </w:r>
    </w:p>
    <w:p w14:paraId="3EF693E0">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099DAC74">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122ACCA">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4DD73EB">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1.6.6 如果出现政府采购监督管理部门在处理投诉事项期间，书面通知甲方暂停采购活动的情形，或者询问或质疑事项可能影响中标结果的，导致甲方中止履行合同的情形，均不视为甲方违约。</w:t>
      </w:r>
    </w:p>
    <w:p w14:paraId="27E3BC54">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460" w:name="_Toc26807"/>
      <w:bookmarkStart w:id="461" w:name="_Toc30329"/>
      <w:bookmarkStart w:id="462" w:name="_Toc9497"/>
      <w:bookmarkStart w:id="463" w:name="_Toc18683"/>
      <w:bookmarkStart w:id="464" w:name="_Toc32454"/>
      <w:r>
        <w:rPr>
          <w:rFonts w:hint="eastAsia" w:ascii="宋体" w:hAnsi="宋体" w:cs="宋体"/>
          <w:b/>
          <w:color w:val="000000" w:themeColor="text1"/>
          <w:sz w:val="24"/>
          <w14:textFill>
            <w14:solidFill>
              <w14:schemeClr w14:val="tx1"/>
            </w14:solidFill>
          </w14:textFill>
        </w:rPr>
        <w:t>1.7 合同争议的解决</w:t>
      </w:r>
      <w:bookmarkEnd w:id="460"/>
      <w:bookmarkEnd w:id="461"/>
      <w:bookmarkEnd w:id="462"/>
      <w:bookmarkEnd w:id="463"/>
      <w:bookmarkEnd w:id="464"/>
    </w:p>
    <w:p w14:paraId="29B0341E">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种方式解决：</w:t>
      </w:r>
    </w:p>
    <w:p w14:paraId="4D8236C4">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 将争议提交</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仲裁委员会依申请仲裁时其现行有效的仲裁规则裁决；</w:t>
      </w:r>
    </w:p>
    <w:p w14:paraId="0653D224">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 向</w:t>
      </w:r>
      <w:r>
        <w:rPr>
          <w:rFonts w:hint="eastAsia" w:ascii="宋体" w:hAnsi="宋体" w:cs="宋体"/>
          <w:color w:val="000000" w:themeColor="text1"/>
          <w:sz w:val="24"/>
          <w:u w:val="single"/>
          <w14:textFill>
            <w14:solidFill>
              <w14:schemeClr w14:val="tx1"/>
            </w14:solidFill>
          </w14:textFill>
        </w:rPr>
        <w:t xml:space="preserve">   （被告住所地、合同履行地、合同签订地、原告住所地、标的物所在地等与争议有实际联系的地点中选出的人民法院名称）    </w:t>
      </w:r>
      <w:r>
        <w:rPr>
          <w:rFonts w:hint="eastAsia" w:ascii="宋体" w:hAnsi="宋体" w:cs="宋体"/>
          <w:color w:val="000000" w:themeColor="text1"/>
          <w:sz w:val="24"/>
          <w14:textFill>
            <w14:solidFill>
              <w14:schemeClr w14:val="tx1"/>
            </w14:solidFill>
          </w14:textFill>
        </w:rPr>
        <w:t>人民法院起诉。</w:t>
      </w:r>
    </w:p>
    <w:p w14:paraId="668E824E">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465" w:name="_Toc12273"/>
      <w:bookmarkStart w:id="466" w:name="_Toc15827"/>
      <w:bookmarkStart w:id="467" w:name="_Toc26227"/>
      <w:bookmarkStart w:id="468" w:name="_Toc23784"/>
      <w:bookmarkStart w:id="469" w:name="_Toc16417"/>
      <w:r>
        <w:rPr>
          <w:rFonts w:hint="eastAsia" w:ascii="宋体" w:hAnsi="宋体" w:cs="宋体"/>
          <w:b/>
          <w:color w:val="000000" w:themeColor="text1"/>
          <w:sz w:val="24"/>
          <w14:textFill>
            <w14:solidFill>
              <w14:schemeClr w14:val="tx1"/>
            </w14:solidFill>
          </w14:textFill>
        </w:rPr>
        <w:t>1.8 合同生效</w:t>
      </w:r>
      <w:bookmarkEnd w:id="465"/>
      <w:bookmarkEnd w:id="466"/>
      <w:bookmarkEnd w:id="467"/>
      <w:bookmarkEnd w:id="468"/>
      <w:bookmarkEnd w:id="469"/>
    </w:p>
    <w:p w14:paraId="4D9679A5">
      <w:pPr>
        <w:spacing w:line="560" w:lineRule="exact"/>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本合同自双方当事人盖章或者签字时生效。</w:t>
      </w:r>
    </w:p>
    <w:p w14:paraId="7DCFB3D8">
      <w:pPr>
        <w:autoSpaceDE w:val="0"/>
        <w:autoSpaceDN w:val="0"/>
        <w:adjustRightInd w:val="0"/>
        <w:spacing w:line="560" w:lineRule="exact"/>
        <w:rPr>
          <w:rFonts w:hint="eastAsia" w:ascii="宋体" w:hAnsi="宋体" w:cs="宋体"/>
          <w:color w:val="000000" w:themeColor="text1"/>
          <w:sz w:val="24"/>
          <w:lang w:val="zh-CN"/>
          <w14:textFill>
            <w14:solidFill>
              <w14:schemeClr w14:val="tx1"/>
            </w14:solidFill>
          </w14:textFill>
        </w:rPr>
      </w:pPr>
    </w:p>
    <w:p w14:paraId="75BEC6D6">
      <w:pPr>
        <w:autoSpaceDE w:val="0"/>
        <w:autoSpaceDN w:val="0"/>
        <w:adjustRightInd w:val="0"/>
        <w:spacing w:line="560" w:lineRule="exact"/>
        <w:rPr>
          <w:rFonts w:hint="eastAsia" w:ascii="宋体" w:hAnsi="宋体" w:cs="宋体"/>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甲方</w:t>
      </w:r>
      <w:r>
        <w:rPr>
          <w:rFonts w:hint="eastAsia" w:ascii="宋体" w:hAnsi="宋体" w:cs="宋体"/>
          <w:color w:val="000000" w:themeColor="text1"/>
          <w:sz w:val="24"/>
          <w:lang w:val="zh-CN"/>
          <w14:textFill>
            <w14:solidFill>
              <w14:schemeClr w14:val="tx1"/>
            </w14:solidFill>
          </w14:textFill>
        </w:rPr>
        <w:t xml:space="preserve">：                             </w:t>
      </w:r>
      <w:r>
        <w:rPr>
          <w:rFonts w:hint="eastAsia" w:ascii="宋体" w:hAnsi="宋体" w:cs="宋体"/>
          <w:b/>
          <w:color w:val="000000" w:themeColor="text1"/>
          <w:sz w:val="24"/>
          <w:lang w:val="zh-CN"/>
          <w14:textFill>
            <w14:solidFill>
              <w14:schemeClr w14:val="tx1"/>
            </w14:solidFill>
          </w14:textFill>
        </w:rPr>
        <w:t xml:space="preserve">      乙方</w:t>
      </w:r>
      <w:r>
        <w:rPr>
          <w:rFonts w:hint="eastAsia" w:ascii="宋体" w:hAnsi="宋体" w:cs="宋体"/>
          <w:color w:val="000000" w:themeColor="text1"/>
          <w:sz w:val="24"/>
          <w:lang w:val="zh-CN"/>
          <w14:textFill>
            <w14:solidFill>
              <w14:schemeClr w14:val="tx1"/>
            </w14:solidFill>
          </w14:textFill>
        </w:rPr>
        <w:t>：</w:t>
      </w:r>
    </w:p>
    <w:p w14:paraId="1FE1128C">
      <w:pPr>
        <w:autoSpaceDE w:val="0"/>
        <w:autoSpaceDN w:val="0"/>
        <w:adjustRightInd w:val="0"/>
        <w:spacing w:line="560" w:lineRule="exac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统一社会信用代码：                        统一社会信用代码或身份证号码：</w:t>
      </w:r>
    </w:p>
    <w:p w14:paraId="7D59666E">
      <w:pPr>
        <w:autoSpaceDE w:val="0"/>
        <w:autoSpaceDN w:val="0"/>
        <w:adjustRightInd w:val="0"/>
        <w:spacing w:line="560" w:lineRule="exact"/>
        <w:rPr>
          <w:rFonts w:hint="eastAsia" w:ascii="宋体" w:hAnsi="宋体" w:cs="宋体"/>
          <w:color w:val="000000" w:themeColor="text1"/>
          <w:sz w:val="24"/>
          <w:lang w:val="zh-CN"/>
          <w14:textFill>
            <w14:solidFill>
              <w14:schemeClr w14:val="tx1"/>
            </w14:solidFill>
          </w14:textFill>
        </w:rPr>
      </w:pPr>
    </w:p>
    <w:p w14:paraId="71C42C18">
      <w:pPr>
        <w:autoSpaceDE w:val="0"/>
        <w:autoSpaceDN w:val="0"/>
        <w:adjustRightInd w:val="0"/>
        <w:spacing w:line="560" w:lineRule="exac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住所：                                   住所：</w:t>
      </w:r>
    </w:p>
    <w:p w14:paraId="04C18ABC">
      <w:pPr>
        <w:autoSpaceDE w:val="0"/>
        <w:autoSpaceDN w:val="0"/>
        <w:adjustRightInd w:val="0"/>
        <w:spacing w:line="560" w:lineRule="exac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法定代表人或                             法定代表人</w:t>
      </w:r>
    </w:p>
    <w:p w14:paraId="2E547EAE">
      <w:pPr>
        <w:autoSpaceDE w:val="0"/>
        <w:autoSpaceDN w:val="0"/>
        <w:adjustRightInd w:val="0"/>
        <w:spacing w:line="560" w:lineRule="exac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授权代表（签字）：                        或授权代表（签字）: </w:t>
      </w:r>
    </w:p>
    <w:p w14:paraId="14DFE6C6">
      <w:pPr>
        <w:autoSpaceDE w:val="0"/>
        <w:autoSpaceDN w:val="0"/>
        <w:adjustRightInd w:val="0"/>
        <w:spacing w:line="560" w:lineRule="exac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联系人：                                 联系人：</w:t>
      </w:r>
    </w:p>
    <w:p w14:paraId="73AAB954">
      <w:pPr>
        <w:autoSpaceDE w:val="0"/>
        <w:autoSpaceDN w:val="0"/>
        <w:adjustRightInd w:val="0"/>
        <w:spacing w:line="560" w:lineRule="exac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约定送达地址：                           约定送达地址：</w:t>
      </w:r>
    </w:p>
    <w:p w14:paraId="5628A3E4">
      <w:pPr>
        <w:autoSpaceDE w:val="0"/>
        <w:autoSpaceDN w:val="0"/>
        <w:adjustRightInd w:val="0"/>
        <w:spacing w:line="560" w:lineRule="exac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邮政编码：                               邮政编码：</w:t>
      </w:r>
    </w:p>
    <w:p w14:paraId="283C7C69">
      <w:pPr>
        <w:autoSpaceDE w:val="0"/>
        <w:autoSpaceDN w:val="0"/>
        <w:adjustRightInd w:val="0"/>
        <w:spacing w:line="560" w:lineRule="exac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电话:                                    电话: </w:t>
      </w:r>
    </w:p>
    <w:p w14:paraId="233A278C">
      <w:pPr>
        <w:autoSpaceDE w:val="0"/>
        <w:autoSpaceDN w:val="0"/>
        <w:adjustRightInd w:val="0"/>
        <w:spacing w:line="560" w:lineRule="exac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传真:                                    传真:</w:t>
      </w:r>
    </w:p>
    <w:p w14:paraId="722A5C6A">
      <w:pPr>
        <w:autoSpaceDE w:val="0"/>
        <w:autoSpaceDN w:val="0"/>
        <w:adjustRightInd w:val="0"/>
        <w:spacing w:line="5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电子邮箱：                               电子邮箱：</w:t>
      </w:r>
    </w:p>
    <w:p w14:paraId="7C2CEE8F">
      <w:pPr>
        <w:autoSpaceDE w:val="0"/>
        <w:autoSpaceDN w:val="0"/>
        <w:adjustRightInd w:val="0"/>
        <w:spacing w:line="5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                               开户银行： </w:t>
      </w:r>
    </w:p>
    <w:p w14:paraId="46AB6E57">
      <w:pPr>
        <w:autoSpaceDE w:val="0"/>
        <w:autoSpaceDN w:val="0"/>
        <w:adjustRightInd w:val="0"/>
        <w:spacing w:line="5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开户名称：                               开户名称： </w:t>
      </w:r>
    </w:p>
    <w:p w14:paraId="1417E069">
      <w:pPr>
        <w:autoSpaceDE w:val="0"/>
        <w:autoSpaceDN w:val="0"/>
        <w:adjustRightInd w:val="0"/>
        <w:spacing w:line="5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开户账号：</w:t>
      </w:r>
      <w:r>
        <w:rPr>
          <w:rFonts w:hint="eastAsia" w:ascii="宋体" w:hAnsi="宋体" w:cs="宋体"/>
          <w:color w:val="000000" w:themeColor="text1"/>
          <w:sz w:val="24"/>
          <w:lang w:val="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开户账号：</w:t>
      </w:r>
    </w:p>
    <w:p w14:paraId="5225D8B6">
      <w:pPr>
        <w:widowControl/>
        <w:spacing w:line="560" w:lineRule="exact"/>
        <w:jc w:val="left"/>
        <w:rPr>
          <w:rFonts w:hint="eastAsia" w:ascii="宋体" w:hAnsi="宋体" w:cs="宋体"/>
          <w:b/>
          <w:color w:val="000000" w:themeColor="text1"/>
          <w14:textFill>
            <w14:solidFill>
              <w14:schemeClr w14:val="tx1"/>
            </w14:solidFill>
          </w14:textFill>
        </w:rPr>
      </w:pPr>
      <w:bookmarkStart w:id="470" w:name="_Toc331685783"/>
    </w:p>
    <w:p w14:paraId="53224D3E">
      <w:pPr>
        <w:widowControl/>
        <w:spacing w:line="560" w:lineRule="exact"/>
        <w:jc w:val="left"/>
        <w:rPr>
          <w:rFonts w:hint="eastAsia" w:ascii="宋体" w:hAnsi="宋体" w:cs="宋体"/>
          <w:b/>
          <w:color w:val="000000" w:themeColor="text1"/>
          <w14:textFill>
            <w14:solidFill>
              <w14:schemeClr w14:val="tx1"/>
            </w14:solidFill>
          </w14:textFill>
        </w:rPr>
      </w:pPr>
    </w:p>
    <w:p w14:paraId="3734253A">
      <w:pPr>
        <w:pStyle w:val="68"/>
        <w:spacing w:line="560" w:lineRule="exact"/>
        <w:ind w:firstLine="200"/>
        <w:jc w:val="center"/>
        <w:rPr>
          <w:rFonts w:hint="eastAsia" w:hAnsi="宋体" w:cs="宋体"/>
          <w:b/>
          <w:color w:val="000000" w:themeColor="text1"/>
          <w:szCs w:val="24"/>
          <w14:textFill>
            <w14:solidFill>
              <w14:schemeClr w14:val="tx1"/>
            </w14:solidFill>
          </w14:textFill>
        </w:rPr>
      </w:pPr>
      <w:r>
        <w:rPr>
          <w:rFonts w:hint="eastAsia" w:hAnsi="宋体" w:cs="宋体"/>
          <w:b/>
          <w:color w:val="000000" w:themeColor="text1"/>
          <w:szCs w:val="24"/>
          <w14:textFill>
            <w14:solidFill>
              <w14:schemeClr w14:val="tx1"/>
            </w14:solidFill>
          </w14:textFill>
        </w:rPr>
        <w:t>第二部分 合同一般条款</w:t>
      </w:r>
      <w:bookmarkEnd w:id="470"/>
    </w:p>
    <w:p w14:paraId="69C08A22">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471" w:name="_Ref467379214"/>
      <w:bookmarkStart w:id="472" w:name="_Ref467378404"/>
      <w:bookmarkStart w:id="473" w:name="_Ref467379225"/>
      <w:bookmarkStart w:id="474" w:name="_Ref467378463"/>
      <w:bookmarkStart w:id="475" w:name="_Ref467379094"/>
      <w:bookmarkStart w:id="476" w:name="_Ref467379195"/>
      <w:bookmarkStart w:id="477" w:name="_Ref467378499"/>
      <w:bookmarkStart w:id="478" w:name="_Toc31297"/>
      <w:bookmarkStart w:id="479" w:name="_Toc279701240"/>
      <w:bookmarkStart w:id="480" w:name="_Ref467379101"/>
      <w:bookmarkStart w:id="481" w:name="_Toc14021"/>
      <w:bookmarkStart w:id="482" w:name="_Toc5228"/>
      <w:bookmarkStart w:id="483" w:name="_Ref467379109"/>
      <w:bookmarkStart w:id="484" w:name="_Toc487900349"/>
      <w:bookmarkStart w:id="485" w:name="_Ref467379205"/>
      <w:bookmarkStart w:id="486" w:name="_Toc25079"/>
      <w:bookmarkStart w:id="487" w:name="_Toc19680"/>
      <w:bookmarkStart w:id="488" w:name="_Toc259093669"/>
      <w:r>
        <w:rPr>
          <w:rFonts w:hint="eastAsia" w:ascii="宋体" w:hAnsi="宋体" w:cs="宋体"/>
          <w:b/>
          <w:color w:val="000000" w:themeColor="text1"/>
          <w:sz w:val="24"/>
          <w14:textFill>
            <w14:solidFill>
              <w14:schemeClr w14:val="tx1"/>
            </w14:solidFill>
          </w14:textFill>
        </w:rPr>
        <w:t>2.1 定义</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68373460">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本合同中的下列词语应按以下内容进行解释：</w:t>
      </w:r>
    </w:p>
    <w:p w14:paraId="1401AD1D">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 “合同”系指采购人和中标</w:t>
      </w:r>
      <w:r>
        <w:rPr>
          <w:rFonts w:hint="eastAsia" w:ascii="宋体" w:hAnsi="宋体" w:cs="宋体"/>
          <w:color w:val="000000" w:themeColor="text1"/>
          <w:sz w:val="24"/>
          <w:lang w:eastAsia="zh-CN"/>
          <w14:textFill>
            <w14:solidFill>
              <w14:schemeClr w14:val="tx1"/>
            </w14:solidFill>
          </w14:textFill>
        </w:rPr>
        <w:t>投标人</w:t>
      </w:r>
      <w:r>
        <w:rPr>
          <w:rFonts w:hint="eastAsia" w:ascii="宋体" w:hAnsi="宋体" w:cs="宋体"/>
          <w:color w:val="000000" w:themeColor="text1"/>
          <w:sz w:val="24"/>
          <w14:textFill>
            <w14:solidFill>
              <w14:schemeClr w14:val="tx1"/>
            </w14:solidFill>
          </w14:textFill>
        </w:rPr>
        <w:t>签订的载明双方当事人所达成的协议，并包括所有的附件、附录和构成合同的其他文件。</w:t>
      </w:r>
    </w:p>
    <w:p w14:paraId="25168095">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 “合同价”系指根据合同约定，中标</w:t>
      </w:r>
      <w:r>
        <w:rPr>
          <w:rFonts w:hint="eastAsia" w:ascii="宋体" w:hAnsi="宋体" w:cs="宋体"/>
          <w:color w:val="000000" w:themeColor="text1"/>
          <w:sz w:val="24"/>
          <w:lang w:eastAsia="zh-CN"/>
          <w14:textFill>
            <w14:solidFill>
              <w14:schemeClr w14:val="tx1"/>
            </w14:solidFill>
          </w14:textFill>
        </w:rPr>
        <w:t>投标人</w:t>
      </w:r>
      <w:r>
        <w:rPr>
          <w:rFonts w:hint="eastAsia" w:ascii="宋体" w:hAnsi="宋体" w:cs="宋体"/>
          <w:color w:val="000000" w:themeColor="text1"/>
          <w:sz w:val="24"/>
          <w14:textFill>
            <w14:solidFill>
              <w14:schemeClr w14:val="tx1"/>
            </w14:solidFill>
          </w14:textFill>
        </w:rPr>
        <w:t>在完全履行合同义务后，采购人应支付给中标</w:t>
      </w:r>
      <w:r>
        <w:rPr>
          <w:rFonts w:hint="eastAsia" w:ascii="宋体" w:hAnsi="宋体" w:cs="宋体"/>
          <w:color w:val="000000" w:themeColor="text1"/>
          <w:sz w:val="24"/>
          <w:lang w:eastAsia="zh-CN"/>
          <w14:textFill>
            <w14:solidFill>
              <w14:schemeClr w14:val="tx1"/>
            </w14:solidFill>
          </w14:textFill>
        </w:rPr>
        <w:t>投标人</w:t>
      </w:r>
      <w:r>
        <w:rPr>
          <w:rFonts w:hint="eastAsia" w:ascii="宋体" w:hAnsi="宋体" w:cs="宋体"/>
          <w:color w:val="000000" w:themeColor="text1"/>
          <w:sz w:val="24"/>
          <w14:textFill>
            <w14:solidFill>
              <w14:schemeClr w14:val="tx1"/>
            </w14:solidFill>
          </w14:textFill>
        </w:rPr>
        <w:t>的价格。</w:t>
      </w:r>
    </w:p>
    <w:p w14:paraId="22623A82">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 “服务”系指中标</w:t>
      </w:r>
      <w:r>
        <w:rPr>
          <w:rFonts w:hint="eastAsia" w:ascii="宋体" w:hAnsi="宋体" w:cs="宋体"/>
          <w:color w:val="000000" w:themeColor="text1"/>
          <w:sz w:val="24"/>
          <w:lang w:eastAsia="zh-CN"/>
          <w14:textFill>
            <w14:solidFill>
              <w14:schemeClr w14:val="tx1"/>
            </w14:solidFill>
          </w14:textFill>
        </w:rPr>
        <w:t>投标人</w:t>
      </w:r>
      <w:r>
        <w:rPr>
          <w:rFonts w:hint="eastAsia" w:ascii="宋体" w:hAnsi="宋体" w:cs="宋体"/>
          <w:color w:val="000000" w:themeColor="text1"/>
          <w:sz w:val="24"/>
          <w14:textFill>
            <w14:solidFill>
              <w14:schemeClr w14:val="tx1"/>
            </w14:solidFill>
          </w14:textFill>
        </w:rPr>
        <w:t>根据合同约定应向采购人履行的除货物和工程以外的其他政府采购对象，包括采购人自身需要的服务和向社会公众提供的公共服务。</w:t>
      </w:r>
    </w:p>
    <w:p w14:paraId="145D4282">
      <w:pPr>
        <w:spacing w:line="560" w:lineRule="exact"/>
        <w:ind w:firstLine="480" w:firstLineChars="200"/>
        <w:rPr>
          <w:rFonts w:hint="eastAsia" w:ascii="宋体" w:hAnsi="宋体" w:cs="宋体"/>
          <w:color w:val="000000" w:themeColor="text1"/>
          <w:sz w:val="24"/>
          <w14:textFill>
            <w14:solidFill>
              <w14:schemeClr w14:val="tx1"/>
            </w14:solidFill>
          </w14:textFill>
        </w:rPr>
      </w:pPr>
      <w:bookmarkStart w:id="489" w:name="_Ref467378840"/>
      <w:r>
        <w:rPr>
          <w:rFonts w:hint="eastAsia" w:ascii="宋体" w:hAnsi="宋体" w:cs="宋体"/>
          <w:color w:val="000000" w:themeColor="text1"/>
          <w:sz w:val="24"/>
          <w14:textFill>
            <w14:solidFill>
              <w14:schemeClr w14:val="tx1"/>
            </w14:solidFill>
          </w14:textFill>
        </w:rPr>
        <w:t>2.1.4 “甲方”系指与中标</w:t>
      </w:r>
      <w:r>
        <w:rPr>
          <w:rFonts w:hint="eastAsia" w:ascii="宋体" w:hAnsi="宋体" w:cs="宋体"/>
          <w:color w:val="000000" w:themeColor="text1"/>
          <w:sz w:val="24"/>
          <w:lang w:eastAsia="zh-CN"/>
          <w14:textFill>
            <w14:solidFill>
              <w14:schemeClr w14:val="tx1"/>
            </w14:solidFill>
          </w14:textFill>
        </w:rPr>
        <w:t>投标人</w:t>
      </w:r>
      <w:r>
        <w:rPr>
          <w:rFonts w:hint="eastAsia" w:ascii="宋体" w:hAnsi="宋体" w:cs="宋体"/>
          <w:color w:val="000000" w:themeColor="text1"/>
          <w:sz w:val="24"/>
          <w14:textFill>
            <w14:solidFill>
              <w14:schemeClr w14:val="tx1"/>
            </w14:solidFill>
          </w14:textFill>
        </w:rPr>
        <w:t>签署合同的采购人</w:t>
      </w:r>
      <w:bookmarkEnd w:id="489"/>
      <w:r>
        <w:rPr>
          <w:rFonts w:hint="eastAsia" w:ascii="宋体" w:hAnsi="宋体" w:cs="宋体"/>
          <w:color w:val="000000" w:themeColor="text1"/>
          <w:sz w:val="24"/>
          <w14:textFill>
            <w14:solidFill>
              <w14:schemeClr w14:val="tx1"/>
            </w14:solidFill>
          </w14:textFill>
        </w:rPr>
        <w:t>；采购人委托采购代理机构代表其与乙方签订合同的，采购人的授权委托书作为合同附件。</w:t>
      </w:r>
    </w:p>
    <w:p w14:paraId="2CAC8D90">
      <w:pPr>
        <w:spacing w:line="560" w:lineRule="exact"/>
        <w:ind w:firstLine="480" w:firstLineChars="200"/>
        <w:rPr>
          <w:rFonts w:hint="eastAsia" w:ascii="宋体" w:hAnsi="宋体" w:cs="宋体"/>
          <w:color w:val="000000" w:themeColor="text1"/>
          <w:sz w:val="24"/>
          <w14:textFill>
            <w14:solidFill>
              <w14:schemeClr w14:val="tx1"/>
            </w14:solidFill>
          </w14:textFill>
        </w:rPr>
      </w:pPr>
      <w:bookmarkStart w:id="490" w:name="_Ref467379400"/>
      <w:r>
        <w:rPr>
          <w:rFonts w:hint="eastAsia" w:ascii="宋体" w:hAnsi="宋体" w:cs="宋体"/>
          <w:color w:val="000000" w:themeColor="text1"/>
          <w:sz w:val="24"/>
          <w14:textFill>
            <w14:solidFill>
              <w14:schemeClr w14:val="tx1"/>
            </w14:solidFill>
          </w14:textFill>
        </w:rPr>
        <w:t>2.1.5 “乙方”系指根据合同约定提供服务的中标</w:t>
      </w:r>
      <w:bookmarkEnd w:id="490"/>
      <w:r>
        <w:rPr>
          <w:rFonts w:hint="eastAsia" w:ascii="宋体" w:hAnsi="宋体" w:cs="宋体"/>
          <w:color w:val="000000" w:themeColor="text1"/>
          <w:sz w:val="24"/>
          <w:lang w:eastAsia="zh-CN"/>
          <w14:textFill>
            <w14:solidFill>
              <w14:schemeClr w14:val="tx1"/>
            </w14:solidFill>
          </w14:textFill>
        </w:rPr>
        <w:t>投标人</w:t>
      </w:r>
      <w:r>
        <w:rPr>
          <w:rFonts w:hint="eastAsia" w:ascii="宋体" w:hAnsi="宋体" w:cs="宋体"/>
          <w:color w:val="000000" w:themeColor="text1"/>
          <w:sz w:val="24"/>
          <w14:textFill>
            <w14:solidFill>
              <w14:schemeClr w14:val="tx1"/>
            </w14:solidFill>
          </w14:textFill>
        </w:rPr>
        <w:t>；两个以上的自然人、法人或者其他组织组成一个联合体，以一个</w:t>
      </w:r>
      <w:r>
        <w:rPr>
          <w:rFonts w:hint="eastAsia" w:ascii="宋体" w:hAnsi="宋体" w:cs="宋体"/>
          <w:color w:val="000000" w:themeColor="text1"/>
          <w:sz w:val="24"/>
          <w:lang w:eastAsia="zh-CN"/>
          <w14:textFill>
            <w14:solidFill>
              <w14:schemeClr w14:val="tx1"/>
            </w14:solidFill>
          </w14:textFill>
        </w:rPr>
        <w:t>投标人</w:t>
      </w:r>
      <w:r>
        <w:rPr>
          <w:rFonts w:hint="eastAsia" w:ascii="宋体" w:hAnsi="宋体" w:cs="宋体"/>
          <w:color w:val="000000" w:themeColor="text1"/>
          <w:sz w:val="24"/>
          <w14:textFill>
            <w14:solidFill>
              <w14:schemeClr w14:val="tx1"/>
            </w14:solidFill>
          </w14:textFill>
        </w:rPr>
        <w:t>的身份共同参加政府采购的，联合体各方均应为乙方或者与乙方相同地位的合同当事人，并就合同约定的事项对甲方承担连带责任。</w:t>
      </w:r>
    </w:p>
    <w:p w14:paraId="34A2D831">
      <w:pPr>
        <w:spacing w:line="560" w:lineRule="exact"/>
        <w:ind w:firstLine="480" w:firstLineChars="200"/>
        <w:rPr>
          <w:rFonts w:hint="eastAsia" w:ascii="宋体" w:hAnsi="宋体" w:cs="宋体"/>
          <w:color w:val="000000" w:themeColor="text1"/>
          <w:sz w:val="24"/>
          <w14:textFill>
            <w14:solidFill>
              <w14:schemeClr w14:val="tx1"/>
            </w14:solidFill>
          </w14:textFill>
        </w:rPr>
      </w:pPr>
      <w:bookmarkStart w:id="491" w:name="_Ref467379436"/>
      <w:r>
        <w:rPr>
          <w:rFonts w:hint="eastAsia" w:ascii="宋体" w:hAnsi="宋体" w:cs="宋体"/>
          <w:color w:val="000000" w:themeColor="text1"/>
          <w:sz w:val="24"/>
          <w14:textFill>
            <w14:solidFill>
              <w14:schemeClr w14:val="tx1"/>
            </w14:solidFill>
          </w14:textFill>
        </w:rPr>
        <w:t>2.1.6 “现场”系指合同约定提供服务的地点。</w:t>
      </w:r>
      <w:bookmarkEnd w:id="491"/>
    </w:p>
    <w:p w14:paraId="3CA3DC6F">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492" w:name="_Toc259093670"/>
      <w:bookmarkStart w:id="493" w:name="_Toc3769"/>
      <w:bookmarkStart w:id="494" w:name="_Toc31402"/>
      <w:bookmarkStart w:id="495" w:name="_Toc23289"/>
      <w:bookmarkStart w:id="496" w:name="_Toc279701241"/>
      <w:bookmarkStart w:id="497" w:name="_Toc19539"/>
      <w:bookmarkStart w:id="498" w:name="_Toc16752"/>
      <w:bookmarkStart w:id="499" w:name="_Toc487900350"/>
      <w:r>
        <w:rPr>
          <w:rFonts w:hint="eastAsia" w:ascii="宋体" w:hAnsi="宋体" w:cs="宋体"/>
          <w:b/>
          <w:color w:val="000000" w:themeColor="text1"/>
          <w:sz w:val="24"/>
          <w14:textFill>
            <w14:solidFill>
              <w14:schemeClr w14:val="tx1"/>
            </w14:solidFill>
          </w14:textFill>
        </w:rPr>
        <w:t>2.2 技术规范</w:t>
      </w:r>
      <w:bookmarkEnd w:id="492"/>
      <w:bookmarkEnd w:id="493"/>
      <w:bookmarkEnd w:id="494"/>
      <w:bookmarkEnd w:id="495"/>
      <w:bookmarkEnd w:id="496"/>
      <w:bookmarkEnd w:id="497"/>
      <w:bookmarkEnd w:id="498"/>
      <w:bookmarkEnd w:id="499"/>
    </w:p>
    <w:p w14:paraId="52CB756B">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50F760D">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500" w:name="_Toc4133"/>
      <w:bookmarkStart w:id="501" w:name="_Toc12412"/>
      <w:bookmarkStart w:id="502" w:name="_Toc13673"/>
      <w:bookmarkStart w:id="503" w:name="_Toc27945"/>
      <w:bookmarkStart w:id="504" w:name="_Toc487900351"/>
      <w:bookmarkStart w:id="505" w:name="_Toc9161"/>
      <w:bookmarkStart w:id="506" w:name="_Toc259093671"/>
      <w:bookmarkStart w:id="507" w:name="_Toc279701242"/>
      <w:r>
        <w:rPr>
          <w:rFonts w:hint="eastAsia" w:ascii="宋体" w:hAnsi="宋体" w:cs="宋体"/>
          <w:b/>
          <w:color w:val="000000" w:themeColor="text1"/>
          <w:sz w:val="24"/>
          <w14:textFill>
            <w14:solidFill>
              <w14:schemeClr w14:val="tx1"/>
            </w14:solidFill>
          </w14:textFill>
        </w:rPr>
        <w:t>2.3 知识产权</w:t>
      </w:r>
      <w:bookmarkEnd w:id="500"/>
      <w:bookmarkEnd w:id="501"/>
      <w:bookmarkEnd w:id="502"/>
      <w:bookmarkEnd w:id="503"/>
      <w:bookmarkEnd w:id="504"/>
      <w:bookmarkEnd w:id="505"/>
      <w:bookmarkEnd w:id="506"/>
      <w:bookmarkEnd w:id="507"/>
    </w:p>
    <w:p w14:paraId="18854997">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D943C71">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 合同涉及技术成果的归属和收益的分成办法的，详见</w:t>
      </w:r>
      <w:r>
        <w:rPr>
          <w:rFonts w:hint="eastAsia" w:ascii="宋体" w:hAnsi="宋体" w:cs="宋体"/>
          <w:b/>
          <w:i/>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28C6113B">
      <w:pPr>
        <w:spacing w:line="560" w:lineRule="exact"/>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2.4 履约检查和问题反馈</w:t>
      </w:r>
    </w:p>
    <w:p w14:paraId="2D65F6C1">
      <w:pPr>
        <w:spacing w:line="560" w:lineRule="exact"/>
        <w:ind w:firstLine="480" w:firstLineChars="200"/>
        <w:rPr>
          <w:rFonts w:hint="eastAsia" w:ascii="宋体" w:hAnsi="宋体" w:cs="宋体"/>
          <w:color w:val="000000" w:themeColor="text1"/>
          <w:sz w:val="24"/>
          <w14:textFill>
            <w14:solidFill>
              <w14:schemeClr w14:val="tx1"/>
            </w14:solidFill>
          </w14:textFill>
        </w:rPr>
      </w:pPr>
      <w:bookmarkStart w:id="508" w:name="_Ref467379657"/>
      <w:r>
        <w:rPr>
          <w:rFonts w:hint="eastAsia" w:ascii="宋体" w:hAnsi="宋体" w:cs="宋体"/>
          <w:color w:val="000000" w:themeColor="text1"/>
          <w:sz w:val="24"/>
          <w14:textFill>
            <w14:solidFill>
              <w14:schemeClr w14:val="tx1"/>
            </w14:solidFill>
          </w14:textFill>
        </w:rPr>
        <w:t>2.4.1</w:t>
      </w:r>
      <w:bookmarkEnd w:id="508"/>
      <w:bookmarkStart w:id="509" w:name="_Toc186431854"/>
      <w:bookmarkStart w:id="510" w:name="_Toc259093676"/>
      <w:bookmarkStart w:id="511" w:name="_Toc279701247"/>
      <w:bookmarkStart w:id="512" w:name="_Ref467379793"/>
      <w:bookmarkStart w:id="513" w:name="_Toc487900357"/>
      <w:bookmarkStart w:id="514" w:name="_Ref467379807"/>
      <w:r>
        <w:rPr>
          <w:rFonts w:hint="eastAsia" w:ascii="宋体" w:hAnsi="宋体" w:cs="宋体"/>
          <w:color w:val="000000" w:themeColor="text1"/>
          <w:sz w:val="24"/>
          <w14:textFill>
            <w14:solidFill>
              <w14:schemeClr w14:val="tx1"/>
            </w14:solidFill>
          </w14:textFill>
        </w:rPr>
        <w:t>甲方有权在其认为必要时，对乙方是否能够按照合同约定提供服务进行履约检查，以确保乙方所提供的服务能够依约满足甲方之项目需求，但不得因履约检查妨碍乙方的正常工作，乙方应予积极配合；</w:t>
      </w:r>
    </w:p>
    <w:p w14:paraId="659ECF85">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2.4.2 合同履行期间，甲方有权将履行过程中出现的问题反馈给乙方，双方当事人应以书面形式约定需要完善和改进的内容</w:t>
      </w:r>
      <w:bookmarkEnd w:id="509"/>
      <w:bookmarkStart w:id="515" w:name="_Toc186431855"/>
      <w:r>
        <w:rPr>
          <w:rFonts w:hint="eastAsia" w:ascii="宋体" w:hAnsi="宋体" w:cs="宋体"/>
          <w:color w:val="000000" w:themeColor="text1"/>
          <w:sz w:val="24"/>
          <w14:textFill>
            <w14:solidFill>
              <w14:schemeClr w14:val="tx1"/>
            </w14:solidFill>
          </w14:textFill>
        </w:rPr>
        <w:t>。</w:t>
      </w:r>
    </w:p>
    <w:bookmarkEnd w:id="515"/>
    <w:p w14:paraId="705C75E2">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516" w:name="_Toc32670"/>
      <w:bookmarkStart w:id="517" w:name="_Toc26555"/>
      <w:bookmarkStart w:id="518" w:name="_Toc15447"/>
      <w:bookmarkStart w:id="519" w:name="_Toc31233"/>
      <w:bookmarkStart w:id="520" w:name="_Toc22011"/>
      <w:r>
        <w:rPr>
          <w:rFonts w:hint="eastAsia" w:ascii="宋体" w:hAnsi="宋体" w:cs="宋体"/>
          <w:b/>
          <w:color w:val="000000" w:themeColor="text1"/>
          <w:sz w:val="24"/>
          <w14:textFill>
            <w14:solidFill>
              <w14:schemeClr w14:val="tx1"/>
            </w14:solidFill>
          </w14:textFill>
        </w:rPr>
        <w:t>2.5 结算方式和付款条件</w:t>
      </w:r>
      <w:bookmarkEnd w:id="510"/>
      <w:bookmarkEnd w:id="511"/>
      <w:bookmarkEnd w:id="512"/>
      <w:bookmarkEnd w:id="513"/>
      <w:bookmarkEnd w:id="514"/>
      <w:bookmarkEnd w:id="516"/>
      <w:bookmarkEnd w:id="517"/>
      <w:bookmarkEnd w:id="518"/>
      <w:bookmarkEnd w:id="519"/>
      <w:bookmarkEnd w:id="520"/>
    </w:p>
    <w:p w14:paraId="2FAA6284">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详见</w:t>
      </w:r>
      <w:r>
        <w:rPr>
          <w:rFonts w:hint="eastAsia" w:ascii="宋体" w:hAnsi="宋体" w:cs="宋体"/>
          <w:b/>
          <w:i/>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1BEFE5D0">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521" w:name="_Toc487900358"/>
      <w:bookmarkStart w:id="522" w:name="_Toc259093677"/>
      <w:bookmarkStart w:id="523" w:name="_Ref467379923"/>
      <w:bookmarkStart w:id="524" w:name="_Ref467379863"/>
      <w:bookmarkStart w:id="525" w:name="_Ref467379852"/>
      <w:bookmarkStart w:id="526" w:name="_Toc279701248"/>
      <w:bookmarkStart w:id="527" w:name="_Toc30507"/>
      <w:bookmarkStart w:id="528" w:name="_Toc18990"/>
      <w:bookmarkStart w:id="529" w:name="_Toc16163"/>
      <w:bookmarkStart w:id="530" w:name="_Toc13154"/>
      <w:bookmarkStart w:id="531" w:name="_Toc13467"/>
      <w:r>
        <w:rPr>
          <w:rFonts w:hint="eastAsia" w:ascii="宋体" w:hAnsi="宋体" w:cs="宋体"/>
          <w:b/>
          <w:color w:val="000000" w:themeColor="text1"/>
          <w:sz w:val="24"/>
          <w14:textFill>
            <w14:solidFill>
              <w14:schemeClr w14:val="tx1"/>
            </w14:solidFill>
          </w14:textFill>
        </w:rPr>
        <w:t>2.6 技术资料</w:t>
      </w:r>
      <w:bookmarkEnd w:id="521"/>
      <w:bookmarkEnd w:id="522"/>
      <w:bookmarkEnd w:id="523"/>
      <w:bookmarkEnd w:id="524"/>
      <w:bookmarkEnd w:id="525"/>
      <w:bookmarkEnd w:id="526"/>
      <w:r>
        <w:rPr>
          <w:rFonts w:hint="eastAsia" w:ascii="宋体" w:hAnsi="宋体" w:cs="宋体"/>
          <w:b/>
          <w:color w:val="000000" w:themeColor="text1"/>
          <w:sz w:val="24"/>
          <w14:textFill>
            <w14:solidFill>
              <w14:schemeClr w14:val="tx1"/>
            </w14:solidFill>
          </w14:textFill>
        </w:rPr>
        <w:t>和保密义务</w:t>
      </w:r>
      <w:bookmarkEnd w:id="527"/>
      <w:bookmarkEnd w:id="528"/>
      <w:bookmarkEnd w:id="529"/>
      <w:bookmarkEnd w:id="530"/>
      <w:bookmarkEnd w:id="531"/>
    </w:p>
    <w:p w14:paraId="61C86939">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2.6.1 乙方有权依据合同约定和项目需要，向甲方了解有关情况，调阅有关资料等，甲方应予积极配合；</w:t>
      </w:r>
    </w:p>
    <w:p w14:paraId="574A8E07">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2.6.2 乙方有义务妥善保管和保护由甲方提供的前款信息和资料等；</w:t>
      </w:r>
    </w:p>
    <w:p w14:paraId="531E2CCF">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3FA902E">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532" w:name="_Toc19069"/>
      <w:bookmarkStart w:id="533" w:name="_Toc279701252"/>
      <w:bookmarkStart w:id="534" w:name="_Toc259093681"/>
      <w:bookmarkStart w:id="535" w:name="_Toc487900362"/>
      <w:r>
        <w:rPr>
          <w:rFonts w:hint="eastAsia" w:ascii="宋体" w:hAnsi="宋体" w:cs="宋体"/>
          <w:b/>
          <w:color w:val="000000" w:themeColor="text1"/>
          <w:sz w:val="24"/>
          <w14:textFill>
            <w14:solidFill>
              <w14:schemeClr w14:val="tx1"/>
            </w14:solidFill>
          </w14:textFill>
        </w:rPr>
        <w:t>2.7 质量保证</w:t>
      </w:r>
      <w:bookmarkEnd w:id="532"/>
    </w:p>
    <w:p w14:paraId="310AF6FC">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 乙方应建立和完善履行合同的内部质量保证体系，并提供相关内部规章制度给甲方，以便甲方进行监督检查；</w:t>
      </w:r>
    </w:p>
    <w:p w14:paraId="499D8BB6">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 乙方应保证履行合同的人员数量和素质、软件和硬件设备的配置、场地、环境和设施等满足全面履行合同的要求，并应接受甲方的监督检查。</w:t>
      </w:r>
    </w:p>
    <w:p w14:paraId="6FC0593A">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536" w:name="_Toc22267"/>
      <w:r>
        <w:rPr>
          <w:rFonts w:hint="eastAsia" w:ascii="宋体" w:hAnsi="宋体" w:cs="宋体"/>
          <w:b/>
          <w:color w:val="000000" w:themeColor="text1"/>
          <w:sz w:val="24"/>
          <w14:textFill>
            <w14:solidFill>
              <w14:schemeClr w14:val="tx1"/>
            </w14:solidFill>
          </w14:textFill>
        </w:rPr>
        <w:t>2.8 延迟</w:t>
      </w:r>
      <w:bookmarkEnd w:id="533"/>
      <w:bookmarkEnd w:id="534"/>
      <w:bookmarkEnd w:id="535"/>
      <w:r>
        <w:rPr>
          <w:rFonts w:hint="eastAsia" w:ascii="宋体" w:hAnsi="宋体" w:cs="宋体"/>
          <w:b/>
          <w:color w:val="000000" w:themeColor="text1"/>
          <w:sz w:val="24"/>
          <w14:textFill>
            <w14:solidFill>
              <w14:schemeClr w14:val="tx1"/>
            </w14:solidFill>
          </w14:textFill>
        </w:rPr>
        <w:t>履行</w:t>
      </w:r>
      <w:bookmarkEnd w:id="536"/>
    </w:p>
    <w:p w14:paraId="6A6E0145">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B10D1EE">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537" w:name="_Toc10611"/>
      <w:bookmarkStart w:id="538" w:name="_Toc279701254"/>
      <w:bookmarkStart w:id="539" w:name="_Toc487900364"/>
      <w:bookmarkStart w:id="540" w:name="_Ref467378121"/>
      <w:bookmarkStart w:id="541" w:name="_Toc259093683"/>
      <w:r>
        <w:rPr>
          <w:rFonts w:hint="eastAsia" w:ascii="宋体" w:hAnsi="宋体" w:cs="宋体"/>
          <w:b/>
          <w:color w:val="000000" w:themeColor="text1"/>
          <w:sz w:val="24"/>
          <w14:textFill>
            <w14:solidFill>
              <w14:schemeClr w14:val="tx1"/>
            </w14:solidFill>
          </w14:textFill>
        </w:rPr>
        <w:t>2.9 合同变更</w:t>
      </w:r>
      <w:bookmarkEnd w:id="537"/>
    </w:p>
    <w:p w14:paraId="4943C85C">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2.9.1 双方当事人协商一致，可以签订书面补充合同的形式变更合同，但不得违背采购文件确定的事项，且如果系追加与合同标的相同的服务的，那么所有补充合同的采购金额不得超过原合同价的10%；</w:t>
      </w:r>
    </w:p>
    <w:p w14:paraId="32E2A641">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2.9.2 合同继续履行将损害国家利益和社会公共利益的，双方当事人应当以书面形式变更合同。有过错的一方应当承担赔偿责任，双方当事人都有过错的，各自承担相应的责任。</w:t>
      </w:r>
      <w:bookmarkStart w:id="542" w:name="_Toc279701259"/>
      <w:bookmarkStart w:id="543" w:name="_Toc487900369"/>
      <w:bookmarkStart w:id="544" w:name="_Toc259093688"/>
    </w:p>
    <w:p w14:paraId="7E2C0DF6">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545" w:name="_Toc21830"/>
      <w:bookmarkStart w:id="546" w:name="_Toc26689"/>
      <w:bookmarkStart w:id="547" w:name="_Toc42"/>
      <w:bookmarkStart w:id="548" w:name="_Toc10663"/>
      <w:bookmarkStart w:id="549" w:name="_Toc23368"/>
      <w:r>
        <w:rPr>
          <w:rFonts w:hint="eastAsia" w:ascii="宋体" w:hAnsi="宋体" w:cs="宋体"/>
          <w:b/>
          <w:color w:val="000000" w:themeColor="text1"/>
          <w:sz w:val="24"/>
          <w14:textFill>
            <w14:solidFill>
              <w14:schemeClr w14:val="tx1"/>
            </w14:solidFill>
          </w14:textFill>
        </w:rPr>
        <w:t>2.10 合同转让</w:t>
      </w:r>
      <w:bookmarkEnd w:id="542"/>
      <w:bookmarkEnd w:id="543"/>
      <w:bookmarkEnd w:id="544"/>
      <w:r>
        <w:rPr>
          <w:rFonts w:hint="eastAsia" w:ascii="宋体" w:hAnsi="宋体" w:cs="宋体"/>
          <w:b/>
          <w:color w:val="000000" w:themeColor="text1"/>
          <w:sz w:val="24"/>
          <w14:textFill>
            <w14:solidFill>
              <w14:schemeClr w14:val="tx1"/>
            </w14:solidFill>
          </w14:textFill>
        </w:rPr>
        <w:t>和分包</w:t>
      </w:r>
      <w:bookmarkEnd w:id="545"/>
      <w:bookmarkEnd w:id="546"/>
      <w:bookmarkEnd w:id="547"/>
      <w:bookmarkEnd w:id="548"/>
      <w:bookmarkEnd w:id="549"/>
    </w:p>
    <w:p w14:paraId="40CA4352">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cs="宋体"/>
          <w:color w:val="000000" w:themeColor="text1"/>
          <w:sz w:val="24"/>
          <w:lang w:eastAsia="zh-CN"/>
          <w14:textFill>
            <w14:solidFill>
              <w14:schemeClr w14:val="tx1"/>
            </w14:solidFill>
          </w14:textFill>
        </w:rPr>
        <w:t>投标人</w:t>
      </w:r>
      <w:r>
        <w:rPr>
          <w:rFonts w:hint="eastAsia" w:ascii="宋体" w:hAnsi="宋体" w:cs="宋体"/>
          <w:color w:val="000000" w:themeColor="text1"/>
          <w:sz w:val="24"/>
          <w14:textFill>
            <w14:solidFill>
              <w14:schemeClr w14:val="tx1"/>
            </w14:solidFill>
          </w14:textFill>
        </w:rPr>
        <w:t>就分包项目向甲方承担连带责任。</w:t>
      </w:r>
    </w:p>
    <w:p w14:paraId="026851C1">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550" w:name="_Toc26633"/>
      <w:bookmarkStart w:id="551" w:name="_Toc14371"/>
      <w:bookmarkStart w:id="552" w:name="_Toc4720"/>
      <w:bookmarkStart w:id="553" w:name="_Toc25571"/>
      <w:bookmarkStart w:id="554" w:name="_Toc32494"/>
      <w:r>
        <w:rPr>
          <w:rFonts w:hint="eastAsia" w:ascii="宋体" w:hAnsi="宋体" w:cs="宋体"/>
          <w:b/>
          <w:color w:val="000000" w:themeColor="text1"/>
          <w:sz w:val="24"/>
          <w14:textFill>
            <w14:solidFill>
              <w14:schemeClr w14:val="tx1"/>
            </w14:solidFill>
          </w14:textFill>
        </w:rPr>
        <w:t>2.11 不可抗力</w:t>
      </w:r>
      <w:bookmarkEnd w:id="550"/>
      <w:bookmarkEnd w:id="551"/>
      <w:bookmarkEnd w:id="552"/>
      <w:bookmarkEnd w:id="553"/>
      <w:bookmarkEnd w:id="554"/>
    </w:p>
    <w:p w14:paraId="0924C17B">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2.11.1如果任何一方遭遇法律规定的不可抗力，致使合同履行受阻时，履行合同的期限应予延长，延长的期限应相当于不可抗力所影响的时间；</w:t>
      </w:r>
    </w:p>
    <w:p w14:paraId="10757224">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2.11.2 因不可抗力致使不能实现合同目的的，当事人可以解除合同；</w:t>
      </w:r>
    </w:p>
    <w:p w14:paraId="0B791805">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2.11.3 因不可抗力致使合同有变更必要的，双方当事人应在</w:t>
      </w:r>
      <w:r>
        <w:rPr>
          <w:rFonts w:hint="eastAsia" w:ascii="宋体" w:hAnsi="宋体" w:cs="宋体"/>
          <w:b/>
          <w:i/>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约定时间内以书面形式变更合同；</w:t>
      </w:r>
    </w:p>
    <w:p w14:paraId="1A540989">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2.11.4受不可抗力影响的一方在不可抗力发生后，应在</w:t>
      </w:r>
      <w:r>
        <w:rPr>
          <w:rFonts w:hint="eastAsia" w:ascii="宋体" w:hAnsi="宋体" w:cs="宋体"/>
          <w:b/>
          <w:i/>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约定时间内以书面形式通知对方当事人，并在</w:t>
      </w:r>
      <w:r>
        <w:rPr>
          <w:rFonts w:hint="eastAsia" w:ascii="宋体" w:hAnsi="宋体" w:cs="宋体"/>
          <w:b/>
          <w:i/>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约定时间内，将有关部门出具的证明文件送达对方当事人。</w:t>
      </w:r>
    </w:p>
    <w:p w14:paraId="769B5805">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555" w:name="_Toc259093684"/>
      <w:bookmarkStart w:id="556" w:name="_Toc23854"/>
      <w:bookmarkStart w:id="557" w:name="_Toc24465"/>
      <w:bookmarkStart w:id="558" w:name="_Toc14115"/>
      <w:bookmarkStart w:id="559" w:name="_Toc3638"/>
      <w:bookmarkStart w:id="560" w:name="_Toc25783"/>
      <w:bookmarkStart w:id="561" w:name="_Toc279701255"/>
      <w:bookmarkStart w:id="562" w:name="_Toc487900365"/>
      <w:r>
        <w:rPr>
          <w:rFonts w:hint="eastAsia" w:ascii="宋体" w:hAnsi="宋体" w:cs="宋体"/>
          <w:b/>
          <w:color w:val="000000" w:themeColor="text1"/>
          <w:sz w:val="24"/>
          <w14:textFill>
            <w14:solidFill>
              <w14:schemeClr w14:val="tx1"/>
            </w14:solidFill>
          </w14:textFill>
        </w:rPr>
        <w:t>2.12 税费</w:t>
      </w:r>
      <w:bookmarkEnd w:id="555"/>
      <w:bookmarkEnd w:id="556"/>
      <w:bookmarkEnd w:id="557"/>
      <w:bookmarkEnd w:id="558"/>
      <w:bookmarkEnd w:id="559"/>
      <w:bookmarkEnd w:id="560"/>
      <w:bookmarkEnd w:id="561"/>
      <w:bookmarkEnd w:id="562"/>
    </w:p>
    <w:p w14:paraId="050AEC81">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与合同有关的一切税费，均按照中华人民共和国法律的相关规定缴纳。</w:t>
      </w:r>
    </w:p>
    <w:p w14:paraId="650604EC">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563" w:name="_Toc259093687"/>
      <w:bookmarkStart w:id="564" w:name="_Toc26883"/>
      <w:bookmarkStart w:id="565" w:name="_Toc14814"/>
      <w:bookmarkStart w:id="566" w:name="_Toc30105"/>
      <w:bookmarkStart w:id="567" w:name="_Toc487900368"/>
      <w:bookmarkStart w:id="568" w:name="_Toc7315"/>
      <w:bookmarkStart w:id="569" w:name="_Toc279701258"/>
      <w:bookmarkStart w:id="570" w:name="_Toc25525"/>
      <w:r>
        <w:rPr>
          <w:rFonts w:hint="eastAsia" w:ascii="宋体" w:hAnsi="宋体" w:cs="宋体"/>
          <w:b/>
          <w:color w:val="000000" w:themeColor="text1"/>
          <w:sz w:val="24"/>
          <w14:textFill>
            <w14:solidFill>
              <w14:schemeClr w14:val="tx1"/>
            </w14:solidFill>
          </w14:textFill>
        </w:rPr>
        <w:t>2.13 乙方破产</w:t>
      </w:r>
      <w:bookmarkEnd w:id="563"/>
      <w:bookmarkEnd w:id="564"/>
      <w:bookmarkEnd w:id="565"/>
      <w:bookmarkEnd w:id="566"/>
      <w:bookmarkEnd w:id="567"/>
      <w:bookmarkEnd w:id="568"/>
      <w:bookmarkEnd w:id="569"/>
      <w:bookmarkEnd w:id="570"/>
    </w:p>
    <w:p w14:paraId="19AB5A79">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84E8DD7">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571" w:name="_Toc23323"/>
      <w:bookmarkStart w:id="572" w:name="_Toc1123"/>
      <w:bookmarkStart w:id="573" w:name="_Toc2016"/>
      <w:r>
        <w:rPr>
          <w:rFonts w:hint="eastAsia" w:ascii="宋体" w:hAnsi="宋体" w:cs="宋体"/>
          <w:b/>
          <w:color w:val="000000" w:themeColor="text1"/>
          <w:sz w:val="24"/>
          <w14:textFill>
            <w14:solidFill>
              <w14:schemeClr w14:val="tx1"/>
            </w14:solidFill>
          </w14:textFill>
        </w:rPr>
        <w:t>2.14 合同中止、终止</w:t>
      </w:r>
      <w:bookmarkEnd w:id="571"/>
      <w:bookmarkEnd w:id="572"/>
      <w:bookmarkEnd w:id="573"/>
    </w:p>
    <w:p w14:paraId="10FE42A7">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2.14.1 双方当事人不得擅自中止或者终止合同；</w:t>
      </w:r>
    </w:p>
    <w:p w14:paraId="2A8D3702">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691F9AFC">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574" w:name="_Toc17363"/>
      <w:bookmarkStart w:id="575" w:name="_Toc14525"/>
      <w:bookmarkStart w:id="576" w:name="_Toc1969"/>
      <w:r>
        <w:rPr>
          <w:rFonts w:hint="eastAsia" w:ascii="宋体" w:hAnsi="宋体" w:cs="宋体"/>
          <w:b/>
          <w:color w:val="000000" w:themeColor="text1"/>
          <w:sz w:val="24"/>
          <w14:textFill>
            <w14:solidFill>
              <w14:schemeClr w14:val="tx1"/>
            </w14:solidFill>
          </w14:textFill>
        </w:rPr>
        <w:t>2.15 检验和验收</w:t>
      </w:r>
      <w:bookmarkEnd w:id="574"/>
      <w:bookmarkEnd w:id="575"/>
      <w:bookmarkEnd w:id="576"/>
    </w:p>
    <w:p w14:paraId="341F48B0">
      <w:pPr>
        <w:tabs>
          <w:tab w:val="left" w:pos="360"/>
          <w:tab w:val="left" w:pos="540"/>
          <w:tab w:val="left" w:pos="1080"/>
        </w:tabs>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2.15.1 乙方按照</w:t>
      </w:r>
      <w:r>
        <w:rPr>
          <w:rFonts w:hint="eastAsia" w:ascii="宋体" w:hAnsi="宋体" w:cs="宋体"/>
          <w:b/>
          <w:i/>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的约定，定期提交服务报告，甲方按照</w:t>
      </w:r>
      <w:r>
        <w:rPr>
          <w:rFonts w:hint="eastAsia" w:ascii="宋体" w:hAnsi="宋体" w:cs="宋体"/>
          <w:b/>
          <w:i/>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的约定进行定期验收；</w:t>
      </w:r>
    </w:p>
    <w:p w14:paraId="67C1A2E1">
      <w:pPr>
        <w:tabs>
          <w:tab w:val="left" w:pos="360"/>
          <w:tab w:val="left" w:pos="540"/>
          <w:tab w:val="left" w:pos="1080"/>
        </w:tabs>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6971B67">
      <w:pPr>
        <w:tabs>
          <w:tab w:val="left" w:pos="360"/>
          <w:tab w:val="left" w:pos="540"/>
          <w:tab w:val="left" w:pos="1080"/>
        </w:tabs>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2.15.3 检验和验收标准、程序等具体内容以及前述验收书的效力详见</w:t>
      </w:r>
      <w:r>
        <w:rPr>
          <w:rFonts w:hint="eastAsia" w:ascii="宋体" w:hAnsi="宋体" w:cs="宋体"/>
          <w:b/>
          <w:i/>
          <w:color w:val="000000" w:themeColor="text1"/>
          <w:sz w:val="24"/>
          <w:u w:val="single"/>
          <w14:textFill>
            <w14:solidFill>
              <w14:schemeClr w14:val="tx1"/>
            </w14:solidFill>
          </w14:textFill>
        </w:rPr>
        <w:t>合同专用条款</w:t>
      </w:r>
      <w:r>
        <w:rPr>
          <w:rFonts w:hint="eastAsia" w:ascii="宋体" w:hAnsi="宋体" w:cs="宋体"/>
          <w:i/>
          <w:color w:val="000000" w:themeColor="text1"/>
          <w:sz w:val="24"/>
          <w14:textFill>
            <w14:solidFill>
              <w14:schemeClr w14:val="tx1"/>
            </w14:solidFill>
          </w14:textFill>
        </w:rPr>
        <w:t>。</w:t>
      </w:r>
    </w:p>
    <w:bookmarkEnd w:id="538"/>
    <w:bookmarkEnd w:id="539"/>
    <w:bookmarkEnd w:id="540"/>
    <w:bookmarkEnd w:id="541"/>
    <w:p w14:paraId="04D3479A">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577" w:name="_Toc487900371"/>
      <w:bookmarkStart w:id="578" w:name="_Toc259093690"/>
      <w:bookmarkStart w:id="579" w:name="_Toc279701261"/>
      <w:bookmarkStart w:id="580" w:name="_Toc2308"/>
      <w:bookmarkStart w:id="581" w:name="_Toc12666"/>
      <w:bookmarkStart w:id="582" w:name="_Toc25198"/>
      <w:bookmarkStart w:id="583" w:name="_Toc9808"/>
      <w:bookmarkStart w:id="584" w:name="_Toc31892"/>
      <w:r>
        <w:rPr>
          <w:rFonts w:hint="eastAsia" w:ascii="宋体" w:hAnsi="宋体" w:cs="宋体"/>
          <w:b/>
          <w:color w:val="000000" w:themeColor="text1"/>
          <w:sz w:val="24"/>
          <w14:textFill>
            <w14:solidFill>
              <w14:schemeClr w14:val="tx1"/>
            </w14:solidFill>
          </w14:textFill>
        </w:rPr>
        <w:t>2.16 通知</w:t>
      </w:r>
      <w:bookmarkEnd w:id="577"/>
      <w:bookmarkEnd w:id="578"/>
      <w:bookmarkEnd w:id="579"/>
      <w:r>
        <w:rPr>
          <w:rFonts w:hint="eastAsia" w:ascii="宋体" w:hAnsi="宋体" w:cs="宋体"/>
          <w:b/>
          <w:color w:val="000000" w:themeColor="text1"/>
          <w:sz w:val="24"/>
          <w14:textFill>
            <w14:solidFill>
              <w14:schemeClr w14:val="tx1"/>
            </w14:solidFill>
          </w14:textFill>
        </w:rPr>
        <w:t>和送达</w:t>
      </w:r>
      <w:bookmarkEnd w:id="580"/>
      <w:bookmarkEnd w:id="581"/>
      <w:bookmarkEnd w:id="582"/>
      <w:bookmarkEnd w:id="583"/>
      <w:bookmarkEnd w:id="584"/>
    </w:p>
    <w:p w14:paraId="50EABB88">
      <w:pPr>
        <w:spacing w:line="560" w:lineRule="exact"/>
        <w:ind w:firstLine="480" w:firstLineChars="200"/>
        <w:rPr>
          <w:rFonts w:hint="eastAsia" w:ascii="宋体" w:hAnsi="宋体" w:cs="宋体"/>
          <w:color w:val="000000" w:themeColor="text1"/>
          <w:sz w:val="24"/>
          <w14:textFill>
            <w14:solidFill>
              <w14:schemeClr w14:val="tx1"/>
            </w14:solidFill>
          </w14:textFill>
        </w:rPr>
      </w:pPr>
      <w:bookmarkStart w:id="585" w:name="_Toc7073"/>
      <w:bookmarkStart w:id="586" w:name="_Toc29220"/>
      <w:bookmarkStart w:id="587" w:name="_Toc259093691"/>
      <w:bookmarkStart w:id="588" w:name="_Toc279701262"/>
      <w:bookmarkStart w:id="589" w:name="_Toc487900372"/>
      <w:r>
        <w:rPr>
          <w:rFonts w:hint="eastAsia" w:ascii="宋体" w:hAnsi="宋体" w:cs="宋体"/>
          <w:color w:val="000000" w:themeColor="text1"/>
          <w:sz w:val="24"/>
          <w14:textFill>
            <w14:solidFill>
              <w14:schemeClr w14:val="tx1"/>
            </w14:solidFill>
          </w14:textFill>
        </w:rPr>
        <w:t>2.16.1 任何一方因履行合同而以合同第一部分尾部所列明的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发出的所有通知、文件、材料，均视为已向对方当事人送达；任何一方变更上述送达方式或者地址的，应于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个工作日内书面通知对方当事人，在对方当事人收到有关变更通知之前，变更前的约定送达方式或者地址仍视为有效。</w:t>
      </w:r>
      <w:bookmarkEnd w:id="585"/>
      <w:bookmarkEnd w:id="586"/>
    </w:p>
    <w:p w14:paraId="532E5D43">
      <w:pPr>
        <w:spacing w:line="560" w:lineRule="exact"/>
        <w:ind w:firstLine="480" w:firstLineChars="200"/>
        <w:rPr>
          <w:rFonts w:hint="eastAsia" w:ascii="宋体" w:hAnsi="宋体" w:cs="宋体"/>
          <w:color w:val="000000" w:themeColor="text1"/>
          <w:sz w:val="24"/>
          <w14:textFill>
            <w14:solidFill>
              <w14:schemeClr w14:val="tx1"/>
            </w14:solidFill>
          </w14:textFill>
        </w:rPr>
      </w:pPr>
      <w:bookmarkStart w:id="590" w:name="_Toc18401"/>
      <w:bookmarkStart w:id="591" w:name="_Toc27674"/>
      <w:r>
        <w:rPr>
          <w:rFonts w:hint="eastAsia" w:ascii="宋体" w:hAnsi="宋体" w:cs="宋体"/>
          <w:color w:val="000000" w:themeColor="text1"/>
          <w:sz w:val="24"/>
          <w14:textFill>
            <w14:solidFill>
              <w14:schemeClr w14:val="tx1"/>
            </w14:solidFill>
          </w14:textFill>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590"/>
      <w:bookmarkEnd w:id="591"/>
    </w:p>
    <w:bookmarkEnd w:id="587"/>
    <w:bookmarkEnd w:id="588"/>
    <w:bookmarkEnd w:id="589"/>
    <w:p w14:paraId="6D98BF00">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592" w:name="_Toc20808"/>
      <w:bookmarkStart w:id="593" w:name="_Toc5063"/>
      <w:bookmarkStart w:id="594" w:name="_Toc259093692"/>
      <w:bookmarkStart w:id="595" w:name="_Toc27644"/>
      <w:bookmarkStart w:id="596" w:name="_Toc28906"/>
      <w:bookmarkStart w:id="597" w:name="_Toc487900373"/>
      <w:bookmarkStart w:id="598" w:name="_Toc12254"/>
      <w:bookmarkStart w:id="599" w:name="_Toc279701263"/>
      <w:r>
        <w:rPr>
          <w:rFonts w:hint="eastAsia" w:ascii="宋体" w:hAnsi="宋体" w:cs="宋体"/>
          <w:b/>
          <w:color w:val="000000" w:themeColor="text1"/>
          <w:sz w:val="24"/>
          <w14:textFill>
            <w14:solidFill>
              <w14:schemeClr w14:val="tx1"/>
            </w14:solidFill>
          </w14:textFill>
        </w:rPr>
        <w:t>2.17 合同使用的文字和适用的法律</w:t>
      </w:r>
      <w:bookmarkEnd w:id="592"/>
      <w:bookmarkEnd w:id="593"/>
      <w:bookmarkEnd w:id="594"/>
      <w:bookmarkEnd w:id="595"/>
      <w:bookmarkEnd w:id="596"/>
      <w:bookmarkEnd w:id="597"/>
      <w:bookmarkEnd w:id="598"/>
      <w:bookmarkEnd w:id="599"/>
    </w:p>
    <w:p w14:paraId="4E6E5340">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2.17.1 合同使用</w:t>
      </w:r>
      <w:r>
        <w:rPr>
          <w:rFonts w:hint="eastAsia" w:ascii="宋体" w:hAnsi="宋体" w:cs="宋体"/>
          <w:color w:val="000000" w:themeColor="text1"/>
          <w:sz w:val="24"/>
          <w:lang w:val="en-US" w:eastAsia="zh-CN"/>
          <w14:textFill>
            <w14:solidFill>
              <w14:schemeClr w14:val="tx1"/>
            </w14:solidFill>
          </w14:textFill>
        </w:rPr>
        <w:t>中文</w:t>
      </w:r>
      <w:r>
        <w:rPr>
          <w:rFonts w:hint="eastAsia" w:ascii="宋体" w:hAnsi="宋体" w:cs="宋体"/>
          <w:color w:val="000000" w:themeColor="text1"/>
          <w:sz w:val="24"/>
          <w14:textFill>
            <w14:solidFill>
              <w14:schemeClr w14:val="tx1"/>
            </w14:solidFill>
          </w14:textFill>
        </w:rPr>
        <w:t>就、变更和解释；</w:t>
      </w:r>
    </w:p>
    <w:p w14:paraId="3F556854">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2.17.2 合同适用中华人民共和国法律。</w:t>
      </w:r>
    </w:p>
    <w:p w14:paraId="2FB932D1">
      <w:pPr>
        <w:spacing w:line="560" w:lineRule="exact"/>
        <w:ind w:firstLine="482" w:firstLineChars="200"/>
        <w:outlineLvl w:val="0"/>
        <w:rPr>
          <w:rFonts w:hint="eastAsia" w:ascii="宋体" w:hAnsi="宋体" w:cs="宋体"/>
          <w:b/>
          <w:color w:val="000000" w:themeColor="text1"/>
          <w:sz w:val="24"/>
          <w14:textFill>
            <w14:solidFill>
              <w14:schemeClr w14:val="tx1"/>
            </w14:solidFill>
          </w14:textFill>
        </w:rPr>
      </w:pPr>
      <w:bookmarkStart w:id="600" w:name="_Toc27127"/>
      <w:bookmarkStart w:id="601" w:name="_Toc30096"/>
      <w:bookmarkStart w:id="602" w:name="_Toc22266"/>
      <w:bookmarkStart w:id="603" w:name="_Toc1492"/>
      <w:bookmarkStart w:id="604" w:name="_Toc259093693"/>
      <w:bookmarkStart w:id="605" w:name="_Toc27403"/>
      <w:bookmarkStart w:id="606" w:name="_Toc279701264"/>
      <w:bookmarkStart w:id="607" w:name="_Toc487900374"/>
      <w:r>
        <w:rPr>
          <w:rFonts w:hint="eastAsia" w:ascii="宋体" w:hAnsi="宋体" w:cs="宋体"/>
          <w:b/>
          <w:color w:val="000000" w:themeColor="text1"/>
          <w:sz w:val="24"/>
          <w14:textFill>
            <w14:solidFill>
              <w14:schemeClr w14:val="tx1"/>
            </w14:solidFill>
          </w14:textFill>
        </w:rPr>
        <w:t>2.18 履约保证金</w:t>
      </w:r>
      <w:bookmarkEnd w:id="600"/>
      <w:bookmarkEnd w:id="601"/>
      <w:bookmarkEnd w:id="602"/>
      <w:bookmarkEnd w:id="603"/>
      <w:bookmarkEnd w:id="604"/>
      <w:bookmarkEnd w:id="605"/>
      <w:bookmarkEnd w:id="606"/>
    </w:p>
    <w:p w14:paraId="4337C3A7">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2.18.1 采购文件要求乙方提交履约保证金的，乙方应按</w:t>
      </w:r>
      <w:r>
        <w:rPr>
          <w:rFonts w:hint="eastAsia" w:ascii="宋体" w:hAnsi="宋体" w:cs="宋体"/>
          <w:b/>
          <w:i/>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约定的方式，以支票、汇票、本票或者金融机构、担保机构出具的保函等非现金形式，提交不超过合同价10%的履约保证金；</w:t>
      </w:r>
    </w:p>
    <w:p w14:paraId="062FBB82">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2.18.2 履约保证金在</w:t>
      </w:r>
      <w:r>
        <w:rPr>
          <w:rFonts w:hint="eastAsia" w:ascii="宋体" w:hAnsi="宋体" w:cs="宋体"/>
          <w:b/>
          <w:i/>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约定期间内不予退还或者应完全有效，前述约定期间届满之日起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个工作日内，甲方应将履约保证金退还乙方；</w:t>
      </w:r>
    </w:p>
    <w:p w14:paraId="1F487695">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07"/>
    <w:p w14:paraId="0A4B29E9">
      <w:pPr>
        <w:spacing w:line="560" w:lineRule="exact"/>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2.19 合同份数</w:t>
      </w:r>
    </w:p>
    <w:p w14:paraId="4C5FF8B9">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合同份数按</w:t>
      </w:r>
      <w:r>
        <w:rPr>
          <w:rFonts w:hint="eastAsia" w:ascii="宋体" w:hAnsi="宋体" w:cs="宋体"/>
          <w:b/>
          <w:i/>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规定，每份均具有同等法律效力。</w:t>
      </w:r>
    </w:p>
    <w:p w14:paraId="1CDA0877">
      <w:pPr>
        <w:pStyle w:val="68"/>
        <w:spacing w:line="560" w:lineRule="exact"/>
        <w:ind w:firstLine="0"/>
        <w:jc w:val="center"/>
        <w:rPr>
          <w:rFonts w:hint="eastAsia" w:hAnsi="宋体" w:cs="宋体"/>
          <w:b/>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br w:type="page"/>
      </w:r>
      <w:bookmarkStart w:id="608" w:name="_Toc331685784"/>
      <w:r>
        <w:rPr>
          <w:rFonts w:hint="eastAsia" w:hAnsi="宋体" w:cs="宋体"/>
          <w:b/>
          <w:color w:val="000000" w:themeColor="text1"/>
          <w:szCs w:val="24"/>
          <w14:textFill>
            <w14:solidFill>
              <w14:schemeClr w14:val="tx1"/>
            </w14:solidFill>
          </w14:textFill>
        </w:rPr>
        <w:t>第三部分  合同专用条款</w:t>
      </w:r>
      <w:bookmarkEnd w:id="608"/>
    </w:p>
    <w:p w14:paraId="01540D40">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085CC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497A02D4">
            <w:pPr>
              <w:spacing w:line="560" w:lineRule="exac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条款号</w:t>
            </w:r>
          </w:p>
        </w:tc>
        <w:tc>
          <w:tcPr>
            <w:tcW w:w="7633" w:type="dxa"/>
            <w:noWrap w:val="0"/>
            <w:vAlign w:val="center"/>
          </w:tcPr>
          <w:p w14:paraId="10795DFA">
            <w:pPr>
              <w:spacing w:line="560" w:lineRule="exac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约定内容</w:t>
            </w:r>
          </w:p>
        </w:tc>
      </w:tr>
      <w:tr w14:paraId="69DD9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288B6CC7">
            <w:pPr>
              <w:spacing w:line="560" w:lineRule="exact"/>
              <w:rPr>
                <w:rFonts w:hint="eastAsia" w:ascii="宋体" w:hAnsi="宋体" w:cs="宋体"/>
                <w:color w:val="000000" w:themeColor="text1"/>
                <w:sz w:val="24"/>
                <w14:textFill>
                  <w14:solidFill>
                    <w14:schemeClr w14:val="tx1"/>
                  </w14:solidFill>
                </w14:textFill>
              </w:rPr>
            </w:pPr>
          </w:p>
        </w:tc>
        <w:tc>
          <w:tcPr>
            <w:tcW w:w="7633" w:type="dxa"/>
            <w:noWrap w:val="0"/>
            <w:vAlign w:val="center"/>
          </w:tcPr>
          <w:p w14:paraId="23ACE163">
            <w:pPr>
              <w:spacing w:line="560" w:lineRule="exact"/>
              <w:rPr>
                <w:rFonts w:hint="eastAsia" w:ascii="宋体" w:hAnsi="宋体" w:cs="宋体"/>
                <w:color w:val="000000" w:themeColor="text1"/>
                <w:sz w:val="24"/>
                <w14:textFill>
                  <w14:solidFill>
                    <w14:schemeClr w14:val="tx1"/>
                  </w14:solidFill>
                </w14:textFill>
              </w:rPr>
            </w:pPr>
          </w:p>
        </w:tc>
      </w:tr>
      <w:tr w14:paraId="2883F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D83F21B">
            <w:pPr>
              <w:spacing w:line="560" w:lineRule="exact"/>
              <w:rPr>
                <w:rFonts w:hint="eastAsia" w:ascii="宋体" w:hAnsi="宋体" w:cs="宋体"/>
                <w:color w:val="000000" w:themeColor="text1"/>
                <w:sz w:val="24"/>
                <w14:textFill>
                  <w14:solidFill>
                    <w14:schemeClr w14:val="tx1"/>
                  </w14:solidFill>
                </w14:textFill>
              </w:rPr>
            </w:pPr>
          </w:p>
        </w:tc>
        <w:tc>
          <w:tcPr>
            <w:tcW w:w="7633" w:type="dxa"/>
            <w:noWrap w:val="0"/>
            <w:vAlign w:val="center"/>
          </w:tcPr>
          <w:p w14:paraId="63FD2669">
            <w:pPr>
              <w:spacing w:line="560" w:lineRule="exact"/>
              <w:rPr>
                <w:rFonts w:hint="eastAsia" w:ascii="宋体" w:hAnsi="宋体" w:cs="宋体"/>
                <w:color w:val="000000" w:themeColor="text1"/>
                <w:sz w:val="24"/>
                <w14:textFill>
                  <w14:solidFill>
                    <w14:schemeClr w14:val="tx1"/>
                  </w14:solidFill>
                </w14:textFill>
              </w:rPr>
            </w:pPr>
          </w:p>
        </w:tc>
      </w:tr>
      <w:tr w14:paraId="7ADF1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9407F4C">
            <w:pPr>
              <w:spacing w:line="560" w:lineRule="exact"/>
              <w:rPr>
                <w:rFonts w:hint="eastAsia" w:ascii="宋体" w:hAnsi="宋体" w:cs="宋体"/>
                <w:color w:val="000000" w:themeColor="text1"/>
                <w:sz w:val="24"/>
                <w14:textFill>
                  <w14:solidFill>
                    <w14:schemeClr w14:val="tx1"/>
                  </w14:solidFill>
                </w14:textFill>
              </w:rPr>
            </w:pPr>
          </w:p>
        </w:tc>
        <w:tc>
          <w:tcPr>
            <w:tcW w:w="7633" w:type="dxa"/>
            <w:noWrap w:val="0"/>
            <w:vAlign w:val="center"/>
          </w:tcPr>
          <w:p w14:paraId="1CFA1042">
            <w:pPr>
              <w:spacing w:line="560" w:lineRule="exact"/>
              <w:rPr>
                <w:rFonts w:hint="eastAsia" w:ascii="宋体" w:hAnsi="宋体" w:cs="宋体"/>
                <w:color w:val="000000" w:themeColor="text1"/>
                <w:sz w:val="24"/>
                <w14:textFill>
                  <w14:solidFill>
                    <w14:schemeClr w14:val="tx1"/>
                  </w14:solidFill>
                </w14:textFill>
              </w:rPr>
            </w:pPr>
          </w:p>
        </w:tc>
      </w:tr>
      <w:tr w14:paraId="2478E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4A2E673">
            <w:pPr>
              <w:spacing w:line="560" w:lineRule="exact"/>
              <w:rPr>
                <w:rFonts w:hint="eastAsia" w:ascii="宋体" w:hAnsi="宋体" w:cs="宋体"/>
                <w:color w:val="000000" w:themeColor="text1"/>
                <w:sz w:val="24"/>
                <w14:textFill>
                  <w14:solidFill>
                    <w14:schemeClr w14:val="tx1"/>
                  </w14:solidFill>
                </w14:textFill>
              </w:rPr>
            </w:pPr>
          </w:p>
        </w:tc>
        <w:tc>
          <w:tcPr>
            <w:tcW w:w="7633" w:type="dxa"/>
            <w:noWrap w:val="0"/>
            <w:vAlign w:val="center"/>
          </w:tcPr>
          <w:p w14:paraId="4BD76311">
            <w:pPr>
              <w:spacing w:line="560" w:lineRule="exact"/>
              <w:rPr>
                <w:rFonts w:hint="eastAsia" w:ascii="宋体" w:hAnsi="宋体" w:cs="宋体"/>
                <w:color w:val="000000" w:themeColor="text1"/>
                <w:sz w:val="24"/>
                <w14:textFill>
                  <w14:solidFill>
                    <w14:schemeClr w14:val="tx1"/>
                  </w14:solidFill>
                </w14:textFill>
              </w:rPr>
            </w:pPr>
          </w:p>
        </w:tc>
      </w:tr>
      <w:tr w14:paraId="3F89A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7095545">
            <w:pPr>
              <w:spacing w:line="560" w:lineRule="exact"/>
              <w:rPr>
                <w:rFonts w:hint="eastAsia" w:ascii="宋体" w:hAnsi="宋体" w:cs="宋体"/>
                <w:color w:val="000000" w:themeColor="text1"/>
                <w:sz w:val="24"/>
                <w14:textFill>
                  <w14:solidFill>
                    <w14:schemeClr w14:val="tx1"/>
                  </w14:solidFill>
                </w14:textFill>
              </w:rPr>
            </w:pPr>
          </w:p>
        </w:tc>
        <w:tc>
          <w:tcPr>
            <w:tcW w:w="7633" w:type="dxa"/>
            <w:noWrap w:val="0"/>
            <w:vAlign w:val="center"/>
          </w:tcPr>
          <w:p w14:paraId="5FDB8682">
            <w:pPr>
              <w:spacing w:line="560" w:lineRule="exact"/>
              <w:rPr>
                <w:rFonts w:hint="eastAsia" w:ascii="宋体" w:hAnsi="宋体" w:cs="宋体"/>
                <w:color w:val="000000" w:themeColor="text1"/>
                <w:sz w:val="24"/>
                <w:u w:val="single"/>
                <w14:textFill>
                  <w14:solidFill>
                    <w14:schemeClr w14:val="tx1"/>
                  </w14:solidFill>
                </w14:textFill>
              </w:rPr>
            </w:pPr>
          </w:p>
        </w:tc>
      </w:tr>
      <w:tr w14:paraId="15069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297E31C9">
            <w:pPr>
              <w:spacing w:line="560" w:lineRule="exact"/>
              <w:rPr>
                <w:rFonts w:hint="eastAsia" w:ascii="宋体" w:hAnsi="宋体" w:cs="宋体"/>
                <w:color w:val="000000" w:themeColor="text1"/>
                <w:sz w:val="24"/>
                <w14:textFill>
                  <w14:solidFill>
                    <w14:schemeClr w14:val="tx1"/>
                  </w14:solidFill>
                </w14:textFill>
              </w:rPr>
            </w:pPr>
          </w:p>
        </w:tc>
        <w:tc>
          <w:tcPr>
            <w:tcW w:w="7633" w:type="dxa"/>
            <w:noWrap w:val="0"/>
            <w:vAlign w:val="center"/>
          </w:tcPr>
          <w:p w14:paraId="3A977519">
            <w:pPr>
              <w:spacing w:line="560" w:lineRule="exact"/>
              <w:rPr>
                <w:rFonts w:hint="eastAsia" w:ascii="宋体" w:hAnsi="宋体" w:cs="宋体"/>
                <w:color w:val="000000" w:themeColor="text1"/>
                <w:sz w:val="24"/>
                <w14:textFill>
                  <w14:solidFill>
                    <w14:schemeClr w14:val="tx1"/>
                  </w14:solidFill>
                </w14:textFill>
              </w:rPr>
            </w:pPr>
          </w:p>
        </w:tc>
      </w:tr>
      <w:tr w14:paraId="7E44C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5CD7B453">
            <w:pPr>
              <w:spacing w:line="560" w:lineRule="exact"/>
              <w:rPr>
                <w:rFonts w:hint="eastAsia" w:ascii="宋体" w:hAnsi="宋体" w:cs="宋体"/>
                <w:color w:val="000000" w:themeColor="text1"/>
                <w:sz w:val="24"/>
                <w14:textFill>
                  <w14:solidFill>
                    <w14:schemeClr w14:val="tx1"/>
                  </w14:solidFill>
                </w14:textFill>
              </w:rPr>
            </w:pPr>
          </w:p>
        </w:tc>
        <w:tc>
          <w:tcPr>
            <w:tcW w:w="7633" w:type="dxa"/>
            <w:noWrap w:val="0"/>
            <w:vAlign w:val="center"/>
          </w:tcPr>
          <w:p w14:paraId="5C20CBE8">
            <w:pPr>
              <w:spacing w:line="560" w:lineRule="exact"/>
              <w:rPr>
                <w:rFonts w:hint="eastAsia" w:ascii="宋体" w:hAnsi="宋体" w:cs="宋体"/>
                <w:color w:val="000000" w:themeColor="text1"/>
                <w:sz w:val="24"/>
                <w:u w:val="single"/>
                <w14:textFill>
                  <w14:solidFill>
                    <w14:schemeClr w14:val="tx1"/>
                  </w14:solidFill>
                </w14:textFill>
              </w:rPr>
            </w:pPr>
          </w:p>
        </w:tc>
      </w:tr>
      <w:tr w14:paraId="2A6DC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61CF2C4A">
            <w:pPr>
              <w:spacing w:line="560" w:lineRule="exact"/>
              <w:rPr>
                <w:rFonts w:hint="eastAsia" w:ascii="宋体" w:hAnsi="宋体" w:cs="宋体"/>
                <w:color w:val="000000" w:themeColor="text1"/>
                <w:sz w:val="24"/>
                <w14:textFill>
                  <w14:solidFill>
                    <w14:schemeClr w14:val="tx1"/>
                  </w14:solidFill>
                </w14:textFill>
              </w:rPr>
            </w:pPr>
          </w:p>
        </w:tc>
        <w:tc>
          <w:tcPr>
            <w:tcW w:w="7633" w:type="dxa"/>
            <w:noWrap w:val="0"/>
            <w:vAlign w:val="center"/>
          </w:tcPr>
          <w:p w14:paraId="4FC7FBDB">
            <w:pPr>
              <w:spacing w:line="560" w:lineRule="exact"/>
              <w:rPr>
                <w:rFonts w:hint="eastAsia" w:ascii="宋体" w:hAnsi="宋体" w:cs="宋体"/>
                <w:color w:val="000000" w:themeColor="text1"/>
                <w:sz w:val="24"/>
                <w14:textFill>
                  <w14:solidFill>
                    <w14:schemeClr w14:val="tx1"/>
                  </w14:solidFill>
                </w14:textFill>
              </w:rPr>
            </w:pPr>
          </w:p>
        </w:tc>
      </w:tr>
      <w:tr w14:paraId="7493E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A4DDEBC">
            <w:pPr>
              <w:spacing w:line="560" w:lineRule="exact"/>
              <w:rPr>
                <w:rFonts w:hint="eastAsia" w:ascii="宋体" w:hAnsi="宋体" w:cs="宋体"/>
                <w:color w:val="000000" w:themeColor="text1"/>
                <w:sz w:val="24"/>
                <w14:textFill>
                  <w14:solidFill>
                    <w14:schemeClr w14:val="tx1"/>
                  </w14:solidFill>
                </w14:textFill>
              </w:rPr>
            </w:pPr>
          </w:p>
        </w:tc>
        <w:tc>
          <w:tcPr>
            <w:tcW w:w="7633" w:type="dxa"/>
            <w:noWrap w:val="0"/>
            <w:vAlign w:val="center"/>
          </w:tcPr>
          <w:p w14:paraId="45F11EEB">
            <w:pPr>
              <w:spacing w:line="560" w:lineRule="exact"/>
              <w:rPr>
                <w:rFonts w:hint="eastAsia" w:ascii="宋体" w:hAnsi="宋体" w:cs="宋体"/>
                <w:color w:val="000000" w:themeColor="text1"/>
                <w:sz w:val="24"/>
                <w14:textFill>
                  <w14:solidFill>
                    <w14:schemeClr w14:val="tx1"/>
                  </w14:solidFill>
                </w14:textFill>
              </w:rPr>
            </w:pPr>
          </w:p>
        </w:tc>
      </w:tr>
      <w:tr w14:paraId="038BF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01E1FA6">
            <w:pPr>
              <w:spacing w:line="560" w:lineRule="exact"/>
              <w:rPr>
                <w:rFonts w:hint="eastAsia" w:ascii="宋体" w:hAnsi="宋体" w:cs="宋体"/>
                <w:color w:val="000000" w:themeColor="text1"/>
                <w:sz w:val="24"/>
                <w14:textFill>
                  <w14:solidFill>
                    <w14:schemeClr w14:val="tx1"/>
                  </w14:solidFill>
                </w14:textFill>
              </w:rPr>
            </w:pPr>
          </w:p>
        </w:tc>
        <w:tc>
          <w:tcPr>
            <w:tcW w:w="7633" w:type="dxa"/>
            <w:noWrap w:val="0"/>
            <w:vAlign w:val="center"/>
          </w:tcPr>
          <w:p w14:paraId="7B16012A">
            <w:pPr>
              <w:spacing w:line="560" w:lineRule="exact"/>
              <w:rPr>
                <w:rFonts w:hint="eastAsia" w:ascii="宋体" w:hAnsi="宋体" w:cs="宋体"/>
                <w:color w:val="000000" w:themeColor="text1"/>
                <w:sz w:val="24"/>
                <w14:textFill>
                  <w14:solidFill>
                    <w14:schemeClr w14:val="tx1"/>
                  </w14:solidFill>
                </w14:textFill>
              </w:rPr>
            </w:pPr>
          </w:p>
        </w:tc>
      </w:tr>
      <w:tr w14:paraId="25D8C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9DCFD7E">
            <w:pPr>
              <w:spacing w:line="560" w:lineRule="exact"/>
              <w:rPr>
                <w:rFonts w:hint="eastAsia" w:ascii="宋体" w:hAnsi="宋体" w:cs="宋体"/>
                <w:color w:val="000000" w:themeColor="text1"/>
                <w:sz w:val="24"/>
                <w14:textFill>
                  <w14:solidFill>
                    <w14:schemeClr w14:val="tx1"/>
                  </w14:solidFill>
                </w14:textFill>
              </w:rPr>
            </w:pPr>
          </w:p>
        </w:tc>
        <w:tc>
          <w:tcPr>
            <w:tcW w:w="7633" w:type="dxa"/>
            <w:noWrap w:val="0"/>
            <w:vAlign w:val="center"/>
          </w:tcPr>
          <w:p w14:paraId="2EE4D43A">
            <w:pPr>
              <w:spacing w:line="560" w:lineRule="exact"/>
              <w:rPr>
                <w:rFonts w:hint="eastAsia" w:ascii="宋体" w:hAnsi="宋体" w:cs="宋体"/>
                <w:color w:val="000000" w:themeColor="text1"/>
                <w:sz w:val="24"/>
                <w14:textFill>
                  <w14:solidFill>
                    <w14:schemeClr w14:val="tx1"/>
                  </w14:solidFill>
                </w14:textFill>
              </w:rPr>
            </w:pPr>
          </w:p>
        </w:tc>
      </w:tr>
      <w:tr w14:paraId="5E1EC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DB7A3B6">
            <w:pPr>
              <w:spacing w:line="560" w:lineRule="exact"/>
              <w:rPr>
                <w:rFonts w:hint="eastAsia" w:ascii="宋体" w:hAnsi="宋体" w:cs="宋体"/>
                <w:color w:val="000000" w:themeColor="text1"/>
                <w:sz w:val="24"/>
                <w14:textFill>
                  <w14:solidFill>
                    <w14:schemeClr w14:val="tx1"/>
                  </w14:solidFill>
                </w14:textFill>
              </w:rPr>
            </w:pPr>
          </w:p>
        </w:tc>
        <w:tc>
          <w:tcPr>
            <w:tcW w:w="7633" w:type="dxa"/>
            <w:noWrap w:val="0"/>
            <w:vAlign w:val="center"/>
          </w:tcPr>
          <w:p w14:paraId="486288B6">
            <w:pPr>
              <w:spacing w:line="560" w:lineRule="exact"/>
              <w:rPr>
                <w:rFonts w:hint="eastAsia" w:ascii="宋体" w:hAnsi="宋体" w:cs="宋体"/>
                <w:color w:val="000000" w:themeColor="text1"/>
                <w:sz w:val="24"/>
                <w14:textFill>
                  <w14:solidFill>
                    <w14:schemeClr w14:val="tx1"/>
                  </w14:solidFill>
                </w14:textFill>
              </w:rPr>
            </w:pPr>
          </w:p>
        </w:tc>
      </w:tr>
    </w:tbl>
    <w:p w14:paraId="6AAD0AB0">
      <w:pPr>
        <w:spacing w:after="156" w:line="560" w:lineRule="exact"/>
        <w:ind w:firstLine="480"/>
        <w:rPr>
          <w:rFonts w:hint="eastAsia" w:ascii="宋体" w:hAnsi="宋体" w:cs="宋体"/>
          <w:color w:val="000000" w:themeColor="text1"/>
          <w14:textFill>
            <w14:solidFill>
              <w14:schemeClr w14:val="tx1"/>
            </w14:solidFill>
          </w14:textFill>
        </w:rPr>
      </w:pPr>
    </w:p>
    <w:p w14:paraId="7157C34F">
      <w:pPr>
        <w:pStyle w:val="4"/>
        <w:spacing w:before="0" w:line="240" w:lineRule="atLeast"/>
        <w:ind w:left="1080" w:leftChars="257" w:hanging="540"/>
        <w:rPr>
          <w:rFonts w:hint="eastAsia" w:ascii="宋体" w:hAnsi="宋体" w:eastAsia="宋体" w:cs="宋体"/>
          <w:color w:val="000000" w:themeColor="text1"/>
          <w:sz w:val="24"/>
          <w14:textFill>
            <w14:solidFill>
              <w14:schemeClr w14:val="tx1"/>
            </w14:solidFill>
          </w14:textFill>
        </w:rPr>
      </w:pPr>
    </w:p>
    <w:p w14:paraId="36320F2F">
      <w:pPr>
        <w:rPr>
          <w:rFonts w:hint="eastAsia" w:ascii="宋体" w:hAnsi="宋体" w:cs="宋体"/>
          <w:color w:val="000000" w:themeColor="text1"/>
          <w14:textFill>
            <w14:solidFill>
              <w14:schemeClr w14:val="tx1"/>
            </w14:solidFill>
          </w14:textFill>
        </w:rPr>
      </w:pPr>
    </w:p>
    <w:p w14:paraId="1B9DBC30">
      <w:pPr>
        <w:pStyle w:val="6"/>
        <w:spacing w:line="240" w:lineRule="atLeast"/>
        <w:ind w:firstLine="0"/>
        <w:rPr>
          <w:rFonts w:hint="eastAsia" w:hAnsi="宋体" w:cs="宋体"/>
          <w:color w:val="000000" w:themeColor="text1"/>
          <w:sz w:val="28"/>
          <w14:textFill>
            <w14:solidFill>
              <w14:schemeClr w14:val="tx1"/>
            </w14:solidFill>
          </w14:textFill>
        </w:rPr>
      </w:pPr>
    </w:p>
    <w:p w14:paraId="35435282">
      <w:pPr>
        <w:pStyle w:val="2"/>
        <w:keepNext w:val="0"/>
        <w:keepLines w:val="0"/>
        <w:pageBreakBefore w:val="0"/>
        <w:tabs>
          <w:tab w:val="left" w:pos="3623"/>
          <w:tab w:val="left" w:pos="4703"/>
          <w:tab w:val="left" w:pos="5603"/>
          <w:tab w:val="clear" w:pos="567"/>
        </w:tabs>
        <w:kinsoku/>
        <w:wordWrap/>
        <w:overflowPunct/>
        <w:topLinePunct w:val="0"/>
        <w:bidi w:val="0"/>
        <w:snapToGrid/>
        <w:spacing w:before="0" w:line="306" w:lineRule="exact"/>
        <w:ind w:left="0" w:leftChars="0" w:right="0" w:rightChars="0"/>
        <w:textAlignment w:val="auto"/>
        <w:rPr>
          <w:rFonts w:hint="eastAsia" w:ascii="宋体" w:hAnsi="宋体" w:eastAsia="宋体" w:cs="宋体"/>
          <w:color w:val="000000" w:themeColor="text1"/>
          <w:sz w:val="28"/>
          <w:highlight w:val="none"/>
          <w14:textFill>
            <w14:solidFill>
              <w14:schemeClr w14:val="tx1"/>
            </w14:solidFill>
          </w14:textFill>
        </w:rPr>
      </w:pPr>
    </w:p>
    <w:sectPr>
      <w:headerReference r:id="rId18" w:type="default"/>
      <w:footerReference r:id="rId19"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333DEFF-F077-4193-B361-70EB997BE14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802A7CFE-27AE-4B09-9055-04A8F828B380}"/>
  </w:font>
  <w:font w:name="微软雅黑">
    <w:panose1 w:val="020B0503020204020204"/>
    <w:charset w:val="86"/>
    <w:family w:val="auto"/>
    <w:pitch w:val="default"/>
    <w:sig w:usb0="80000287" w:usb1="2ACF3C50" w:usb2="00000016" w:usb3="00000000" w:csb0="0004001F" w:csb1="00000000"/>
    <w:embedRegular r:id="rId3" w:fontKey="{C073BEB4-19D5-485A-AF61-10D65B742A1C}"/>
  </w:font>
  <w:font w:name="方正仿宋_GB2312">
    <w:panose1 w:val="02000000000000000000"/>
    <w:charset w:val="86"/>
    <w:family w:val="auto"/>
    <w:pitch w:val="default"/>
    <w:sig w:usb0="A00002BF" w:usb1="184F6CFA" w:usb2="00000012" w:usb3="00000000" w:csb0="00040001" w:csb1="00000000"/>
    <w:embedRegular r:id="rId4" w:fontKey="{D53D4264-39F8-4FED-8AE5-D54FE6A54B9D}"/>
  </w:font>
  <w:font w:name="KSOFE44F9426">
    <w:panose1 w:val="02010609060101010101"/>
    <w:charset w:val="86"/>
    <w:family w:val="auto"/>
    <w:pitch w:val="default"/>
    <w:sig w:usb0="00000001" w:usb1="00000000" w:usb2="00000000" w:usb3="00000000" w:csb0="00040001" w:csb1="00000000"/>
  </w:font>
  <w:font w:name="WPSEMBED1">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A3413">
    <w:pPr>
      <w:pStyle w:val="22"/>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590DE">
    <w:pPr>
      <w:pStyle w:val="22"/>
      <w:ind w:right="360"/>
      <w:jc w:val="both"/>
      <w:rPr>
        <w:color w:val="FF0000"/>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1EA149">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31EA149">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405BA">
    <w:pPr>
      <w:pStyle w:val="22"/>
      <w:ind w:right="360" w:firstLine="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4A447">
                          <w:pPr>
                            <w:pStyle w:val="2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44A447">
                    <w:pPr>
                      <w:pStyle w:val="2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6C4A5">
    <w:pPr>
      <w:pStyle w:val="22"/>
      <w:framePr w:wrap="around" w:vAnchor="text" w:hAnchor="margin" w:xAlign="center" w:y="1"/>
      <w:rPr>
        <w:rStyle w:val="41"/>
      </w:rPr>
    </w:pPr>
    <w:r>
      <w:fldChar w:fldCharType="begin"/>
    </w:r>
    <w:r>
      <w:rPr>
        <w:rStyle w:val="41"/>
      </w:rPr>
      <w:instrText xml:space="preserve">PAGE  </w:instrText>
    </w:r>
    <w:r>
      <w:fldChar w:fldCharType="end"/>
    </w:r>
  </w:p>
  <w:p w14:paraId="690F6A35">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B7FC3">
    <w:pPr>
      <w:pStyle w:val="22"/>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4F98A">
                          <w:pPr>
                            <w:pStyle w:val="2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0F4F98A">
                    <w:pPr>
                      <w:pStyle w:val="22"/>
                    </w:pPr>
                    <w:r>
                      <w:fldChar w:fldCharType="begin"/>
                    </w:r>
                    <w:r>
                      <w:instrText xml:space="preserve"> PAGE  \* MERGEFORMAT </w:instrText>
                    </w:r>
                    <w:r>
                      <w:fldChar w:fldCharType="separate"/>
                    </w:r>
                    <w:r>
                      <w:t>38</w:t>
                    </w:r>
                    <w:r>
                      <w:fldChar w:fldCharType="end"/>
                    </w:r>
                  </w:p>
                </w:txbxContent>
              </v:textbox>
            </v:shape>
          </w:pict>
        </mc:Fallback>
      </mc:AlternateContent>
    </w:r>
  </w:p>
  <w:p w14:paraId="71E18D91">
    <w:pPr>
      <w:pStyle w:val="22"/>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91D46">
    <w:pPr>
      <w:pStyle w:val="22"/>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B5F14D">
                          <w:pPr>
                            <w:pStyle w:val="22"/>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1B5F14D">
                    <w:pPr>
                      <w:pStyle w:val="22"/>
                    </w:pPr>
                    <w:r>
                      <w:fldChar w:fldCharType="begin"/>
                    </w:r>
                    <w:r>
                      <w:instrText xml:space="preserve"> PAGE  \* MERGEFORMAT </w:instrText>
                    </w:r>
                    <w:r>
                      <w:fldChar w:fldCharType="separate"/>
                    </w:r>
                    <w:r>
                      <w:t>46</w:t>
                    </w:r>
                    <w:r>
                      <w:fldChar w:fldCharType="end"/>
                    </w:r>
                  </w:p>
                </w:txbxContent>
              </v:textbox>
            </v:shape>
          </w:pict>
        </mc:Fallback>
      </mc:AlternateContent>
    </w:r>
  </w:p>
  <w:p w14:paraId="4430EBCE">
    <w:pPr>
      <w:pStyle w:val="22"/>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0953F">
    <w:pPr>
      <w:pStyle w:val="2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5F2C7">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A796">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7A590">
                          <w:pPr>
                            <w:pStyle w:val="2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A07A590">
                    <w:pPr>
                      <w:pStyle w:val="22"/>
                    </w:pPr>
                    <w:r>
                      <w:fldChar w:fldCharType="begin"/>
                    </w:r>
                    <w:r>
                      <w:instrText xml:space="preserve"> PAGE  \* MERGEFORMAT </w:instrText>
                    </w:r>
                    <w:r>
                      <w:fldChar w:fldCharType="separate"/>
                    </w:r>
                    <w:r>
                      <w:t>47</w:t>
                    </w:r>
                    <w:r>
                      <w:fldChar w:fldCharType="end"/>
                    </w:r>
                  </w:p>
                </w:txbxContent>
              </v:textbox>
            </v:shape>
          </w:pict>
        </mc:Fallback>
      </mc:AlternateContent>
    </w:r>
  </w:p>
  <w:p w14:paraId="59F509F3">
    <w:pPr>
      <w:pStyle w:val="22"/>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0BD9">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1838">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88B">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EE8CF">
    <w:pPr>
      <w:pStyle w:val="2"/>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1239520</wp:posOffset>
              </wp:positionH>
              <wp:positionV relativeFrom="page">
                <wp:posOffset>547370</wp:posOffset>
              </wp:positionV>
              <wp:extent cx="1090930" cy="158115"/>
              <wp:effectExtent l="0" t="0" r="0" b="0"/>
              <wp:wrapNone/>
              <wp:docPr id="51" name="文本框 36"/>
              <wp:cNvGraphicFramePr/>
              <a:graphic xmlns:a="http://schemas.openxmlformats.org/drawingml/2006/main">
                <a:graphicData uri="http://schemas.microsoft.com/office/word/2010/wordprocessingShape">
                  <wps:wsp>
                    <wps:cNvSpPr txBox="1"/>
                    <wps:spPr>
                      <a:xfrm>
                        <a:off x="0" y="0"/>
                        <a:ext cx="1090930" cy="158115"/>
                      </a:xfrm>
                      <a:prstGeom prst="rect">
                        <a:avLst/>
                      </a:prstGeom>
                      <a:noFill/>
                      <a:ln>
                        <a:noFill/>
                      </a:ln>
                    </wps:spPr>
                    <wps:txbx>
                      <w:txbxContent>
                        <w:p w14:paraId="19471ECE">
                          <w:pPr>
                            <w:tabs>
                              <w:tab w:val="left" w:pos="859"/>
                            </w:tabs>
                            <w:spacing w:line="249" w:lineRule="exact"/>
                            <w:ind w:left="20"/>
                            <w:rPr>
                              <w:sz w:val="21"/>
                            </w:rPr>
                          </w:pPr>
                        </w:p>
                        <w:p w14:paraId="61A98A4C">
                          <w:pPr>
                            <w:pStyle w:val="36"/>
                            <w:ind w:firstLine="440"/>
                          </w:pPr>
                        </w:p>
                      </w:txbxContent>
                    </wps:txbx>
                    <wps:bodyPr lIns="0" tIns="0" rIns="0" bIns="0" upright="1"/>
                  </wps:wsp>
                </a:graphicData>
              </a:graphic>
            </wp:anchor>
          </w:drawing>
        </mc:Choice>
        <mc:Fallback>
          <w:pict>
            <v:shape id="文本框 36" o:spid="_x0000_s1026" o:spt="202" type="#_x0000_t202" style="position:absolute;left:0pt;margin-left:97.6pt;margin-top:43.1pt;height:12.45pt;width:85.9pt;mso-position-horizontal-relative:page;mso-position-vertical-relative:page;z-index:-251649024;mso-width-relative:page;mso-height-relative:page;" filled="f" stroked="f" coordsize="21600,21600" o:gfxdata="UEsDBAoAAAAAAIdO4kAAAAAAAAAAAAAAAAAEAAAAZHJzL1BLAwQUAAAACACHTuJAd88YsdYAAAAK&#10;AQAADwAAAGRycy9kb3ducmV2LnhtbE1Py07DMBC8I/EP1iJxo3aLCG2IU6EKTkiINBw4OvE2sRqv&#10;09h98PcsJ9jLaDSj2ZliffGDOOEUXSAN85kCgdQG66jT8Fm/3i1BxGTImiEQavjGCOvy+qowuQ1n&#10;qvC0TZ3gEIq50dCnNOZSxrZHb+IsjEis7cLkTWI6ddJO5szhfpALpTLpjSP+0JsRNz22++3Ra3j+&#10;ourFHd6bj2pXubpeKXrL9lrf3szVE4iEl/Rnht/6XB1K7tSEI9koBuarhwVbNSwzRjbcZ488rmGF&#10;D2RZyP8Tyh9QSwMEFAAAAAgAh07iQF77PuW7AQAAdAMAAA4AAABkcnMvZTJvRG9jLnhtbK1TS27b&#10;MBDdF+gdCO5rSgkcJILlAIWRokCRFkhzAJqiLAL8gUNb8gXSG3TVTfc9l8/RIWU5v00W2VDDmeGb&#10;eW9Gi+vBaLKTAZSzNS1nBSXSCtcou6np/c+bT5eUQOS24dpZWdO9BHq9/Phh0ftKnrnO6UYGgiAW&#10;qt7XtIvRV4yB6KThMHNeWgy2Lhge8Ro2rAm8R3Sj2VlRXLDehcYHJyQAeldjkB4Rw1sAXdsqIVdO&#10;bI20cUQNUvOIlKBTHugyd9u2UsTvbQsyEl1TZBrziUXQXqeTLRe82gTuOyWOLfC3tPCCk+HKYtET&#10;1IpHTrZBvYIySgQHro0z4QwbiWRFkEVZvNDmruNeZi4oNfiT6PB+sOJ29yMQ1dR0XlJiucGJH37/&#10;Ovz5d/j7QM4vkkC9hwrz7jxmxuGzG3BtJj+gM/Ee2mDSFxkRjKO8+5O8cohEpEfFVXF1jiGBsXJ+&#10;WZbzBMMeX/sA8Yt0hiSjpgHHl1Xlu28Qx9QpJRWz7kZpnUeo7TMHYiYPS62PLSYrDuvhyGftmj3S&#10;0V8tipkWYzLCZKwnY+uD2nTYTiadIXEYue/j4qRpP73nwo8/y/I/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88YsdYAAAAKAQAADwAAAAAAAAABACAAAAAiAAAAZHJzL2Rvd25yZXYueG1sUEsBAhQA&#10;FAAAAAgAh07iQF77PuW7AQAAdAMAAA4AAAAAAAAAAQAgAAAAJQEAAGRycy9lMm9Eb2MueG1sUEsF&#10;BgAAAAAGAAYAWQEAAFIFAAAAAA==&#10;">
              <v:fill on="f" focussize="0,0"/>
              <v:stroke on="f"/>
              <v:imagedata o:title=""/>
              <o:lock v:ext="edit" aspectratio="f"/>
              <v:textbox inset="0mm,0mm,0mm,0mm">
                <w:txbxContent>
                  <w:p w14:paraId="19471ECE">
                    <w:pPr>
                      <w:tabs>
                        <w:tab w:val="left" w:pos="859"/>
                      </w:tabs>
                      <w:spacing w:line="249" w:lineRule="exact"/>
                      <w:ind w:left="20"/>
                      <w:rPr>
                        <w:sz w:val="21"/>
                      </w:rPr>
                    </w:pPr>
                  </w:p>
                  <w:p w14:paraId="61A98A4C">
                    <w:pPr>
                      <w:pStyle w:val="36"/>
                      <w:ind w:firstLine="440"/>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F0E30">
    <w:pPr>
      <w:pStyle w:val="23"/>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F47D1">
    <w:pPr>
      <w:pStyle w:val="2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DB38D">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568F0">
    <w:pPr>
      <w:pStyle w:val="23"/>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D106B"/>
    <w:multiLevelType w:val="singleLevel"/>
    <w:tmpl w:val="071D106B"/>
    <w:lvl w:ilvl="0" w:tentative="0">
      <w:start w:val="2"/>
      <w:numFmt w:val="chineseCounting"/>
      <w:suff w:val="space"/>
      <w:lvlText w:val="第%1部分"/>
      <w:lvlJc w:val="left"/>
      <w:rPr>
        <w:rFonts w:hint="eastAsia"/>
      </w:rPr>
    </w:lvl>
  </w:abstractNum>
  <w:abstractNum w:abstractNumId="1">
    <w:nsid w:val="0FF9642E"/>
    <w:multiLevelType w:val="multilevel"/>
    <w:tmpl w:val="0FF9642E"/>
    <w:lvl w:ilvl="0" w:tentative="0">
      <w:start w:val="1"/>
      <w:numFmt w:val="decimal"/>
      <w:lvlText w:val="第%1章"/>
      <w:lvlJc w:val="left"/>
      <w:pPr>
        <w:tabs>
          <w:tab w:val="left" w:pos="3134"/>
        </w:tabs>
        <w:ind w:left="4650" w:hanging="1290"/>
      </w:pPr>
      <w:rPr>
        <w:rFonts w:hint="default"/>
        <w:b/>
        <w:lang w:val="en-US"/>
      </w:rPr>
    </w:lvl>
    <w:lvl w:ilvl="1" w:tentative="0">
      <w:start w:val="1"/>
      <w:numFmt w:val="lowerLetter"/>
      <w:lvlText w:val="%2)"/>
      <w:lvlJc w:val="left"/>
      <w:pPr>
        <w:tabs>
          <w:tab w:val="left" w:pos="1380"/>
        </w:tabs>
        <w:ind w:left="2804" w:hanging="420"/>
      </w:pPr>
      <w:rPr>
        <w:rFonts w:hint="eastAsia"/>
      </w:rPr>
    </w:lvl>
    <w:lvl w:ilvl="2" w:tentative="0">
      <w:start w:val="1"/>
      <w:numFmt w:val="lowerRoman"/>
      <w:lvlText w:val="%3."/>
      <w:lvlJc w:val="right"/>
      <w:pPr>
        <w:tabs>
          <w:tab w:val="left" w:pos="1800"/>
        </w:tabs>
        <w:ind w:left="3224" w:hanging="420"/>
      </w:pPr>
      <w:rPr>
        <w:rFonts w:hint="eastAsia"/>
      </w:rPr>
    </w:lvl>
    <w:lvl w:ilvl="3" w:tentative="0">
      <w:start w:val="1"/>
      <w:numFmt w:val="decimal"/>
      <w:lvlText w:val="%4."/>
      <w:lvlJc w:val="left"/>
      <w:pPr>
        <w:tabs>
          <w:tab w:val="left" w:pos="2220"/>
        </w:tabs>
        <w:ind w:left="3644" w:hanging="420"/>
      </w:pPr>
      <w:rPr>
        <w:rFonts w:hint="eastAsia"/>
      </w:rPr>
    </w:lvl>
    <w:lvl w:ilvl="4" w:tentative="0">
      <w:start w:val="1"/>
      <w:numFmt w:val="lowerLetter"/>
      <w:lvlText w:val="%5)"/>
      <w:lvlJc w:val="left"/>
      <w:pPr>
        <w:tabs>
          <w:tab w:val="left" w:pos="2640"/>
        </w:tabs>
        <w:ind w:left="4064" w:hanging="420"/>
      </w:pPr>
      <w:rPr>
        <w:rFonts w:hint="eastAsia"/>
      </w:rPr>
    </w:lvl>
    <w:lvl w:ilvl="5" w:tentative="0">
      <w:start w:val="1"/>
      <w:numFmt w:val="lowerRoman"/>
      <w:lvlText w:val="%6."/>
      <w:lvlJc w:val="right"/>
      <w:pPr>
        <w:tabs>
          <w:tab w:val="left" w:pos="3060"/>
        </w:tabs>
        <w:ind w:left="4484" w:hanging="420"/>
      </w:pPr>
      <w:rPr>
        <w:rFonts w:hint="eastAsia"/>
      </w:rPr>
    </w:lvl>
    <w:lvl w:ilvl="6" w:tentative="0">
      <w:start w:val="1"/>
      <w:numFmt w:val="decimal"/>
      <w:lvlText w:val="%7."/>
      <w:lvlJc w:val="left"/>
      <w:pPr>
        <w:tabs>
          <w:tab w:val="left" w:pos="3480"/>
        </w:tabs>
        <w:ind w:left="4904" w:hanging="420"/>
      </w:pPr>
      <w:rPr>
        <w:rFonts w:hint="eastAsia"/>
      </w:rPr>
    </w:lvl>
    <w:lvl w:ilvl="7" w:tentative="0">
      <w:start w:val="1"/>
      <w:numFmt w:val="lowerLetter"/>
      <w:lvlText w:val="%8)"/>
      <w:lvlJc w:val="left"/>
      <w:pPr>
        <w:tabs>
          <w:tab w:val="left" w:pos="3900"/>
        </w:tabs>
        <w:ind w:left="5324" w:hanging="420"/>
      </w:pPr>
      <w:rPr>
        <w:rFonts w:hint="eastAsia"/>
      </w:rPr>
    </w:lvl>
    <w:lvl w:ilvl="8" w:tentative="0">
      <w:start w:val="1"/>
      <w:numFmt w:val="lowerRoman"/>
      <w:lvlText w:val="%9."/>
      <w:lvlJc w:val="right"/>
      <w:pPr>
        <w:tabs>
          <w:tab w:val="left" w:pos="4320"/>
        </w:tabs>
        <w:ind w:left="5744" w:hanging="420"/>
      </w:pPr>
      <w:rPr>
        <w:rFonts w:hint="eastAsia"/>
      </w:rPr>
    </w:lvl>
  </w:abstractNum>
  <w:abstractNum w:abstractNumId="2">
    <w:nsid w:val="14694C14"/>
    <w:multiLevelType w:val="singleLevel"/>
    <w:tmpl w:val="14694C14"/>
    <w:lvl w:ilvl="0" w:tentative="0">
      <w:start w:val="1"/>
      <w:numFmt w:val="decimal"/>
      <w:suff w:val="nothing"/>
      <w:lvlText w:val="%1、"/>
      <w:lvlJc w:val="left"/>
    </w:lvl>
  </w:abstractNum>
  <w:abstractNum w:abstractNumId="3">
    <w:nsid w:val="48BFA080"/>
    <w:multiLevelType w:val="singleLevel"/>
    <w:tmpl w:val="48BFA080"/>
    <w:lvl w:ilvl="0" w:tentative="0">
      <w:start w:val="1"/>
      <w:numFmt w:val="decimal"/>
      <w:suff w:val="nothing"/>
      <w:lvlText w:val="（%1）"/>
      <w:lvlJc w:val="left"/>
    </w:lvl>
  </w:abstractNum>
  <w:abstractNum w:abstractNumId="4">
    <w:nsid w:val="56C78831"/>
    <w:multiLevelType w:val="singleLevel"/>
    <w:tmpl w:val="56C78831"/>
    <w:lvl w:ilvl="0" w:tentative="0">
      <w:start w:val="3"/>
      <w:numFmt w:val="decimal"/>
      <w:suff w:val="nothing"/>
      <w:lvlText w:val="%1、"/>
      <w:lvlJc w:val="left"/>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zVmNDllYzk5YzA2ZDkwNzk5MTY2NDcxMTk5MTUyYmM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085"/>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6D0"/>
    <w:rsid w:val="003B7D7E"/>
    <w:rsid w:val="003C0EF3"/>
    <w:rsid w:val="003C53B2"/>
    <w:rsid w:val="003C6422"/>
    <w:rsid w:val="003C6C9A"/>
    <w:rsid w:val="003D6961"/>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550B"/>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E0517"/>
    <w:rsid w:val="004E0C12"/>
    <w:rsid w:val="004E13F0"/>
    <w:rsid w:val="004E21D2"/>
    <w:rsid w:val="004E4854"/>
    <w:rsid w:val="004E5FCE"/>
    <w:rsid w:val="004F036B"/>
    <w:rsid w:val="004F052D"/>
    <w:rsid w:val="004F0E54"/>
    <w:rsid w:val="004F7B7E"/>
    <w:rsid w:val="00501785"/>
    <w:rsid w:val="00501EE6"/>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6E6E"/>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32E1"/>
    <w:rsid w:val="0077418F"/>
    <w:rsid w:val="00774C01"/>
    <w:rsid w:val="007823C9"/>
    <w:rsid w:val="007835B7"/>
    <w:rsid w:val="007863E1"/>
    <w:rsid w:val="007910D3"/>
    <w:rsid w:val="0079336E"/>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232F"/>
    <w:rsid w:val="00854E2A"/>
    <w:rsid w:val="008550CD"/>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0451"/>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53F"/>
    <w:rsid w:val="00974577"/>
    <w:rsid w:val="00975045"/>
    <w:rsid w:val="00976670"/>
    <w:rsid w:val="00976BC3"/>
    <w:rsid w:val="00976E64"/>
    <w:rsid w:val="00977929"/>
    <w:rsid w:val="0098426D"/>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9F7861"/>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06AE3"/>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4D6E"/>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3BC9"/>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2235"/>
    <w:rsid w:val="00E43B3E"/>
    <w:rsid w:val="00E4414C"/>
    <w:rsid w:val="00E443BA"/>
    <w:rsid w:val="00E45FB7"/>
    <w:rsid w:val="00E470CE"/>
    <w:rsid w:val="00E50F94"/>
    <w:rsid w:val="00E528C9"/>
    <w:rsid w:val="00E5462E"/>
    <w:rsid w:val="00E62AD0"/>
    <w:rsid w:val="00E65605"/>
    <w:rsid w:val="00E65AFF"/>
    <w:rsid w:val="00E6767D"/>
    <w:rsid w:val="00E7411A"/>
    <w:rsid w:val="00E77A83"/>
    <w:rsid w:val="00E85972"/>
    <w:rsid w:val="00E90E9C"/>
    <w:rsid w:val="00E9512C"/>
    <w:rsid w:val="00EA0077"/>
    <w:rsid w:val="00EA0E38"/>
    <w:rsid w:val="00EA1872"/>
    <w:rsid w:val="00EA2F2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1E2A"/>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177A27"/>
    <w:rsid w:val="01211EC7"/>
    <w:rsid w:val="0136732D"/>
    <w:rsid w:val="014C4DA3"/>
    <w:rsid w:val="01565C22"/>
    <w:rsid w:val="01592D24"/>
    <w:rsid w:val="017037C3"/>
    <w:rsid w:val="01775986"/>
    <w:rsid w:val="01837814"/>
    <w:rsid w:val="018E7ABF"/>
    <w:rsid w:val="0198796C"/>
    <w:rsid w:val="01C133B8"/>
    <w:rsid w:val="01C81F50"/>
    <w:rsid w:val="01EC55F9"/>
    <w:rsid w:val="020F2171"/>
    <w:rsid w:val="023423AE"/>
    <w:rsid w:val="02454D80"/>
    <w:rsid w:val="027F16DB"/>
    <w:rsid w:val="0285782E"/>
    <w:rsid w:val="02A3645B"/>
    <w:rsid w:val="02AC38D7"/>
    <w:rsid w:val="02BC7D06"/>
    <w:rsid w:val="02C62933"/>
    <w:rsid w:val="02F778BD"/>
    <w:rsid w:val="03121468"/>
    <w:rsid w:val="03604B36"/>
    <w:rsid w:val="03822C68"/>
    <w:rsid w:val="038C654A"/>
    <w:rsid w:val="038E07EA"/>
    <w:rsid w:val="039224BE"/>
    <w:rsid w:val="039C7734"/>
    <w:rsid w:val="039F2BBC"/>
    <w:rsid w:val="03AA4003"/>
    <w:rsid w:val="03B64756"/>
    <w:rsid w:val="03D96AC5"/>
    <w:rsid w:val="04001E75"/>
    <w:rsid w:val="041D47D5"/>
    <w:rsid w:val="045D3085"/>
    <w:rsid w:val="045F6B9B"/>
    <w:rsid w:val="04660909"/>
    <w:rsid w:val="04A17779"/>
    <w:rsid w:val="04B96AEC"/>
    <w:rsid w:val="04CC1D57"/>
    <w:rsid w:val="04CF59E7"/>
    <w:rsid w:val="04F419D9"/>
    <w:rsid w:val="05071955"/>
    <w:rsid w:val="050B36B6"/>
    <w:rsid w:val="051E3875"/>
    <w:rsid w:val="05240BE8"/>
    <w:rsid w:val="052971A9"/>
    <w:rsid w:val="0533125B"/>
    <w:rsid w:val="054B2562"/>
    <w:rsid w:val="054F4EE9"/>
    <w:rsid w:val="056337F9"/>
    <w:rsid w:val="05704DD8"/>
    <w:rsid w:val="057743B8"/>
    <w:rsid w:val="05850883"/>
    <w:rsid w:val="0596513B"/>
    <w:rsid w:val="05AF064A"/>
    <w:rsid w:val="05BE3D95"/>
    <w:rsid w:val="05C018BB"/>
    <w:rsid w:val="065F7326"/>
    <w:rsid w:val="0693167B"/>
    <w:rsid w:val="06AB5586"/>
    <w:rsid w:val="06BF670C"/>
    <w:rsid w:val="06C6107F"/>
    <w:rsid w:val="06CB44B7"/>
    <w:rsid w:val="06E84EE4"/>
    <w:rsid w:val="06EA381B"/>
    <w:rsid w:val="06EE20B1"/>
    <w:rsid w:val="06F153B1"/>
    <w:rsid w:val="06F85085"/>
    <w:rsid w:val="06FF5041"/>
    <w:rsid w:val="071D4AEC"/>
    <w:rsid w:val="07464042"/>
    <w:rsid w:val="075B63E2"/>
    <w:rsid w:val="07677894"/>
    <w:rsid w:val="079270C9"/>
    <w:rsid w:val="07A11279"/>
    <w:rsid w:val="07A66248"/>
    <w:rsid w:val="07B1625B"/>
    <w:rsid w:val="07B31A08"/>
    <w:rsid w:val="07BC4304"/>
    <w:rsid w:val="07C5765D"/>
    <w:rsid w:val="07D96E9C"/>
    <w:rsid w:val="08071442"/>
    <w:rsid w:val="08167EB9"/>
    <w:rsid w:val="08183C31"/>
    <w:rsid w:val="082B7A28"/>
    <w:rsid w:val="08311B3B"/>
    <w:rsid w:val="084F2A00"/>
    <w:rsid w:val="084F4F9C"/>
    <w:rsid w:val="08534B88"/>
    <w:rsid w:val="085530EF"/>
    <w:rsid w:val="086C2339"/>
    <w:rsid w:val="0874513E"/>
    <w:rsid w:val="087B5F6E"/>
    <w:rsid w:val="08911789"/>
    <w:rsid w:val="08A27337"/>
    <w:rsid w:val="08BC1608"/>
    <w:rsid w:val="08C4732B"/>
    <w:rsid w:val="08F062C2"/>
    <w:rsid w:val="09024A5A"/>
    <w:rsid w:val="09044B9E"/>
    <w:rsid w:val="0906003D"/>
    <w:rsid w:val="090B19E1"/>
    <w:rsid w:val="0910646C"/>
    <w:rsid w:val="09382988"/>
    <w:rsid w:val="09412D13"/>
    <w:rsid w:val="09576640"/>
    <w:rsid w:val="098F0B0A"/>
    <w:rsid w:val="09AC6517"/>
    <w:rsid w:val="09B907C2"/>
    <w:rsid w:val="09E15530"/>
    <w:rsid w:val="09E574FA"/>
    <w:rsid w:val="0A0D0E47"/>
    <w:rsid w:val="0A1B58FF"/>
    <w:rsid w:val="0A2163C5"/>
    <w:rsid w:val="0A334D52"/>
    <w:rsid w:val="0A410AF1"/>
    <w:rsid w:val="0A514413"/>
    <w:rsid w:val="0A682522"/>
    <w:rsid w:val="0A6D7B49"/>
    <w:rsid w:val="0A82485B"/>
    <w:rsid w:val="0A94402E"/>
    <w:rsid w:val="0AD11D45"/>
    <w:rsid w:val="0AD66408"/>
    <w:rsid w:val="0AE903B8"/>
    <w:rsid w:val="0AEE0C79"/>
    <w:rsid w:val="0B1873A5"/>
    <w:rsid w:val="0B1D330C"/>
    <w:rsid w:val="0B1F7084"/>
    <w:rsid w:val="0B3B0CA0"/>
    <w:rsid w:val="0B5F3B76"/>
    <w:rsid w:val="0B602C14"/>
    <w:rsid w:val="0B603134"/>
    <w:rsid w:val="0B7462A1"/>
    <w:rsid w:val="0B8415DD"/>
    <w:rsid w:val="0B8B2A81"/>
    <w:rsid w:val="0B8C21F5"/>
    <w:rsid w:val="0BA137A0"/>
    <w:rsid w:val="0BA16641"/>
    <w:rsid w:val="0BAD643E"/>
    <w:rsid w:val="0BB71100"/>
    <w:rsid w:val="0BD7786C"/>
    <w:rsid w:val="0C0F534B"/>
    <w:rsid w:val="0C49645E"/>
    <w:rsid w:val="0C60588C"/>
    <w:rsid w:val="0C88548B"/>
    <w:rsid w:val="0C8A2C23"/>
    <w:rsid w:val="0C9337AA"/>
    <w:rsid w:val="0CA23AC9"/>
    <w:rsid w:val="0CA43CE5"/>
    <w:rsid w:val="0CAC6BB6"/>
    <w:rsid w:val="0CB437FC"/>
    <w:rsid w:val="0CC34F37"/>
    <w:rsid w:val="0CE82491"/>
    <w:rsid w:val="0CEA05CC"/>
    <w:rsid w:val="0CEA1C84"/>
    <w:rsid w:val="0CF611FD"/>
    <w:rsid w:val="0D2546FA"/>
    <w:rsid w:val="0D864353"/>
    <w:rsid w:val="0D8F7348"/>
    <w:rsid w:val="0D993394"/>
    <w:rsid w:val="0D9C676A"/>
    <w:rsid w:val="0DC37950"/>
    <w:rsid w:val="0DCC756C"/>
    <w:rsid w:val="0DD505F0"/>
    <w:rsid w:val="0DDA1988"/>
    <w:rsid w:val="0DEA5E6A"/>
    <w:rsid w:val="0DFC36FB"/>
    <w:rsid w:val="0E2230B3"/>
    <w:rsid w:val="0E311790"/>
    <w:rsid w:val="0E536488"/>
    <w:rsid w:val="0E560A58"/>
    <w:rsid w:val="0E782D40"/>
    <w:rsid w:val="0E820056"/>
    <w:rsid w:val="0E837D5C"/>
    <w:rsid w:val="0E8A515C"/>
    <w:rsid w:val="0EAD00AF"/>
    <w:rsid w:val="0EB37705"/>
    <w:rsid w:val="0EB775D4"/>
    <w:rsid w:val="0EE626FA"/>
    <w:rsid w:val="0EFE5203"/>
    <w:rsid w:val="0F0462B0"/>
    <w:rsid w:val="0F0D26CC"/>
    <w:rsid w:val="0F1669F0"/>
    <w:rsid w:val="0F184ADA"/>
    <w:rsid w:val="0F225F74"/>
    <w:rsid w:val="0F271942"/>
    <w:rsid w:val="0F331350"/>
    <w:rsid w:val="0F337FF9"/>
    <w:rsid w:val="0F583529"/>
    <w:rsid w:val="0F6B2388"/>
    <w:rsid w:val="0F7756E1"/>
    <w:rsid w:val="0FA1669B"/>
    <w:rsid w:val="0FD20B69"/>
    <w:rsid w:val="0FDA030E"/>
    <w:rsid w:val="0FE14279"/>
    <w:rsid w:val="10173A8A"/>
    <w:rsid w:val="102A0D6A"/>
    <w:rsid w:val="1035572D"/>
    <w:rsid w:val="10B84D24"/>
    <w:rsid w:val="10D8237A"/>
    <w:rsid w:val="10DB352A"/>
    <w:rsid w:val="10EF538B"/>
    <w:rsid w:val="10F16DCD"/>
    <w:rsid w:val="111B209C"/>
    <w:rsid w:val="11312DC0"/>
    <w:rsid w:val="113927BE"/>
    <w:rsid w:val="114701EB"/>
    <w:rsid w:val="115F467E"/>
    <w:rsid w:val="118848CF"/>
    <w:rsid w:val="118A654F"/>
    <w:rsid w:val="11BA5F58"/>
    <w:rsid w:val="11C11380"/>
    <w:rsid w:val="11EB5F12"/>
    <w:rsid w:val="12011357"/>
    <w:rsid w:val="12092462"/>
    <w:rsid w:val="120F2891"/>
    <w:rsid w:val="1219036F"/>
    <w:rsid w:val="121A13FC"/>
    <w:rsid w:val="121D403F"/>
    <w:rsid w:val="12413D84"/>
    <w:rsid w:val="12685EBC"/>
    <w:rsid w:val="12990F61"/>
    <w:rsid w:val="129F7C67"/>
    <w:rsid w:val="12E22503"/>
    <w:rsid w:val="12F55F39"/>
    <w:rsid w:val="13264BD7"/>
    <w:rsid w:val="13380DD8"/>
    <w:rsid w:val="133D09EF"/>
    <w:rsid w:val="1344521A"/>
    <w:rsid w:val="134804CB"/>
    <w:rsid w:val="13645ACB"/>
    <w:rsid w:val="139B74C4"/>
    <w:rsid w:val="13A50343"/>
    <w:rsid w:val="13D44B3F"/>
    <w:rsid w:val="13E957B5"/>
    <w:rsid w:val="13EB41FA"/>
    <w:rsid w:val="13F54664"/>
    <w:rsid w:val="14072DAB"/>
    <w:rsid w:val="14143437"/>
    <w:rsid w:val="14200447"/>
    <w:rsid w:val="14316870"/>
    <w:rsid w:val="14412BB2"/>
    <w:rsid w:val="1452373F"/>
    <w:rsid w:val="146F2D0E"/>
    <w:rsid w:val="149211FB"/>
    <w:rsid w:val="14986A34"/>
    <w:rsid w:val="14A910E0"/>
    <w:rsid w:val="14AF2F65"/>
    <w:rsid w:val="14D00F64"/>
    <w:rsid w:val="14DB278B"/>
    <w:rsid w:val="14DC7CD5"/>
    <w:rsid w:val="14F03BE9"/>
    <w:rsid w:val="14F52C04"/>
    <w:rsid w:val="152B22BF"/>
    <w:rsid w:val="154162B3"/>
    <w:rsid w:val="15997A33"/>
    <w:rsid w:val="15A078BC"/>
    <w:rsid w:val="15AE733A"/>
    <w:rsid w:val="15DF7B32"/>
    <w:rsid w:val="15F07F9B"/>
    <w:rsid w:val="16322361"/>
    <w:rsid w:val="16436C21"/>
    <w:rsid w:val="164D0F49"/>
    <w:rsid w:val="166C3DC8"/>
    <w:rsid w:val="16930926"/>
    <w:rsid w:val="1697741D"/>
    <w:rsid w:val="16CA259A"/>
    <w:rsid w:val="16D849B0"/>
    <w:rsid w:val="16F93153"/>
    <w:rsid w:val="16F969DB"/>
    <w:rsid w:val="16FE3FF2"/>
    <w:rsid w:val="17137D16"/>
    <w:rsid w:val="17213DAE"/>
    <w:rsid w:val="172A1253"/>
    <w:rsid w:val="172B0B5F"/>
    <w:rsid w:val="1765414D"/>
    <w:rsid w:val="177D12DA"/>
    <w:rsid w:val="177E15D6"/>
    <w:rsid w:val="17887A59"/>
    <w:rsid w:val="178A3AD7"/>
    <w:rsid w:val="179E7583"/>
    <w:rsid w:val="17BB6064"/>
    <w:rsid w:val="17D30F40"/>
    <w:rsid w:val="17F13B56"/>
    <w:rsid w:val="17F378CF"/>
    <w:rsid w:val="18147845"/>
    <w:rsid w:val="18264209"/>
    <w:rsid w:val="18534811"/>
    <w:rsid w:val="188C4DE8"/>
    <w:rsid w:val="18904498"/>
    <w:rsid w:val="18A3471E"/>
    <w:rsid w:val="18AE3384"/>
    <w:rsid w:val="18BA7315"/>
    <w:rsid w:val="18C474BD"/>
    <w:rsid w:val="18D333DA"/>
    <w:rsid w:val="18FB66E5"/>
    <w:rsid w:val="1901601B"/>
    <w:rsid w:val="191E097B"/>
    <w:rsid w:val="192B4DF7"/>
    <w:rsid w:val="19405F26"/>
    <w:rsid w:val="19434185"/>
    <w:rsid w:val="194A112D"/>
    <w:rsid w:val="194D2535"/>
    <w:rsid w:val="194D2A56"/>
    <w:rsid w:val="19570331"/>
    <w:rsid w:val="1975142E"/>
    <w:rsid w:val="198D53B4"/>
    <w:rsid w:val="19BA6371"/>
    <w:rsid w:val="19CC487B"/>
    <w:rsid w:val="19F52C99"/>
    <w:rsid w:val="19F618F8"/>
    <w:rsid w:val="19F90D7B"/>
    <w:rsid w:val="19FE255B"/>
    <w:rsid w:val="1A1837F3"/>
    <w:rsid w:val="1A1C5FFD"/>
    <w:rsid w:val="1A292634"/>
    <w:rsid w:val="1A3B272E"/>
    <w:rsid w:val="1A4964D8"/>
    <w:rsid w:val="1A4C59BC"/>
    <w:rsid w:val="1A554870"/>
    <w:rsid w:val="1A613215"/>
    <w:rsid w:val="1A6B4094"/>
    <w:rsid w:val="1A7867B1"/>
    <w:rsid w:val="1A98650B"/>
    <w:rsid w:val="1A9F3EA8"/>
    <w:rsid w:val="1AA55605"/>
    <w:rsid w:val="1AA94AE2"/>
    <w:rsid w:val="1AB332F0"/>
    <w:rsid w:val="1AE6371B"/>
    <w:rsid w:val="1AF6583C"/>
    <w:rsid w:val="1AFA5418"/>
    <w:rsid w:val="1B067919"/>
    <w:rsid w:val="1B0A2D61"/>
    <w:rsid w:val="1B0F63F2"/>
    <w:rsid w:val="1B476E3B"/>
    <w:rsid w:val="1B7B66B5"/>
    <w:rsid w:val="1B7E3953"/>
    <w:rsid w:val="1BC03F6C"/>
    <w:rsid w:val="1BD143CB"/>
    <w:rsid w:val="1BDA6DEB"/>
    <w:rsid w:val="1BF43C15"/>
    <w:rsid w:val="1C0B7651"/>
    <w:rsid w:val="1C1E0C92"/>
    <w:rsid w:val="1C225F98"/>
    <w:rsid w:val="1C2564C4"/>
    <w:rsid w:val="1C272EF4"/>
    <w:rsid w:val="1C424981"/>
    <w:rsid w:val="1C481872"/>
    <w:rsid w:val="1C563268"/>
    <w:rsid w:val="1C726D5F"/>
    <w:rsid w:val="1C977056"/>
    <w:rsid w:val="1CAA6093"/>
    <w:rsid w:val="1CAC2742"/>
    <w:rsid w:val="1CCE090A"/>
    <w:rsid w:val="1CEC2B3E"/>
    <w:rsid w:val="1D271DC8"/>
    <w:rsid w:val="1D2A0A29"/>
    <w:rsid w:val="1D320A97"/>
    <w:rsid w:val="1D3541D9"/>
    <w:rsid w:val="1D39260F"/>
    <w:rsid w:val="1D3E6FE0"/>
    <w:rsid w:val="1D4F1A4B"/>
    <w:rsid w:val="1D4F2685"/>
    <w:rsid w:val="1D7338DC"/>
    <w:rsid w:val="1D8965DF"/>
    <w:rsid w:val="1D9236E6"/>
    <w:rsid w:val="1DAF281A"/>
    <w:rsid w:val="1DD106B2"/>
    <w:rsid w:val="1DE008F5"/>
    <w:rsid w:val="1DF0665E"/>
    <w:rsid w:val="1E29229C"/>
    <w:rsid w:val="1E3E2D25"/>
    <w:rsid w:val="1E4507E4"/>
    <w:rsid w:val="1E6210B8"/>
    <w:rsid w:val="1E666F5E"/>
    <w:rsid w:val="1E7D5E1E"/>
    <w:rsid w:val="1E9E482A"/>
    <w:rsid w:val="1EC014EF"/>
    <w:rsid w:val="1EC664F8"/>
    <w:rsid w:val="1EC91389"/>
    <w:rsid w:val="1ED3045A"/>
    <w:rsid w:val="1EDA6951"/>
    <w:rsid w:val="1EF70B4B"/>
    <w:rsid w:val="1F0E6952"/>
    <w:rsid w:val="1F220A99"/>
    <w:rsid w:val="1F2A3348"/>
    <w:rsid w:val="1F4673C3"/>
    <w:rsid w:val="1F4C4878"/>
    <w:rsid w:val="1F657087"/>
    <w:rsid w:val="1F843579"/>
    <w:rsid w:val="1FA0658E"/>
    <w:rsid w:val="1FA2402F"/>
    <w:rsid w:val="1FAB572F"/>
    <w:rsid w:val="1FBC2C9C"/>
    <w:rsid w:val="1FDB5818"/>
    <w:rsid w:val="1FF91559"/>
    <w:rsid w:val="20131117"/>
    <w:rsid w:val="20176124"/>
    <w:rsid w:val="20531852"/>
    <w:rsid w:val="205B3BE3"/>
    <w:rsid w:val="208239E9"/>
    <w:rsid w:val="20A43E5C"/>
    <w:rsid w:val="20B61DE1"/>
    <w:rsid w:val="20C55B80"/>
    <w:rsid w:val="20C81DA3"/>
    <w:rsid w:val="21132D8F"/>
    <w:rsid w:val="211C60E8"/>
    <w:rsid w:val="2133559C"/>
    <w:rsid w:val="213F5933"/>
    <w:rsid w:val="214E697E"/>
    <w:rsid w:val="218B501C"/>
    <w:rsid w:val="21974A6F"/>
    <w:rsid w:val="2197576F"/>
    <w:rsid w:val="219C4B33"/>
    <w:rsid w:val="21A3266E"/>
    <w:rsid w:val="21C26CCA"/>
    <w:rsid w:val="21CB284F"/>
    <w:rsid w:val="21CC31CC"/>
    <w:rsid w:val="21E93AF0"/>
    <w:rsid w:val="22155EFF"/>
    <w:rsid w:val="22411A5B"/>
    <w:rsid w:val="224873BB"/>
    <w:rsid w:val="225B49EE"/>
    <w:rsid w:val="226006F6"/>
    <w:rsid w:val="2268661C"/>
    <w:rsid w:val="22771730"/>
    <w:rsid w:val="22782496"/>
    <w:rsid w:val="227855A0"/>
    <w:rsid w:val="227C4964"/>
    <w:rsid w:val="227C4DC1"/>
    <w:rsid w:val="227F0AA8"/>
    <w:rsid w:val="22AB2EC8"/>
    <w:rsid w:val="22CC3183"/>
    <w:rsid w:val="22D87DED"/>
    <w:rsid w:val="22D95913"/>
    <w:rsid w:val="22F65468"/>
    <w:rsid w:val="22FD5AA5"/>
    <w:rsid w:val="231F66DA"/>
    <w:rsid w:val="23207452"/>
    <w:rsid w:val="232C18AC"/>
    <w:rsid w:val="234B4D59"/>
    <w:rsid w:val="2355768F"/>
    <w:rsid w:val="2364528E"/>
    <w:rsid w:val="23756A33"/>
    <w:rsid w:val="238B4E5F"/>
    <w:rsid w:val="2395665B"/>
    <w:rsid w:val="23AC3027"/>
    <w:rsid w:val="23D557DC"/>
    <w:rsid w:val="23D70CD9"/>
    <w:rsid w:val="240D3AC6"/>
    <w:rsid w:val="24184152"/>
    <w:rsid w:val="241C63FF"/>
    <w:rsid w:val="24341072"/>
    <w:rsid w:val="243C43AB"/>
    <w:rsid w:val="244B0A92"/>
    <w:rsid w:val="244C0D50"/>
    <w:rsid w:val="245E4322"/>
    <w:rsid w:val="247B4ED4"/>
    <w:rsid w:val="247D6155"/>
    <w:rsid w:val="247E3EBA"/>
    <w:rsid w:val="249929CE"/>
    <w:rsid w:val="249A5961"/>
    <w:rsid w:val="24B2466D"/>
    <w:rsid w:val="24BE1264"/>
    <w:rsid w:val="24C10D89"/>
    <w:rsid w:val="24D33F00"/>
    <w:rsid w:val="24E02810"/>
    <w:rsid w:val="24F36825"/>
    <w:rsid w:val="251D497E"/>
    <w:rsid w:val="253E4BFC"/>
    <w:rsid w:val="2540611D"/>
    <w:rsid w:val="25445D9E"/>
    <w:rsid w:val="25486966"/>
    <w:rsid w:val="257C40AA"/>
    <w:rsid w:val="259049AF"/>
    <w:rsid w:val="25DD1EC3"/>
    <w:rsid w:val="25EE7C9B"/>
    <w:rsid w:val="26211AAB"/>
    <w:rsid w:val="263D4A6F"/>
    <w:rsid w:val="264D28A0"/>
    <w:rsid w:val="266013C0"/>
    <w:rsid w:val="267B5E32"/>
    <w:rsid w:val="2681079B"/>
    <w:rsid w:val="269640B9"/>
    <w:rsid w:val="26AB069B"/>
    <w:rsid w:val="26B40B71"/>
    <w:rsid w:val="26CF57CC"/>
    <w:rsid w:val="26D0702D"/>
    <w:rsid w:val="26D92D59"/>
    <w:rsid w:val="27022042"/>
    <w:rsid w:val="272B4D3F"/>
    <w:rsid w:val="27433CA3"/>
    <w:rsid w:val="27461532"/>
    <w:rsid w:val="27502468"/>
    <w:rsid w:val="276C29FF"/>
    <w:rsid w:val="27954415"/>
    <w:rsid w:val="27B13177"/>
    <w:rsid w:val="27BF3B42"/>
    <w:rsid w:val="280E2503"/>
    <w:rsid w:val="28226545"/>
    <w:rsid w:val="28341F69"/>
    <w:rsid w:val="283678DA"/>
    <w:rsid w:val="28506677"/>
    <w:rsid w:val="28855A7D"/>
    <w:rsid w:val="28965C6A"/>
    <w:rsid w:val="28D63020"/>
    <w:rsid w:val="28F6721F"/>
    <w:rsid w:val="28FD66D7"/>
    <w:rsid w:val="29192F0D"/>
    <w:rsid w:val="291C47AB"/>
    <w:rsid w:val="294705FC"/>
    <w:rsid w:val="29A15EDD"/>
    <w:rsid w:val="29EB624B"/>
    <w:rsid w:val="2A0D0CC4"/>
    <w:rsid w:val="2A275ACA"/>
    <w:rsid w:val="2A472991"/>
    <w:rsid w:val="2A490E0C"/>
    <w:rsid w:val="2A566A91"/>
    <w:rsid w:val="2A6F5C0D"/>
    <w:rsid w:val="2A820F84"/>
    <w:rsid w:val="2ABF25ED"/>
    <w:rsid w:val="2AE070AF"/>
    <w:rsid w:val="2AE61515"/>
    <w:rsid w:val="2AFE685E"/>
    <w:rsid w:val="2B2A3917"/>
    <w:rsid w:val="2B307FD0"/>
    <w:rsid w:val="2B336ED3"/>
    <w:rsid w:val="2B471FB3"/>
    <w:rsid w:val="2B4D0625"/>
    <w:rsid w:val="2B4D4A0F"/>
    <w:rsid w:val="2B525912"/>
    <w:rsid w:val="2B73700F"/>
    <w:rsid w:val="2B8121A1"/>
    <w:rsid w:val="2BB46F1D"/>
    <w:rsid w:val="2BC47427"/>
    <w:rsid w:val="2BDB26FC"/>
    <w:rsid w:val="2BE30D8F"/>
    <w:rsid w:val="2BE94E19"/>
    <w:rsid w:val="2BE95450"/>
    <w:rsid w:val="2BFE6C98"/>
    <w:rsid w:val="2C0440A1"/>
    <w:rsid w:val="2C0734F1"/>
    <w:rsid w:val="2C1F4808"/>
    <w:rsid w:val="2C2643AF"/>
    <w:rsid w:val="2C2C73FB"/>
    <w:rsid w:val="2C4464F3"/>
    <w:rsid w:val="2C494983"/>
    <w:rsid w:val="2C5748D0"/>
    <w:rsid w:val="2CA70830"/>
    <w:rsid w:val="2CB3174D"/>
    <w:rsid w:val="2CC76232"/>
    <w:rsid w:val="2CE73C43"/>
    <w:rsid w:val="2CF271A5"/>
    <w:rsid w:val="2CF95076"/>
    <w:rsid w:val="2CFD77A3"/>
    <w:rsid w:val="2D395076"/>
    <w:rsid w:val="2D426A09"/>
    <w:rsid w:val="2D69305E"/>
    <w:rsid w:val="2D8400D7"/>
    <w:rsid w:val="2D851D9A"/>
    <w:rsid w:val="2D880661"/>
    <w:rsid w:val="2DA140C7"/>
    <w:rsid w:val="2DB271D7"/>
    <w:rsid w:val="2DD438A6"/>
    <w:rsid w:val="2DD45655"/>
    <w:rsid w:val="2E241400"/>
    <w:rsid w:val="2E7B3D22"/>
    <w:rsid w:val="2E8F3683"/>
    <w:rsid w:val="2EA65243"/>
    <w:rsid w:val="2EA80FBB"/>
    <w:rsid w:val="2EA8720D"/>
    <w:rsid w:val="2EDE0726"/>
    <w:rsid w:val="2EE63891"/>
    <w:rsid w:val="2EF0571D"/>
    <w:rsid w:val="2F104DB2"/>
    <w:rsid w:val="2F1D70ED"/>
    <w:rsid w:val="2F462582"/>
    <w:rsid w:val="2F7B10A8"/>
    <w:rsid w:val="2FA133CD"/>
    <w:rsid w:val="2FB7522E"/>
    <w:rsid w:val="2FC069D1"/>
    <w:rsid w:val="2FE7396B"/>
    <w:rsid w:val="300D7D4A"/>
    <w:rsid w:val="30100064"/>
    <w:rsid w:val="30110DE2"/>
    <w:rsid w:val="30136908"/>
    <w:rsid w:val="30405223"/>
    <w:rsid w:val="30495DAA"/>
    <w:rsid w:val="305C317B"/>
    <w:rsid w:val="30612620"/>
    <w:rsid w:val="30683829"/>
    <w:rsid w:val="30A734F4"/>
    <w:rsid w:val="30B31147"/>
    <w:rsid w:val="30B73737"/>
    <w:rsid w:val="30BF083E"/>
    <w:rsid w:val="30DE1D41"/>
    <w:rsid w:val="30E7123C"/>
    <w:rsid w:val="30FD3EF5"/>
    <w:rsid w:val="310B75DF"/>
    <w:rsid w:val="31181CFC"/>
    <w:rsid w:val="311F308B"/>
    <w:rsid w:val="31203028"/>
    <w:rsid w:val="315E3BB3"/>
    <w:rsid w:val="31615CDB"/>
    <w:rsid w:val="31940B55"/>
    <w:rsid w:val="31A17F44"/>
    <w:rsid w:val="31A4447F"/>
    <w:rsid w:val="31A54C58"/>
    <w:rsid w:val="31CF594B"/>
    <w:rsid w:val="31E577F4"/>
    <w:rsid w:val="31FE7C49"/>
    <w:rsid w:val="320E5E44"/>
    <w:rsid w:val="323E4D1D"/>
    <w:rsid w:val="324463DD"/>
    <w:rsid w:val="327411B4"/>
    <w:rsid w:val="32963820"/>
    <w:rsid w:val="329B2BE5"/>
    <w:rsid w:val="329F7BE7"/>
    <w:rsid w:val="32F02F31"/>
    <w:rsid w:val="32F273A6"/>
    <w:rsid w:val="32F63D9A"/>
    <w:rsid w:val="32FA5B5D"/>
    <w:rsid w:val="33004414"/>
    <w:rsid w:val="330662B0"/>
    <w:rsid w:val="331365CD"/>
    <w:rsid w:val="33196C24"/>
    <w:rsid w:val="3324544E"/>
    <w:rsid w:val="334B58AA"/>
    <w:rsid w:val="335C4122"/>
    <w:rsid w:val="338F0398"/>
    <w:rsid w:val="339715FE"/>
    <w:rsid w:val="339E2B0A"/>
    <w:rsid w:val="33B6329C"/>
    <w:rsid w:val="33DE0EF4"/>
    <w:rsid w:val="343F1685"/>
    <w:rsid w:val="346644D8"/>
    <w:rsid w:val="34B42C77"/>
    <w:rsid w:val="34C93A39"/>
    <w:rsid w:val="34CF00E0"/>
    <w:rsid w:val="34D4087A"/>
    <w:rsid w:val="34D84DA0"/>
    <w:rsid w:val="34F0546A"/>
    <w:rsid w:val="350F034E"/>
    <w:rsid w:val="351153E0"/>
    <w:rsid w:val="3515264E"/>
    <w:rsid w:val="3538471B"/>
    <w:rsid w:val="353E3789"/>
    <w:rsid w:val="355449C0"/>
    <w:rsid w:val="355969BD"/>
    <w:rsid w:val="3565643F"/>
    <w:rsid w:val="35812566"/>
    <w:rsid w:val="35995E0E"/>
    <w:rsid w:val="359F0C3E"/>
    <w:rsid w:val="35B54174"/>
    <w:rsid w:val="35B6520A"/>
    <w:rsid w:val="35F40FB5"/>
    <w:rsid w:val="360607D9"/>
    <w:rsid w:val="36190C5C"/>
    <w:rsid w:val="363D616D"/>
    <w:rsid w:val="364530C9"/>
    <w:rsid w:val="364D2448"/>
    <w:rsid w:val="36525CB0"/>
    <w:rsid w:val="36585882"/>
    <w:rsid w:val="36657792"/>
    <w:rsid w:val="36687AF9"/>
    <w:rsid w:val="3671264C"/>
    <w:rsid w:val="3680580C"/>
    <w:rsid w:val="368A369C"/>
    <w:rsid w:val="36962041"/>
    <w:rsid w:val="36CD7CD3"/>
    <w:rsid w:val="36CE17DB"/>
    <w:rsid w:val="36D952F5"/>
    <w:rsid w:val="36FF7BE6"/>
    <w:rsid w:val="37250B7A"/>
    <w:rsid w:val="372E4AB2"/>
    <w:rsid w:val="374E70EC"/>
    <w:rsid w:val="376129EA"/>
    <w:rsid w:val="37C242B9"/>
    <w:rsid w:val="37EA0AA2"/>
    <w:rsid w:val="37FE4281"/>
    <w:rsid w:val="38176009"/>
    <w:rsid w:val="385A07E5"/>
    <w:rsid w:val="38602906"/>
    <w:rsid w:val="38733175"/>
    <w:rsid w:val="38797524"/>
    <w:rsid w:val="388A34DF"/>
    <w:rsid w:val="389E008F"/>
    <w:rsid w:val="38A94C99"/>
    <w:rsid w:val="38CC7FAC"/>
    <w:rsid w:val="38D6246F"/>
    <w:rsid w:val="38D97279"/>
    <w:rsid w:val="38DF7CCF"/>
    <w:rsid w:val="38E26BF0"/>
    <w:rsid w:val="38F00189"/>
    <w:rsid w:val="39194763"/>
    <w:rsid w:val="39237490"/>
    <w:rsid w:val="392E5E59"/>
    <w:rsid w:val="393468E8"/>
    <w:rsid w:val="395806F3"/>
    <w:rsid w:val="39A30AFB"/>
    <w:rsid w:val="39AB7BB1"/>
    <w:rsid w:val="39BD1693"/>
    <w:rsid w:val="39D4728C"/>
    <w:rsid w:val="39D96DB9"/>
    <w:rsid w:val="39E76710"/>
    <w:rsid w:val="3A025F20"/>
    <w:rsid w:val="3A3C70DA"/>
    <w:rsid w:val="3A43428E"/>
    <w:rsid w:val="3A49668A"/>
    <w:rsid w:val="3A5D3099"/>
    <w:rsid w:val="3A7916ED"/>
    <w:rsid w:val="3A7F4240"/>
    <w:rsid w:val="3A8E5D10"/>
    <w:rsid w:val="3AB55381"/>
    <w:rsid w:val="3ACC4283"/>
    <w:rsid w:val="3AE11A4E"/>
    <w:rsid w:val="3B00408B"/>
    <w:rsid w:val="3B0657AD"/>
    <w:rsid w:val="3B10495E"/>
    <w:rsid w:val="3B2A4FB6"/>
    <w:rsid w:val="3B3135D0"/>
    <w:rsid w:val="3B586183"/>
    <w:rsid w:val="3B586F18"/>
    <w:rsid w:val="3B7D6FA7"/>
    <w:rsid w:val="3B8763FC"/>
    <w:rsid w:val="3B8C756F"/>
    <w:rsid w:val="3B8D6AEC"/>
    <w:rsid w:val="3B903503"/>
    <w:rsid w:val="3B932D9C"/>
    <w:rsid w:val="3BC94845"/>
    <w:rsid w:val="3BD26834"/>
    <w:rsid w:val="3C19288C"/>
    <w:rsid w:val="3C265C15"/>
    <w:rsid w:val="3C357C06"/>
    <w:rsid w:val="3C6B7ACC"/>
    <w:rsid w:val="3C830972"/>
    <w:rsid w:val="3C9E1C4F"/>
    <w:rsid w:val="3C9F2ED7"/>
    <w:rsid w:val="3CBA43FC"/>
    <w:rsid w:val="3CC97982"/>
    <w:rsid w:val="3CCE5FE8"/>
    <w:rsid w:val="3CF11D7F"/>
    <w:rsid w:val="3CFB49AC"/>
    <w:rsid w:val="3D0F48FB"/>
    <w:rsid w:val="3D182F2B"/>
    <w:rsid w:val="3D314871"/>
    <w:rsid w:val="3D4A5933"/>
    <w:rsid w:val="3D4B4DAF"/>
    <w:rsid w:val="3D573AAE"/>
    <w:rsid w:val="3D5A3BB5"/>
    <w:rsid w:val="3D7C2E18"/>
    <w:rsid w:val="3DA9164D"/>
    <w:rsid w:val="3DA959C3"/>
    <w:rsid w:val="3DC34193"/>
    <w:rsid w:val="3DDC6AF7"/>
    <w:rsid w:val="3DEB072E"/>
    <w:rsid w:val="3DEE62BF"/>
    <w:rsid w:val="3DF2408F"/>
    <w:rsid w:val="3E101EDE"/>
    <w:rsid w:val="3E151A9D"/>
    <w:rsid w:val="3E3A1504"/>
    <w:rsid w:val="3E5F1E94"/>
    <w:rsid w:val="3E6415B0"/>
    <w:rsid w:val="3E846C23"/>
    <w:rsid w:val="3EA00DD4"/>
    <w:rsid w:val="3EC62D97"/>
    <w:rsid w:val="3EFE0737"/>
    <w:rsid w:val="3F022944"/>
    <w:rsid w:val="3F125943"/>
    <w:rsid w:val="3F342FB9"/>
    <w:rsid w:val="3F4940F4"/>
    <w:rsid w:val="3F5B2410"/>
    <w:rsid w:val="3F744EE9"/>
    <w:rsid w:val="3F817D6A"/>
    <w:rsid w:val="3F825AEE"/>
    <w:rsid w:val="3FA70E1B"/>
    <w:rsid w:val="3FAA7BDC"/>
    <w:rsid w:val="3FAF4912"/>
    <w:rsid w:val="3FC410CC"/>
    <w:rsid w:val="3FD11DB9"/>
    <w:rsid w:val="3FD55988"/>
    <w:rsid w:val="3FE00D6F"/>
    <w:rsid w:val="3FE67B95"/>
    <w:rsid w:val="3FF027C2"/>
    <w:rsid w:val="3FFD0D04"/>
    <w:rsid w:val="40093884"/>
    <w:rsid w:val="406A72FF"/>
    <w:rsid w:val="40784565"/>
    <w:rsid w:val="408979DD"/>
    <w:rsid w:val="409558F0"/>
    <w:rsid w:val="40AD4AAD"/>
    <w:rsid w:val="40CD787E"/>
    <w:rsid w:val="40D804D9"/>
    <w:rsid w:val="40E52904"/>
    <w:rsid w:val="40E5601A"/>
    <w:rsid w:val="41027729"/>
    <w:rsid w:val="410A78B3"/>
    <w:rsid w:val="41250249"/>
    <w:rsid w:val="41563BAB"/>
    <w:rsid w:val="41650F8E"/>
    <w:rsid w:val="416829D0"/>
    <w:rsid w:val="41765884"/>
    <w:rsid w:val="417B60BB"/>
    <w:rsid w:val="417D2532"/>
    <w:rsid w:val="41986C6D"/>
    <w:rsid w:val="41A21103"/>
    <w:rsid w:val="41FA08E5"/>
    <w:rsid w:val="42164036"/>
    <w:rsid w:val="421B7832"/>
    <w:rsid w:val="42254A34"/>
    <w:rsid w:val="42260A6F"/>
    <w:rsid w:val="42384FA7"/>
    <w:rsid w:val="42570522"/>
    <w:rsid w:val="425A2175"/>
    <w:rsid w:val="429462ED"/>
    <w:rsid w:val="429D02B3"/>
    <w:rsid w:val="429F402B"/>
    <w:rsid w:val="42BC7DDF"/>
    <w:rsid w:val="42D261AF"/>
    <w:rsid w:val="42F11B77"/>
    <w:rsid w:val="43076C51"/>
    <w:rsid w:val="43144A19"/>
    <w:rsid w:val="431E796B"/>
    <w:rsid w:val="432B6824"/>
    <w:rsid w:val="437454B8"/>
    <w:rsid w:val="437E2698"/>
    <w:rsid w:val="438517A3"/>
    <w:rsid w:val="43A050CE"/>
    <w:rsid w:val="43AD43B9"/>
    <w:rsid w:val="43B75827"/>
    <w:rsid w:val="43BB3965"/>
    <w:rsid w:val="43C31D8E"/>
    <w:rsid w:val="43C755E8"/>
    <w:rsid w:val="43D83C99"/>
    <w:rsid w:val="440510C2"/>
    <w:rsid w:val="44201AAB"/>
    <w:rsid w:val="44323EF7"/>
    <w:rsid w:val="444E13D2"/>
    <w:rsid w:val="446562CB"/>
    <w:rsid w:val="44894290"/>
    <w:rsid w:val="448A72D9"/>
    <w:rsid w:val="44CA4465"/>
    <w:rsid w:val="44DA134B"/>
    <w:rsid w:val="44EF1B82"/>
    <w:rsid w:val="45067A1F"/>
    <w:rsid w:val="451510B8"/>
    <w:rsid w:val="45170DF8"/>
    <w:rsid w:val="451E1B7F"/>
    <w:rsid w:val="452627E2"/>
    <w:rsid w:val="452B1094"/>
    <w:rsid w:val="4554098B"/>
    <w:rsid w:val="455C04E9"/>
    <w:rsid w:val="455E3D2A"/>
    <w:rsid w:val="4561381A"/>
    <w:rsid w:val="45797C51"/>
    <w:rsid w:val="45A168B6"/>
    <w:rsid w:val="45CD7101"/>
    <w:rsid w:val="45E226B4"/>
    <w:rsid w:val="45EE4E64"/>
    <w:rsid w:val="460103E6"/>
    <w:rsid w:val="461B2714"/>
    <w:rsid w:val="462D264E"/>
    <w:rsid w:val="46380A1F"/>
    <w:rsid w:val="46456C98"/>
    <w:rsid w:val="46843CA3"/>
    <w:rsid w:val="46A37606"/>
    <w:rsid w:val="46C13F14"/>
    <w:rsid w:val="46C2653A"/>
    <w:rsid w:val="46F41301"/>
    <w:rsid w:val="46FB4D1C"/>
    <w:rsid w:val="46FC6C97"/>
    <w:rsid w:val="471072A6"/>
    <w:rsid w:val="4723347D"/>
    <w:rsid w:val="472B0583"/>
    <w:rsid w:val="473D2DF8"/>
    <w:rsid w:val="474B29D4"/>
    <w:rsid w:val="47DF1BC9"/>
    <w:rsid w:val="47E169C7"/>
    <w:rsid w:val="47F06548"/>
    <w:rsid w:val="47F66832"/>
    <w:rsid w:val="4807508B"/>
    <w:rsid w:val="48117779"/>
    <w:rsid w:val="48147089"/>
    <w:rsid w:val="4823125B"/>
    <w:rsid w:val="48355B83"/>
    <w:rsid w:val="48657AC5"/>
    <w:rsid w:val="488D7A30"/>
    <w:rsid w:val="489C0142"/>
    <w:rsid w:val="48A00A38"/>
    <w:rsid w:val="48B3438D"/>
    <w:rsid w:val="48BD520B"/>
    <w:rsid w:val="48D34A2F"/>
    <w:rsid w:val="493140C2"/>
    <w:rsid w:val="49335560"/>
    <w:rsid w:val="49374FBE"/>
    <w:rsid w:val="4998062F"/>
    <w:rsid w:val="49B26D3A"/>
    <w:rsid w:val="49EB2524"/>
    <w:rsid w:val="4A0A0924"/>
    <w:rsid w:val="4A200A4F"/>
    <w:rsid w:val="4A3B47D7"/>
    <w:rsid w:val="4A520FD4"/>
    <w:rsid w:val="4A6135FC"/>
    <w:rsid w:val="4A77763C"/>
    <w:rsid w:val="4A796A26"/>
    <w:rsid w:val="4AE4089B"/>
    <w:rsid w:val="4B0D06CC"/>
    <w:rsid w:val="4B1962F8"/>
    <w:rsid w:val="4B2E0642"/>
    <w:rsid w:val="4B692739"/>
    <w:rsid w:val="4B6A37B8"/>
    <w:rsid w:val="4B79281D"/>
    <w:rsid w:val="4B807D59"/>
    <w:rsid w:val="4B914ACB"/>
    <w:rsid w:val="4BA255C8"/>
    <w:rsid w:val="4BA72EF2"/>
    <w:rsid w:val="4C086960"/>
    <w:rsid w:val="4C0A2876"/>
    <w:rsid w:val="4C172B42"/>
    <w:rsid w:val="4C1C265B"/>
    <w:rsid w:val="4C3E203F"/>
    <w:rsid w:val="4C43011D"/>
    <w:rsid w:val="4C4A2448"/>
    <w:rsid w:val="4C554A2E"/>
    <w:rsid w:val="4C5B0FC3"/>
    <w:rsid w:val="4C683269"/>
    <w:rsid w:val="4C6D7CC2"/>
    <w:rsid w:val="4C7F642D"/>
    <w:rsid w:val="4C8D47EB"/>
    <w:rsid w:val="4C9B1D07"/>
    <w:rsid w:val="4CC006FA"/>
    <w:rsid w:val="4CEF5BAF"/>
    <w:rsid w:val="4CF10802"/>
    <w:rsid w:val="4CF6285E"/>
    <w:rsid w:val="4D0C0115"/>
    <w:rsid w:val="4D13416C"/>
    <w:rsid w:val="4D155003"/>
    <w:rsid w:val="4D31441A"/>
    <w:rsid w:val="4D4F6AB4"/>
    <w:rsid w:val="4D554464"/>
    <w:rsid w:val="4DA1334D"/>
    <w:rsid w:val="4DED52D5"/>
    <w:rsid w:val="4E125FF9"/>
    <w:rsid w:val="4E287F63"/>
    <w:rsid w:val="4E3150E2"/>
    <w:rsid w:val="4E3B2540"/>
    <w:rsid w:val="4E736479"/>
    <w:rsid w:val="4E984750"/>
    <w:rsid w:val="4EA64AAF"/>
    <w:rsid w:val="4EAF2EA0"/>
    <w:rsid w:val="4ECF17A1"/>
    <w:rsid w:val="4EE51018"/>
    <w:rsid w:val="4EF034BC"/>
    <w:rsid w:val="4F3A5808"/>
    <w:rsid w:val="4F4A3571"/>
    <w:rsid w:val="4F586C65"/>
    <w:rsid w:val="4F5A7340"/>
    <w:rsid w:val="4F73779A"/>
    <w:rsid w:val="4F882826"/>
    <w:rsid w:val="4F9658AD"/>
    <w:rsid w:val="4F986F22"/>
    <w:rsid w:val="4F9A409E"/>
    <w:rsid w:val="4FB97DFA"/>
    <w:rsid w:val="4FCA62BD"/>
    <w:rsid w:val="4FD6299B"/>
    <w:rsid w:val="4FD9320F"/>
    <w:rsid w:val="4FDC241B"/>
    <w:rsid w:val="4FE31E02"/>
    <w:rsid w:val="4FFC5956"/>
    <w:rsid w:val="50011E81"/>
    <w:rsid w:val="501222E0"/>
    <w:rsid w:val="50346648"/>
    <w:rsid w:val="50362B19"/>
    <w:rsid w:val="503746DC"/>
    <w:rsid w:val="508104D8"/>
    <w:rsid w:val="50902684"/>
    <w:rsid w:val="50DF56DA"/>
    <w:rsid w:val="51271DBC"/>
    <w:rsid w:val="512C74AF"/>
    <w:rsid w:val="512F6EC2"/>
    <w:rsid w:val="51501312"/>
    <w:rsid w:val="515B7DAD"/>
    <w:rsid w:val="516A1F01"/>
    <w:rsid w:val="51710A8D"/>
    <w:rsid w:val="51786173"/>
    <w:rsid w:val="51823496"/>
    <w:rsid w:val="51A72EFC"/>
    <w:rsid w:val="51B32165"/>
    <w:rsid w:val="51BF1FF4"/>
    <w:rsid w:val="51C25640"/>
    <w:rsid w:val="51C969CF"/>
    <w:rsid w:val="51E611C2"/>
    <w:rsid w:val="51EF617D"/>
    <w:rsid w:val="520277E1"/>
    <w:rsid w:val="52552958"/>
    <w:rsid w:val="52693681"/>
    <w:rsid w:val="526D7CA2"/>
    <w:rsid w:val="527103FC"/>
    <w:rsid w:val="5281374D"/>
    <w:rsid w:val="528A0854"/>
    <w:rsid w:val="52943481"/>
    <w:rsid w:val="529A792F"/>
    <w:rsid w:val="52A4759B"/>
    <w:rsid w:val="52B35629"/>
    <w:rsid w:val="52D32AFD"/>
    <w:rsid w:val="52E361B6"/>
    <w:rsid w:val="53085A69"/>
    <w:rsid w:val="532036F6"/>
    <w:rsid w:val="532A16EF"/>
    <w:rsid w:val="532E7431"/>
    <w:rsid w:val="53430A03"/>
    <w:rsid w:val="53481136"/>
    <w:rsid w:val="537E4CD3"/>
    <w:rsid w:val="537F060E"/>
    <w:rsid w:val="539F3171"/>
    <w:rsid w:val="53AB5C87"/>
    <w:rsid w:val="53BC2B2A"/>
    <w:rsid w:val="53C50E71"/>
    <w:rsid w:val="53D85C9D"/>
    <w:rsid w:val="54065E7B"/>
    <w:rsid w:val="541303D5"/>
    <w:rsid w:val="542D410C"/>
    <w:rsid w:val="5435659E"/>
    <w:rsid w:val="543C3DD0"/>
    <w:rsid w:val="54531F10"/>
    <w:rsid w:val="5492579E"/>
    <w:rsid w:val="54A656ED"/>
    <w:rsid w:val="54A84FC1"/>
    <w:rsid w:val="54D1276A"/>
    <w:rsid w:val="54D31542"/>
    <w:rsid w:val="54D73AF9"/>
    <w:rsid w:val="54DD7595"/>
    <w:rsid w:val="54F3003C"/>
    <w:rsid w:val="54F975CB"/>
    <w:rsid w:val="551B6387"/>
    <w:rsid w:val="553625CD"/>
    <w:rsid w:val="55992337"/>
    <w:rsid w:val="55A62DFB"/>
    <w:rsid w:val="55A90FF1"/>
    <w:rsid w:val="55B77495"/>
    <w:rsid w:val="55CD4E7B"/>
    <w:rsid w:val="55F06C20"/>
    <w:rsid w:val="56064695"/>
    <w:rsid w:val="561F1F50"/>
    <w:rsid w:val="56262AA1"/>
    <w:rsid w:val="562E2336"/>
    <w:rsid w:val="563F3703"/>
    <w:rsid w:val="565B7EBC"/>
    <w:rsid w:val="565D5647"/>
    <w:rsid w:val="565F1615"/>
    <w:rsid w:val="5670302A"/>
    <w:rsid w:val="568D12C4"/>
    <w:rsid w:val="56B55774"/>
    <w:rsid w:val="56C53BC0"/>
    <w:rsid w:val="56CF0F2B"/>
    <w:rsid w:val="56D45260"/>
    <w:rsid w:val="56E12A0D"/>
    <w:rsid w:val="56F444EE"/>
    <w:rsid w:val="56FF57CA"/>
    <w:rsid w:val="57505063"/>
    <w:rsid w:val="5754628C"/>
    <w:rsid w:val="57787CE7"/>
    <w:rsid w:val="577B3F55"/>
    <w:rsid w:val="57961A49"/>
    <w:rsid w:val="57C2639A"/>
    <w:rsid w:val="57DB3900"/>
    <w:rsid w:val="57E74053"/>
    <w:rsid w:val="57EC7697"/>
    <w:rsid w:val="57F347A6"/>
    <w:rsid w:val="57F63298"/>
    <w:rsid w:val="5812789C"/>
    <w:rsid w:val="581B4698"/>
    <w:rsid w:val="581D1FC8"/>
    <w:rsid w:val="58553578"/>
    <w:rsid w:val="585F20C3"/>
    <w:rsid w:val="58673D9A"/>
    <w:rsid w:val="5881560A"/>
    <w:rsid w:val="58AD2B6A"/>
    <w:rsid w:val="58C25462"/>
    <w:rsid w:val="58CC7FF4"/>
    <w:rsid w:val="58DF6CF4"/>
    <w:rsid w:val="58FC5CCB"/>
    <w:rsid w:val="58FE78A6"/>
    <w:rsid w:val="59036C6A"/>
    <w:rsid w:val="5904132B"/>
    <w:rsid w:val="590832CB"/>
    <w:rsid w:val="59157827"/>
    <w:rsid w:val="592C3DDF"/>
    <w:rsid w:val="594400A5"/>
    <w:rsid w:val="59460EC7"/>
    <w:rsid w:val="59503C78"/>
    <w:rsid w:val="59561AE4"/>
    <w:rsid w:val="59814033"/>
    <w:rsid w:val="59993AC2"/>
    <w:rsid w:val="599C18CE"/>
    <w:rsid w:val="59B2573B"/>
    <w:rsid w:val="59BB12F3"/>
    <w:rsid w:val="59C90F05"/>
    <w:rsid w:val="59DE43F5"/>
    <w:rsid w:val="5A0013FC"/>
    <w:rsid w:val="5A203F0F"/>
    <w:rsid w:val="5A3A3464"/>
    <w:rsid w:val="5A44753A"/>
    <w:rsid w:val="5A637F6F"/>
    <w:rsid w:val="5A6E6ED5"/>
    <w:rsid w:val="5A7176E4"/>
    <w:rsid w:val="5A785436"/>
    <w:rsid w:val="5A8E2D4C"/>
    <w:rsid w:val="5A9410D3"/>
    <w:rsid w:val="5AB23A35"/>
    <w:rsid w:val="5AB3646E"/>
    <w:rsid w:val="5ABC1175"/>
    <w:rsid w:val="5AD53B49"/>
    <w:rsid w:val="5AF413B3"/>
    <w:rsid w:val="5B3475AF"/>
    <w:rsid w:val="5B4F7AA0"/>
    <w:rsid w:val="5BD33445"/>
    <w:rsid w:val="5BF8682E"/>
    <w:rsid w:val="5C133668"/>
    <w:rsid w:val="5C183B88"/>
    <w:rsid w:val="5C2123A3"/>
    <w:rsid w:val="5C2B081A"/>
    <w:rsid w:val="5C3914B8"/>
    <w:rsid w:val="5C6514C0"/>
    <w:rsid w:val="5C6D68F5"/>
    <w:rsid w:val="5C85755D"/>
    <w:rsid w:val="5CC606DB"/>
    <w:rsid w:val="5CD8040E"/>
    <w:rsid w:val="5CDC1CAC"/>
    <w:rsid w:val="5CEC5C67"/>
    <w:rsid w:val="5CF35248"/>
    <w:rsid w:val="5D0C00B7"/>
    <w:rsid w:val="5D2B3EA0"/>
    <w:rsid w:val="5D2C15D3"/>
    <w:rsid w:val="5D301F0D"/>
    <w:rsid w:val="5D5932FD"/>
    <w:rsid w:val="5D5D033B"/>
    <w:rsid w:val="5D5E3ED5"/>
    <w:rsid w:val="5D7647EC"/>
    <w:rsid w:val="5D885990"/>
    <w:rsid w:val="5DBA1FF8"/>
    <w:rsid w:val="5DCC1110"/>
    <w:rsid w:val="5DCD4AF7"/>
    <w:rsid w:val="5DD86807"/>
    <w:rsid w:val="5DDF0A45"/>
    <w:rsid w:val="5E104167"/>
    <w:rsid w:val="5E1D3725"/>
    <w:rsid w:val="5E303B80"/>
    <w:rsid w:val="5E37668B"/>
    <w:rsid w:val="5E483371"/>
    <w:rsid w:val="5E9A1E1F"/>
    <w:rsid w:val="5E9C51FA"/>
    <w:rsid w:val="5E9F5687"/>
    <w:rsid w:val="5EAA79D4"/>
    <w:rsid w:val="5EB735DD"/>
    <w:rsid w:val="5EC155FD"/>
    <w:rsid w:val="5EC42D73"/>
    <w:rsid w:val="5ED54C52"/>
    <w:rsid w:val="5ED62FD5"/>
    <w:rsid w:val="5EE44E48"/>
    <w:rsid w:val="5EFA466C"/>
    <w:rsid w:val="5EFF6126"/>
    <w:rsid w:val="5F1D65AC"/>
    <w:rsid w:val="5F1F2324"/>
    <w:rsid w:val="5F2C67EF"/>
    <w:rsid w:val="5F2D222B"/>
    <w:rsid w:val="5F364B80"/>
    <w:rsid w:val="5F6F45FF"/>
    <w:rsid w:val="5F906D7E"/>
    <w:rsid w:val="5F92436A"/>
    <w:rsid w:val="5F927F59"/>
    <w:rsid w:val="5F930CBD"/>
    <w:rsid w:val="5FAF1AEE"/>
    <w:rsid w:val="5FC1648A"/>
    <w:rsid w:val="5FD255E8"/>
    <w:rsid w:val="5FEB1B9D"/>
    <w:rsid w:val="5FEF5A95"/>
    <w:rsid w:val="5FF90DC7"/>
    <w:rsid w:val="5FFB4B3F"/>
    <w:rsid w:val="601249DE"/>
    <w:rsid w:val="6014175D"/>
    <w:rsid w:val="601A4FB0"/>
    <w:rsid w:val="604751DF"/>
    <w:rsid w:val="604C539B"/>
    <w:rsid w:val="606445D9"/>
    <w:rsid w:val="6065645C"/>
    <w:rsid w:val="606C77EB"/>
    <w:rsid w:val="60C346C6"/>
    <w:rsid w:val="60C72C73"/>
    <w:rsid w:val="60C73328"/>
    <w:rsid w:val="60CB221D"/>
    <w:rsid w:val="60E308E3"/>
    <w:rsid w:val="60E40CF5"/>
    <w:rsid w:val="60F021CA"/>
    <w:rsid w:val="60F63558"/>
    <w:rsid w:val="60FE64C3"/>
    <w:rsid w:val="61023CAB"/>
    <w:rsid w:val="61141727"/>
    <w:rsid w:val="611E742B"/>
    <w:rsid w:val="61396DD0"/>
    <w:rsid w:val="61824BAB"/>
    <w:rsid w:val="618D7A19"/>
    <w:rsid w:val="619C1A0A"/>
    <w:rsid w:val="619F599E"/>
    <w:rsid w:val="61A52D11"/>
    <w:rsid w:val="61A95149"/>
    <w:rsid w:val="61AA08FE"/>
    <w:rsid w:val="61C41ACD"/>
    <w:rsid w:val="61D41829"/>
    <w:rsid w:val="61E239A6"/>
    <w:rsid w:val="61ED3538"/>
    <w:rsid w:val="621A5025"/>
    <w:rsid w:val="623258AE"/>
    <w:rsid w:val="623F15C0"/>
    <w:rsid w:val="625E1FC6"/>
    <w:rsid w:val="626738C6"/>
    <w:rsid w:val="6268150F"/>
    <w:rsid w:val="62764951"/>
    <w:rsid w:val="627971C3"/>
    <w:rsid w:val="62860F22"/>
    <w:rsid w:val="629628FD"/>
    <w:rsid w:val="62C54F90"/>
    <w:rsid w:val="62DF233A"/>
    <w:rsid w:val="630048F7"/>
    <w:rsid w:val="630A5BB9"/>
    <w:rsid w:val="63215DB8"/>
    <w:rsid w:val="632757F0"/>
    <w:rsid w:val="63473BF7"/>
    <w:rsid w:val="63690012"/>
    <w:rsid w:val="6372336A"/>
    <w:rsid w:val="63812AE7"/>
    <w:rsid w:val="638906B4"/>
    <w:rsid w:val="639257BA"/>
    <w:rsid w:val="63B77B8E"/>
    <w:rsid w:val="63FA3360"/>
    <w:rsid w:val="640A78AC"/>
    <w:rsid w:val="64124BF5"/>
    <w:rsid w:val="642D7291"/>
    <w:rsid w:val="645079A9"/>
    <w:rsid w:val="64587AB1"/>
    <w:rsid w:val="645A6E29"/>
    <w:rsid w:val="646D3FF3"/>
    <w:rsid w:val="64794284"/>
    <w:rsid w:val="64AB7435"/>
    <w:rsid w:val="64B45093"/>
    <w:rsid w:val="64BC23C3"/>
    <w:rsid w:val="64BE130D"/>
    <w:rsid w:val="64F61D79"/>
    <w:rsid w:val="650A4AEB"/>
    <w:rsid w:val="650B0447"/>
    <w:rsid w:val="650B601A"/>
    <w:rsid w:val="6534131C"/>
    <w:rsid w:val="6556703B"/>
    <w:rsid w:val="65605444"/>
    <w:rsid w:val="656A1E1F"/>
    <w:rsid w:val="65A17F37"/>
    <w:rsid w:val="65A836AB"/>
    <w:rsid w:val="65A96DEB"/>
    <w:rsid w:val="65AC2341"/>
    <w:rsid w:val="65AD2600"/>
    <w:rsid w:val="65B732B6"/>
    <w:rsid w:val="65BD63F3"/>
    <w:rsid w:val="65E521DF"/>
    <w:rsid w:val="65F750F0"/>
    <w:rsid w:val="661F0E5C"/>
    <w:rsid w:val="663A2D5F"/>
    <w:rsid w:val="6666618F"/>
    <w:rsid w:val="666B5E4F"/>
    <w:rsid w:val="666E595E"/>
    <w:rsid w:val="66887883"/>
    <w:rsid w:val="668F7750"/>
    <w:rsid w:val="6698031B"/>
    <w:rsid w:val="669907B9"/>
    <w:rsid w:val="669B3919"/>
    <w:rsid w:val="66B27F22"/>
    <w:rsid w:val="66EF082E"/>
    <w:rsid w:val="671B724A"/>
    <w:rsid w:val="6736645D"/>
    <w:rsid w:val="675C250A"/>
    <w:rsid w:val="675D1C3B"/>
    <w:rsid w:val="676A54F5"/>
    <w:rsid w:val="6780684F"/>
    <w:rsid w:val="6796339F"/>
    <w:rsid w:val="67FA2386"/>
    <w:rsid w:val="68282249"/>
    <w:rsid w:val="685C6BAE"/>
    <w:rsid w:val="6873028A"/>
    <w:rsid w:val="6878082B"/>
    <w:rsid w:val="687D1E6A"/>
    <w:rsid w:val="68C1269E"/>
    <w:rsid w:val="68D50FF4"/>
    <w:rsid w:val="68D57089"/>
    <w:rsid w:val="68E42F72"/>
    <w:rsid w:val="68F10571"/>
    <w:rsid w:val="69046B3C"/>
    <w:rsid w:val="691A5092"/>
    <w:rsid w:val="692B0CE1"/>
    <w:rsid w:val="69390486"/>
    <w:rsid w:val="69702ECB"/>
    <w:rsid w:val="69747710"/>
    <w:rsid w:val="69767C4D"/>
    <w:rsid w:val="699B34F7"/>
    <w:rsid w:val="69AC0C58"/>
    <w:rsid w:val="69BF0AD0"/>
    <w:rsid w:val="69D00DEB"/>
    <w:rsid w:val="69FA3D78"/>
    <w:rsid w:val="6A0E4479"/>
    <w:rsid w:val="6A160FCF"/>
    <w:rsid w:val="6A296146"/>
    <w:rsid w:val="6A452F6A"/>
    <w:rsid w:val="6A8345CE"/>
    <w:rsid w:val="6A885221"/>
    <w:rsid w:val="6A8D4E45"/>
    <w:rsid w:val="6A8F72B9"/>
    <w:rsid w:val="6AAB7F50"/>
    <w:rsid w:val="6AD40467"/>
    <w:rsid w:val="6AD61945"/>
    <w:rsid w:val="6AF20FCD"/>
    <w:rsid w:val="6B142F59"/>
    <w:rsid w:val="6B43383E"/>
    <w:rsid w:val="6B5B64FA"/>
    <w:rsid w:val="6B5C220A"/>
    <w:rsid w:val="6B6944EC"/>
    <w:rsid w:val="6B851761"/>
    <w:rsid w:val="6B8F7255"/>
    <w:rsid w:val="6BA3608B"/>
    <w:rsid w:val="6BA53BB1"/>
    <w:rsid w:val="6BB46349"/>
    <w:rsid w:val="6BC95AF1"/>
    <w:rsid w:val="6BD12BF8"/>
    <w:rsid w:val="6BD91127"/>
    <w:rsid w:val="6BF15048"/>
    <w:rsid w:val="6C0873FD"/>
    <w:rsid w:val="6C190C57"/>
    <w:rsid w:val="6C2B439B"/>
    <w:rsid w:val="6C310293"/>
    <w:rsid w:val="6C44786E"/>
    <w:rsid w:val="6C4706F9"/>
    <w:rsid w:val="6C5D7FE5"/>
    <w:rsid w:val="6C8407CA"/>
    <w:rsid w:val="6C8D31A7"/>
    <w:rsid w:val="6CC90D79"/>
    <w:rsid w:val="6CD51EDD"/>
    <w:rsid w:val="6CEF1588"/>
    <w:rsid w:val="6CF94E2F"/>
    <w:rsid w:val="6D0B7AD0"/>
    <w:rsid w:val="6D111628"/>
    <w:rsid w:val="6D3276C6"/>
    <w:rsid w:val="6D6A2812"/>
    <w:rsid w:val="6D6A50B2"/>
    <w:rsid w:val="6D8771C3"/>
    <w:rsid w:val="6D8D7674"/>
    <w:rsid w:val="6D9956BA"/>
    <w:rsid w:val="6D9E2FAE"/>
    <w:rsid w:val="6DB21352"/>
    <w:rsid w:val="6DB5114A"/>
    <w:rsid w:val="6DBD4F39"/>
    <w:rsid w:val="6DF51F78"/>
    <w:rsid w:val="6DFC351E"/>
    <w:rsid w:val="6E14501E"/>
    <w:rsid w:val="6E1F40EF"/>
    <w:rsid w:val="6E2A554D"/>
    <w:rsid w:val="6E2E700B"/>
    <w:rsid w:val="6E53587D"/>
    <w:rsid w:val="6E625129"/>
    <w:rsid w:val="6E6733A0"/>
    <w:rsid w:val="6E7D0E15"/>
    <w:rsid w:val="6EA16987"/>
    <w:rsid w:val="6EA77C40"/>
    <w:rsid w:val="6EB8009F"/>
    <w:rsid w:val="6ED36C87"/>
    <w:rsid w:val="6EE56679"/>
    <w:rsid w:val="6EF104DD"/>
    <w:rsid w:val="6F190B3E"/>
    <w:rsid w:val="6F343BCA"/>
    <w:rsid w:val="6F484143"/>
    <w:rsid w:val="6F490CF7"/>
    <w:rsid w:val="6F574271"/>
    <w:rsid w:val="6F750F26"/>
    <w:rsid w:val="6F7B72E9"/>
    <w:rsid w:val="6F8445D4"/>
    <w:rsid w:val="6F8D5C1A"/>
    <w:rsid w:val="6F8E342E"/>
    <w:rsid w:val="6F925B2C"/>
    <w:rsid w:val="6FA523D2"/>
    <w:rsid w:val="6FA8133A"/>
    <w:rsid w:val="6FAA79E8"/>
    <w:rsid w:val="6FAC3760"/>
    <w:rsid w:val="6FB940CF"/>
    <w:rsid w:val="6FD27139"/>
    <w:rsid w:val="6FD818E9"/>
    <w:rsid w:val="6FEC0000"/>
    <w:rsid w:val="6FF82103"/>
    <w:rsid w:val="70820965"/>
    <w:rsid w:val="70B84386"/>
    <w:rsid w:val="70CD2B48"/>
    <w:rsid w:val="70DF3B43"/>
    <w:rsid w:val="71126EE7"/>
    <w:rsid w:val="71340C72"/>
    <w:rsid w:val="714E7C4B"/>
    <w:rsid w:val="7155200B"/>
    <w:rsid w:val="71621B42"/>
    <w:rsid w:val="71654E27"/>
    <w:rsid w:val="719E73CE"/>
    <w:rsid w:val="71F6500C"/>
    <w:rsid w:val="71FB09CF"/>
    <w:rsid w:val="721279AA"/>
    <w:rsid w:val="72133F6A"/>
    <w:rsid w:val="721B37CB"/>
    <w:rsid w:val="722D677A"/>
    <w:rsid w:val="72677E12"/>
    <w:rsid w:val="729F135A"/>
    <w:rsid w:val="72AB1549"/>
    <w:rsid w:val="72B82F50"/>
    <w:rsid w:val="72C217B0"/>
    <w:rsid w:val="72C77465"/>
    <w:rsid w:val="72CE25B0"/>
    <w:rsid w:val="72D336FA"/>
    <w:rsid w:val="73041B05"/>
    <w:rsid w:val="730438B3"/>
    <w:rsid w:val="733221CE"/>
    <w:rsid w:val="735F1353"/>
    <w:rsid w:val="73702CF6"/>
    <w:rsid w:val="737E24ED"/>
    <w:rsid w:val="738461BF"/>
    <w:rsid w:val="738E367E"/>
    <w:rsid w:val="73934CDB"/>
    <w:rsid w:val="73AA3458"/>
    <w:rsid w:val="73AB1F81"/>
    <w:rsid w:val="73AD3F4B"/>
    <w:rsid w:val="73B01345"/>
    <w:rsid w:val="73B37036"/>
    <w:rsid w:val="73C179F6"/>
    <w:rsid w:val="73C22DCA"/>
    <w:rsid w:val="73E0154A"/>
    <w:rsid w:val="73F76C73"/>
    <w:rsid w:val="741373FD"/>
    <w:rsid w:val="74203020"/>
    <w:rsid w:val="74234E43"/>
    <w:rsid w:val="743361D0"/>
    <w:rsid w:val="746960C4"/>
    <w:rsid w:val="74852401"/>
    <w:rsid w:val="74A04AD6"/>
    <w:rsid w:val="74A95947"/>
    <w:rsid w:val="74CD1C80"/>
    <w:rsid w:val="74E03E8F"/>
    <w:rsid w:val="74E6192D"/>
    <w:rsid w:val="74E72327"/>
    <w:rsid w:val="74FD10EC"/>
    <w:rsid w:val="75023E22"/>
    <w:rsid w:val="750D20E7"/>
    <w:rsid w:val="75482A22"/>
    <w:rsid w:val="756211EE"/>
    <w:rsid w:val="756920F3"/>
    <w:rsid w:val="757C043C"/>
    <w:rsid w:val="758D39AB"/>
    <w:rsid w:val="758F0A0E"/>
    <w:rsid w:val="7590142E"/>
    <w:rsid w:val="75985BCF"/>
    <w:rsid w:val="75A3686C"/>
    <w:rsid w:val="75AF3FAA"/>
    <w:rsid w:val="75BA57C4"/>
    <w:rsid w:val="75BD0103"/>
    <w:rsid w:val="75F47C0F"/>
    <w:rsid w:val="76075E79"/>
    <w:rsid w:val="76134845"/>
    <w:rsid w:val="763922F4"/>
    <w:rsid w:val="765B1B03"/>
    <w:rsid w:val="767E1BCE"/>
    <w:rsid w:val="768C7E47"/>
    <w:rsid w:val="769D3E02"/>
    <w:rsid w:val="76B80955"/>
    <w:rsid w:val="76D90BB3"/>
    <w:rsid w:val="76EC740F"/>
    <w:rsid w:val="7736125B"/>
    <w:rsid w:val="774B075C"/>
    <w:rsid w:val="77545A55"/>
    <w:rsid w:val="775545EE"/>
    <w:rsid w:val="776D5A49"/>
    <w:rsid w:val="777F5BFE"/>
    <w:rsid w:val="77813724"/>
    <w:rsid w:val="77896DD2"/>
    <w:rsid w:val="77AA41E1"/>
    <w:rsid w:val="77BF6F51"/>
    <w:rsid w:val="77C91904"/>
    <w:rsid w:val="77D73344"/>
    <w:rsid w:val="77D777E8"/>
    <w:rsid w:val="77EB5041"/>
    <w:rsid w:val="781C5725"/>
    <w:rsid w:val="781E5417"/>
    <w:rsid w:val="78271F54"/>
    <w:rsid w:val="78280C22"/>
    <w:rsid w:val="78283BA0"/>
    <w:rsid w:val="782A7F03"/>
    <w:rsid w:val="787615CF"/>
    <w:rsid w:val="78872FBC"/>
    <w:rsid w:val="78CD0CE6"/>
    <w:rsid w:val="79033DC8"/>
    <w:rsid w:val="790A0797"/>
    <w:rsid w:val="794835E0"/>
    <w:rsid w:val="794E7636"/>
    <w:rsid w:val="79616DC4"/>
    <w:rsid w:val="79673BCA"/>
    <w:rsid w:val="79782241"/>
    <w:rsid w:val="797A667D"/>
    <w:rsid w:val="79927E6B"/>
    <w:rsid w:val="79BC1EC7"/>
    <w:rsid w:val="79E820BE"/>
    <w:rsid w:val="79E92E57"/>
    <w:rsid w:val="79F26B1E"/>
    <w:rsid w:val="7A000C8F"/>
    <w:rsid w:val="7A1443B9"/>
    <w:rsid w:val="7A2D7B93"/>
    <w:rsid w:val="7A6730A5"/>
    <w:rsid w:val="7A6F6591"/>
    <w:rsid w:val="7A835A05"/>
    <w:rsid w:val="7A862644"/>
    <w:rsid w:val="7AA037BE"/>
    <w:rsid w:val="7AAC0428"/>
    <w:rsid w:val="7ABD5C87"/>
    <w:rsid w:val="7AC21415"/>
    <w:rsid w:val="7AC74DEF"/>
    <w:rsid w:val="7ACA7190"/>
    <w:rsid w:val="7ACC0CD4"/>
    <w:rsid w:val="7ACE16BD"/>
    <w:rsid w:val="7AEA5A84"/>
    <w:rsid w:val="7AEC7106"/>
    <w:rsid w:val="7B010C17"/>
    <w:rsid w:val="7B031518"/>
    <w:rsid w:val="7B054F71"/>
    <w:rsid w:val="7B266AE8"/>
    <w:rsid w:val="7B3311D9"/>
    <w:rsid w:val="7B385506"/>
    <w:rsid w:val="7B4128F5"/>
    <w:rsid w:val="7B4E6013"/>
    <w:rsid w:val="7B5B146A"/>
    <w:rsid w:val="7B681A01"/>
    <w:rsid w:val="7B7B492E"/>
    <w:rsid w:val="7B86410F"/>
    <w:rsid w:val="7B876E2F"/>
    <w:rsid w:val="7BAC1494"/>
    <w:rsid w:val="7BD3539E"/>
    <w:rsid w:val="7BE35E80"/>
    <w:rsid w:val="7BF546E1"/>
    <w:rsid w:val="7C18217D"/>
    <w:rsid w:val="7C2B0102"/>
    <w:rsid w:val="7C397120"/>
    <w:rsid w:val="7C47478B"/>
    <w:rsid w:val="7C7A1AE2"/>
    <w:rsid w:val="7C8932DF"/>
    <w:rsid w:val="7C9573B2"/>
    <w:rsid w:val="7CB42860"/>
    <w:rsid w:val="7CB71996"/>
    <w:rsid w:val="7CE502B1"/>
    <w:rsid w:val="7CF8678F"/>
    <w:rsid w:val="7CF945BE"/>
    <w:rsid w:val="7D021F92"/>
    <w:rsid w:val="7D11554A"/>
    <w:rsid w:val="7D123E77"/>
    <w:rsid w:val="7D180687"/>
    <w:rsid w:val="7D1E4059"/>
    <w:rsid w:val="7D2C2AE8"/>
    <w:rsid w:val="7D6523DB"/>
    <w:rsid w:val="7D6A08F7"/>
    <w:rsid w:val="7D8E26F7"/>
    <w:rsid w:val="7DD7027D"/>
    <w:rsid w:val="7DE85837"/>
    <w:rsid w:val="7E074902"/>
    <w:rsid w:val="7E1C41A7"/>
    <w:rsid w:val="7E6E2E4D"/>
    <w:rsid w:val="7EA90F47"/>
    <w:rsid w:val="7EB10D93"/>
    <w:rsid w:val="7EBE6F11"/>
    <w:rsid w:val="7EC40A46"/>
    <w:rsid w:val="7ED34A0E"/>
    <w:rsid w:val="7EDB5E10"/>
    <w:rsid w:val="7EE30DF1"/>
    <w:rsid w:val="7EFE1AFE"/>
    <w:rsid w:val="7F136667"/>
    <w:rsid w:val="7F1C3DA0"/>
    <w:rsid w:val="7F4828C6"/>
    <w:rsid w:val="7F580F12"/>
    <w:rsid w:val="7F7B09F1"/>
    <w:rsid w:val="7F7F71B2"/>
    <w:rsid w:val="7F833D8D"/>
    <w:rsid w:val="7FBF128D"/>
    <w:rsid w:val="7FE76B0F"/>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4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1"/>
    <w:pPr>
      <w:spacing w:before="41"/>
      <w:ind w:left="267"/>
      <w:jc w:val="center"/>
      <w:outlineLvl w:val="3"/>
    </w:pPr>
    <w:rPr>
      <w:b/>
      <w:bCs/>
      <w:sz w:val="42"/>
      <w:szCs w:val="42"/>
    </w:rPr>
  </w:style>
  <w:style w:type="paragraph" w:styleId="8">
    <w:name w:val="heading 7"/>
    <w:basedOn w:val="1"/>
    <w:next w:val="1"/>
    <w:qFormat/>
    <w:uiPriority w:val="1"/>
    <w:pPr>
      <w:spacing w:before="49"/>
      <w:jc w:val="center"/>
      <w:outlineLvl w:val="6"/>
    </w:pPr>
    <w:rPr>
      <w:sz w:val="36"/>
      <w:szCs w:val="36"/>
    </w:rPr>
  </w:style>
  <w:style w:type="character" w:default="1" w:styleId="39">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styleId="2">
    <w:name w:val="Body Text"/>
    <w:basedOn w:val="1"/>
    <w:link w:val="53"/>
    <w:qFormat/>
    <w:uiPriority w:val="0"/>
    <w:pPr>
      <w:tabs>
        <w:tab w:val="left" w:pos="567"/>
      </w:tabs>
      <w:spacing w:before="120" w:line="22" w:lineRule="atLeast"/>
    </w:pPr>
    <w:rPr>
      <w:rFonts w:ascii="宋体" w:hAnsi="宋体"/>
      <w:sz w:val="24"/>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toc 7"/>
    <w:basedOn w:val="1"/>
    <w:next w:val="1"/>
    <w:qFormat/>
    <w:uiPriority w:val="39"/>
    <w:pPr>
      <w:ind w:left="2520" w:leftChars="1200"/>
    </w:pPr>
  </w:style>
  <w:style w:type="paragraph" w:styleId="10">
    <w:name w:val="toa heading"/>
    <w:basedOn w:val="1"/>
    <w:next w:val="1"/>
    <w:qFormat/>
    <w:uiPriority w:val="0"/>
    <w:pPr>
      <w:widowControl/>
      <w:autoSpaceDE/>
      <w:autoSpaceDN/>
      <w:spacing w:before="120" w:after="0" w:line="240" w:lineRule="auto"/>
      <w:ind w:left="0" w:firstLine="3584"/>
    </w:pPr>
  </w:style>
  <w:style w:type="paragraph" w:styleId="11">
    <w:name w:val="annotation text"/>
    <w:basedOn w:val="1"/>
    <w:link w:val="52"/>
    <w:qFormat/>
    <w:uiPriority w:val="99"/>
    <w:pPr>
      <w:jc w:val="left"/>
    </w:pPr>
  </w:style>
  <w:style w:type="paragraph" w:styleId="12">
    <w:name w:val="Body Text Indent"/>
    <w:basedOn w:val="1"/>
    <w:next w:val="1"/>
    <w:qFormat/>
    <w:uiPriority w:val="0"/>
    <w:pPr>
      <w:spacing w:line="360" w:lineRule="auto"/>
      <w:ind w:firstLine="570"/>
    </w:pPr>
    <w:rPr>
      <w:sz w:val="24"/>
    </w:rPr>
  </w:style>
  <w:style w:type="paragraph" w:styleId="13">
    <w:name w:val="Block Text"/>
    <w:basedOn w:val="1"/>
    <w:unhideWhenUsed/>
    <w:qFormat/>
    <w:uiPriority w:val="99"/>
    <w:pPr>
      <w:spacing w:after="120"/>
      <w:ind w:left="1440" w:leftChars="700" w:right="700" w:rightChars="700"/>
    </w:pPr>
  </w:style>
  <w:style w:type="paragraph" w:styleId="14">
    <w:name w:val="toc 5"/>
    <w:basedOn w:val="1"/>
    <w:next w:val="1"/>
    <w:qFormat/>
    <w:uiPriority w:val="39"/>
    <w:pPr>
      <w:ind w:left="1680" w:leftChars="800"/>
    </w:pPr>
  </w:style>
  <w:style w:type="paragraph" w:styleId="15">
    <w:name w:val="toc 3"/>
    <w:basedOn w:val="1"/>
    <w:next w:val="1"/>
    <w:qFormat/>
    <w:uiPriority w:val="39"/>
    <w:pPr>
      <w:tabs>
        <w:tab w:val="left" w:pos="1260"/>
        <w:tab w:val="right" w:leader="dot" w:pos="8630"/>
      </w:tabs>
      <w:ind w:left="840" w:leftChars="400"/>
    </w:pPr>
  </w:style>
  <w:style w:type="paragraph" w:styleId="16">
    <w:name w:val="Plain Text"/>
    <w:basedOn w:val="1"/>
    <w:next w:val="17"/>
    <w:link w:val="54"/>
    <w:qFormat/>
    <w:uiPriority w:val="0"/>
    <w:rPr>
      <w:rFonts w:ascii="宋体" w:hAnsi="Courier New"/>
      <w:szCs w:val="20"/>
    </w:rPr>
  </w:style>
  <w:style w:type="paragraph" w:styleId="17">
    <w:name w:val="index 7"/>
    <w:basedOn w:val="1"/>
    <w:next w:val="1"/>
    <w:qFormat/>
    <w:uiPriority w:val="0"/>
    <w:pPr>
      <w:autoSpaceDE/>
      <w:autoSpaceDN/>
      <w:adjustRightInd/>
      <w:ind w:left="1200" w:leftChars="1200"/>
    </w:pPr>
    <w:rPr>
      <w:color w:val="auto"/>
      <w:kern w:val="2"/>
      <w:szCs w:val="24"/>
    </w:rPr>
  </w:style>
  <w:style w:type="paragraph" w:styleId="18">
    <w:name w:val="toc 8"/>
    <w:basedOn w:val="1"/>
    <w:next w:val="1"/>
    <w:qFormat/>
    <w:uiPriority w:val="39"/>
    <w:pPr>
      <w:ind w:left="2940" w:leftChars="1400"/>
    </w:pPr>
  </w:style>
  <w:style w:type="paragraph" w:styleId="19">
    <w:name w:val="Date"/>
    <w:basedOn w:val="1"/>
    <w:next w:val="1"/>
    <w:link w:val="55"/>
    <w:qFormat/>
    <w:uiPriority w:val="0"/>
    <w:pPr>
      <w:ind w:left="100" w:leftChars="2500"/>
    </w:pPr>
    <w:rPr>
      <w:rFonts w:ascii="仿宋_GB2312" w:hAnsi="宋体" w:eastAsia="仿宋_GB2312"/>
      <w:color w:val="000000"/>
      <w:sz w:val="24"/>
    </w:rPr>
  </w:style>
  <w:style w:type="paragraph" w:styleId="20">
    <w:name w:val="Body Text Indent 2"/>
    <w:basedOn w:val="1"/>
    <w:qFormat/>
    <w:uiPriority w:val="0"/>
    <w:pPr>
      <w:ind w:firstLine="480" w:firstLineChars="200"/>
    </w:pPr>
    <w:rPr>
      <w:rFonts w:ascii="仿宋_GB2312" w:eastAsia="仿宋_GB2312"/>
      <w:sz w:val="24"/>
    </w:rPr>
  </w:style>
  <w:style w:type="paragraph" w:styleId="21">
    <w:name w:val="Balloon Text"/>
    <w:basedOn w:val="1"/>
    <w:link w:val="56"/>
    <w:qFormat/>
    <w:uiPriority w:val="0"/>
    <w:rPr>
      <w:sz w:val="18"/>
      <w:szCs w:val="18"/>
    </w:rPr>
  </w:style>
  <w:style w:type="paragraph" w:styleId="22">
    <w:name w:val="footer"/>
    <w:basedOn w:val="1"/>
    <w:link w:val="5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List"/>
    <w:basedOn w:val="1"/>
    <w:qFormat/>
    <w:uiPriority w:val="0"/>
    <w:pPr>
      <w:adjustRightInd w:val="0"/>
      <w:spacing w:line="312" w:lineRule="atLeast"/>
      <w:ind w:left="200" w:hanging="200" w:hangingChars="200"/>
      <w:textAlignment w:val="baseline"/>
    </w:pPr>
    <w:rPr>
      <w:rFonts w:eastAsia="仿宋"/>
      <w:kern w:val="0"/>
      <w:sz w:val="32"/>
      <w:szCs w:val="20"/>
    </w:rPr>
  </w:style>
  <w:style w:type="paragraph" w:styleId="27">
    <w:name w:val="footnote text"/>
    <w:basedOn w:val="1"/>
    <w:qFormat/>
    <w:uiPriority w:val="0"/>
    <w:pPr>
      <w:snapToGrid w:val="0"/>
      <w:jc w:val="left"/>
    </w:pPr>
    <w:rPr>
      <w:sz w:val="18"/>
    </w:rPr>
  </w:style>
  <w:style w:type="paragraph" w:styleId="28">
    <w:name w:val="toc 6"/>
    <w:basedOn w:val="1"/>
    <w:next w:val="1"/>
    <w:qFormat/>
    <w:uiPriority w:val="39"/>
    <w:pPr>
      <w:ind w:left="2100" w:leftChars="1000"/>
    </w:pPr>
  </w:style>
  <w:style w:type="paragraph" w:styleId="29">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toc 2"/>
    <w:basedOn w:val="1"/>
    <w:next w:val="1"/>
    <w:qFormat/>
    <w:uiPriority w:val="39"/>
    <w:pPr>
      <w:ind w:left="420" w:leftChars="200"/>
    </w:pPr>
  </w:style>
  <w:style w:type="paragraph" w:styleId="31">
    <w:name w:val="toc 9"/>
    <w:basedOn w:val="1"/>
    <w:next w:val="1"/>
    <w:qFormat/>
    <w:uiPriority w:val="39"/>
    <w:pPr>
      <w:ind w:left="3360" w:leftChars="1600"/>
    </w:pPr>
  </w:style>
  <w:style w:type="paragraph" w:styleId="32">
    <w:name w:val="Normal (Web)"/>
    <w:basedOn w:val="1"/>
    <w:qFormat/>
    <w:uiPriority w:val="0"/>
    <w:pPr>
      <w:spacing w:before="75" w:after="75"/>
    </w:pPr>
    <w:rPr>
      <w:sz w:val="24"/>
    </w:rPr>
  </w:style>
  <w:style w:type="paragraph" w:styleId="33">
    <w:name w:val="index 1"/>
    <w:basedOn w:val="1"/>
    <w:next w:val="1"/>
    <w:semiHidden/>
    <w:qFormat/>
    <w:uiPriority w:val="0"/>
    <w:rPr>
      <w:szCs w:val="20"/>
    </w:rPr>
  </w:style>
  <w:style w:type="paragraph" w:styleId="34">
    <w:name w:val="annotation subject"/>
    <w:basedOn w:val="11"/>
    <w:next w:val="11"/>
    <w:link w:val="59"/>
    <w:qFormat/>
    <w:uiPriority w:val="0"/>
    <w:rPr>
      <w:b/>
      <w:bCs/>
    </w:rPr>
  </w:style>
  <w:style w:type="paragraph" w:styleId="35">
    <w:name w:val="Body Text First Indent"/>
    <w:basedOn w:val="2"/>
    <w:next w:val="1"/>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36">
    <w:name w:val="Body Text First Indent 2"/>
    <w:basedOn w:val="12"/>
    <w:next w:val="1"/>
    <w:qFormat/>
    <w:uiPriority w:val="99"/>
    <w:pPr>
      <w:ind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rPr>
  </w:style>
  <w:style w:type="character" w:styleId="41">
    <w:name w:val="page number"/>
    <w:basedOn w:val="39"/>
    <w:qFormat/>
    <w:uiPriority w:val="0"/>
  </w:style>
  <w:style w:type="character" w:styleId="42">
    <w:name w:val="Emphasis"/>
    <w:basedOn w:val="39"/>
    <w:qFormat/>
    <w:uiPriority w:val="0"/>
    <w:rPr>
      <w:i/>
    </w:rPr>
  </w:style>
  <w:style w:type="character" w:styleId="43">
    <w:name w:val="Hyperlink"/>
    <w:qFormat/>
    <w:uiPriority w:val="99"/>
    <w:rPr>
      <w:color w:val="0000FF"/>
      <w:u w:val="single"/>
    </w:rPr>
  </w:style>
  <w:style w:type="character" w:styleId="44">
    <w:name w:val="annotation reference"/>
    <w:qFormat/>
    <w:uiPriority w:val="99"/>
    <w:rPr>
      <w:sz w:val="21"/>
      <w:szCs w:val="21"/>
    </w:rPr>
  </w:style>
  <w:style w:type="paragraph" w:customStyle="1" w:styleId="45">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46">
    <w:name w:val="4正文"/>
    <w:basedOn w:val="1"/>
    <w:qFormat/>
    <w:uiPriority w:val="0"/>
    <w:pPr>
      <w:jc w:val="left"/>
    </w:pPr>
    <w:rPr>
      <w:szCs w:val="24"/>
    </w:rPr>
  </w:style>
  <w:style w:type="character" w:customStyle="1" w:styleId="47">
    <w:name w:val="标题 1 Char"/>
    <w:link w:val="3"/>
    <w:qFormat/>
    <w:uiPriority w:val="0"/>
    <w:rPr>
      <w:rFonts w:ascii="宋体"/>
      <w:b/>
      <w:kern w:val="44"/>
      <w:sz w:val="32"/>
    </w:rPr>
  </w:style>
  <w:style w:type="character" w:customStyle="1" w:styleId="48">
    <w:name w:val="标题 3 Char"/>
    <w:link w:val="5"/>
    <w:qFormat/>
    <w:uiPriority w:val="0"/>
    <w:rPr>
      <w:rFonts w:ascii="宋体"/>
      <w:b/>
      <w:sz w:val="24"/>
      <w:u w:val="single"/>
    </w:rPr>
  </w:style>
  <w:style w:type="paragraph" w:customStyle="1" w:styleId="4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51">
    <w:name w:val="标题 2 Char"/>
    <w:link w:val="4"/>
    <w:qFormat/>
    <w:uiPriority w:val="0"/>
    <w:rPr>
      <w:rFonts w:ascii="Arial" w:hAnsi="Arial" w:eastAsia="黑体"/>
      <w:b/>
      <w:sz w:val="30"/>
    </w:rPr>
  </w:style>
  <w:style w:type="character" w:customStyle="1" w:styleId="52">
    <w:name w:val="批注文字 Char"/>
    <w:link w:val="11"/>
    <w:qFormat/>
    <w:uiPriority w:val="99"/>
    <w:rPr>
      <w:kern w:val="2"/>
      <w:sz w:val="21"/>
      <w:szCs w:val="24"/>
    </w:rPr>
  </w:style>
  <w:style w:type="character" w:customStyle="1" w:styleId="53">
    <w:name w:val="正文文本 Char"/>
    <w:link w:val="2"/>
    <w:qFormat/>
    <w:uiPriority w:val="0"/>
    <w:rPr>
      <w:rFonts w:ascii="宋体" w:hAnsi="宋体"/>
      <w:kern w:val="2"/>
      <w:sz w:val="24"/>
      <w:szCs w:val="24"/>
    </w:rPr>
  </w:style>
  <w:style w:type="character" w:customStyle="1" w:styleId="54">
    <w:name w:val="纯文本 Char"/>
    <w:link w:val="16"/>
    <w:qFormat/>
    <w:uiPriority w:val="0"/>
    <w:rPr>
      <w:rFonts w:ascii="宋体" w:hAnsi="Courier New"/>
      <w:kern w:val="2"/>
      <w:sz w:val="21"/>
    </w:rPr>
  </w:style>
  <w:style w:type="character" w:customStyle="1" w:styleId="55">
    <w:name w:val="日期 Char"/>
    <w:link w:val="19"/>
    <w:qFormat/>
    <w:uiPriority w:val="0"/>
    <w:rPr>
      <w:rFonts w:ascii="仿宋_GB2312" w:hAnsi="宋体" w:eastAsia="仿宋_GB2312"/>
      <w:color w:val="000000"/>
      <w:kern w:val="2"/>
      <w:sz w:val="24"/>
      <w:szCs w:val="24"/>
    </w:rPr>
  </w:style>
  <w:style w:type="character" w:customStyle="1" w:styleId="56">
    <w:name w:val="批注框文本 Char"/>
    <w:link w:val="21"/>
    <w:qFormat/>
    <w:uiPriority w:val="0"/>
    <w:rPr>
      <w:kern w:val="2"/>
      <w:sz w:val="18"/>
      <w:szCs w:val="18"/>
    </w:rPr>
  </w:style>
  <w:style w:type="character" w:customStyle="1" w:styleId="57">
    <w:name w:val="页脚 Char"/>
    <w:link w:val="22"/>
    <w:qFormat/>
    <w:uiPriority w:val="99"/>
    <w:rPr>
      <w:rFonts w:ascii="宋体"/>
      <w:sz w:val="18"/>
    </w:rPr>
  </w:style>
  <w:style w:type="character" w:customStyle="1" w:styleId="58">
    <w:name w:val="页眉 Char"/>
    <w:link w:val="23"/>
    <w:qFormat/>
    <w:uiPriority w:val="0"/>
    <w:rPr>
      <w:kern w:val="2"/>
      <w:sz w:val="18"/>
      <w:szCs w:val="18"/>
    </w:rPr>
  </w:style>
  <w:style w:type="character" w:customStyle="1" w:styleId="59">
    <w:name w:val="批注主题 Char"/>
    <w:link w:val="34"/>
    <w:qFormat/>
    <w:uiPriority w:val="0"/>
    <w:rPr>
      <w:b/>
      <w:bCs/>
      <w:kern w:val="2"/>
      <w:sz w:val="21"/>
      <w:szCs w:val="24"/>
    </w:rPr>
  </w:style>
  <w:style w:type="paragraph" w:customStyle="1" w:styleId="60">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character" w:customStyle="1" w:styleId="61">
    <w:name w:val="bookmark-item"/>
    <w:basedOn w:val="39"/>
    <w:qFormat/>
    <w:uiPriority w:val="0"/>
  </w:style>
  <w:style w:type="character" w:customStyle="1" w:styleId="62">
    <w:name w:val="font31"/>
    <w:basedOn w:val="39"/>
    <w:qFormat/>
    <w:uiPriority w:val="0"/>
    <w:rPr>
      <w:rFonts w:hint="eastAsia" w:ascii="宋体" w:hAnsi="宋体" w:eastAsia="宋体" w:cs="宋体"/>
      <w:color w:val="000000"/>
      <w:sz w:val="22"/>
      <w:szCs w:val="22"/>
      <w:u w:val="none"/>
    </w:rPr>
  </w:style>
  <w:style w:type="character" w:customStyle="1" w:styleId="63">
    <w:name w:val="批注框文本 Char1"/>
    <w:semiHidden/>
    <w:qFormat/>
    <w:uiPriority w:val="99"/>
    <w:rPr>
      <w:kern w:val="2"/>
      <w:sz w:val="18"/>
      <w:szCs w:val="18"/>
    </w:rPr>
  </w:style>
  <w:style w:type="character" w:customStyle="1" w:styleId="64">
    <w:name w:val="页眉 Char1"/>
    <w:semiHidden/>
    <w:qFormat/>
    <w:uiPriority w:val="99"/>
    <w:rPr>
      <w:kern w:val="2"/>
      <w:sz w:val="18"/>
      <w:szCs w:val="18"/>
    </w:rPr>
  </w:style>
  <w:style w:type="character" w:customStyle="1" w:styleId="65">
    <w:name w:val="纯文本 Char1"/>
    <w:link w:val="66"/>
    <w:qFormat/>
    <w:uiPriority w:val="0"/>
    <w:rPr>
      <w:rFonts w:ascii="宋体" w:hAnsi="Courier New"/>
    </w:rPr>
  </w:style>
  <w:style w:type="paragraph" w:customStyle="1" w:styleId="66">
    <w:name w:val="纯文本1"/>
    <w:basedOn w:val="1"/>
    <w:link w:val="65"/>
    <w:qFormat/>
    <w:uiPriority w:val="0"/>
    <w:rPr>
      <w:rFonts w:ascii="宋体" w:hAnsi="Courier New"/>
      <w:kern w:val="0"/>
      <w:sz w:val="20"/>
      <w:szCs w:val="20"/>
    </w:rPr>
  </w:style>
  <w:style w:type="character" w:customStyle="1" w:styleId="67">
    <w:name w:val="正文缩进 Char1"/>
    <w:link w:val="68"/>
    <w:qFormat/>
    <w:uiPriority w:val="0"/>
    <w:rPr>
      <w:rFonts w:ascii="宋体"/>
      <w:sz w:val="24"/>
    </w:rPr>
  </w:style>
  <w:style w:type="paragraph" w:customStyle="1" w:styleId="68">
    <w:name w:val="正文缩进1"/>
    <w:basedOn w:val="1"/>
    <w:link w:val="67"/>
    <w:qFormat/>
    <w:uiPriority w:val="0"/>
    <w:pPr>
      <w:autoSpaceDE w:val="0"/>
      <w:autoSpaceDN w:val="0"/>
      <w:adjustRightInd w:val="0"/>
      <w:ind w:firstLine="420"/>
      <w:jc w:val="left"/>
    </w:pPr>
    <w:rPr>
      <w:rFonts w:ascii="宋体"/>
      <w:kern w:val="0"/>
      <w:sz w:val="24"/>
      <w:szCs w:val="20"/>
    </w:rPr>
  </w:style>
  <w:style w:type="character" w:customStyle="1" w:styleId="69">
    <w:name w:val="font21"/>
    <w:basedOn w:val="39"/>
    <w:qFormat/>
    <w:uiPriority w:val="0"/>
    <w:rPr>
      <w:rFonts w:hint="eastAsia" w:ascii="宋体" w:hAnsi="宋体" w:eastAsia="宋体" w:cs="宋体"/>
      <w:b/>
      <w:color w:val="000000"/>
      <w:sz w:val="20"/>
      <w:szCs w:val="20"/>
      <w:u w:val="none"/>
    </w:rPr>
  </w:style>
  <w:style w:type="character" w:customStyle="1" w:styleId="70">
    <w:name w:val="批注文字 Char1"/>
    <w:semiHidden/>
    <w:qFormat/>
    <w:uiPriority w:val="99"/>
    <w:rPr>
      <w:kern w:val="2"/>
      <w:sz w:val="21"/>
      <w:szCs w:val="24"/>
    </w:rPr>
  </w:style>
  <w:style w:type="character" w:customStyle="1" w:styleId="71">
    <w:name w:val="批注主题 Char1"/>
    <w:semiHidden/>
    <w:qFormat/>
    <w:uiPriority w:val="99"/>
    <w:rPr>
      <w:b/>
      <w:bCs/>
      <w:kern w:val="2"/>
      <w:sz w:val="21"/>
      <w:szCs w:val="24"/>
    </w:rPr>
  </w:style>
  <w:style w:type="paragraph" w:styleId="72">
    <w:name w:val="List Paragraph"/>
    <w:basedOn w:val="1"/>
    <w:qFormat/>
    <w:uiPriority w:val="34"/>
    <w:pPr>
      <w:widowControl/>
      <w:ind w:firstLine="420" w:firstLineChars="200"/>
      <w:jc w:val="left"/>
    </w:pPr>
    <w:rPr>
      <w:kern w:val="0"/>
      <w:sz w:val="24"/>
    </w:rPr>
  </w:style>
  <w:style w:type="paragraph" w:customStyle="1" w:styleId="73">
    <w:name w:val="列出段落1"/>
    <w:basedOn w:val="1"/>
    <w:qFormat/>
    <w:uiPriority w:val="34"/>
    <w:pPr>
      <w:widowControl/>
      <w:ind w:firstLine="420" w:firstLineChars="200"/>
      <w:jc w:val="left"/>
    </w:pPr>
    <w:rPr>
      <w:kern w:val="0"/>
      <w:sz w:val="24"/>
    </w:rPr>
  </w:style>
  <w:style w:type="paragraph" w:customStyle="1" w:styleId="74">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75">
    <w:name w:val="Char"/>
    <w:basedOn w:val="1"/>
    <w:qFormat/>
    <w:uiPriority w:val="0"/>
    <w:pPr>
      <w:tabs>
        <w:tab w:val="left" w:pos="360"/>
      </w:tabs>
    </w:pPr>
    <w:rPr>
      <w:sz w:val="24"/>
    </w:rPr>
  </w:style>
  <w:style w:type="paragraph" w:customStyle="1" w:styleId="76">
    <w:name w:val="Style1"/>
    <w:basedOn w:val="1"/>
    <w:qFormat/>
    <w:uiPriority w:val="0"/>
    <w:pPr>
      <w:widowControl/>
      <w:tabs>
        <w:tab w:val="left" w:pos="-720"/>
      </w:tabs>
    </w:pPr>
    <w:rPr>
      <w:rFonts w:ascii="Times New Roman" w:hAnsi="Times New Roman" w:eastAsia="宋体" w:cs="Times New Roman"/>
      <w:spacing w:val="-3"/>
      <w:sz w:val="24"/>
      <w:szCs w:val="20"/>
      <w:lang w:val="en-AU"/>
    </w:rPr>
  </w:style>
  <w:style w:type="paragraph" w:customStyle="1" w:styleId="77">
    <w:name w:val="Table Paragraph"/>
    <w:basedOn w:val="1"/>
    <w:qFormat/>
    <w:uiPriority w:val="1"/>
    <w:rPr>
      <w:rFonts w:ascii="宋体" w:hAnsi="宋体" w:eastAsia="宋体" w:cs="宋体"/>
      <w:lang w:val="zh-CN" w:eastAsia="zh-CN" w:bidi="zh-CN"/>
    </w:rPr>
  </w:style>
  <w:style w:type="paragraph" w:customStyle="1" w:styleId="78">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79">
    <w:name w:val="Picture caption|1"/>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80">
    <w:name w:val="索引 11"/>
    <w:basedOn w:val="1"/>
    <w:next w:val="1"/>
    <w:qFormat/>
    <w:uiPriority w:val="0"/>
    <w:pPr>
      <w:spacing w:line="360" w:lineRule="auto"/>
    </w:pPr>
    <w:rPr>
      <w:rFonts w:ascii="仿宋_GB2312" w:eastAsia="仿宋_GB2312"/>
      <w:sz w:val="24"/>
      <w:szCs w:val="20"/>
    </w:rPr>
  </w:style>
  <w:style w:type="table" w:customStyle="1" w:styleId="81">
    <w:name w:val="Table Normal"/>
    <w:unhideWhenUsed/>
    <w:qFormat/>
    <w:uiPriority w:val="2"/>
    <w:rPr>
      <w:lang w:val="en-US" w:eastAsia="zh-CN" w:bidi="ar-SA"/>
    </w:rPr>
    <w:tblPr>
      <w:tblCellMar>
        <w:top w:w="0" w:type="dxa"/>
        <w:left w:w="0" w:type="dxa"/>
        <w:bottom w:w="0" w:type="dxa"/>
        <w:right w:w="0" w:type="dxa"/>
      </w:tblCellMar>
    </w:tblPr>
  </w:style>
  <w:style w:type="character" w:customStyle="1" w:styleId="82">
    <w:name w:val="font51"/>
    <w:basedOn w:val="39"/>
    <w:qFormat/>
    <w:uiPriority w:val="0"/>
    <w:rPr>
      <w:rFonts w:hint="eastAsia" w:ascii="宋体" w:hAnsi="宋体" w:eastAsia="宋体" w:cs="宋体"/>
      <w:color w:val="000000"/>
      <w:sz w:val="20"/>
      <w:szCs w:val="20"/>
      <w:u w:val="none"/>
    </w:rPr>
  </w:style>
  <w:style w:type="character" w:customStyle="1" w:styleId="83">
    <w:name w:val="font11"/>
    <w:basedOn w:val="39"/>
    <w:qFormat/>
    <w:uiPriority w:val="0"/>
    <w:rPr>
      <w:rFonts w:hint="default" w:ascii="Times New Roman" w:hAnsi="Times New Roman" w:cs="Times New Roman"/>
      <w:color w:val="000000"/>
      <w:sz w:val="20"/>
      <w:szCs w:val="20"/>
      <w:u w:val="none"/>
    </w:rPr>
  </w:style>
  <w:style w:type="character" w:customStyle="1" w:styleId="84">
    <w:name w:val="font71"/>
    <w:basedOn w:val="39"/>
    <w:qFormat/>
    <w:uiPriority w:val="0"/>
    <w:rPr>
      <w:rFonts w:hint="eastAsia" w:ascii="宋体" w:hAnsi="宋体" w:eastAsia="宋体" w:cs="宋体"/>
      <w:b/>
      <w:bCs/>
      <w:color w:val="000000"/>
      <w:sz w:val="24"/>
      <w:szCs w:val="24"/>
      <w:u w:val="none"/>
    </w:rPr>
  </w:style>
  <w:style w:type="character" w:customStyle="1" w:styleId="85">
    <w:name w:val="font121"/>
    <w:basedOn w:val="39"/>
    <w:qFormat/>
    <w:uiPriority w:val="0"/>
    <w:rPr>
      <w:rFonts w:hint="default" w:ascii="Times New Roman" w:hAnsi="Times New Roman" w:cs="Times New Roman"/>
      <w:b/>
      <w:bCs/>
      <w:color w:val="000000"/>
      <w:sz w:val="24"/>
      <w:szCs w:val="24"/>
      <w:u w:val="none"/>
    </w:rPr>
  </w:style>
  <w:style w:type="character" w:customStyle="1" w:styleId="86">
    <w:name w:val="font41"/>
    <w:basedOn w:val="39"/>
    <w:qFormat/>
    <w:uiPriority w:val="0"/>
    <w:rPr>
      <w:rFonts w:hint="eastAsia" w:ascii="宋体" w:hAnsi="宋体" w:eastAsia="宋体" w:cs="宋体"/>
      <w:color w:val="000000"/>
      <w:sz w:val="20"/>
      <w:szCs w:val="20"/>
      <w:u w:val="none"/>
    </w:rPr>
  </w:style>
  <w:style w:type="character" w:customStyle="1" w:styleId="87">
    <w:name w:val="font01"/>
    <w:basedOn w:val="39"/>
    <w:qFormat/>
    <w:uiPriority w:val="0"/>
    <w:rPr>
      <w:rFonts w:hint="default" w:ascii="Times New Roman" w:hAnsi="Times New Roman" w:cs="Times New Roman"/>
      <w:color w:val="000000"/>
      <w:sz w:val="20"/>
      <w:szCs w:val="20"/>
      <w:u w:val="none"/>
    </w:rPr>
  </w:style>
  <w:style w:type="character" w:customStyle="1" w:styleId="88">
    <w:name w:val="font91"/>
    <w:basedOn w:val="39"/>
    <w:qFormat/>
    <w:uiPriority w:val="0"/>
    <w:rPr>
      <w:rFonts w:hint="default" w:ascii="Times New Roman" w:hAnsi="Times New Roman" w:cs="Times New Roman"/>
      <w:b/>
      <w:bCs/>
      <w:color w:val="000000"/>
      <w:sz w:val="24"/>
      <w:szCs w:val="24"/>
      <w:u w:val="none"/>
    </w:rPr>
  </w:style>
  <w:style w:type="paragraph" w:customStyle="1" w:styleId="89">
    <w:name w:val="普通(网站)1"/>
    <w:basedOn w:val="1"/>
    <w:qFormat/>
    <w:uiPriority w:val="2"/>
    <w:pPr>
      <w:spacing w:before="75" w:after="75"/>
      <w:ind w:left="0" w:right="0" w:firstLine="0"/>
      <w:jc w:val="left"/>
    </w:pPr>
    <w:rPr>
      <w:kern w:val="0"/>
      <w:sz w:val="24"/>
      <w:lang w:val="en-US" w:eastAsia="zh-CN" w:bidi="ar"/>
    </w:rPr>
  </w:style>
  <w:style w:type="paragraph" w:customStyle="1" w:styleId="90">
    <w:name w:val="Table Text"/>
    <w:basedOn w:val="1"/>
    <w:semiHidden/>
    <w:qFormat/>
    <w:uiPriority w:val="0"/>
    <w:rPr>
      <w:rFonts w:ascii="宋体" w:hAnsi="宋体" w:eastAsia="宋体" w:cs="宋体"/>
      <w:sz w:val="20"/>
      <w:szCs w:val="20"/>
    </w:rPr>
  </w:style>
  <w:style w:type="paragraph" w:customStyle="1" w:styleId="91">
    <w:name w:val="Normal_1"/>
    <w:qFormat/>
    <w:uiPriority w:val="0"/>
    <w:rPr>
      <w:rFonts w:ascii="Times New Roman" w:hAnsi="Times New Roman" w:eastAsia="Times New Roman" w:cs="Times New Roman"/>
      <w:sz w:val="24"/>
      <w:szCs w:val="24"/>
      <w:lang w:val="en-US" w:eastAsia="zh-CN" w:bidi="ar-SA"/>
    </w:rPr>
  </w:style>
  <w:style w:type="paragraph" w:customStyle="1" w:styleId="92">
    <w:name w:val="目录 53"/>
    <w:basedOn w:val="1"/>
    <w:next w:val="1"/>
    <w:qFormat/>
    <w:uiPriority w:val="0"/>
    <w:pPr>
      <w:ind w:left="840"/>
    </w:pPr>
    <w:rPr>
      <w:rFonts w:ascii="Times New Roman"/>
      <w:sz w:val="18"/>
    </w:rPr>
  </w:style>
  <w:style w:type="paragraph" w:customStyle="1" w:styleId="93">
    <w:name w:val="正文首行缩进1"/>
    <w:basedOn w:val="2"/>
    <w:qFormat/>
    <w:uiPriority w:val="0"/>
    <w:pPr>
      <w:ind w:firstLine="420"/>
    </w:pPr>
    <w:rPr>
      <w:sz w:val="32"/>
    </w:rPr>
  </w:style>
  <w:style w:type="paragraph" w:customStyle="1" w:styleId="94">
    <w:name w:val="正文_0"/>
    <w:next w:val="1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customXml" Target="ink/ink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6-04-27T19:33:55"/>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17606.000 711157.000 767</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27523</Words>
  <Characters>29267</Characters>
  <Lines>374</Lines>
  <Paragraphs>105</Paragraphs>
  <TotalTime>38</TotalTime>
  <ScaleCrop>false</ScaleCrop>
  <LinksUpToDate>false</LinksUpToDate>
  <CharactersWithSpaces>31892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+…紫鸳偌舞＊</cp:lastModifiedBy>
  <cp:lastPrinted>2026-05-12T04:30:00Z</cp:lastPrinted>
  <dcterms:modified xsi:type="dcterms:W3CDTF">2026-05-13T03:05:17Z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B7935B4BD83B4716A1E37C30B71D162C_13</vt:lpwstr>
  </property>
  <property fmtid="{D5CDD505-2E9C-101B-9397-08002B2CF9AE}" pid="4" name="KSOTemplateDocerSaveRecord">
    <vt:lpwstr>eyJoZGlkIjoiNTU0YmMyMmQ1ZDJiMmIyZmY5NGRhOTFhZWUxNTA0NjMiLCJ1c2VySWQiOiIzMzY3Mjg5MTYifQ==</vt:lpwstr>
  </property>
</Properties>
</file>