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0EE8">
      <w:pPr>
        <w:pStyle w:val="10"/>
        <w:adjustRightInd w:val="0"/>
        <w:jc w:val="both"/>
        <w:rPr>
          <w:color w:val="auto"/>
          <w:sz w:val="24"/>
          <w:szCs w:val="24"/>
        </w:rPr>
      </w:pPr>
    </w:p>
    <w:p w14:paraId="7EB2C8EE">
      <w:pPr>
        <w:pStyle w:val="10"/>
        <w:adjustRightInd w:val="0"/>
        <w:jc w:val="both"/>
        <w:rPr>
          <w:color w:val="auto"/>
          <w:sz w:val="24"/>
          <w:szCs w:val="24"/>
        </w:rPr>
      </w:pPr>
    </w:p>
    <w:p w14:paraId="25895395">
      <w:pPr>
        <w:pStyle w:val="10"/>
        <w:adjustRightInd w:val="0"/>
        <w:jc w:val="both"/>
        <w:rPr>
          <w:color w:val="auto"/>
          <w:sz w:val="24"/>
          <w:szCs w:val="24"/>
        </w:rPr>
      </w:pPr>
    </w:p>
    <w:p w14:paraId="0D8065D1">
      <w:pPr>
        <w:pStyle w:val="10"/>
        <w:adjustRightInd w:val="0"/>
        <w:jc w:val="both"/>
        <w:rPr>
          <w:color w:val="auto"/>
          <w:sz w:val="24"/>
          <w:szCs w:val="24"/>
        </w:rPr>
      </w:pPr>
    </w:p>
    <w:p w14:paraId="78980737">
      <w:pPr>
        <w:pStyle w:val="10"/>
        <w:adjustRightInd w:val="0"/>
        <w:jc w:val="both"/>
        <w:rPr>
          <w:color w:val="auto"/>
          <w:sz w:val="24"/>
          <w:szCs w:val="24"/>
        </w:rPr>
      </w:pPr>
    </w:p>
    <w:p w14:paraId="5FF97D19">
      <w:pPr>
        <w:pStyle w:val="10"/>
        <w:adjustRightInd w:val="0"/>
        <w:spacing w:before="3"/>
        <w:jc w:val="both"/>
        <w:rPr>
          <w:color w:val="auto"/>
          <w:sz w:val="24"/>
          <w:szCs w:val="24"/>
        </w:rPr>
      </w:pPr>
    </w:p>
    <w:p w14:paraId="65261313">
      <w:pPr>
        <w:pStyle w:val="10"/>
        <w:adjustRightInd w:val="0"/>
        <w:jc w:val="both"/>
        <w:rPr>
          <w:color w:val="auto"/>
          <w:sz w:val="24"/>
          <w:szCs w:val="24"/>
        </w:rPr>
      </w:pPr>
    </w:p>
    <w:p w14:paraId="3046B196">
      <w:pPr>
        <w:pStyle w:val="10"/>
        <w:adjustRightInd w:val="0"/>
        <w:jc w:val="both"/>
        <w:rPr>
          <w:color w:val="auto"/>
          <w:sz w:val="24"/>
          <w:szCs w:val="24"/>
        </w:rPr>
      </w:pPr>
    </w:p>
    <w:p w14:paraId="3F1779BF">
      <w:pPr>
        <w:adjustRightInd w:val="0"/>
        <w:jc w:val="center"/>
        <w:rPr>
          <w:rFonts w:hint="eastAsia"/>
          <w:color w:val="auto"/>
          <w:w w:val="95"/>
          <w:sz w:val="44"/>
          <w:szCs w:val="44"/>
          <w:lang w:eastAsia="zh-CN"/>
        </w:rPr>
      </w:pPr>
      <w:r>
        <w:rPr>
          <w:rFonts w:hint="eastAsia"/>
          <w:color w:val="auto"/>
          <w:w w:val="95"/>
          <w:sz w:val="44"/>
          <w:szCs w:val="44"/>
          <w:lang w:eastAsia="zh-CN"/>
        </w:rPr>
        <w:t>木垒县照壁山乡周家塘村2026年污水管网改造建设项目（二期）</w:t>
      </w:r>
    </w:p>
    <w:p w14:paraId="0AEF6929">
      <w:pPr>
        <w:adjustRightInd w:val="0"/>
        <w:jc w:val="center"/>
        <w:rPr>
          <w:rFonts w:hint="eastAsia"/>
          <w:b/>
          <w:color w:val="auto"/>
          <w:sz w:val="44"/>
          <w:szCs w:val="44"/>
        </w:rPr>
      </w:pPr>
    </w:p>
    <w:p w14:paraId="3E3D63F1">
      <w:pPr>
        <w:adjustRightInd w:val="0"/>
        <w:jc w:val="center"/>
        <w:rPr>
          <w:b/>
          <w:color w:val="auto"/>
          <w:sz w:val="44"/>
          <w:szCs w:val="44"/>
        </w:rPr>
      </w:pPr>
      <w:r>
        <w:rPr>
          <w:rFonts w:hint="eastAsia"/>
          <w:b/>
          <w:color w:val="auto"/>
          <w:sz w:val="44"/>
          <w:szCs w:val="44"/>
        </w:rPr>
        <w:t>竞争性磋商文件</w:t>
      </w:r>
    </w:p>
    <w:p w14:paraId="75764E84">
      <w:pPr>
        <w:adjustRightInd w:val="0"/>
        <w:spacing w:before="725"/>
        <w:jc w:val="center"/>
        <w:rPr>
          <w:rFonts w:hint="eastAsia" w:eastAsia="仿宋"/>
          <w:color w:val="auto"/>
          <w:sz w:val="32"/>
          <w:szCs w:val="32"/>
          <w:lang w:eastAsia="zh-CN"/>
        </w:rPr>
      </w:pPr>
      <w:r>
        <w:rPr>
          <w:rFonts w:hint="eastAsia"/>
          <w:color w:val="auto"/>
          <w:sz w:val="32"/>
          <w:szCs w:val="32"/>
        </w:rPr>
        <w:t>项目编号：</w:t>
      </w:r>
      <w:r>
        <w:rPr>
          <w:rFonts w:hint="eastAsia"/>
          <w:color w:val="auto"/>
          <w:sz w:val="32"/>
          <w:szCs w:val="32"/>
          <w:lang w:eastAsia="zh-CN"/>
        </w:rPr>
        <w:t>YMZB-2026-05-SG</w:t>
      </w:r>
    </w:p>
    <w:p w14:paraId="14565F5A">
      <w:pPr>
        <w:pStyle w:val="10"/>
        <w:adjustRightInd w:val="0"/>
        <w:jc w:val="center"/>
        <w:rPr>
          <w:color w:val="auto"/>
          <w:sz w:val="24"/>
          <w:szCs w:val="24"/>
        </w:rPr>
      </w:pPr>
    </w:p>
    <w:p w14:paraId="16421260">
      <w:pPr>
        <w:pStyle w:val="10"/>
        <w:adjustRightInd w:val="0"/>
        <w:jc w:val="center"/>
        <w:rPr>
          <w:color w:val="auto"/>
          <w:sz w:val="24"/>
          <w:szCs w:val="24"/>
        </w:rPr>
      </w:pPr>
    </w:p>
    <w:p w14:paraId="018D3493">
      <w:pPr>
        <w:pStyle w:val="10"/>
        <w:adjustRightInd w:val="0"/>
        <w:jc w:val="center"/>
        <w:rPr>
          <w:color w:val="auto"/>
          <w:sz w:val="24"/>
          <w:szCs w:val="24"/>
        </w:rPr>
      </w:pPr>
    </w:p>
    <w:p w14:paraId="20622E6C">
      <w:pPr>
        <w:pStyle w:val="10"/>
        <w:adjustRightInd w:val="0"/>
        <w:jc w:val="center"/>
        <w:rPr>
          <w:color w:val="auto"/>
          <w:sz w:val="24"/>
          <w:szCs w:val="24"/>
        </w:rPr>
      </w:pPr>
    </w:p>
    <w:p w14:paraId="2774E1F8">
      <w:pPr>
        <w:pStyle w:val="10"/>
        <w:adjustRightInd w:val="0"/>
        <w:jc w:val="center"/>
        <w:rPr>
          <w:color w:val="auto"/>
          <w:sz w:val="24"/>
          <w:szCs w:val="24"/>
        </w:rPr>
      </w:pPr>
    </w:p>
    <w:p w14:paraId="45A74BA6">
      <w:pPr>
        <w:pStyle w:val="10"/>
        <w:adjustRightInd w:val="0"/>
        <w:jc w:val="center"/>
        <w:rPr>
          <w:color w:val="auto"/>
          <w:sz w:val="24"/>
          <w:szCs w:val="24"/>
        </w:rPr>
      </w:pPr>
    </w:p>
    <w:p w14:paraId="7E76A76E">
      <w:pPr>
        <w:pStyle w:val="10"/>
        <w:adjustRightInd w:val="0"/>
        <w:jc w:val="center"/>
        <w:rPr>
          <w:color w:val="auto"/>
          <w:sz w:val="24"/>
          <w:szCs w:val="24"/>
        </w:rPr>
      </w:pPr>
    </w:p>
    <w:p w14:paraId="5FDC7444">
      <w:pPr>
        <w:pStyle w:val="10"/>
        <w:adjustRightInd w:val="0"/>
        <w:jc w:val="center"/>
        <w:rPr>
          <w:color w:val="auto"/>
          <w:sz w:val="24"/>
          <w:szCs w:val="24"/>
        </w:rPr>
      </w:pPr>
    </w:p>
    <w:p w14:paraId="5D1BA8D9">
      <w:pPr>
        <w:pStyle w:val="10"/>
        <w:adjustRightInd w:val="0"/>
        <w:jc w:val="center"/>
        <w:rPr>
          <w:color w:val="auto"/>
          <w:sz w:val="24"/>
          <w:szCs w:val="24"/>
        </w:rPr>
      </w:pPr>
    </w:p>
    <w:p w14:paraId="5BE60CA2">
      <w:pPr>
        <w:tabs>
          <w:tab w:val="left" w:pos="2819"/>
          <w:tab w:val="left" w:pos="3623"/>
          <w:tab w:val="left" w:pos="4862"/>
          <w:tab w:val="left" w:pos="5457"/>
          <w:tab w:val="left" w:pos="6052"/>
          <w:tab w:val="left" w:pos="6647"/>
          <w:tab w:val="left" w:pos="7243"/>
          <w:tab w:val="left" w:pos="7838"/>
          <w:tab w:val="left" w:pos="8433"/>
        </w:tabs>
        <w:adjustRightInd w:val="0"/>
        <w:spacing w:before="227"/>
        <w:jc w:val="center"/>
        <w:rPr>
          <w:rFonts w:hint="eastAsia"/>
          <w:b/>
          <w:bCs/>
          <w:color w:val="auto"/>
          <w:sz w:val="32"/>
          <w:szCs w:val="32"/>
          <w:lang w:eastAsia="zh-CN"/>
        </w:rPr>
      </w:pPr>
      <w:r>
        <w:rPr>
          <w:rFonts w:hint="eastAsia"/>
          <w:b/>
          <w:bCs/>
          <w:color w:val="auto"/>
          <w:sz w:val="32"/>
          <w:szCs w:val="32"/>
          <w:lang w:eastAsia="zh-CN"/>
        </w:rPr>
        <w:t xml:space="preserve">木垒哈萨克自治县照壁山乡人民政府 </w:t>
      </w:r>
    </w:p>
    <w:p w14:paraId="10E4655F">
      <w:pPr>
        <w:tabs>
          <w:tab w:val="left" w:pos="2819"/>
          <w:tab w:val="left" w:pos="3623"/>
          <w:tab w:val="left" w:pos="4862"/>
          <w:tab w:val="left" w:pos="5457"/>
          <w:tab w:val="left" w:pos="6052"/>
          <w:tab w:val="left" w:pos="6647"/>
          <w:tab w:val="left" w:pos="7243"/>
          <w:tab w:val="left" w:pos="7838"/>
          <w:tab w:val="left" w:pos="8433"/>
        </w:tabs>
        <w:adjustRightInd w:val="0"/>
        <w:spacing w:before="227"/>
        <w:jc w:val="center"/>
        <w:rPr>
          <w:color w:val="auto"/>
          <w:sz w:val="32"/>
          <w:szCs w:val="32"/>
        </w:rPr>
      </w:pPr>
      <w:r>
        <w:rPr>
          <w:rFonts w:hint="eastAsia"/>
          <w:b/>
          <w:bCs/>
          <w:color w:val="auto"/>
          <w:w w:val="95"/>
          <w:sz w:val="32"/>
          <w:szCs w:val="32"/>
        </w:rPr>
        <w:t>新疆宇迈工程咨询有限公司</w:t>
      </w:r>
    </w:p>
    <w:p w14:paraId="50A6505F">
      <w:pPr>
        <w:pStyle w:val="10"/>
        <w:adjustRightInd w:val="0"/>
        <w:spacing w:before="5"/>
        <w:jc w:val="center"/>
        <w:rPr>
          <w:b/>
          <w:color w:val="auto"/>
          <w:sz w:val="32"/>
          <w:szCs w:val="32"/>
        </w:rPr>
      </w:pPr>
    </w:p>
    <w:p w14:paraId="0E2C5419">
      <w:pPr>
        <w:adjustRightInd w:val="0"/>
        <w:jc w:val="center"/>
        <w:rPr>
          <w:rFonts w:hint="eastAsia" w:eastAsia="仿宋"/>
          <w:b/>
          <w:color w:val="auto"/>
          <w:sz w:val="32"/>
          <w:szCs w:val="32"/>
          <w:lang w:val="en-US" w:eastAsia="zh-CN"/>
        </w:rPr>
        <w:sectPr>
          <w:type w:val="continuous"/>
          <w:pgSz w:w="11910" w:h="16840"/>
          <w:pgMar w:top="1134" w:right="1134" w:bottom="1134" w:left="1134" w:header="720" w:footer="720" w:gutter="0"/>
          <w:pgBorders>
            <w:top w:val="none" w:sz="0" w:space="0"/>
            <w:left w:val="none" w:sz="0" w:space="0"/>
            <w:bottom w:val="none" w:sz="0" w:space="0"/>
            <w:right w:val="none" w:sz="0" w:space="0"/>
          </w:pgBorders>
          <w:pgNumType w:fmt="decimal"/>
          <w:cols w:equalWidth="0" w:num="1">
            <w:col w:w="10590"/>
          </w:cols>
        </w:sectPr>
      </w:pPr>
      <w:r>
        <w:rPr>
          <w:rFonts w:hint="eastAsia"/>
          <w:b/>
          <w:color w:val="auto"/>
          <w:sz w:val="32"/>
          <w:szCs w:val="32"/>
        </w:rPr>
        <w:t>二〇二</w:t>
      </w:r>
      <w:r>
        <w:rPr>
          <w:rFonts w:hint="eastAsia"/>
          <w:b/>
          <w:color w:val="auto"/>
          <w:sz w:val="32"/>
          <w:szCs w:val="32"/>
          <w:lang w:val="en-US" w:eastAsia="zh-CN"/>
        </w:rPr>
        <w:t>六</w:t>
      </w:r>
      <w:r>
        <w:rPr>
          <w:rFonts w:hint="eastAsia"/>
          <w:b/>
          <w:color w:val="auto"/>
          <w:sz w:val="32"/>
          <w:szCs w:val="32"/>
        </w:rPr>
        <w:t>年</w:t>
      </w:r>
      <w:r>
        <w:rPr>
          <w:rFonts w:hint="eastAsia"/>
          <w:b/>
          <w:color w:val="auto"/>
          <w:sz w:val="32"/>
          <w:szCs w:val="32"/>
          <w:lang w:val="en-US" w:eastAsia="zh-CN"/>
        </w:rPr>
        <w:t>五</w:t>
      </w:r>
      <w:r>
        <w:rPr>
          <w:rFonts w:hint="eastAsia"/>
          <w:b/>
          <w:color w:val="auto"/>
          <w:sz w:val="32"/>
          <w:szCs w:val="32"/>
        </w:rPr>
        <w:t>月</w:t>
      </w:r>
      <w:r>
        <w:rPr>
          <w:rFonts w:hint="eastAsia"/>
          <w:b/>
          <w:color w:val="auto"/>
          <w:sz w:val="32"/>
          <w:szCs w:val="32"/>
          <w:lang w:val="en-US" w:eastAsia="zh-CN"/>
        </w:rPr>
        <w:t xml:space="preserve"> </w:t>
      </w:r>
    </w:p>
    <w:p w14:paraId="0F6DC79E">
      <w:pPr>
        <w:adjustRightInd w:val="0"/>
        <w:jc w:val="both"/>
        <w:rPr>
          <w:b/>
          <w:color w:val="auto"/>
          <w:sz w:val="24"/>
          <w:szCs w:val="24"/>
        </w:rPr>
      </w:pPr>
    </w:p>
    <w:p w14:paraId="0F3FA435">
      <w:pPr>
        <w:adjustRightInd w:val="0"/>
        <w:jc w:val="both"/>
        <w:rPr>
          <w:b/>
          <w:bCs/>
          <w:color w:val="auto"/>
          <w:sz w:val="24"/>
          <w:szCs w:val="24"/>
        </w:rPr>
      </w:pPr>
    </w:p>
    <w:p w14:paraId="276CA714">
      <w:pPr>
        <w:adjustRightInd w:val="0"/>
        <w:jc w:val="center"/>
        <w:rPr>
          <w:b/>
          <w:bCs/>
          <w:color w:val="auto"/>
          <w:sz w:val="44"/>
          <w:szCs w:val="44"/>
        </w:rPr>
      </w:pPr>
    </w:p>
    <w:p w14:paraId="0BD764D1">
      <w:pPr>
        <w:adjustRightInd w:val="0"/>
        <w:jc w:val="center"/>
        <w:rPr>
          <w:rFonts w:hint="eastAsia"/>
          <w:b/>
          <w:bCs/>
          <w:color w:val="auto"/>
          <w:sz w:val="44"/>
          <w:szCs w:val="44"/>
          <w:lang w:eastAsia="zh-CN"/>
        </w:rPr>
      </w:pPr>
      <w:r>
        <w:rPr>
          <w:rFonts w:hint="eastAsia"/>
          <w:b/>
          <w:bCs/>
          <w:color w:val="auto"/>
          <w:sz w:val="44"/>
          <w:szCs w:val="44"/>
          <w:lang w:eastAsia="zh-CN"/>
        </w:rPr>
        <w:t>木垒县照壁山乡周家塘村2026年污水管网改造建设项目（二期）</w:t>
      </w:r>
    </w:p>
    <w:p w14:paraId="56826EB9">
      <w:pPr>
        <w:adjustRightInd w:val="0"/>
        <w:jc w:val="center"/>
        <w:rPr>
          <w:b/>
          <w:color w:val="auto"/>
          <w:sz w:val="44"/>
          <w:szCs w:val="44"/>
        </w:rPr>
      </w:pPr>
      <w:r>
        <w:rPr>
          <w:rFonts w:hint="eastAsia"/>
          <w:b/>
          <w:color w:val="auto"/>
          <w:sz w:val="44"/>
          <w:szCs w:val="44"/>
        </w:rPr>
        <w:t>竞争性磋商文件</w:t>
      </w:r>
    </w:p>
    <w:p w14:paraId="5E318E00">
      <w:pPr>
        <w:pStyle w:val="2"/>
        <w:adjustRightInd w:val="0"/>
        <w:ind w:left="0"/>
        <w:jc w:val="both"/>
        <w:rPr>
          <w:rFonts w:cs="仿宋"/>
          <w:b/>
          <w:color w:val="auto"/>
          <w:sz w:val="24"/>
          <w:szCs w:val="24"/>
        </w:rPr>
      </w:pPr>
    </w:p>
    <w:p w14:paraId="78E2228A">
      <w:pPr>
        <w:adjustRightInd w:val="0"/>
        <w:jc w:val="both"/>
        <w:rPr>
          <w:b/>
          <w:color w:val="auto"/>
          <w:sz w:val="24"/>
          <w:szCs w:val="24"/>
        </w:rPr>
      </w:pPr>
    </w:p>
    <w:p w14:paraId="6E51A4BE">
      <w:pPr>
        <w:pStyle w:val="2"/>
        <w:rPr>
          <w:b/>
          <w:color w:val="auto"/>
          <w:sz w:val="24"/>
          <w:szCs w:val="24"/>
        </w:rPr>
      </w:pPr>
    </w:p>
    <w:p w14:paraId="073FD354">
      <w:pPr>
        <w:rPr>
          <w:color w:val="auto"/>
        </w:rPr>
      </w:pPr>
    </w:p>
    <w:p w14:paraId="28C9FCE5">
      <w:pPr>
        <w:pStyle w:val="2"/>
        <w:adjustRightInd w:val="0"/>
        <w:ind w:left="0"/>
        <w:jc w:val="both"/>
        <w:rPr>
          <w:rFonts w:cs="仿宋"/>
          <w:color w:val="auto"/>
          <w:sz w:val="24"/>
          <w:szCs w:val="24"/>
        </w:rPr>
      </w:pPr>
    </w:p>
    <w:p w14:paraId="1C758EF6">
      <w:pPr>
        <w:adjustRightInd w:val="0"/>
        <w:spacing w:line="360" w:lineRule="auto"/>
        <w:ind w:firstLine="1285" w:firstLineChars="400"/>
        <w:jc w:val="both"/>
        <w:rPr>
          <w:b/>
          <w:bCs/>
          <w:color w:val="auto"/>
          <w:sz w:val="32"/>
          <w:szCs w:val="32"/>
        </w:rPr>
      </w:pPr>
      <w:r>
        <w:rPr>
          <w:rFonts w:hint="eastAsia"/>
          <w:b/>
          <w:bCs/>
          <w:color w:val="auto"/>
          <w:sz w:val="32"/>
          <w:szCs w:val="32"/>
        </w:rPr>
        <w:t xml:space="preserve">采购单位： </w:t>
      </w:r>
      <w:r>
        <w:rPr>
          <w:rFonts w:hint="eastAsia"/>
          <w:b/>
          <w:bCs/>
          <w:color w:val="auto"/>
          <w:sz w:val="32"/>
          <w:szCs w:val="32"/>
          <w:lang w:eastAsia="zh-CN"/>
        </w:rPr>
        <w:t xml:space="preserve">木垒哈萨克自治县照壁山乡人民政府 </w:t>
      </w:r>
      <w:r>
        <w:rPr>
          <w:rFonts w:hint="eastAsia"/>
          <w:b/>
          <w:bCs/>
          <w:color w:val="auto"/>
          <w:sz w:val="32"/>
          <w:szCs w:val="32"/>
          <w:lang w:val="en-US"/>
        </w:rPr>
        <w:t xml:space="preserve"> </w:t>
      </w:r>
    </w:p>
    <w:p w14:paraId="14DD19CD">
      <w:pPr>
        <w:adjustRightInd w:val="0"/>
        <w:spacing w:line="360" w:lineRule="auto"/>
        <w:ind w:firstLine="1285" w:firstLineChars="400"/>
        <w:jc w:val="both"/>
        <w:rPr>
          <w:rFonts w:hint="default" w:eastAsia="仿宋"/>
          <w:b/>
          <w:bCs/>
          <w:color w:val="auto"/>
          <w:sz w:val="32"/>
          <w:szCs w:val="32"/>
          <w:lang w:val="en-US" w:eastAsia="zh-CN"/>
        </w:rPr>
      </w:pPr>
      <w:r>
        <w:rPr>
          <w:rFonts w:hint="eastAsia"/>
          <w:b/>
          <w:bCs/>
          <w:color w:val="auto"/>
          <w:sz w:val="32"/>
          <w:szCs w:val="32"/>
        </w:rPr>
        <w:t xml:space="preserve">联 </w:t>
      </w:r>
      <w:r>
        <w:rPr>
          <w:rFonts w:hint="eastAsia"/>
          <w:b/>
          <w:bCs/>
          <w:color w:val="auto"/>
          <w:sz w:val="32"/>
          <w:szCs w:val="32"/>
          <w:lang w:val="en-US"/>
        </w:rPr>
        <w:t xml:space="preserve"> </w:t>
      </w:r>
      <w:r>
        <w:rPr>
          <w:rFonts w:hint="eastAsia"/>
          <w:b/>
          <w:bCs/>
          <w:color w:val="auto"/>
          <w:sz w:val="32"/>
          <w:szCs w:val="32"/>
        </w:rPr>
        <w:t>系</w:t>
      </w:r>
      <w:r>
        <w:rPr>
          <w:rFonts w:hint="eastAsia"/>
          <w:b/>
          <w:bCs/>
          <w:color w:val="auto"/>
          <w:sz w:val="32"/>
          <w:szCs w:val="32"/>
          <w:lang w:val="en-US"/>
        </w:rPr>
        <w:t xml:space="preserve"> </w:t>
      </w:r>
      <w:r>
        <w:rPr>
          <w:rFonts w:hint="eastAsia"/>
          <w:b/>
          <w:bCs/>
          <w:color w:val="auto"/>
          <w:sz w:val="32"/>
          <w:szCs w:val="32"/>
        </w:rPr>
        <w:t xml:space="preserve"> 人： </w:t>
      </w:r>
      <w:r>
        <w:rPr>
          <w:rFonts w:hint="eastAsia"/>
          <w:b/>
          <w:bCs/>
          <w:color w:val="auto"/>
          <w:sz w:val="32"/>
          <w:szCs w:val="32"/>
          <w:lang w:val="en-US" w:eastAsia="zh-CN"/>
        </w:rPr>
        <w:t>徐先生</w:t>
      </w:r>
    </w:p>
    <w:p w14:paraId="69E9EB37">
      <w:pPr>
        <w:adjustRightInd w:val="0"/>
        <w:spacing w:line="360" w:lineRule="auto"/>
        <w:ind w:firstLine="1285" w:firstLineChars="400"/>
        <w:jc w:val="both"/>
        <w:rPr>
          <w:rFonts w:hint="default" w:eastAsia="仿宋"/>
          <w:b/>
          <w:bCs/>
          <w:color w:val="auto"/>
          <w:sz w:val="32"/>
          <w:szCs w:val="32"/>
          <w:lang w:val="en-US" w:eastAsia="zh-CN"/>
        </w:rPr>
      </w:pPr>
      <w:r>
        <w:rPr>
          <w:rFonts w:hint="eastAsia"/>
          <w:b/>
          <w:bCs/>
          <w:color w:val="auto"/>
          <w:sz w:val="32"/>
          <w:szCs w:val="32"/>
        </w:rPr>
        <w:t>联</w:t>
      </w:r>
      <w:r>
        <w:rPr>
          <w:rFonts w:hint="eastAsia"/>
          <w:b/>
          <w:bCs/>
          <w:color w:val="auto"/>
          <w:sz w:val="32"/>
          <w:szCs w:val="32"/>
          <w:lang w:val="en-US" w:eastAsia="zh-CN"/>
        </w:rPr>
        <w:t xml:space="preserve"> </w:t>
      </w:r>
      <w:r>
        <w:rPr>
          <w:rFonts w:hint="eastAsia"/>
          <w:b/>
          <w:bCs/>
          <w:color w:val="auto"/>
          <w:sz w:val="32"/>
          <w:szCs w:val="32"/>
        </w:rPr>
        <w:t>系</w:t>
      </w:r>
      <w:r>
        <w:rPr>
          <w:rFonts w:hint="eastAsia"/>
          <w:b/>
          <w:bCs/>
          <w:color w:val="auto"/>
          <w:sz w:val="32"/>
          <w:szCs w:val="32"/>
          <w:lang w:val="en-US" w:eastAsia="zh-CN"/>
        </w:rPr>
        <w:t xml:space="preserve"> </w:t>
      </w:r>
      <w:r>
        <w:rPr>
          <w:rFonts w:hint="eastAsia"/>
          <w:b/>
          <w:bCs/>
          <w:color w:val="auto"/>
          <w:sz w:val="32"/>
          <w:szCs w:val="32"/>
        </w:rPr>
        <w:t>电</w:t>
      </w:r>
      <w:r>
        <w:rPr>
          <w:rFonts w:hint="eastAsia"/>
          <w:b/>
          <w:bCs/>
          <w:color w:val="auto"/>
          <w:sz w:val="32"/>
          <w:szCs w:val="32"/>
          <w:lang w:val="en-US" w:eastAsia="zh-CN"/>
        </w:rPr>
        <w:t xml:space="preserve"> </w:t>
      </w:r>
      <w:r>
        <w:rPr>
          <w:rFonts w:hint="eastAsia"/>
          <w:b/>
          <w:bCs/>
          <w:color w:val="auto"/>
          <w:sz w:val="32"/>
          <w:szCs w:val="32"/>
        </w:rPr>
        <w:t xml:space="preserve">话： </w:t>
      </w:r>
      <w:r>
        <w:rPr>
          <w:rFonts w:hint="eastAsia"/>
          <w:b/>
          <w:bCs/>
          <w:color w:val="auto"/>
          <w:sz w:val="32"/>
          <w:szCs w:val="32"/>
          <w:lang w:val="en-US" w:eastAsia="zh-CN"/>
        </w:rPr>
        <w:t>15389966378</w:t>
      </w:r>
    </w:p>
    <w:p w14:paraId="0183FA9E">
      <w:pPr>
        <w:adjustRightInd w:val="0"/>
        <w:spacing w:line="360" w:lineRule="auto"/>
        <w:ind w:firstLine="1285" w:firstLineChars="400"/>
        <w:jc w:val="both"/>
        <w:rPr>
          <w:b/>
          <w:bCs/>
          <w:color w:val="auto"/>
          <w:sz w:val="32"/>
          <w:szCs w:val="32"/>
        </w:rPr>
      </w:pPr>
    </w:p>
    <w:p w14:paraId="4717FA17">
      <w:pPr>
        <w:adjustRightInd w:val="0"/>
        <w:spacing w:line="360" w:lineRule="auto"/>
        <w:ind w:firstLine="1285" w:firstLineChars="400"/>
        <w:jc w:val="both"/>
        <w:rPr>
          <w:b/>
          <w:bCs/>
          <w:color w:val="auto"/>
          <w:sz w:val="32"/>
          <w:szCs w:val="32"/>
        </w:rPr>
      </w:pPr>
    </w:p>
    <w:p w14:paraId="21E937FC">
      <w:pPr>
        <w:adjustRightInd w:val="0"/>
        <w:spacing w:line="360" w:lineRule="auto"/>
        <w:ind w:firstLine="1285" w:firstLineChars="400"/>
        <w:jc w:val="both"/>
        <w:rPr>
          <w:b/>
          <w:bCs/>
          <w:color w:val="auto"/>
          <w:sz w:val="32"/>
          <w:szCs w:val="32"/>
        </w:rPr>
      </w:pPr>
      <w:r>
        <w:rPr>
          <w:rFonts w:hint="eastAsia"/>
          <w:b/>
          <w:bCs/>
          <w:color w:val="auto"/>
          <w:sz w:val="32"/>
          <w:szCs w:val="32"/>
        </w:rPr>
        <w:t>采购代理单位：新疆宇迈工程咨询有限公司</w:t>
      </w:r>
    </w:p>
    <w:p w14:paraId="65DFC325">
      <w:pPr>
        <w:adjustRightInd w:val="0"/>
        <w:spacing w:line="360" w:lineRule="auto"/>
        <w:ind w:firstLine="1285" w:firstLineChars="400"/>
        <w:jc w:val="both"/>
        <w:rPr>
          <w:b/>
          <w:bCs/>
          <w:color w:val="auto"/>
          <w:sz w:val="32"/>
          <w:szCs w:val="32"/>
        </w:rPr>
      </w:pPr>
      <w:r>
        <w:rPr>
          <w:rFonts w:hint="eastAsia"/>
          <w:b/>
          <w:bCs/>
          <w:color w:val="auto"/>
          <w:sz w:val="32"/>
          <w:szCs w:val="32"/>
        </w:rPr>
        <w:t>联</w:t>
      </w:r>
      <w:r>
        <w:rPr>
          <w:rFonts w:hint="eastAsia"/>
          <w:b/>
          <w:bCs/>
          <w:color w:val="auto"/>
          <w:sz w:val="32"/>
          <w:szCs w:val="32"/>
          <w:lang w:val="en-US"/>
        </w:rPr>
        <w:t xml:space="preserve">  </w:t>
      </w:r>
      <w:r>
        <w:rPr>
          <w:rFonts w:hint="eastAsia"/>
          <w:b/>
          <w:bCs/>
          <w:color w:val="auto"/>
          <w:sz w:val="32"/>
          <w:szCs w:val="32"/>
        </w:rPr>
        <w:t>系</w:t>
      </w:r>
      <w:r>
        <w:rPr>
          <w:rFonts w:hint="eastAsia"/>
          <w:b/>
          <w:bCs/>
          <w:color w:val="auto"/>
          <w:sz w:val="32"/>
          <w:szCs w:val="32"/>
          <w:lang w:val="en-US"/>
        </w:rPr>
        <w:t xml:space="preserve">  </w:t>
      </w:r>
      <w:r>
        <w:rPr>
          <w:rFonts w:hint="eastAsia"/>
          <w:b/>
          <w:bCs/>
          <w:color w:val="auto"/>
          <w:sz w:val="32"/>
          <w:szCs w:val="32"/>
        </w:rPr>
        <w:t xml:space="preserve">人：  </w:t>
      </w:r>
      <w:r>
        <w:rPr>
          <w:rFonts w:hint="eastAsia"/>
          <w:b/>
          <w:bCs/>
          <w:color w:val="auto"/>
          <w:sz w:val="32"/>
          <w:szCs w:val="32"/>
          <w:lang w:eastAsia="zh-CN"/>
        </w:rPr>
        <w:t>龚女士</w:t>
      </w:r>
      <w:r>
        <w:rPr>
          <w:rFonts w:hint="eastAsia"/>
          <w:b/>
          <w:bCs/>
          <w:color w:val="auto"/>
          <w:sz w:val="32"/>
          <w:szCs w:val="32"/>
        </w:rPr>
        <w:t xml:space="preserve"> </w:t>
      </w:r>
    </w:p>
    <w:p w14:paraId="7DB39629">
      <w:pPr>
        <w:adjustRightInd w:val="0"/>
        <w:spacing w:line="360" w:lineRule="auto"/>
        <w:ind w:firstLine="1285" w:firstLineChars="400"/>
        <w:jc w:val="both"/>
        <w:rPr>
          <w:rFonts w:hint="eastAsia" w:eastAsia="仿宋"/>
          <w:b/>
          <w:bCs/>
          <w:color w:val="auto"/>
          <w:sz w:val="32"/>
          <w:szCs w:val="32"/>
          <w:lang w:eastAsia="zh-CN"/>
        </w:rPr>
      </w:pPr>
      <w:r>
        <w:rPr>
          <w:rFonts w:hint="eastAsia"/>
          <w:b/>
          <w:bCs/>
          <w:color w:val="auto"/>
          <w:sz w:val="32"/>
          <w:szCs w:val="32"/>
        </w:rPr>
        <w:t>联</w:t>
      </w:r>
      <w:r>
        <w:rPr>
          <w:rFonts w:hint="eastAsia"/>
          <w:b/>
          <w:bCs/>
          <w:color w:val="auto"/>
          <w:sz w:val="32"/>
          <w:szCs w:val="32"/>
          <w:lang w:val="en-US" w:eastAsia="zh-CN"/>
        </w:rPr>
        <w:t xml:space="preserve"> </w:t>
      </w:r>
      <w:r>
        <w:rPr>
          <w:rFonts w:hint="eastAsia"/>
          <w:b/>
          <w:bCs/>
          <w:color w:val="auto"/>
          <w:sz w:val="32"/>
          <w:szCs w:val="32"/>
        </w:rPr>
        <w:t>系</w:t>
      </w:r>
      <w:r>
        <w:rPr>
          <w:rFonts w:hint="eastAsia"/>
          <w:b/>
          <w:bCs/>
          <w:color w:val="auto"/>
          <w:sz w:val="32"/>
          <w:szCs w:val="32"/>
          <w:lang w:val="en-US" w:eastAsia="zh-CN"/>
        </w:rPr>
        <w:t xml:space="preserve"> </w:t>
      </w:r>
      <w:r>
        <w:rPr>
          <w:rFonts w:hint="eastAsia"/>
          <w:b/>
          <w:bCs/>
          <w:color w:val="auto"/>
          <w:sz w:val="32"/>
          <w:szCs w:val="32"/>
        </w:rPr>
        <w:t>电</w:t>
      </w:r>
      <w:r>
        <w:rPr>
          <w:rFonts w:hint="eastAsia"/>
          <w:b/>
          <w:bCs/>
          <w:color w:val="auto"/>
          <w:sz w:val="32"/>
          <w:szCs w:val="32"/>
          <w:lang w:val="en-US" w:eastAsia="zh-CN"/>
        </w:rPr>
        <w:t xml:space="preserve"> </w:t>
      </w:r>
      <w:r>
        <w:rPr>
          <w:rFonts w:hint="eastAsia"/>
          <w:b/>
          <w:bCs/>
          <w:color w:val="auto"/>
          <w:sz w:val="32"/>
          <w:szCs w:val="32"/>
        </w:rPr>
        <w:t xml:space="preserve">话： </w:t>
      </w:r>
      <w:r>
        <w:rPr>
          <w:rFonts w:hint="eastAsia"/>
          <w:b/>
          <w:bCs/>
          <w:color w:val="auto"/>
          <w:sz w:val="32"/>
          <w:szCs w:val="32"/>
          <w:lang w:eastAsia="zh-CN"/>
        </w:rPr>
        <w:t>18083955173</w:t>
      </w:r>
    </w:p>
    <w:p w14:paraId="596C763B">
      <w:pPr>
        <w:adjustRightInd w:val="0"/>
        <w:jc w:val="both"/>
        <w:rPr>
          <w:b/>
          <w:color w:val="auto"/>
          <w:sz w:val="32"/>
          <w:szCs w:val="32"/>
        </w:rPr>
      </w:pPr>
    </w:p>
    <w:p w14:paraId="58666D67">
      <w:pPr>
        <w:adjustRightInd w:val="0"/>
        <w:jc w:val="both"/>
        <w:rPr>
          <w:b/>
          <w:color w:val="auto"/>
          <w:sz w:val="32"/>
          <w:szCs w:val="32"/>
        </w:rPr>
      </w:pPr>
    </w:p>
    <w:p w14:paraId="45B7FE1C">
      <w:pPr>
        <w:pStyle w:val="2"/>
        <w:tabs>
          <w:tab w:val="left" w:pos="2478"/>
        </w:tabs>
        <w:adjustRightInd w:val="0"/>
        <w:ind w:left="0"/>
        <w:jc w:val="both"/>
        <w:rPr>
          <w:rFonts w:cs="仿宋"/>
          <w:b/>
          <w:color w:val="auto"/>
          <w:sz w:val="32"/>
          <w:szCs w:val="32"/>
        </w:rPr>
      </w:pPr>
    </w:p>
    <w:p w14:paraId="7D47BC8F">
      <w:pPr>
        <w:pStyle w:val="2"/>
        <w:adjustRightInd w:val="0"/>
        <w:ind w:left="0"/>
        <w:jc w:val="both"/>
        <w:rPr>
          <w:rFonts w:cs="仿宋"/>
          <w:b/>
          <w:color w:val="auto"/>
          <w:sz w:val="32"/>
          <w:szCs w:val="32"/>
        </w:rPr>
      </w:pPr>
    </w:p>
    <w:p w14:paraId="1CF7A307">
      <w:pPr>
        <w:adjustRightInd w:val="0"/>
        <w:jc w:val="both"/>
        <w:rPr>
          <w:color w:val="auto"/>
          <w:sz w:val="32"/>
          <w:szCs w:val="32"/>
        </w:rPr>
      </w:pPr>
    </w:p>
    <w:p w14:paraId="19E5FA44">
      <w:pPr>
        <w:adjustRightInd w:val="0"/>
        <w:jc w:val="both"/>
        <w:rPr>
          <w:b/>
          <w:color w:val="auto"/>
          <w:sz w:val="32"/>
          <w:szCs w:val="32"/>
        </w:rPr>
      </w:pPr>
    </w:p>
    <w:p w14:paraId="48B889F4">
      <w:pPr>
        <w:pStyle w:val="2"/>
        <w:ind w:left="0"/>
        <w:jc w:val="center"/>
        <w:rPr>
          <w:rFonts w:hint="eastAsia"/>
          <w:b/>
          <w:bCs/>
          <w:i w:val="0"/>
          <w:iCs w:val="0"/>
          <w:color w:val="auto"/>
          <w:sz w:val="36"/>
          <w:szCs w:val="36"/>
          <w:lang w:val="en-US"/>
        </w:rPr>
        <w:sectPr>
          <w:headerReference r:id="rId3" w:type="default"/>
          <w:footerReference r:id="rId4" w:type="default"/>
          <w:pgSz w:w="11910" w:h="16840"/>
          <w:pgMar w:top="1134" w:right="1134" w:bottom="1134" w:left="1134" w:header="878" w:footer="1052" w:gutter="0"/>
          <w:pgBorders>
            <w:top w:val="none" w:sz="0" w:space="0"/>
            <w:left w:val="none" w:sz="0" w:space="0"/>
            <w:bottom w:val="none" w:sz="0" w:space="0"/>
            <w:right w:val="none" w:sz="0" w:space="0"/>
          </w:pgBorders>
          <w:pgNumType w:fmt="decimal" w:start="1"/>
          <w:cols w:equalWidth="0" w:num="1">
            <w:col w:w="10590"/>
          </w:cols>
        </w:sectPr>
      </w:pPr>
    </w:p>
    <w:p w14:paraId="13A9478B">
      <w:pPr>
        <w:pStyle w:val="2"/>
        <w:ind w:left="0"/>
        <w:jc w:val="center"/>
        <w:rPr>
          <w:b/>
          <w:bCs/>
          <w:i w:val="0"/>
          <w:iCs w:val="0"/>
          <w:color w:val="auto"/>
          <w:sz w:val="36"/>
          <w:szCs w:val="36"/>
          <w:lang w:val="en-US"/>
        </w:rPr>
      </w:pPr>
      <w:r>
        <w:rPr>
          <w:rFonts w:hint="eastAsia"/>
          <w:b/>
          <w:bCs/>
          <w:i w:val="0"/>
          <w:iCs w:val="0"/>
          <w:color w:val="auto"/>
          <w:sz w:val="36"/>
          <w:szCs w:val="36"/>
          <w:lang w:val="en-US"/>
        </w:rPr>
        <w:t>目 录</w:t>
      </w:r>
    </w:p>
    <w:p w14:paraId="3714BE9C">
      <w:pPr>
        <w:rPr>
          <w:color w:val="auto"/>
          <w:sz w:val="48"/>
          <w:szCs w:val="48"/>
          <w:lang w:val="en-US"/>
        </w:rPr>
      </w:pPr>
    </w:p>
    <w:p w14:paraId="33406FB0">
      <w:pPr>
        <w:pStyle w:val="16"/>
        <w:tabs>
          <w:tab w:val="right" w:leader="dot" w:pos="9642"/>
          <w:tab w:val="clear" w:pos="9000"/>
        </w:tabs>
        <w:rPr>
          <w:color w:val="auto"/>
        </w:rPr>
      </w:pPr>
      <w:r>
        <w:rPr>
          <w:rFonts w:hint="eastAsia"/>
          <w:color w:val="auto"/>
          <w:lang w:val="en-US"/>
        </w:rPr>
        <w:fldChar w:fldCharType="begin"/>
      </w:r>
      <w:r>
        <w:rPr>
          <w:rFonts w:hint="eastAsia"/>
          <w:color w:val="auto"/>
          <w:lang w:val="en-US"/>
        </w:rPr>
        <w:instrText xml:space="preserve">TOC \o "1-1" \h \u </w:instrText>
      </w:r>
      <w:r>
        <w:rPr>
          <w:rFonts w:hint="eastAsia"/>
          <w:color w:val="auto"/>
          <w:lang w:val="en-US"/>
        </w:rPr>
        <w:fldChar w:fldCharType="separate"/>
      </w:r>
      <w:r>
        <w:rPr>
          <w:color w:val="auto"/>
        </w:rPr>
        <w:fldChar w:fldCharType="begin"/>
      </w:r>
      <w:r>
        <w:rPr>
          <w:color w:val="auto"/>
        </w:rPr>
        <w:instrText xml:space="preserve"> HYPERLINK \l "_Toc9433" </w:instrText>
      </w:r>
      <w:r>
        <w:rPr>
          <w:color w:val="auto"/>
        </w:rPr>
        <w:fldChar w:fldCharType="separate"/>
      </w:r>
      <w:r>
        <w:rPr>
          <w:rFonts w:hint="eastAsia" w:ascii="仿宋" w:hAnsi="仿宋"/>
          <w:bCs/>
          <w:color w:val="auto"/>
          <w:szCs w:val="28"/>
        </w:rPr>
        <w:t>第一章 竞争性磋商采购公告</w:t>
      </w:r>
      <w:r>
        <w:rPr>
          <w:color w:val="auto"/>
        </w:rPr>
        <w:tab/>
      </w:r>
      <w:r>
        <w:rPr>
          <w:color w:val="auto"/>
        </w:rPr>
        <w:fldChar w:fldCharType="begin"/>
      </w:r>
      <w:r>
        <w:rPr>
          <w:color w:val="auto"/>
        </w:rPr>
        <w:instrText xml:space="preserve"> PAGEREF _Toc9433 \h </w:instrText>
      </w:r>
      <w:r>
        <w:rPr>
          <w:color w:val="auto"/>
        </w:rPr>
        <w:fldChar w:fldCharType="separate"/>
      </w:r>
      <w:r>
        <w:rPr>
          <w:color w:val="auto"/>
        </w:rPr>
        <w:t>1</w:t>
      </w:r>
      <w:r>
        <w:rPr>
          <w:color w:val="auto"/>
        </w:rPr>
        <w:fldChar w:fldCharType="end"/>
      </w:r>
      <w:r>
        <w:rPr>
          <w:color w:val="auto"/>
        </w:rPr>
        <w:fldChar w:fldCharType="end"/>
      </w:r>
    </w:p>
    <w:p w14:paraId="27E3317C">
      <w:pPr>
        <w:pStyle w:val="16"/>
        <w:tabs>
          <w:tab w:val="right" w:leader="dot" w:pos="9642"/>
          <w:tab w:val="clear" w:pos="9000"/>
        </w:tabs>
        <w:rPr>
          <w:color w:val="auto"/>
        </w:rPr>
      </w:pPr>
      <w:r>
        <w:rPr>
          <w:color w:val="auto"/>
        </w:rPr>
        <w:fldChar w:fldCharType="begin"/>
      </w:r>
      <w:r>
        <w:rPr>
          <w:color w:val="auto"/>
        </w:rPr>
        <w:instrText xml:space="preserve"> HYPERLINK \l "_Toc24509" </w:instrText>
      </w:r>
      <w:r>
        <w:rPr>
          <w:color w:val="auto"/>
        </w:rPr>
        <w:fldChar w:fldCharType="separate"/>
      </w:r>
      <w:r>
        <w:rPr>
          <w:rFonts w:hint="eastAsia" w:ascii="仿宋" w:hAnsi="仿宋"/>
          <w:bCs/>
          <w:color w:val="auto"/>
          <w:szCs w:val="28"/>
        </w:rPr>
        <w:t>第二章</w:t>
      </w:r>
      <w:r>
        <w:rPr>
          <w:rFonts w:hint="eastAsia"/>
          <w:bCs/>
          <w:color w:val="auto"/>
          <w:szCs w:val="28"/>
          <w:lang w:val="en-US"/>
        </w:rPr>
        <w:t xml:space="preserve"> </w:t>
      </w:r>
      <w:r>
        <w:rPr>
          <w:rFonts w:hint="eastAsia" w:ascii="仿宋" w:hAnsi="仿宋"/>
          <w:bCs/>
          <w:color w:val="auto"/>
          <w:szCs w:val="28"/>
        </w:rPr>
        <w:t>供应商须知</w:t>
      </w:r>
      <w:r>
        <w:rPr>
          <w:color w:val="auto"/>
        </w:rPr>
        <w:tab/>
      </w:r>
      <w:r>
        <w:rPr>
          <w:color w:val="auto"/>
        </w:rPr>
        <w:fldChar w:fldCharType="begin"/>
      </w:r>
      <w:r>
        <w:rPr>
          <w:color w:val="auto"/>
        </w:rPr>
        <w:instrText xml:space="preserve"> PAGEREF _Toc24509 \h </w:instrText>
      </w:r>
      <w:r>
        <w:rPr>
          <w:color w:val="auto"/>
        </w:rPr>
        <w:fldChar w:fldCharType="separate"/>
      </w:r>
      <w:r>
        <w:rPr>
          <w:color w:val="auto"/>
        </w:rPr>
        <w:t>4</w:t>
      </w:r>
      <w:r>
        <w:rPr>
          <w:color w:val="auto"/>
        </w:rPr>
        <w:fldChar w:fldCharType="end"/>
      </w:r>
      <w:r>
        <w:rPr>
          <w:color w:val="auto"/>
        </w:rPr>
        <w:fldChar w:fldCharType="end"/>
      </w:r>
    </w:p>
    <w:p w14:paraId="79FC981A">
      <w:pPr>
        <w:pStyle w:val="16"/>
        <w:tabs>
          <w:tab w:val="right" w:leader="dot" w:pos="9642"/>
          <w:tab w:val="clear" w:pos="9000"/>
        </w:tabs>
        <w:rPr>
          <w:color w:val="auto"/>
        </w:rPr>
      </w:pPr>
      <w:r>
        <w:rPr>
          <w:color w:val="auto"/>
        </w:rPr>
        <w:fldChar w:fldCharType="begin"/>
      </w:r>
      <w:r>
        <w:rPr>
          <w:color w:val="auto"/>
        </w:rPr>
        <w:instrText xml:space="preserve"> HYPERLINK \l "_Toc18794" </w:instrText>
      </w:r>
      <w:r>
        <w:rPr>
          <w:color w:val="auto"/>
        </w:rPr>
        <w:fldChar w:fldCharType="separate"/>
      </w:r>
      <w:r>
        <w:rPr>
          <w:rFonts w:hint="eastAsia" w:ascii="仿宋" w:hAnsi="仿宋"/>
          <w:bCs/>
          <w:color w:val="auto"/>
          <w:szCs w:val="28"/>
        </w:rPr>
        <w:t>第</w:t>
      </w:r>
      <w:r>
        <w:rPr>
          <w:rFonts w:hint="eastAsia" w:ascii="仿宋" w:hAnsi="仿宋"/>
          <w:bCs/>
          <w:color w:val="auto"/>
          <w:szCs w:val="28"/>
          <w:lang w:val="en-US"/>
        </w:rPr>
        <w:t>三</w:t>
      </w:r>
      <w:r>
        <w:rPr>
          <w:rFonts w:hint="eastAsia" w:ascii="仿宋" w:hAnsi="仿宋"/>
          <w:bCs/>
          <w:color w:val="auto"/>
          <w:szCs w:val="28"/>
        </w:rPr>
        <w:t xml:space="preserve">章 </w:t>
      </w:r>
      <w:r>
        <w:rPr>
          <w:rFonts w:hint="eastAsia" w:ascii="仿宋" w:hAnsi="仿宋"/>
          <w:bCs/>
          <w:color w:val="auto"/>
          <w:szCs w:val="28"/>
          <w:lang w:val="en-US"/>
        </w:rPr>
        <w:t>采购需求</w:t>
      </w:r>
      <w:r>
        <w:rPr>
          <w:color w:val="auto"/>
        </w:rPr>
        <w:tab/>
      </w:r>
      <w:r>
        <w:rPr>
          <w:color w:val="auto"/>
        </w:rPr>
        <w:fldChar w:fldCharType="begin"/>
      </w:r>
      <w:r>
        <w:rPr>
          <w:color w:val="auto"/>
        </w:rPr>
        <w:instrText xml:space="preserve"> PAGEREF _Toc18794 \h </w:instrText>
      </w:r>
      <w:r>
        <w:rPr>
          <w:color w:val="auto"/>
        </w:rPr>
        <w:fldChar w:fldCharType="separate"/>
      </w:r>
      <w:r>
        <w:rPr>
          <w:color w:val="auto"/>
        </w:rPr>
        <w:t>25</w:t>
      </w:r>
      <w:r>
        <w:rPr>
          <w:color w:val="auto"/>
        </w:rPr>
        <w:fldChar w:fldCharType="end"/>
      </w:r>
      <w:r>
        <w:rPr>
          <w:color w:val="auto"/>
        </w:rPr>
        <w:fldChar w:fldCharType="end"/>
      </w:r>
    </w:p>
    <w:p w14:paraId="1AFF9D4C">
      <w:pPr>
        <w:pStyle w:val="16"/>
        <w:tabs>
          <w:tab w:val="right" w:leader="dot" w:pos="9642"/>
          <w:tab w:val="clear" w:pos="9000"/>
        </w:tabs>
        <w:rPr>
          <w:color w:val="auto"/>
        </w:rPr>
      </w:pPr>
      <w:r>
        <w:rPr>
          <w:color w:val="auto"/>
        </w:rPr>
        <w:fldChar w:fldCharType="begin"/>
      </w:r>
      <w:r>
        <w:rPr>
          <w:color w:val="auto"/>
        </w:rPr>
        <w:instrText xml:space="preserve"> HYPERLINK \l "_Toc5569" </w:instrText>
      </w:r>
      <w:r>
        <w:rPr>
          <w:color w:val="auto"/>
        </w:rPr>
        <w:fldChar w:fldCharType="separate"/>
      </w:r>
      <w:r>
        <w:rPr>
          <w:rFonts w:hint="eastAsia" w:ascii="仿宋" w:hAnsi="仿宋"/>
          <w:bCs/>
          <w:color w:val="auto"/>
          <w:szCs w:val="28"/>
        </w:rPr>
        <w:t>第四章</w:t>
      </w:r>
      <w:r>
        <w:rPr>
          <w:rFonts w:hint="eastAsia" w:ascii="仿宋" w:hAnsi="仿宋"/>
          <w:bCs/>
          <w:color w:val="auto"/>
          <w:szCs w:val="28"/>
          <w:lang w:val="en-US"/>
        </w:rPr>
        <w:t xml:space="preserve"> </w:t>
      </w:r>
      <w:r>
        <w:rPr>
          <w:rFonts w:hint="eastAsia" w:ascii="仿宋" w:hAnsi="仿宋"/>
          <w:bCs/>
          <w:color w:val="auto"/>
          <w:szCs w:val="28"/>
        </w:rPr>
        <w:t>政府采购合同格式</w:t>
      </w:r>
      <w:r>
        <w:rPr>
          <w:color w:val="auto"/>
        </w:rPr>
        <w:tab/>
      </w:r>
      <w:r>
        <w:rPr>
          <w:color w:val="auto"/>
        </w:rPr>
        <w:fldChar w:fldCharType="begin"/>
      </w:r>
      <w:r>
        <w:rPr>
          <w:color w:val="auto"/>
        </w:rPr>
        <w:instrText xml:space="preserve"> PAGEREF _Toc5569 \h </w:instrText>
      </w:r>
      <w:r>
        <w:rPr>
          <w:color w:val="auto"/>
        </w:rPr>
        <w:fldChar w:fldCharType="separate"/>
      </w:r>
      <w:r>
        <w:rPr>
          <w:color w:val="auto"/>
        </w:rPr>
        <w:t>25</w:t>
      </w:r>
      <w:r>
        <w:rPr>
          <w:color w:val="auto"/>
        </w:rPr>
        <w:fldChar w:fldCharType="end"/>
      </w:r>
      <w:r>
        <w:rPr>
          <w:color w:val="auto"/>
        </w:rPr>
        <w:fldChar w:fldCharType="end"/>
      </w:r>
    </w:p>
    <w:p w14:paraId="13741C45">
      <w:pPr>
        <w:pStyle w:val="16"/>
        <w:tabs>
          <w:tab w:val="right" w:leader="dot" w:pos="9642"/>
          <w:tab w:val="clear" w:pos="9000"/>
        </w:tabs>
        <w:rPr>
          <w:color w:val="auto"/>
        </w:rPr>
      </w:pPr>
      <w:r>
        <w:rPr>
          <w:color w:val="auto"/>
        </w:rPr>
        <w:fldChar w:fldCharType="begin"/>
      </w:r>
      <w:r>
        <w:rPr>
          <w:color w:val="auto"/>
        </w:rPr>
        <w:instrText xml:space="preserve"> HYPERLINK \l "_Toc19283" </w:instrText>
      </w:r>
      <w:r>
        <w:rPr>
          <w:color w:val="auto"/>
        </w:rPr>
        <w:fldChar w:fldCharType="separate"/>
      </w:r>
      <w:r>
        <w:rPr>
          <w:rFonts w:hint="eastAsia"/>
          <w:bCs/>
          <w:color w:val="auto"/>
          <w:szCs w:val="28"/>
          <w:lang w:val="en-US"/>
        </w:rPr>
        <w:t>第五章 评审方法和标准</w:t>
      </w:r>
      <w:r>
        <w:rPr>
          <w:color w:val="auto"/>
        </w:rPr>
        <w:tab/>
      </w:r>
      <w:r>
        <w:rPr>
          <w:color w:val="auto"/>
        </w:rPr>
        <w:fldChar w:fldCharType="begin"/>
      </w:r>
      <w:r>
        <w:rPr>
          <w:color w:val="auto"/>
        </w:rPr>
        <w:instrText xml:space="preserve"> PAGEREF _Toc19283 \h </w:instrText>
      </w:r>
      <w:r>
        <w:rPr>
          <w:color w:val="auto"/>
        </w:rPr>
        <w:fldChar w:fldCharType="separate"/>
      </w:r>
      <w:r>
        <w:rPr>
          <w:color w:val="auto"/>
        </w:rPr>
        <w:t>36</w:t>
      </w:r>
      <w:r>
        <w:rPr>
          <w:color w:val="auto"/>
        </w:rPr>
        <w:fldChar w:fldCharType="end"/>
      </w:r>
      <w:r>
        <w:rPr>
          <w:color w:val="auto"/>
        </w:rPr>
        <w:fldChar w:fldCharType="end"/>
      </w:r>
    </w:p>
    <w:p w14:paraId="7C91A42C">
      <w:pPr>
        <w:pStyle w:val="16"/>
        <w:tabs>
          <w:tab w:val="right" w:leader="dot" w:pos="9642"/>
          <w:tab w:val="clear" w:pos="9000"/>
        </w:tabs>
        <w:rPr>
          <w:rFonts w:hint="eastAsia" w:eastAsia="仿宋"/>
          <w:color w:val="auto"/>
          <w:lang w:val="en-US" w:eastAsia="zh-CN"/>
        </w:rPr>
      </w:pPr>
      <w:r>
        <w:rPr>
          <w:color w:val="auto"/>
        </w:rPr>
        <w:fldChar w:fldCharType="begin"/>
      </w:r>
      <w:r>
        <w:rPr>
          <w:color w:val="auto"/>
        </w:rPr>
        <w:instrText xml:space="preserve"> HYPERLINK \l "_Toc30411" </w:instrText>
      </w:r>
      <w:r>
        <w:rPr>
          <w:color w:val="auto"/>
        </w:rPr>
        <w:fldChar w:fldCharType="separate"/>
      </w:r>
      <w:r>
        <w:rPr>
          <w:rFonts w:hint="eastAsia" w:ascii="仿宋" w:hAnsi="仿宋"/>
          <w:bCs/>
          <w:color w:val="auto"/>
          <w:szCs w:val="28"/>
        </w:rPr>
        <w:t>第六章</w:t>
      </w:r>
      <w:r>
        <w:rPr>
          <w:rFonts w:hint="eastAsia"/>
          <w:bCs/>
          <w:color w:val="auto"/>
          <w:szCs w:val="28"/>
          <w:lang w:val="en-US"/>
        </w:rPr>
        <w:t xml:space="preserve"> </w:t>
      </w:r>
      <w:r>
        <w:rPr>
          <w:rFonts w:hint="eastAsia" w:ascii="仿宋" w:hAnsi="仿宋"/>
          <w:bCs/>
          <w:color w:val="auto"/>
          <w:szCs w:val="28"/>
        </w:rPr>
        <w:t>响应文件格式</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14:paraId="17B39E25">
      <w:pPr>
        <w:pStyle w:val="2"/>
        <w:rPr>
          <w:color w:val="auto"/>
          <w:lang w:val="en-US"/>
        </w:rPr>
        <w:sectPr>
          <w:footerReference r:id="rId5" w:type="default"/>
          <w:pgSz w:w="11910" w:h="16840"/>
          <w:pgMar w:top="1134" w:right="1134" w:bottom="1134" w:left="1134" w:header="878" w:footer="1052" w:gutter="0"/>
          <w:pgBorders>
            <w:top w:val="none" w:sz="0" w:space="0"/>
            <w:left w:val="none" w:sz="0" w:space="0"/>
            <w:bottom w:val="none" w:sz="0" w:space="0"/>
            <w:right w:val="none" w:sz="0" w:space="0"/>
          </w:pgBorders>
          <w:pgNumType w:fmt="decimal" w:start="1"/>
          <w:cols w:equalWidth="0" w:num="1">
            <w:col w:w="10590"/>
          </w:cols>
        </w:sectPr>
      </w:pPr>
      <w:r>
        <w:rPr>
          <w:rFonts w:hint="eastAsia"/>
          <w:color w:val="auto"/>
          <w:lang w:val="en-US"/>
        </w:rPr>
        <w:fldChar w:fldCharType="end"/>
      </w:r>
    </w:p>
    <w:p w14:paraId="1306B0FC">
      <w:pPr>
        <w:numPr>
          <w:ilvl w:val="0"/>
          <w:numId w:val="2"/>
        </w:numPr>
        <w:adjustRightInd w:val="0"/>
        <w:spacing w:line="360" w:lineRule="auto"/>
        <w:jc w:val="center"/>
        <w:outlineLvl w:val="0"/>
        <w:rPr>
          <w:b/>
          <w:bCs/>
          <w:color w:val="auto"/>
          <w:sz w:val="28"/>
          <w:szCs w:val="28"/>
        </w:rPr>
      </w:pPr>
      <w:bookmarkStart w:id="0" w:name="_Toc9433"/>
      <w:r>
        <w:rPr>
          <w:rFonts w:hint="eastAsia"/>
          <w:b/>
          <w:bCs/>
          <w:color w:val="auto"/>
          <w:sz w:val="28"/>
          <w:szCs w:val="28"/>
        </w:rPr>
        <w:t>竞争性磋商采购公告</w:t>
      </w:r>
      <w:bookmarkEnd w:id="0"/>
    </w:p>
    <w:p w14:paraId="75F76AA5">
      <w:pPr>
        <w:spacing w:line="440" w:lineRule="exact"/>
        <w:jc w:val="center"/>
        <w:outlineLvl w:val="0"/>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lang w:val="en-US" w:eastAsia="zh-CN"/>
        </w:rPr>
        <w:t xml:space="preserve">    </w:t>
      </w:r>
      <w:r>
        <w:rPr>
          <w:rFonts w:hint="eastAsia" w:ascii="仿宋_GB2312" w:hAnsi="仿宋_GB2312" w:eastAsia="仿宋_GB2312" w:cs="仿宋_GB2312"/>
          <w:b/>
          <w:bCs/>
          <w:color w:val="auto"/>
          <w:sz w:val="28"/>
          <w:szCs w:val="28"/>
          <w:lang w:eastAsia="zh-CN"/>
        </w:rPr>
        <w:t>木垒县照壁山乡周家塘村2026年污水管网改造建设项目（二期）</w:t>
      </w:r>
      <w:r>
        <w:rPr>
          <w:rFonts w:hint="eastAsia" w:ascii="仿宋_GB2312" w:hAnsi="仿宋_GB2312" w:eastAsia="仿宋_GB2312" w:cs="仿宋_GB2312"/>
          <w:b/>
          <w:bCs/>
          <w:color w:val="auto"/>
          <w:sz w:val="28"/>
          <w:szCs w:val="28"/>
        </w:rPr>
        <w:t>竞争性磋商公告</w:t>
      </w:r>
    </w:p>
    <w:p w14:paraId="6CA3036C">
      <w:pPr>
        <w:pStyle w:val="2"/>
        <w:tabs>
          <w:tab w:val="right" w:leader="dot" w:pos="8834"/>
        </w:tabs>
        <w:rPr>
          <w:color w:val="auto"/>
        </w:rPr>
      </w:pPr>
    </w:p>
    <w:tbl>
      <w:tblPr>
        <w:tblStyle w:val="21"/>
        <w:tblW w:w="9673"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73"/>
      </w:tblGrid>
      <w:tr w14:paraId="323B88C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673" w:type="dxa"/>
            <w:tcBorders>
              <w:tl2br w:val="nil"/>
              <w:tr2bl w:val="nil"/>
            </w:tcBorders>
          </w:tcPr>
          <w:p w14:paraId="5AD9FA76">
            <w:pPr>
              <w:pStyle w:val="18"/>
              <w:jc w:val="both"/>
              <w:rPr>
                <w:color w:val="auto"/>
                <w:szCs w:val="24"/>
              </w:rPr>
            </w:pPr>
            <w:r>
              <w:rPr>
                <w:rFonts w:ascii="仿宋" w:hAnsi="仿宋" w:eastAsia="仿宋" w:cs="仿宋"/>
                <w:color w:val="auto"/>
                <w:szCs w:val="24"/>
              </w:rPr>
              <w:t>项目概况</w:t>
            </w:r>
            <w:r>
              <w:rPr>
                <w:rFonts w:hint="eastAsia" w:ascii="仿宋" w:hAnsi="仿宋" w:eastAsia="仿宋" w:cs="仿宋"/>
                <w:color w:val="auto"/>
                <w:szCs w:val="24"/>
              </w:rPr>
              <w:t xml:space="preserve"> </w:t>
            </w:r>
          </w:p>
          <w:p w14:paraId="4D722085">
            <w:pPr>
              <w:pStyle w:val="18"/>
              <w:jc w:val="both"/>
              <w:rPr>
                <w:rFonts w:ascii="仿宋" w:hAnsi="仿宋" w:eastAsia="仿宋" w:cs="仿宋"/>
                <w:color w:val="auto"/>
                <w:szCs w:val="24"/>
              </w:rPr>
            </w:pPr>
            <w:r>
              <w:rPr>
                <w:rFonts w:hint="eastAsia" w:ascii="仿宋" w:hAnsi="仿宋" w:cs="仿宋"/>
                <w:color w:val="auto"/>
                <w:szCs w:val="24"/>
                <w:lang w:eastAsia="zh-CN"/>
              </w:rPr>
              <w:t>木垒县照壁山乡周家塘村2026年污水管网改造建设项目（二期）</w:t>
            </w:r>
            <w:r>
              <w:rPr>
                <w:rFonts w:hint="eastAsia" w:ascii="仿宋" w:hAnsi="仿宋" w:eastAsia="仿宋" w:cs="仿宋"/>
                <w:color w:val="auto"/>
                <w:szCs w:val="24"/>
              </w:rPr>
              <w:t>的潜在供应商应在</w:t>
            </w:r>
            <w:r>
              <w:rPr>
                <w:rFonts w:hint="eastAsia" w:ascii="仿宋" w:hAnsi="仿宋" w:cs="仿宋"/>
                <w:color w:val="auto"/>
                <w:szCs w:val="24"/>
                <w:lang w:val="en-US" w:eastAsia="zh-CN"/>
              </w:rPr>
              <w:t>政采云平台线上</w:t>
            </w:r>
            <w:r>
              <w:rPr>
                <w:rFonts w:hint="eastAsia" w:ascii="仿宋" w:hAnsi="仿宋" w:eastAsia="仿宋" w:cs="仿宋"/>
                <w:color w:val="auto"/>
                <w:szCs w:val="24"/>
              </w:rPr>
              <w:t>获取招标文件，并于</w:t>
            </w:r>
            <w:r>
              <w:rPr>
                <w:rFonts w:hint="eastAsia" w:ascii="仿宋" w:hAnsi="仿宋" w:cs="仿宋"/>
                <w:color w:val="auto"/>
                <w:szCs w:val="24"/>
                <w:lang w:eastAsia="zh-CN"/>
              </w:rPr>
              <w:t>2026年6月4日10：30</w:t>
            </w:r>
            <w:r>
              <w:rPr>
                <w:rFonts w:hint="eastAsia" w:ascii="仿宋" w:hAnsi="仿宋" w:eastAsia="仿宋" w:cs="仿宋"/>
                <w:color w:val="auto"/>
                <w:szCs w:val="24"/>
              </w:rPr>
              <w:t>（北京时间）前递交投标文件。</w:t>
            </w:r>
          </w:p>
        </w:tc>
      </w:tr>
    </w:tbl>
    <w:p w14:paraId="081CBEBE">
      <w:pPr>
        <w:pStyle w:val="18"/>
        <w:spacing w:line="360" w:lineRule="auto"/>
        <w:rPr>
          <w:rFonts w:ascii="仿宋" w:hAnsi="仿宋" w:eastAsia="仿宋" w:cs="仿宋"/>
          <w:b/>
          <w:bCs/>
          <w:color w:val="auto"/>
          <w:szCs w:val="24"/>
        </w:rPr>
      </w:pPr>
      <w:r>
        <w:rPr>
          <w:rFonts w:hint="eastAsia" w:ascii="仿宋" w:hAnsi="仿宋" w:eastAsia="仿宋" w:cs="仿宋"/>
          <w:b/>
          <w:bCs/>
          <w:color w:val="auto"/>
          <w:szCs w:val="24"/>
        </w:rPr>
        <w:t xml:space="preserve">一、项目基本情况 </w:t>
      </w:r>
    </w:p>
    <w:p w14:paraId="2003F7BC">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项目编号：</w:t>
      </w:r>
      <w:r>
        <w:rPr>
          <w:rFonts w:hint="eastAsia" w:ascii="仿宋" w:hAnsi="仿宋" w:cs="仿宋"/>
          <w:color w:val="auto"/>
          <w:szCs w:val="24"/>
          <w:lang w:eastAsia="zh-CN"/>
        </w:rPr>
        <w:t>YMZB-202</w:t>
      </w:r>
      <w:r>
        <w:rPr>
          <w:rFonts w:hint="eastAsia" w:ascii="仿宋" w:hAnsi="仿宋" w:cs="仿宋"/>
          <w:color w:val="auto"/>
          <w:szCs w:val="24"/>
          <w:lang w:val="en-US" w:eastAsia="zh-CN"/>
        </w:rPr>
        <w:t>6</w:t>
      </w:r>
      <w:r>
        <w:rPr>
          <w:rFonts w:hint="eastAsia" w:ascii="仿宋" w:hAnsi="仿宋" w:cs="仿宋"/>
          <w:color w:val="auto"/>
          <w:szCs w:val="24"/>
          <w:lang w:eastAsia="zh-CN"/>
        </w:rPr>
        <w:t>-</w:t>
      </w:r>
      <w:r>
        <w:rPr>
          <w:rFonts w:hint="eastAsia" w:ascii="仿宋" w:hAnsi="仿宋" w:cs="仿宋"/>
          <w:color w:val="auto"/>
          <w:szCs w:val="24"/>
          <w:lang w:val="en-US" w:eastAsia="zh-CN"/>
        </w:rPr>
        <w:t>05</w:t>
      </w:r>
      <w:r>
        <w:rPr>
          <w:rFonts w:hint="eastAsia" w:ascii="仿宋" w:hAnsi="仿宋" w:cs="仿宋"/>
          <w:color w:val="auto"/>
          <w:szCs w:val="24"/>
          <w:lang w:eastAsia="zh-CN"/>
        </w:rPr>
        <w:t>-</w:t>
      </w:r>
      <w:r>
        <w:rPr>
          <w:rFonts w:hint="eastAsia" w:ascii="仿宋" w:hAnsi="仿宋" w:cs="仿宋"/>
          <w:color w:val="auto"/>
          <w:szCs w:val="24"/>
          <w:lang w:val="en-US" w:eastAsia="zh-CN"/>
        </w:rPr>
        <w:t>S</w:t>
      </w:r>
      <w:r>
        <w:rPr>
          <w:rFonts w:hint="eastAsia" w:ascii="仿宋" w:hAnsi="仿宋" w:cs="仿宋"/>
          <w:color w:val="auto"/>
          <w:szCs w:val="24"/>
          <w:lang w:eastAsia="zh-CN"/>
        </w:rPr>
        <w:t>G</w:t>
      </w:r>
    </w:p>
    <w:p w14:paraId="613E8A86">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项目名称：</w:t>
      </w:r>
      <w:r>
        <w:rPr>
          <w:rFonts w:hint="eastAsia" w:ascii="仿宋" w:hAnsi="仿宋" w:cs="仿宋"/>
          <w:color w:val="auto"/>
          <w:szCs w:val="24"/>
          <w:lang w:eastAsia="zh-CN"/>
        </w:rPr>
        <w:t>木垒县照壁山乡周家塘村2026年污水管网改造建设项目（二期）</w:t>
      </w:r>
      <w:r>
        <w:rPr>
          <w:rFonts w:hint="eastAsia" w:ascii="仿宋" w:hAnsi="仿宋" w:eastAsia="仿宋" w:cs="仿宋"/>
          <w:color w:val="auto"/>
          <w:szCs w:val="24"/>
          <w:lang w:eastAsia="zh-CN"/>
        </w:rPr>
        <w:t xml:space="preserve">      </w:t>
      </w:r>
    </w:p>
    <w:p w14:paraId="2B09E977">
      <w:pPr>
        <w:pStyle w:val="18"/>
        <w:spacing w:line="360" w:lineRule="auto"/>
        <w:rPr>
          <w:rFonts w:ascii="仿宋" w:hAnsi="仿宋" w:eastAsia="仿宋" w:cs="仿宋"/>
          <w:color w:val="auto"/>
          <w:szCs w:val="24"/>
        </w:rPr>
      </w:pPr>
      <w:r>
        <w:rPr>
          <w:rFonts w:hint="eastAsia" w:ascii="仿宋" w:hAnsi="仿宋" w:eastAsia="仿宋" w:cs="仿宋"/>
          <w:color w:val="auto"/>
          <w:szCs w:val="24"/>
        </w:rPr>
        <w:t>采购方式：竞争性磋商</w:t>
      </w:r>
    </w:p>
    <w:p w14:paraId="5B485769">
      <w:pPr>
        <w:pStyle w:val="18"/>
        <w:spacing w:line="360" w:lineRule="auto"/>
        <w:rPr>
          <w:rFonts w:hint="default" w:ascii="仿宋" w:hAnsi="仿宋" w:eastAsia="仿宋" w:cs="仿宋"/>
          <w:color w:val="auto"/>
          <w:szCs w:val="24"/>
          <w:lang w:val="en-US"/>
        </w:rPr>
      </w:pPr>
      <w:r>
        <w:rPr>
          <w:rFonts w:hint="eastAsia" w:ascii="仿宋" w:hAnsi="仿宋" w:eastAsia="仿宋" w:cs="仿宋"/>
          <w:color w:val="auto"/>
          <w:szCs w:val="24"/>
        </w:rPr>
        <w:t>预算金额（元）：</w:t>
      </w:r>
      <w:r>
        <w:rPr>
          <w:rFonts w:hint="eastAsia"/>
          <w:color w:val="auto"/>
          <w:szCs w:val="24"/>
          <w:lang w:val="en-US" w:eastAsia="zh-CN"/>
        </w:rPr>
        <w:t>1800000.00</w:t>
      </w:r>
    </w:p>
    <w:p w14:paraId="4C81FC41">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最高限价（元）：</w:t>
      </w:r>
      <w:r>
        <w:rPr>
          <w:rFonts w:hint="eastAsia"/>
          <w:color w:val="auto"/>
          <w:szCs w:val="24"/>
          <w:lang w:val="en-US" w:eastAsia="zh-CN"/>
        </w:rPr>
        <w:t>1624523.68</w:t>
      </w:r>
    </w:p>
    <w:p w14:paraId="744249E7">
      <w:pPr>
        <w:pStyle w:val="18"/>
        <w:spacing w:line="360" w:lineRule="auto"/>
        <w:rPr>
          <w:rFonts w:ascii="仿宋" w:hAnsi="仿宋" w:eastAsia="仿宋" w:cs="仿宋"/>
          <w:color w:val="auto"/>
          <w:szCs w:val="24"/>
        </w:rPr>
      </w:pPr>
      <w:r>
        <w:rPr>
          <w:rFonts w:hint="eastAsia" w:ascii="仿宋" w:hAnsi="仿宋" w:eastAsia="仿宋" w:cs="仿宋"/>
          <w:color w:val="auto"/>
          <w:szCs w:val="24"/>
        </w:rPr>
        <w:t>采购需求：</w:t>
      </w:r>
    </w:p>
    <w:p w14:paraId="21FEDF02">
      <w:pPr>
        <w:pStyle w:val="18"/>
        <w:spacing w:line="360" w:lineRule="auto"/>
        <w:rPr>
          <w:rFonts w:hint="eastAsia" w:ascii="仿宋" w:hAnsi="仿宋" w:eastAsia="仿宋" w:cs="仿宋"/>
          <w:color w:val="auto"/>
          <w:szCs w:val="24"/>
          <w:lang w:val="en-US" w:eastAsia="zh-CN"/>
        </w:rPr>
      </w:pPr>
      <w:r>
        <w:rPr>
          <w:rFonts w:hint="eastAsia" w:ascii="仿宋" w:hAnsi="仿宋" w:eastAsia="仿宋" w:cs="仿宋"/>
          <w:color w:val="auto"/>
          <w:szCs w:val="24"/>
        </w:rPr>
        <w:t>简要规格描述或项目基本概况介绍、用途：</w:t>
      </w:r>
      <w:r>
        <w:rPr>
          <w:rFonts w:hint="eastAsia" w:ascii="仿宋" w:hAnsi="仿宋" w:cs="仿宋"/>
          <w:color w:val="auto"/>
          <w:szCs w:val="24"/>
          <w:lang w:val="en-US" w:eastAsia="zh-CN"/>
        </w:rPr>
        <w:t>新建2公里污水管网(材质波纹管)，其中DN315管网1.2公里，DN200管网0.8公里及配套设施。</w:t>
      </w:r>
      <w:r>
        <w:rPr>
          <w:rFonts w:hint="eastAsia" w:ascii="仿宋" w:hAnsi="仿宋" w:eastAsia="仿宋" w:cs="仿宋"/>
          <w:color w:val="auto"/>
          <w:kern w:val="0"/>
          <w:sz w:val="24"/>
          <w:szCs w:val="24"/>
          <w:highlight w:val="none"/>
          <w:lang w:val="en-US" w:eastAsia="zh-CN" w:bidi="ar-SA"/>
        </w:rPr>
        <w:t>具体以招标文件、</w:t>
      </w:r>
      <w:r>
        <w:rPr>
          <w:rFonts w:hint="eastAsia" w:ascii="仿宋" w:hAnsi="仿宋" w:cs="仿宋"/>
          <w:color w:val="auto"/>
          <w:kern w:val="0"/>
          <w:sz w:val="24"/>
          <w:szCs w:val="24"/>
          <w:highlight w:val="none"/>
          <w:lang w:val="en-US" w:eastAsia="zh-CN" w:bidi="ar-SA"/>
        </w:rPr>
        <w:t>施工图纸、招标</w:t>
      </w:r>
      <w:r>
        <w:rPr>
          <w:rFonts w:hint="eastAsia" w:ascii="仿宋" w:hAnsi="仿宋" w:eastAsia="仿宋" w:cs="仿宋"/>
          <w:color w:val="auto"/>
          <w:kern w:val="0"/>
          <w:sz w:val="24"/>
          <w:szCs w:val="24"/>
          <w:highlight w:val="none"/>
          <w:lang w:val="en-US" w:eastAsia="zh-CN" w:bidi="ar-SA"/>
        </w:rPr>
        <w:t>工程量清单为准。</w:t>
      </w:r>
    </w:p>
    <w:p w14:paraId="209219F4">
      <w:pPr>
        <w:pStyle w:val="18"/>
        <w:spacing w:line="360" w:lineRule="auto"/>
        <w:rPr>
          <w:rFonts w:hint="eastAsia" w:ascii="仿宋" w:hAnsi="仿宋" w:eastAsia="仿宋" w:cs="仿宋"/>
          <w:color w:val="auto"/>
          <w:szCs w:val="24"/>
        </w:rPr>
      </w:pPr>
      <w:r>
        <w:rPr>
          <w:rFonts w:hint="eastAsia" w:ascii="仿宋" w:hAnsi="仿宋" w:eastAsia="仿宋" w:cs="仿宋"/>
          <w:color w:val="auto"/>
          <w:szCs w:val="24"/>
        </w:rPr>
        <w:t>合同履约期限：</w:t>
      </w:r>
      <w:r>
        <w:rPr>
          <w:rFonts w:hint="eastAsia" w:ascii="仿宋" w:hAnsi="仿宋" w:cs="仿宋"/>
          <w:color w:val="auto"/>
          <w:sz w:val="24"/>
          <w:szCs w:val="24"/>
          <w:lang w:val="en-US" w:eastAsia="zh-CN"/>
        </w:rPr>
        <w:t>自合同签订之日起120日内完成。</w:t>
      </w:r>
    </w:p>
    <w:p w14:paraId="47970841">
      <w:pPr>
        <w:pStyle w:val="18"/>
        <w:spacing w:line="360" w:lineRule="auto"/>
        <w:rPr>
          <w:rFonts w:ascii="仿宋" w:hAnsi="仿宋" w:eastAsia="仿宋" w:cs="仿宋"/>
          <w:b/>
          <w:bCs/>
          <w:color w:val="auto"/>
          <w:szCs w:val="24"/>
        </w:rPr>
      </w:pPr>
      <w:r>
        <w:rPr>
          <w:rFonts w:hint="eastAsia" w:ascii="仿宋" w:hAnsi="仿宋" w:eastAsia="仿宋" w:cs="仿宋"/>
          <w:color w:val="auto"/>
          <w:szCs w:val="24"/>
        </w:rPr>
        <w:t>本项目（</w:t>
      </w:r>
      <w:r>
        <w:rPr>
          <w:rFonts w:hint="eastAsia" w:ascii="仿宋" w:hAnsi="仿宋" w:cs="仿宋"/>
          <w:color w:val="auto"/>
          <w:szCs w:val="24"/>
          <w:lang w:val="en-US" w:eastAsia="zh-CN"/>
        </w:rPr>
        <w:t>否</w:t>
      </w:r>
      <w:r>
        <w:rPr>
          <w:rFonts w:hint="eastAsia" w:ascii="仿宋" w:hAnsi="仿宋" w:eastAsia="仿宋" w:cs="仿宋"/>
          <w:color w:val="auto"/>
          <w:szCs w:val="24"/>
        </w:rPr>
        <w:t>）接受联合体投标。</w:t>
      </w:r>
    </w:p>
    <w:p w14:paraId="331B73EA">
      <w:pPr>
        <w:pStyle w:val="18"/>
        <w:spacing w:line="360" w:lineRule="auto"/>
        <w:rPr>
          <w:rFonts w:ascii="仿宋" w:hAnsi="仿宋" w:eastAsia="仿宋" w:cs="仿宋"/>
          <w:color w:val="auto"/>
          <w:szCs w:val="24"/>
        </w:rPr>
      </w:pPr>
      <w:r>
        <w:rPr>
          <w:rFonts w:hint="eastAsia" w:ascii="仿宋" w:hAnsi="仿宋" w:eastAsia="仿宋" w:cs="仿宋"/>
          <w:b/>
          <w:bCs/>
          <w:color w:val="auto"/>
          <w:szCs w:val="24"/>
        </w:rPr>
        <w:t>二、申请人的资格要求：</w:t>
      </w:r>
    </w:p>
    <w:p w14:paraId="76744DEE">
      <w:pPr>
        <w:pStyle w:val="18"/>
        <w:spacing w:line="360" w:lineRule="auto"/>
        <w:jc w:val="both"/>
        <w:textAlignment w:val="baseline"/>
        <w:rPr>
          <w:rFonts w:hint="eastAsia" w:ascii="仿宋" w:hAnsi="仿宋" w:eastAsia="仿宋" w:cs="仿宋"/>
          <w:color w:val="auto"/>
          <w:szCs w:val="24"/>
          <w:lang w:eastAsia="zh-CN"/>
        </w:rPr>
      </w:pPr>
      <w:r>
        <w:rPr>
          <w:rFonts w:hint="eastAsia" w:ascii="仿宋" w:hAnsi="仿宋" w:eastAsia="仿宋" w:cs="仿宋"/>
          <w:color w:val="auto"/>
          <w:szCs w:val="24"/>
        </w:rPr>
        <w:t>1.满足《中华人民共和国政府采购法》第二十二条规定</w:t>
      </w:r>
      <w:r>
        <w:rPr>
          <w:rFonts w:hint="eastAsia" w:ascii="仿宋" w:hAnsi="仿宋" w:cs="仿宋"/>
          <w:color w:val="auto"/>
          <w:szCs w:val="24"/>
          <w:lang w:eastAsia="zh-CN"/>
        </w:rPr>
        <w:t>；</w:t>
      </w:r>
    </w:p>
    <w:p w14:paraId="57FD6AD5">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2.落实政府采购政策需满足的资格要求：供应商为中小企业</w:t>
      </w:r>
      <w:r>
        <w:rPr>
          <w:rFonts w:hint="eastAsia" w:ascii="仿宋" w:hAnsi="仿宋" w:cs="仿宋"/>
          <w:color w:val="auto"/>
          <w:szCs w:val="24"/>
          <w:lang w:eastAsia="zh-CN"/>
        </w:rPr>
        <w:t>。</w:t>
      </w:r>
    </w:p>
    <w:p w14:paraId="17EB9045">
      <w:pPr>
        <w:pStyle w:val="18"/>
        <w:spacing w:line="360" w:lineRule="auto"/>
        <w:rPr>
          <w:rFonts w:hint="eastAsia" w:ascii="仿宋" w:hAnsi="仿宋" w:eastAsia="仿宋" w:cs="仿宋"/>
          <w:color w:val="auto"/>
          <w:kern w:val="0"/>
          <w:sz w:val="24"/>
          <w:szCs w:val="24"/>
        </w:rPr>
      </w:pPr>
      <w:r>
        <w:rPr>
          <w:rFonts w:hint="eastAsia" w:ascii="仿宋" w:hAnsi="仿宋" w:eastAsia="仿宋" w:cs="仿宋"/>
          <w:color w:val="auto"/>
          <w:szCs w:val="24"/>
        </w:rPr>
        <w:t>3.本项目的特定资格要求：</w:t>
      </w:r>
      <w:r>
        <w:rPr>
          <w:rFonts w:hint="eastAsia" w:ascii="仿宋" w:hAnsi="仿宋" w:eastAsia="仿宋" w:cs="仿宋"/>
          <w:color w:val="auto"/>
          <w:kern w:val="0"/>
          <w:sz w:val="24"/>
          <w:szCs w:val="24"/>
        </w:rPr>
        <w:t>供应商应具备独立法人资格的</w:t>
      </w:r>
      <w:r>
        <w:rPr>
          <w:rFonts w:hint="eastAsia" w:ascii="仿宋" w:hAnsi="仿宋" w:cs="仿宋"/>
          <w:color w:val="auto"/>
          <w:kern w:val="0"/>
          <w:sz w:val="24"/>
          <w:szCs w:val="24"/>
          <w:lang w:eastAsia="zh-CN"/>
        </w:rPr>
        <w:t>市政公用工程施工总承包</w:t>
      </w:r>
      <w:r>
        <w:rPr>
          <w:rFonts w:hint="eastAsia" w:ascii="仿宋" w:hAnsi="仿宋" w:cs="仿宋"/>
          <w:color w:val="auto"/>
          <w:kern w:val="0"/>
          <w:sz w:val="24"/>
          <w:szCs w:val="24"/>
          <w:lang w:val="en-US" w:eastAsia="zh-CN"/>
        </w:rPr>
        <w:t>叁</w:t>
      </w:r>
      <w:r>
        <w:rPr>
          <w:rFonts w:hint="eastAsia" w:ascii="仿宋" w:hAnsi="仿宋" w:cs="仿宋"/>
          <w:color w:val="auto"/>
          <w:kern w:val="0"/>
          <w:sz w:val="24"/>
          <w:szCs w:val="24"/>
          <w:lang w:eastAsia="zh-CN"/>
        </w:rPr>
        <w:t>级</w:t>
      </w:r>
      <w:r>
        <w:rPr>
          <w:rFonts w:hint="eastAsia" w:ascii="仿宋" w:hAnsi="仿宋" w:eastAsia="仿宋" w:cs="仿宋"/>
          <w:color w:val="auto"/>
          <w:kern w:val="0"/>
          <w:sz w:val="24"/>
          <w:szCs w:val="24"/>
        </w:rPr>
        <w:t>(含</w:t>
      </w:r>
      <w:r>
        <w:rPr>
          <w:rFonts w:hint="eastAsia" w:ascii="仿宋" w:hAnsi="仿宋" w:cs="仿宋"/>
          <w:color w:val="auto"/>
          <w:kern w:val="0"/>
          <w:sz w:val="24"/>
          <w:szCs w:val="24"/>
          <w:lang w:val="en-US" w:eastAsia="zh-CN"/>
        </w:rPr>
        <w:t>叁</w:t>
      </w:r>
      <w:r>
        <w:rPr>
          <w:rFonts w:hint="eastAsia" w:ascii="仿宋" w:hAnsi="仿宋" w:eastAsia="仿宋" w:cs="仿宋"/>
          <w:color w:val="auto"/>
          <w:kern w:val="0"/>
          <w:sz w:val="24"/>
          <w:szCs w:val="24"/>
        </w:rPr>
        <w:t>级) 以上资质同时具备有效的安全生产许可证。项目负责人需具备</w:t>
      </w:r>
      <w:r>
        <w:rPr>
          <w:rFonts w:hint="eastAsia" w:ascii="仿宋" w:hAnsi="仿宋" w:cs="仿宋"/>
          <w:color w:val="auto"/>
          <w:kern w:val="0"/>
          <w:sz w:val="24"/>
          <w:szCs w:val="24"/>
          <w:lang w:eastAsia="zh-CN"/>
        </w:rPr>
        <w:t>市政公用工程</w:t>
      </w:r>
      <w:r>
        <w:rPr>
          <w:rFonts w:hint="eastAsia" w:ascii="仿宋" w:hAnsi="仿宋" w:eastAsia="仿宋" w:cs="仿宋"/>
          <w:color w:val="auto"/>
          <w:kern w:val="0"/>
          <w:sz w:val="24"/>
          <w:szCs w:val="24"/>
        </w:rPr>
        <w:t>专业二级及以上注册建造师执业资格，及</w:t>
      </w:r>
      <w:r>
        <w:rPr>
          <w:rFonts w:hint="eastAsia" w:ascii="仿宋" w:hAnsi="仿宋" w:cs="仿宋"/>
          <w:color w:val="auto"/>
          <w:kern w:val="0"/>
          <w:sz w:val="24"/>
          <w:szCs w:val="24"/>
          <w:lang w:val="en-US" w:eastAsia="zh-CN"/>
        </w:rPr>
        <w:t>有效</w:t>
      </w:r>
      <w:r>
        <w:rPr>
          <w:rFonts w:hint="eastAsia" w:ascii="仿宋" w:hAnsi="仿宋" w:eastAsia="仿宋" w:cs="仿宋"/>
          <w:color w:val="auto"/>
          <w:kern w:val="0"/>
          <w:sz w:val="24"/>
          <w:szCs w:val="24"/>
          <w:lang w:val="en-US" w:eastAsia="en-US"/>
        </w:rPr>
        <w:t>的B类安全生产考核合格证；</w:t>
      </w:r>
      <w:r>
        <w:rPr>
          <w:rFonts w:hint="eastAsia" w:ascii="仿宋" w:hAnsi="仿宋" w:eastAsia="仿宋" w:cs="仿宋"/>
          <w:color w:val="auto"/>
          <w:kern w:val="0"/>
          <w:sz w:val="24"/>
          <w:szCs w:val="24"/>
        </w:rPr>
        <w:t>且无在建项目。</w:t>
      </w:r>
    </w:p>
    <w:p w14:paraId="28BE448D">
      <w:pPr>
        <w:pStyle w:val="18"/>
        <w:spacing w:line="360" w:lineRule="auto"/>
        <w:rPr>
          <w:rFonts w:ascii="仿宋" w:hAnsi="仿宋" w:eastAsia="仿宋" w:cs="仿宋"/>
          <w:color w:val="auto"/>
          <w:szCs w:val="24"/>
        </w:rPr>
      </w:pPr>
      <w:r>
        <w:rPr>
          <w:rFonts w:hint="eastAsia" w:ascii="仿宋" w:hAnsi="仿宋" w:eastAsia="仿宋" w:cs="仿宋"/>
          <w:b/>
          <w:bCs/>
          <w:color w:val="auto"/>
          <w:szCs w:val="24"/>
        </w:rPr>
        <w:t>三、获取采购文件</w:t>
      </w:r>
    </w:p>
    <w:p w14:paraId="6D5E5A8B">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cs="仿宋"/>
          <w:color w:val="auto"/>
          <w:sz w:val="24"/>
          <w:szCs w:val="24"/>
          <w:lang w:eastAsia="zh-CN"/>
        </w:rPr>
        <w:t>2026年5月23日至2026年6月3日</w:t>
      </w:r>
      <w:r>
        <w:rPr>
          <w:rFonts w:hint="eastAsia" w:ascii="仿宋" w:hAnsi="仿宋" w:eastAsia="仿宋" w:cs="仿宋"/>
          <w:color w:val="auto"/>
          <w:sz w:val="24"/>
          <w:szCs w:val="24"/>
        </w:rPr>
        <w:t>，每天上午00:00至12:00，12:00至23:59（北京时间，法定节假日除外）</w:t>
      </w:r>
    </w:p>
    <w:p w14:paraId="2035791B">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点：</w:t>
      </w:r>
      <w:r>
        <w:rPr>
          <w:rFonts w:hint="eastAsia" w:ascii="仿宋" w:hAnsi="仿宋" w:eastAsia="仿宋" w:cs="仿宋"/>
          <w:color w:val="auto"/>
          <w:sz w:val="24"/>
          <w:szCs w:val="24"/>
        </w:rPr>
        <w:t>登陆政采云平台</w:t>
      </w:r>
      <w:r>
        <w:rPr>
          <w:rFonts w:hint="eastAsia" w:ascii="仿宋" w:hAnsi="仿宋" w:eastAsia="仿宋" w:cs="仿宋"/>
          <w:color w:val="auto"/>
          <w:sz w:val="24"/>
          <w:szCs w:val="24"/>
          <w:lang w:val="en-US" w:eastAsia="zh-CN"/>
        </w:rPr>
        <w:t>https://www.zcygov.cn/</w:t>
      </w:r>
    </w:p>
    <w:p w14:paraId="7AA1A6BC">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式：供应商登录政采云平台https://www.zcygov.cn/在线申请获取采购文件（进入“项目采购”应用，在获取采购文件菜单中选择项目，申请获取采购文件），如有操作性问题，可与政采云在线客服进行咨询，咨询电话400-881-7190。</w:t>
      </w:r>
    </w:p>
    <w:p w14:paraId="118E8273">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售价（元）：</w:t>
      </w:r>
      <w:r>
        <w:rPr>
          <w:rFonts w:hint="eastAsia" w:ascii="仿宋" w:hAnsi="仿宋" w:eastAsia="仿宋" w:cs="仿宋"/>
          <w:color w:val="auto"/>
          <w:sz w:val="24"/>
          <w:szCs w:val="24"/>
          <w:lang w:val="en-US" w:eastAsia="zh-CN"/>
        </w:rPr>
        <w:t>0</w:t>
      </w:r>
    </w:p>
    <w:p w14:paraId="1865B2B9">
      <w:pPr>
        <w:pStyle w:val="18"/>
        <w:spacing w:line="360" w:lineRule="auto"/>
        <w:rPr>
          <w:rFonts w:ascii="仿宋" w:hAnsi="仿宋" w:eastAsia="仿宋" w:cs="仿宋"/>
          <w:color w:val="auto"/>
          <w:szCs w:val="24"/>
        </w:rPr>
      </w:pPr>
      <w:r>
        <w:rPr>
          <w:rFonts w:hint="eastAsia" w:ascii="仿宋" w:hAnsi="仿宋" w:eastAsia="仿宋" w:cs="仿宋"/>
          <w:b/>
          <w:bCs/>
          <w:color w:val="auto"/>
          <w:szCs w:val="24"/>
        </w:rPr>
        <w:t>四、响应文件提交</w:t>
      </w:r>
    </w:p>
    <w:p w14:paraId="0BD57913">
      <w:pPr>
        <w:pStyle w:val="18"/>
        <w:spacing w:line="360" w:lineRule="auto"/>
        <w:rPr>
          <w:rFonts w:ascii="仿宋" w:hAnsi="仿宋" w:eastAsia="仿宋" w:cs="仿宋"/>
          <w:color w:val="auto"/>
          <w:szCs w:val="24"/>
        </w:rPr>
      </w:pPr>
      <w:r>
        <w:rPr>
          <w:rFonts w:hint="eastAsia" w:ascii="仿宋" w:hAnsi="仿宋" w:eastAsia="仿宋" w:cs="仿宋"/>
          <w:color w:val="auto"/>
          <w:szCs w:val="24"/>
        </w:rPr>
        <w:t>截止时间：</w:t>
      </w:r>
      <w:r>
        <w:rPr>
          <w:rFonts w:hint="eastAsia" w:ascii="仿宋" w:hAnsi="仿宋" w:cs="仿宋"/>
          <w:color w:val="auto"/>
          <w:szCs w:val="24"/>
          <w:lang w:eastAsia="zh-CN"/>
        </w:rPr>
        <w:t>2026年6月4日10：30</w:t>
      </w:r>
      <w:r>
        <w:rPr>
          <w:rFonts w:hint="eastAsia" w:ascii="仿宋" w:hAnsi="仿宋" w:eastAsia="仿宋" w:cs="仿宋"/>
          <w:color w:val="auto"/>
          <w:szCs w:val="24"/>
        </w:rPr>
        <w:t>（北京时间）</w:t>
      </w:r>
    </w:p>
    <w:p w14:paraId="1B0E7DA8">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ascii="仿宋" w:hAnsi="仿宋" w:eastAsia="仿宋" w:cs="仿宋"/>
          <w:color w:val="auto"/>
          <w:szCs w:val="24"/>
        </w:rPr>
      </w:pPr>
      <w:r>
        <w:rPr>
          <w:rFonts w:hint="eastAsia" w:ascii="仿宋" w:hAnsi="仿宋" w:eastAsia="仿宋" w:cs="仿宋"/>
          <w:color w:val="auto"/>
          <w:sz w:val="24"/>
          <w:szCs w:val="24"/>
        </w:rPr>
        <w:t>地点：登陆政采云平台https://www.zcygov.cn/</w:t>
      </w:r>
    </w:p>
    <w:p w14:paraId="23C3FC95">
      <w:pPr>
        <w:pStyle w:val="18"/>
        <w:spacing w:line="360" w:lineRule="auto"/>
        <w:rPr>
          <w:rFonts w:ascii="仿宋" w:hAnsi="仿宋" w:eastAsia="仿宋" w:cs="仿宋"/>
          <w:b/>
          <w:bCs/>
          <w:color w:val="auto"/>
          <w:szCs w:val="24"/>
        </w:rPr>
      </w:pPr>
      <w:r>
        <w:rPr>
          <w:rFonts w:hint="eastAsia" w:ascii="仿宋" w:hAnsi="仿宋" w:eastAsia="仿宋" w:cs="仿宋"/>
          <w:b/>
          <w:bCs/>
          <w:color w:val="auto"/>
          <w:szCs w:val="24"/>
        </w:rPr>
        <w:t>五、响应文件开启</w:t>
      </w:r>
    </w:p>
    <w:p w14:paraId="190BE846">
      <w:pPr>
        <w:pStyle w:val="18"/>
        <w:spacing w:line="360" w:lineRule="auto"/>
        <w:rPr>
          <w:rFonts w:ascii="仿宋" w:hAnsi="仿宋" w:eastAsia="仿宋" w:cs="仿宋"/>
          <w:color w:val="auto"/>
          <w:szCs w:val="24"/>
        </w:rPr>
      </w:pPr>
      <w:r>
        <w:rPr>
          <w:rFonts w:hint="eastAsia" w:ascii="仿宋" w:hAnsi="仿宋" w:eastAsia="仿宋" w:cs="仿宋"/>
          <w:color w:val="auto"/>
          <w:szCs w:val="24"/>
        </w:rPr>
        <w:t>开启时间：</w:t>
      </w:r>
      <w:r>
        <w:rPr>
          <w:rFonts w:hint="eastAsia" w:ascii="仿宋" w:hAnsi="仿宋" w:cs="仿宋"/>
          <w:color w:val="auto"/>
          <w:szCs w:val="24"/>
          <w:lang w:eastAsia="zh-CN"/>
        </w:rPr>
        <w:t>2026年6月4日10：30</w:t>
      </w:r>
      <w:r>
        <w:rPr>
          <w:rFonts w:hint="eastAsia" w:ascii="仿宋" w:hAnsi="仿宋" w:eastAsia="仿宋" w:cs="仿宋"/>
          <w:color w:val="auto"/>
          <w:szCs w:val="24"/>
        </w:rPr>
        <w:t>（北京时间）</w:t>
      </w:r>
    </w:p>
    <w:p w14:paraId="0C4B2176">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地点：登陆政采云平台https://www.zcygov.cn/</w:t>
      </w:r>
    </w:p>
    <w:p w14:paraId="5446C27E">
      <w:pPr>
        <w:pStyle w:val="18"/>
        <w:spacing w:line="360" w:lineRule="auto"/>
        <w:rPr>
          <w:rFonts w:ascii="仿宋" w:hAnsi="仿宋" w:eastAsia="仿宋" w:cs="仿宋"/>
          <w:color w:val="auto"/>
          <w:szCs w:val="24"/>
        </w:rPr>
      </w:pPr>
      <w:r>
        <w:rPr>
          <w:rFonts w:hint="eastAsia" w:ascii="仿宋" w:hAnsi="仿宋" w:eastAsia="仿宋" w:cs="仿宋"/>
          <w:b/>
          <w:bCs/>
          <w:color w:val="auto"/>
          <w:szCs w:val="24"/>
        </w:rPr>
        <w:t>六、公告期限</w:t>
      </w:r>
    </w:p>
    <w:p w14:paraId="63503381">
      <w:pPr>
        <w:pStyle w:val="18"/>
        <w:spacing w:line="360" w:lineRule="auto"/>
        <w:rPr>
          <w:rFonts w:ascii="仿宋" w:hAnsi="仿宋" w:eastAsia="仿宋" w:cs="仿宋"/>
          <w:color w:val="auto"/>
          <w:szCs w:val="24"/>
        </w:rPr>
      </w:pPr>
      <w:r>
        <w:rPr>
          <w:rFonts w:hint="eastAsia" w:ascii="仿宋" w:hAnsi="仿宋" w:eastAsia="仿宋" w:cs="仿宋"/>
          <w:color w:val="auto"/>
          <w:szCs w:val="24"/>
        </w:rPr>
        <w:t>自本公告发布之日起5个工作日。</w:t>
      </w:r>
    </w:p>
    <w:p w14:paraId="5B119FC3">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七、其他补充事宜</w:t>
      </w:r>
    </w:p>
    <w:p w14:paraId="426B3573">
      <w:pPr>
        <w:pStyle w:val="18"/>
        <w:spacing w:line="360" w:lineRule="auto"/>
        <w:rPr>
          <w:rFonts w:hint="eastAsia" w:ascii="仿宋" w:hAnsi="仿宋" w:eastAsia="仿宋" w:cs="仿宋"/>
          <w:color w:val="auto"/>
          <w:szCs w:val="24"/>
        </w:rPr>
      </w:pPr>
      <w:r>
        <w:rPr>
          <w:rFonts w:hint="eastAsia" w:ascii="仿宋" w:hAnsi="仿宋" w:eastAsia="仿宋" w:cs="仿宋"/>
          <w:color w:val="auto"/>
          <w:szCs w:val="24"/>
        </w:rPr>
        <w:t>1、本项目实行网上投标，采用电子投标文件。</w:t>
      </w:r>
    </w:p>
    <w:p w14:paraId="3F89EBA6">
      <w:pPr>
        <w:pStyle w:val="18"/>
        <w:spacing w:line="360" w:lineRule="auto"/>
        <w:rPr>
          <w:rFonts w:hint="eastAsia" w:ascii="仿宋" w:hAnsi="仿宋" w:eastAsia="仿宋" w:cs="仿宋"/>
          <w:color w:val="auto"/>
          <w:szCs w:val="24"/>
        </w:rPr>
      </w:pPr>
      <w:r>
        <w:rPr>
          <w:rFonts w:hint="eastAsia" w:ascii="仿宋" w:hAnsi="仿宋" w:eastAsia="仿宋" w:cs="仿宋"/>
          <w:color w:val="auto"/>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35EB1721">
      <w:pPr>
        <w:pStyle w:val="18"/>
        <w:spacing w:line="360" w:lineRule="auto"/>
        <w:rPr>
          <w:rFonts w:hint="eastAsia" w:ascii="仿宋" w:hAnsi="仿宋" w:eastAsia="仿宋" w:cs="仿宋"/>
          <w:color w:val="auto"/>
          <w:szCs w:val="24"/>
        </w:rPr>
      </w:pPr>
      <w:r>
        <w:rPr>
          <w:rFonts w:hint="eastAsia" w:ascii="仿宋" w:hAnsi="仿宋" w:eastAsia="仿宋" w:cs="仿宋"/>
          <w:color w:val="auto"/>
          <w:szCs w:val="24"/>
        </w:rPr>
        <w:t>3、供应商将政采云电子交易客户端下载、安装完成后，可通过账号密码或CA登录客户端进行投标文件的制作。在使用政采云投标客户端时，建议使用WIN7及以上操作系统。</w:t>
      </w:r>
    </w:p>
    <w:p w14:paraId="619AD841">
      <w:pPr>
        <w:pStyle w:val="18"/>
        <w:spacing w:line="360" w:lineRule="auto"/>
        <w:rPr>
          <w:rFonts w:hint="eastAsia" w:ascii="仿宋" w:hAnsi="仿宋" w:eastAsia="仿宋" w:cs="仿宋"/>
          <w:color w:val="auto"/>
          <w:szCs w:val="24"/>
        </w:rPr>
      </w:pPr>
      <w:r>
        <w:rPr>
          <w:rFonts w:hint="eastAsia" w:ascii="仿宋" w:hAnsi="仿宋" w:eastAsia="仿宋" w:cs="仿宋"/>
          <w:color w:val="auto"/>
          <w:szCs w:val="24"/>
        </w:rPr>
        <w:t>4、发布媒介：新疆政府采购网。</w:t>
      </w:r>
    </w:p>
    <w:p w14:paraId="2E231FB8">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特别提示：</w:t>
      </w:r>
    </w:p>
    <w:p w14:paraId="672F7B79">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        1、采购限额标准以上，200万元以下的货物和服务采购项目、400万元以下的工程采购项目，适宜由中小企业提供的，采购人应当专门面向中小企业采购。</w:t>
      </w:r>
    </w:p>
    <w:p w14:paraId="639583C7">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        2、超过200万元的货物和服务采购项目，预留该部分采购项目预算总额的30%以上专门面向中小企业采购，其中预留给小微企业的比例不低于60%。</w:t>
      </w:r>
    </w:p>
    <w:p w14:paraId="38734567">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        3、超过400万元的工程采购项目中适宜由中小企业提供的，预留该部分采购项目预算总额的40%以上专门面向中小企业采购，其中预留给小微企业的比例不低于60%。</w:t>
      </w:r>
    </w:p>
    <w:p w14:paraId="1C0DC267">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15B6637">
      <w:pPr>
        <w:pStyle w:val="18"/>
        <w:spacing w:line="360" w:lineRule="auto"/>
        <w:rPr>
          <w:rFonts w:hint="eastAsia" w:ascii="仿宋" w:hAnsi="仿宋" w:eastAsia="仿宋" w:cs="仿宋"/>
          <w:b/>
          <w:bCs/>
          <w:color w:val="auto"/>
          <w:szCs w:val="24"/>
        </w:rPr>
      </w:pPr>
      <w:r>
        <w:rPr>
          <w:rFonts w:hint="eastAsia" w:ascii="仿宋" w:hAnsi="仿宋" w:eastAsia="仿宋" w:cs="仿宋"/>
          <w:b/>
          <w:bCs/>
          <w:color w:val="auto"/>
          <w:szCs w:val="24"/>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CD558AE">
      <w:pPr>
        <w:pStyle w:val="18"/>
        <w:spacing w:line="360" w:lineRule="auto"/>
        <w:rPr>
          <w:rFonts w:ascii="仿宋" w:hAnsi="仿宋" w:eastAsia="仿宋" w:cs="仿宋"/>
          <w:color w:val="auto"/>
          <w:szCs w:val="24"/>
        </w:rPr>
      </w:pPr>
      <w:r>
        <w:rPr>
          <w:rFonts w:hint="eastAsia" w:ascii="仿宋" w:hAnsi="仿宋" w:eastAsia="仿宋" w:cs="仿宋"/>
          <w:b/>
          <w:bCs/>
          <w:color w:val="auto"/>
          <w:szCs w:val="24"/>
        </w:rPr>
        <w:t>八、对本次采购提出询问，请按以下方式联系</w:t>
      </w:r>
    </w:p>
    <w:p w14:paraId="23A1EDC2">
      <w:pPr>
        <w:pStyle w:val="18"/>
        <w:spacing w:line="360" w:lineRule="auto"/>
        <w:rPr>
          <w:rFonts w:ascii="仿宋" w:hAnsi="仿宋" w:eastAsia="仿宋" w:cs="仿宋"/>
          <w:color w:val="auto"/>
          <w:szCs w:val="24"/>
        </w:rPr>
      </w:pPr>
      <w:r>
        <w:rPr>
          <w:rFonts w:hint="eastAsia" w:ascii="仿宋" w:hAnsi="仿宋" w:eastAsia="仿宋" w:cs="仿宋"/>
          <w:color w:val="auto"/>
          <w:szCs w:val="24"/>
        </w:rPr>
        <w:t>1.采购人信息</w:t>
      </w:r>
    </w:p>
    <w:p w14:paraId="12168370">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名 称：</w:t>
      </w:r>
      <w:r>
        <w:rPr>
          <w:rFonts w:hint="eastAsia" w:ascii="仿宋" w:hAnsi="仿宋" w:cs="仿宋"/>
          <w:color w:val="auto"/>
          <w:szCs w:val="24"/>
          <w:lang w:eastAsia="zh-CN"/>
        </w:rPr>
        <w:t xml:space="preserve">木垒哈萨克自治县照壁山乡人民政府 </w:t>
      </w:r>
      <w:r>
        <w:rPr>
          <w:rFonts w:hint="eastAsia" w:ascii="仿宋" w:hAnsi="仿宋" w:eastAsia="仿宋" w:cs="仿宋"/>
          <w:color w:val="auto"/>
          <w:szCs w:val="24"/>
          <w:lang w:eastAsia="zh-CN"/>
        </w:rPr>
        <w:t xml:space="preserve">     </w:t>
      </w:r>
    </w:p>
    <w:p w14:paraId="08AFADA3">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地 址</w:t>
      </w:r>
      <w:r>
        <w:rPr>
          <w:rFonts w:hint="eastAsia" w:ascii="仿宋" w:hAnsi="仿宋" w:eastAsia="仿宋" w:cs="仿宋"/>
          <w:color w:val="auto"/>
          <w:szCs w:val="24"/>
          <w:lang w:eastAsia="zh-CN"/>
        </w:rPr>
        <w:t>：</w:t>
      </w:r>
      <w:r>
        <w:rPr>
          <w:rFonts w:hint="eastAsia" w:ascii="仿宋" w:hAnsi="仿宋" w:cs="仿宋"/>
          <w:color w:val="auto"/>
          <w:szCs w:val="24"/>
          <w:lang w:eastAsia="zh-CN"/>
        </w:rPr>
        <w:t>木垒哈萨克自治县照壁山乡人民政府</w:t>
      </w:r>
      <w:r>
        <w:rPr>
          <w:rFonts w:hint="eastAsia" w:ascii="仿宋" w:hAnsi="仿宋" w:eastAsia="仿宋" w:cs="仿宋"/>
          <w:color w:val="auto"/>
          <w:szCs w:val="24"/>
          <w:lang w:eastAsia="zh-CN"/>
        </w:rPr>
        <w:t xml:space="preserve">     </w:t>
      </w:r>
    </w:p>
    <w:p w14:paraId="06B19742">
      <w:pPr>
        <w:pStyle w:val="18"/>
        <w:spacing w:line="360" w:lineRule="auto"/>
        <w:rPr>
          <w:rFonts w:hint="default" w:ascii="仿宋" w:hAnsi="仿宋" w:eastAsia="仿宋" w:cs="仿宋"/>
          <w:color w:val="auto"/>
          <w:szCs w:val="24"/>
          <w:lang w:val="en-US" w:eastAsia="zh-CN"/>
        </w:rPr>
      </w:pPr>
      <w:r>
        <w:rPr>
          <w:rFonts w:hint="eastAsia" w:ascii="仿宋" w:hAnsi="仿宋" w:eastAsia="仿宋" w:cs="仿宋"/>
          <w:color w:val="auto"/>
          <w:szCs w:val="24"/>
        </w:rPr>
        <w:t>联系方式：</w:t>
      </w:r>
      <w:r>
        <w:rPr>
          <w:rFonts w:hint="eastAsia" w:ascii="仿宋" w:hAnsi="仿宋" w:cs="仿宋"/>
          <w:color w:val="auto"/>
          <w:szCs w:val="24"/>
          <w:lang w:val="en-US" w:eastAsia="zh-CN"/>
        </w:rPr>
        <w:t>15389966378</w:t>
      </w:r>
    </w:p>
    <w:p w14:paraId="5D577BF9">
      <w:pPr>
        <w:pStyle w:val="18"/>
        <w:spacing w:line="360" w:lineRule="auto"/>
        <w:rPr>
          <w:rFonts w:ascii="仿宋" w:hAnsi="仿宋" w:eastAsia="仿宋" w:cs="仿宋"/>
          <w:color w:val="auto"/>
          <w:szCs w:val="24"/>
        </w:rPr>
      </w:pPr>
      <w:r>
        <w:rPr>
          <w:rFonts w:hint="eastAsia" w:ascii="仿宋" w:hAnsi="仿宋" w:eastAsia="仿宋" w:cs="仿宋"/>
          <w:color w:val="auto"/>
          <w:szCs w:val="24"/>
        </w:rPr>
        <w:t>2.采购代理机构信息</w:t>
      </w:r>
    </w:p>
    <w:p w14:paraId="1EC4C4F3">
      <w:pPr>
        <w:pStyle w:val="18"/>
        <w:spacing w:line="360" w:lineRule="auto"/>
        <w:rPr>
          <w:rFonts w:ascii="仿宋" w:hAnsi="仿宋" w:eastAsia="仿宋" w:cs="仿宋"/>
          <w:color w:val="auto"/>
          <w:szCs w:val="24"/>
        </w:rPr>
      </w:pPr>
      <w:r>
        <w:rPr>
          <w:rFonts w:hint="eastAsia" w:ascii="仿宋" w:hAnsi="仿宋" w:eastAsia="仿宋" w:cs="仿宋"/>
          <w:color w:val="auto"/>
          <w:szCs w:val="24"/>
        </w:rPr>
        <w:t>名 称：新疆宇迈工程咨询有限公司</w:t>
      </w:r>
    </w:p>
    <w:p w14:paraId="22302DE5">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地 址：</w:t>
      </w:r>
      <w:r>
        <w:rPr>
          <w:rFonts w:hint="eastAsia" w:ascii="仿宋" w:hAnsi="仿宋" w:cs="仿宋"/>
          <w:color w:val="auto"/>
          <w:szCs w:val="24"/>
          <w:lang w:eastAsia="zh-CN"/>
        </w:rPr>
        <w:t>昌吉市中山南路曦隆枫叶广场14楼</w:t>
      </w:r>
    </w:p>
    <w:p w14:paraId="7A995649">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联系方式：</w:t>
      </w:r>
      <w:r>
        <w:rPr>
          <w:rFonts w:hint="eastAsia" w:ascii="仿宋" w:hAnsi="仿宋" w:eastAsia="仿宋" w:cs="仿宋"/>
          <w:color w:val="auto"/>
          <w:szCs w:val="24"/>
          <w:lang w:eastAsia="zh-CN"/>
        </w:rPr>
        <w:t>18083955173</w:t>
      </w:r>
    </w:p>
    <w:p w14:paraId="44BCD345">
      <w:pPr>
        <w:pStyle w:val="18"/>
        <w:spacing w:line="360" w:lineRule="auto"/>
        <w:rPr>
          <w:rFonts w:ascii="仿宋" w:hAnsi="仿宋" w:eastAsia="仿宋" w:cs="仿宋"/>
          <w:color w:val="auto"/>
          <w:szCs w:val="24"/>
        </w:rPr>
      </w:pPr>
      <w:r>
        <w:rPr>
          <w:rFonts w:hint="eastAsia" w:ascii="仿宋" w:hAnsi="仿宋" w:eastAsia="仿宋" w:cs="仿宋"/>
          <w:color w:val="auto"/>
          <w:szCs w:val="24"/>
        </w:rPr>
        <w:t>3.项目联系方式</w:t>
      </w:r>
    </w:p>
    <w:p w14:paraId="0ABCB203">
      <w:pPr>
        <w:pStyle w:val="18"/>
        <w:spacing w:line="360" w:lineRule="auto"/>
        <w:rPr>
          <w:rFonts w:ascii="仿宋" w:hAnsi="仿宋" w:eastAsia="仿宋" w:cs="仿宋"/>
          <w:color w:val="auto"/>
          <w:szCs w:val="24"/>
        </w:rPr>
      </w:pPr>
      <w:r>
        <w:rPr>
          <w:rFonts w:hint="eastAsia" w:ascii="仿宋" w:hAnsi="仿宋" w:eastAsia="仿宋" w:cs="仿宋"/>
          <w:color w:val="auto"/>
          <w:szCs w:val="24"/>
        </w:rPr>
        <w:t>项目联系人：</w:t>
      </w:r>
      <w:r>
        <w:rPr>
          <w:rFonts w:hint="eastAsia" w:ascii="仿宋" w:hAnsi="仿宋" w:eastAsia="仿宋" w:cs="仿宋"/>
          <w:color w:val="auto"/>
          <w:szCs w:val="24"/>
          <w:lang w:eastAsia="zh-CN"/>
        </w:rPr>
        <w:t>龚女士</w:t>
      </w:r>
      <w:r>
        <w:rPr>
          <w:rFonts w:hint="eastAsia" w:ascii="仿宋" w:hAnsi="仿宋" w:eastAsia="仿宋" w:cs="仿宋"/>
          <w:color w:val="auto"/>
          <w:szCs w:val="24"/>
        </w:rPr>
        <w:t xml:space="preserve">   </w:t>
      </w:r>
    </w:p>
    <w:p w14:paraId="64442168">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电 话：</w:t>
      </w:r>
      <w:r>
        <w:rPr>
          <w:rFonts w:hint="eastAsia" w:ascii="仿宋" w:hAnsi="仿宋" w:eastAsia="仿宋" w:cs="仿宋"/>
          <w:color w:val="auto"/>
          <w:szCs w:val="24"/>
          <w:lang w:eastAsia="zh-CN"/>
        </w:rPr>
        <w:t>18083955173</w:t>
      </w:r>
    </w:p>
    <w:p w14:paraId="0D0F00DC">
      <w:pPr>
        <w:rPr>
          <w:color w:val="auto"/>
        </w:rPr>
      </w:pPr>
    </w:p>
    <w:p w14:paraId="1EA3C3AB">
      <w:pPr>
        <w:pStyle w:val="18"/>
        <w:spacing w:line="360" w:lineRule="auto"/>
        <w:rPr>
          <w:rFonts w:hint="eastAsia" w:ascii="仿宋" w:hAnsi="仿宋" w:eastAsia="仿宋" w:cs="仿宋"/>
          <w:color w:val="auto"/>
          <w:szCs w:val="24"/>
          <w:lang w:eastAsia="zh-CN"/>
        </w:rPr>
      </w:pPr>
    </w:p>
    <w:p w14:paraId="0EE47A0E">
      <w:pPr>
        <w:pStyle w:val="18"/>
        <w:spacing w:line="360" w:lineRule="auto"/>
        <w:rPr>
          <w:rFonts w:hint="eastAsia" w:ascii="仿宋" w:hAnsi="仿宋" w:eastAsia="仿宋" w:cs="仿宋"/>
          <w:color w:val="auto"/>
          <w:szCs w:val="24"/>
          <w:lang w:eastAsia="zh-CN"/>
        </w:rPr>
      </w:pPr>
    </w:p>
    <w:p w14:paraId="5B856574">
      <w:pPr>
        <w:rPr>
          <w:rFonts w:ascii="仿宋" w:hAnsi="仿宋" w:eastAsia="仿宋" w:cs="仿宋"/>
          <w:color w:val="auto"/>
          <w:kern w:val="0"/>
          <w:sz w:val="24"/>
          <w:szCs w:val="24"/>
        </w:rPr>
      </w:pPr>
    </w:p>
    <w:p w14:paraId="1D61FFEE">
      <w:pPr>
        <w:jc w:val="center"/>
        <w:rPr>
          <w:rFonts w:hint="eastAsia"/>
          <w:b/>
          <w:bCs/>
          <w:color w:val="auto"/>
          <w:sz w:val="28"/>
          <w:szCs w:val="28"/>
        </w:rPr>
        <w:sectPr>
          <w:footerReference r:id="rId6" w:type="default"/>
          <w:pgSz w:w="11910" w:h="16840"/>
          <w:pgMar w:top="1134" w:right="1134" w:bottom="1134" w:left="1134" w:header="878" w:footer="1052" w:gutter="0"/>
          <w:pgBorders>
            <w:top w:val="none" w:sz="0" w:space="0"/>
            <w:left w:val="none" w:sz="0" w:space="0"/>
            <w:bottom w:val="none" w:sz="0" w:space="0"/>
            <w:right w:val="none" w:sz="0" w:space="0"/>
          </w:pgBorders>
          <w:pgNumType w:fmt="decimal" w:start="1"/>
          <w:cols w:equalWidth="0" w:num="1">
            <w:col w:w="10590"/>
          </w:cols>
        </w:sectPr>
      </w:pPr>
      <w:bookmarkStart w:id="1" w:name="_Toc24509"/>
    </w:p>
    <w:p w14:paraId="1F01AE90">
      <w:pPr>
        <w:jc w:val="center"/>
        <w:rPr>
          <w:color w:val="auto"/>
          <w:sz w:val="28"/>
          <w:szCs w:val="28"/>
        </w:rPr>
      </w:pPr>
      <w:r>
        <w:rPr>
          <w:rFonts w:hint="eastAsia"/>
          <w:b/>
          <w:bCs/>
          <w:color w:val="auto"/>
          <w:sz w:val="28"/>
          <w:szCs w:val="28"/>
        </w:rPr>
        <w:t>第二章</w:t>
      </w:r>
      <w:r>
        <w:rPr>
          <w:rFonts w:hint="eastAsia"/>
          <w:b/>
          <w:bCs/>
          <w:color w:val="auto"/>
          <w:sz w:val="28"/>
          <w:szCs w:val="28"/>
          <w:lang w:val="en-US"/>
        </w:rPr>
        <w:t xml:space="preserve"> </w:t>
      </w:r>
      <w:r>
        <w:rPr>
          <w:rFonts w:hint="eastAsia"/>
          <w:b/>
          <w:bCs/>
          <w:color w:val="auto"/>
          <w:sz w:val="28"/>
          <w:szCs w:val="28"/>
        </w:rPr>
        <w:t>供应商须知</w:t>
      </w:r>
      <w:bookmarkEnd w:id="1"/>
    </w:p>
    <w:p w14:paraId="4E2F92DC">
      <w:pPr>
        <w:adjustRightInd w:val="0"/>
        <w:spacing w:before="251" w:after="53"/>
        <w:jc w:val="center"/>
        <w:rPr>
          <w:color w:val="auto"/>
          <w:sz w:val="24"/>
          <w:szCs w:val="24"/>
        </w:rPr>
      </w:pPr>
      <w:r>
        <w:rPr>
          <w:rFonts w:hint="eastAsia"/>
          <w:color w:val="auto"/>
          <w:sz w:val="24"/>
          <w:szCs w:val="24"/>
        </w:rPr>
        <w:t>供应商须知前附表</w:t>
      </w:r>
    </w:p>
    <w:p w14:paraId="45B700EF">
      <w:pPr>
        <w:pStyle w:val="2"/>
        <w:rPr>
          <w:rFonts w:cs="仿宋"/>
          <w:color w:val="auto"/>
          <w:sz w:val="24"/>
          <w:szCs w:val="24"/>
        </w:rPr>
      </w:pPr>
    </w:p>
    <w:tbl>
      <w:tblPr>
        <w:tblStyle w:val="20"/>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14:paraId="17A2E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14:paraId="1EB8F005">
            <w:pPr>
              <w:spacing w:line="240" w:lineRule="atLeast"/>
              <w:ind w:left="1105" w:leftChars="257" w:hanging="540"/>
              <w:rPr>
                <w:rFonts w:ascii="宋体" w:hAnsi="宋体" w:cs="宋体"/>
                <w:color w:val="auto"/>
                <w:sz w:val="24"/>
              </w:rPr>
            </w:pPr>
            <w:r>
              <w:rPr>
                <w:rFonts w:hint="eastAsia" w:ascii="宋体" w:hAnsi="宋体" w:cs="宋体"/>
                <w:color w:val="auto"/>
                <w:sz w:val="24"/>
              </w:rPr>
              <w:t>条款号</w:t>
            </w:r>
          </w:p>
        </w:tc>
        <w:tc>
          <w:tcPr>
            <w:tcW w:w="7875" w:type="dxa"/>
            <w:vAlign w:val="center"/>
          </w:tcPr>
          <w:p w14:paraId="0E6119F5">
            <w:pPr>
              <w:spacing w:line="240" w:lineRule="atLeast"/>
              <w:jc w:val="center"/>
              <w:rPr>
                <w:rFonts w:ascii="宋体" w:hAnsi="宋体" w:cs="宋体"/>
                <w:b/>
                <w:color w:val="auto"/>
                <w:sz w:val="24"/>
              </w:rPr>
            </w:pPr>
            <w:r>
              <w:rPr>
                <w:rFonts w:hint="eastAsia" w:ascii="宋体" w:hAnsi="宋体" w:cs="宋体"/>
                <w:b/>
                <w:color w:val="auto"/>
                <w:sz w:val="24"/>
              </w:rPr>
              <w:t>内      容</w:t>
            </w:r>
          </w:p>
        </w:tc>
      </w:tr>
      <w:tr w14:paraId="48D4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14:paraId="645FB262">
            <w:pPr>
              <w:spacing w:line="240" w:lineRule="atLeast"/>
              <w:ind w:left="1105" w:leftChars="257" w:hanging="540"/>
              <w:rPr>
                <w:rFonts w:hint="eastAsia" w:ascii="宋体" w:hAnsi="宋体" w:eastAsia="仿宋" w:cs="宋体"/>
                <w:color w:val="auto"/>
                <w:sz w:val="24"/>
                <w:lang w:val="en-US" w:eastAsia="zh-CN"/>
              </w:rPr>
            </w:pPr>
            <w:r>
              <w:rPr>
                <w:rFonts w:hint="eastAsia" w:ascii="宋体" w:hAnsi="宋体" w:cs="宋体"/>
                <w:color w:val="auto"/>
                <w:sz w:val="24"/>
                <w:lang w:val="en-US" w:eastAsia="zh-CN"/>
              </w:rPr>
              <w:t>1</w:t>
            </w:r>
          </w:p>
        </w:tc>
        <w:tc>
          <w:tcPr>
            <w:tcW w:w="7875" w:type="dxa"/>
            <w:vAlign w:val="center"/>
          </w:tcPr>
          <w:p w14:paraId="6402E221">
            <w:pPr>
              <w:spacing w:line="240" w:lineRule="atLeast"/>
              <w:rPr>
                <w:rFonts w:hint="eastAsia" w:ascii="宋体" w:hAnsi="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：木垒县照壁山乡周家塘村2026年污水管网改造建设项目（二期）</w:t>
            </w:r>
          </w:p>
          <w:p w14:paraId="231032AB">
            <w:pPr>
              <w:spacing w:line="240" w:lineRule="atLeast"/>
              <w:rPr>
                <w:rFonts w:hint="eastAsia" w:ascii="宋体" w:hAnsi="宋体" w:eastAsia="仿宋" w:cs="宋体"/>
                <w:color w:val="auto"/>
                <w:sz w:val="24"/>
                <w:szCs w:val="24"/>
                <w:lang w:eastAsia="zh-CN"/>
              </w:rPr>
            </w:pPr>
            <w:r>
              <w:rPr>
                <w:rFonts w:hint="eastAsia" w:ascii="宋体" w:hAnsi="宋体" w:cs="宋体"/>
                <w:color w:val="auto"/>
                <w:sz w:val="24"/>
                <w:szCs w:val="24"/>
              </w:rPr>
              <w:t>招标内容</w:t>
            </w:r>
            <w:r>
              <w:rPr>
                <w:rFonts w:hint="eastAsia" w:ascii="宋体" w:hAnsi="宋体" w:cs="宋体"/>
                <w:color w:val="auto"/>
                <w:sz w:val="24"/>
                <w:szCs w:val="24"/>
                <w:lang w:eastAsia="zh-CN"/>
              </w:rPr>
              <w:t>：新建2公里污水管网(材质波纹管)，其中DN315管网1.2公里，DN200管网0.8公里及配套设施。具体以招标文件、施工图纸、招标工程量清单为准。</w:t>
            </w:r>
          </w:p>
          <w:p w14:paraId="72354C59">
            <w:pPr>
              <w:spacing w:line="240" w:lineRule="atLeast"/>
              <w:rPr>
                <w:rFonts w:hint="eastAsia" w:ascii="宋体" w:hAnsi="宋体" w:eastAsia="仿宋" w:cs="宋体"/>
                <w:color w:val="auto"/>
                <w:sz w:val="24"/>
                <w:szCs w:val="24"/>
                <w:lang w:eastAsia="zh-CN"/>
              </w:rPr>
            </w:pPr>
            <w:r>
              <w:rPr>
                <w:rFonts w:hint="eastAsia" w:ascii="宋体" w:hAnsi="宋体" w:cs="宋体"/>
                <w:color w:val="auto"/>
                <w:sz w:val="24"/>
                <w:szCs w:val="24"/>
                <w:lang w:val="en-US" w:eastAsia="zh-CN"/>
              </w:rPr>
              <w:t>建设</w:t>
            </w:r>
            <w:r>
              <w:rPr>
                <w:rFonts w:hint="eastAsia" w:ascii="宋体" w:hAnsi="宋体" w:cs="宋体"/>
                <w:color w:val="auto"/>
                <w:sz w:val="24"/>
                <w:szCs w:val="24"/>
              </w:rPr>
              <w:t>地点</w:t>
            </w:r>
            <w:r>
              <w:rPr>
                <w:rFonts w:hint="eastAsia" w:ascii="宋体" w:hAnsi="宋体" w:cs="宋体"/>
                <w:color w:val="auto"/>
                <w:sz w:val="24"/>
                <w:szCs w:val="24"/>
                <w:lang w:eastAsia="zh-CN"/>
              </w:rPr>
              <w:t>：照壁山乡周家塘村。</w:t>
            </w:r>
          </w:p>
          <w:p w14:paraId="1A0DACCF">
            <w:pPr>
              <w:spacing w:line="240" w:lineRule="atLeast"/>
              <w:rPr>
                <w:rFonts w:hint="eastAsia" w:ascii="宋体" w:hAnsi="宋体" w:cs="宋体"/>
                <w:color w:val="auto"/>
                <w:sz w:val="24"/>
                <w:szCs w:val="24"/>
                <w:lang w:val="en-US"/>
              </w:rPr>
            </w:pPr>
            <w:r>
              <w:rPr>
                <w:rFonts w:hint="eastAsia" w:ascii="宋体" w:hAnsi="宋体" w:cs="宋体"/>
                <w:color w:val="auto"/>
                <w:sz w:val="24"/>
                <w:szCs w:val="24"/>
                <w:lang w:val="en-US"/>
              </w:rPr>
              <w:t>合同履约期限：</w:t>
            </w:r>
            <w:r>
              <w:rPr>
                <w:rFonts w:hint="eastAsia" w:ascii="宋体" w:hAnsi="宋体" w:cs="宋体"/>
                <w:color w:val="auto"/>
                <w:sz w:val="24"/>
                <w:szCs w:val="24"/>
                <w:lang w:val="en-US" w:eastAsia="zh-CN"/>
              </w:rPr>
              <w:t>自合同签订之日起120日内完成。</w:t>
            </w:r>
          </w:p>
          <w:p w14:paraId="624F02B8">
            <w:pPr>
              <w:spacing w:line="240" w:lineRule="atLeast"/>
              <w:jc w:val="both"/>
              <w:rPr>
                <w:rFonts w:hint="eastAsia" w:ascii="宋体" w:hAnsi="宋体" w:cs="宋体"/>
                <w:b/>
                <w:color w:val="auto"/>
                <w:sz w:val="24"/>
              </w:rPr>
            </w:pPr>
            <w:r>
              <w:rPr>
                <w:rFonts w:hint="eastAsia" w:ascii="宋体" w:hAnsi="宋体" w:cs="宋体"/>
                <w:color w:val="auto"/>
                <w:sz w:val="24"/>
                <w:szCs w:val="24"/>
                <w:lang w:val="en-US"/>
              </w:rPr>
              <w:t>验收标准：符合国家合格要求。</w:t>
            </w:r>
          </w:p>
        </w:tc>
      </w:tr>
      <w:tr w14:paraId="00211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14:paraId="0C7F7EEC">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1.1</w:t>
            </w:r>
          </w:p>
        </w:tc>
        <w:tc>
          <w:tcPr>
            <w:tcW w:w="7875" w:type="dxa"/>
            <w:vAlign w:val="center"/>
          </w:tcPr>
          <w:p w14:paraId="51A96E82">
            <w:pPr>
              <w:spacing w:line="240" w:lineRule="atLeast"/>
              <w:rPr>
                <w:rFonts w:hint="eastAsia" w:ascii="宋体" w:hAnsi="宋体" w:cs="宋体"/>
                <w:color w:val="auto"/>
                <w:sz w:val="24"/>
                <w:szCs w:val="24"/>
                <w:u w:val="single"/>
                <w:lang w:eastAsia="zh-CN"/>
              </w:rPr>
            </w:pPr>
            <w:r>
              <w:rPr>
                <w:rFonts w:hint="eastAsia" w:ascii="宋体" w:hAnsi="宋体" w:cs="宋体"/>
                <w:color w:val="auto"/>
                <w:sz w:val="24"/>
                <w:szCs w:val="24"/>
              </w:rPr>
              <w:t>采购人：</w:t>
            </w:r>
            <w:r>
              <w:rPr>
                <w:rFonts w:hint="eastAsia" w:ascii="宋体" w:hAnsi="宋体" w:cs="宋体"/>
                <w:color w:val="auto"/>
                <w:sz w:val="24"/>
                <w:szCs w:val="24"/>
                <w:u w:val="single"/>
                <w:lang w:eastAsia="zh-CN"/>
              </w:rPr>
              <w:t xml:space="preserve">木垒哈萨克自治县照壁山乡人民政府 </w:t>
            </w:r>
          </w:p>
          <w:p w14:paraId="7BF8EC2F">
            <w:pPr>
              <w:spacing w:line="240" w:lineRule="atLeast"/>
              <w:rPr>
                <w:rFonts w:hint="eastAsia" w:ascii="宋体" w:hAnsi="宋体" w:eastAsia="仿宋" w:cs="宋体"/>
                <w:color w:val="auto"/>
                <w:sz w:val="24"/>
                <w:szCs w:val="24"/>
                <w:u w:val="single"/>
                <w:lang w:val="en-US" w:eastAsia="zh-CN"/>
              </w:rPr>
            </w:pPr>
            <w:r>
              <w:rPr>
                <w:rFonts w:hint="eastAsia" w:ascii="宋体" w:hAnsi="宋体" w:cs="宋体"/>
                <w:color w:val="auto"/>
                <w:sz w:val="24"/>
                <w:szCs w:val="24"/>
              </w:rPr>
              <w:t>联系人：</w:t>
            </w:r>
            <w:r>
              <w:rPr>
                <w:rFonts w:hint="eastAsia" w:ascii="宋体" w:hAnsi="宋体" w:cs="宋体"/>
                <w:color w:val="auto"/>
                <w:sz w:val="24"/>
                <w:szCs w:val="24"/>
                <w:u w:val="single"/>
                <w:lang w:val="en-US" w:eastAsia="zh-CN"/>
              </w:rPr>
              <w:t>徐先生</w:t>
            </w:r>
          </w:p>
          <w:p w14:paraId="5BC4B821">
            <w:pPr>
              <w:spacing w:line="240" w:lineRule="atLeast"/>
              <w:rPr>
                <w:rFonts w:hint="eastAsia" w:ascii="宋体" w:hAnsi="宋体" w:eastAsia="仿宋" w:cs="宋体"/>
                <w:color w:val="auto"/>
                <w:sz w:val="24"/>
                <w:szCs w:val="24"/>
                <w:lang w:eastAsia="zh-CN"/>
              </w:rPr>
            </w:pPr>
            <w:r>
              <w:rPr>
                <w:rFonts w:hint="eastAsia" w:ascii="宋体" w:hAnsi="宋体" w:cs="宋体"/>
                <w:color w:val="auto"/>
                <w:sz w:val="24"/>
                <w:szCs w:val="24"/>
              </w:rPr>
              <w:t>电  话：</w:t>
            </w:r>
            <w:r>
              <w:rPr>
                <w:rFonts w:hint="eastAsia" w:ascii="宋体" w:hAnsi="宋体" w:cs="宋体"/>
                <w:color w:val="auto"/>
                <w:sz w:val="24"/>
                <w:szCs w:val="24"/>
                <w:u w:val="single"/>
                <w:lang w:eastAsia="zh-CN"/>
              </w:rPr>
              <w:t>15389966378</w:t>
            </w:r>
          </w:p>
        </w:tc>
      </w:tr>
      <w:tr w14:paraId="3D0E7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14:paraId="0619E67D">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1.2</w:t>
            </w:r>
          </w:p>
        </w:tc>
        <w:tc>
          <w:tcPr>
            <w:tcW w:w="7875" w:type="dxa"/>
            <w:vAlign w:val="center"/>
          </w:tcPr>
          <w:p w14:paraId="5863ED5E">
            <w:pPr>
              <w:spacing w:line="240" w:lineRule="atLeast"/>
              <w:rPr>
                <w:rFonts w:ascii="宋体" w:hAnsi="宋体" w:eastAsia="宋体" w:cs="宋体"/>
                <w:color w:val="auto"/>
                <w:sz w:val="24"/>
                <w:szCs w:val="24"/>
                <w:u w:val="single"/>
              </w:rPr>
            </w:pPr>
            <w:r>
              <w:rPr>
                <w:rFonts w:hint="eastAsia" w:ascii="宋体" w:hAnsi="宋体" w:cs="宋体"/>
                <w:color w:val="auto"/>
                <w:sz w:val="24"/>
                <w:szCs w:val="24"/>
              </w:rPr>
              <w:t>采购代理机构：</w:t>
            </w:r>
            <w:r>
              <w:rPr>
                <w:rFonts w:hint="eastAsia" w:ascii="宋体" w:hAnsi="宋体" w:cs="宋体"/>
                <w:color w:val="auto"/>
                <w:sz w:val="24"/>
                <w:szCs w:val="24"/>
                <w:u w:val="single"/>
              </w:rPr>
              <w:t>新疆宇迈工程咨询有限公司</w:t>
            </w:r>
          </w:p>
          <w:p w14:paraId="7D07F973">
            <w:pPr>
              <w:pStyle w:val="10"/>
              <w:tabs>
                <w:tab w:val="left" w:pos="567"/>
              </w:tabs>
              <w:rPr>
                <w:rFonts w:hint="eastAsia" w:ascii="宋体" w:hAnsi="宋体" w:eastAsia="仿宋" w:cs="宋体"/>
                <w:color w:val="auto"/>
                <w:sz w:val="24"/>
                <w:szCs w:val="24"/>
                <w:u w:val="single"/>
                <w:lang w:val="en-US" w:eastAsia="zh-CN"/>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昌吉市中山南路曦隆枫叶广场14楼</w:t>
            </w:r>
          </w:p>
          <w:p w14:paraId="4D9C0E72">
            <w:pPr>
              <w:spacing w:line="240" w:lineRule="atLeast"/>
              <w:rPr>
                <w:rFonts w:hint="eastAsia" w:ascii="宋体" w:hAnsi="宋体" w:eastAsia="仿宋"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u w:val="single"/>
                <w:lang w:val="en-US" w:eastAsia="zh-CN"/>
              </w:rPr>
              <w:t>龚女士</w:t>
            </w:r>
            <w:r>
              <w:rPr>
                <w:rFonts w:hint="eastAsia" w:ascii="宋体" w:hAnsi="宋体" w:cs="宋体"/>
                <w:color w:val="auto"/>
                <w:sz w:val="24"/>
                <w:szCs w:val="24"/>
                <w:u w:val="single"/>
                <w:lang w:val="en-US"/>
              </w:rPr>
              <w:t xml:space="preserve"> </w:t>
            </w:r>
            <w:r>
              <w:rPr>
                <w:rFonts w:hint="eastAsia" w:ascii="宋体" w:hAnsi="宋体" w:cs="宋体"/>
                <w:color w:val="auto"/>
                <w:sz w:val="24"/>
                <w:szCs w:val="24"/>
              </w:rPr>
              <w:t>电话：</w:t>
            </w:r>
            <w:r>
              <w:rPr>
                <w:rFonts w:hint="eastAsia"/>
                <w:color w:val="auto"/>
                <w:sz w:val="24"/>
                <w:szCs w:val="24"/>
                <w:u w:val="single"/>
                <w:lang w:val="en-US" w:eastAsia="zh-CN"/>
              </w:rPr>
              <w:t>18083955173</w:t>
            </w:r>
          </w:p>
        </w:tc>
      </w:tr>
      <w:tr w14:paraId="69DD1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14:paraId="2A0F2B8E">
            <w:pPr>
              <w:widowControl/>
              <w:spacing w:before="50" w:after="50" w:line="320" w:lineRule="exact"/>
              <w:jc w:val="center"/>
              <w:rPr>
                <w:rFonts w:ascii="宋体" w:hAnsi="宋体" w:cs="Arial"/>
                <w:bCs/>
                <w:color w:val="auto"/>
                <w:sz w:val="24"/>
                <w:szCs w:val="24"/>
              </w:rPr>
            </w:pPr>
            <w:r>
              <w:rPr>
                <w:rFonts w:hint="eastAsia" w:ascii="宋体" w:hAnsi="宋体" w:cs="Arial"/>
                <w:bCs/>
                <w:color w:val="auto"/>
                <w:sz w:val="24"/>
                <w:szCs w:val="24"/>
              </w:rPr>
              <w:t>1.3.4</w:t>
            </w:r>
          </w:p>
        </w:tc>
        <w:tc>
          <w:tcPr>
            <w:tcW w:w="7875" w:type="dxa"/>
            <w:vAlign w:val="center"/>
          </w:tcPr>
          <w:p w14:paraId="674FBC88">
            <w:pPr>
              <w:pStyle w:val="18"/>
              <w:autoSpaceDE/>
              <w:autoSpaceDN/>
              <w:spacing w:line="360" w:lineRule="auto"/>
              <w:rPr>
                <w:rFonts w:hint="eastAsia" w:ascii="宋体" w:hAnsi="宋体" w:cs="Arial"/>
                <w:bCs/>
                <w:color w:val="auto"/>
                <w:sz w:val="24"/>
                <w:szCs w:val="24"/>
              </w:rPr>
            </w:pPr>
            <w:r>
              <w:rPr>
                <w:rFonts w:hint="eastAsia" w:ascii="宋体" w:hAnsi="宋体" w:cs="Arial"/>
                <w:bCs/>
                <w:color w:val="auto"/>
                <w:sz w:val="24"/>
                <w:szCs w:val="24"/>
              </w:rPr>
              <w:t>合格投标人的资格要求：</w:t>
            </w:r>
          </w:p>
          <w:p w14:paraId="0C693664">
            <w:pPr>
              <w:pStyle w:val="18"/>
              <w:spacing w:line="360" w:lineRule="auto"/>
              <w:jc w:val="both"/>
              <w:textAlignment w:val="baseline"/>
              <w:rPr>
                <w:rFonts w:hint="eastAsia" w:ascii="仿宋" w:hAnsi="仿宋" w:eastAsia="仿宋" w:cs="仿宋"/>
                <w:color w:val="auto"/>
                <w:szCs w:val="24"/>
                <w:lang w:eastAsia="zh-CN"/>
              </w:rPr>
            </w:pPr>
            <w:r>
              <w:rPr>
                <w:rFonts w:hint="eastAsia" w:ascii="仿宋" w:hAnsi="仿宋" w:eastAsia="仿宋" w:cs="仿宋"/>
                <w:color w:val="auto"/>
                <w:szCs w:val="24"/>
              </w:rPr>
              <w:t>1.满足《中华人民共和国政府采购法》第二十二条规定</w:t>
            </w:r>
            <w:r>
              <w:rPr>
                <w:rFonts w:hint="eastAsia" w:ascii="仿宋" w:hAnsi="仿宋" w:cs="仿宋"/>
                <w:color w:val="auto"/>
                <w:szCs w:val="24"/>
                <w:lang w:eastAsia="zh-CN"/>
              </w:rPr>
              <w:t>；</w:t>
            </w:r>
          </w:p>
          <w:p w14:paraId="01B44710">
            <w:pPr>
              <w:pStyle w:val="18"/>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rPr>
              <w:t>2.落实政府采购政策需满足的资格要求：供应商为中小企业</w:t>
            </w:r>
            <w:r>
              <w:rPr>
                <w:rFonts w:hint="eastAsia" w:ascii="仿宋" w:hAnsi="仿宋" w:cs="仿宋"/>
                <w:color w:val="auto"/>
                <w:szCs w:val="24"/>
                <w:lang w:eastAsia="zh-CN"/>
              </w:rPr>
              <w:t>。</w:t>
            </w:r>
          </w:p>
          <w:p w14:paraId="6B7CB9AE">
            <w:pPr>
              <w:pStyle w:val="18"/>
              <w:spacing w:line="360" w:lineRule="auto"/>
              <w:rPr>
                <w:color w:val="auto"/>
                <w:szCs w:val="24"/>
              </w:rPr>
            </w:pPr>
            <w:r>
              <w:rPr>
                <w:rFonts w:hint="eastAsia" w:ascii="仿宋" w:hAnsi="仿宋" w:eastAsia="仿宋" w:cs="仿宋"/>
                <w:color w:val="auto"/>
                <w:szCs w:val="24"/>
              </w:rPr>
              <w:t>3.本项目的特定资格要求：</w:t>
            </w:r>
            <w:r>
              <w:rPr>
                <w:rFonts w:hint="eastAsia" w:ascii="仿宋" w:hAnsi="仿宋" w:eastAsia="仿宋" w:cs="仿宋"/>
                <w:color w:val="auto"/>
                <w:kern w:val="0"/>
                <w:sz w:val="24"/>
                <w:szCs w:val="24"/>
              </w:rPr>
              <w:t>供应商应具备独立法人资格的市政公用工程施工总承包叁级(含叁级) 以上资质同时具备有效的安全生产许可</w:t>
            </w:r>
            <w:bookmarkStart w:id="662" w:name="_GoBack"/>
            <w:bookmarkEnd w:id="662"/>
            <w:r>
              <w:rPr>
                <w:rFonts w:hint="eastAsia" w:ascii="仿宋" w:hAnsi="仿宋" w:eastAsia="仿宋" w:cs="仿宋"/>
                <w:color w:val="auto"/>
                <w:kern w:val="0"/>
                <w:sz w:val="24"/>
                <w:szCs w:val="24"/>
              </w:rPr>
              <w:t>证。项目负责人需具备市政公用工程专业二级及以上注册建造师执业资格，及有效的B类安全生产考核合格证；且无在建项目。</w:t>
            </w:r>
          </w:p>
        </w:tc>
      </w:tr>
      <w:tr w14:paraId="2442C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14:paraId="300C977B">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1.3.5</w:t>
            </w:r>
          </w:p>
        </w:tc>
        <w:tc>
          <w:tcPr>
            <w:tcW w:w="7875" w:type="dxa"/>
            <w:vAlign w:val="center"/>
          </w:tcPr>
          <w:p w14:paraId="37233056">
            <w:pPr>
              <w:spacing w:line="240" w:lineRule="atLeast"/>
              <w:rPr>
                <w:rFonts w:ascii="宋体" w:hAnsi="宋体" w:cs="宋体"/>
                <w:color w:val="auto"/>
                <w:sz w:val="24"/>
                <w:szCs w:val="24"/>
              </w:rPr>
            </w:pPr>
            <w:r>
              <w:rPr>
                <w:rFonts w:hint="eastAsia" w:ascii="宋体" w:hAnsi="宋体" w:cs="宋体"/>
                <w:color w:val="auto"/>
                <w:sz w:val="24"/>
                <w:szCs w:val="24"/>
              </w:rPr>
              <w:t>是否允许采购进口产品：</w:t>
            </w:r>
            <w:r>
              <w:rPr>
                <w:rFonts w:hint="eastAsia" w:ascii="宋体" w:hAnsi="宋体" w:cs="宋体"/>
                <w:color w:val="auto"/>
                <w:sz w:val="24"/>
                <w:szCs w:val="24"/>
                <w:u w:val="single"/>
              </w:rPr>
              <w:t xml:space="preserve"> 否 </w:t>
            </w:r>
            <w:r>
              <w:rPr>
                <w:rFonts w:hint="eastAsia" w:ascii="宋体" w:hAnsi="宋体" w:cs="宋体"/>
                <w:i/>
                <w:color w:val="auto"/>
                <w:sz w:val="24"/>
                <w:szCs w:val="24"/>
              </w:rPr>
              <w:t xml:space="preserve">（是、否）  </w:t>
            </w:r>
          </w:p>
        </w:tc>
      </w:tr>
      <w:tr w14:paraId="4DDBC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14:paraId="289149BD">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1.3.</w:t>
            </w:r>
            <w:r>
              <w:rPr>
                <w:rFonts w:hint="eastAsia" w:ascii="宋体" w:hAnsi="宋体" w:cs="宋体"/>
                <w:color w:val="auto"/>
                <w:sz w:val="24"/>
                <w:szCs w:val="24"/>
                <w:lang w:val="en-US"/>
              </w:rPr>
              <w:t>6</w:t>
            </w:r>
          </w:p>
        </w:tc>
        <w:tc>
          <w:tcPr>
            <w:tcW w:w="7875" w:type="dxa"/>
            <w:vAlign w:val="center"/>
          </w:tcPr>
          <w:p w14:paraId="507760C2">
            <w:pPr>
              <w:spacing w:line="240" w:lineRule="atLeast"/>
              <w:rPr>
                <w:rFonts w:ascii="宋体" w:hAnsi="宋体" w:cs="宋体"/>
                <w:color w:val="auto"/>
                <w:sz w:val="24"/>
                <w:szCs w:val="24"/>
              </w:rPr>
            </w:pPr>
            <w:r>
              <w:rPr>
                <w:rFonts w:hint="eastAsia" w:ascii="宋体" w:hAnsi="宋体" w:cs="宋体"/>
                <w:color w:val="auto"/>
                <w:sz w:val="24"/>
                <w:szCs w:val="24"/>
              </w:rPr>
              <w:t>是否为专门面向中小企业采购：</w:t>
            </w:r>
            <w:r>
              <w:rPr>
                <w:rFonts w:hint="eastAsia" w:ascii="宋体" w:hAnsi="宋体" w:cs="宋体"/>
                <w:color w:val="auto"/>
                <w:sz w:val="24"/>
                <w:szCs w:val="24"/>
                <w:u w:val="single"/>
              </w:rPr>
              <w:t xml:space="preserve"> 是 </w:t>
            </w:r>
            <w:r>
              <w:rPr>
                <w:rFonts w:hint="eastAsia" w:ascii="宋体" w:hAnsi="宋体" w:cs="宋体"/>
                <w:i/>
                <w:color w:val="auto"/>
                <w:sz w:val="24"/>
                <w:szCs w:val="24"/>
              </w:rPr>
              <w:t>（是、否）</w:t>
            </w:r>
          </w:p>
        </w:tc>
      </w:tr>
      <w:tr w14:paraId="43905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14:paraId="589086BA">
            <w:pPr>
              <w:spacing w:line="240" w:lineRule="atLeast"/>
              <w:jc w:val="center"/>
              <w:rPr>
                <w:rFonts w:ascii="宋体" w:hAnsi="宋体" w:cs="宋体"/>
                <w:color w:val="auto"/>
                <w:sz w:val="24"/>
                <w:szCs w:val="24"/>
              </w:rPr>
            </w:pPr>
            <w:r>
              <w:rPr>
                <w:rFonts w:hint="eastAsia" w:ascii="宋体" w:hAnsi="宋体" w:cs="宋体"/>
                <w:color w:val="auto"/>
                <w:sz w:val="24"/>
                <w:szCs w:val="24"/>
              </w:rPr>
              <w:t>1.4</w:t>
            </w:r>
          </w:p>
        </w:tc>
        <w:tc>
          <w:tcPr>
            <w:tcW w:w="7875" w:type="dxa"/>
            <w:vAlign w:val="center"/>
          </w:tcPr>
          <w:p w14:paraId="639383ED">
            <w:pPr>
              <w:spacing w:line="240" w:lineRule="atLeast"/>
              <w:rPr>
                <w:rFonts w:ascii="宋体" w:hAnsi="宋体" w:cs="宋体"/>
                <w:color w:val="auto"/>
                <w:sz w:val="24"/>
                <w:szCs w:val="24"/>
              </w:rPr>
            </w:pPr>
            <w:r>
              <w:rPr>
                <w:rFonts w:hint="eastAsia" w:ascii="宋体" w:hAnsi="宋体" w:cs="宋体"/>
                <w:color w:val="auto"/>
                <w:sz w:val="24"/>
                <w:szCs w:val="24"/>
              </w:rPr>
              <w:t>是否允许联合体投标：</w:t>
            </w:r>
            <w:r>
              <w:rPr>
                <w:rFonts w:hint="eastAsia" w:ascii="宋体" w:hAnsi="宋体" w:cs="宋体"/>
                <w:color w:val="auto"/>
                <w:sz w:val="24"/>
                <w:szCs w:val="24"/>
                <w:u w:val="single"/>
                <w:lang w:val="en-US" w:eastAsia="zh-CN"/>
              </w:rPr>
              <w:t>否</w:t>
            </w:r>
            <w:r>
              <w:rPr>
                <w:rFonts w:hint="eastAsia" w:ascii="宋体" w:hAnsi="宋体" w:cs="宋体"/>
                <w:color w:val="auto"/>
                <w:sz w:val="24"/>
                <w:szCs w:val="24"/>
              </w:rPr>
              <w:t>（是、否）</w:t>
            </w:r>
          </w:p>
        </w:tc>
      </w:tr>
      <w:tr w14:paraId="1378E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14:paraId="4038D9DB">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2.2</w:t>
            </w:r>
          </w:p>
        </w:tc>
        <w:tc>
          <w:tcPr>
            <w:tcW w:w="7875" w:type="dxa"/>
            <w:vAlign w:val="center"/>
          </w:tcPr>
          <w:p w14:paraId="4E26735B">
            <w:pPr>
              <w:spacing w:line="320" w:lineRule="exact"/>
              <w:rPr>
                <w:rFonts w:ascii="宋体" w:hAnsi="宋体" w:cs="宋体"/>
                <w:b/>
                <w:bCs/>
                <w:color w:val="auto"/>
                <w:sz w:val="24"/>
                <w:szCs w:val="24"/>
                <w:lang w:val="en-US"/>
              </w:rPr>
            </w:pPr>
            <w:r>
              <w:rPr>
                <w:rFonts w:hint="eastAsia" w:ascii="宋体" w:hAnsi="宋体" w:cs="宋体"/>
                <w:b/>
                <w:bCs/>
                <w:color w:val="auto"/>
                <w:sz w:val="24"/>
                <w:szCs w:val="24"/>
                <w:lang w:val="en-US"/>
              </w:rPr>
              <w:t>投资额：</w:t>
            </w:r>
            <w:r>
              <w:rPr>
                <w:rFonts w:hint="eastAsia" w:ascii="宋体" w:hAnsi="宋体" w:cs="宋体"/>
                <w:b/>
                <w:bCs/>
                <w:color w:val="auto"/>
                <w:sz w:val="24"/>
                <w:szCs w:val="24"/>
                <w:lang w:val="en-US" w:eastAsia="zh-CN"/>
              </w:rPr>
              <w:t>1800000.00</w:t>
            </w:r>
            <w:r>
              <w:rPr>
                <w:rFonts w:hint="eastAsia" w:ascii="宋体" w:hAnsi="宋体" w:cs="宋体"/>
                <w:b/>
                <w:bCs/>
                <w:color w:val="auto"/>
                <w:sz w:val="24"/>
                <w:szCs w:val="24"/>
                <w:lang w:val="en-US"/>
              </w:rPr>
              <w:t>元</w:t>
            </w:r>
          </w:p>
          <w:p w14:paraId="7B875CF1">
            <w:pPr>
              <w:spacing w:line="320" w:lineRule="exact"/>
              <w:rPr>
                <w:rFonts w:ascii="宋体" w:hAnsi="宋体" w:cs="宋体"/>
                <w:b/>
                <w:bCs/>
                <w:color w:val="auto"/>
                <w:sz w:val="24"/>
                <w:szCs w:val="24"/>
                <w:lang w:val="en-US"/>
              </w:rPr>
            </w:pPr>
            <w:r>
              <w:rPr>
                <w:rFonts w:hint="eastAsia" w:ascii="宋体" w:hAnsi="宋体" w:cs="宋体"/>
                <w:b/>
                <w:bCs/>
                <w:color w:val="auto"/>
                <w:sz w:val="24"/>
                <w:szCs w:val="24"/>
                <w:lang w:val="en-US"/>
              </w:rPr>
              <w:t>最高限价</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1624523.68</w:t>
            </w:r>
            <w:r>
              <w:rPr>
                <w:rFonts w:hint="eastAsia" w:ascii="宋体" w:hAnsi="宋体" w:cs="宋体"/>
                <w:b/>
                <w:bCs/>
                <w:color w:val="auto"/>
                <w:sz w:val="24"/>
                <w:szCs w:val="24"/>
                <w:lang w:val="en-US"/>
              </w:rPr>
              <w:t>元</w:t>
            </w:r>
          </w:p>
          <w:p w14:paraId="1AB52648">
            <w:pPr>
              <w:spacing w:line="320" w:lineRule="exact"/>
              <w:rPr>
                <w:rFonts w:ascii="宋体" w:hAnsi="宋体" w:cs="宋体"/>
                <w:color w:val="auto"/>
                <w:sz w:val="24"/>
                <w:szCs w:val="24"/>
              </w:rPr>
            </w:pPr>
            <w:r>
              <w:rPr>
                <w:rFonts w:hint="eastAsia"/>
                <w:b/>
                <w:bCs/>
                <w:color w:val="auto"/>
                <w:sz w:val="24"/>
                <w:szCs w:val="24"/>
              </w:rPr>
              <w:t>投标报价不得超过最高限价</w:t>
            </w:r>
            <w:r>
              <w:rPr>
                <w:rFonts w:hint="eastAsia"/>
                <w:b/>
                <w:bCs/>
                <w:color w:val="auto"/>
                <w:sz w:val="24"/>
                <w:szCs w:val="24"/>
                <w:lang w:val="en-US"/>
              </w:rPr>
              <w:t>否则按废标处理</w:t>
            </w:r>
            <w:r>
              <w:rPr>
                <w:rFonts w:hint="eastAsia" w:ascii="宋体" w:hAnsi="宋体" w:cs="宋体"/>
                <w:b/>
                <w:bCs/>
                <w:color w:val="auto"/>
                <w:sz w:val="24"/>
                <w:szCs w:val="24"/>
              </w:rPr>
              <w:t>；</w:t>
            </w:r>
          </w:p>
        </w:tc>
      </w:tr>
      <w:tr w14:paraId="5551D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559" w:type="dxa"/>
            <w:vAlign w:val="center"/>
          </w:tcPr>
          <w:p w14:paraId="3E76EA06">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6.1</w:t>
            </w:r>
          </w:p>
        </w:tc>
        <w:tc>
          <w:tcPr>
            <w:tcW w:w="7875" w:type="dxa"/>
            <w:vAlign w:val="center"/>
          </w:tcPr>
          <w:p w14:paraId="394F570D">
            <w:pPr>
              <w:spacing w:line="240" w:lineRule="atLeast"/>
              <w:rPr>
                <w:rFonts w:ascii="宋体" w:hAnsi="宋体" w:cs="宋体"/>
                <w:color w:val="auto"/>
                <w:sz w:val="24"/>
                <w:szCs w:val="24"/>
              </w:rPr>
            </w:pPr>
            <w:r>
              <w:rPr>
                <w:rFonts w:hint="eastAsia" w:ascii="宋体" w:hAnsi="宋体" w:cs="宋体"/>
                <w:color w:val="auto"/>
                <w:sz w:val="24"/>
                <w:szCs w:val="24"/>
              </w:rPr>
              <w:t>答疑与澄清：</w:t>
            </w:r>
          </w:p>
          <w:p w14:paraId="736E8977">
            <w:pPr>
              <w:spacing w:line="240" w:lineRule="atLeast"/>
              <w:rPr>
                <w:rFonts w:ascii="宋体" w:hAnsi="宋体" w:cs="宋体"/>
                <w:color w:val="auto"/>
                <w:sz w:val="24"/>
                <w:szCs w:val="24"/>
              </w:rPr>
            </w:pPr>
            <w:r>
              <w:rPr>
                <w:rFonts w:hint="eastAsia" w:ascii="宋体" w:hAnsi="宋体" w:cs="宋体"/>
                <w:color w:val="auto"/>
                <w:sz w:val="24"/>
                <w:szCs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14:paraId="3A7451D8">
            <w:pPr>
              <w:spacing w:line="240" w:lineRule="atLeast"/>
              <w:jc w:val="both"/>
              <w:rPr>
                <w:rFonts w:ascii="宋体" w:hAnsi="宋体" w:cs="宋体"/>
                <w:color w:val="auto"/>
                <w:sz w:val="24"/>
                <w:szCs w:val="24"/>
              </w:rPr>
            </w:pPr>
            <w:r>
              <w:rPr>
                <w:rFonts w:hint="eastAsia" w:ascii="宋体" w:hAnsi="宋体" w:cs="宋体"/>
                <w:color w:val="auto"/>
                <w:sz w:val="24"/>
                <w:szCs w:val="24"/>
              </w:rPr>
              <w:t>（2）采购人、采购代理机构应当在提交首次响应文件截止时间至少5日前，以书面形式通知所有获取磋商文件的供应商；不足5日的，采购人、采购代理机构应当顺延提交首次响应文件截止时间。</w:t>
            </w:r>
          </w:p>
        </w:tc>
      </w:tr>
      <w:tr w14:paraId="4016E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7" w:hRule="atLeast"/>
        </w:trPr>
        <w:tc>
          <w:tcPr>
            <w:tcW w:w="1559" w:type="dxa"/>
            <w:vAlign w:val="center"/>
          </w:tcPr>
          <w:p w14:paraId="739651D3">
            <w:pPr>
              <w:spacing w:line="240" w:lineRule="atLeast"/>
              <w:jc w:val="center"/>
              <w:rPr>
                <w:rFonts w:ascii="宋体" w:hAnsi="宋体" w:cs="宋体"/>
                <w:color w:val="auto"/>
                <w:sz w:val="24"/>
                <w:szCs w:val="24"/>
              </w:rPr>
            </w:pPr>
            <w:r>
              <w:rPr>
                <w:rFonts w:hint="eastAsia" w:ascii="宋体" w:hAnsi="宋体" w:cs="宋体"/>
                <w:color w:val="auto"/>
                <w:sz w:val="24"/>
                <w:szCs w:val="24"/>
              </w:rPr>
              <w:t>12.1</w:t>
            </w:r>
          </w:p>
        </w:tc>
        <w:tc>
          <w:tcPr>
            <w:tcW w:w="7875" w:type="dxa"/>
            <w:vAlign w:val="center"/>
          </w:tcPr>
          <w:p w14:paraId="3362A8CF">
            <w:pPr>
              <w:pStyle w:val="7"/>
              <w:ind w:firstLine="0" w:firstLineChars="0"/>
              <w:rPr>
                <w:rFonts w:hint="eastAsia" w:ascii="宋体" w:hAnsi="宋体" w:cs="宋体"/>
                <w:color w:val="auto"/>
                <w:sz w:val="24"/>
                <w:szCs w:val="24"/>
              </w:rPr>
            </w:pPr>
            <w:r>
              <w:rPr>
                <w:rFonts w:hint="eastAsia" w:ascii="宋体" w:hAnsi="宋体" w:cs="宋体"/>
                <w:color w:val="auto"/>
                <w:sz w:val="24"/>
                <w:szCs w:val="24"/>
              </w:rPr>
              <w:t>1）投标保证金形式：以银行转账、电汇、银行汇票等非现金形式提交。电子保函或银行保函或者保险公司、担保公司保函应当从其基本账户开具。以供应商基本账户以外的个人、供应商的办事处、分公司、子公司名义或者其他账户转出的投标保证金无效。为保障资金的安全性和简化程序，建议供应商采用银行转账或者保函形式递交投标保证金为宜。</w:t>
            </w:r>
          </w:p>
          <w:p w14:paraId="6AE97137">
            <w:pPr>
              <w:pStyle w:val="7"/>
              <w:ind w:firstLine="0" w:firstLineChars="0"/>
              <w:rPr>
                <w:rFonts w:hint="eastAsia" w:ascii="宋体" w:hAnsi="宋体" w:cs="宋体"/>
                <w:color w:val="auto"/>
                <w:sz w:val="24"/>
                <w:szCs w:val="24"/>
              </w:rPr>
            </w:pPr>
            <w:r>
              <w:rPr>
                <w:rFonts w:hint="eastAsia" w:ascii="宋体" w:hAnsi="宋体" w:cs="宋体"/>
                <w:color w:val="auto"/>
                <w:sz w:val="24"/>
                <w:szCs w:val="24"/>
              </w:rPr>
              <w:t>2）投标保证金：</w:t>
            </w:r>
            <w:r>
              <w:rPr>
                <w:rFonts w:hint="eastAsia" w:ascii="宋体" w:hAnsi="宋体" w:cs="宋体"/>
                <w:color w:val="auto"/>
                <w:sz w:val="24"/>
                <w:szCs w:val="24"/>
                <w:lang w:val="en-US" w:eastAsia="zh-CN"/>
              </w:rPr>
              <w:t>叁万元整</w:t>
            </w:r>
            <w:r>
              <w:rPr>
                <w:rFonts w:hint="eastAsia" w:ascii="宋体" w:hAnsi="宋体" w:cs="宋体"/>
                <w:color w:val="auto"/>
                <w:sz w:val="24"/>
                <w:szCs w:val="24"/>
              </w:rPr>
              <w:t>（</w:t>
            </w:r>
            <w:r>
              <w:rPr>
                <w:rFonts w:hint="eastAsia" w:ascii="宋体" w:hAnsi="宋体" w:cs="宋体"/>
                <w:color w:val="auto"/>
                <w:sz w:val="24"/>
                <w:szCs w:val="24"/>
                <w:lang w:val="en-US" w:eastAsia="zh-CN"/>
              </w:rPr>
              <w:t>30000.00</w:t>
            </w:r>
            <w:r>
              <w:rPr>
                <w:rFonts w:hint="eastAsia" w:ascii="宋体" w:hAnsi="宋体" w:cs="宋体"/>
                <w:color w:val="auto"/>
                <w:sz w:val="24"/>
                <w:szCs w:val="24"/>
              </w:rPr>
              <w:t>元），投标保证金（由供应商基本账户一次性汇入）。投标保证金必须在提交响应文件截止时间前缴纳，供应商应充分考虑资金到账时间，在规定的时限前自行办妥投标保证金交纳手续。投标保证金采取银行转账、电汇方式递交的，以电汇凭证和网银对账单的时间为准，采取支票、银行汇票、保函方式递交的，以实际递交至投标代理机构的时间为准，超过时限交纳投标保证金视为无效响应。</w:t>
            </w:r>
          </w:p>
          <w:p w14:paraId="20A955F0">
            <w:pPr>
              <w:pStyle w:val="7"/>
              <w:ind w:firstLine="0" w:firstLineChars="0"/>
              <w:rPr>
                <w:rFonts w:hint="eastAsia" w:ascii="宋体" w:hAnsi="宋体" w:cs="宋体"/>
                <w:color w:val="auto"/>
                <w:sz w:val="24"/>
                <w:szCs w:val="24"/>
              </w:rPr>
            </w:pPr>
            <w:r>
              <w:rPr>
                <w:rFonts w:hint="eastAsia" w:ascii="宋体" w:hAnsi="宋体" w:cs="宋体"/>
                <w:color w:val="auto"/>
                <w:sz w:val="24"/>
                <w:szCs w:val="24"/>
              </w:rPr>
              <w:t>3）银行转账保证金递交账户</w:t>
            </w:r>
          </w:p>
          <w:p w14:paraId="491434F8">
            <w:pPr>
              <w:pStyle w:val="7"/>
              <w:ind w:firstLine="0" w:firstLineChars="0"/>
              <w:rPr>
                <w:rFonts w:hint="eastAsia" w:ascii="宋体" w:hAnsi="宋体" w:cs="宋体"/>
                <w:color w:val="auto"/>
                <w:sz w:val="24"/>
                <w:szCs w:val="24"/>
              </w:rPr>
            </w:pPr>
            <w:r>
              <w:rPr>
                <w:rFonts w:hint="eastAsia" w:ascii="宋体" w:hAnsi="宋体" w:cs="宋体"/>
                <w:color w:val="auto"/>
                <w:sz w:val="24"/>
                <w:szCs w:val="24"/>
              </w:rPr>
              <w:t>账户单位：新疆宇迈工程咨询有限公司，</w:t>
            </w:r>
          </w:p>
          <w:p w14:paraId="025995D8">
            <w:pPr>
              <w:pStyle w:val="7"/>
              <w:ind w:firstLine="0" w:firstLineChars="0"/>
              <w:rPr>
                <w:rFonts w:hint="eastAsia" w:ascii="宋体" w:hAnsi="宋体" w:cs="宋体"/>
                <w:color w:val="auto"/>
                <w:sz w:val="24"/>
                <w:szCs w:val="24"/>
              </w:rPr>
            </w:pPr>
            <w:r>
              <w:rPr>
                <w:rFonts w:hint="eastAsia" w:ascii="宋体" w:hAnsi="宋体" w:cs="宋体"/>
                <w:color w:val="auto"/>
                <w:sz w:val="24"/>
                <w:szCs w:val="24"/>
              </w:rPr>
              <w:t>开户行：新疆昌吉农村商业银行股份有限公司农业园区支行，</w:t>
            </w:r>
          </w:p>
          <w:p w14:paraId="5349B0BA">
            <w:pPr>
              <w:pStyle w:val="7"/>
              <w:ind w:firstLine="0" w:firstLineChars="0"/>
              <w:rPr>
                <w:rFonts w:hint="eastAsia" w:ascii="宋体" w:hAnsi="宋体" w:cs="宋体"/>
                <w:color w:val="auto"/>
                <w:sz w:val="24"/>
                <w:szCs w:val="24"/>
              </w:rPr>
            </w:pPr>
            <w:r>
              <w:rPr>
                <w:rFonts w:hint="eastAsia" w:ascii="宋体" w:hAnsi="宋体" w:cs="宋体"/>
                <w:color w:val="auto"/>
                <w:sz w:val="24"/>
                <w:szCs w:val="24"/>
              </w:rPr>
              <w:t>账号：806260012010102096085，行号：402885000602</w:t>
            </w:r>
          </w:p>
          <w:p w14:paraId="05140EAA">
            <w:pPr>
              <w:pStyle w:val="7"/>
              <w:ind w:firstLine="0" w:firstLineChars="0"/>
              <w:rPr>
                <w:color w:val="auto"/>
                <w:sz w:val="24"/>
                <w:szCs w:val="24"/>
              </w:rPr>
            </w:pPr>
            <w:r>
              <w:rPr>
                <w:rFonts w:hint="eastAsia" w:ascii="宋体" w:hAnsi="宋体" w:cs="宋体"/>
                <w:color w:val="auto"/>
                <w:sz w:val="24"/>
                <w:szCs w:val="24"/>
              </w:rPr>
              <w:t>供应商在缴纳投标保证金时，需在进账凭证上明确资金用途和响应项目名称，并注明联系人及电话，以便查对核实。</w:t>
            </w:r>
          </w:p>
        </w:tc>
      </w:tr>
      <w:tr w14:paraId="483D5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14:paraId="1D8E1FAF">
            <w:pPr>
              <w:spacing w:line="240" w:lineRule="atLeast"/>
              <w:jc w:val="center"/>
              <w:rPr>
                <w:rFonts w:ascii="宋体" w:hAnsi="宋体" w:cs="宋体"/>
                <w:color w:val="auto"/>
                <w:sz w:val="24"/>
                <w:szCs w:val="24"/>
              </w:rPr>
            </w:pPr>
            <w:r>
              <w:rPr>
                <w:rFonts w:hint="eastAsia" w:ascii="宋体" w:hAnsi="宋体" w:cs="宋体"/>
                <w:color w:val="auto"/>
                <w:sz w:val="24"/>
                <w:szCs w:val="24"/>
              </w:rPr>
              <w:t>13.1</w:t>
            </w:r>
          </w:p>
        </w:tc>
        <w:tc>
          <w:tcPr>
            <w:tcW w:w="7875" w:type="dxa"/>
            <w:vAlign w:val="center"/>
          </w:tcPr>
          <w:p w14:paraId="1496BD65">
            <w:pPr>
              <w:spacing w:line="240" w:lineRule="atLeast"/>
              <w:rPr>
                <w:rFonts w:ascii="宋体" w:hAnsi="宋体" w:cs="宋体"/>
                <w:color w:val="auto"/>
                <w:sz w:val="24"/>
                <w:szCs w:val="24"/>
                <w:u w:val="single"/>
              </w:rPr>
            </w:pPr>
            <w:r>
              <w:rPr>
                <w:rFonts w:hint="eastAsia" w:ascii="宋体" w:hAnsi="宋体" w:cs="宋体"/>
                <w:color w:val="auto"/>
                <w:sz w:val="24"/>
                <w:szCs w:val="24"/>
              </w:rPr>
              <w:t>投标有效期：</w:t>
            </w:r>
            <w:r>
              <w:rPr>
                <w:rFonts w:hint="eastAsia" w:ascii="宋体" w:hAnsi="宋体" w:cs="宋体"/>
                <w:color w:val="auto"/>
                <w:sz w:val="24"/>
                <w:szCs w:val="24"/>
                <w:u w:val="single"/>
                <w:lang w:val="en-US" w:eastAsia="zh-CN"/>
              </w:rPr>
              <w:t>9</w:t>
            </w:r>
            <w:r>
              <w:rPr>
                <w:rFonts w:hint="eastAsia" w:ascii="宋体" w:hAnsi="宋体" w:cs="宋体"/>
                <w:color w:val="auto"/>
                <w:sz w:val="24"/>
                <w:szCs w:val="24"/>
                <w:u w:val="single"/>
              </w:rPr>
              <w:t>0</w:t>
            </w:r>
            <w:r>
              <w:rPr>
                <w:rFonts w:hint="eastAsia" w:ascii="宋体" w:hAnsi="宋体" w:cs="宋体"/>
                <w:color w:val="auto"/>
                <w:sz w:val="24"/>
                <w:szCs w:val="24"/>
              </w:rPr>
              <w:t>日历日</w:t>
            </w:r>
          </w:p>
        </w:tc>
      </w:tr>
      <w:tr w14:paraId="17E75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14:paraId="4332C045">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14.1</w:t>
            </w:r>
          </w:p>
        </w:tc>
        <w:tc>
          <w:tcPr>
            <w:tcW w:w="7875" w:type="dxa"/>
            <w:vAlign w:val="center"/>
          </w:tcPr>
          <w:p w14:paraId="28789AE7">
            <w:pPr>
              <w:spacing w:line="240" w:lineRule="atLeast"/>
              <w:rPr>
                <w:rFonts w:hint="eastAsia" w:ascii="宋体" w:hAnsi="宋体" w:eastAsia="仿宋" w:cs="宋体"/>
                <w:color w:val="auto"/>
                <w:sz w:val="24"/>
                <w:szCs w:val="24"/>
                <w:lang w:val="zh-CN" w:eastAsia="zh-CN" w:bidi="zh-CN"/>
              </w:rPr>
            </w:pPr>
            <w:r>
              <w:rPr>
                <w:rFonts w:hint="eastAsia" w:ascii="宋体" w:hAnsi="宋体" w:eastAsia="仿宋" w:cs="宋体"/>
                <w:color w:val="auto"/>
                <w:sz w:val="24"/>
                <w:szCs w:val="24"/>
                <w:lang w:val="zh-CN" w:eastAsia="zh-CN" w:bidi="zh-CN"/>
              </w:rPr>
              <w:t>递交纸质投标文件的份数</w:t>
            </w:r>
          </w:p>
          <w:p w14:paraId="646936CD">
            <w:pPr>
              <w:spacing w:line="240" w:lineRule="atLeast"/>
              <w:rPr>
                <w:rFonts w:hint="eastAsia" w:ascii="宋体" w:hAnsi="宋体" w:eastAsia="仿宋" w:cs="宋体"/>
                <w:color w:val="auto"/>
                <w:sz w:val="24"/>
                <w:szCs w:val="24"/>
                <w:lang w:val="zh-CN" w:eastAsia="zh-CN" w:bidi="zh-CN"/>
              </w:rPr>
            </w:pPr>
            <w:r>
              <w:rPr>
                <w:rFonts w:hint="eastAsia" w:ascii="宋体" w:hAnsi="宋体" w:eastAsia="仿宋" w:cs="宋体"/>
                <w:color w:val="auto"/>
                <w:sz w:val="24"/>
                <w:szCs w:val="24"/>
                <w:lang w:val="zh-CN" w:eastAsia="zh-CN" w:bidi="zh-CN"/>
              </w:rPr>
              <w:t>成交人应在项目开标结束，成交结果公示后提供三份纸质版（一份正本，两份副本）投标文件给招标代理机构。</w:t>
            </w:r>
          </w:p>
          <w:p w14:paraId="24391784">
            <w:pPr>
              <w:spacing w:line="240" w:lineRule="atLeast"/>
              <w:rPr>
                <w:rFonts w:hint="eastAsia" w:ascii="宋体" w:hAnsi="宋体" w:eastAsia="仿宋" w:cs="宋体"/>
                <w:color w:val="auto"/>
                <w:sz w:val="24"/>
                <w:szCs w:val="24"/>
                <w:lang w:val="zh-CN" w:eastAsia="zh-CN" w:bidi="zh-CN"/>
              </w:rPr>
            </w:pPr>
            <w:r>
              <w:rPr>
                <w:rFonts w:hint="eastAsia" w:ascii="宋体" w:hAnsi="宋体" w:eastAsia="仿宋" w:cs="宋体"/>
                <w:color w:val="auto"/>
                <w:sz w:val="24"/>
                <w:szCs w:val="24"/>
                <w:lang w:val="zh-CN" w:eastAsia="zh-CN" w:bidi="zh-CN"/>
              </w:rPr>
              <w:t>特别提示：为了便于存档，响应文件请用A4纸张制作，宜采用死页装订，装订应牢固、不易拆散和换页。如因装订造成的文档缺失，后果由供应商自行承担。</w:t>
            </w:r>
          </w:p>
          <w:p w14:paraId="04C4FB82">
            <w:pPr>
              <w:spacing w:line="240" w:lineRule="atLeast"/>
              <w:rPr>
                <w:color w:val="auto"/>
                <w:lang w:val="en-US"/>
              </w:rPr>
            </w:pPr>
            <w:r>
              <w:rPr>
                <w:rFonts w:hint="eastAsia" w:ascii="宋体" w:hAnsi="宋体" w:eastAsia="仿宋" w:cs="宋体"/>
                <w:color w:val="auto"/>
                <w:sz w:val="24"/>
                <w:szCs w:val="24"/>
                <w:lang w:val="zh-CN" w:eastAsia="zh-CN" w:bidi="zh-CN"/>
              </w:rPr>
              <w:t>递交地址：邮寄或现场递交至</w:t>
            </w:r>
            <w:r>
              <w:rPr>
                <w:rFonts w:hint="eastAsia" w:ascii="宋体" w:hAnsi="宋体" w:cs="宋体"/>
                <w:color w:val="auto"/>
                <w:sz w:val="24"/>
                <w:szCs w:val="24"/>
                <w:lang w:val="zh-CN" w:eastAsia="zh-CN" w:bidi="zh-CN"/>
              </w:rPr>
              <w:t>昌吉市中山南路曦隆枫叶广场14楼</w:t>
            </w:r>
            <w:r>
              <w:rPr>
                <w:rFonts w:hint="eastAsia" w:ascii="宋体" w:hAnsi="宋体" w:eastAsia="仿宋" w:cs="宋体"/>
                <w:color w:val="auto"/>
                <w:sz w:val="24"/>
                <w:szCs w:val="24"/>
                <w:lang w:val="zh-CN" w:eastAsia="zh-CN" w:bidi="zh-CN"/>
              </w:rPr>
              <w:t>（不接受邮费到付）</w:t>
            </w:r>
          </w:p>
        </w:tc>
      </w:tr>
      <w:tr w14:paraId="5CFA8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14:paraId="31D0F4E0">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14.3</w:t>
            </w:r>
          </w:p>
        </w:tc>
        <w:tc>
          <w:tcPr>
            <w:tcW w:w="7875" w:type="dxa"/>
            <w:vAlign w:val="center"/>
          </w:tcPr>
          <w:p w14:paraId="066E5B57">
            <w:pPr>
              <w:spacing w:line="240" w:lineRule="atLeast"/>
              <w:rPr>
                <w:rFonts w:ascii="宋体" w:hAnsi="宋体" w:cs="宋体"/>
                <w:b/>
                <w:color w:val="auto"/>
                <w:sz w:val="24"/>
                <w:szCs w:val="24"/>
              </w:rPr>
            </w:pPr>
            <w:r>
              <w:rPr>
                <w:rFonts w:hint="eastAsia" w:ascii="宋体" w:hAnsi="宋体" w:cs="宋体"/>
                <w:b/>
                <w:color w:val="auto"/>
                <w:sz w:val="24"/>
                <w:szCs w:val="24"/>
              </w:rPr>
              <w:t>投标文件的封装：</w:t>
            </w:r>
          </w:p>
          <w:p w14:paraId="0286E5AD">
            <w:pPr>
              <w:spacing w:line="240" w:lineRule="atLeast"/>
              <w:rPr>
                <w:rFonts w:ascii="宋体" w:hAnsi="宋体" w:cs="宋体"/>
                <w:b/>
                <w:color w:val="auto"/>
                <w:sz w:val="24"/>
                <w:szCs w:val="24"/>
              </w:rPr>
            </w:pPr>
            <w:r>
              <w:rPr>
                <w:rFonts w:hint="eastAsia" w:ascii="宋体" w:hAnsi="宋体" w:cs="宋体"/>
                <w:b/>
                <w:color w:val="auto"/>
                <w:sz w:val="24"/>
                <w:szCs w:val="24"/>
              </w:rPr>
              <w:t>封面及封套上写明：</w:t>
            </w:r>
          </w:p>
          <w:p w14:paraId="6824913F">
            <w:pPr>
              <w:rPr>
                <w:rFonts w:ascii="宋体" w:hAnsi="宋体" w:cs="宋体"/>
                <w:b/>
                <w:color w:val="auto"/>
                <w:sz w:val="24"/>
                <w:szCs w:val="24"/>
              </w:rPr>
            </w:pPr>
            <w:r>
              <w:rPr>
                <w:rFonts w:hint="eastAsia" w:ascii="宋体" w:hAnsi="宋体" w:cs="宋体"/>
                <w:b/>
                <w:color w:val="auto"/>
                <w:sz w:val="24"/>
                <w:szCs w:val="24"/>
              </w:rPr>
              <w:t>项目名称：</w:t>
            </w:r>
            <w:r>
              <w:rPr>
                <w:rFonts w:hint="eastAsia" w:ascii="宋体" w:hAnsi="宋体" w:cs="宋体"/>
                <w:b/>
                <w:color w:val="auto"/>
                <w:sz w:val="24"/>
                <w:szCs w:val="24"/>
                <w:u w:val="single"/>
              </w:rPr>
              <w:t xml:space="preserve">        本采购项目全称                    </w:t>
            </w:r>
          </w:p>
          <w:p w14:paraId="54720E6F">
            <w:pPr>
              <w:rPr>
                <w:rFonts w:ascii="宋体" w:hAnsi="宋体" w:cs="宋体"/>
                <w:b/>
                <w:color w:val="auto"/>
                <w:sz w:val="24"/>
                <w:szCs w:val="24"/>
                <w:u w:val="single"/>
              </w:rPr>
            </w:pPr>
            <w:r>
              <w:rPr>
                <w:rFonts w:hint="eastAsia" w:ascii="宋体" w:hAnsi="宋体" w:cs="宋体"/>
                <w:b/>
                <w:color w:val="auto"/>
                <w:sz w:val="24"/>
                <w:szCs w:val="24"/>
              </w:rPr>
              <w:t>项目编号：</w:t>
            </w:r>
            <w:r>
              <w:rPr>
                <w:rFonts w:hint="eastAsia" w:ascii="宋体" w:hAnsi="宋体" w:cs="宋体"/>
                <w:b/>
                <w:color w:val="auto"/>
                <w:sz w:val="24"/>
                <w:szCs w:val="24"/>
                <w:u w:val="single"/>
              </w:rPr>
              <w:t xml:space="preserve">        本采购项目编号                    </w:t>
            </w:r>
          </w:p>
          <w:p w14:paraId="1CDBBFDC">
            <w:pPr>
              <w:pStyle w:val="7"/>
              <w:ind w:firstLine="0" w:firstLineChars="0"/>
              <w:rPr>
                <w:color w:val="auto"/>
                <w:lang w:val="en-US"/>
              </w:rPr>
            </w:pPr>
            <w:r>
              <w:rPr>
                <w:rFonts w:hint="eastAsia" w:ascii="宋体" w:hAnsi="宋体" w:cs="宋体"/>
                <w:b/>
                <w:color w:val="auto"/>
                <w:sz w:val="24"/>
                <w:szCs w:val="24"/>
                <w:lang w:val="en-US"/>
              </w:rPr>
              <w:t>包号：</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rPr>
              <w:t xml:space="preserve"> </w:t>
            </w:r>
            <w:r>
              <w:rPr>
                <w:rFonts w:hint="eastAsia" w:ascii="宋体" w:hAnsi="宋体" w:cs="宋体"/>
                <w:b/>
                <w:color w:val="auto"/>
                <w:sz w:val="24"/>
                <w:szCs w:val="24"/>
                <w:u w:val="single"/>
                <w:lang w:val="en-US" w:eastAsia="zh-CN"/>
              </w:rPr>
              <w:t>/</w:t>
            </w:r>
            <w:r>
              <w:rPr>
                <w:rFonts w:hint="eastAsia" w:ascii="宋体" w:hAnsi="宋体" w:cs="宋体"/>
                <w:b/>
                <w:color w:val="auto"/>
                <w:sz w:val="24"/>
                <w:szCs w:val="24"/>
                <w:u w:val="single"/>
                <w:lang w:val="en-US"/>
              </w:rPr>
              <w:t xml:space="preserve">                 </w:t>
            </w:r>
            <w:r>
              <w:rPr>
                <w:rFonts w:hint="eastAsia" w:ascii="宋体" w:hAnsi="宋体" w:cs="宋体"/>
                <w:b/>
                <w:color w:val="auto"/>
                <w:sz w:val="24"/>
                <w:szCs w:val="24"/>
                <w:u w:val="single"/>
              </w:rPr>
              <w:t xml:space="preserve">                    </w:t>
            </w:r>
          </w:p>
          <w:p w14:paraId="6DDC565D">
            <w:pPr>
              <w:adjustRightInd w:val="0"/>
              <w:snapToGrid w:val="0"/>
              <w:rPr>
                <w:rFonts w:ascii="宋体" w:hAnsi="宋体" w:cs="宋体"/>
                <w:b/>
                <w:color w:val="auto"/>
                <w:sz w:val="24"/>
                <w:szCs w:val="24"/>
                <w:u w:val="single"/>
              </w:rPr>
            </w:pPr>
            <w:r>
              <w:rPr>
                <w:rFonts w:hint="eastAsia" w:ascii="宋体" w:hAnsi="宋体" w:cs="宋体"/>
                <w:b/>
                <w:color w:val="auto"/>
                <w:sz w:val="24"/>
                <w:szCs w:val="24"/>
              </w:rPr>
              <w:t>投标人名称：</w:t>
            </w:r>
            <w:r>
              <w:rPr>
                <w:rFonts w:hint="eastAsia" w:ascii="宋体" w:hAnsi="宋体" w:cs="宋体"/>
                <w:b/>
                <w:color w:val="auto"/>
                <w:sz w:val="24"/>
                <w:szCs w:val="24"/>
                <w:u w:val="single"/>
              </w:rPr>
              <w:t xml:space="preserve">      供应商全称（加盖公章）           </w:t>
            </w:r>
          </w:p>
          <w:p w14:paraId="0C5EF70A">
            <w:pPr>
              <w:spacing w:line="240" w:lineRule="atLeast"/>
              <w:rPr>
                <w:rFonts w:ascii="宋体" w:hAnsi="宋体" w:cs="宋体"/>
                <w:b/>
                <w:color w:val="auto"/>
                <w:sz w:val="24"/>
                <w:szCs w:val="24"/>
              </w:rPr>
            </w:pPr>
            <w:r>
              <w:rPr>
                <w:rFonts w:hint="eastAsia" w:ascii="宋体" w:hAnsi="宋体" w:cs="宋体"/>
                <w:b/>
                <w:color w:val="auto"/>
                <w:sz w:val="24"/>
                <w:szCs w:val="24"/>
              </w:rPr>
              <w:t>法定代表人</w:t>
            </w:r>
            <w:r>
              <w:rPr>
                <w:rFonts w:hint="eastAsia" w:ascii="宋体" w:hAnsi="宋体" w:cs="宋体"/>
                <w:b/>
                <w:color w:val="auto"/>
                <w:sz w:val="24"/>
                <w:szCs w:val="24"/>
                <w:lang w:val="en-US"/>
              </w:rPr>
              <w:t>签</w:t>
            </w:r>
            <w:r>
              <w:rPr>
                <w:rFonts w:hint="eastAsia" w:ascii="宋体" w:hAnsi="宋体" w:cs="宋体"/>
                <w:b/>
                <w:color w:val="auto"/>
                <w:sz w:val="24"/>
                <w:szCs w:val="24"/>
              </w:rPr>
              <w:t>章或代理人签字：</w:t>
            </w:r>
          </w:p>
          <w:p w14:paraId="27114CE5">
            <w:pPr>
              <w:spacing w:line="240" w:lineRule="atLeast"/>
              <w:rPr>
                <w:rFonts w:ascii="宋体" w:hAnsi="宋体" w:cs="宋体"/>
                <w:color w:val="auto"/>
                <w:sz w:val="24"/>
                <w:szCs w:val="24"/>
              </w:rPr>
            </w:pPr>
            <w:r>
              <w:rPr>
                <w:rFonts w:hint="eastAsia" w:ascii="宋体" w:hAnsi="宋体" w:cs="宋体"/>
                <w:b/>
                <w:color w:val="auto"/>
                <w:sz w:val="24"/>
                <w:szCs w:val="24"/>
              </w:rPr>
              <w:t>日期：</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rPr>
              <w:t xml:space="preserve">                    </w:t>
            </w:r>
          </w:p>
        </w:tc>
      </w:tr>
      <w:tr w14:paraId="57C48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14:paraId="52053CB5">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16.1</w:t>
            </w:r>
          </w:p>
        </w:tc>
        <w:tc>
          <w:tcPr>
            <w:tcW w:w="7875" w:type="dxa"/>
            <w:vAlign w:val="center"/>
          </w:tcPr>
          <w:p w14:paraId="701C1F15">
            <w:pPr>
              <w:spacing w:line="240" w:lineRule="atLeast"/>
              <w:rPr>
                <w:rFonts w:ascii="宋体" w:hAnsi="宋体" w:eastAsia="宋体" w:cs="宋体"/>
                <w:b/>
                <w:bCs/>
                <w:color w:val="auto"/>
              </w:rPr>
            </w:pPr>
            <w:r>
              <w:rPr>
                <w:rFonts w:hint="eastAsia" w:ascii="宋体" w:hAnsi="宋体" w:eastAsia="宋体" w:cs="宋体"/>
                <w:b/>
                <w:bCs/>
                <w:color w:val="auto"/>
              </w:rPr>
              <w:t>投标截止时间：</w:t>
            </w:r>
            <w:r>
              <w:rPr>
                <w:rFonts w:hint="eastAsia" w:ascii="宋体" w:hAnsi="宋体" w:eastAsia="宋体" w:cs="宋体"/>
                <w:b/>
                <w:bCs/>
                <w:color w:val="auto"/>
                <w:lang w:eastAsia="zh-CN"/>
              </w:rPr>
              <w:t>2026年6月4日10：30</w:t>
            </w:r>
            <w:r>
              <w:rPr>
                <w:rFonts w:hint="eastAsia" w:ascii="宋体" w:hAnsi="宋体" w:eastAsia="宋体" w:cs="宋体"/>
                <w:b/>
                <w:bCs/>
                <w:color w:val="auto"/>
                <w:lang w:val="en-US"/>
              </w:rPr>
              <w:t>（北京时间）前</w:t>
            </w:r>
          </w:p>
          <w:p w14:paraId="46D569BB">
            <w:pPr>
              <w:spacing w:line="240" w:lineRule="atLeast"/>
              <w:rPr>
                <w:rFonts w:ascii="宋体" w:hAnsi="宋体" w:eastAsia="宋体" w:cs="宋体"/>
                <w:color w:val="auto"/>
                <w:sz w:val="24"/>
                <w:szCs w:val="24"/>
              </w:rPr>
            </w:pPr>
            <w:r>
              <w:rPr>
                <w:rFonts w:hint="eastAsia" w:ascii="宋体" w:hAnsi="宋体" w:eastAsia="宋体" w:cs="宋体"/>
                <w:b/>
                <w:bCs/>
                <w:color w:val="auto"/>
              </w:rPr>
              <w:t>投标文件递交地点：</w:t>
            </w:r>
            <w:r>
              <w:rPr>
                <w:rFonts w:hint="eastAsia" w:ascii="宋体" w:hAnsi="宋体" w:eastAsia="宋体" w:cs="宋体"/>
                <w:b/>
                <w:bCs/>
                <w:color w:val="auto"/>
                <w:lang w:val="en-US" w:eastAsia="zh-CN"/>
              </w:rPr>
              <w:t>登陆政采云平台https://www.zcygov.cn/</w:t>
            </w:r>
          </w:p>
        </w:tc>
      </w:tr>
      <w:tr w14:paraId="47CE0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14:paraId="262B8B27">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18.1</w:t>
            </w:r>
          </w:p>
        </w:tc>
        <w:tc>
          <w:tcPr>
            <w:tcW w:w="7875" w:type="dxa"/>
            <w:vAlign w:val="center"/>
          </w:tcPr>
          <w:p w14:paraId="33F26DB3">
            <w:pPr>
              <w:spacing w:line="240" w:lineRule="atLeast"/>
              <w:rPr>
                <w:rFonts w:ascii="宋体" w:hAnsi="宋体" w:cs="宋体"/>
                <w:color w:val="auto"/>
                <w:sz w:val="24"/>
                <w:szCs w:val="24"/>
                <w:u w:val="single"/>
              </w:rPr>
            </w:pPr>
            <w:r>
              <w:rPr>
                <w:rFonts w:hint="eastAsia" w:ascii="宋体" w:hAnsi="宋体" w:cs="宋体"/>
                <w:color w:val="auto"/>
                <w:sz w:val="24"/>
                <w:szCs w:val="24"/>
              </w:rPr>
              <w:t>开标时间：</w:t>
            </w:r>
            <w:r>
              <w:rPr>
                <w:rFonts w:hint="eastAsia" w:ascii="宋体" w:hAnsi="宋体" w:cs="宋体"/>
                <w:color w:val="auto"/>
                <w:sz w:val="24"/>
                <w:szCs w:val="24"/>
                <w:u w:val="single"/>
              </w:rPr>
              <w:t>同投标截止时间</w:t>
            </w:r>
          </w:p>
          <w:p w14:paraId="2CC63AC9">
            <w:pPr>
              <w:spacing w:line="240" w:lineRule="atLeast"/>
              <w:rPr>
                <w:rFonts w:ascii="宋体" w:hAnsi="宋体" w:cs="宋体"/>
                <w:color w:val="auto"/>
                <w:sz w:val="24"/>
                <w:szCs w:val="24"/>
              </w:rPr>
            </w:pPr>
            <w:r>
              <w:rPr>
                <w:rFonts w:hint="eastAsia" w:ascii="宋体" w:hAnsi="宋体" w:cs="宋体"/>
                <w:color w:val="auto"/>
                <w:sz w:val="24"/>
                <w:szCs w:val="24"/>
              </w:rPr>
              <w:t>开标地点：</w:t>
            </w:r>
            <w:r>
              <w:rPr>
                <w:rFonts w:hint="eastAsia" w:ascii="宋体" w:hAnsi="宋体" w:cs="宋体"/>
                <w:color w:val="auto"/>
                <w:sz w:val="24"/>
                <w:szCs w:val="24"/>
                <w:u w:val="single"/>
              </w:rPr>
              <w:t>同投标文件递交地点</w:t>
            </w:r>
          </w:p>
        </w:tc>
      </w:tr>
      <w:tr w14:paraId="0568A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14:paraId="348EEA1B">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19.1</w:t>
            </w:r>
          </w:p>
        </w:tc>
        <w:tc>
          <w:tcPr>
            <w:tcW w:w="7875" w:type="dxa"/>
            <w:vAlign w:val="center"/>
          </w:tcPr>
          <w:p w14:paraId="7E7236E3">
            <w:pPr>
              <w:spacing w:line="240" w:lineRule="atLeast"/>
              <w:rPr>
                <w:rFonts w:hint="default" w:ascii="宋体" w:hAnsi="宋体" w:eastAsia="仿宋" w:cs="宋体"/>
                <w:color w:val="auto"/>
                <w:spacing w:val="-2"/>
                <w:sz w:val="24"/>
                <w:szCs w:val="24"/>
                <w:lang w:val="en-US" w:eastAsia="zh-CN"/>
              </w:rPr>
            </w:pPr>
            <w:r>
              <w:rPr>
                <w:rFonts w:hint="eastAsia" w:ascii="宋体" w:hAnsi="宋体" w:cs="宋体"/>
                <w:color w:val="auto"/>
                <w:sz w:val="24"/>
                <w:szCs w:val="24"/>
              </w:rPr>
              <w:t>评标小组构</w:t>
            </w:r>
            <w:r>
              <w:rPr>
                <w:rFonts w:hint="eastAsia" w:ascii="宋体" w:hAnsi="宋体" w:cs="宋体"/>
                <w:color w:val="auto"/>
                <w:spacing w:val="-2"/>
                <w:sz w:val="24"/>
                <w:szCs w:val="24"/>
              </w:rPr>
              <w:t>成</w:t>
            </w:r>
            <w:r>
              <w:rPr>
                <w:rFonts w:hint="eastAsia" w:ascii="宋体" w:hAnsi="宋体" w:cs="宋体"/>
                <w:color w:val="auto"/>
                <w:sz w:val="24"/>
                <w:szCs w:val="24"/>
              </w:rPr>
              <w:t>：</w:t>
            </w:r>
            <w:r>
              <w:rPr>
                <w:rFonts w:hint="eastAsia" w:ascii="宋体" w:hAnsi="宋体" w:cs="宋体"/>
                <w:color w:val="auto"/>
                <w:sz w:val="24"/>
                <w:szCs w:val="24"/>
                <w:u w:val="none"/>
                <w:lang w:val="en-US" w:eastAsia="zh-CN"/>
              </w:rPr>
              <w:t>3</w:t>
            </w:r>
            <w:r>
              <w:rPr>
                <w:rFonts w:hint="eastAsia" w:ascii="宋体" w:hAnsi="宋体" w:cs="宋体"/>
                <w:color w:val="auto"/>
                <w:sz w:val="24"/>
                <w:szCs w:val="24"/>
                <w:u w:val="none"/>
              </w:rPr>
              <w:t>人</w:t>
            </w:r>
            <w:r>
              <w:rPr>
                <w:rFonts w:hint="eastAsia" w:ascii="宋体" w:hAnsi="宋体" w:cs="宋体"/>
                <w:color w:val="auto"/>
                <w:sz w:val="24"/>
                <w:szCs w:val="24"/>
              </w:rPr>
              <w:t xml:space="preserve"> </w:t>
            </w:r>
            <w:r>
              <w:rPr>
                <w:rFonts w:hint="eastAsia" w:ascii="宋体" w:hAnsi="宋体" w:cs="宋体"/>
                <w:color w:val="auto"/>
                <w:spacing w:val="-2"/>
                <w:sz w:val="24"/>
                <w:szCs w:val="24"/>
              </w:rPr>
              <w:t>；</w:t>
            </w:r>
          </w:p>
          <w:p w14:paraId="70C59A50">
            <w:pPr>
              <w:spacing w:line="240" w:lineRule="atLeast"/>
              <w:rPr>
                <w:rFonts w:ascii="宋体" w:hAnsi="宋体" w:cs="宋体"/>
                <w:color w:val="auto"/>
                <w:sz w:val="24"/>
                <w:szCs w:val="24"/>
                <w:lang w:val="en-US"/>
              </w:rPr>
            </w:pPr>
            <w:r>
              <w:rPr>
                <w:rFonts w:hint="eastAsia" w:ascii="宋体" w:hAnsi="宋体" w:cs="宋体"/>
                <w:color w:val="auto"/>
                <w:sz w:val="24"/>
                <w:szCs w:val="24"/>
              </w:rPr>
              <w:t>评标小组成员</w:t>
            </w:r>
            <w:r>
              <w:rPr>
                <w:rFonts w:hint="eastAsia" w:ascii="宋体" w:hAnsi="宋体" w:cs="宋体"/>
                <w:color w:val="auto"/>
                <w:spacing w:val="-2"/>
                <w:sz w:val="24"/>
                <w:szCs w:val="24"/>
              </w:rPr>
              <w:t>确</w:t>
            </w:r>
            <w:r>
              <w:rPr>
                <w:rFonts w:hint="eastAsia" w:ascii="宋体" w:hAnsi="宋体" w:cs="宋体"/>
                <w:color w:val="auto"/>
                <w:sz w:val="24"/>
                <w:szCs w:val="24"/>
              </w:rPr>
              <w:t>定</w:t>
            </w:r>
            <w:r>
              <w:rPr>
                <w:rFonts w:hint="eastAsia" w:ascii="宋体" w:hAnsi="宋体" w:cs="宋体"/>
                <w:color w:val="auto"/>
                <w:spacing w:val="-2"/>
                <w:sz w:val="24"/>
                <w:szCs w:val="24"/>
              </w:rPr>
              <w:t>方</w:t>
            </w:r>
            <w:r>
              <w:rPr>
                <w:rFonts w:hint="eastAsia" w:ascii="宋体" w:hAnsi="宋体" w:cs="宋体"/>
                <w:color w:val="auto"/>
                <w:sz w:val="24"/>
                <w:szCs w:val="24"/>
              </w:rPr>
              <w:t>式：</w:t>
            </w:r>
            <w:r>
              <w:rPr>
                <w:rFonts w:hint="eastAsia" w:ascii="宋体" w:hAnsi="宋体" w:cs="宋体"/>
                <w:color w:val="auto"/>
                <w:sz w:val="24"/>
                <w:szCs w:val="24"/>
                <w:u w:val="single"/>
                <w:lang w:val="en-US"/>
              </w:rPr>
              <w:t>政采云平台随机抽取</w:t>
            </w:r>
          </w:p>
        </w:tc>
      </w:tr>
      <w:tr w14:paraId="2B936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14:paraId="0D98B6A3">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23.2</w:t>
            </w:r>
          </w:p>
        </w:tc>
        <w:tc>
          <w:tcPr>
            <w:tcW w:w="7875" w:type="dxa"/>
            <w:vAlign w:val="center"/>
          </w:tcPr>
          <w:p w14:paraId="702CA912">
            <w:pPr>
              <w:spacing w:line="240" w:lineRule="atLeast"/>
              <w:rPr>
                <w:rFonts w:ascii="宋体" w:hAnsi="宋体" w:eastAsia="宋体" w:cs="宋体"/>
                <w:i/>
                <w:color w:val="auto"/>
                <w:sz w:val="24"/>
                <w:szCs w:val="24"/>
                <w:lang w:val="en-US"/>
              </w:rPr>
            </w:pPr>
            <w:r>
              <w:rPr>
                <w:rFonts w:hint="eastAsia" w:ascii="宋体" w:hAnsi="宋体" w:cs="宋体"/>
                <w:color w:val="auto"/>
                <w:sz w:val="24"/>
                <w:szCs w:val="24"/>
              </w:rPr>
              <w:t>评标方法：</w:t>
            </w:r>
            <w:r>
              <w:rPr>
                <w:rFonts w:hint="eastAsia" w:ascii="宋体" w:hAnsi="宋体" w:cs="宋体"/>
                <w:color w:val="auto"/>
                <w:sz w:val="24"/>
                <w:szCs w:val="24"/>
                <w:u w:val="single"/>
              </w:rPr>
              <w:t>综合评</w:t>
            </w:r>
            <w:r>
              <w:rPr>
                <w:rFonts w:hint="eastAsia" w:ascii="宋体" w:hAnsi="宋体" w:cs="宋体"/>
                <w:color w:val="auto"/>
                <w:sz w:val="24"/>
                <w:szCs w:val="24"/>
                <w:u w:val="single"/>
                <w:lang w:val="en-US" w:eastAsia="zh-CN"/>
              </w:rPr>
              <w:t>分</w:t>
            </w:r>
            <w:r>
              <w:rPr>
                <w:rFonts w:hint="eastAsia" w:ascii="宋体" w:hAnsi="宋体" w:cs="宋体"/>
                <w:color w:val="auto"/>
                <w:sz w:val="24"/>
                <w:szCs w:val="24"/>
                <w:u w:val="single"/>
              </w:rPr>
              <w:t>法</w:t>
            </w:r>
          </w:p>
        </w:tc>
      </w:tr>
      <w:tr w14:paraId="7F5D4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14:paraId="6535C8BC">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27</w:t>
            </w:r>
          </w:p>
        </w:tc>
        <w:tc>
          <w:tcPr>
            <w:tcW w:w="7875" w:type="dxa"/>
            <w:vAlign w:val="center"/>
          </w:tcPr>
          <w:p w14:paraId="64DEA7E9">
            <w:pPr>
              <w:spacing w:line="240" w:lineRule="atLeast"/>
              <w:rPr>
                <w:rFonts w:ascii="宋体" w:hAnsi="宋体" w:cs="宋体"/>
                <w:color w:val="auto"/>
                <w:sz w:val="24"/>
                <w:szCs w:val="24"/>
              </w:rPr>
            </w:pPr>
            <w:r>
              <w:rPr>
                <w:rFonts w:hint="eastAsia" w:ascii="宋体" w:hAnsi="宋体" w:cs="宋体"/>
                <w:color w:val="auto"/>
                <w:sz w:val="24"/>
                <w:szCs w:val="24"/>
              </w:rPr>
              <w:t>推荐中标候选供应商的数量：</w:t>
            </w:r>
            <w:r>
              <w:rPr>
                <w:rFonts w:hint="eastAsia" w:ascii="宋体" w:hAnsi="宋体" w:cs="宋体"/>
                <w:color w:val="auto"/>
                <w:sz w:val="24"/>
                <w:szCs w:val="24"/>
                <w:u w:val="single"/>
              </w:rPr>
              <w:t>3</w:t>
            </w:r>
            <w:r>
              <w:rPr>
                <w:rFonts w:hint="eastAsia" w:ascii="宋体" w:hAnsi="宋体" w:cs="宋体"/>
                <w:color w:val="auto"/>
                <w:sz w:val="24"/>
                <w:szCs w:val="24"/>
              </w:rPr>
              <w:t>家</w:t>
            </w:r>
          </w:p>
        </w:tc>
      </w:tr>
      <w:tr w14:paraId="3FCC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14:paraId="635EB8AB">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27.1</w:t>
            </w:r>
          </w:p>
        </w:tc>
        <w:tc>
          <w:tcPr>
            <w:tcW w:w="7875" w:type="dxa"/>
            <w:vAlign w:val="center"/>
          </w:tcPr>
          <w:p w14:paraId="4ABEE836">
            <w:pPr>
              <w:spacing w:line="240" w:lineRule="atLeast"/>
              <w:rPr>
                <w:rFonts w:ascii="宋体" w:hAnsi="宋体" w:cs="宋体"/>
                <w:color w:val="auto"/>
                <w:sz w:val="24"/>
                <w:szCs w:val="24"/>
              </w:rPr>
            </w:pPr>
            <w:r>
              <w:rPr>
                <w:rFonts w:hint="eastAsia" w:ascii="宋体" w:hAnsi="宋体" w:cs="宋体"/>
                <w:color w:val="auto"/>
                <w:sz w:val="24"/>
                <w:szCs w:val="24"/>
              </w:rPr>
              <w:t>招标人是否委托评标委员会直接确定中标人：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rPr>
              <w:t>是</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i/>
                <w:color w:val="auto"/>
                <w:sz w:val="24"/>
                <w:szCs w:val="24"/>
              </w:rPr>
              <w:t>（是、否）</w:t>
            </w:r>
          </w:p>
        </w:tc>
      </w:tr>
      <w:tr w14:paraId="1A028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1559" w:type="dxa"/>
            <w:vAlign w:val="center"/>
          </w:tcPr>
          <w:p w14:paraId="6F916D19">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31.1</w:t>
            </w:r>
          </w:p>
        </w:tc>
        <w:tc>
          <w:tcPr>
            <w:tcW w:w="7875" w:type="dxa"/>
            <w:vAlign w:val="center"/>
          </w:tcPr>
          <w:p w14:paraId="1EB60917">
            <w:pPr>
              <w:spacing w:line="240" w:lineRule="atLeast"/>
              <w:rPr>
                <w:rFonts w:hint="default" w:ascii="宋体" w:hAnsi="宋体" w:eastAsia="仿宋" w:cs="宋体"/>
                <w:color w:val="auto"/>
                <w:sz w:val="24"/>
                <w:szCs w:val="24"/>
                <w:lang w:val="en-US" w:eastAsia="zh-CN"/>
              </w:rPr>
            </w:pPr>
            <w:r>
              <w:rPr>
                <w:rFonts w:hint="eastAsia" w:ascii="宋体" w:hAnsi="宋体" w:cs="宋体"/>
                <w:color w:val="auto"/>
                <w:sz w:val="24"/>
                <w:szCs w:val="24"/>
              </w:rPr>
              <w:t>履约保证金金额：</w:t>
            </w:r>
            <w:r>
              <w:rPr>
                <w:rFonts w:hint="eastAsia" w:ascii="宋体" w:hAnsi="宋体" w:cs="宋体"/>
                <w:color w:val="auto"/>
                <w:sz w:val="24"/>
                <w:szCs w:val="24"/>
                <w:lang w:val="en-US" w:eastAsia="zh-CN"/>
              </w:rPr>
              <w:t>成交价格的10%</w:t>
            </w:r>
          </w:p>
          <w:p w14:paraId="62F1EE29">
            <w:pPr>
              <w:spacing w:line="240" w:lineRule="atLeast"/>
              <w:rPr>
                <w:rFonts w:ascii="宋体" w:hAnsi="宋体" w:cs="宋体"/>
                <w:color w:val="auto"/>
                <w:sz w:val="24"/>
                <w:szCs w:val="24"/>
              </w:rPr>
            </w:pPr>
            <w:r>
              <w:rPr>
                <w:rFonts w:hint="eastAsia" w:ascii="宋体" w:hAnsi="宋体" w:cs="宋体"/>
                <w:color w:val="auto"/>
                <w:sz w:val="24"/>
                <w:szCs w:val="24"/>
              </w:rPr>
              <w:t>提交履约保证金的时间：签订合同后5</w:t>
            </w:r>
            <w:r>
              <w:rPr>
                <w:rFonts w:hint="eastAsia" w:ascii="宋体" w:hAnsi="宋体" w:cs="宋体"/>
                <w:color w:val="auto"/>
                <w:sz w:val="24"/>
                <w:szCs w:val="24"/>
                <w:lang w:val="en-US" w:eastAsia="zh-CN"/>
              </w:rPr>
              <w:t>个</w:t>
            </w:r>
            <w:r>
              <w:rPr>
                <w:rFonts w:hint="eastAsia" w:ascii="宋体" w:hAnsi="宋体" w:cs="宋体"/>
                <w:color w:val="auto"/>
                <w:sz w:val="24"/>
                <w:szCs w:val="24"/>
              </w:rPr>
              <w:t>日历日</w:t>
            </w:r>
          </w:p>
          <w:p w14:paraId="020F1510">
            <w:pPr>
              <w:spacing w:line="240" w:lineRule="atLeast"/>
              <w:rPr>
                <w:rFonts w:ascii="宋体" w:hAnsi="宋体" w:cs="宋体"/>
                <w:color w:val="auto"/>
                <w:sz w:val="24"/>
                <w:szCs w:val="24"/>
                <w:u w:val="single"/>
              </w:rPr>
            </w:pPr>
            <w:r>
              <w:rPr>
                <w:rFonts w:hint="eastAsia" w:ascii="宋体" w:hAnsi="宋体" w:cs="宋体"/>
                <w:color w:val="auto"/>
                <w:sz w:val="24"/>
                <w:szCs w:val="24"/>
              </w:rPr>
              <w:t>履约保证金形式：</w:t>
            </w:r>
            <w:r>
              <w:rPr>
                <w:rFonts w:hint="eastAsia" w:ascii="宋体" w:hAnsi="宋体" w:cs="宋体"/>
                <w:color w:val="auto"/>
                <w:sz w:val="24"/>
                <w:szCs w:val="24"/>
                <w:u w:val="single"/>
              </w:rPr>
              <w:t>转账</w:t>
            </w:r>
            <w:r>
              <w:rPr>
                <w:rFonts w:hint="eastAsia" w:ascii="宋体" w:hAnsi="宋体" w:cs="宋体"/>
                <w:color w:val="auto"/>
                <w:sz w:val="24"/>
                <w:szCs w:val="24"/>
                <w:u w:val="single"/>
                <w:lang w:val="en-US" w:eastAsia="zh-CN"/>
              </w:rPr>
              <w:t>或保函</w:t>
            </w:r>
            <w:r>
              <w:rPr>
                <w:rFonts w:hint="eastAsia" w:ascii="宋体" w:hAnsi="宋体" w:cs="宋体"/>
                <w:color w:val="auto"/>
                <w:sz w:val="24"/>
                <w:szCs w:val="24"/>
                <w:u w:val="single"/>
              </w:rPr>
              <w:t>交付至</w:t>
            </w:r>
            <w:r>
              <w:rPr>
                <w:rFonts w:hint="eastAsia" w:ascii="宋体" w:hAnsi="宋体" w:cs="宋体"/>
                <w:color w:val="auto"/>
                <w:sz w:val="24"/>
                <w:szCs w:val="24"/>
                <w:u w:val="single"/>
                <w:lang w:val="en-US" w:eastAsia="zh-CN"/>
              </w:rPr>
              <w:t>采购</w:t>
            </w:r>
            <w:r>
              <w:rPr>
                <w:rFonts w:hint="eastAsia" w:ascii="宋体" w:hAnsi="宋体" w:cs="宋体"/>
                <w:color w:val="auto"/>
                <w:sz w:val="24"/>
                <w:szCs w:val="24"/>
                <w:u w:val="single"/>
              </w:rPr>
              <w:t>人指定账户</w:t>
            </w:r>
          </w:p>
        </w:tc>
      </w:tr>
      <w:tr w14:paraId="448E1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9" w:type="dxa"/>
            <w:vAlign w:val="center"/>
          </w:tcPr>
          <w:p w14:paraId="1B148CBB">
            <w:pPr>
              <w:spacing w:line="240" w:lineRule="atLeast"/>
              <w:ind w:left="1105" w:leftChars="257" w:hanging="540"/>
              <w:rPr>
                <w:rFonts w:ascii="宋体" w:hAnsi="宋体" w:cs="宋体"/>
                <w:color w:val="auto"/>
                <w:sz w:val="24"/>
                <w:szCs w:val="24"/>
              </w:rPr>
            </w:pPr>
            <w:r>
              <w:rPr>
                <w:rFonts w:hint="eastAsia" w:ascii="宋体" w:hAnsi="宋体" w:cs="宋体"/>
                <w:color w:val="auto"/>
                <w:sz w:val="24"/>
                <w:szCs w:val="24"/>
              </w:rPr>
              <w:t>32</w:t>
            </w:r>
          </w:p>
        </w:tc>
        <w:tc>
          <w:tcPr>
            <w:tcW w:w="7875" w:type="dxa"/>
            <w:vAlign w:val="center"/>
          </w:tcPr>
          <w:p w14:paraId="0889FC3F">
            <w:pPr>
              <w:spacing w:line="240" w:lineRule="atLeast"/>
              <w:rPr>
                <w:rFonts w:hint="eastAsia" w:ascii="宋体" w:hAnsi="宋体" w:cs="宋体"/>
                <w:color w:val="auto"/>
                <w:sz w:val="24"/>
                <w:szCs w:val="24"/>
                <w:lang w:eastAsia="zh-CN"/>
              </w:rPr>
            </w:pPr>
            <w:r>
              <w:rPr>
                <w:rFonts w:hint="eastAsia" w:ascii="宋体" w:hAnsi="宋体" w:cs="宋体"/>
                <w:color w:val="auto"/>
                <w:sz w:val="24"/>
                <w:szCs w:val="24"/>
                <w:lang w:val="en-US" w:eastAsia="zh-CN"/>
              </w:rPr>
              <w:t>招标代理</w:t>
            </w:r>
            <w:r>
              <w:rPr>
                <w:rFonts w:hint="eastAsia" w:ascii="宋体" w:hAnsi="宋体" w:cs="宋体"/>
                <w:color w:val="auto"/>
                <w:sz w:val="24"/>
                <w:szCs w:val="24"/>
              </w:rPr>
              <w:t>服务费：</w:t>
            </w:r>
            <w:r>
              <w:rPr>
                <w:rFonts w:hint="eastAsia" w:ascii="宋体" w:hAnsi="宋体" w:cs="宋体"/>
                <w:color w:val="auto"/>
                <w:sz w:val="24"/>
                <w:szCs w:val="24"/>
                <w:lang w:eastAsia="zh-CN"/>
              </w:rPr>
              <w:t>根据国家发改委发改办价格〔2011〕534号的标准采用差额累进计费方式计算。</w:t>
            </w:r>
          </w:p>
          <w:p w14:paraId="24BDD702">
            <w:pPr>
              <w:spacing w:line="240" w:lineRule="atLeast"/>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eq \o\ac(□</w:instrText>
            </w:r>
            <w:r>
              <w:rPr>
                <w:rFonts w:hint="eastAsia" w:ascii="宋体" w:hAnsi="宋体" w:cs="宋体"/>
                <w:color w:val="auto"/>
                <w:sz w:val="24"/>
                <w:szCs w:val="24"/>
                <w:lang w:eastAsia="zh-CN"/>
              </w:rPr>
              <w:instrText xml:space="preserve">,√</w:instrText>
            </w:r>
            <w:r>
              <w:rPr>
                <w:rFonts w:hint="eastAsia" w:ascii="宋体" w:hAnsi="宋体" w:cs="宋体"/>
                <w:color w:val="auto"/>
                <w:sz w:val="24"/>
                <w:szCs w:val="24"/>
              </w:rPr>
              <w:instrText xml:space="preserve">)</w:instrText>
            </w:r>
            <w:r>
              <w:rPr>
                <w:rFonts w:hint="eastAsia" w:ascii="宋体" w:hAnsi="宋体" w:cs="宋体"/>
                <w:color w:val="auto"/>
                <w:sz w:val="24"/>
                <w:szCs w:val="24"/>
              </w:rPr>
              <w:fldChar w:fldCharType="end"/>
            </w:r>
            <w:r>
              <w:rPr>
                <w:rFonts w:hint="eastAsia" w:ascii="宋体" w:hAnsi="宋体" w:cs="宋体"/>
                <w:color w:val="auto"/>
                <w:sz w:val="24"/>
                <w:szCs w:val="24"/>
              </w:rPr>
              <w:t>由</w:t>
            </w:r>
            <w:r>
              <w:rPr>
                <w:rFonts w:hint="eastAsia" w:ascii="宋体" w:hAnsi="宋体" w:cs="宋体"/>
                <w:color w:val="auto"/>
                <w:sz w:val="24"/>
                <w:szCs w:val="24"/>
                <w:lang w:val="en-US" w:eastAsia="zh-CN"/>
              </w:rPr>
              <w:t>成交</w:t>
            </w:r>
            <w:r>
              <w:rPr>
                <w:rFonts w:hint="eastAsia" w:ascii="宋体" w:hAnsi="宋体" w:cs="宋体"/>
                <w:color w:val="auto"/>
                <w:sz w:val="24"/>
                <w:szCs w:val="24"/>
              </w:rPr>
              <w:t>单位支付</w:t>
            </w:r>
          </w:p>
          <w:p w14:paraId="53053C2B">
            <w:pPr>
              <w:spacing w:line="240" w:lineRule="atLeast"/>
              <w:rPr>
                <w:color w:val="auto"/>
                <w:lang w:val="en-US"/>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eq \o\ac(□)</w:instrText>
            </w:r>
            <w:r>
              <w:rPr>
                <w:rFonts w:hint="eastAsia" w:ascii="宋体" w:hAnsi="宋体" w:cs="宋体"/>
                <w:color w:val="auto"/>
                <w:sz w:val="24"/>
                <w:szCs w:val="24"/>
              </w:rPr>
              <w:fldChar w:fldCharType="end"/>
            </w:r>
            <w:r>
              <w:rPr>
                <w:rFonts w:hint="eastAsia" w:ascii="宋体" w:hAnsi="宋体" w:cs="宋体"/>
                <w:color w:val="auto"/>
                <w:sz w:val="24"/>
                <w:szCs w:val="24"/>
              </w:rPr>
              <w:t>由</w:t>
            </w:r>
            <w:r>
              <w:rPr>
                <w:rFonts w:hint="eastAsia" w:ascii="宋体" w:hAnsi="宋体" w:cs="宋体"/>
                <w:color w:val="auto"/>
                <w:sz w:val="24"/>
                <w:szCs w:val="24"/>
                <w:lang w:val="en-US" w:eastAsia="zh-CN"/>
              </w:rPr>
              <w:t>采购人</w:t>
            </w:r>
            <w:r>
              <w:rPr>
                <w:rFonts w:hint="eastAsia" w:ascii="宋体" w:hAnsi="宋体" w:cs="宋体"/>
                <w:color w:val="auto"/>
                <w:sz w:val="24"/>
                <w:szCs w:val="24"/>
              </w:rPr>
              <w:t>支付</w:t>
            </w:r>
          </w:p>
        </w:tc>
      </w:tr>
      <w:tr w14:paraId="50BC4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9" w:type="dxa"/>
            <w:vAlign w:val="center"/>
          </w:tcPr>
          <w:p w14:paraId="65EFFB08">
            <w:pPr>
              <w:spacing w:line="240" w:lineRule="atLeast"/>
              <w:jc w:val="center"/>
              <w:rPr>
                <w:rFonts w:ascii="宋体" w:hAnsi="宋体" w:cs="宋体"/>
                <w:color w:val="auto"/>
                <w:sz w:val="24"/>
                <w:szCs w:val="24"/>
              </w:rPr>
            </w:pPr>
            <w:r>
              <w:rPr>
                <w:rFonts w:hint="eastAsia" w:ascii="宋体" w:hAnsi="宋体" w:cs="宋体"/>
                <w:color w:val="auto"/>
                <w:sz w:val="24"/>
                <w:szCs w:val="24"/>
              </w:rPr>
              <w:t>33.1</w:t>
            </w:r>
          </w:p>
        </w:tc>
        <w:tc>
          <w:tcPr>
            <w:tcW w:w="7875" w:type="dxa"/>
            <w:vAlign w:val="center"/>
          </w:tcPr>
          <w:p w14:paraId="0F6068F8">
            <w:pPr>
              <w:spacing w:line="240" w:lineRule="atLeast"/>
              <w:rPr>
                <w:rFonts w:ascii="宋体" w:hAnsi="宋体" w:cs="宋体"/>
                <w:color w:val="auto"/>
                <w:sz w:val="24"/>
                <w:szCs w:val="24"/>
              </w:rPr>
            </w:pPr>
            <w:r>
              <w:rPr>
                <w:rFonts w:hint="eastAsia" w:ascii="宋体" w:hAnsi="宋体" w:cs="宋体"/>
                <w:color w:val="auto"/>
                <w:sz w:val="24"/>
                <w:szCs w:val="24"/>
              </w:rPr>
              <w:t>本项目是否属于信用担保试点范围：否（是、否）</w:t>
            </w:r>
          </w:p>
        </w:tc>
      </w:tr>
      <w:tr w14:paraId="4ED74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434" w:type="dxa"/>
            <w:gridSpan w:val="2"/>
            <w:tcBorders>
              <w:top w:val="single" w:color="auto" w:sz="12" w:space="0"/>
              <w:left w:val="single" w:color="auto" w:sz="12" w:space="0"/>
              <w:bottom w:val="single" w:color="auto" w:sz="12" w:space="0"/>
              <w:right w:val="single" w:color="auto" w:sz="12" w:space="0"/>
            </w:tcBorders>
            <w:vAlign w:val="center"/>
          </w:tcPr>
          <w:p w14:paraId="29096608">
            <w:pPr>
              <w:spacing w:line="240" w:lineRule="atLeast"/>
              <w:rPr>
                <w:rFonts w:ascii="宋体" w:hAnsi="宋体" w:cs="宋体"/>
                <w:color w:val="auto"/>
                <w:sz w:val="24"/>
                <w:szCs w:val="24"/>
              </w:rPr>
            </w:pPr>
            <w:r>
              <w:rPr>
                <w:rFonts w:hint="eastAsia" w:ascii="宋体" w:hAnsi="宋体" w:cs="宋体"/>
                <w:color w:val="auto"/>
                <w:sz w:val="24"/>
                <w:szCs w:val="24"/>
              </w:rPr>
              <w:t>适用于本投标人须知的额外增加的变动：</w:t>
            </w:r>
          </w:p>
        </w:tc>
      </w:tr>
      <w:tr w14:paraId="23C60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434" w:type="dxa"/>
            <w:gridSpan w:val="2"/>
            <w:vAlign w:val="center"/>
          </w:tcPr>
          <w:p w14:paraId="4EFB8FE3">
            <w:pPr>
              <w:spacing w:line="240" w:lineRule="atLeast"/>
              <w:rPr>
                <w:rFonts w:ascii="宋体" w:hAnsi="宋体" w:cs="宋体"/>
                <w:color w:val="auto"/>
                <w:sz w:val="24"/>
                <w:szCs w:val="24"/>
              </w:rPr>
            </w:pPr>
            <w:r>
              <w:rPr>
                <w:rFonts w:hint="eastAsia" w:ascii="宋体" w:hAnsi="宋体" w:cs="宋体"/>
                <w:color w:val="auto"/>
                <w:sz w:val="24"/>
                <w:szCs w:val="24"/>
              </w:rPr>
              <w:t>进口产品制造商授权等是否作为资格要求：</w:t>
            </w:r>
            <w:r>
              <w:rPr>
                <w:rFonts w:hint="eastAsia" w:ascii="宋体" w:hAnsi="宋体" w:cs="宋体"/>
                <w:color w:val="auto"/>
                <w:sz w:val="24"/>
                <w:szCs w:val="24"/>
                <w:u w:val="single"/>
              </w:rPr>
              <w:t>否</w:t>
            </w:r>
            <w:r>
              <w:rPr>
                <w:rFonts w:hint="eastAsia" w:ascii="宋体" w:hAnsi="宋体" w:cs="宋体"/>
                <w:color w:val="auto"/>
                <w:sz w:val="24"/>
                <w:szCs w:val="24"/>
              </w:rPr>
              <w:t>（是、否）</w:t>
            </w:r>
          </w:p>
        </w:tc>
      </w:tr>
      <w:tr w14:paraId="259A8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434" w:type="dxa"/>
            <w:gridSpan w:val="2"/>
            <w:vAlign w:val="center"/>
          </w:tcPr>
          <w:p w14:paraId="209C8E36">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备注：</w:t>
            </w:r>
          </w:p>
          <w:p w14:paraId="03C7CA18">
            <w:pPr>
              <w:spacing w:line="240" w:lineRule="atLeast"/>
              <w:rPr>
                <w:rFonts w:hint="eastAsia" w:ascii="宋体" w:hAnsi="宋体" w:eastAsia="宋体" w:cs="宋体"/>
                <w:b/>
                <w:bCs/>
                <w:color w:val="auto"/>
              </w:rPr>
            </w:pPr>
            <w:r>
              <w:rPr>
                <w:rFonts w:hint="eastAsia" w:ascii="宋体" w:hAnsi="宋体" w:eastAsia="宋体" w:cs="宋体"/>
                <w:b/>
                <w:bCs/>
                <w:color w:val="auto"/>
              </w:rPr>
              <w:t>1.请投标单位提前自学线上开标流程；投标截止时间当天，线上开标环节，投标文件解密时长30分钟，投标供应商请自备电脑及CA锁进行投标文件解密以及操作投标事项，请投标人提前调试好在线参标电脑各项配置。</w:t>
            </w:r>
          </w:p>
          <w:p w14:paraId="5004F28D">
            <w:pPr>
              <w:spacing w:line="240" w:lineRule="atLeast"/>
              <w:rPr>
                <w:rFonts w:hint="eastAsia" w:ascii="宋体" w:hAnsi="宋体" w:eastAsia="宋体" w:cs="宋体"/>
                <w:b/>
                <w:bCs/>
                <w:color w:val="auto"/>
              </w:rPr>
            </w:pPr>
            <w:r>
              <w:rPr>
                <w:rFonts w:hint="eastAsia" w:ascii="宋体" w:hAnsi="宋体" w:eastAsia="宋体" w:cs="宋体"/>
                <w:b/>
                <w:bCs/>
                <w:color w:val="auto"/>
              </w:rPr>
              <w:t>2.招标文件中采购清单、技术需求等如有偏差，如有疑义请澄清中及时提出；否则视为充分理解招标文件各项要求。</w:t>
            </w:r>
          </w:p>
          <w:p w14:paraId="73ED1425">
            <w:pPr>
              <w:spacing w:line="240" w:lineRule="atLeast"/>
              <w:rPr>
                <w:rFonts w:hint="eastAsia" w:ascii="宋体" w:hAnsi="宋体" w:eastAsia="宋体" w:cs="宋体"/>
                <w:b/>
                <w:bCs/>
                <w:color w:val="auto"/>
              </w:rPr>
            </w:pPr>
            <w:r>
              <w:rPr>
                <w:rFonts w:hint="eastAsia" w:ascii="宋体" w:hAnsi="宋体" w:eastAsia="宋体" w:cs="宋体"/>
                <w:b/>
                <w:bCs/>
                <w:color w:val="auto"/>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0B0ECD56">
            <w:pPr>
              <w:spacing w:line="240" w:lineRule="atLeast"/>
              <w:rPr>
                <w:rFonts w:hint="eastAsia" w:ascii="宋体" w:hAnsi="宋体" w:eastAsia="宋体" w:cs="宋体"/>
                <w:b/>
                <w:bCs/>
                <w:color w:val="auto"/>
              </w:rPr>
            </w:pPr>
            <w:r>
              <w:rPr>
                <w:rFonts w:hint="eastAsia" w:ascii="宋体" w:hAnsi="宋体" w:eastAsia="宋体" w:cs="宋体"/>
                <w:b/>
                <w:bCs/>
                <w:color w:val="auto"/>
              </w:rPr>
              <w:t>4.投标文件中有弄虚作假的内容，其投标文件作废。</w:t>
            </w:r>
          </w:p>
          <w:p w14:paraId="6AFA37AF">
            <w:pPr>
              <w:spacing w:line="240" w:lineRule="atLeast"/>
              <w:rPr>
                <w:rFonts w:ascii="宋体" w:hAnsi="宋体" w:cs="宋体"/>
                <w:color w:val="auto"/>
                <w:sz w:val="24"/>
                <w:szCs w:val="24"/>
              </w:rPr>
            </w:pPr>
            <w:r>
              <w:rPr>
                <w:rFonts w:hint="eastAsia" w:ascii="宋体" w:hAnsi="宋体" w:eastAsia="宋体" w:cs="宋体"/>
                <w:b/>
                <w:bCs/>
                <w:color w:val="auto"/>
              </w:rPr>
              <w:t>5.招标文件中如有内容冲突的地方，以投标须知要求为准。</w:t>
            </w:r>
          </w:p>
        </w:tc>
      </w:tr>
      <w:tr w14:paraId="569AA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434" w:type="dxa"/>
            <w:gridSpan w:val="2"/>
            <w:vAlign w:val="center"/>
          </w:tcPr>
          <w:p w14:paraId="5142D3F3">
            <w:pPr>
              <w:pStyle w:val="36"/>
              <w:spacing w:line="420" w:lineRule="exact"/>
              <w:jc w:val="both"/>
              <w:rPr>
                <w:rFonts w:hint="eastAsia"/>
                <w:color w:val="auto"/>
                <w:lang w:val="zh-CN" w:eastAsia="zh-CN"/>
              </w:rPr>
            </w:pPr>
            <w:r>
              <w:rPr>
                <w:rFonts w:hint="eastAsia"/>
                <w:color w:val="auto"/>
                <w:lang w:val="zh-CN" w:eastAsia="zh-CN"/>
              </w:rPr>
              <w:t xml:space="preserve">政府采购政策： </w:t>
            </w:r>
          </w:p>
          <w:p w14:paraId="7A3A7A7F">
            <w:pPr>
              <w:pStyle w:val="36"/>
              <w:spacing w:line="420" w:lineRule="exact"/>
              <w:rPr>
                <w:rFonts w:hint="eastAsia"/>
                <w:color w:val="auto"/>
                <w:lang w:val="zh-CN" w:eastAsia="zh-CN"/>
              </w:rPr>
            </w:pPr>
            <w:r>
              <w:rPr>
                <w:rFonts w:hint="eastAsia"/>
                <w:color w:val="auto"/>
                <w:lang w:val="en-US" w:eastAsia="zh-CN"/>
              </w:rPr>
              <w:t>1、</w:t>
            </w:r>
            <w:r>
              <w:rPr>
                <w:rFonts w:hint="eastAsia"/>
                <w:color w:val="auto"/>
                <w:lang w:val="zh-CN" w:eastAsia="zh-CN"/>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w:t>
            </w:r>
            <w:r>
              <w:rPr>
                <w:rFonts w:hint="eastAsia"/>
                <w:b/>
                <w:bCs/>
                <w:color w:val="auto"/>
                <w:lang w:val="zh-CN" w:eastAsia="zh-CN"/>
              </w:rPr>
              <w:t>本次采购标的所属行业为</w:t>
            </w:r>
            <w:r>
              <w:rPr>
                <w:rFonts w:hint="eastAsia"/>
                <w:b/>
                <w:bCs/>
                <w:color w:val="auto"/>
                <w:lang w:val="en-US" w:eastAsia="zh-CN"/>
              </w:rPr>
              <w:t>建筑业</w:t>
            </w:r>
            <w:r>
              <w:rPr>
                <w:rFonts w:hint="eastAsia"/>
                <w:b/>
                <w:bCs/>
                <w:color w:val="auto"/>
                <w:lang w:val="zh-CN" w:eastAsia="zh-CN"/>
              </w:rPr>
              <w:t xml:space="preserve"> </w:t>
            </w:r>
            <w:r>
              <w:rPr>
                <w:rFonts w:hint="eastAsia"/>
                <w:color w:val="auto"/>
                <w:lang w:val="zh-CN" w:eastAsia="zh-CN"/>
              </w:rPr>
              <w:t>，符合以下条件的中小微型企业应按照</w:t>
            </w:r>
            <w:r>
              <w:rPr>
                <w:rFonts w:hint="eastAsia"/>
                <w:color w:val="auto"/>
                <w:lang w:val="en-US" w:eastAsia="zh-CN"/>
              </w:rPr>
              <w:t>招标</w:t>
            </w:r>
            <w:r>
              <w:rPr>
                <w:rFonts w:hint="eastAsia"/>
                <w:color w:val="auto"/>
                <w:lang w:val="zh-CN" w:eastAsia="zh-CN"/>
              </w:rPr>
              <w:t>文件格式要求提供《中小企业声明函》。</w:t>
            </w:r>
          </w:p>
          <w:p w14:paraId="54907F49">
            <w:pPr>
              <w:pStyle w:val="36"/>
              <w:spacing w:line="420" w:lineRule="exact"/>
              <w:rPr>
                <w:rFonts w:hint="eastAsia"/>
                <w:color w:val="auto"/>
                <w:lang w:val="zh-CN" w:eastAsia="zh-CN"/>
              </w:rPr>
            </w:pPr>
            <w:r>
              <w:rPr>
                <w:rFonts w:hint="eastAsia"/>
                <w:color w:val="auto"/>
                <w:lang w:val="zh-CN"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0C52CD6">
            <w:pPr>
              <w:pStyle w:val="36"/>
              <w:spacing w:line="420" w:lineRule="exact"/>
              <w:rPr>
                <w:rFonts w:hint="eastAsia"/>
                <w:color w:val="auto"/>
                <w:lang w:val="zh-CN" w:eastAsia="zh-CN"/>
              </w:rPr>
            </w:pPr>
            <w:r>
              <w:rPr>
                <w:rFonts w:hint="eastAsia"/>
                <w:color w:val="auto"/>
                <w:lang w:val="zh-CN" w:eastAsia="zh-CN"/>
              </w:rPr>
              <w:t>（2）依据本办法规定享受扶持政策获得政府采购合同的，小微企业不得将合同分包给大中型企业，中型企业不得将合同分包给大型企业。</w:t>
            </w:r>
          </w:p>
          <w:p w14:paraId="5BB03BEF">
            <w:pPr>
              <w:pStyle w:val="36"/>
              <w:spacing w:line="420" w:lineRule="exact"/>
              <w:rPr>
                <w:rFonts w:hint="eastAsia"/>
                <w:color w:val="auto"/>
                <w:lang w:val="zh-CN" w:eastAsia="zh-CN"/>
              </w:rPr>
            </w:pPr>
            <w:r>
              <w:rPr>
                <w:rFonts w:hint="eastAsia"/>
                <w:color w:val="auto"/>
                <w:lang w:val="zh-CN" w:eastAsia="zh-CN"/>
              </w:rPr>
              <w:t>（3）提供由省级以上监狱管理局、戒毒管理局（含新疆生产建设兵团）出具的属于监狱企业证明文件（扫描件）的，视同为小型和微型企业。</w:t>
            </w:r>
          </w:p>
          <w:p w14:paraId="6CCE77CB">
            <w:pPr>
              <w:pStyle w:val="36"/>
              <w:spacing w:line="420" w:lineRule="exact"/>
              <w:rPr>
                <w:rFonts w:hint="eastAsia"/>
                <w:color w:val="auto"/>
                <w:lang w:val="zh-CN" w:eastAsia="zh-CN"/>
              </w:rPr>
            </w:pPr>
            <w:r>
              <w:rPr>
                <w:rFonts w:hint="eastAsia"/>
                <w:color w:val="auto"/>
                <w:lang w:val="zh-CN" w:eastAsia="zh-CN"/>
              </w:rPr>
              <w:t>（4）符合享受政府采购支持政策的残疾人福利性单位条件且提供《残疾人福利性单位声明函》的，视同为小型和微型企业。</w:t>
            </w:r>
          </w:p>
          <w:p w14:paraId="4097F6FE">
            <w:pPr>
              <w:rPr>
                <w:rFonts w:hint="eastAsia"/>
                <w:color w:val="auto"/>
              </w:rPr>
            </w:pPr>
            <w:r>
              <w:rPr>
                <w:rFonts w:hint="eastAsia" w:ascii="Times New Roman" w:hAnsi="Times New Roman" w:eastAsia="宋体" w:cs="Times New Roman"/>
                <w:color w:val="auto"/>
                <w:sz w:val="24"/>
                <w:szCs w:val="20"/>
                <w:lang w:val="en-US" w:eastAsia="zh-CN" w:bidi="ar-SA"/>
              </w:rPr>
              <w:t>2、中小企业划型标准规定</w:t>
            </w:r>
          </w:p>
          <w:p w14:paraId="4D32C668">
            <w:pPr>
              <w:rPr>
                <w:rFonts w:hint="eastAsia"/>
                <w:color w:val="auto"/>
              </w:rPr>
            </w:pPr>
            <w:r>
              <w:rPr>
                <w:rFonts w:hint="eastAsia"/>
                <w:color w:val="auto"/>
              </w:rPr>
              <w:t>一、根据《中华人民共和国中小企业促进法》和《国务院关于进一步促进中小企业发展的若干意见》(（国发〔2009〕[2009]36号)，制定本规定。</w:t>
            </w:r>
          </w:p>
          <w:p w14:paraId="20EA1021">
            <w:pPr>
              <w:rPr>
                <w:rFonts w:hint="eastAsia"/>
                <w:color w:val="auto"/>
              </w:rPr>
            </w:pPr>
            <w:r>
              <w:rPr>
                <w:rFonts w:hint="eastAsia"/>
                <w:color w:val="auto"/>
              </w:rPr>
              <w:t>二、中小企业划分为中型、小型、微型三种类型，具体标准根据企业从业人员、营业收入、资产总额等指标，结合行业特点制定。</w:t>
            </w:r>
          </w:p>
          <w:p w14:paraId="28743C63">
            <w:pPr>
              <w:rPr>
                <w:rFonts w:hint="eastAsia"/>
                <w:color w:val="auto"/>
              </w:rPr>
            </w:pPr>
            <w:r>
              <w:rPr>
                <w:rFonts w:hint="eastAsia"/>
                <w:color w:val="auto"/>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25FF0A3">
            <w:pPr>
              <w:rPr>
                <w:rFonts w:hint="eastAsia"/>
                <w:color w:val="auto"/>
              </w:rPr>
            </w:pPr>
            <w:r>
              <w:rPr>
                <w:rFonts w:hint="eastAsia"/>
                <w:color w:val="auto"/>
              </w:rPr>
              <w:t>四、各行业划型标准为：</w:t>
            </w:r>
          </w:p>
          <w:p w14:paraId="2F23BAC4">
            <w:pPr>
              <w:rPr>
                <w:rFonts w:hint="eastAsia"/>
                <w:color w:val="auto"/>
              </w:rPr>
            </w:pPr>
            <w:r>
              <w:rPr>
                <w:rFonts w:hint="eastAsia"/>
                <w:color w:val="auto"/>
              </w:rPr>
              <w:t>（一）农、林、牧、渔业。营业收入20000万元以下的为中小微型企业。其中，营业收入500万元及以上的为中型企业，营业收入50万元及以上的为小型企业，营业收入50万元以下的为微型企业。</w:t>
            </w:r>
          </w:p>
          <w:p w14:paraId="56FD6CC4">
            <w:pPr>
              <w:rPr>
                <w:rFonts w:hint="eastAsia"/>
                <w:color w:val="auto"/>
              </w:rPr>
            </w:pPr>
            <w:r>
              <w:rPr>
                <w:rFonts w:hint="eastAsia"/>
                <w:color w:va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164950">
            <w:pPr>
              <w:rPr>
                <w:rFonts w:hint="eastAsia"/>
                <w:color w:val="auto"/>
              </w:rPr>
            </w:pPr>
            <w:r>
              <w:rPr>
                <w:rFonts w:hint="eastAsia"/>
                <w:color w:val="auto"/>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65AF847">
            <w:pPr>
              <w:rPr>
                <w:rFonts w:hint="eastAsia"/>
                <w:color w:val="auto"/>
              </w:rPr>
            </w:pPr>
            <w:r>
              <w:rPr>
                <w:rFonts w:hint="eastAsia"/>
                <w:color w:val="auto"/>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E7F25C">
            <w:pPr>
              <w:rPr>
                <w:rFonts w:hint="eastAsia"/>
                <w:color w:val="auto"/>
              </w:rPr>
            </w:pPr>
            <w:r>
              <w:rPr>
                <w:rFonts w:hint="eastAsia"/>
                <w:color w:val="auto"/>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744630">
            <w:pPr>
              <w:rPr>
                <w:rFonts w:hint="eastAsia"/>
                <w:color w:val="auto"/>
              </w:rPr>
            </w:pPr>
            <w:r>
              <w:rPr>
                <w:rFonts w:hint="eastAsia"/>
                <w:color w:val="auto"/>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F0D2B3">
            <w:pPr>
              <w:rPr>
                <w:rFonts w:hint="eastAsia"/>
                <w:color w:val="auto"/>
              </w:rPr>
            </w:pPr>
            <w:r>
              <w:rPr>
                <w:rFonts w:hint="eastAsia"/>
                <w:color w:val="auto"/>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995EBCE">
            <w:pPr>
              <w:rPr>
                <w:rFonts w:hint="eastAsia"/>
                <w:color w:val="auto"/>
              </w:rPr>
            </w:pPr>
            <w:r>
              <w:rPr>
                <w:rFonts w:hint="eastAsia"/>
                <w:color w:val="auto"/>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11443A3">
            <w:pPr>
              <w:rPr>
                <w:rFonts w:hint="eastAsia"/>
                <w:color w:val="auto"/>
              </w:rPr>
            </w:pPr>
            <w:r>
              <w:rPr>
                <w:rFonts w:hint="eastAsia"/>
                <w:color w:val="auto"/>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EDC0D8">
            <w:pPr>
              <w:rPr>
                <w:rFonts w:hint="eastAsia"/>
                <w:color w:val="auto"/>
              </w:rPr>
            </w:pPr>
            <w:r>
              <w:rPr>
                <w:rFonts w:hint="eastAsia"/>
                <w:color w:val="auto"/>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FB5D63">
            <w:pPr>
              <w:rPr>
                <w:rFonts w:hint="eastAsia"/>
                <w:color w:val="auto"/>
              </w:rPr>
            </w:pPr>
            <w:r>
              <w:rPr>
                <w:rFonts w:hint="eastAsia"/>
                <w:color w:val="auto"/>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6AB62CD">
            <w:pPr>
              <w:rPr>
                <w:rFonts w:hint="eastAsia"/>
                <w:color w:val="auto"/>
              </w:rPr>
            </w:pPr>
            <w:r>
              <w:rPr>
                <w:rFonts w:hint="eastAsia"/>
                <w:color w:val="auto"/>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A4A2D1">
            <w:pPr>
              <w:rPr>
                <w:rFonts w:hint="eastAsia"/>
                <w:color w:val="auto"/>
              </w:rPr>
            </w:pPr>
            <w:r>
              <w:rPr>
                <w:rFonts w:hint="eastAsia"/>
                <w:color w:val="auto"/>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724297">
            <w:pPr>
              <w:rPr>
                <w:rFonts w:hint="eastAsia"/>
                <w:color w:val="auto"/>
              </w:rPr>
            </w:pPr>
            <w:r>
              <w:rPr>
                <w:rFonts w:hint="eastAsia"/>
                <w:color w:val="auto"/>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E57431">
            <w:pPr>
              <w:rPr>
                <w:rFonts w:hint="eastAsia"/>
                <w:color w:val="auto"/>
              </w:rPr>
            </w:pPr>
            <w:r>
              <w:rPr>
                <w:rFonts w:hint="eastAsia"/>
                <w:color w:val="auto"/>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0CE2FA">
            <w:pPr>
              <w:rPr>
                <w:rFonts w:hint="eastAsia"/>
                <w:color w:val="auto"/>
              </w:rPr>
            </w:pPr>
            <w:r>
              <w:rPr>
                <w:rFonts w:hint="eastAsia"/>
                <w:color w:val="auto"/>
              </w:rPr>
              <w:t>（十六）其他未列明行业。从业人员300人以下的为中小微型企业。其中，从业人员100人及以上的为中型企业；从业人员10人及以上的为小型企业；从业人员10人以下的为微型企业。</w:t>
            </w:r>
          </w:p>
          <w:p w14:paraId="2064B95E">
            <w:pPr>
              <w:rPr>
                <w:rFonts w:hint="eastAsia"/>
                <w:color w:val="auto"/>
              </w:rPr>
            </w:pPr>
            <w:r>
              <w:rPr>
                <w:rFonts w:hint="eastAsia"/>
                <w:color w:val="auto"/>
              </w:rPr>
              <w:t>五、企业类型的划分以统计部门的统计数据为依据。</w:t>
            </w:r>
          </w:p>
          <w:p w14:paraId="5CBC415B">
            <w:pPr>
              <w:rPr>
                <w:rFonts w:hint="eastAsia"/>
                <w:color w:val="auto"/>
              </w:rPr>
            </w:pPr>
            <w:r>
              <w:rPr>
                <w:rFonts w:hint="eastAsia"/>
                <w:color w:val="auto"/>
              </w:rPr>
              <w:t>六、本规定适用于在中华人民共和国境内依法设立的各类所有制和各种组织形式的企业。个体工商户和本规定以外的行业，参照本规定进行划型。</w:t>
            </w:r>
          </w:p>
          <w:p w14:paraId="62304190">
            <w:pPr>
              <w:rPr>
                <w:rFonts w:hint="eastAsia"/>
                <w:color w:val="auto"/>
              </w:rPr>
            </w:pPr>
            <w:r>
              <w:rPr>
                <w:rFonts w:hint="eastAsia"/>
                <w:color w:val="auto"/>
              </w:rPr>
              <w:t>七、本规定的中型企业标准上限即为大型企业标准的下限，国家统计部门据此制定大中小微型企业的统计分类。国务院有关部门据此进行相关数据分析，不得制定与本规定不一致的企业划型标准。</w:t>
            </w:r>
          </w:p>
          <w:p w14:paraId="5BC10569">
            <w:pPr>
              <w:rPr>
                <w:rFonts w:hint="eastAsia"/>
                <w:color w:val="auto"/>
              </w:rPr>
            </w:pPr>
            <w:r>
              <w:rPr>
                <w:rFonts w:hint="eastAsia"/>
                <w:color w:val="auto"/>
              </w:rPr>
              <w:t>八、本规定由工业和信息化部、国家统计局会同有关部门根据《国民经济行业分类》修订情况和企业发展变化情况适时修订。</w:t>
            </w:r>
          </w:p>
          <w:p w14:paraId="6F45EA3D">
            <w:pPr>
              <w:rPr>
                <w:rFonts w:hint="eastAsia"/>
                <w:color w:val="auto"/>
              </w:rPr>
            </w:pPr>
            <w:r>
              <w:rPr>
                <w:rFonts w:hint="eastAsia"/>
                <w:color w:val="auto"/>
              </w:rPr>
              <w:t>九、本规定由工业和信息化部、国家统计局会同有关部门负责解释。</w:t>
            </w:r>
          </w:p>
          <w:p w14:paraId="49DD76BA">
            <w:pPr>
              <w:rPr>
                <w:rFonts w:hint="eastAsia"/>
                <w:color w:val="auto"/>
              </w:rPr>
            </w:pPr>
            <w:r>
              <w:rPr>
                <w:rFonts w:hint="eastAsia"/>
                <w:color w:val="auto"/>
              </w:rPr>
              <w:t>十、本规定自发布之日起执行，原国家经贸委、原国家计委、财政部和国家统计局2003年颁布的《中小企业标准暂行规定》同时废止。</w:t>
            </w:r>
          </w:p>
          <w:p w14:paraId="57BF8E36">
            <w:pPr>
              <w:pStyle w:val="2"/>
              <w:rPr>
                <w:rFonts w:hint="eastAsia"/>
                <w:color w:val="auto"/>
                <w:lang w:val="en-US"/>
              </w:rPr>
            </w:pPr>
          </w:p>
        </w:tc>
      </w:tr>
    </w:tbl>
    <w:p w14:paraId="7284CB5E">
      <w:pPr>
        <w:adjustRightInd w:val="0"/>
        <w:spacing w:before="55"/>
        <w:jc w:val="both"/>
        <w:rPr>
          <w:color w:val="auto"/>
          <w:sz w:val="24"/>
          <w:szCs w:val="24"/>
        </w:rPr>
      </w:pPr>
      <w:r>
        <w:rPr>
          <w:rFonts w:hint="eastAsia"/>
          <w:color w:val="auto"/>
          <w:sz w:val="24"/>
          <w:szCs w:val="24"/>
        </w:rPr>
        <w:t>★注：凡涉及知识产权事宜的供应商必须保证产权明晰，凡因产权所引起的一切纠纷及法律责任概由供应商负责。</w:t>
      </w:r>
    </w:p>
    <w:p w14:paraId="008A4741">
      <w:pPr>
        <w:pStyle w:val="29"/>
        <w:ind w:firstLine="480" w:firstLineChars="200"/>
        <w:rPr>
          <w:color w:val="auto"/>
          <w:kern w:val="0"/>
          <w:sz w:val="24"/>
          <w:lang w:val="zh-CN" w:bidi="zh-CN"/>
        </w:rPr>
        <w:sectPr>
          <w:pgSz w:w="11910" w:h="16840"/>
          <w:pgMar w:top="1134" w:right="1134" w:bottom="1134" w:left="1134" w:header="878" w:footer="1052" w:gutter="0"/>
          <w:pgBorders>
            <w:top w:val="none" w:sz="0" w:space="0"/>
            <w:left w:val="none" w:sz="0" w:space="0"/>
            <w:bottom w:val="none" w:sz="0" w:space="0"/>
            <w:right w:val="none" w:sz="0" w:space="0"/>
          </w:pgBorders>
          <w:pgNumType w:fmt="decimal"/>
          <w:cols w:equalWidth="0" w:num="1">
            <w:col w:w="10590"/>
          </w:cols>
        </w:sectPr>
      </w:pPr>
      <w:r>
        <w:rPr>
          <w:rFonts w:hint="eastAsia"/>
          <w:color w:val="auto"/>
          <w:kern w:val="0"/>
          <w:sz w:val="24"/>
          <w:lang w:val="zh-CN" w:bidi="zh-CN"/>
        </w:rPr>
        <w:t>除非另有特殊说明，若本采购文件中引用了某一品牌、型号或生产供应商名称，均是指参照该品牌、型号或生产供应商的产品或服务，所引用的品牌、型号或生产供应商不构成对响应的限制。若采用的外文术语与某一供应商或某一产品使用的术语相同，并非表示指定了该供应商或该产品。</w:t>
      </w:r>
    </w:p>
    <w:p w14:paraId="56549AEB">
      <w:pPr>
        <w:pStyle w:val="4"/>
        <w:spacing w:before="0"/>
        <w:ind w:left="1105" w:leftChars="257" w:hanging="540"/>
        <w:rPr>
          <w:rFonts w:cs="宋体" w:asciiTheme="minorEastAsia" w:hAnsiTheme="minorEastAsia" w:eastAsiaTheme="minorEastAsia"/>
          <w:color w:val="auto"/>
        </w:rPr>
      </w:pPr>
      <w:bookmarkStart w:id="2" w:name="_Toc216582805"/>
      <w:bookmarkStart w:id="3" w:name="_Toc520356143"/>
      <w:bookmarkStart w:id="4" w:name="_Toc9485"/>
      <w:bookmarkStart w:id="5" w:name="_Toc21012"/>
      <w:bookmarkStart w:id="6" w:name="_Toc25430_WPSOffice_Level1"/>
      <w:bookmarkStart w:id="7" w:name="_Toc518923060"/>
      <w:r>
        <w:rPr>
          <w:rFonts w:hint="eastAsia" w:cs="宋体" w:asciiTheme="minorEastAsia" w:hAnsiTheme="minorEastAsia" w:eastAsiaTheme="minorEastAsia"/>
          <w:color w:val="auto"/>
          <w:sz w:val="28"/>
        </w:rPr>
        <w:t xml:space="preserve">一   </w:t>
      </w:r>
      <w:bookmarkEnd w:id="2"/>
      <w:bookmarkEnd w:id="3"/>
      <w:r>
        <w:rPr>
          <w:rFonts w:hint="eastAsia" w:cs="宋体" w:asciiTheme="minorEastAsia" w:hAnsiTheme="minorEastAsia" w:eastAsiaTheme="minorEastAsia"/>
          <w:color w:val="auto"/>
          <w:sz w:val="28"/>
        </w:rPr>
        <w:t>总  则</w:t>
      </w:r>
      <w:bookmarkEnd w:id="4"/>
      <w:bookmarkEnd w:id="5"/>
      <w:bookmarkEnd w:id="6"/>
      <w:bookmarkEnd w:id="7"/>
    </w:p>
    <w:p w14:paraId="58B6F1E1">
      <w:pPr>
        <w:pStyle w:val="5"/>
        <w:spacing w:before="0" w:line="400" w:lineRule="exact"/>
        <w:rPr>
          <w:rFonts w:cs="宋体" w:asciiTheme="minorEastAsia" w:hAnsiTheme="minorEastAsia" w:eastAsiaTheme="minorEastAsia"/>
          <w:color w:val="auto"/>
        </w:rPr>
      </w:pPr>
      <w:bookmarkStart w:id="8" w:name="_Toc518923061"/>
      <w:bookmarkStart w:id="9" w:name="_Toc12013"/>
      <w:bookmarkStart w:id="10" w:name="_Toc16905_WPSOffice_Level2"/>
      <w:bookmarkStart w:id="11" w:name="_Toc4676_WPSOffice_Level2"/>
      <w:bookmarkStart w:id="12" w:name="_Toc520356144"/>
      <w:r>
        <w:rPr>
          <w:rFonts w:hint="eastAsia" w:cs="宋体" w:asciiTheme="minorEastAsia" w:hAnsiTheme="minorEastAsia" w:eastAsiaTheme="minorEastAsia"/>
          <w:color w:val="auto"/>
        </w:rPr>
        <w:t>1.采购人、采购代理机构及</w:t>
      </w:r>
      <w:bookmarkEnd w:id="8"/>
      <w:bookmarkEnd w:id="9"/>
      <w:bookmarkEnd w:id="10"/>
      <w:bookmarkEnd w:id="11"/>
      <w:bookmarkEnd w:id="12"/>
      <w:r>
        <w:rPr>
          <w:rFonts w:hint="eastAsia" w:cs="宋体" w:asciiTheme="minorEastAsia" w:hAnsiTheme="minorEastAsia" w:eastAsiaTheme="minorEastAsia"/>
          <w:color w:val="auto"/>
        </w:rPr>
        <w:t>供应商</w:t>
      </w:r>
    </w:p>
    <w:p w14:paraId="03043B71">
      <w:pPr>
        <w:numPr>
          <w:ilvl w:val="1"/>
          <w:numId w:val="3"/>
        </w:numPr>
        <w:tabs>
          <w:tab w:val="left" w:pos="0"/>
          <w:tab w:val="clear" w:pos="900"/>
        </w:tabs>
        <w:spacing w:line="400" w:lineRule="exact"/>
        <w:ind w:hanging="898"/>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采购人：是指依法开展政府采购活动的国家机关、事业单位、团体组织。</w:t>
      </w:r>
    </w:p>
    <w:p w14:paraId="4F5E9711">
      <w:pPr>
        <w:tabs>
          <w:tab w:val="left" w:pos="0"/>
        </w:tabs>
        <w:spacing w:line="400" w:lineRule="exact"/>
        <w:ind w:left="9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本项目的采购人见</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w:t>
      </w:r>
    </w:p>
    <w:p w14:paraId="05245E64">
      <w:pPr>
        <w:numPr>
          <w:ilvl w:val="1"/>
          <w:numId w:val="3"/>
        </w:numPr>
        <w:tabs>
          <w:tab w:val="left" w:pos="0"/>
          <w:tab w:val="clear" w:pos="900"/>
        </w:tabs>
        <w:spacing w:line="400" w:lineRule="exact"/>
        <w:ind w:hanging="898"/>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采购代理机构：是指集中采购机构或从事采购代理业务的社会中介机构。本项目的采购代理机构见</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w:t>
      </w:r>
    </w:p>
    <w:p w14:paraId="5735F2F7">
      <w:pPr>
        <w:numPr>
          <w:ilvl w:val="1"/>
          <w:numId w:val="3"/>
        </w:numPr>
        <w:spacing w:line="400" w:lineRule="exact"/>
        <w:ind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供应商：是指向采购人提供货物、工程或者服务的法人、非法人组织或者自然人。本项目的供应商须满足以下条件：</w:t>
      </w:r>
    </w:p>
    <w:p w14:paraId="274CF9F0">
      <w:pPr>
        <w:spacing w:line="400" w:lineRule="exact"/>
        <w:ind w:left="850" w:hanging="849" w:hangingChars="354"/>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在中华人民共和国境内注册，能够独立承担民事责任，有生产或供应能力的本国供应商。</w:t>
      </w:r>
    </w:p>
    <w:p w14:paraId="7E18F98C">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1.3.2  具备《中华人民共和国政府采购法》第二十二条关于供应商条件的规定，遵守本项目采购人本级和上级财政部门政府采购的有关规定。</w:t>
      </w:r>
    </w:p>
    <w:p w14:paraId="47E4BFE6">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1.3.3   以采购代理机构认可的方式获得了本项目的磋商文件。</w:t>
      </w:r>
    </w:p>
    <w:p w14:paraId="451A76E5">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1.3.4   符合</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中规定的其他要求。</w:t>
      </w:r>
    </w:p>
    <w:p w14:paraId="2CB4CCA5">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1.3.5   若</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中写明专门面向中小企业采购的，如供应商为非中小企业，其响应将被认定为响应无效。</w:t>
      </w:r>
    </w:p>
    <w:p w14:paraId="30E44C99">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     如</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中允许联合体递交响应文件，对联合体规定如下：</w:t>
      </w:r>
    </w:p>
    <w:p w14:paraId="74B0FF4B">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1.4.1   两个以上供应商可以组成一个联合体，以一个供应商的身份递交响应文件。</w:t>
      </w:r>
    </w:p>
    <w:p w14:paraId="1E80DCA5">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1.4.2   联合体各方均应符合《中华人民共和国政府采购法》第二十二条规定的条件。</w:t>
      </w:r>
    </w:p>
    <w:p w14:paraId="704EC28F">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1.4.3   采购人根据采购项目对供应商的特殊要求，联合体中至少应当有一方符合相关规定。</w:t>
      </w:r>
    </w:p>
    <w:p w14:paraId="628706FE">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1.4.4   联合体各方应签订共同响应本磋商文件协议，明确约定联合体各方承担的工作和相应的责任，并将共同响应协议连同响应文件一并提交采购单位。</w:t>
      </w:r>
    </w:p>
    <w:p w14:paraId="63699FC1">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1.4.5   大中型企业、其他自然人、法人或者非法人组织与小型、微型企业组成联合体共同参加磋商，共同响应协议中应写明小型、微型企业的协议合同金额占到共同响应协议报价总金额的比例。</w:t>
      </w:r>
    </w:p>
    <w:p w14:paraId="1BCDCD0E">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1.4.6  联合体中有同类资质的供应商按照联合体分工承担相同工作的，按照资质等级较低的供应商确定资质等级。</w:t>
      </w:r>
    </w:p>
    <w:p w14:paraId="67E8DD9E">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1.4.7  以联合体形式参加政府采购活动的，联合体各方不得再单独参加或者与其他供应商另外组成联合体参加本项目磋商，否则相关磋商将被认定为响应无效。</w:t>
      </w:r>
    </w:p>
    <w:p w14:paraId="68FCD3CE">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1.4.8   对联合体提交响应文件的其他资格要求见</w:t>
      </w:r>
      <w:r>
        <w:rPr>
          <w:rFonts w:hint="eastAsia" w:cs="宋体" w:asciiTheme="minorEastAsia" w:hAnsiTheme="minorEastAsia" w:eastAsiaTheme="minorEastAsia"/>
          <w:color w:val="auto"/>
          <w:sz w:val="24"/>
          <w:u w:val="single"/>
        </w:rPr>
        <w:t>供应商须知</w:t>
      </w:r>
      <w:r>
        <w:rPr>
          <w:rFonts w:hint="eastAsia" w:cs="宋体" w:asciiTheme="minorEastAsia" w:hAnsiTheme="minorEastAsia" w:eastAsiaTheme="minorEastAsia"/>
          <w:color w:val="auto"/>
          <w:sz w:val="24"/>
          <w:u w:val="single"/>
          <w:lang w:val="en-US"/>
        </w:rPr>
        <w:t>前附</w:t>
      </w:r>
      <w:r>
        <w:rPr>
          <w:rFonts w:hint="eastAsia" w:cs="宋体" w:asciiTheme="minorEastAsia" w:hAnsiTheme="minorEastAsia" w:eastAsiaTheme="minorEastAsia"/>
          <w:color w:val="auto"/>
          <w:sz w:val="24"/>
          <w:u w:val="single"/>
        </w:rPr>
        <w:t>表</w:t>
      </w:r>
      <w:r>
        <w:rPr>
          <w:rFonts w:hint="eastAsia" w:cs="宋体" w:asciiTheme="minorEastAsia" w:hAnsiTheme="minorEastAsia" w:eastAsiaTheme="minorEastAsia"/>
          <w:color w:val="auto"/>
          <w:sz w:val="24"/>
        </w:rPr>
        <w:t>。</w:t>
      </w:r>
    </w:p>
    <w:p w14:paraId="73DFE3D3">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1.5    单位负责人为同一人或者存在直接控股、管理关系的不同供应商，其相关磋商将被认定为响应无效</w:t>
      </w:r>
    </w:p>
    <w:p w14:paraId="32B4864D">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1.6    为本项目提供过整体设计、规范编制或者项目管理、监理、检测等服务的供应商，不得再参加本项目上述服务以外的其他采购活动。否则其磋商将被认定为响应无效。</w:t>
      </w:r>
    </w:p>
    <w:p w14:paraId="38644BFC">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1.7</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供应商在磋商响应过程中不得向采购人提供或给予影响其正常决策行为的任何有价值物品或服务。一经发现，其磋商将被认定为响应无效。</w:t>
      </w:r>
    </w:p>
    <w:p w14:paraId="1095CA6C">
      <w:pPr>
        <w:pStyle w:val="5"/>
        <w:spacing w:before="0" w:line="400" w:lineRule="exact"/>
        <w:rPr>
          <w:rFonts w:cs="宋体" w:asciiTheme="minorEastAsia" w:hAnsiTheme="minorEastAsia" w:eastAsiaTheme="minorEastAsia"/>
          <w:color w:val="auto"/>
        </w:rPr>
      </w:pPr>
      <w:bookmarkStart w:id="13" w:name="_Toc11482_WPSOffice_Level2"/>
      <w:bookmarkStart w:id="14" w:name="_Toc518923062"/>
      <w:bookmarkStart w:id="15" w:name="_Toc2643"/>
      <w:bookmarkStart w:id="16" w:name="_Toc11813_WPSOffice_Level2"/>
      <w:r>
        <w:rPr>
          <w:rFonts w:hint="eastAsia" w:cs="宋体" w:asciiTheme="minorEastAsia" w:hAnsiTheme="minorEastAsia" w:eastAsiaTheme="minorEastAsia"/>
          <w:color w:val="auto"/>
        </w:rPr>
        <w:t>2.资金来源</w:t>
      </w:r>
      <w:bookmarkEnd w:id="13"/>
      <w:bookmarkEnd w:id="14"/>
      <w:bookmarkEnd w:id="15"/>
      <w:bookmarkEnd w:id="16"/>
    </w:p>
    <w:p w14:paraId="13EF4EDF">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本项目的采购人已获得足以支付本次磋商后所签订的合同项下的资金（包括财政性资金和本项目采购中无法与财政性资金分割的非财政性资金）。</w:t>
      </w:r>
    </w:p>
    <w:p w14:paraId="2603D8E4">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    项目预算金额和分项或分包最高限价</w:t>
      </w:r>
      <w:r>
        <w:rPr>
          <w:rFonts w:hint="eastAsia" w:cs="宋体" w:asciiTheme="minorEastAsia" w:hAnsiTheme="minorEastAsia" w:eastAsiaTheme="minorEastAsia"/>
          <w:color w:val="auto"/>
          <w:sz w:val="24"/>
          <w:u w:val="single"/>
        </w:rPr>
        <w:t>见供应商须知前附表</w:t>
      </w:r>
      <w:r>
        <w:rPr>
          <w:rFonts w:hint="eastAsia" w:cs="宋体" w:asciiTheme="minorEastAsia" w:hAnsiTheme="minorEastAsia" w:eastAsiaTheme="minorEastAsia"/>
          <w:color w:val="auto"/>
          <w:sz w:val="24"/>
        </w:rPr>
        <w:t>。</w:t>
      </w:r>
    </w:p>
    <w:p w14:paraId="387C0DE0">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2.3    供应商报价超过磋商文件规定的预算金额或者分项、分包最高限价的，其报价将被认定为无效。</w:t>
      </w:r>
    </w:p>
    <w:p w14:paraId="035365B5">
      <w:pPr>
        <w:pStyle w:val="5"/>
        <w:spacing w:before="0" w:line="400" w:lineRule="exact"/>
        <w:rPr>
          <w:rFonts w:cs="宋体" w:asciiTheme="minorEastAsia" w:hAnsiTheme="minorEastAsia" w:eastAsiaTheme="minorEastAsia"/>
          <w:color w:val="auto"/>
        </w:rPr>
      </w:pPr>
      <w:bookmarkStart w:id="17" w:name="_Toc8601_WPSOffice_Level2"/>
      <w:bookmarkStart w:id="18" w:name="_Toc518923063"/>
      <w:bookmarkStart w:id="19" w:name="_Toc8946_WPSOffice_Level2"/>
      <w:bookmarkStart w:id="20" w:name="_Toc28166"/>
      <w:bookmarkStart w:id="21" w:name="_Toc520356145"/>
      <w:r>
        <w:rPr>
          <w:rFonts w:hint="eastAsia" w:cs="宋体" w:asciiTheme="minorEastAsia" w:hAnsiTheme="minorEastAsia" w:eastAsiaTheme="minorEastAsia"/>
          <w:color w:val="auto"/>
        </w:rPr>
        <w:t>3.磋商费用</w:t>
      </w:r>
      <w:bookmarkEnd w:id="17"/>
      <w:bookmarkEnd w:id="18"/>
      <w:bookmarkEnd w:id="19"/>
      <w:bookmarkEnd w:id="20"/>
      <w:bookmarkEnd w:id="21"/>
    </w:p>
    <w:p w14:paraId="01E8DD18">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不论磋商的结果如何，供应商应承担所有与准备和参加磋商有关的费用。</w:t>
      </w:r>
    </w:p>
    <w:p w14:paraId="78D05CC0">
      <w:pPr>
        <w:pStyle w:val="5"/>
        <w:spacing w:before="0" w:line="400" w:lineRule="exact"/>
        <w:rPr>
          <w:rFonts w:cs="宋体" w:asciiTheme="minorEastAsia" w:hAnsiTheme="minorEastAsia" w:eastAsiaTheme="minorEastAsia"/>
          <w:color w:val="auto"/>
        </w:rPr>
      </w:pPr>
      <w:bookmarkStart w:id="22" w:name="_Toc8368_WPSOffice_Level2"/>
      <w:bookmarkStart w:id="23" w:name="_Toc518923064"/>
      <w:bookmarkStart w:id="24" w:name="_Toc32365"/>
      <w:bookmarkStart w:id="25" w:name="_Toc1523_WPSOffice_Level2"/>
      <w:r>
        <w:rPr>
          <w:rFonts w:hint="eastAsia" w:cs="宋体" w:asciiTheme="minorEastAsia" w:hAnsiTheme="minorEastAsia" w:eastAsiaTheme="minorEastAsia"/>
          <w:color w:val="auto"/>
        </w:rPr>
        <w:t>4.适用法律</w:t>
      </w:r>
      <w:bookmarkEnd w:id="22"/>
      <w:bookmarkEnd w:id="23"/>
      <w:bookmarkEnd w:id="24"/>
      <w:bookmarkEnd w:id="25"/>
    </w:p>
    <w:p w14:paraId="4E3473B2">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14:paraId="3A697877">
      <w:pPr>
        <w:pStyle w:val="4"/>
        <w:spacing w:before="0" w:line="400" w:lineRule="exact"/>
        <w:ind w:left="1105" w:leftChars="257" w:hanging="540"/>
        <w:rPr>
          <w:rFonts w:cs="宋体" w:asciiTheme="minorEastAsia" w:hAnsiTheme="minorEastAsia" w:eastAsiaTheme="minorEastAsia"/>
          <w:color w:val="auto"/>
        </w:rPr>
      </w:pPr>
      <w:bookmarkStart w:id="26" w:name="_Toc809"/>
      <w:bookmarkStart w:id="27" w:name="_Toc520356146"/>
      <w:bookmarkStart w:id="28" w:name="_Toc216582806"/>
      <w:bookmarkStart w:id="29" w:name="_Toc518923065"/>
      <w:bookmarkStart w:id="30" w:name="_Toc10894_WPSOffice_Level1"/>
      <w:bookmarkStart w:id="31" w:name="_Toc21424"/>
      <w:r>
        <w:rPr>
          <w:rFonts w:hint="eastAsia" w:cs="宋体" w:asciiTheme="minorEastAsia" w:hAnsiTheme="minorEastAsia" w:eastAsiaTheme="minorEastAsia"/>
          <w:color w:val="auto"/>
          <w:sz w:val="28"/>
        </w:rPr>
        <w:t xml:space="preserve">二   </w:t>
      </w:r>
      <w:bookmarkEnd w:id="26"/>
      <w:bookmarkEnd w:id="27"/>
      <w:bookmarkEnd w:id="28"/>
      <w:bookmarkEnd w:id="29"/>
      <w:r>
        <w:rPr>
          <w:rFonts w:hint="eastAsia" w:cs="宋体" w:asciiTheme="minorEastAsia" w:hAnsiTheme="minorEastAsia" w:eastAsiaTheme="minorEastAsia"/>
          <w:color w:val="auto"/>
          <w:sz w:val="28"/>
        </w:rPr>
        <w:t>磋商文件</w:t>
      </w:r>
      <w:bookmarkEnd w:id="30"/>
      <w:bookmarkEnd w:id="31"/>
    </w:p>
    <w:p w14:paraId="0EC040AB">
      <w:pPr>
        <w:pStyle w:val="5"/>
        <w:spacing w:before="0" w:line="400" w:lineRule="exact"/>
        <w:rPr>
          <w:rFonts w:cs="宋体" w:asciiTheme="minorEastAsia" w:hAnsiTheme="minorEastAsia" w:eastAsiaTheme="minorEastAsia"/>
          <w:color w:val="auto"/>
        </w:rPr>
      </w:pPr>
      <w:bookmarkStart w:id="32" w:name="_Toc520356147"/>
      <w:bookmarkStart w:id="33" w:name="_Toc15303_WPSOffice_Level2"/>
      <w:bookmarkStart w:id="34" w:name="_Toc15218_WPSOffice_Level2"/>
      <w:bookmarkStart w:id="35" w:name="_Toc518923066"/>
      <w:bookmarkStart w:id="36" w:name="_Toc22990"/>
      <w:r>
        <w:rPr>
          <w:rFonts w:hint="eastAsia" w:cs="宋体" w:asciiTheme="minorEastAsia" w:hAnsiTheme="minorEastAsia" w:eastAsiaTheme="minorEastAsia"/>
          <w:color w:val="auto"/>
        </w:rPr>
        <w:t>5.磋商文件构成</w:t>
      </w:r>
      <w:bookmarkEnd w:id="32"/>
      <w:bookmarkEnd w:id="33"/>
      <w:bookmarkEnd w:id="34"/>
      <w:bookmarkEnd w:id="35"/>
      <w:bookmarkEnd w:id="36"/>
    </w:p>
    <w:p w14:paraId="26CCA78F">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磋商文件内容如下：</w:t>
      </w:r>
    </w:p>
    <w:p w14:paraId="554C9859">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lang w:val="en-US"/>
        </w:rPr>
        <w:t>第一章</w:t>
      </w:r>
      <w:r>
        <w:rPr>
          <w:rFonts w:hint="eastAsia" w:cs="宋体" w:asciiTheme="minorEastAsia" w:hAnsiTheme="minorEastAsia" w:eastAsiaTheme="minorEastAsia"/>
          <w:color w:val="auto"/>
          <w:sz w:val="24"/>
          <w:szCs w:val="22"/>
        </w:rPr>
        <w:t>竞争性磋商采购公告</w:t>
      </w:r>
    </w:p>
    <w:p w14:paraId="2E23C5E9">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lang w:val="en-US"/>
        </w:rPr>
        <w:t>第二章</w:t>
      </w:r>
      <w:r>
        <w:rPr>
          <w:rFonts w:hint="eastAsia" w:cs="宋体" w:asciiTheme="minorEastAsia" w:hAnsiTheme="minorEastAsia" w:eastAsiaTheme="minorEastAsia"/>
          <w:color w:val="auto"/>
          <w:sz w:val="24"/>
          <w:szCs w:val="22"/>
        </w:rPr>
        <w:t>供应商须知</w:t>
      </w:r>
    </w:p>
    <w:p w14:paraId="0159DE5A">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 xml:space="preserve">第三章 </w:t>
      </w:r>
      <w:r>
        <w:rPr>
          <w:rFonts w:hint="eastAsia" w:cs="宋体" w:asciiTheme="minorEastAsia" w:hAnsiTheme="minorEastAsia" w:eastAsiaTheme="minorEastAsia"/>
          <w:color w:val="auto"/>
          <w:sz w:val="24"/>
          <w:szCs w:val="22"/>
          <w:lang w:val="en-US"/>
        </w:rPr>
        <w:t>采购需求</w:t>
      </w:r>
    </w:p>
    <w:p w14:paraId="5FF655E3">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 xml:space="preserve">第四章 合同条款（格式） </w:t>
      </w:r>
    </w:p>
    <w:p w14:paraId="7572FC01">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第五章 综合评分法细则（竞争性磋商，两轮报价）</w:t>
      </w:r>
    </w:p>
    <w:p w14:paraId="29EADE4B">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第六章 响应文件格式</w:t>
      </w:r>
    </w:p>
    <w:p w14:paraId="03737877">
      <w:pPr>
        <w:pStyle w:val="10"/>
        <w:adjustRightInd w:val="0"/>
        <w:ind w:firstLine="960" w:firstLineChars="400"/>
        <w:jc w:val="both"/>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第七章 附件</w:t>
      </w:r>
    </w:p>
    <w:p w14:paraId="534BE023">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如本文件的前后内容不一致，以</w:t>
      </w:r>
      <w:r>
        <w:rPr>
          <w:rFonts w:hint="eastAsia" w:cs="宋体" w:asciiTheme="minorEastAsia" w:hAnsiTheme="minorEastAsia" w:eastAsiaTheme="minorEastAsia"/>
          <w:color w:val="auto"/>
          <w:sz w:val="24"/>
          <w:lang w:val="en-US" w:eastAsia="zh-CN"/>
        </w:rPr>
        <w:t>须知前附表</w:t>
      </w:r>
      <w:r>
        <w:rPr>
          <w:rFonts w:hint="eastAsia" w:cs="宋体" w:asciiTheme="minorEastAsia" w:hAnsiTheme="minorEastAsia" w:eastAsiaTheme="minorEastAsia"/>
          <w:color w:val="auto"/>
          <w:sz w:val="24"/>
        </w:rPr>
        <w:t>为准。</w:t>
      </w:r>
    </w:p>
    <w:p w14:paraId="08C943B2">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14:paraId="0C3FE8DB">
      <w:pPr>
        <w:pStyle w:val="5"/>
        <w:spacing w:before="0" w:line="400" w:lineRule="exact"/>
        <w:rPr>
          <w:rFonts w:cs="宋体" w:asciiTheme="minorEastAsia" w:hAnsiTheme="minorEastAsia" w:eastAsiaTheme="minorEastAsia"/>
          <w:b w:val="0"/>
          <w:color w:val="auto"/>
        </w:rPr>
      </w:pPr>
      <w:bookmarkStart w:id="37" w:name="_Toc520356148"/>
      <w:bookmarkStart w:id="38" w:name="_Toc90_WPSOffice_Level2"/>
      <w:bookmarkStart w:id="39" w:name="_Toc21314"/>
      <w:bookmarkStart w:id="40" w:name="_Toc518923067"/>
      <w:bookmarkStart w:id="41" w:name="_Toc29081_WPSOffice_Level2"/>
      <w:r>
        <w:rPr>
          <w:rFonts w:hint="eastAsia" w:cs="宋体" w:asciiTheme="minorEastAsia" w:hAnsiTheme="minorEastAsia" w:eastAsiaTheme="minorEastAsia"/>
          <w:color w:val="auto"/>
        </w:rPr>
        <w:t>6.磋商文件的澄清</w:t>
      </w:r>
      <w:bookmarkEnd w:id="37"/>
      <w:r>
        <w:rPr>
          <w:rFonts w:hint="eastAsia" w:cs="宋体" w:asciiTheme="minorEastAsia" w:hAnsiTheme="minorEastAsia" w:eastAsiaTheme="minorEastAsia"/>
          <w:color w:val="auto"/>
        </w:rPr>
        <w:t>与修改</w:t>
      </w:r>
      <w:bookmarkEnd w:id="38"/>
      <w:bookmarkEnd w:id="39"/>
      <w:bookmarkEnd w:id="40"/>
      <w:bookmarkEnd w:id="41"/>
    </w:p>
    <w:p w14:paraId="15D85EA2">
      <w:pPr>
        <w:pStyle w:val="7"/>
        <w:spacing w:line="400" w:lineRule="exact"/>
        <w:ind w:left="770" w:hanging="770" w:hangingChars="35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6.1    为了保证对磋商文件的澄清和修改满足法律的时限要求，</w:t>
      </w:r>
      <w:bookmarkStart w:id="42" w:name="_Ref467378678"/>
      <w:bookmarkStart w:id="43" w:name="_Toc520356149"/>
      <w:r>
        <w:rPr>
          <w:rFonts w:hint="eastAsia" w:cs="宋体" w:asciiTheme="minorEastAsia" w:hAnsiTheme="minorEastAsia" w:eastAsiaTheme="minorEastAsia"/>
          <w:color w:val="auto"/>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A315DE5">
      <w:pPr>
        <w:pStyle w:val="7"/>
        <w:spacing w:line="400" w:lineRule="exact"/>
        <w:ind w:left="770" w:hanging="770" w:hangingChars="35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6.2</w:t>
      </w:r>
      <w:r>
        <w:rPr>
          <w:rFonts w:hint="eastAsia" w:cs="宋体" w:asciiTheme="minorEastAsia" w:hAnsiTheme="minorEastAsia" w:eastAsiaTheme="minorEastAsia"/>
          <w:color w:val="auto"/>
          <w:szCs w:val="24"/>
        </w:rPr>
        <w:tab/>
      </w:r>
      <w:r>
        <w:rPr>
          <w:rFonts w:hint="eastAsia" w:cs="宋体" w:asciiTheme="minorEastAsia" w:hAnsiTheme="minorEastAsia" w:eastAsiaTheme="minorEastAsia"/>
          <w:color w:val="auto"/>
          <w:szCs w:val="24"/>
        </w:rPr>
        <w:t>采购人可主动地或在解答供应商提出的澄清问题时对磋商文件澄清或修改。采购代理机构将以发布澄清（更正）公告的方式，澄清或修改磋商文件，澄清或修改内容作为磋商文件的组成部分。</w:t>
      </w:r>
    </w:p>
    <w:p w14:paraId="1C3625C7">
      <w:pPr>
        <w:pStyle w:val="7"/>
        <w:spacing w:line="400" w:lineRule="exact"/>
        <w:ind w:left="770" w:hanging="770" w:hangingChars="35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6.3</w:t>
      </w:r>
      <w:r>
        <w:rPr>
          <w:rFonts w:hint="eastAsia" w:cs="宋体" w:asciiTheme="minorEastAsia" w:hAnsiTheme="minorEastAsia" w:eastAsiaTheme="minorEastAsia"/>
          <w:color w:val="auto"/>
          <w:szCs w:val="24"/>
        </w:rPr>
        <w:tab/>
      </w:r>
      <w:r>
        <w:rPr>
          <w:rFonts w:hint="eastAsia" w:cs="宋体" w:asciiTheme="minorEastAsia" w:hAnsiTheme="minorEastAsia" w:eastAsiaTheme="minorEastAsia"/>
          <w:color w:val="auto"/>
          <w:szCs w:val="24"/>
        </w:rPr>
        <w:t>澄清或者修改的内容可能影响响应文件编制的，采购代理机构将以书面形式通知所有购买磋商文件的潜在供应商，并对其具有约束力。供应商在收到上述通知后，应及时向采购代理机构回函确认。</w:t>
      </w:r>
    </w:p>
    <w:p w14:paraId="20170AE2">
      <w:pPr>
        <w:pStyle w:val="5"/>
        <w:tabs>
          <w:tab w:val="left" w:pos="900"/>
        </w:tabs>
        <w:spacing w:before="0" w:line="400" w:lineRule="exact"/>
        <w:rPr>
          <w:rFonts w:cs="宋体" w:asciiTheme="minorEastAsia" w:hAnsiTheme="minorEastAsia" w:eastAsiaTheme="minorEastAsia"/>
          <w:color w:val="auto"/>
        </w:rPr>
      </w:pPr>
      <w:bookmarkStart w:id="44" w:name="_Toc9694_WPSOffice_Level2"/>
      <w:bookmarkStart w:id="45" w:name="_Toc10994"/>
      <w:bookmarkStart w:id="46" w:name="_Toc31699_WPSOffice_Level2"/>
      <w:bookmarkStart w:id="47" w:name="_Toc518923068"/>
      <w:r>
        <w:rPr>
          <w:rFonts w:hint="eastAsia" w:cs="宋体" w:asciiTheme="minorEastAsia" w:hAnsiTheme="minorEastAsia" w:eastAsiaTheme="minorEastAsia"/>
          <w:color w:val="auto"/>
        </w:rPr>
        <w:t>7</w:t>
      </w:r>
      <w:bookmarkEnd w:id="42"/>
      <w:bookmarkEnd w:id="43"/>
      <w:r>
        <w:rPr>
          <w:rFonts w:hint="eastAsia" w:cs="宋体" w:asciiTheme="minorEastAsia" w:hAnsiTheme="minorEastAsia" w:eastAsiaTheme="minorEastAsia"/>
          <w:color w:val="auto"/>
        </w:rPr>
        <w:t>.响应文件递交截止时间的顺延</w:t>
      </w:r>
      <w:bookmarkEnd w:id="44"/>
      <w:bookmarkEnd w:id="45"/>
      <w:bookmarkEnd w:id="46"/>
      <w:bookmarkEnd w:id="47"/>
    </w:p>
    <w:p w14:paraId="4C65E331">
      <w:pPr>
        <w:spacing w:line="4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为使供应商准备递交响应文件时有足够的时间对磋商文件的澄清或者修改部分进行研究，采购人将依法决定是否顺延响应文件递交截止时间。</w:t>
      </w:r>
    </w:p>
    <w:p w14:paraId="71D787D7">
      <w:pPr>
        <w:pStyle w:val="4"/>
        <w:tabs>
          <w:tab w:val="left" w:pos="900"/>
        </w:tabs>
        <w:spacing w:before="0" w:line="400" w:lineRule="exact"/>
        <w:ind w:left="1105" w:leftChars="257" w:hanging="540"/>
        <w:rPr>
          <w:rFonts w:cs="宋体" w:asciiTheme="minorEastAsia" w:hAnsiTheme="minorEastAsia" w:eastAsiaTheme="minorEastAsia"/>
          <w:color w:val="auto"/>
        </w:rPr>
      </w:pPr>
      <w:bookmarkStart w:id="48" w:name="_Toc516367020"/>
      <w:bookmarkStart w:id="49" w:name="_Toc518923069"/>
      <w:bookmarkStart w:id="50" w:name="_Toc4436_WPSOffice_Level1"/>
      <w:bookmarkStart w:id="51" w:name="_Toc520356150"/>
      <w:bookmarkStart w:id="52" w:name="_Toc25389"/>
      <w:bookmarkStart w:id="53" w:name="_Toc14114"/>
      <w:bookmarkStart w:id="54" w:name="_Toc216582807"/>
      <w:r>
        <w:rPr>
          <w:rFonts w:hint="eastAsia" w:cs="宋体" w:asciiTheme="minorEastAsia" w:hAnsiTheme="minorEastAsia" w:eastAsiaTheme="minorEastAsia"/>
          <w:color w:val="auto"/>
          <w:sz w:val="28"/>
        </w:rPr>
        <w:t xml:space="preserve">三   </w:t>
      </w:r>
      <w:bookmarkEnd w:id="48"/>
      <w:r>
        <w:rPr>
          <w:rFonts w:hint="eastAsia" w:cs="宋体" w:asciiTheme="minorEastAsia" w:hAnsiTheme="minorEastAsia" w:eastAsiaTheme="minorEastAsia"/>
          <w:color w:val="auto"/>
          <w:sz w:val="28"/>
        </w:rPr>
        <w:t>响应文件的编制</w:t>
      </w:r>
      <w:bookmarkEnd w:id="49"/>
      <w:bookmarkEnd w:id="50"/>
      <w:bookmarkEnd w:id="51"/>
      <w:bookmarkEnd w:id="52"/>
      <w:bookmarkEnd w:id="53"/>
      <w:bookmarkEnd w:id="54"/>
    </w:p>
    <w:p w14:paraId="6BF603A0">
      <w:pPr>
        <w:pStyle w:val="5"/>
        <w:tabs>
          <w:tab w:val="left" w:pos="900"/>
        </w:tabs>
        <w:spacing w:before="0" w:line="400" w:lineRule="exact"/>
        <w:rPr>
          <w:rFonts w:cs="宋体" w:asciiTheme="minorEastAsia" w:hAnsiTheme="minorEastAsia" w:eastAsiaTheme="minorEastAsia"/>
          <w:color w:val="auto"/>
        </w:rPr>
      </w:pPr>
      <w:bookmarkStart w:id="55" w:name="_Toc6728"/>
      <w:bookmarkStart w:id="56" w:name="_Toc520356151"/>
      <w:bookmarkStart w:id="57" w:name="_Toc20686_WPSOffice_Level2"/>
      <w:bookmarkStart w:id="58" w:name="_Toc13590_WPSOffice_Level2"/>
      <w:bookmarkStart w:id="59" w:name="_Toc516367021"/>
      <w:bookmarkStart w:id="60" w:name="_Toc518923070"/>
      <w:r>
        <w:rPr>
          <w:rFonts w:hint="eastAsia" w:cs="宋体" w:asciiTheme="minorEastAsia" w:hAnsiTheme="minorEastAsia" w:eastAsiaTheme="minorEastAsia"/>
          <w:color w:val="auto"/>
        </w:rPr>
        <w:t>8.</w:t>
      </w:r>
      <w:r>
        <w:rPr>
          <w:rFonts w:hint="eastAsia" w:cs="宋体" w:asciiTheme="minorEastAsia" w:hAnsiTheme="minorEastAsia" w:eastAsiaTheme="minorEastAsia"/>
          <w:color w:val="auto"/>
        </w:rPr>
        <w:tab/>
      </w:r>
      <w:r>
        <w:rPr>
          <w:rFonts w:hint="eastAsia" w:cs="宋体" w:asciiTheme="minorEastAsia" w:hAnsiTheme="minorEastAsia" w:eastAsiaTheme="minorEastAsia"/>
          <w:color w:val="auto"/>
        </w:rPr>
        <w:t>磋商范围及响应文件成交准和计量单位的使用</w:t>
      </w:r>
      <w:bookmarkEnd w:id="55"/>
      <w:bookmarkEnd w:id="56"/>
      <w:bookmarkEnd w:id="57"/>
      <w:bookmarkEnd w:id="58"/>
      <w:bookmarkEnd w:id="59"/>
      <w:bookmarkEnd w:id="60"/>
    </w:p>
    <w:p w14:paraId="42E3D3CC">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项目有分包的，供应商可对磋商文件其中一个或几个分包进行响应，除非在</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中另有规定。</w:t>
      </w:r>
    </w:p>
    <w:p w14:paraId="2E8B3920">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8.2    供应商应当对所投分包磋商文件中“项目需求”所列的所有服务内容进行响应，如仅响应分包中的部分内容，其响应将被认定为响应无效。</w:t>
      </w:r>
    </w:p>
    <w:p w14:paraId="0EDBA616">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8.3     无论磋商文件第</w:t>
      </w:r>
      <w:r>
        <w:rPr>
          <w:rFonts w:hint="eastAsia" w:cs="宋体" w:asciiTheme="minorEastAsia" w:hAnsiTheme="minorEastAsia" w:eastAsiaTheme="minorEastAsia"/>
          <w:color w:val="auto"/>
          <w:sz w:val="24"/>
          <w:lang w:val="en-US"/>
        </w:rPr>
        <w:t>3</w:t>
      </w:r>
      <w:r>
        <w:rPr>
          <w:rFonts w:hint="eastAsia" w:cs="宋体" w:asciiTheme="minorEastAsia" w:hAnsiTheme="minorEastAsia" w:eastAsiaTheme="minorEastAsia"/>
          <w:color w:val="auto"/>
          <w:sz w:val="24"/>
        </w:rPr>
        <w:t>章</w:t>
      </w:r>
      <w:r>
        <w:rPr>
          <w:rFonts w:hint="eastAsia" w:cs="宋体" w:asciiTheme="minorEastAsia" w:hAnsiTheme="minorEastAsia" w:eastAsiaTheme="minorEastAsia"/>
          <w:color w:val="auto"/>
          <w:sz w:val="24"/>
          <w:lang w:val="en-US"/>
        </w:rPr>
        <w:t>采购</w:t>
      </w:r>
      <w:r>
        <w:rPr>
          <w:rFonts w:hint="eastAsia" w:cs="宋体" w:asciiTheme="minorEastAsia" w:hAnsiTheme="minorEastAsia" w:eastAsiaTheme="minorEastAsia"/>
          <w:color w:val="auto"/>
          <w:sz w:val="24"/>
        </w:rPr>
        <w:t>需求中是否要求，供应商所投服务均应符合国家强制性标准。</w:t>
      </w:r>
    </w:p>
    <w:p w14:paraId="4FBF4FA3">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8.4     除磋商文件中有特殊要求外，响应文件中所使用的计量单位，应采用中华人民共和国法定计量单位。</w:t>
      </w:r>
    </w:p>
    <w:p w14:paraId="10CCE9D7">
      <w:pPr>
        <w:pStyle w:val="5"/>
        <w:tabs>
          <w:tab w:val="left" w:pos="900"/>
        </w:tabs>
        <w:spacing w:before="0" w:line="400" w:lineRule="exact"/>
        <w:rPr>
          <w:rFonts w:cs="宋体" w:asciiTheme="minorEastAsia" w:hAnsiTheme="minorEastAsia" w:eastAsiaTheme="minorEastAsia"/>
          <w:color w:val="auto"/>
        </w:rPr>
      </w:pPr>
      <w:bookmarkStart w:id="61" w:name="_Toc516367022"/>
      <w:bookmarkStart w:id="62" w:name="_Ref467306676"/>
      <w:bookmarkStart w:id="63" w:name="_Ref467306195"/>
      <w:bookmarkStart w:id="64" w:name="_Toc31935_WPSOffice_Level2"/>
      <w:bookmarkStart w:id="65" w:name="_Toc518923071"/>
      <w:bookmarkStart w:id="66" w:name="_Toc15487"/>
      <w:bookmarkStart w:id="67" w:name="_Toc520356152"/>
      <w:bookmarkStart w:id="68" w:name="_Toc28579_WPSOffice_Level2"/>
      <w:r>
        <w:rPr>
          <w:rFonts w:hint="eastAsia" w:cs="宋体" w:asciiTheme="minorEastAsia" w:hAnsiTheme="minorEastAsia" w:eastAsiaTheme="minorEastAsia"/>
          <w:color w:val="auto"/>
        </w:rPr>
        <w:t>9.</w:t>
      </w:r>
      <w:bookmarkEnd w:id="61"/>
      <w:bookmarkEnd w:id="62"/>
      <w:bookmarkEnd w:id="63"/>
      <w:r>
        <w:rPr>
          <w:rFonts w:hint="eastAsia" w:cs="宋体" w:asciiTheme="minorEastAsia" w:hAnsiTheme="minorEastAsia" w:eastAsiaTheme="minorEastAsia"/>
          <w:color w:val="auto"/>
        </w:rPr>
        <w:t>响应文件构成</w:t>
      </w:r>
      <w:bookmarkEnd w:id="64"/>
      <w:bookmarkEnd w:id="65"/>
      <w:bookmarkEnd w:id="66"/>
      <w:bookmarkEnd w:id="67"/>
      <w:bookmarkEnd w:id="68"/>
    </w:p>
    <w:p w14:paraId="5A8DA873">
      <w:pPr>
        <w:tabs>
          <w:tab w:val="left" w:pos="900"/>
          <w:tab w:val="left" w:pos="5580"/>
        </w:tabs>
        <w:spacing w:line="360" w:lineRule="exact"/>
        <w:ind w:left="960" w:hanging="960" w:hangingChars="400"/>
        <w:rPr>
          <w:rFonts w:cs="宋体" w:asciiTheme="minorEastAsia" w:hAnsiTheme="minorEastAsia" w:eastAsiaTheme="minorEastAsia"/>
          <w:b/>
          <w:bCs/>
          <w:color w:val="auto"/>
          <w:sz w:val="24"/>
          <w:szCs w:val="20"/>
          <w:u w:val="single"/>
        </w:rPr>
      </w:pPr>
      <w:bookmarkStart w:id="69" w:name="_Ref467052588"/>
      <w:r>
        <w:rPr>
          <w:rFonts w:hint="eastAsia" w:cs="宋体" w:asciiTheme="minorEastAsia" w:hAnsiTheme="minorEastAsia" w:eastAsiaTheme="minorEastAsia"/>
          <w:color w:val="auto"/>
          <w:sz w:val="24"/>
        </w:rPr>
        <w:t xml:space="preserve">9.1    </w:t>
      </w:r>
      <w:bookmarkEnd w:id="69"/>
      <w:r>
        <w:rPr>
          <w:rFonts w:hint="eastAsia" w:cs="宋体" w:asciiTheme="minorEastAsia" w:hAnsiTheme="minorEastAsia" w:eastAsiaTheme="minorEastAsia"/>
          <w:b/>
          <w:bCs/>
          <w:color w:val="auto"/>
          <w:sz w:val="24"/>
          <w:u w:val="single"/>
        </w:rPr>
        <w:t>供应商应完整地按磋商文件提供的响应文件格式及要求</w:t>
      </w:r>
      <w:r>
        <w:rPr>
          <w:rFonts w:hint="eastAsia" w:cs="宋体" w:asciiTheme="minorEastAsia" w:hAnsiTheme="minorEastAsia" w:eastAsiaTheme="minorEastAsia"/>
          <w:b/>
          <w:bCs/>
          <w:color w:val="auto"/>
          <w:sz w:val="24"/>
          <w:u w:val="single"/>
          <w:lang w:val="en-US"/>
        </w:rPr>
        <w:t>编</w:t>
      </w:r>
      <w:r>
        <w:rPr>
          <w:rFonts w:hint="eastAsia" w:cs="宋体" w:asciiTheme="minorEastAsia" w:hAnsiTheme="minorEastAsia" w:eastAsiaTheme="minorEastAsia"/>
          <w:b/>
          <w:bCs/>
          <w:color w:val="auto"/>
          <w:sz w:val="24"/>
          <w:u w:val="single"/>
        </w:rPr>
        <w:t>写响应文件，响应文件应包括“报价一览表及资格证明文件”和“商务及技术文件”两部分，两部分合订成一册，密封递交。供应商应承担封装失误产生的任何后果。</w:t>
      </w:r>
    </w:p>
    <w:p w14:paraId="2F1CAD07">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9.2    上述文件应按照磋商文件规定的格式填写、签署和盖章。</w:t>
      </w:r>
    </w:p>
    <w:p w14:paraId="03880FC3">
      <w:pPr>
        <w:pStyle w:val="5"/>
        <w:tabs>
          <w:tab w:val="left" w:pos="900"/>
        </w:tabs>
        <w:spacing w:before="0" w:line="400" w:lineRule="exact"/>
        <w:rPr>
          <w:rFonts w:cs="宋体" w:asciiTheme="minorEastAsia" w:hAnsiTheme="minorEastAsia" w:eastAsiaTheme="minorEastAsia"/>
          <w:color w:val="auto"/>
        </w:rPr>
      </w:pPr>
      <w:bookmarkStart w:id="70" w:name="_Toc2671"/>
      <w:bookmarkStart w:id="71" w:name="_Toc10751_WPSOffice_Level2"/>
      <w:bookmarkStart w:id="72" w:name="_Toc520356153"/>
      <w:bookmarkStart w:id="73" w:name="_Toc508185920"/>
      <w:bookmarkStart w:id="74" w:name="_Toc518923072"/>
      <w:bookmarkStart w:id="75" w:name="_Toc516367023"/>
      <w:bookmarkStart w:id="76" w:name="_Toc5768_WPSOffice_Level2"/>
      <w:bookmarkStart w:id="77" w:name="_Toc520356155"/>
      <w:r>
        <w:rPr>
          <w:rFonts w:hint="eastAsia" w:cs="宋体" w:asciiTheme="minorEastAsia" w:hAnsiTheme="minorEastAsia" w:eastAsiaTheme="minorEastAsia"/>
          <w:color w:val="auto"/>
        </w:rPr>
        <w:t>10.</w:t>
      </w:r>
      <w:r>
        <w:rPr>
          <w:rFonts w:hint="eastAsia" w:cs="宋体" w:asciiTheme="minorEastAsia" w:hAnsiTheme="minorEastAsia" w:eastAsiaTheme="minorEastAsia"/>
          <w:color w:val="auto"/>
        </w:rPr>
        <w:tab/>
      </w:r>
      <w:r>
        <w:rPr>
          <w:rFonts w:hint="eastAsia" w:cs="宋体" w:asciiTheme="minorEastAsia" w:hAnsiTheme="minorEastAsia" w:eastAsiaTheme="minorEastAsia"/>
          <w:color w:val="auto"/>
        </w:rPr>
        <w:t>证明标的的合格性和符合磋商文件规定的响应文件</w:t>
      </w:r>
      <w:bookmarkEnd w:id="70"/>
      <w:bookmarkEnd w:id="71"/>
      <w:bookmarkEnd w:id="72"/>
      <w:bookmarkEnd w:id="73"/>
      <w:bookmarkEnd w:id="74"/>
      <w:bookmarkEnd w:id="75"/>
      <w:bookmarkEnd w:id="76"/>
    </w:p>
    <w:p w14:paraId="770F1DC2">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供应商应提交证明文件，证明其响应文件内容符合磋商文件规定。该证明文件是响应文件的一部分。</w:t>
      </w:r>
    </w:p>
    <w:p w14:paraId="3957FC38">
      <w:pPr>
        <w:spacing w:line="400" w:lineRule="exact"/>
        <w:ind w:left="900" w:hanging="900" w:hangingChars="375"/>
        <w:rPr>
          <w:rFonts w:cs="宋体" w:asciiTheme="minorEastAsia" w:hAnsiTheme="minorEastAsia" w:eastAsiaTheme="minorEastAsia"/>
          <w:color w:val="auto"/>
          <w:sz w:val="24"/>
        </w:rPr>
      </w:pPr>
      <w:bookmarkStart w:id="78" w:name="_Ref467306244"/>
      <w:r>
        <w:rPr>
          <w:rFonts w:hint="eastAsia" w:cs="宋体" w:asciiTheme="minorEastAsia" w:hAnsiTheme="minorEastAsia" w:eastAsiaTheme="minorEastAsia"/>
          <w:color w:val="auto"/>
          <w:sz w:val="24"/>
        </w:rPr>
        <w:t>10.2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上款所述的证明文件，可以是文字资料、图纸和数据</w:t>
      </w:r>
      <w:bookmarkEnd w:id="78"/>
      <w:r>
        <w:rPr>
          <w:rFonts w:hint="eastAsia" w:cs="宋体" w:asciiTheme="minorEastAsia" w:hAnsiTheme="minorEastAsia" w:eastAsiaTheme="minorEastAsia"/>
          <w:color w:val="auto"/>
          <w:sz w:val="24"/>
        </w:rPr>
        <w:t>。</w:t>
      </w:r>
    </w:p>
    <w:p w14:paraId="30E499CC">
      <w:pPr>
        <w:pStyle w:val="5"/>
        <w:spacing w:before="0" w:line="400" w:lineRule="exact"/>
        <w:rPr>
          <w:rFonts w:cs="宋体" w:asciiTheme="minorEastAsia" w:hAnsiTheme="minorEastAsia" w:eastAsiaTheme="minorEastAsia"/>
          <w:color w:val="auto"/>
        </w:rPr>
      </w:pPr>
      <w:bookmarkStart w:id="79" w:name="_Toc8529"/>
      <w:bookmarkStart w:id="80" w:name="_Toc518923073"/>
      <w:bookmarkStart w:id="81" w:name="_Toc15335_WPSOffice_Level2"/>
      <w:bookmarkStart w:id="82" w:name="_Toc32368_WPSOffice_Level2"/>
      <w:r>
        <w:rPr>
          <w:rFonts w:hint="eastAsia" w:cs="宋体" w:asciiTheme="minorEastAsia" w:hAnsiTheme="minorEastAsia" w:eastAsiaTheme="minorEastAsia"/>
          <w:color w:val="auto"/>
        </w:rPr>
        <w:t>11.</w:t>
      </w:r>
      <w:bookmarkEnd w:id="77"/>
      <w:bookmarkEnd w:id="79"/>
      <w:bookmarkEnd w:id="80"/>
      <w:r>
        <w:rPr>
          <w:rFonts w:hint="eastAsia" w:cs="宋体" w:asciiTheme="minorEastAsia" w:hAnsiTheme="minorEastAsia" w:eastAsiaTheme="minorEastAsia"/>
          <w:color w:val="auto"/>
        </w:rPr>
        <w:t>磋商报价</w:t>
      </w:r>
      <w:bookmarkEnd w:id="81"/>
      <w:bookmarkEnd w:id="82"/>
    </w:p>
    <w:p w14:paraId="442A6E38">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14:paraId="4AD844A6">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供应商应在标的分项报价表上标明分项服务的价格（如适用）和总价，并由法定代表人或其委托代理人签署。</w:t>
      </w:r>
    </w:p>
    <w:p w14:paraId="0BC9B794">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11.3</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采购人不接受具有附加条件的报价。</w:t>
      </w:r>
    </w:p>
    <w:p w14:paraId="08DC7542">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11.4</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供应商所报的各分项磋商报价在合同履行过程中是固定不变的，不得以任何理由予以变更。任何包含价格调整要求的响应，将被认定为响应无效。</w:t>
      </w:r>
    </w:p>
    <w:p w14:paraId="2DEC8709">
      <w:pPr>
        <w:pStyle w:val="17"/>
        <w:spacing w:line="400" w:lineRule="exact"/>
        <w:ind w:left="720" w:hanging="720" w:hangingChars="300"/>
        <w:rPr>
          <w:rFonts w:cs="宋体" w:asciiTheme="minorEastAsia" w:hAnsiTheme="minorEastAsia" w:eastAsiaTheme="minorEastAsia"/>
          <w:b/>
          <w:bCs/>
          <w:color w:val="auto"/>
          <w:sz w:val="24"/>
          <w:u w:val="single"/>
        </w:rPr>
      </w:pPr>
      <w:r>
        <w:rPr>
          <w:rFonts w:hint="eastAsia" w:cs="宋体" w:asciiTheme="minorEastAsia" w:hAnsiTheme="minorEastAsia" w:eastAsiaTheme="minorEastAsia"/>
          <w:color w:val="auto"/>
          <w:sz w:val="24"/>
        </w:rPr>
        <w:t xml:space="preserve">11.5   </w:t>
      </w:r>
      <w:r>
        <w:rPr>
          <w:rFonts w:hint="eastAsia" w:cs="宋体" w:asciiTheme="minorEastAsia" w:hAnsiTheme="minorEastAsia" w:eastAsiaTheme="minorEastAsia"/>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w:t>
      </w:r>
      <w:r>
        <w:rPr>
          <w:rFonts w:hint="eastAsia" w:cs="宋体" w:asciiTheme="minorEastAsia" w:hAnsiTheme="minorEastAsia" w:eastAsiaTheme="minorEastAsia"/>
          <w:b/>
          <w:bCs/>
          <w:color w:val="auto"/>
          <w:sz w:val="24"/>
          <w:u w:val="single"/>
          <w:lang w:val="en-US"/>
        </w:rPr>
        <w:t>高到低</w:t>
      </w:r>
      <w:r>
        <w:rPr>
          <w:rFonts w:hint="eastAsia" w:cs="宋体" w:asciiTheme="minorEastAsia" w:hAnsiTheme="minorEastAsia" w:eastAsiaTheme="minorEastAsia"/>
          <w:b/>
          <w:bCs/>
          <w:color w:val="auto"/>
          <w:sz w:val="24"/>
          <w:u w:val="single"/>
        </w:rPr>
        <w:t>的顺序提出成交候选人，并编写评审报告，将结果通知所有参加磋商的未成交的供应商；</w:t>
      </w:r>
    </w:p>
    <w:p w14:paraId="05C0A36D">
      <w:pPr>
        <w:pStyle w:val="5"/>
        <w:spacing w:before="0" w:line="400" w:lineRule="exact"/>
        <w:rPr>
          <w:rFonts w:cs="宋体" w:asciiTheme="minorEastAsia" w:hAnsiTheme="minorEastAsia" w:eastAsiaTheme="minorEastAsia"/>
          <w:color w:val="auto"/>
        </w:rPr>
      </w:pPr>
      <w:bookmarkStart w:id="83" w:name="_Toc16199"/>
      <w:bookmarkStart w:id="84" w:name="_Toc520356156"/>
      <w:bookmarkStart w:id="85" w:name="_Toc518923074"/>
      <w:bookmarkStart w:id="86" w:name="_Ref467306513"/>
      <w:bookmarkStart w:id="87" w:name="_Toc24125_WPSOffice_Level2"/>
      <w:bookmarkStart w:id="88" w:name="_Toc25748_WPSOffice_Level2"/>
      <w:r>
        <w:rPr>
          <w:rFonts w:hint="eastAsia" w:cs="宋体" w:asciiTheme="minorEastAsia" w:hAnsiTheme="minorEastAsia" w:eastAsiaTheme="minorEastAsia"/>
          <w:color w:val="auto"/>
        </w:rPr>
        <w:t>12.</w:t>
      </w:r>
      <w:bookmarkEnd w:id="83"/>
      <w:bookmarkEnd w:id="84"/>
      <w:bookmarkEnd w:id="85"/>
      <w:bookmarkEnd w:id="86"/>
      <w:r>
        <w:rPr>
          <w:rFonts w:hint="eastAsia" w:cs="宋体" w:asciiTheme="minorEastAsia" w:hAnsiTheme="minorEastAsia" w:eastAsiaTheme="minorEastAsia"/>
          <w:color w:val="auto"/>
        </w:rPr>
        <w:t>磋商保证金</w:t>
      </w:r>
      <w:bookmarkEnd w:id="87"/>
      <w:bookmarkEnd w:id="88"/>
    </w:p>
    <w:p w14:paraId="585E8CB3">
      <w:pPr>
        <w:spacing w:line="400" w:lineRule="exact"/>
        <w:ind w:left="900" w:hanging="900" w:hangingChars="375"/>
        <w:rPr>
          <w:rFonts w:cs="宋体" w:asciiTheme="minorEastAsia" w:hAnsiTheme="minorEastAsia" w:eastAsiaTheme="minorEastAsia"/>
          <w:color w:val="auto"/>
          <w:sz w:val="24"/>
        </w:rPr>
      </w:pPr>
      <w:bookmarkStart w:id="89" w:name="_Ref467306302"/>
      <w:r>
        <w:rPr>
          <w:rFonts w:hint="eastAsia" w:cs="宋体" w:asciiTheme="minorEastAsia" w:hAnsiTheme="minorEastAsia" w:eastAsiaTheme="minorEastAsia"/>
          <w:color w:val="auto"/>
          <w:sz w:val="24"/>
        </w:rPr>
        <w:t>12.1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供应商应提交</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中规定的</w:t>
      </w:r>
      <w:bookmarkEnd w:id="89"/>
      <w:r>
        <w:rPr>
          <w:rFonts w:hint="eastAsia" w:cs="宋体" w:asciiTheme="minorEastAsia" w:hAnsiTheme="minorEastAsia" w:eastAsiaTheme="minorEastAsia"/>
          <w:color w:val="auto"/>
          <w:sz w:val="24"/>
        </w:rPr>
        <w:t>磋商保证金，并作为其响应文件的一部分。</w:t>
      </w:r>
    </w:p>
    <w:p w14:paraId="034F4668">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供应商存在下列情形的，磋商保证金不予退还：</w:t>
      </w:r>
    </w:p>
    <w:p w14:paraId="783FC758">
      <w:pPr>
        <w:adjustRightInd w:val="0"/>
        <w:snapToGrid w:val="0"/>
        <w:spacing w:line="400" w:lineRule="exact"/>
        <w:ind w:firstLine="960" w:firstLineChars="4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（1）在磋商有效期内，撤销响应文件的；</w:t>
      </w:r>
    </w:p>
    <w:p w14:paraId="2B3768F9">
      <w:pPr>
        <w:pStyle w:val="12"/>
        <w:tabs>
          <w:tab w:val="left" w:pos="2240"/>
        </w:tabs>
        <w:adjustRightInd w:val="0"/>
        <w:snapToGrid w:val="0"/>
        <w:spacing w:line="400" w:lineRule="exact"/>
        <w:ind w:firstLine="960" w:firstLineChars="400"/>
        <w:rPr>
          <w:rFonts w:cs="宋体" w:asciiTheme="minorEastAsia" w:hAnsiTheme="minorEastAsia" w:eastAsiaTheme="minorEastAsia"/>
          <w:color w:val="auto"/>
        </w:rPr>
      </w:pPr>
      <w:r>
        <w:rPr>
          <w:rFonts w:hint="eastAsia" w:cs="宋体" w:asciiTheme="minorEastAsia" w:hAnsiTheme="minorEastAsia" w:eastAsiaTheme="minorEastAsia"/>
          <w:color w:val="auto"/>
        </w:rPr>
        <w:t>（2）成交后不按</w:t>
      </w:r>
      <w:r>
        <w:rPr>
          <w:rFonts w:hint="eastAsia" w:cs="宋体" w:asciiTheme="minorEastAsia" w:hAnsiTheme="minorEastAsia" w:eastAsiaTheme="minorEastAsia"/>
          <w:color w:val="auto"/>
          <w:lang w:val="en-US"/>
        </w:rPr>
        <w:t>成交通知书的</w:t>
      </w:r>
      <w:r>
        <w:rPr>
          <w:rFonts w:hint="eastAsia" w:cs="宋体" w:asciiTheme="minorEastAsia" w:hAnsiTheme="minorEastAsia" w:eastAsiaTheme="minorEastAsia"/>
          <w:color w:val="auto"/>
        </w:rPr>
        <w:t>规定与采购人签订合同的；</w:t>
      </w:r>
    </w:p>
    <w:p w14:paraId="6BBD8B82">
      <w:pPr>
        <w:pStyle w:val="12"/>
        <w:tabs>
          <w:tab w:val="left" w:pos="2240"/>
        </w:tabs>
        <w:adjustRightInd w:val="0"/>
        <w:snapToGrid w:val="0"/>
        <w:spacing w:line="400" w:lineRule="exact"/>
        <w:ind w:firstLine="960" w:firstLineChars="400"/>
        <w:rPr>
          <w:rFonts w:cs="宋体" w:asciiTheme="minorEastAsia" w:hAnsiTheme="minorEastAsia" w:eastAsiaTheme="minorEastAsia"/>
          <w:color w:val="auto"/>
        </w:rPr>
      </w:pPr>
      <w:r>
        <w:rPr>
          <w:rFonts w:hint="eastAsia" w:cs="宋体" w:asciiTheme="minorEastAsia" w:hAnsiTheme="minorEastAsia" w:eastAsiaTheme="minorEastAsia"/>
          <w:color w:val="auto"/>
        </w:rPr>
        <w:t>（3）成交后不按本须知第31条的规定提交履约保证金的；</w:t>
      </w:r>
    </w:p>
    <w:p w14:paraId="727A17B4">
      <w:pPr>
        <w:pStyle w:val="12"/>
        <w:tabs>
          <w:tab w:val="left" w:pos="2240"/>
        </w:tabs>
        <w:adjustRightInd w:val="0"/>
        <w:snapToGrid w:val="0"/>
        <w:spacing w:line="400" w:lineRule="exact"/>
        <w:ind w:firstLine="960" w:firstLineChars="400"/>
        <w:rPr>
          <w:rFonts w:cs="宋体" w:asciiTheme="minorEastAsia" w:hAnsiTheme="minorEastAsia" w:eastAsiaTheme="minorEastAsia"/>
          <w:color w:val="auto"/>
        </w:rPr>
      </w:pPr>
      <w:r>
        <w:rPr>
          <w:rFonts w:hint="eastAsia" w:cs="宋体" w:asciiTheme="minorEastAsia" w:hAnsiTheme="minorEastAsia" w:eastAsiaTheme="minorEastAsia"/>
          <w:color w:val="auto"/>
        </w:rPr>
        <w:t>（4）成交后不按本须知第32条的规定缴纳成交服务费的；</w:t>
      </w:r>
    </w:p>
    <w:p w14:paraId="65FA9C67">
      <w:pPr>
        <w:pStyle w:val="12"/>
        <w:tabs>
          <w:tab w:val="left" w:pos="2240"/>
        </w:tabs>
        <w:adjustRightInd w:val="0"/>
        <w:snapToGrid w:val="0"/>
        <w:spacing w:line="400" w:lineRule="exact"/>
        <w:ind w:firstLine="960" w:firstLineChars="400"/>
        <w:rPr>
          <w:rFonts w:cs="宋体" w:asciiTheme="minorEastAsia" w:hAnsiTheme="minorEastAsia" w:eastAsiaTheme="minorEastAsia"/>
          <w:color w:val="auto"/>
        </w:rPr>
      </w:pPr>
      <w:r>
        <w:rPr>
          <w:rFonts w:hint="eastAsia" w:cs="宋体" w:asciiTheme="minorEastAsia" w:hAnsiTheme="minorEastAsia" w:eastAsiaTheme="minorEastAsia"/>
          <w:color w:val="auto"/>
        </w:rPr>
        <w:t>（5）存在其他违法违规行为的。</w:t>
      </w:r>
    </w:p>
    <w:p w14:paraId="10D59E12">
      <w:pPr>
        <w:spacing w:line="400" w:lineRule="exact"/>
        <w:ind w:left="900" w:hanging="900" w:hangingChars="375"/>
        <w:rPr>
          <w:rFonts w:cs="宋体" w:asciiTheme="minorEastAsia" w:hAnsiTheme="minorEastAsia" w:eastAsiaTheme="minorEastAsia"/>
          <w:color w:val="auto"/>
          <w:sz w:val="24"/>
        </w:rPr>
      </w:pPr>
      <w:bookmarkStart w:id="90" w:name="_Ref467306336"/>
      <w:r>
        <w:rPr>
          <w:rFonts w:hint="eastAsia" w:cs="宋体" w:asciiTheme="minorEastAsia" w:hAnsiTheme="minorEastAsia" w:eastAsiaTheme="minorEastAsia"/>
          <w:color w:val="auto"/>
          <w:sz w:val="24"/>
        </w:rPr>
        <w:t>12.3</w:t>
      </w:r>
      <w:r>
        <w:rPr>
          <w:rFonts w:hint="eastAsia" w:cs="宋体" w:asciiTheme="minorEastAsia" w:hAnsiTheme="minorEastAsia" w:eastAsiaTheme="minorEastAsia"/>
          <w:color w:val="auto"/>
          <w:sz w:val="24"/>
        </w:rPr>
        <w:tab/>
      </w:r>
      <w:bookmarkEnd w:id="90"/>
      <w:r>
        <w:rPr>
          <w:rFonts w:hint="eastAsia" w:cs="宋体" w:asciiTheme="minorEastAsia" w:hAnsiTheme="minorEastAsia" w:eastAsiaTheme="minorEastAsia"/>
          <w:color w:val="auto"/>
          <w:sz w:val="24"/>
        </w:rPr>
        <w:t>政府采购信用担保试点范围内的项目，接受符合财政部门规定的政府采购磋商担保函原件。</w:t>
      </w:r>
    </w:p>
    <w:p w14:paraId="1F8F70FD">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12.4</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供应商未按本须知第12.1条规定提交磋商保证金的，其磋商资格将被认定为</w:t>
      </w:r>
      <w:r>
        <w:rPr>
          <w:rFonts w:hint="eastAsia" w:cs="宋体" w:asciiTheme="minorEastAsia" w:hAnsiTheme="minorEastAsia" w:eastAsiaTheme="minorEastAsia"/>
          <w:b/>
          <w:color w:val="auto"/>
          <w:sz w:val="24"/>
        </w:rPr>
        <w:t>无效</w:t>
      </w:r>
      <w:r>
        <w:rPr>
          <w:rFonts w:hint="eastAsia" w:cs="宋体" w:asciiTheme="minorEastAsia" w:hAnsiTheme="minorEastAsia" w:eastAsiaTheme="minorEastAsia"/>
          <w:color w:val="auto"/>
          <w:sz w:val="24"/>
        </w:rPr>
        <w:t>。</w:t>
      </w:r>
    </w:p>
    <w:p w14:paraId="41E7F9D1">
      <w:pPr>
        <w:spacing w:line="40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12.4.1  采用电汇形式的，一般可以实时入账；</w:t>
      </w:r>
    </w:p>
    <w:p w14:paraId="476148F8">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12.5    联合体递交响应文件的，可以由联合体中的一方或者共同提交磋商保证金。以一方名义提交磋商保证金的，对联合体各方均具有约束力。</w:t>
      </w:r>
    </w:p>
    <w:p w14:paraId="460B499C">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12.6</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 xml:space="preserve"> 磋商保证金的退还</w:t>
      </w:r>
    </w:p>
    <w:p w14:paraId="6E0D3C70">
      <w:pPr>
        <w:spacing w:line="400" w:lineRule="exact"/>
        <w:ind w:left="1020" w:hanging="1020" w:hangingChars="4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12.6.1  成交人应在与采购人签订合同之日起5个工作日内，及时联系保证金收受机构办理磋商保证金无息退还手续。</w:t>
      </w:r>
    </w:p>
    <w:p w14:paraId="50154997">
      <w:pPr>
        <w:spacing w:line="400" w:lineRule="exact"/>
        <w:ind w:left="960" w:hanging="960" w:hangingChars="4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12.6.2  未成交供应商的磋商保证金将在成交通知书发出之日暨成交结果公告公布之日起5个工作日内无息退还。供应商及时联系保证金收受机构办理退还磋商保证金手续。</w:t>
      </w:r>
      <w:bookmarkStart w:id="91" w:name="_Toc518923075"/>
    </w:p>
    <w:p w14:paraId="31824C7A">
      <w:pPr>
        <w:spacing w:line="400" w:lineRule="exact"/>
        <w:ind w:left="935" w:hanging="935" w:hangingChars="425"/>
        <w:rPr>
          <w:rFonts w:cs="宋体" w:asciiTheme="minorEastAsia" w:hAnsiTheme="minorEastAsia" w:eastAsiaTheme="minorEastAsia"/>
          <w:bCs/>
          <w:color w:val="auto"/>
        </w:rPr>
      </w:pPr>
      <w:r>
        <w:rPr>
          <w:rFonts w:hint="eastAsia" w:cs="宋体" w:asciiTheme="minorEastAsia" w:hAnsiTheme="minorEastAsia" w:eastAsiaTheme="minorEastAsia"/>
          <w:bCs/>
          <w:color w:val="auto"/>
        </w:rPr>
        <w:t xml:space="preserve">12.6.3  </w:t>
      </w:r>
      <w:r>
        <w:rPr>
          <w:rFonts w:hint="eastAsia" w:cs="宋体" w:asciiTheme="minorEastAsia" w:hAnsiTheme="minorEastAsia" w:eastAsiaTheme="minorEastAsia"/>
          <w:color w:val="auto"/>
          <w:sz w:val="24"/>
        </w:rPr>
        <w:t>政府采购磋商担保函不予退回。</w:t>
      </w:r>
      <w:bookmarkEnd w:id="91"/>
    </w:p>
    <w:p w14:paraId="10E85ECC">
      <w:pPr>
        <w:spacing w:line="400" w:lineRule="exact"/>
        <w:ind w:left="960" w:hanging="960" w:hangingChars="4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12.7   因供应商自身原因导致无法及时退还的，采购人或采购代理机构将不承担相应责任。</w:t>
      </w:r>
    </w:p>
    <w:p w14:paraId="08080EE6">
      <w:pPr>
        <w:pStyle w:val="5"/>
        <w:spacing w:before="0" w:line="400" w:lineRule="exact"/>
        <w:rPr>
          <w:rFonts w:cs="宋体" w:asciiTheme="minorEastAsia" w:hAnsiTheme="minorEastAsia" w:eastAsiaTheme="minorEastAsia"/>
          <w:color w:val="auto"/>
        </w:rPr>
      </w:pPr>
      <w:bookmarkStart w:id="92" w:name="_Toc520356157"/>
      <w:bookmarkStart w:id="93" w:name="_Toc20355"/>
      <w:bookmarkStart w:id="94" w:name="_Toc518923076"/>
      <w:bookmarkStart w:id="95" w:name="_Toc4716_WPSOffice_Level2"/>
      <w:bookmarkStart w:id="96" w:name="_Toc11106_WPSOffice_Level2"/>
      <w:r>
        <w:rPr>
          <w:rFonts w:hint="eastAsia" w:cs="宋体" w:asciiTheme="minorEastAsia" w:hAnsiTheme="minorEastAsia" w:eastAsiaTheme="minorEastAsia"/>
          <w:color w:val="auto"/>
        </w:rPr>
        <w:t>13.</w:t>
      </w:r>
      <w:bookmarkEnd w:id="92"/>
      <w:bookmarkEnd w:id="93"/>
      <w:bookmarkEnd w:id="94"/>
      <w:r>
        <w:rPr>
          <w:rFonts w:hint="eastAsia" w:cs="宋体" w:asciiTheme="minorEastAsia" w:hAnsiTheme="minorEastAsia" w:eastAsiaTheme="minorEastAsia"/>
          <w:color w:val="auto"/>
        </w:rPr>
        <w:t>磋商有效期</w:t>
      </w:r>
      <w:bookmarkEnd w:id="95"/>
      <w:bookmarkEnd w:id="96"/>
    </w:p>
    <w:p w14:paraId="1B8B31AF">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磋商应在</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中规定时间内保持有效。磋商有效期不满足要求的响应，其磋商资格将被认定为</w:t>
      </w:r>
      <w:r>
        <w:rPr>
          <w:rFonts w:hint="eastAsia" w:cs="宋体" w:asciiTheme="minorEastAsia" w:hAnsiTheme="minorEastAsia" w:eastAsiaTheme="minorEastAsia"/>
          <w:b/>
          <w:color w:val="auto"/>
          <w:sz w:val="24"/>
        </w:rPr>
        <w:t>无效</w:t>
      </w:r>
      <w:r>
        <w:rPr>
          <w:rFonts w:hint="eastAsia" w:cs="宋体" w:asciiTheme="minorEastAsia" w:hAnsiTheme="minorEastAsia" w:eastAsiaTheme="minorEastAsia"/>
          <w:color w:val="auto"/>
          <w:sz w:val="24"/>
        </w:rPr>
        <w:t>。</w:t>
      </w:r>
    </w:p>
    <w:p w14:paraId="50ADC50C">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66751A07">
      <w:pPr>
        <w:pStyle w:val="5"/>
        <w:spacing w:before="0" w:line="400" w:lineRule="exact"/>
        <w:rPr>
          <w:rFonts w:cs="宋体" w:asciiTheme="minorEastAsia" w:hAnsiTheme="minorEastAsia" w:eastAsiaTheme="minorEastAsia"/>
          <w:color w:val="auto"/>
        </w:rPr>
      </w:pPr>
      <w:bookmarkStart w:id="97" w:name="_Toc520356158"/>
      <w:bookmarkStart w:id="98" w:name="_Toc518923077"/>
      <w:bookmarkStart w:id="99" w:name="_Toc13034_WPSOffice_Level2"/>
      <w:bookmarkStart w:id="100" w:name="_Toc27303"/>
      <w:bookmarkStart w:id="101" w:name="_Toc31308_WPSOffice_Level2"/>
      <w:r>
        <w:rPr>
          <w:rFonts w:hint="eastAsia" w:cs="宋体" w:asciiTheme="minorEastAsia" w:hAnsiTheme="minorEastAsia" w:eastAsiaTheme="minorEastAsia"/>
          <w:color w:val="auto"/>
        </w:rPr>
        <w:t>14.响应文件的签署</w:t>
      </w:r>
      <w:bookmarkEnd w:id="97"/>
      <w:r>
        <w:rPr>
          <w:rFonts w:hint="eastAsia" w:cs="宋体" w:asciiTheme="minorEastAsia" w:hAnsiTheme="minorEastAsia" w:eastAsiaTheme="minorEastAsia"/>
          <w:color w:val="auto"/>
        </w:rPr>
        <w:t>及规定</w:t>
      </w:r>
      <w:bookmarkEnd w:id="98"/>
      <w:bookmarkEnd w:id="99"/>
      <w:bookmarkEnd w:id="100"/>
      <w:bookmarkEnd w:id="101"/>
    </w:p>
    <w:p w14:paraId="01F28322">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供应商应按</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的规定，准备和递交响应文件资格证明文件、商务和技术文件正本、副本和电子文档，每份资格证明文件、商务和技术文件封皮须清楚地标明“正本”或“副本”。若正本和副本不符，以正本为准。投标文件电子文档（U盘）张贴投标人名称的标签。</w:t>
      </w:r>
    </w:p>
    <w:p w14:paraId="4F895E8E">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响应文件正本和副本应按</w:t>
      </w:r>
      <w:r>
        <w:rPr>
          <w:rFonts w:hint="eastAsia" w:cs="宋体" w:asciiTheme="minorEastAsia" w:hAnsiTheme="minorEastAsia" w:eastAsiaTheme="minorEastAsia"/>
          <w:color w:val="auto"/>
          <w:sz w:val="24"/>
          <w:lang w:val="en-US" w:eastAsia="zh-CN"/>
        </w:rPr>
        <w:t>磋商</w:t>
      </w:r>
      <w:r>
        <w:rPr>
          <w:rFonts w:hint="eastAsia" w:cs="宋体" w:asciiTheme="minorEastAsia" w:hAnsiTheme="minorEastAsia" w:eastAsiaTheme="minorEastAsia"/>
          <w:color w:val="auto"/>
          <w:sz w:val="24"/>
        </w:rPr>
        <w:t>文件要求签章处盖单位章和由法定代表人或其委托代理人签字</w:t>
      </w:r>
      <w:r>
        <w:rPr>
          <w:rFonts w:hint="eastAsia" w:ascii="宋体" w:hAnsi="宋体"/>
          <w:color w:val="auto"/>
          <w:sz w:val="21"/>
          <w:szCs w:val="21"/>
          <w:lang w:eastAsia="zh-CN"/>
        </w:rPr>
        <w:t>，</w:t>
      </w:r>
      <w:r>
        <w:rPr>
          <w:rFonts w:hint="eastAsia" w:cs="宋体" w:asciiTheme="minorEastAsia" w:hAnsiTheme="minorEastAsia" w:eastAsiaTheme="minorEastAsia"/>
          <w:color w:val="auto"/>
          <w:sz w:val="24"/>
        </w:rPr>
        <w:t>委托代理人须持有书面的“法定代表人授权委托书”（响应文件格式二），并将其附在响应文件中。如对响应文件进行了修改，则应由供应商的法定代表人或其委托代理人在每一修改处签字。</w:t>
      </w:r>
    </w:p>
    <w:p w14:paraId="51FB7E86">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14.3    所有响应文件采用不可拆装的胶订方式装订，否则将被认定为响应无效。</w:t>
      </w:r>
    </w:p>
    <w:p w14:paraId="6210CD8A">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14.4</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响应文件因字迹潦草、表达不清或装订不当所引起的后果由供应商负责。</w:t>
      </w:r>
    </w:p>
    <w:p w14:paraId="1901C8DE">
      <w:pPr>
        <w:pStyle w:val="4"/>
        <w:spacing w:before="0" w:line="400" w:lineRule="exact"/>
        <w:ind w:left="1105" w:leftChars="257" w:hanging="540"/>
        <w:rPr>
          <w:rFonts w:cs="宋体" w:asciiTheme="minorEastAsia" w:hAnsiTheme="minorEastAsia" w:eastAsiaTheme="minorEastAsia"/>
          <w:color w:val="auto"/>
        </w:rPr>
      </w:pPr>
      <w:bookmarkStart w:id="102" w:name="_Toc216582808"/>
      <w:bookmarkStart w:id="103" w:name="_Toc22303"/>
      <w:bookmarkStart w:id="104" w:name="_Toc518923078"/>
      <w:bookmarkStart w:id="105" w:name="_Toc14952"/>
      <w:bookmarkStart w:id="106" w:name="_Toc30674_WPSOffice_Level1"/>
      <w:bookmarkStart w:id="107" w:name="_Toc520356159"/>
      <w:r>
        <w:rPr>
          <w:rFonts w:hint="eastAsia" w:cs="宋体" w:asciiTheme="minorEastAsia" w:hAnsiTheme="minorEastAsia" w:eastAsiaTheme="minorEastAsia"/>
          <w:color w:val="auto"/>
          <w:sz w:val="24"/>
        </w:rPr>
        <w:t>四   响应文件的递交</w:t>
      </w:r>
      <w:bookmarkEnd w:id="102"/>
      <w:bookmarkEnd w:id="103"/>
      <w:bookmarkEnd w:id="104"/>
      <w:bookmarkEnd w:id="105"/>
      <w:bookmarkEnd w:id="106"/>
      <w:bookmarkEnd w:id="107"/>
    </w:p>
    <w:p w14:paraId="4EEC42AE">
      <w:pPr>
        <w:pStyle w:val="5"/>
        <w:spacing w:before="0" w:line="400" w:lineRule="exact"/>
        <w:rPr>
          <w:rFonts w:cs="宋体" w:asciiTheme="minorEastAsia" w:hAnsiTheme="minorEastAsia" w:eastAsiaTheme="minorEastAsia"/>
          <w:color w:val="auto"/>
        </w:rPr>
      </w:pPr>
      <w:bookmarkStart w:id="108" w:name="_Toc518923079"/>
      <w:bookmarkStart w:id="109" w:name="_Toc520356160"/>
      <w:bookmarkStart w:id="110" w:name="_Toc22654_WPSOffice_Level2"/>
      <w:bookmarkStart w:id="111" w:name="_Toc24004_WPSOffice_Level2"/>
      <w:bookmarkStart w:id="112" w:name="_Toc13247"/>
      <w:r>
        <w:rPr>
          <w:rFonts w:hint="eastAsia" w:cs="宋体" w:asciiTheme="minorEastAsia" w:hAnsiTheme="minorEastAsia" w:eastAsiaTheme="minorEastAsia"/>
          <w:color w:val="auto"/>
        </w:rPr>
        <w:t>15.响应文件的密封和标记</w:t>
      </w:r>
      <w:bookmarkEnd w:id="108"/>
      <w:bookmarkEnd w:id="109"/>
      <w:bookmarkEnd w:id="110"/>
      <w:bookmarkEnd w:id="111"/>
      <w:bookmarkEnd w:id="112"/>
    </w:p>
    <w:p w14:paraId="2BF81F18">
      <w:pPr>
        <w:spacing w:line="400" w:lineRule="exact"/>
        <w:ind w:left="900" w:hanging="900" w:hangingChars="375"/>
        <w:rPr>
          <w:rFonts w:hint="eastAsia" w:cs="宋体" w:asciiTheme="minorEastAsia" w:hAnsiTheme="minorEastAsia" w:eastAsiaTheme="minorEastAsia"/>
          <w:color w:val="auto"/>
          <w:sz w:val="24"/>
          <w:lang w:val="en-US" w:eastAsia="zh-CN"/>
        </w:rPr>
      </w:pPr>
      <w:bookmarkStart w:id="113" w:name="_Toc14358_WPSOffice_Level2"/>
      <w:bookmarkStart w:id="114" w:name="_Toc178_WPSOffice_Level2"/>
      <w:bookmarkStart w:id="115" w:name="_Toc25787"/>
      <w:bookmarkStart w:id="116" w:name="_Toc518923080"/>
      <w:bookmarkStart w:id="117" w:name="_Toc520356161"/>
      <w:r>
        <w:rPr>
          <w:rFonts w:hint="eastAsia" w:cs="宋体" w:asciiTheme="minorEastAsia" w:hAnsiTheme="minorEastAsia" w:eastAsiaTheme="minorEastAsia"/>
          <w:color w:val="auto"/>
          <w:sz w:val="24"/>
          <w:lang w:val="en-US" w:eastAsia="zh-CN"/>
        </w:rPr>
        <w:t>15.1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274CBD0A">
      <w:pPr>
        <w:spacing w:line="400" w:lineRule="exact"/>
        <w:ind w:left="959" w:leftChars="436" w:firstLine="0" w:firstLineChars="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投标截止时间以政采云平台中心交易平台显示的时间为准，逾期系统将自动关闭，未完成上传的投标文件视为逾期送达，将被拒绝。</w:t>
      </w:r>
    </w:p>
    <w:p w14:paraId="06F50C8A">
      <w:pPr>
        <w:spacing w:line="400" w:lineRule="exact"/>
        <w:ind w:left="900" w:hanging="900" w:hangingChars="375"/>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15.2    纸质版投标文件和电子版投标文件封口处加盖投标人公章，封皮上注明项目编号、包号、项目名称、投标人名称，并注明“纸质投标文件、电子版投标文件”字样。</w:t>
      </w:r>
    </w:p>
    <w:p w14:paraId="39726F9B">
      <w:pPr>
        <w:spacing w:line="400" w:lineRule="exact"/>
        <w:ind w:firstLine="960" w:firstLineChars="4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投标人认为有必要提交的其他资料请于投标截止时间前一并提交。（本次项目不适用）</w:t>
      </w:r>
    </w:p>
    <w:p w14:paraId="6F3265D0">
      <w:pPr>
        <w:spacing w:line="400" w:lineRule="exact"/>
        <w:ind w:left="900" w:hanging="900" w:hangingChars="375"/>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15.3    如果投标人未按上述要求密封及加写标记，采购代理机构对投标文件的误投和提前启封概不负责。对由此造成提前开封的投标文件，采购代理机构有权予以拒绝，并退回投标人。</w:t>
      </w:r>
    </w:p>
    <w:p w14:paraId="33914A98">
      <w:pPr>
        <w:pStyle w:val="5"/>
        <w:spacing w:before="0" w:line="400" w:lineRule="exact"/>
        <w:rPr>
          <w:rFonts w:cs="宋体" w:asciiTheme="minorEastAsia" w:hAnsiTheme="minorEastAsia" w:eastAsiaTheme="minorEastAsia"/>
          <w:color w:val="auto"/>
        </w:rPr>
      </w:pPr>
      <w:r>
        <w:rPr>
          <w:rFonts w:hint="eastAsia" w:cs="宋体" w:asciiTheme="minorEastAsia" w:hAnsiTheme="minorEastAsia" w:eastAsiaTheme="minorEastAsia"/>
          <w:color w:val="auto"/>
        </w:rPr>
        <w:t>16.磋商截止</w:t>
      </w:r>
      <w:bookmarkEnd w:id="113"/>
      <w:bookmarkEnd w:id="114"/>
      <w:bookmarkEnd w:id="115"/>
      <w:bookmarkEnd w:id="116"/>
      <w:bookmarkEnd w:id="117"/>
    </w:p>
    <w:p w14:paraId="5009F12C">
      <w:pPr>
        <w:spacing w:line="400" w:lineRule="exact"/>
        <w:ind w:left="1140" w:hanging="1140" w:hangingChars="475"/>
        <w:rPr>
          <w:rFonts w:hint="eastAsia" w:cs="宋体" w:asciiTheme="minorEastAsia" w:hAnsiTheme="minorEastAsia" w:eastAsiaTheme="minorEastAsia"/>
          <w:color w:val="auto"/>
          <w:sz w:val="24"/>
        </w:rPr>
      </w:pPr>
      <w:bookmarkStart w:id="118" w:name="_Toc520356162"/>
      <w:bookmarkStart w:id="119" w:name="_Toc518923081"/>
      <w:bookmarkStart w:id="120" w:name="_Toc17985_WPSOffice_Level2"/>
      <w:bookmarkStart w:id="121" w:name="_Toc26522_WPSOffice_Level2"/>
      <w:bookmarkStart w:id="122" w:name="_Toc13921"/>
      <w:r>
        <w:rPr>
          <w:rFonts w:hint="eastAsia" w:cs="宋体" w:asciiTheme="minorEastAsia" w:hAnsiTheme="minorEastAsia" w:eastAsiaTheme="minorEastAsia"/>
          <w:color w:val="auto"/>
          <w:sz w:val="24"/>
        </w:rPr>
        <w:t>16.1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投标人应当在招标文件要求提交投标文件的截止时间前网上投标。</w:t>
      </w:r>
    </w:p>
    <w:p w14:paraId="70EF0299">
      <w:pPr>
        <w:spacing w:line="400" w:lineRule="exact"/>
        <w:ind w:left="1140" w:hanging="1140" w:hangingChars="4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16</w:t>
      </w:r>
      <w:r>
        <w:rPr>
          <w:rFonts w:hint="eastAsia" w:cs="宋体" w:asciiTheme="minorEastAsia" w:hAnsiTheme="minorEastAsia" w:eastAsiaTheme="minorEastAsia"/>
          <w:color w:val="auto"/>
          <w:sz w:val="24"/>
        </w:rPr>
        <w:t xml:space="preserve">.2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在招标文件要求提交投标文件的截止时间之后送达的投标文件，为无效投标文件，采购代理机构将拒绝接收。</w:t>
      </w:r>
    </w:p>
    <w:p w14:paraId="24DA485D">
      <w:pPr>
        <w:pStyle w:val="5"/>
        <w:spacing w:before="0" w:line="400" w:lineRule="exact"/>
        <w:rPr>
          <w:rFonts w:cs="宋体" w:asciiTheme="minorEastAsia" w:hAnsiTheme="minorEastAsia" w:eastAsiaTheme="minorEastAsia"/>
          <w:color w:val="auto"/>
        </w:rPr>
      </w:pPr>
      <w:r>
        <w:rPr>
          <w:rFonts w:hint="eastAsia" w:cs="宋体" w:asciiTheme="minorEastAsia" w:hAnsiTheme="minorEastAsia" w:eastAsiaTheme="minorEastAsia"/>
          <w:color w:val="auto"/>
        </w:rPr>
        <w:t>17.响应文件的接收、修改与撤回</w:t>
      </w:r>
      <w:bookmarkEnd w:id="118"/>
      <w:bookmarkEnd w:id="119"/>
      <w:bookmarkEnd w:id="120"/>
      <w:bookmarkEnd w:id="121"/>
      <w:bookmarkEnd w:id="122"/>
    </w:p>
    <w:p w14:paraId="5900546F">
      <w:pPr>
        <w:spacing w:line="400" w:lineRule="exact"/>
        <w:ind w:left="900" w:hanging="900" w:hangingChars="375"/>
        <w:rPr>
          <w:rFonts w:cs="宋体" w:asciiTheme="minorEastAsia" w:hAnsiTheme="minorEastAsia" w:eastAsiaTheme="minorEastAsia"/>
          <w:b/>
          <w:color w:val="auto"/>
        </w:rPr>
      </w:pPr>
      <w:r>
        <w:rPr>
          <w:rFonts w:hint="eastAsia" w:cs="宋体" w:asciiTheme="minorEastAsia" w:hAnsiTheme="minorEastAsia" w:eastAsiaTheme="minorEastAsia"/>
          <w:color w:val="auto"/>
          <w:sz w:val="24"/>
        </w:rPr>
        <w:t>17.1   在响应文件递交截止时间后送达响应文件的，采购人和采购代理机构将拒绝接收。</w:t>
      </w:r>
    </w:p>
    <w:p w14:paraId="423A4DEB">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17.2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采购人或者采购代理机构收到响应文件后，应当如实记载响应文件的送达时间和密封情况，并向供应商出具以下签收回执。</w:t>
      </w:r>
    </w:p>
    <w:p w14:paraId="34185C6F">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17.3   递交响应文件以后，如果供应商要进行修改或撤回响应文，须提出书面申请并在响应文件递交截止时间前送达磋商开启地点，供应商对响应文件的修改或撤回通知应按本须知规定编制、密封、标记。</w:t>
      </w:r>
    </w:p>
    <w:p w14:paraId="7A5B2E63">
      <w:pPr>
        <w:spacing w:line="400" w:lineRule="exact"/>
        <w:ind w:left="770" w:leftChars="350" w:firstLine="120" w:firstLineChars="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采购人和采购代理机构将予以接收，并视为响应文件的组成部分。</w:t>
      </w:r>
    </w:p>
    <w:p w14:paraId="6AAAEB71">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17.4</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在响应文件递交截止期之后，采购人和采购代理机构不接受供应商主动对其响应文件做任何修改。</w:t>
      </w:r>
    </w:p>
    <w:p w14:paraId="6B67A2E3">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17.5</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采购人和采购代理机构对所接收响应文件概不退回。</w:t>
      </w:r>
      <w:bookmarkStart w:id="123" w:name="_Toc518923082"/>
      <w:bookmarkStart w:id="124" w:name="_Toc10257"/>
      <w:bookmarkStart w:id="125" w:name="_Toc216582809"/>
      <w:bookmarkStart w:id="126" w:name="_Toc520356163"/>
    </w:p>
    <w:p w14:paraId="7688D91B">
      <w:pPr>
        <w:pStyle w:val="4"/>
        <w:spacing w:before="0" w:line="400" w:lineRule="exact"/>
        <w:ind w:left="1105" w:leftChars="257" w:hanging="540"/>
        <w:rPr>
          <w:rFonts w:cs="宋体" w:asciiTheme="minorEastAsia" w:hAnsiTheme="minorEastAsia" w:eastAsiaTheme="minorEastAsia"/>
          <w:color w:val="auto"/>
        </w:rPr>
      </w:pPr>
      <w:bookmarkStart w:id="127" w:name="_Toc13429"/>
      <w:bookmarkStart w:id="128" w:name="_Toc6601_WPSOffice_Level1"/>
      <w:r>
        <w:rPr>
          <w:rFonts w:hint="eastAsia" w:cs="宋体" w:asciiTheme="minorEastAsia" w:hAnsiTheme="minorEastAsia" w:eastAsiaTheme="minorEastAsia"/>
          <w:color w:val="auto"/>
          <w:sz w:val="24"/>
        </w:rPr>
        <w:t>五   磋商开启及</w:t>
      </w:r>
      <w:bookmarkEnd w:id="123"/>
      <w:bookmarkEnd w:id="124"/>
      <w:bookmarkEnd w:id="125"/>
      <w:bookmarkEnd w:id="126"/>
      <w:r>
        <w:rPr>
          <w:rFonts w:hint="eastAsia" w:cs="宋体" w:asciiTheme="minorEastAsia" w:hAnsiTheme="minorEastAsia" w:eastAsiaTheme="minorEastAsia"/>
          <w:color w:val="auto"/>
          <w:sz w:val="24"/>
        </w:rPr>
        <w:t>评审</w:t>
      </w:r>
      <w:bookmarkEnd w:id="127"/>
      <w:bookmarkEnd w:id="128"/>
    </w:p>
    <w:p w14:paraId="7098CD03">
      <w:pPr>
        <w:pStyle w:val="5"/>
        <w:spacing w:before="0" w:line="400" w:lineRule="exact"/>
        <w:rPr>
          <w:rFonts w:cs="宋体" w:asciiTheme="minorEastAsia" w:hAnsiTheme="minorEastAsia" w:eastAsiaTheme="minorEastAsia"/>
          <w:color w:val="auto"/>
        </w:rPr>
      </w:pPr>
      <w:bookmarkStart w:id="129" w:name="_Toc8653"/>
      <w:bookmarkStart w:id="130" w:name="_Toc520356164"/>
      <w:bookmarkStart w:id="131" w:name="_Toc518923083"/>
      <w:bookmarkStart w:id="132" w:name="_Toc32308_WPSOffice_Level2"/>
      <w:bookmarkStart w:id="133" w:name="_Toc13011_WPSOffice_Level2"/>
      <w:r>
        <w:rPr>
          <w:rFonts w:hint="eastAsia" w:cs="宋体" w:asciiTheme="minorEastAsia" w:hAnsiTheme="minorEastAsia" w:eastAsiaTheme="minorEastAsia"/>
          <w:color w:val="auto"/>
        </w:rPr>
        <w:t>18.</w:t>
      </w:r>
      <w:bookmarkEnd w:id="129"/>
      <w:bookmarkEnd w:id="130"/>
      <w:bookmarkEnd w:id="131"/>
      <w:r>
        <w:rPr>
          <w:rFonts w:hint="eastAsia" w:cs="宋体" w:asciiTheme="minorEastAsia" w:hAnsiTheme="minorEastAsia" w:eastAsiaTheme="minorEastAsia"/>
          <w:color w:val="auto"/>
        </w:rPr>
        <w:t>磋商开启</w:t>
      </w:r>
      <w:bookmarkEnd w:id="132"/>
      <w:bookmarkEnd w:id="133"/>
    </w:p>
    <w:p w14:paraId="2611C223">
      <w:pPr>
        <w:spacing w:line="400" w:lineRule="exact"/>
        <w:ind w:left="900" w:hanging="900" w:hangingChars="375"/>
        <w:rPr>
          <w:rFonts w:hint="eastAsia" w:cs="宋体" w:asciiTheme="minorEastAsia" w:hAnsiTheme="minorEastAsia" w:eastAsiaTheme="minorEastAsia"/>
          <w:color w:val="auto"/>
          <w:sz w:val="24"/>
        </w:rPr>
      </w:pPr>
      <w:bookmarkStart w:id="134" w:name="_Toc520356165"/>
      <w:bookmarkStart w:id="135" w:name="_Toc4350_WPSOffice_Level2"/>
      <w:bookmarkStart w:id="136" w:name="_Toc21320_WPSOffice_Level2"/>
      <w:bookmarkStart w:id="137" w:name="_Toc34"/>
      <w:bookmarkStart w:id="138" w:name="_Toc518923084"/>
      <w:r>
        <w:rPr>
          <w:rFonts w:hint="eastAsia" w:cs="宋体" w:asciiTheme="minorEastAsia" w:hAnsiTheme="minorEastAsia" w:eastAsiaTheme="minorEastAsia"/>
          <w:color w:val="auto"/>
          <w:sz w:val="24"/>
        </w:rPr>
        <w:t>18.1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采购代理机构按照招标文件规定的时间、地点主持开标。开标前，采购代理机构将会同监督人员或公证人员进行验标（检查网上招标系统正常与否，检查投标人报名及保证金交纳情况），确认无误后开标。开标时，各投标人应对本单位的加密的电子投标文件解密，采购代理机构工作人员在监督人员或公证人员监督下解密所有投标文件。因网上招标系统故障导致所有投标人均解密失败时，投标人使用</w:t>
      </w:r>
      <w:r>
        <w:rPr>
          <w:rFonts w:hint="eastAsia" w:cs="宋体" w:asciiTheme="minorEastAsia" w:hAnsiTheme="minorEastAsia" w:eastAsiaTheme="minorEastAsia"/>
          <w:color w:val="auto"/>
          <w:sz w:val="24"/>
          <w:lang w:val="en-US" w:eastAsia="zh-CN"/>
        </w:rPr>
        <w:t>邮箱发送未加密</w:t>
      </w:r>
      <w:r>
        <w:rPr>
          <w:rFonts w:hint="eastAsia" w:cs="宋体" w:asciiTheme="minorEastAsia" w:hAnsiTheme="minorEastAsia" w:eastAsiaTheme="minorEastAsia"/>
          <w:color w:val="auto"/>
          <w:sz w:val="24"/>
        </w:rPr>
        <w:t>投标文件进行开评标。</w:t>
      </w:r>
    </w:p>
    <w:p w14:paraId="666FD857">
      <w:pPr>
        <w:spacing w:line="400" w:lineRule="exact"/>
        <w:ind w:left="900" w:hanging="900" w:hangingChars="375"/>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 xml:space="preserve">.2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开标时，采购代理机构将通过网上开标系统公布投标人名称、投标价格，以及采购代理机构认为合适的其它详细内容。投标人若有报价和优惠未被唱错，应在开标时及时声明或提请注意，否则采购代理机构对此不承担任何责任。</w:t>
      </w:r>
    </w:p>
    <w:p w14:paraId="2CC596FD">
      <w:pPr>
        <w:spacing w:line="400" w:lineRule="exact"/>
        <w:ind w:left="900" w:hanging="900" w:hangingChars="375"/>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.3</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 xml:space="preserve"> 在评审结束前，未得到采购代理机构允许，投标人法定代表人或授权代理人不得离开开标现场。</w:t>
      </w:r>
    </w:p>
    <w:p w14:paraId="3681870E">
      <w:pPr>
        <w:spacing w:line="400" w:lineRule="exact"/>
        <w:rPr>
          <w:rFonts w:hint="eastAsia" w:cs="宋体" w:asciiTheme="minorEastAsia" w:hAnsiTheme="minorEastAsia" w:eastAsiaTheme="minorEastAsia"/>
          <w:color w:val="auto"/>
          <w:sz w:val="24"/>
        </w:rPr>
      </w:pPr>
    </w:p>
    <w:p w14:paraId="360E6B0C">
      <w:pPr>
        <w:spacing w:line="400" w:lineRule="exact"/>
        <w:rPr>
          <w:rFonts w:cs="宋体" w:asciiTheme="minorEastAsia" w:hAnsiTheme="minorEastAsia" w:eastAsiaTheme="minorEastAsia"/>
          <w:color w:val="auto"/>
          <w:sz w:val="24"/>
        </w:rPr>
      </w:pPr>
    </w:p>
    <w:p w14:paraId="04F9EF23">
      <w:pPr>
        <w:pStyle w:val="5"/>
        <w:spacing w:before="0" w:line="400" w:lineRule="exact"/>
        <w:rPr>
          <w:rFonts w:cs="宋体" w:asciiTheme="minorEastAsia" w:hAnsiTheme="minorEastAsia" w:eastAsiaTheme="minorEastAsia"/>
          <w:color w:val="auto"/>
        </w:rPr>
      </w:pPr>
      <w:r>
        <w:rPr>
          <w:rFonts w:hint="eastAsia" w:cs="宋体" w:asciiTheme="minorEastAsia" w:hAnsiTheme="minorEastAsia" w:eastAsiaTheme="minorEastAsia"/>
          <w:color w:val="auto"/>
        </w:rPr>
        <w:t>19</w:t>
      </w:r>
      <w:bookmarkEnd w:id="134"/>
      <w:r>
        <w:rPr>
          <w:rFonts w:hint="eastAsia" w:cs="宋体" w:asciiTheme="minorEastAsia" w:hAnsiTheme="minorEastAsia" w:eastAsiaTheme="minorEastAsia"/>
          <w:color w:val="auto"/>
        </w:rPr>
        <w:t>.资格审查及组建评审委员会</w:t>
      </w:r>
      <w:bookmarkEnd w:id="135"/>
      <w:bookmarkEnd w:id="136"/>
      <w:bookmarkEnd w:id="137"/>
      <w:bookmarkEnd w:id="138"/>
    </w:p>
    <w:p w14:paraId="771BBBC4">
      <w:pPr>
        <w:spacing w:line="400" w:lineRule="exact"/>
        <w:ind w:left="960" w:hanging="960" w:hangingChars="4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19.1    采购人或采购代理机构依据法律法规和磋商文件中规定的内容，对供应商的资格进行审查。未通过资格审查的供应商不进入评审；进入评审的供应商不足3家的，不得评审。</w:t>
      </w:r>
    </w:p>
    <w:p w14:paraId="16AD4CBF">
      <w:pPr>
        <w:spacing w:line="400" w:lineRule="exact"/>
        <w:ind w:left="850" w:hanging="849" w:hangingChars="354"/>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19.</w:t>
      </w:r>
      <w:r>
        <w:rPr>
          <w:rFonts w:hint="eastAsia" w:cs="宋体" w:asciiTheme="minorEastAsia" w:hAnsiTheme="minorEastAsia" w:eastAsiaTheme="minorEastAsia"/>
          <w:color w:val="auto"/>
          <w:sz w:val="24"/>
          <w:lang w:val="en-US"/>
        </w:rPr>
        <w:t>2</w:t>
      </w:r>
      <w:r>
        <w:rPr>
          <w:rFonts w:hint="eastAsia" w:cs="宋体" w:asciiTheme="minorEastAsia" w:hAnsiTheme="minorEastAsia" w:eastAsiaTheme="minorEastAsia"/>
          <w:color w:val="auto"/>
          <w:sz w:val="24"/>
        </w:rPr>
        <w:t xml:space="preserve">   按照《中华人民共和国政府采购法》、《中华人民共和国政府采购法实施条例》及本项目本级和上级财政部门的有关规定依法组建的评审委员会，负责本项目评审工作。</w:t>
      </w:r>
      <w:bookmarkStart w:id="139" w:name="_Toc520356166"/>
    </w:p>
    <w:p w14:paraId="3E165CE7">
      <w:pPr>
        <w:pStyle w:val="5"/>
        <w:spacing w:before="0" w:line="400" w:lineRule="exact"/>
        <w:rPr>
          <w:rFonts w:cs="宋体" w:asciiTheme="minorEastAsia" w:hAnsiTheme="minorEastAsia" w:eastAsiaTheme="minorEastAsia"/>
          <w:b w:val="0"/>
          <w:color w:val="auto"/>
          <w:bdr w:val="single" w:color="auto" w:sz="4" w:space="0"/>
        </w:rPr>
      </w:pPr>
      <w:bookmarkStart w:id="140" w:name="_Toc518923085"/>
      <w:bookmarkStart w:id="141" w:name="_Toc6842"/>
      <w:bookmarkStart w:id="142" w:name="_Toc17843_WPSOffice_Level2"/>
      <w:bookmarkStart w:id="143" w:name="_Toc31689_WPSOffice_Level2"/>
      <w:r>
        <w:rPr>
          <w:rFonts w:hint="eastAsia" w:cs="宋体" w:asciiTheme="minorEastAsia" w:hAnsiTheme="minorEastAsia" w:eastAsiaTheme="minorEastAsia"/>
          <w:color w:val="auto"/>
        </w:rPr>
        <w:t>20.响应文件的</w:t>
      </w:r>
      <w:bookmarkEnd w:id="139"/>
      <w:r>
        <w:rPr>
          <w:rFonts w:hint="eastAsia" w:cs="宋体" w:asciiTheme="minorEastAsia" w:hAnsiTheme="minorEastAsia" w:eastAsiaTheme="minorEastAsia"/>
          <w:color w:val="auto"/>
        </w:rPr>
        <w:t>符合性审查与澄清</w:t>
      </w:r>
      <w:bookmarkEnd w:id="140"/>
      <w:bookmarkEnd w:id="141"/>
      <w:bookmarkEnd w:id="142"/>
      <w:bookmarkEnd w:id="143"/>
    </w:p>
    <w:p w14:paraId="790BF349">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20.1   符合性审查是指依据磋商文件的规定，从响应文件的有效性和完整性对磋商文件的响应程度进行审查，以确定是否对磋商文件的实质性要求做出响应。</w:t>
      </w:r>
      <w:bookmarkStart w:id="144" w:name="_Hlt522424701"/>
      <w:bookmarkEnd w:id="144"/>
      <w:bookmarkStart w:id="145" w:name="_Toc520356167"/>
    </w:p>
    <w:p w14:paraId="2B1D844D">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20.2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响应文件的澄清</w:t>
      </w:r>
    </w:p>
    <w:p w14:paraId="280CDC45">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6A463E2A">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20.2.2  供应商的澄清、说明或补正将作为响应文件的一部分。</w:t>
      </w:r>
    </w:p>
    <w:p w14:paraId="39A2A67D">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20.3   响应文件报价出现前后不一致的，按照下列规定修正：</w:t>
      </w:r>
    </w:p>
    <w:p w14:paraId="4F4C9A9C">
      <w:pPr>
        <w:spacing w:line="400" w:lineRule="exact"/>
        <w:ind w:left="1020" w:hanging="1020" w:hangingChars="4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（一）响应文件中报价一览表（报价表）内容与响应文件中相应内容不一致的，以报价一览表（报价表）为准；</w:t>
      </w:r>
    </w:p>
    <w:p w14:paraId="0FCA7B51">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（二）大写金额和小写金额不一致的，以大写金额为准；</w:t>
      </w:r>
    </w:p>
    <w:p w14:paraId="0611989E">
      <w:pPr>
        <w:spacing w:line="400" w:lineRule="exact"/>
        <w:ind w:left="1020" w:hanging="1020" w:hangingChars="4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（三）单价金额小数点或者百分比有明显错位的，以报价一览表的总价为准，并修改单价；</w:t>
      </w:r>
    </w:p>
    <w:p w14:paraId="6527EE00">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（四）总价金额与按单价汇总金额不一致的，以单价金额计算结果为准。</w:t>
      </w:r>
    </w:p>
    <w:p w14:paraId="1FA819B3">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同时出现两种以上不一致的，按照前款规定的顺序修正。修正后的报价按照第20.2条的规定经供应商确认后产生约束力，供应商不确认的，将被认定为响应无效。</w:t>
      </w:r>
    </w:p>
    <w:p w14:paraId="67C79A14">
      <w:pPr>
        <w:spacing w:line="400" w:lineRule="exact"/>
        <w:ind w:left="770" w:leftChars="350" w:firstLine="120" w:firstLineChars="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对不同文字文本响应文件的解释发生异议的，以中文文本为准。</w:t>
      </w:r>
    </w:p>
    <w:p w14:paraId="5A789CB7">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w:t>
      </w:r>
      <w:r>
        <w:rPr>
          <w:rFonts w:hint="eastAsia" w:cs="宋体" w:asciiTheme="minorEastAsia" w:hAnsiTheme="minorEastAsia" w:eastAsiaTheme="minorEastAsia"/>
          <w:color w:val="auto"/>
          <w:sz w:val="24"/>
          <w:lang w:val="en-US"/>
        </w:rPr>
        <w:t>5</w:t>
      </w:r>
      <w:r>
        <w:rPr>
          <w:rFonts w:hint="eastAsia" w:cs="宋体" w:asciiTheme="minorEastAsia" w:hAnsiTheme="minorEastAsia" w:eastAsiaTheme="minorEastAsia"/>
          <w:color w:val="auto"/>
          <w:sz w:val="24"/>
        </w:rPr>
        <w:t>章评审方法和标准。</w:t>
      </w:r>
    </w:p>
    <w:p w14:paraId="02F99925">
      <w:pPr>
        <w:pStyle w:val="5"/>
        <w:spacing w:before="0" w:line="400" w:lineRule="exact"/>
        <w:rPr>
          <w:rFonts w:cs="宋体" w:asciiTheme="minorEastAsia" w:hAnsiTheme="minorEastAsia" w:eastAsiaTheme="minorEastAsia"/>
          <w:color w:val="auto"/>
        </w:rPr>
      </w:pPr>
      <w:bookmarkStart w:id="146" w:name="_Toc8603"/>
      <w:bookmarkStart w:id="147" w:name="_Toc6346_WPSOffice_Level2"/>
      <w:bookmarkStart w:id="148" w:name="_Toc518923086"/>
      <w:bookmarkStart w:id="149" w:name="_Toc26452_WPSOffice_Level2"/>
      <w:r>
        <w:rPr>
          <w:rFonts w:hint="eastAsia" w:cs="宋体" w:asciiTheme="minorEastAsia" w:hAnsiTheme="minorEastAsia" w:eastAsiaTheme="minorEastAsia"/>
          <w:color w:val="auto"/>
        </w:rPr>
        <w:t>21.响应偏离</w:t>
      </w:r>
      <w:bookmarkEnd w:id="146"/>
      <w:bookmarkEnd w:id="147"/>
      <w:bookmarkEnd w:id="148"/>
      <w:bookmarkEnd w:id="149"/>
    </w:p>
    <w:p w14:paraId="3C6B1CDF">
      <w:pPr>
        <w:spacing w:line="400" w:lineRule="exact"/>
        <w:ind w:left="858" w:leftChars="99" w:hanging="640" w:hangingChars="267"/>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评审委员会可以接受响应文件中不构成实质性偏离的不正规或不一致。</w:t>
      </w:r>
    </w:p>
    <w:p w14:paraId="7B4D3BD0">
      <w:pPr>
        <w:pStyle w:val="5"/>
        <w:spacing w:before="0" w:line="400" w:lineRule="exact"/>
        <w:rPr>
          <w:rFonts w:cs="宋体" w:asciiTheme="minorEastAsia" w:hAnsiTheme="minorEastAsia" w:eastAsiaTheme="minorEastAsia"/>
          <w:color w:val="auto"/>
        </w:rPr>
      </w:pPr>
      <w:bookmarkStart w:id="150" w:name="_Toc25255"/>
      <w:bookmarkStart w:id="151" w:name="_Toc11645_WPSOffice_Level2"/>
      <w:bookmarkStart w:id="152" w:name="_Toc518923087"/>
      <w:bookmarkStart w:id="153" w:name="_Toc25236_WPSOffice_Level2"/>
      <w:r>
        <w:rPr>
          <w:rFonts w:hint="eastAsia" w:cs="宋体" w:asciiTheme="minorEastAsia" w:hAnsiTheme="minorEastAsia" w:eastAsiaTheme="minorEastAsia"/>
          <w:color w:val="auto"/>
        </w:rPr>
        <w:t>22.响应无效</w:t>
      </w:r>
      <w:bookmarkEnd w:id="150"/>
      <w:bookmarkEnd w:id="151"/>
      <w:bookmarkEnd w:id="152"/>
      <w:bookmarkEnd w:id="153"/>
    </w:p>
    <w:p w14:paraId="415F6A51">
      <w:pPr>
        <w:spacing w:line="400" w:lineRule="exact"/>
        <w:ind w:left="849" w:leftChars="-23"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14:paraId="63B2D391">
      <w:pPr>
        <w:spacing w:line="400" w:lineRule="exact"/>
        <w:ind w:left="829" w:leftChars="377"/>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磋商小组决定磋商的响应性只根据磋商文件要求、响应文件内容及财政主管部门指定相关信息发布媒体。</w:t>
      </w:r>
    </w:p>
    <w:p w14:paraId="6B5B36D4">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如发现下列情况之一的，其磋商将被认定为无效：（</w:t>
      </w:r>
      <w:r>
        <w:rPr>
          <w:rFonts w:hint="eastAsia" w:cs="宋体" w:asciiTheme="minorEastAsia" w:hAnsiTheme="minorEastAsia" w:eastAsiaTheme="minorEastAsia"/>
          <w:b/>
          <w:color w:val="auto"/>
          <w:sz w:val="24"/>
        </w:rPr>
        <w:t>以下情形应当在磋商文件中规定，并以醒目的方式标明</w:t>
      </w:r>
      <w:r>
        <w:rPr>
          <w:rFonts w:hint="eastAsia" w:cs="宋体" w:asciiTheme="minorEastAsia" w:hAnsiTheme="minorEastAsia" w:eastAsiaTheme="minorEastAsia"/>
          <w:color w:val="auto"/>
          <w:sz w:val="24"/>
        </w:rPr>
        <w:t>）</w:t>
      </w:r>
    </w:p>
    <w:p w14:paraId="4D9E63EB">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未按磋商文件规定的形式和金额提交磋商保证金的；</w:t>
      </w:r>
    </w:p>
    <w:p w14:paraId="3563A985">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未按照磋商文件规定要求签署、盖章的；</w:t>
      </w:r>
    </w:p>
    <w:p w14:paraId="0DB21F3F">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未满足磋商文件中</w:t>
      </w:r>
      <w:r>
        <w:rPr>
          <w:rFonts w:hint="eastAsia" w:cs="宋体" w:asciiTheme="minorEastAsia" w:hAnsiTheme="minorEastAsia" w:eastAsiaTheme="minorEastAsia"/>
          <w:b/>
          <w:bCs/>
          <w:color w:val="auto"/>
          <w:sz w:val="24"/>
          <w:lang w:val="en-US"/>
        </w:rPr>
        <w:t>采购需求</w:t>
      </w:r>
      <w:r>
        <w:rPr>
          <w:rFonts w:hint="eastAsia" w:cs="宋体" w:asciiTheme="minorEastAsia" w:hAnsiTheme="minorEastAsia" w:eastAsiaTheme="minorEastAsia"/>
          <w:b/>
          <w:bCs/>
          <w:color w:val="auto"/>
          <w:sz w:val="24"/>
        </w:rPr>
        <w:t>条款的实质性要求；</w:t>
      </w:r>
    </w:p>
    <w:p w14:paraId="3CAB3EB2">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与其他供应商串通参加磋商，或者与采购人串通参加磋商；</w:t>
      </w:r>
    </w:p>
    <w:p w14:paraId="448DE2A0">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属于磋商文件规定的其他响应无效情形；</w:t>
      </w:r>
    </w:p>
    <w:p w14:paraId="4E3AA168">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评审委员会认为供应商的报价明显低于其他通过符合性检查供</w:t>
      </w:r>
    </w:p>
    <w:p w14:paraId="174235C3">
      <w:pPr>
        <w:spacing w:line="400" w:lineRule="exact"/>
        <w:ind w:left="1003" w:leftChars="456"/>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应商的报价，有可能影响履约的，且供应商未按照规定证明其报价合理性的；</w:t>
      </w:r>
    </w:p>
    <w:p w14:paraId="714E63C8">
      <w:pPr>
        <w:numPr>
          <w:ilvl w:val="0"/>
          <w:numId w:val="4"/>
        </w:numPr>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响应文件含有采购人不能接受的附加条件的；</w:t>
      </w:r>
    </w:p>
    <w:p w14:paraId="63AEF305">
      <w:pPr>
        <w:numPr>
          <w:ilvl w:val="0"/>
          <w:numId w:val="4"/>
        </w:numPr>
        <w:tabs>
          <w:tab w:val="left" w:pos="0"/>
        </w:tabs>
        <w:spacing w:line="400" w:lineRule="exact"/>
        <w:ind w:left="1124" w:leftChars="429" w:hanging="18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不符合法规和磋商文件中规定的其他实质性要求的。</w:t>
      </w:r>
    </w:p>
    <w:p w14:paraId="2B49CD22">
      <w:pPr>
        <w:spacing w:line="400" w:lineRule="exact"/>
        <w:outlineLvl w:val="2"/>
        <w:rPr>
          <w:rFonts w:cs="宋体" w:asciiTheme="minorEastAsia" w:hAnsiTheme="minorEastAsia" w:eastAsiaTheme="minorEastAsia"/>
          <w:b/>
          <w:bCs/>
          <w:color w:val="auto"/>
          <w:sz w:val="24"/>
        </w:rPr>
      </w:pPr>
      <w:bookmarkStart w:id="154" w:name="_Toc14330_WPSOffice_Level2"/>
      <w:bookmarkStart w:id="155" w:name="_Toc22743_WPSOffice_Level2"/>
      <w:bookmarkStart w:id="156" w:name="_Toc20835"/>
      <w:bookmarkStart w:id="157" w:name="_Toc518923088"/>
      <w:r>
        <w:rPr>
          <w:rFonts w:hint="eastAsia" w:cs="宋体" w:asciiTheme="minorEastAsia" w:hAnsiTheme="minorEastAsia" w:eastAsiaTheme="minorEastAsia"/>
          <w:b/>
          <w:bCs/>
          <w:color w:val="auto"/>
          <w:sz w:val="24"/>
        </w:rPr>
        <w:t>23</w:t>
      </w:r>
      <w:bookmarkEnd w:id="145"/>
      <w:r>
        <w:rPr>
          <w:rFonts w:hint="eastAsia" w:cs="宋体" w:asciiTheme="minorEastAsia" w:hAnsiTheme="minorEastAsia" w:eastAsiaTheme="minorEastAsia"/>
          <w:b/>
          <w:bCs/>
          <w:color w:val="auto"/>
          <w:sz w:val="24"/>
        </w:rPr>
        <w:t>.比较与评价</w:t>
      </w:r>
      <w:bookmarkEnd w:id="154"/>
      <w:bookmarkEnd w:id="155"/>
      <w:bookmarkEnd w:id="156"/>
      <w:bookmarkEnd w:id="157"/>
    </w:p>
    <w:p w14:paraId="0AC377DB">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23.1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经符合性审查合格的响应文件，评审委员会将根据磋商文件确定的评审方法和标准，对其技术部分和商务部分作进一步的比较和评价。</w:t>
      </w:r>
    </w:p>
    <w:p w14:paraId="5DDD2D14">
      <w:pPr>
        <w:pStyle w:val="17"/>
        <w:ind w:left="752" w:leftChars="342" w:firstLine="241" w:firstLineChars="100"/>
        <w:rPr>
          <w:rFonts w:cs="宋体" w:asciiTheme="minorEastAsia" w:hAnsiTheme="minorEastAsia" w:eastAsiaTheme="minorEastAsia"/>
          <w:b/>
          <w:bCs/>
          <w:color w:val="auto"/>
          <w:sz w:val="24"/>
          <w:highlight w:val="none"/>
          <w:u w:val="single"/>
        </w:rPr>
      </w:pPr>
      <w:r>
        <w:rPr>
          <w:rFonts w:hint="eastAsia" w:cs="宋体" w:asciiTheme="minorEastAsia" w:hAnsiTheme="minorEastAsia" w:eastAsiaTheme="minorEastAsia"/>
          <w:b/>
          <w:bCs/>
          <w:color w:val="auto"/>
          <w:sz w:val="24"/>
          <w:highlight w:val="none"/>
          <w:u w:val="single"/>
        </w:rPr>
        <w:t>竞争性磋商共有两次报价，二次报价为最终报价 ，磋商小组所有成员集中与单一供应商分别进行磋商，并给予所有参加磋商的供应商平等的磋商机会，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w:t>
      </w:r>
      <w:r>
        <w:rPr>
          <w:rFonts w:hint="eastAsia" w:cs="宋体" w:asciiTheme="minorEastAsia" w:hAnsiTheme="minorEastAsia" w:eastAsiaTheme="minorEastAsia"/>
          <w:b/>
          <w:bCs/>
          <w:color w:val="auto"/>
          <w:sz w:val="24"/>
          <w:highlight w:val="none"/>
          <w:u w:val="single"/>
          <w:lang w:val="en-US" w:eastAsia="zh-CN"/>
        </w:rPr>
        <w:t>高到低</w:t>
      </w:r>
      <w:r>
        <w:rPr>
          <w:rFonts w:hint="eastAsia" w:cs="宋体" w:asciiTheme="minorEastAsia" w:hAnsiTheme="minorEastAsia" w:eastAsiaTheme="minorEastAsia"/>
          <w:b/>
          <w:bCs/>
          <w:color w:val="auto"/>
          <w:sz w:val="24"/>
          <w:highlight w:val="none"/>
          <w:u w:val="single"/>
        </w:rPr>
        <w:t>的顺序提出成交候选人，并编写评审报告，将结果通知所有参加磋商的未成交的供应商；</w:t>
      </w:r>
    </w:p>
    <w:p w14:paraId="7A6F73EF">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23.2  </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评审严格按照磋商文件的要求和条件进行。根据实际情况，在</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中规定采用下列一种评审方法，详细评审标准见磋商文件第</w:t>
      </w:r>
      <w:r>
        <w:rPr>
          <w:rFonts w:hint="eastAsia" w:cs="宋体" w:asciiTheme="minorEastAsia" w:hAnsiTheme="minorEastAsia" w:eastAsiaTheme="minorEastAsia"/>
          <w:color w:val="auto"/>
          <w:sz w:val="24"/>
          <w:lang w:val="en-US"/>
        </w:rPr>
        <w:t>5</w:t>
      </w:r>
      <w:r>
        <w:rPr>
          <w:rFonts w:hint="eastAsia" w:cs="宋体" w:asciiTheme="minorEastAsia" w:hAnsiTheme="minorEastAsia" w:eastAsiaTheme="minorEastAsia"/>
          <w:color w:val="auto"/>
          <w:sz w:val="24"/>
        </w:rPr>
        <w:t>章：</w:t>
      </w:r>
    </w:p>
    <w:p w14:paraId="03BE6A99">
      <w:pPr>
        <w:pStyle w:val="12"/>
        <w:spacing w:line="400" w:lineRule="exact"/>
        <w:ind w:left="1003" w:leftChars="456" w:firstLine="33" w:firstLineChars="14"/>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综合评分法，是指响应文件满足磋商文件全部实质性要求，且按照评审因素的量化指标评审得分最高的供应商为成交候选人的评审方法。</w:t>
      </w:r>
    </w:p>
    <w:p w14:paraId="4EA8F461">
      <w:pPr>
        <w:pStyle w:val="12"/>
        <w:spacing w:line="400" w:lineRule="exact"/>
        <w:ind w:left="1003" w:leftChars="456" w:firstLine="34" w:firstLineChars="14"/>
        <w:rPr>
          <w:rFonts w:cs="宋体" w:asciiTheme="minorEastAsia" w:hAnsiTheme="minorEastAsia" w:eastAsiaTheme="minorEastAsia"/>
          <w:b/>
          <w:bCs/>
          <w:color w:val="auto"/>
          <w:szCs w:val="24"/>
        </w:rPr>
      </w:pPr>
      <w:r>
        <w:rPr>
          <w:rFonts w:hint="eastAsia" w:cs="宋体" w:asciiTheme="minorEastAsia" w:hAnsiTheme="minorEastAsia" w:eastAsiaTheme="minorEastAsia"/>
          <w:b/>
          <w:bCs/>
          <w:color w:val="auto"/>
          <w:szCs w:val="24"/>
        </w:rPr>
        <w:t>本项目采用采购方式：竞争性磋商，评分方法：综合评分法</w:t>
      </w:r>
    </w:p>
    <w:p w14:paraId="7357983C">
      <w:pPr>
        <w:spacing w:line="400" w:lineRule="exact"/>
        <w:ind w:left="992" w:leftChars="342" w:hanging="240" w:hangingChars="1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1、价格因素：</w:t>
      </w: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lang w:val="en-US"/>
        </w:rPr>
        <w:t>0</w:t>
      </w:r>
      <w:r>
        <w:rPr>
          <w:rFonts w:hint="eastAsia" w:cs="宋体" w:asciiTheme="minorEastAsia" w:hAnsiTheme="minorEastAsia" w:eastAsiaTheme="minorEastAsia"/>
          <w:color w:val="auto"/>
          <w:sz w:val="24"/>
        </w:rPr>
        <w:t>分（磋商报价得分=(磋商基准价/供应商最终磋商报价）x价格权值x100）</w:t>
      </w:r>
    </w:p>
    <w:p w14:paraId="15176FA9">
      <w:pPr>
        <w:pStyle w:val="12"/>
        <w:spacing w:line="400" w:lineRule="exact"/>
        <w:ind w:left="752" w:leftChars="342" w:firstLine="240" w:firstLineChars="100"/>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2、商务因素及技术因素：</w:t>
      </w:r>
      <w:r>
        <w:rPr>
          <w:rFonts w:hint="eastAsia" w:cs="宋体" w:asciiTheme="minorEastAsia" w:hAnsiTheme="minorEastAsia" w:eastAsiaTheme="minorEastAsia"/>
          <w:color w:val="auto"/>
          <w:szCs w:val="24"/>
          <w:lang w:val="en-US" w:eastAsia="zh-CN"/>
        </w:rPr>
        <w:t>7</w:t>
      </w:r>
      <w:r>
        <w:rPr>
          <w:rFonts w:hint="eastAsia" w:cs="宋体" w:asciiTheme="minorEastAsia" w:hAnsiTheme="minorEastAsia" w:eastAsiaTheme="minorEastAsia"/>
          <w:color w:val="auto"/>
          <w:szCs w:val="24"/>
          <w:lang w:val="en-US"/>
        </w:rPr>
        <w:t>0</w:t>
      </w:r>
      <w:r>
        <w:rPr>
          <w:rFonts w:hint="eastAsia" w:cs="宋体" w:asciiTheme="minorEastAsia" w:hAnsiTheme="minorEastAsia" w:eastAsiaTheme="minorEastAsia"/>
          <w:color w:val="auto"/>
          <w:szCs w:val="24"/>
        </w:rPr>
        <w:t>分</w:t>
      </w:r>
    </w:p>
    <w:p w14:paraId="3CED4767">
      <w:pPr>
        <w:pStyle w:val="5"/>
        <w:spacing w:before="0" w:line="300" w:lineRule="exact"/>
        <w:rPr>
          <w:rFonts w:cs="宋体" w:asciiTheme="minorEastAsia" w:hAnsiTheme="minorEastAsia" w:eastAsiaTheme="minorEastAsia"/>
          <w:color w:val="auto"/>
          <w:kern w:val="2"/>
          <w:szCs w:val="24"/>
        </w:rPr>
      </w:pPr>
      <w:bookmarkStart w:id="158" w:name="_Toc520356168"/>
      <w:bookmarkStart w:id="159" w:name="_Toc21686_WPSOffice_Level2"/>
      <w:bookmarkStart w:id="160" w:name="_Toc518923089"/>
      <w:bookmarkStart w:id="161" w:name="_Toc27560_WPSOffice_Level2"/>
      <w:bookmarkStart w:id="162" w:name="_Toc5823"/>
      <w:r>
        <w:rPr>
          <w:rFonts w:hint="eastAsia" w:cs="宋体" w:asciiTheme="minorEastAsia" w:hAnsiTheme="minorEastAsia" w:eastAsiaTheme="minorEastAsia"/>
          <w:color w:val="auto"/>
          <w:kern w:val="2"/>
          <w:szCs w:val="24"/>
        </w:rPr>
        <w:t>24</w:t>
      </w:r>
      <w:bookmarkEnd w:id="158"/>
      <w:r>
        <w:rPr>
          <w:rFonts w:hint="eastAsia" w:cs="宋体" w:asciiTheme="minorEastAsia" w:hAnsiTheme="minorEastAsia" w:eastAsiaTheme="minorEastAsia"/>
          <w:color w:val="auto"/>
          <w:kern w:val="2"/>
          <w:szCs w:val="24"/>
        </w:rPr>
        <w:t>.废标</w:t>
      </w:r>
      <w:bookmarkEnd w:id="159"/>
      <w:bookmarkEnd w:id="160"/>
      <w:bookmarkEnd w:id="161"/>
      <w:bookmarkEnd w:id="162"/>
    </w:p>
    <w:p w14:paraId="0E3DA8DF">
      <w:pPr>
        <w:spacing w:line="300" w:lineRule="exact"/>
        <w:ind w:left="938" w:leftChars="399" w:hanging="60" w:hangingChars="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出现下列情形之一，将导致项目废标： </w:t>
      </w:r>
    </w:p>
    <w:p w14:paraId="4E752773">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（1）符合专业条件的供应商或者对磋商文件做实质性响应的供应商不足三家；</w:t>
      </w:r>
    </w:p>
    <w:p w14:paraId="2759A037">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（2）出现影响采购公正的违法、违规行为的；</w:t>
      </w:r>
    </w:p>
    <w:p w14:paraId="37794CFE">
      <w:pPr>
        <w:spacing w:line="300" w:lineRule="exact"/>
        <w:ind w:firstLine="840" w:firstLineChars="3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（3）供应商的报价均超过了采购预算，采购人不能支付的；</w:t>
      </w:r>
    </w:p>
    <w:p w14:paraId="39CBCB8F">
      <w:pPr>
        <w:spacing w:line="300" w:lineRule="exact"/>
        <w:ind w:firstLine="840" w:firstLineChars="3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（4）因重大变故，采购任务取消的。   </w:t>
      </w:r>
    </w:p>
    <w:p w14:paraId="1A5DBE1D">
      <w:pPr>
        <w:pStyle w:val="5"/>
        <w:spacing w:before="0" w:line="300" w:lineRule="exact"/>
        <w:rPr>
          <w:rFonts w:cs="宋体" w:asciiTheme="minorEastAsia" w:hAnsiTheme="minorEastAsia" w:eastAsiaTheme="minorEastAsia"/>
          <w:color w:val="auto"/>
        </w:rPr>
      </w:pPr>
      <w:bookmarkStart w:id="163" w:name="_Toc518923090"/>
      <w:bookmarkStart w:id="164" w:name="_Toc23660"/>
      <w:bookmarkStart w:id="165" w:name="_Toc16649_WPSOffice_Level2"/>
      <w:bookmarkStart w:id="166" w:name="_Toc4205_WPSOffice_Level2"/>
      <w:bookmarkStart w:id="167" w:name="_Toc520356169"/>
      <w:r>
        <w:rPr>
          <w:rFonts w:hint="eastAsia" w:cs="宋体" w:asciiTheme="minorEastAsia" w:hAnsiTheme="minorEastAsia" w:eastAsiaTheme="minorEastAsia"/>
          <w:color w:val="auto"/>
        </w:rPr>
        <w:t>25.保密原则</w:t>
      </w:r>
      <w:bookmarkEnd w:id="163"/>
      <w:bookmarkEnd w:id="164"/>
      <w:bookmarkEnd w:id="165"/>
      <w:bookmarkEnd w:id="166"/>
    </w:p>
    <w:p w14:paraId="7AE284FB">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25.1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评审将在严格保密的情况下进行。</w:t>
      </w:r>
    </w:p>
    <w:p w14:paraId="546EA49F">
      <w:pPr>
        <w:spacing w:line="300" w:lineRule="exact"/>
        <w:ind w:left="900" w:hanging="900" w:hangingChars="375"/>
        <w:rPr>
          <w:rFonts w:asciiTheme="minorEastAsia" w:hAnsiTheme="minorEastAsia" w:eastAsiaTheme="minorEastAsia"/>
          <w:color w:val="auto"/>
        </w:rPr>
      </w:pPr>
      <w:r>
        <w:rPr>
          <w:rFonts w:hint="eastAsia" w:cs="宋体" w:asciiTheme="minorEastAsia" w:hAnsiTheme="minorEastAsia" w:eastAsiaTheme="minorEastAsia"/>
          <w:color w:val="auto"/>
          <w:sz w:val="24"/>
        </w:rPr>
        <w:t>25.2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政府采购评审专家应当遵守评审工作纪律，不得泄露评审文件、评审情况和评审中获悉的商业秘密。</w:t>
      </w:r>
      <w:bookmarkStart w:id="168" w:name="_Toc518923091"/>
      <w:bookmarkStart w:id="169" w:name="_Toc10964"/>
      <w:bookmarkStart w:id="170" w:name="_Toc216582810"/>
      <w:bookmarkStart w:id="171" w:name="_Toc4193_WPSOffice_Level1"/>
    </w:p>
    <w:p w14:paraId="3D7943EB">
      <w:pPr>
        <w:pStyle w:val="17"/>
        <w:rPr>
          <w:rFonts w:asciiTheme="minorEastAsia" w:hAnsiTheme="minorEastAsia" w:eastAsiaTheme="minorEastAsia"/>
          <w:color w:val="auto"/>
        </w:rPr>
      </w:pPr>
    </w:p>
    <w:p w14:paraId="2C42D0B3">
      <w:pPr>
        <w:pStyle w:val="4"/>
        <w:spacing w:before="0" w:line="300" w:lineRule="exact"/>
        <w:ind w:left="1105" w:leftChars="257" w:hanging="540"/>
        <w:rPr>
          <w:rFonts w:cs="宋体" w:asciiTheme="minorEastAsia" w:hAnsiTheme="minorEastAsia" w:eastAsiaTheme="minorEastAsia"/>
          <w:color w:val="auto"/>
          <w:sz w:val="24"/>
        </w:rPr>
      </w:pPr>
      <w:bookmarkStart w:id="172" w:name="_Toc21668"/>
      <w:r>
        <w:rPr>
          <w:rFonts w:hint="eastAsia" w:cs="宋体" w:asciiTheme="minorEastAsia" w:hAnsiTheme="minorEastAsia" w:eastAsiaTheme="minorEastAsia"/>
          <w:color w:val="auto"/>
          <w:sz w:val="24"/>
        </w:rPr>
        <w:t xml:space="preserve">六   </w:t>
      </w:r>
      <w:bookmarkEnd w:id="167"/>
      <w:r>
        <w:rPr>
          <w:rFonts w:hint="eastAsia" w:cs="宋体" w:asciiTheme="minorEastAsia" w:hAnsiTheme="minorEastAsia" w:eastAsiaTheme="minorEastAsia"/>
          <w:color w:val="auto"/>
          <w:sz w:val="24"/>
        </w:rPr>
        <w:t>确定</w:t>
      </w:r>
      <w:bookmarkEnd w:id="168"/>
      <w:bookmarkEnd w:id="169"/>
      <w:bookmarkEnd w:id="170"/>
      <w:r>
        <w:rPr>
          <w:rFonts w:hint="eastAsia" w:cs="宋体" w:asciiTheme="minorEastAsia" w:hAnsiTheme="minorEastAsia" w:eastAsiaTheme="minorEastAsia"/>
          <w:color w:val="auto"/>
          <w:sz w:val="24"/>
        </w:rPr>
        <w:t>成交</w:t>
      </w:r>
      <w:bookmarkEnd w:id="171"/>
      <w:bookmarkEnd w:id="172"/>
    </w:p>
    <w:p w14:paraId="15153888">
      <w:pPr>
        <w:pStyle w:val="7"/>
        <w:spacing w:line="300" w:lineRule="exact"/>
        <w:ind w:firstLine="440"/>
        <w:rPr>
          <w:rFonts w:cs="宋体" w:asciiTheme="minorEastAsia" w:hAnsiTheme="minorEastAsia" w:eastAsiaTheme="minorEastAsia"/>
          <w:color w:val="auto"/>
        </w:rPr>
      </w:pPr>
    </w:p>
    <w:p w14:paraId="2104A496">
      <w:pPr>
        <w:pStyle w:val="5"/>
        <w:spacing w:before="0" w:line="300" w:lineRule="exact"/>
        <w:rPr>
          <w:rFonts w:cs="宋体" w:asciiTheme="minorEastAsia" w:hAnsiTheme="minorEastAsia" w:eastAsiaTheme="minorEastAsia"/>
          <w:color w:val="auto"/>
        </w:rPr>
      </w:pPr>
      <w:bookmarkStart w:id="173" w:name="_Ref467307010"/>
      <w:bookmarkStart w:id="174" w:name="_Toc32578"/>
      <w:bookmarkStart w:id="175" w:name="_Toc4749_WPSOffice_Level2"/>
      <w:bookmarkStart w:id="176" w:name="_Toc520356170"/>
      <w:bookmarkStart w:id="177" w:name="_Toc518923092"/>
      <w:bookmarkStart w:id="178" w:name="_Toc31921_WPSOffice_Level2"/>
      <w:r>
        <w:rPr>
          <w:rFonts w:hint="eastAsia" w:cs="宋体" w:asciiTheme="minorEastAsia" w:hAnsiTheme="minorEastAsia" w:eastAsiaTheme="minorEastAsia"/>
          <w:color w:val="auto"/>
        </w:rPr>
        <w:t>26.成交候选人的确定原则及标准</w:t>
      </w:r>
      <w:bookmarkEnd w:id="173"/>
      <w:bookmarkEnd w:id="174"/>
      <w:bookmarkEnd w:id="175"/>
      <w:bookmarkEnd w:id="176"/>
      <w:bookmarkEnd w:id="177"/>
      <w:bookmarkEnd w:id="178"/>
    </w:p>
    <w:p w14:paraId="683F3D46">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除第28条规定外，对实质上响应磋商文件的供应商按下列方法进行排序，确定成交候选人：</w:t>
      </w:r>
    </w:p>
    <w:p w14:paraId="6A418D6F">
      <w:pPr>
        <w:spacing w:line="300" w:lineRule="exact"/>
        <w:ind w:left="901"/>
        <w:rPr>
          <w:rFonts w:cs="宋体" w:asciiTheme="minorEastAsia" w:hAnsiTheme="minorEastAsia" w:eastAsiaTheme="minorEastAsia"/>
          <w:b/>
          <w:bCs/>
          <w:color w:val="auto"/>
          <w:sz w:val="24"/>
          <w:u w:val="single"/>
        </w:rPr>
      </w:pPr>
      <w:r>
        <w:rPr>
          <w:rFonts w:hint="eastAsia" w:cs="宋体" w:asciiTheme="minorEastAsia" w:hAnsiTheme="minorEastAsia" w:eastAsiaTheme="minorEastAsia"/>
          <w:b/>
          <w:bCs/>
          <w:color w:val="auto"/>
          <w:sz w:val="24"/>
          <w:u w:val="single"/>
        </w:rPr>
        <w:t>采用综合评分法的，评审结果按评审后得分由</w:t>
      </w:r>
      <w:r>
        <w:rPr>
          <w:rFonts w:hint="eastAsia" w:cs="宋体" w:asciiTheme="minorEastAsia" w:hAnsiTheme="minorEastAsia" w:eastAsiaTheme="minorEastAsia"/>
          <w:b/>
          <w:bCs/>
          <w:color w:val="auto"/>
          <w:sz w:val="24"/>
          <w:u w:val="single"/>
          <w:lang w:val="en-US"/>
        </w:rPr>
        <w:t>高到低</w:t>
      </w:r>
      <w:r>
        <w:rPr>
          <w:rFonts w:hint="eastAsia" w:cs="宋体" w:asciiTheme="minorEastAsia" w:hAnsiTheme="minorEastAsia" w:eastAsiaTheme="minorEastAsia"/>
          <w:b/>
          <w:bCs/>
          <w:color w:val="auto"/>
          <w:sz w:val="24"/>
          <w:u w:val="single"/>
        </w:rPr>
        <w:t>顺序排列。得分相同的，按修正和扣除后的磋商报价由低到高顺序排列。得分与磋商报价均相同的处理方式详见磋商文件第</w:t>
      </w:r>
      <w:r>
        <w:rPr>
          <w:rFonts w:hint="eastAsia" w:cs="宋体" w:asciiTheme="minorEastAsia" w:hAnsiTheme="minorEastAsia" w:eastAsiaTheme="minorEastAsia"/>
          <w:b/>
          <w:bCs/>
          <w:color w:val="auto"/>
          <w:sz w:val="24"/>
          <w:u w:val="single"/>
          <w:lang w:val="en-US"/>
        </w:rPr>
        <w:t>5</w:t>
      </w:r>
      <w:r>
        <w:rPr>
          <w:rFonts w:hint="eastAsia" w:cs="宋体" w:asciiTheme="minorEastAsia" w:hAnsiTheme="minorEastAsia" w:eastAsiaTheme="minorEastAsia"/>
          <w:b/>
          <w:bCs/>
          <w:color w:val="auto"/>
          <w:sz w:val="24"/>
          <w:u w:val="single"/>
        </w:rPr>
        <w:t>章。</w:t>
      </w:r>
    </w:p>
    <w:p w14:paraId="4BB92D4B">
      <w:pPr>
        <w:pStyle w:val="5"/>
        <w:spacing w:before="0" w:line="300" w:lineRule="exact"/>
        <w:rPr>
          <w:rFonts w:cs="宋体" w:asciiTheme="minorEastAsia" w:hAnsiTheme="minorEastAsia" w:eastAsiaTheme="minorEastAsia"/>
          <w:color w:val="auto"/>
        </w:rPr>
      </w:pPr>
      <w:bookmarkStart w:id="179" w:name="_Toc520356171"/>
      <w:bookmarkStart w:id="180" w:name="_Toc518923093"/>
      <w:bookmarkStart w:id="181" w:name="_Toc10555"/>
      <w:bookmarkStart w:id="182" w:name="_Toc2420_WPSOffice_Level2"/>
      <w:bookmarkStart w:id="183" w:name="_Toc3689_WPSOffice_Level2"/>
      <w:r>
        <w:rPr>
          <w:rFonts w:hint="eastAsia" w:cs="宋体" w:asciiTheme="minorEastAsia" w:hAnsiTheme="minorEastAsia" w:eastAsiaTheme="minorEastAsia"/>
          <w:color w:val="auto"/>
        </w:rPr>
        <w:t>27</w:t>
      </w:r>
      <w:bookmarkEnd w:id="179"/>
      <w:r>
        <w:rPr>
          <w:rFonts w:hint="eastAsia" w:cs="宋体" w:asciiTheme="minorEastAsia" w:hAnsiTheme="minorEastAsia" w:eastAsiaTheme="minorEastAsia"/>
          <w:color w:val="auto"/>
        </w:rPr>
        <w:t>.确定成交候选人和成交人</w:t>
      </w:r>
      <w:bookmarkEnd w:id="180"/>
      <w:bookmarkEnd w:id="181"/>
      <w:bookmarkEnd w:id="182"/>
      <w:bookmarkEnd w:id="183"/>
    </w:p>
    <w:p w14:paraId="09BE5448">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评审委员会将根据评审标准，按</w:t>
      </w:r>
      <w:r>
        <w:rPr>
          <w:rFonts w:hint="eastAsia" w:cs="宋体" w:asciiTheme="minorEastAsia" w:hAnsiTheme="minorEastAsia" w:eastAsiaTheme="minorEastAsia"/>
          <w:color w:val="auto"/>
          <w:sz w:val="24"/>
          <w:u w:val="single"/>
        </w:rPr>
        <w:t>供应商须知前附表中</w:t>
      </w:r>
      <w:r>
        <w:rPr>
          <w:rFonts w:hint="eastAsia" w:cs="宋体" w:asciiTheme="minorEastAsia" w:hAnsiTheme="minorEastAsia" w:eastAsiaTheme="minorEastAsia"/>
          <w:color w:val="auto"/>
          <w:sz w:val="24"/>
        </w:rPr>
        <w:t>规定数量推荐成交候选人；</w:t>
      </w:r>
      <w:r>
        <w:rPr>
          <w:rFonts w:hint="eastAsia" w:cs="宋体" w:asciiTheme="minorEastAsia" w:hAnsiTheme="minorEastAsia" w:eastAsiaTheme="minorEastAsia"/>
          <w:b/>
          <w:bCs/>
          <w:color w:val="auto"/>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auto"/>
          <w:sz w:val="24"/>
        </w:rPr>
        <w:t>或根据采购人的委托，直接确定成交人。</w:t>
      </w:r>
    </w:p>
    <w:p w14:paraId="0AE5A041">
      <w:pPr>
        <w:pStyle w:val="5"/>
        <w:tabs>
          <w:tab w:val="left" w:pos="900"/>
        </w:tabs>
        <w:spacing w:before="0" w:line="300" w:lineRule="exact"/>
        <w:rPr>
          <w:rFonts w:cs="宋体" w:asciiTheme="minorEastAsia" w:hAnsiTheme="minorEastAsia" w:eastAsiaTheme="minorEastAsia"/>
          <w:color w:val="auto"/>
        </w:rPr>
      </w:pPr>
      <w:bookmarkStart w:id="184" w:name="_Toc520356173"/>
      <w:bookmarkStart w:id="185" w:name="_Ref467306874"/>
      <w:bookmarkStart w:id="186" w:name="_Toc620_WPSOffice_Level2"/>
      <w:bookmarkStart w:id="187" w:name="_Toc518923094"/>
      <w:bookmarkStart w:id="188" w:name="_Toc17138"/>
      <w:bookmarkStart w:id="189" w:name="_Toc17336_WPSOffice_Level2"/>
      <w:r>
        <w:rPr>
          <w:rFonts w:hint="eastAsia" w:cs="宋体" w:asciiTheme="minorEastAsia" w:hAnsiTheme="minorEastAsia" w:eastAsiaTheme="minorEastAsia"/>
          <w:color w:val="auto"/>
        </w:rPr>
        <w:t>28</w:t>
      </w:r>
      <w:bookmarkEnd w:id="184"/>
      <w:bookmarkEnd w:id="185"/>
      <w:r>
        <w:rPr>
          <w:rFonts w:hint="eastAsia" w:cs="宋体" w:asciiTheme="minorEastAsia" w:hAnsiTheme="minorEastAsia" w:eastAsiaTheme="minorEastAsia"/>
          <w:color w:val="auto"/>
        </w:rPr>
        <w:t>.采购任务取消</w:t>
      </w:r>
      <w:bookmarkEnd w:id="186"/>
      <w:bookmarkEnd w:id="187"/>
      <w:bookmarkEnd w:id="188"/>
      <w:bookmarkEnd w:id="189"/>
    </w:p>
    <w:p w14:paraId="2398F201">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因重大变故采购任务取消时，采购人有权拒绝任何供应商成交，且对受影响的供应商不承担任何责任。</w:t>
      </w:r>
      <w:bookmarkStart w:id="190" w:name="_Toc520356174"/>
    </w:p>
    <w:p w14:paraId="25FD5E6E">
      <w:pPr>
        <w:pStyle w:val="5"/>
        <w:spacing w:before="0" w:line="300" w:lineRule="exact"/>
        <w:rPr>
          <w:rFonts w:cs="宋体" w:asciiTheme="minorEastAsia" w:hAnsiTheme="minorEastAsia" w:eastAsiaTheme="minorEastAsia"/>
          <w:color w:val="auto"/>
        </w:rPr>
      </w:pPr>
      <w:bookmarkStart w:id="191" w:name="_Toc18072"/>
      <w:bookmarkStart w:id="192" w:name="_Toc518923095"/>
      <w:bookmarkStart w:id="193" w:name="_Toc7273_WPSOffice_Level2"/>
      <w:bookmarkStart w:id="194" w:name="_Toc22810_WPSOffice_Level2"/>
      <w:r>
        <w:rPr>
          <w:rFonts w:hint="eastAsia" w:cs="宋体" w:asciiTheme="minorEastAsia" w:hAnsiTheme="minorEastAsia" w:eastAsiaTheme="minorEastAsia"/>
          <w:color w:val="auto"/>
        </w:rPr>
        <w:t>29.成交通知书</w:t>
      </w:r>
      <w:bookmarkEnd w:id="190"/>
      <w:r>
        <w:rPr>
          <w:rFonts w:hint="eastAsia" w:cs="宋体" w:asciiTheme="minorEastAsia" w:hAnsiTheme="minorEastAsia" w:eastAsiaTheme="minorEastAsia"/>
          <w:color w:val="auto"/>
        </w:rPr>
        <w:t>和采购结果通知书</w:t>
      </w:r>
      <w:bookmarkEnd w:id="191"/>
      <w:bookmarkEnd w:id="192"/>
      <w:bookmarkEnd w:id="193"/>
      <w:bookmarkEnd w:id="194"/>
    </w:p>
    <w:p w14:paraId="3D8BA49B">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29.1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在磋商有效期内，成交人确定后，采购人或者采购代理机构发布成交公告，同时以书面形式向成交人发出成交通知书；</w:t>
      </w:r>
    </w:p>
    <w:p w14:paraId="2B25E19F">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29.2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成交通知书是合同的组成部分；</w:t>
      </w:r>
    </w:p>
    <w:p w14:paraId="498BDAC1">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29.3    采购结果通知书和成交通知书同时发出。采购结果通知书中将告知未通过资格审查的供应商未通过的原因；采用综合评分法评审的，还将告知未成交人本人的评审得分和排序。</w:t>
      </w:r>
    </w:p>
    <w:p w14:paraId="3C23D91B">
      <w:pPr>
        <w:pStyle w:val="5"/>
        <w:spacing w:before="0" w:line="300" w:lineRule="exact"/>
        <w:rPr>
          <w:rFonts w:cs="宋体" w:asciiTheme="minorEastAsia" w:hAnsiTheme="minorEastAsia" w:eastAsiaTheme="minorEastAsia"/>
          <w:color w:val="auto"/>
        </w:rPr>
      </w:pPr>
      <w:bookmarkStart w:id="195" w:name="_Ref467306978"/>
      <w:bookmarkStart w:id="196" w:name="_Toc518923096"/>
      <w:bookmarkStart w:id="197" w:name="_Toc9717_WPSOffice_Level2"/>
      <w:bookmarkStart w:id="198" w:name="_Toc520356175"/>
      <w:bookmarkStart w:id="199" w:name="_Ref467306377"/>
      <w:bookmarkStart w:id="200" w:name="_Ref467307062"/>
      <w:bookmarkStart w:id="201" w:name="_Ref467307204"/>
      <w:bookmarkStart w:id="202" w:name="_Toc23285_WPSOffice_Level2"/>
      <w:bookmarkStart w:id="203" w:name="_Toc16952"/>
      <w:r>
        <w:rPr>
          <w:rFonts w:hint="eastAsia" w:cs="宋体" w:asciiTheme="minorEastAsia" w:hAnsiTheme="minorEastAsia" w:eastAsiaTheme="minorEastAsia"/>
          <w:color w:val="auto"/>
        </w:rPr>
        <w:t>30.签订合同</w:t>
      </w:r>
      <w:bookmarkEnd w:id="195"/>
      <w:bookmarkEnd w:id="196"/>
      <w:bookmarkEnd w:id="197"/>
      <w:bookmarkEnd w:id="198"/>
      <w:bookmarkEnd w:id="199"/>
      <w:bookmarkEnd w:id="200"/>
      <w:bookmarkEnd w:id="201"/>
      <w:bookmarkEnd w:id="202"/>
      <w:bookmarkEnd w:id="203"/>
    </w:p>
    <w:p w14:paraId="09797908">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30.1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成交人应当自发出成交通知书之日起30日内，与采购人签订合同。</w:t>
      </w:r>
    </w:p>
    <w:p w14:paraId="713D344D">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30.2</w:t>
      </w:r>
      <w:r>
        <w:rPr>
          <w:rFonts w:hint="eastAsia" w:cs="宋体" w:asciiTheme="minorEastAsia" w:hAnsiTheme="minorEastAsia" w:eastAsiaTheme="minorEastAsia"/>
          <w:color w:val="auto"/>
          <w:sz w:val="24"/>
        </w:rPr>
        <w:tab/>
      </w:r>
      <w:bookmarkStart w:id="204" w:name="_Toc520356176"/>
      <w:bookmarkStart w:id="205" w:name="_Ref467306425"/>
      <w:bookmarkStart w:id="206" w:name="_Ref467307090"/>
      <w:r>
        <w:rPr>
          <w:rFonts w:hint="eastAsia" w:cs="宋体" w:asciiTheme="minorEastAsia" w:hAnsiTheme="minorEastAsia" w:eastAsiaTheme="minorEastAsia"/>
          <w:color w:val="auto"/>
          <w:sz w:val="24"/>
        </w:rPr>
        <w:t>磋商文件、成交人的响应文件及其澄清文件等，均为签订合同的依据。</w:t>
      </w:r>
    </w:p>
    <w:p w14:paraId="6673688B">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30.3   成交人拒绝与采购人签订合同的，采购人可以按照评审报告推荐的成交候选人名单排序，确定下一成交候选人为成交人，也可以重新开展政府采购活动。</w:t>
      </w:r>
    </w:p>
    <w:p w14:paraId="1FE47E6D">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30.4   当出现法规规定的</w:t>
      </w:r>
      <w:r>
        <w:rPr>
          <w:rFonts w:hint="eastAsia" w:cs="宋体" w:asciiTheme="minorEastAsia" w:hAnsiTheme="minorEastAsia" w:eastAsiaTheme="minorEastAsia"/>
          <w:b/>
          <w:color w:val="auto"/>
          <w:sz w:val="24"/>
        </w:rPr>
        <w:t>成交无效或成交结果无效</w:t>
      </w:r>
      <w:r>
        <w:rPr>
          <w:rFonts w:hint="eastAsia" w:cs="宋体" w:asciiTheme="minorEastAsia" w:hAnsiTheme="minorEastAsia" w:eastAsiaTheme="minorEastAsia"/>
          <w:color w:val="auto"/>
          <w:sz w:val="24"/>
        </w:rPr>
        <w:t>情形时，采购人可与排名下一位的成交候选人另行签订合同，或依法重新开展采购活动。</w:t>
      </w:r>
    </w:p>
    <w:p w14:paraId="42E6E17E">
      <w:pPr>
        <w:pStyle w:val="5"/>
        <w:spacing w:before="0" w:line="300" w:lineRule="exact"/>
        <w:rPr>
          <w:rFonts w:cs="宋体" w:asciiTheme="minorEastAsia" w:hAnsiTheme="minorEastAsia" w:eastAsiaTheme="minorEastAsia"/>
          <w:color w:val="auto"/>
        </w:rPr>
      </w:pPr>
      <w:bookmarkStart w:id="207" w:name="_Toc4302"/>
      <w:bookmarkStart w:id="208" w:name="_Toc518923097"/>
      <w:bookmarkStart w:id="209" w:name="_Toc10642_WPSOffice_Level2"/>
      <w:bookmarkStart w:id="210" w:name="_Toc4147_WPSOffice_Level2"/>
      <w:r>
        <w:rPr>
          <w:rFonts w:hint="eastAsia" w:cs="宋体" w:asciiTheme="minorEastAsia" w:hAnsiTheme="minorEastAsia" w:eastAsiaTheme="minorEastAsia"/>
          <w:color w:val="auto"/>
        </w:rPr>
        <w:t>31.履约保证金</w:t>
      </w:r>
      <w:bookmarkEnd w:id="204"/>
      <w:bookmarkEnd w:id="205"/>
      <w:bookmarkEnd w:id="206"/>
      <w:bookmarkEnd w:id="207"/>
      <w:bookmarkEnd w:id="208"/>
      <w:bookmarkEnd w:id="209"/>
      <w:bookmarkEnd w:id="210"/>
    </w:p>
    <w:p w14:paraId="2E3A60D7">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31.1</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成交人应按照</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规定向采购人缴纳履约保证金（如采用保函形式，格式见本章附件1）。</w:t>
      </w:r>
    </w:p>
    <w:p w14:paraId="2CD799CF">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31.2</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政府采购利用担保试点范围内的项目，除31.1规定的情形外，成交人也可以按照财政部门的规定，向采购人提供合格的履约担保函（格式见本章附件2）。</w:t>
      </w:r>
    </w:p>
    <w:p w14:paraId="5345C805">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31.3   如果成交人没有按照上述履约保证金的规定执行，将视为放弃成交资格，成交人的磋商保证金将不予退还。在此情况下，采购人可确定下一候选人为成交人，也可以重新开展采购活动。</w:t>
      </w:r>
    </w:p>
    <w:p w14:paraId="336100F9">
      <w:pPr>
        <w:pStyle w:val="5"/>
        <w:spacing w:before="0" w:line="300" w:lineRule="exact"/>
        <w:rPr>
          <w:rFonts w:cs="宋体" w:asciiTheme="minorEastAsia" w:hAnsiTheme="minorEastAsia" w:eastAsiaTheme="minorEastAsia"/>
          <w:color w:val="auto"/>
        </w:rPr>
      </w:pPr>
      <w:bookmarkStart w:id="211" w:name="_Toc518923098"/>
      <w:bookmarkStart w:id="212" w:name="_Toc21635_WPSOffice_Level2"/>
      <w:bookmarkStart w:id="213" w:name="_Toc12960_WPSOffice_Level2"/>
      <w:bookmarkStart w:id="214" w:name="_Toc8476"/>
      <w:r>
        <w:rPr>
          <w:rFonts w:hint="eastAsia" w:cs="宋体" w:asciiTheme="minorEastAsia" w:hAnsiTheme="minorEastAsia" w:eastAsiaTheme="minorEastAsia"/>
          <w:color w:val="auto"/>
        </w:rPr>
        <w:t>32.成交服务费</w:t>
      </w:r>
      <w:bookmarkEnd w:id="211"/>
      <w:bookmarkEnd w:id="212"/>
      <w:bookmarkEnd w:id="213"/>
      <w:bookmarkEnd w:id="214"/>
    </w:p>
    <w:p w14:paraId="75BAFD8D">
      <w:pPr>
        <w:spacing w:line="300" w:lineRule="exact"/>
        <w:ind w:left="860" w:leftChars="200" w:hanging="420" w:hangingChars="1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成交人须按照</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规定，向采购代理机构支付成交服务费。</w:t>
      </w:r>
    </w:p>
    <w:p w14:paraId="59E3FFAC">
      <w:pPr>
        <w:pStyle w:val="5"/>
        <w:spacing w:before="0" w:line="300" w:lineRule="exact"/>
        <w:rPr>
          <w:rFonts w:cs="宋体" w:asciiTheme="minorEastAsia" w:hAnsiTheme="minorEastAsia" w:eastAsiaTheme="minorEastAsia"/>
          <w:color w:val="auto"/>
        </w:rPr>
      </w:pPr>
      <w:bookmarkStart w:id="215" w:name="_Toc31411"/>
      <w:bookmarkStart w:id="216" w:name="_Toc9330_WPSOffice_Level2"/>
      <w:bookmarkStart w:id="217" w:name="_Toc518923099"/>
      <w:bookmarkStart w:id="218" w:name="_Toc30567_WPSOffice_Level2"/>
      <w:r>
        <w:rPr>
          <w:rFonts w:hint="eastAsia" w:cs="宋体" w:asciiTheme="minorEastAsia" w:hAnsiTheme="minorEastAsia" w:eastAsiaTheme="minorEastAsia"/>
          <w:color w:val="auto"/>
        </w:rPr>
        <w:t>33.政府采购信用担保</w:t>
      </w:r>
      <w:bookmarkEnd w:id="215"/>
      <w:bookmarkEnd w:id="216"/>
      <w:bookmarkEnd w:id="217"/>
      <w:bookmarkEnd w:id="218"/>
    </w:p>
    <w:p w14:paraId="4287AD36">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33.1   本项目是否属于信用担保试点范围见</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w:t>
      </w:r>
    </w:p>
    <w:p w14:paraId="6985D972">
      <w:pPr>
        <w:spacing w:line="300" w:lineRule="exact"/>
        <w:ind w:left="850" w:hanging="849" w:hangingChars="354"/>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33.2   如属于政府采购信用担保试点范围内，中小型企业供应商可以自由按照财政部门的规定，采用磋商担保、履约担保和融资担保。</w:t>
      </w:r>
    </w:p>
    <w:p w14:paraId="44724B1F">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33.2.1 供应商递交的磋商担保函和履约担保函应符合本磋商文件的规定。</w:t>
      </w:r>
    </w:p>
    <w:p w14:paraId="3C73C20D">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33.2.2 成交人可以采取融资担保的形式为政府采购项目履约进行融资。</w:t>
      </w:r>
    </w:p>
    <w:p w14:paraId="47A17C45">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33.2.3 合格的政府采购专业信用担保机构见</w:t>
      </w:r>
      <w:r>
        <w:rPr>
          <w:rFonts w:hint="eastAsia" w:cs="宋体" w:asciiTheme="minorEastAsia" w:hAnsiTheme="minorEastAsia" w:eastAsiaTheme="minorEastAsia"/>
          <w:color w:val="auto"/>
          <w:sz w:val="24"/>
          <w:u w:val="single"/>
        </w:rPr>
        <w:t>供应商须知前附表</w:t>
      </w:r>
      <w:r>
        <w:rPr>
          <w:rFonts w:hint="eastAsia" w:cs="宋体" w:asciiTheme="minorEastAsia" w:hAnsiTheme="minorEastAsia" w:eastAsiaTheme="minorEastAsia"/>
          <w:color w:val="auto"/>
          <w:sz w:val="24"/>
        </w:rPr>
        <w:t>。</w:t>
      </w:r>
    </w:p>
    <w:p w14:paraId="3A5990D2">
      <w:pPr>
        <w:pStyle w:val="5"/>
        <w:spacing w:before="0" w:line="300" w:lineRule="exact"/>
        <w:rPr>
          <w:rFonts w:cs="宋体" w:asciiTheme="minorEastAsia" w:hAnsiTheme="minorEastAsia" w:eastAsiaTheme="minorEastAsia"/>
          <w:color w:val="auto"/>
        </w:rPr>
      </w:pPr>
      <w:bookmarkStart w:id="219" w:name="_Toc5233_WPSOffice_Level2"/>
      <w:bookmarkStart w:id="220" w:name="_Toc9469_WPSOffice_Level2"/>
      <w:bookmarkStart w:id="221" w:name="_Toc4701"/>
      <w:bookmarkStart w:id="222" w:name="_Toc518923100"/>
      <w:r>
        <w:rPr>
          <w:rFonts w:hint="eastAsia" w:cs="宋体" w:asciiTheme="minorEastAsia" w:hAnsiTheme="minorEastAsia" w:eastAsiaTheme="minorEastAsia"/>
          <w:color w:val="auto"/>
        </w:rPr>
        <w:t>34.廉洁自律规定</w:t>
      </w:r>
      <w:bookmarkEnd w:id="219"/>
      <w:bookmarkEnd w:id="220"/>
      <w:bookmarkEnd w:id="221"/>
      <w:bookmarkEnd w:id="222"/>
    </w:p>
    <w:p w14:paraId="31D37FC8">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34.1   采购代理机构工作人员不得以不正当手段获取政府采购代理业务，不得与采购人、供应商恶意串通操纵政府采购活动。</w:t>
      </w:r>
    </w:p>
    <w:p w14:paraId="2F0A2C6B">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34.2   采购代理机构工作人员不得接受采购人或者供应商组织的宴请、旅游、娱乐，不得收受礼品、现金、有价证券等，不得向采购人或者供应商报销应当由个人承担的费用。</w:t>
      </w:r>
    </w:p>
    <w:p w14:paraId="6385397C">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34.3   为强化采购代理机构内部监督机制，供应商可按</w:t>
      </w:r>
      <w:r>
        <w:rPr>
          <w:rFonts w:hint="eastAsia" w:cs="宋体" w:asciiTheme="minorEastAsia" w:hAnsiTheme="minorEastAsia" w:eastAsiaTheme="minorEastAsia"/>
          <w:color w:val="auto"/>
          <w:sz w:val="24"/>
          <w:u w:val="single"/>
        </w:rPr>
        <w:t>供应商须知前附表中的</w:t>
      </w:r>
      <w:r>
        <w:rPr>
          <w:rFonts w:hint="eastAsia" w:cs="宋体" w:asciiTheme="minorEastAsia" w:hAnsiTheme="minorEastAsia" w:eastAsiaTheme="minorEastAsia"/>
          <w:color w:val="auto"/>
          <w:sz w:val="24"/>
        </w:rPr>
        <w:t>监督电话和信箱，反映采购代理机构的廉洁自律等问题。</w:t>
      </w:r>
    </w:p>
    <w:p w14:paraId="66831B76">
      <w:pPr>
        <w:pStyle w:val="5"/>
        <w:spacing w:before="0" w:line="300" w:lineRule="exact"/>
        <w:rPr>
          <w:rFonts w:cs="宋体" w:asciiTheme="minorEastAsia" w:hAnsiTheme="minorEastAsia" w:eastAsiaTheme="minorEastAsia"/>
          <w:color w:val="auto"/>
        </w:rPr>
      </w:pPr>
      <w:bookmarkStart w:id="223" w:name="_Toc21055"/>
      <w:bookmarkStart w:id="224" w:name="_Toc27272_WPSOffice_Level2"/>
      <w:bookmarkStart w:id="225" w:name="_Toc518923101"/>
      <w:bookmarkStart w:id="226" w:name="_Toc27811_WPSOffice_Level2"/>
      <w:r>
        <w:rPr>
          <w:rFonts w:hint="eastAsia" w:cs="宋体" w:asciiTheme="minorEastAsia" w:hAnsiTheme="minorEastAsia" w:eastAsiaTheme="minorEastAsia"/>
          <w:color w:val="auto"/>
        </w:rPr>
        <w:t>35.人员回避</w:t>
      </w:r>
      <w:bookmarkEnd w:id="223"/>
      <w:bookmarkEnd w:id="224"/>
      <w:bookmarkEnd w:id="225"/>
      <w:bookmarkEnd w:id="226"/>
    </w:p>
    <w:p w14:paraId="13BDF743">
      <w:pPr>
        <w:spacing w:line="3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供应商认为采购人员及其相关人员有法律法规所列与其他供应商有利害关系的，可以向采购人或采购代理机构书面提出回避申请，并说明理由。</w:t>
      </w:r>
    </w:p>
    <w:p w14:paraId="2F6AC80C">
      <w:pPr>
        <w:ind w:left="904" w:hanging="904" w:hangingChars="375"/>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36.质疑与接收</w:t>
      </w:r>
    </w:p>
    <w:p w14:paraId="62E4320D">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BC83C33">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83F243D">
      <w:pPr>
        <w:ind w:left="1003" w:leftChars="456" w:firstLine="60" w:firstLineChars="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超出法定质疑期的、重复提出的、分次提出的或内容、形式不符合《政府采购质疑和投诉办法》的，质疑供应商将依法承担不利后果。</w:t>
      </w:r>
    </w:p>
    <w:p w14:paraId="1C897ABB">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36.3    采购代理机构质疑函接收部门、联系电话和通讯地址, 见供应商须知前附表。</w:t>
      </w:r>
    </w:p>
    <w:p w14:paraId="234BD85C">
      <w:pPr>
        <w:ind w:left="900" w:hanging="900" w:hangingChars="375"/>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24"/>
        </w:rPr>
        <w:t>36.4、</w:t>
      </w:r>
      <w:r>
        <w:rPr>
          <w:rFonts w:hint="eastAsia" w:cs="宋体" w:asciiTheme="minorEastAsia" w:hAnsiTheme="minorEastAsia" w:eastAsiaTheme="minorEastAsia"/>
          <w:b/>
          <w:bCs/>
          <w:color w:val="auto"/>
          <w:sz w:val="24"/>
        </w:rPr>
        <w:t>质疑的提出</w:t>
      </w:r>
    </w:p>
    <w:p w14:paraId="29B1F27A">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36.5   本采购文件中所称质疑及答复，是指参加本次采购活动的供应商对政府采购活动中的采购文件、采购过程和成交结果向采购方提出质疑，采购方答复质疑的行为。</w:t>
      </w:r>
    </w:p>
    <w:p w14:paraId="20DD3805">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54578C3E">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（一）对可以质疑的采购文件提出质疑的，为收到采购文件之日或者采购文件公告期限届满之日；</w:t>
      </w:r>
    </w:p>
    <w:p w14:paraId="27AE3326">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（二）对采购过程提出质疑的，为各采购程序环节结束之日；</w:t>
      </w:r>
    </w:p>
    <w:p w14:paraId="1A730537">
      <w:pPr>
        <w:ind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（三）对成交结果提出质疑的，为成交结果公告期限届满之日。</w:t>
      </w:r>
    </w:p>
    <w:p w14:paraId="0B451118">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5C1FB2CD">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D1FD291">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36.9   提出质疑应当符合下列条件：</w:t>
      </w:r>
    </w:p>
    <w:p w14:paraId="43D094A4">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（一）质疑主体应当符合有关规定；</w:t>
      </w:r>
    </w:p>
    <w:p w14:paraId="793C546D">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（二）在质疑法定期限内提出；</w:t>
      </w:r>
    </w:p>
    <w:p w14:paraId="38BBE08B">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（三）属于可以提出质疑的政府采购事项受理范围和本项目采购人的管辖权范围；</w:t>
      </w:r>
    </w:p>
    <w:p w14:paraId="7F4885ED">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（四）政府采购法律、法规、规章规定的其他条件。</w:t>
      </w:r>
    </w:p>
    <w:p w14:paraId="2D8EB861">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507A499">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40.1   质疑人所提供的证明材料应当具有真实性、合法性以及与质疑事项的关联性和证明力，否则不能作为认定该质疑事项成立的依据。</w:t>
      </w:r>
    </w:p>
    <w:p w14:paraId="4F0F36FA">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40.2   质疑人提出质疑时应当提交质疑函。质疑函包括下列内容：</w:t>
      </w:r>
    </w:p>
    <w:p w14:paraId="04D416F6">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（一）提出质疑的质疑人的名称、地址、邮编、联系人及联系电话等；</w:t>
      </w:r>
    </w:p>
    <w:p w14:paraId="104384E6">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（二）质疑项目的名称、编号；</w:t>
      </w:r>
    </w:p>
    <w:p w14:paraId="6BCB06A8">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（三）质疑事项；</w:t>
      </w:r>
    </w:p>
    <w:p w14:paraId="7F3FCAF3">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（四）事实依据和证明材料；</w:t>
      </w:r>
    </w:p>
    <w:p w14:paraId="325426A3">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（五）法律依据；</w:t>
      </w:r>
    </w:p>
    <w:p w14:paraId="105FC530">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（六）提出质疑的日期。</w:t>
      </w:r>
    </w:p>
    <w:p w14:paraId="28B2C91C">
      <w:pPr>
        <w:ind w:left="1003" w:leftChars="456" w:firstLine="60" w:firstLineChars="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质疑函采用实名制。质疑人为自然人的应当由本人签字，并附有效身份证明文件；质疑人为法人或者非法人组织的应当由法定代表人或者负责人签字并加盖公章，并附有效身份证明文件。</w:t>
      </w:r>
    </w:p>
    <w:p w14:paraId="5E40EE56">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40.3    质疑人可以委托代理人进行质疑。代理人应当提交授权委托书。授权委托书应当载明委托代理的具体权限、期限和相关事项。</w:t>
      </w:r>
    </w:p>
    <w:p w14:paraId="0854760D">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40.4、  质疑的审查和受理</w:t>
      </w:r>
    </w:p>
    <w:p w14:paraId="6F73B131">
      <w:pPr>
        <w:ind w:left="1003" w:leftChars="456" w:firstLine="60" w:firstLineChars="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采购方在收到质疑函后应当及时审查是否符合质疑受理条件，对符合质疑受理条件的，及时予以受理。</w:t>
      </w:r>
    </w:p>
    <w:p w14:paraId="54F2C32D">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40.5    对不符合质疑受理条件的，分别按照下列不同情形予以处理：</w:t>
      </w:r>
    </w:p>
    <w:p w14:paraId="3FC9DF03">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（一）质疑函内容不符合规定的，告知质疑人进行修改并重新提出质疑。修改后质疑事项仍不具体、不明确或者最终递交质疑函的时间超过质疑法定期限的，不予受理；</w:t>
      </w:r>
    </w:p>
    <w:p w14:paraId="1896D094">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（二）质疑主体不符合有关规定的，告知质疑人不予受理；</w:t>
      </w:r>
    </w:p>
    <w:p w14:paraId="6C530759">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（三）超过质疑法定期限提出质疑的，告知质疑人不予受理；</w:t>
      </w:r>
    </w:p>
    <w:p w14:paraId="51FB847C">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（四）对不属于可以提出质疑的政府采购事项提出质疑的，告知质疑人不予受理；</w:t>
      </w:r>
    </w:p>
    <w:p w14:paraId="60BD3EEE">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（五）质疑不属于本项目采购方管辖的，告知质疑人向有管辖权的采购人提出质疑；</w:t>
      </w:r>
    </w:p>
    <w:p w14:paraId="246FB624">
      <w:pPr>
        <w:ind w:left="932" w:leftChars="342" w:hanging="180" w:hangingChars="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（六）质疑不符合其他条件的，告知质疑人不予受理。</w:t>
      </w:r>
    </w:p>
    <w:p w14:paraId="236F9AD3">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40.6、 质疑的处理和答复</w:t>
      </w:r>
    </w:p>
    <w:p w14:paraId="3B390840">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40.7   采购方受理质疑后，将及时把质疑函发送给被质疑人，并要求其在一定限期内提交书面答复，同时提供有关证据、依据和相关材料。</w:t>
      </w:r>
    </w:p>
    <w:p w14:paraId="401998FA">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40.8    对于质疑事项中涉及的问题较多、情况比较复杂的，为了全面查清事实、取得充分的证据，采购方认为有必要时，可以进行调查取证或者组织质证。</w:t>
      </w:r>
    </w:p>
    <w:p w14:paraId="2D2F3F37">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40.9    对评审过程、成交结果提出质疑的，采购方可以组织原评审委员会协助答复质疑。</w:t>
      </w:r>
    </w:p>
    <w:p w14:paraId="60817645">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    质疑处理过程中，质疑人书面申请撤回质疑的，将终止质疑处理程序。</w:t>
      </w:r>
    </w:p>
    <w:p w14:paraId="3EE2EE55">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   质疑人拒绝配合采购方依法对质疑进行调查处理的，采购方将按质疑人自动撤回质疑处理；被质疑人拒绝配合采购方依法对质疑进行调查处理的，采购方将视同其认可质疑事项。</w:t>
      </w:r>
    </w:p>
    <w:p w14:paraId="4C20C51E">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41.1   质疑人拒绝配合采购方依法对质疑进行调查处理的，采购方将按质疑人自动撤回质疑处理；被质疑人拒绝配合采购方依法对质疑进行调查处理的，采购方将视同其认可质疑事项。</w:t>
      </w:r>
    </w:p>
    <w:p w14:paraId="0096B076">
      <w:pPr>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41.2   采购方将在正式受理质疑后7个工作日内作出答复。</w:t>
      </w:r>
    </w:p>
    <w:p w14:paraId="14EE4B65">
      <w:pPr>
        <w:pStyle w:val="30"/>
        <w:rPr>
          <w:rFonts w:asciiTheme="minorEastAsia" w:hAnsiTheme="minorEastAsia" w:eastAsiaTheme="minorEastAsia"/>
          <w:color w:val="auto"/>
        </w:rPr>
      </w:pPr>
      <w:r>
        <w:rPr>
          <w:rFonts w:hint="eastAsia" w:asciiTheme="minorEastAsia" w:hAnsiTheme="minorEastAsia" w:eastAsiaTheme="minorEastAsia"/>
          <w:color w:val="auto"/>
        </w:rPr>
        <w:t>41.3   质疑答复应当包括下列内容：</w:t>
      </w:r>
    </w:p>
    <w:p w14:paraId="1E14709F">
      <w:pPr>
        <w:pStyle w:val="30"/>
        <w:rPr>
          <w:rFonts w:asciiTheme="minorEastAsia" w:hAnsiTheme="minorEastAsia" w:eastAsiaTheme="minorEastAsia"/>
          <w:color w:val="auto"/>
        </w:rPr>
      </w:pPr>
      <w:r>
        <w:rPr>
          <w:rFonts w:hint="eastAsia" w:asciiTheme="minorEastAsia" w:hAnsiTheme="minorEastAsia" w:eastAsiaTheme="minorEastAsia"/>
          <w:color w:val="auto"/>
        </w:rPr>
        <w:t xml:space="preserve">        （一）质疑人的姓名或者名称；</w:t>
      </w:r>
    </w:p>
    <w:p w14:paraId="17393571">
      <w:pPr>
        <w:pStyle w:val="30"/>
        <w:rPr>
          <w:rFonts w:asciiTheme="minorEastAsia" w:hAnsiTheme="minorEastAsia" w:eastAsiaTheme="minorEastAsia"/>
          <w:color w:val="auto"/>
        </w:rPr>
      </w:pPr>
      <w:r>
        <w:rPr>
          <w:rFonts w:hint="eastAsia" w:asciiTheme="minorEastAsia" w:hAnsiTheme="minorEastAsia" w:eastAsiaTheme="minorEastAsia"/>
          <w:color w:val="auto"/>
        </w:rPr>
        <w:t xml:space="preserve">        （二）收到质疑函的日期、质疑项目名称及编号；</w:t>
      </w:r>
    </w:p>
    <w:p w14:paraId="402DA648">
      <w:pPr>
        <w:pStyle w:val="30"/>
        <w:rPr>
          <w:rFonts w:asciiTheme="minorEastAsia" w:hAnsiTheme="minorEastAsia" w:eastAsiaTheme="minorEastAsia"/>
          <w:color w:val="auto"/>
        </w:rPr>
      </w:pPr>
      <w:r>
        <w:rPr>
          <w:rFonts w:hint="eastAsia" w:asciiTheme="minorEastAsia" w:hAnsiTheme="minorEastAsia" w:eastAsiaTheme="minorEastAsia"/>
          <w:color w:val="auto"/>
        </w:rPr>
        <w:t xml:space="preserve">        （三）质疑事项、质疑答复的具体内容、事实依据和法律依据；</w:t>
      </w:r>
    </w:p>
    <w:p w14:paraId="1C32E93D">
      <w:pPr>
        <w:pStyle w:val="30"/>
        <w:rPr>
          <w:rFonts w:asciiTheme="minorEastAsia" w:hAnsiTheme="minorEastAsia" w:eastAsiaTheme="minorEastAsia"/>
          <w:color w:val="auto"/>
        </w:rPr>
      </w:pPr>
      <w:r>
        <w:rPr>
          <w:rFonts w:hint="eastAsia" w:asciiTheme="minorEastAsia" w:hAnsiTheme="minorEastAsia" w:eastAsiaTheme="minorEastAsia"/>
          <w:color w:val="auto"/>
        </w:rPr>
        <w:t xml:space="preserve">        （四）告知质疑供应商依法投诉的权利；</w:t>
      </w:r>
    </w:p>
    <w:p w14:paraId="50027620">
      <w:pPr>
        <w:pStyle w:val="30"/>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（五）质疑答复人名称；</w:t>
      </w:r>
    </w:p>
    <w:p w14:paraId="7A2E8199">
      <w:pPr>
        <w:ind w:left="752" w:leftChars="342" w:firstLine="240" w:firstLineChars="100"/>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24"/>
        </w:rPr>
        <w:t>（六）答复质疑的日期。</w:t>
      </w:r>
    </w:p>
    <w:p w14:paraId="409C78FC">
      <w:pPr>
        <w:jc w:val="center"/>
        <w:outlineLvl w:val="1"/>
        <w:rPr>
          <w:rFonts w:cs="宋体" w:asciiTheme="minorEastAsia" w:hAnsiTheme="minorEastAsia" w:eastAsiaTheme="minorEastAsia"/>
          <w:b/>
          <w:bCs/>
          <w:color w:val="auto"/>
          <w:sz w:val="24"/>
        </w:rPr>
      </w:pPr>
      <w:bookmarkStart w:id="227" w:name="_Toc15170"/>
      <w:r>
        <w:rPr>
          <w:rFonts w:hint="eastAsia" w:cs="宋体" w:asciiTheme="minorEastAsia" w:hAnsiTheme="minorEastAsia" w:eastAsiaTheme="minorEastAsia"/>
          <w:b/>
          <w:bCs/>
          <w:color w:val="auto"/>
          <w:sz w:val="24"/>
        </w:rPr>
        <w:t>质疑函范本</w:t>
      </w:r>
      <w:bookmarkEnd w:id="227"/>
    </w:p>
    <w:p w14:paraId="454C96A0">
      <w:pPr>
        <w:adjustRightInd w:val="0"/>
        <w:snapToGrid w:val="0"/>
        <w:spacing w:beforeLines="100" w:line="360" w:lineRule="auto"/>
        <w:outlineLvl w:val="1"/>
        <w:rPr>
          <w:rFonts w:cs="宋体" w:asciiTheme="minorEastAsia" w:hAnsiTheme="minorEastAsia" w:eastAsiaTheme="minorEastAsia"/>
          <w:bCs/>
          <w:color w:val="auto"/>
          <w:sz w:val="24"/>
        </w:rPr>
      </w:pPr>
      <w:bookmarkStart w:id="228" w:name="_Toc6998"/>
      <w:r>
        <w:rPr>
          <w:rFonts w:hint="eastAsia" w:cs="宋体" w:asciiTheme="minorEastAsia" w:hAnsiTheme="minorEastAsia" w:eastAsiaTheme="minorEastAsia"/>
          <w:bCs/>
          <w:color w:val="auto"/>
          <w:sz w:val="24"/>
        </w:rPr>
        <w:t>一、质疑供应商基本信息</w:t>
      </w:r>
      <w:bookmarkEnd w:id="228"/>
    </w:p>
    <w:p w14:paraId="63A684D8">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质疑供应商：</w:t>
      </w:r>
      <w:r>
        <w:rPr>
          <w:rFonts w:hint="eastAsia" w:cs="宋体" w:asciiTheme="minorEastAsia" w:hAnsiTheme="minorEastAsia" w:eastAsiaTheme="minorEastAsia"/>
          <w:color w:val="auto"/>
          <w:sz w:val="24"/>
          <w:u w:val="dotted"/>
        </w:rPr>
        <w:t xml:space="preserve">                                        </w:t>
      </w:r>
    </w:p>
    <w:p w14:paraId="5100329E">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地址：</w:t>
      </w:r>
      <w:r>
        <w:rPr>
          <w:rFonts w:hint="eastAsia" w:cs="宋体" w:asciiTheme="minorEastAsia" w:hAnsiTheme="minorEastAsia" w:eastAsiaTheme="minorEastAsia"/>
          <w:color w:val="auto"/>
          <w:sz w:val="24"/>
          <w:u w:val="dotted"/>
        </w:rPr>
        <w:t xml:space="preserve">                          </w:t>
      </w:r>
      <w:r>
        <w:rPr>
          <w:rFonts w:hint="eastAsia" w:cs="宋体" w:asciiTheme="minorEastAsia" w:hAnsiTheme="minorEastAsia" w:eastAsiaTheme="minorEastAsia"/>
          <w:color w:val="auto"/>
          <w:sz w:val="24"/>
        </w:rPr>
        <w:t>邮编：</w:t>
      </w:r>
      <w:r>
        <w:rPr>
          <w:rFonts w:hint="eastAsia" w:cs="宋体" w:asciiTheme="minorEastAsia" w:hAnsiTheme="minorEastAsia" w:eastAsiaTheme="minorEastAsia"/>
          <w:color w:val="auto"/>
          <w:sz w:val="24"/>
          <w:u w:val="dotted"/>
        </w:rPr>
        <w:t xml:space="preserve">                                                   </w:t>
      </w:r>
    </w:p>
    <w:p w14:paraId="333C722A">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dotted"/>
        </w:rPr>
        <w:t xml:space="preserve">                      </w:t>
      </w:r>
      <w:r>
        <w:rPr>
          <w:rFonts w:hint="eastAsia" w:cs="宋体" w:asciiTheme="minorEastAsia" w:hAnsiTheme="minorEastAsia" w:eastAsiaTheme="minorEastAsia"/>
          <w:color w:val="auto"/>
          <w:sz w:val="24"/>
        </w:rPr>
        <w:t>联系电话：</w:t>
      </w:r>
      <w:r>
        <w:rPr>
          <w:rFonts w:hint="eastAsia" w:cs="宋体" w:asciiTheme="minorEastAsia" w:hAnsiTheme="minorEastAsia" w:eastAsiaTheme="minorEastAsia"/>
          <w:color w:val="auto"/>
          <w:sz w:val="24"/>
          <w:u w:val="dotted"/>
        </w:rPr>
        <w:t xml:space="preserve">                              </w:t>
      </w:r>
    </w:p>
    <w:p w14:paraId="1E6B92D9">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授权代表：</w:t>
      </w:r>
      <w:r>
        <w:rPr>
          <w:rFonts w:hint="eastAsia" w:cs="宋体" w:asciiTheme="minorEastAsia" w:hAnsiTheme="minorEastAsia" w:eastAsiaTheme="minorEastAsia"/>
          <w:color w:val="auto"/>
          <w:sz w:val="24"/>
          <w:u w:val="dotted"/>
        </w:rPr>
        <w:t xml:space="preserve">                                          </w:t>
      </w:r>
    </w:p>
    <w:p w14:paraId="6BBF8A2C">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联系电话：</w:t>
      </w:r>
      <w:r>
        <w:rPr>
          <w:rFonts w:hint="eastAsia" w:cs="宋体" w:asciiTheme="minorEastAsia" w:hAnsiTheme="minorEastAsia" w:eastAsiaTheme="minorEastAsia"/>
          <w:color w:val="auto"/>
          <w:sz w:val="24"/>
          <w:u w:val="dotted"/>
        </w:rPr>
        <w:t xml:space="preserve">                                           </w:t>
      </w:r>
      <w:r>
        <w:rPr>
          <w:rFonts w:hint="eastAsia" w:cs="宋体" w:asciiTheme="minorEastAsia" w:hAnsiTheme="minorEastAsia" w:eastAsiaTheme="minorEastAsia"/>
          <w:color w:val="auto"/>
          <w:sz w:val="24"/>
        </w:rPr>
        <w:t xml:space="preserve"> </w:t>
      </w:r>
    </w:p>
    <w:p w14:paraId="167FA456">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地址： </w:t>
      </w:r>
      <w:r>
        <w:rPr>
          <w:rFonts w:hint="eastAsia" w:cs="宋体" w:asciiTheme="minorEastAsia" w:hAnsiTheme="minorEastAsia" w:eastAsiaTheme="minorEastAsia"/>
          <w:color w:val="auto"/>
          <w:sz w:val="24"/>
          <w:u w:val="dotted"/>
        </w:rPr>
        <w:t xml:space="preserve">                        </w:t>
      </w:r>
      <w:r>
        <w:rPr>
          <w:rFonts w:hint="eastAsia" w:cs="宋体" w:asciiTheme="minorEastAsia" w:hAnsiTheme="minorEastAsia" w:eastAsiaTheme="minorEastAsia"/>
          <w:color w:val="auto"/>
          <w:sz w:val="24"/>
        </w:rPr>
        <w:t>邮编：</w:t>
      </w:r>
      <w:r>
        <w:rPr>
          <w:rFonts w:hint="eastAsia" w:cs="宋体" w:asciiTheme="minorEastAsia" w:hAnsiTheme="minorEastAsia" w:eastAsiaTheme="minorEastAsia"/>
          <w:color w:val="auto"/>
          <w:sz w:val="24"/>
          <w:u w:val="dotted"/>
        </w:rPr>
        <w:t xml:space="preserve">                                                </w:t>
      </w:r>
    </w:p>
    <w:p w14:paraId="795F15BC">
      <w:pPr>
        <w:adjustRightInd w:val="0"/>
        <w:snapToGrid w:val="0"/>
        <w:spacing w:line="360" w:lineRule="auto"/>
        <w:outlineLvl w:val="1"/>
        <w:rPr>
          <w:rFonts w:cs="宋体" w:asciiTheme="minorEastAsia" w:hAnsiTheme="minorEastAsia" w:eastAsiaTheme="minorEastAsia"/>
          <w:bCs/>
          <w:color w:val="auto"/>
          <w:sz w:val="24"/>
        </w:rPr>
      </w:pPr>
      <w:bookmarkStart w:id="229" w:name="_Toc17155"/>
      <w:r>
        <w:rPr>
          <w:rFonts w:hint="eastAsia" w:cs="宋体" w:asciiTheme="minorEastAsia" w:hAnsiTheme="minorEastAsia" w:eastAsiaTheme="minorEastAsia"/>
          <w:bCs/>
          <w:color w:val="auto"/>
          <w:sz w:val="24"/>
        </w:rPr>
        <w:t>二、质疑项目基本情况</w:t>
      </w:r>
      <w:bookmarkEnd w:id="229"/>
    </w:p>
    <w:p w14:paraId="684E7341">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质疑项目的名称：</w:t>
      </w:r>
      <w:r>
        <w:rPr>
          <w:rFonts w:hint="eastAsia" w:cs="宋体" w:asciiTheme="minorEastAsia" w:hAnsiTheme="minorEastAsia" w:eastAsiaTheme="minorEastAsia"/>
          <w:color w:val="auto"/>
          <w:sz w:val="24"/>
          <w:u w:val="dotted"/>
        </w:rPr>
        <w:t xml:space="preserve">                                      </w:t>
      </w:r>
    </w:p>
    <w:p w14:paraId="7E4A10D4">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质疑项目的编号：</w:t>
      </w:r>
      <w:r>
        <w:rPr>
          <w:rFonts w:hint="eastAsia" w:cs="宋体" w:asciiTheme="minorEastAsia" w:hAnsiTheme="minorEastAsia" w:eastAsiaTheme="minorEastAsia"/>
          <w:color w:val="auto"/>
          <w:sz w:val="24"/>
          <w:u w:val="dotted"/>
        </w:rPr>
        <w:t xml:space="preserve">               </w:t>
      </w:r>
      <w:r>
        <w:rPr>
          <w:rFonts w:hint="eastAsia" w:cs="宋体" w:asciiTheme="minorEastAsia" w:hAnsiTheme="minorEastAsia" w:eastAsiaTheme="minorEastAsia"/>
          <w:color w:val="auto"/>
          <w:sz w:val="24"/>
        </w:rPr>
        <w:t>包号：</w:t>
      </w:r>
      <w:r>
        <w:rPr>
          <w:rFonts w:hint="eastAsia" w:cs="宋体" w:asciiTheme="minorEastAsia" w:hAnsiTheme="minorEastAsia" w:eastAsiaTheme="minorEastAsia"/>
          <w:color w:val="auto"/>
          <w:sz w:val="24"/>
          <w:u w:val="dotted"/>
        </w:rPr>
        <w:t xml:space="preserve">                 </w:t>
      </w:r>
    </w:p>
    <w:p w14:paraId="3FA23A5F">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采购人名称：</w:t>
      </w:r>
      <w:r>
        <w:rPr>
          <w:rFonts w:hint="eastAsia" w:cs="宋体" w:asciiTheme="minorEastAsia" w:hAnsiTheme="minorEastAsia" w:eastAsiaTheme="minorEastAsia"/>
          <w:color w:val="auto"/>
          <w:sz w:val="24"/>
          <w:u w:val="dotted"/>
        </w:rPr>
        <w:t xml:space="preserve">                                         </w:t>
      </w:r>
    </w:p>
    <w:p w14:paraId="0D52EFCD">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采购文件获取日期：</w:t>
      </w:r>
      <w:r>
        <w:rPr>
          <w:rFonts w:hint="eastAsia" w:cs="宋体" w:asciiTheme="minorEastAsia" w:hAnsiTheme="minorEastAsia" w:eastAsiaTheme="minorEastAsia"/>
          <w:color w:val="auto"/>
          <w:sz w:val="24"/>
          <w:u w:val="dotted"/>
        </w:rPr>
        <w:t xml:space="preserve">                                           </w:t>
      </w:r>
    </w:p>
    <w:p w14:paraId="1D464A00">
      <w:pPr>
        <w:adjustRightInd w:val="0"/>
        <w:snapToGrid w:val="0"/>
        <w:spacing w:line="360" w:lineRule="auto"/>
        <w:outlineLvl w:val="1"/>
        <w:rPr>
          <w:rFonts w:cs="宋体" w:asciiTheme="minorEastAsia" w:hAnsiTheme="minorEastAsia" w:eastAsiaTheme="minorEastAsia"/>
          <w:bCs/>
          <w:color w:val="auto"/>
          <w:sz w:val="24"/>
        </w:rPr>
      </w:pPr>
      <w:bookmarkStart w:id="230" w:name="_Toc10544"/>
      <w:r>
        <w:rPr>
          <w:rFonts w:hint="eastAsia" w:cs="宋体" w:asciiTheme="minorEastAsia" w:hAnsiTheme="minorEastAsia" w:eastAsiaTheme="minorEastAsia"/>
          <w:bCs/>
          <w:color w:val="auto"/>
          <w:sz w:val="24"/>
        </w:rPr>
        <w:t>三、质疑事项具体内容</w:t>
      </w:r>
      <w:bookmarkEnd w:id="230"/>
    </w:p>
    <w:p w14:paraId="0814CAB0">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质疑事项1：</w:t>
      </w:r>
      <w:r>
        <w:rPr>
          <w:rFonts w:hint="eastAsia" w:cs="宋体" w:asciiTheme="minorEastAsia" w:hAnsiTheme="minorEastAsia" w:eastAsiaTheme="minorEastAsia"/>
          <w:color w:val="auto"/>
          <w:sz w:val="24"/>
          <w:u w:val="dotted"/>
        </w:rPr>
        <w:t xml:space="preserve">                                         </w:t>
      </w:r>
    </w:p>
    <w:p w14:paraId="22E16264">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事实依据：</w:t>
      </w:r>
      <w:r>
        <w:rPr>
          <w:rFonts w:hint="eastAsia" w:cs="宋体" w:asciiTheme="minorEastAsia" w:hAnsiTheme="minorEastAsia" w:eastAsiaTheme="minorEastAsia"/>
          <w:color w:val="auto"/>
          <w:sz w:val="24"/>
          <w:u w:val="dotted"/>
        </w:rPr>
        <w:t xml:space="preserve">                                          </w:t>
      </w:r>
    </w:p>
    <w:p w14:paraId="2FDF2C05">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u w:val="dotted"/>
        </w:rPr>
        <w:t xml:space="preserve">                                                       </w:t>
      </w:r>
    </w:p>
    <w:p w14:paraId="398CBF62">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法律依据：</w:t>
      </w:r>
      <w:r>
        <w:rPr>
          <w:rFonts w:hint="eastAsia" w:cs="宋体" w:asciiTheme="minorEastAsia" w:hAnsiTheme="minorEastAsia" w:eastAsiaTheme="minorEastAsia"/>
          <w:color w:val="auto"/>
          <w:sz w:val="24"/>
          <w:u w:val="dotted"/>
        </w:rPr>
        <w:t xml:space="preserve">                                          </w:t>
      </w:r>
    </w:p>
    <w:p w14:paraId="25E209F3">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u w:val="dotted"/>
        </w:rPr>
        <w:t xml:space="preserve">                                                     </w:t>
      </w:r>
    </w:p>
    <w:p w14:paraId="1AABA025">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质疑事项2</w:t>
      </w:r>
    </w:p>
    <w:p w14:paraId="754BE349">
      <w:pPr>
        <w:adjustRightInd w:val="0"/>
        <w:snapToGrid w:val="0"/>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37215889">
      <w:pPr>
        <w:adjustRightInd w:val="0"/>
        <w:snapToGrid w:val="0"/>
        <w:spacing w:line="360" w:lineRule="auto"/>
        <w:outlineLvl w:val="1"/>
        <w:rPr>
          <w:rFonts w:cs="宋体" w:asciiTheme="minorEastAsia" w:hAnsiTheme="minorEastAsia" w:eastAsiaTheme="minorEastAsia"/>
          <w:bCs/>
          <w:color w:val="auto"/>
          <w:sz w:val="24"/>
        </w:rPr>
      </w:pPr>
      <w:bookmarkStart w:id="231" w:name="_Toc54"/>
      <w:r>
        <w:rPr>
          <w:rFonts w:hint="eastAsia" w:cs="宋体" w:asciiTheme="minorEastAsia" w:hAnsiTheme="minorEastAsia" w:eastAsiaTheme="minorEastAsia"/>
          <w:bCs/>
          <w:color w:val="auto"/>
          <w:sz w:val="24"/>
        </w:rPr>
        <w:t>四、与质疑事项相关的质疑请求</w:t>
      </w:r>
      <w:bookmarkEnd w:id="231"/>
    </w:p>
    <w:p w14:paraId="5DC28C03">
      <w:pPr>
        <w:adjustRightInd w:val="0"/>
        <w:snapToGrid w:val="0"/>
        <w:spacing w:line="360" w:lineRule="auto"/>
        <w:rPr>
          <w:rFonts w:cs="宋体" w:asciiTheme="minorEastAsia" w:hAnsiTheme="minorEastAsia" w:eastAsiaTheme="minorEastAsia"/>
          <w:color w:val="auto"/>
          <w:sz w:val="24"/>
          <w:u w:val="dotted"/>
        </w:rPr>
      </w:pPr>
      <w:r>
        <w:rPr>
          <w:rFonts w:hint="eastAsia" w:cs="宋体" w:asciiTheme="minorEastAsia" w:hAnsiTheme="minorEastAsia" w:eastAsiaTheme="minorEastAsia"/>
          <w:color w:val="auto"/>
          <w:sz w:val="24"/>
        </w:rPr>
        <w:t>请求：</w:t>
      </w:r>
      <w:r>
        <w:rPr>
          <w:rFonts w:hint="eastAsia" w:cs="宋体" w:asciiTheme="minorEastAsia" w:hAnsiTheme="minorEastAsia" w:eastAsiaTheme="minorEastAsia"/>
          <w:color w:val="auto"/>
          <w:sz w:val="24"/>
          <w:u w:val="dotted"/>
        </w:rPr>
        <w:t xml:space="preserve">                                               </w:t>
      </w:r>
    </w:p>
    <w:p w14:paraId="6C90BBE9">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签字(签章)：                   公章：                      </w:t>
      </w:r>
    </w:p>
    <w:p w14:paraId="28918998">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日期：    </w:t>
      </w:r>
    </w:p>
    <w:p w14:paraId="05D94614">
      <w:pPr>
        <w:adjustRightInd w:val="0"/>
        <w:snapToGrid w:val="0"/>
        <w:spacing w:line="360" w:lineRule="auto"/>
        <w:rPr>
          <w:rFonts w:cs="宋体" w:asciiTheme="minorEastAsia" w:hAnsiTheme="minorEastAsia" w:eastAsiaTheme="minorEastAsia"/>
          <w:color w:val="auto"/>
          <w:sz w:val="24"/>
        </w:rPr>
      </w:pPr>
    </w:p>
    <w:p w14:paraId="138349CA">
      <w:pPr>
        <w:adjustRightInd w:val="0"/>
        <w:snapToGrid w:val="0"/>
        <w:spacing w:line="360" w:lineRule="auto"/>
        <w:rPr>
          <w:rFonts w:cs="宋体" w:asciiTheme="minorEastAsia" w:hAnsiTheme="minorEastAsia" w:eastAsiaTheme="minorEastAsia"/>
          <w:color w:val="auto"/>
          <w:sz w:val="24"/>
        </w:rPr>
      </w:pPr>
    </w:p>
    <w:p w14:paraId="7FFD8FA4">
      <w:pPr>
        <w:rPr>
          <w:rFonts w:hint="eastAsia" w:cs="宋体" w:asciiTheme="minorEastAsia" w:hAnsiTheme="minorEastAsia" w:eastAsiaTheme="minorEastAsia"/>
          <w:b/>
          <w:color w:val="auto"/>
          <w:sz w:val="24"/>
        </w:rPr>
      </w:pPr>
    </w:p>
    <w:p w14:paraId="3FD4F165">
      <w:pP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质疑函制作说明：</w:t>
      </w:r>
    </w:p>
    <w:p w14:paraId="22F11A5E">
      <w:pPr>
        <w:widowControl/>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1.供应商提出质疑时，应提交质疑函和必要的证明材料。</w:t>
      </w:r>
    </w:p>
    <w:p w14:paraId="6DD8DA6A">
      <w:pPr>
        <w:widowControl/>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0915DB">
      <w:pPr>
        <w:widowControl/>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3.质疑供应商若对项目的某一分包进行质疑，质疑函中应列明具体分包号。</w:t>
      </w:r>
    </w:p>
    <w:p w14:paraId="68FAA0DE">
      <w:pPr>
        <w:widowControl/>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4.质疑函的质疑事项应具体、明确，并有必要的事实依据和法律依据。</w:t>
      </w:r>
    </w:p>
    <w:p w14:paraId="42E3535E">
      <w:pPr>
        <w:widowControl/>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5.质疑函的质疑请求应与质疑事项相关。</w:t>
      </w:r>
    </w:p>
    <w:p w14:paraId="30A62DEB">
      <w:pPr>
        <w:widowControl/>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4118EBF7">
      <w:pPr>
        <w:pStyle w:val="4"/>
        <w:spacing w:before="0" w:line="240" w:lineRule="atLeast"/>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br w:type="page"/>
      </w:r>
      <w:bookmarkStart w:id="232" w:name="_Toc21504_WPSOffice_Level1"/>
      <w:bookmarkStart w:id="233" w:name="_Toc15088"/>
      <w:bookmarkStart w:id="234" w:name="_Toc22084_WPSOffice_Level1"/>
      <w:bookmarkStart w:id="235" w:name="_Toc23883"/>
      <w:bookmarkStart w:id="236" w:name="_Toc518923103"/>
      <w:bookmarkStart w:id="237" w:name="_Toc3584_WPSOffice_Level1"/>
      <w:bookmarkStart w:id="238" w:name="_Toc18483"/>
      <w:r>
        <w:rPr>
          <w:rFonts w:hint="eastAsia" w:cs="宋体" w:asciiTheme="minorEastAsia" w:hAnsiTheme="minorEastAsia" w:eastAsiaTheme="minorEastAsia"/>
          <w:color w:val="auto"/>
          <w:szCs w:val="24"/>
        </w:rPr>
        <w:t>附件1：履约保证金保函（格式）</w:t>
      </w:r>
      <w:bookmarkEnd w:id="232"/>
      <w:bookmarkEnd w:id="233"/>
      <w:bookmarkEnd w:id="234"/>
      <w:bookmarkEnd w:id="235"/>
      <w:bookmarkEnd w:id="236"/>
      <w:bookmarkEnd w:id="237"/>
      <w:bookmarkEnd w:id="238"/>
    </w:p>
    <w:p w14:paraId="295F33F4">
      <w:pPr>
        <w:pStyle w:val="12"/>
        <w:spacing w:line="240" w:lineRule="atLeast"/>
        <w:ind w:left="1105" w:leftChars="257" w:hanging="540"/>
        <w:rPr>
          <w:rFonts w:cs="宋体" w:asciiTheme="minorEastAsia" w:hAnsiTheme="minorEastAsia" w:eastAsiaTheme="minorEastAsia"/>
          <w:b/>
          <w:color w:val="auto"/>
        </w:rPr>
      </w:pPr>
      <w:r>
        <w:rPr>
          <w:rFonts w:hint="eastAsia" w:cs="宋体" w:asciiTheme="minorEastAsia" w:hAnsiTheme="minorEastAsia" w:eastAsiaTheme="minorEastAsia"/>
          <w:b/>
          <w:color w:val="auto"/>
        </w:rPr>
        <w:t xml:space="preserve">                         （成交后开具）</w:t>
      </w:r>
    </w:p>
    <w:p w14:paraId="2C2F7D0F">
      <w:pPr>
        <w:pStyle w:val="12"/>
        <w:spacing w:line="240" w:lineRule="atLeast"/>
        <w:rPr>
          <w:rFonts w:cs="宋体" w:asciiTheme="minorEastAsia" w:hAnsiTheme="minorEastAsia" w:eastAsiaTheme="minorEastAsia"/>
          <w:color w:val="auto"/>
        </w:rPr>
      </w:pPr>
      <w:r>
        <w:rPr>
          <w:rFonts w:hint="eastAsia" w:cs="宋体" w:asciiTheme="minorEastAsia" w:hAnsiTheme="minorEastAsia" w:eastAsiaTheme="minorEastAsia"/>
          <w:color w:val="auto"/>
        </w:rPr>
        <w:t>致: (</w:t>
      </w:r>
      <w:r>
        <w:rPr>
          <w:rFonts w:hint="eastAsia" w:cs="宋体" w:asciiTheme="minorEastAsia" w:hAnsiTheme="minorEastAsia" w:eastAsiaTheme="minorEastAsia"/>
          <w:color w:val="auto"/>
          <w:u w:val="single"/>
        </w:rPr>
        <w:t>买方名称</w:t>
      </w:r>
      <w:r>
        <w:rPr>
          <w:rFonts w:hint="eastAsia" w:cs="宋体" w:asciiTheme="minorEastAsia" w:hAnsiTheme="minorEastAsia" w:eastAsiaTheme="minorEastAsia"/>
          <w:color w:val="auto"/>
        </w:rPr>
        <w:t>)</w:t>
      </w:r>
    </w:p>
    <w:p w14:paraId="510742B6">
      <w:pPr>
        <w:pStyle w:val="12"/>
        <w:spacing w:line="240" w:lineRule="atLeast"/>
        <w:ind w:left="1105" w:leftChars="257" w:hanging="540"/>
        <w:jc w:val="center"/>
        <w:rPr>
          <w:rFonts w:cs="宋体" w:asciiTheme="minorEastAsia" w:hAnsiTheme="minorEastAsia" w:eastAsiaTheme="minorEastAsia"/>
          <w:color w:val="auto"/>
        </w:rPr>
      </w:pP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号合同履约保函</w:t>
      </w:r>
    </w:p>
    <w:p w14:paraId="67D3EB74">
      <w:pPr>
        <w:pStyle w:val="12"/>
        <w:spacing w:line="240" w:lineRule="atLeast"/>
        <w:ind w:firstLine="600" w:firstLineChars="250"/>
        <w:rPr>
          <w:rFonts w:cs="宋体" w:asciiTheme="minorEastAsia" w:hAnsiTheme="minorEastAsia" w:eastAsiaTheme="minorEastAsia"/>
          <w:color w:val="auto"/>
        </w:rPr>
      </w:pPr>
      <w:r>
        <w:rPr>
          <w:rFonts w:hint="eastAsia" w:cs="宋体" w:asciiTheme="minorEastAsia" w:hAnsiTheme="minorEastAsia" w:eastAsiaTheme="minorEastAsia"/>
          <w:color w:val="auto"/>
        </w:rPr>
        <w:t>本保函作为贵方与(</w:t>
      </w:r>
      <w:r>
        <w:rPr>
          <w:rFonts w:hint="eastAsia" w:cs="宋体" w:asciiTheme="minorEastAsia" w:hAnsiTheme="minorEastAsia" w:eastAsiaTheme="minorEastAsia"/>
          <w:color w:val="auto"/>
          <w:u w:val="single"/>
        </w:rPr>
        <w:t>卖方名称</w:t>
      </w:r>
      <w:r>
        <w:rPr>
          <w:rFonts w:hint="eastAsia" w:cs="宋体" w:asciiTheme="minorEastAsia" w:hAnsiTheme="minorEastAsia" w:eastAsiaTheme="minorEastAsia"/>
          <w:color w:val="auto"/>
        </w:rPr>
        <w:t>)(以下简称卖方)于</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年</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月</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日就</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项目(以下简称项目)项下提供(</w:t>
      </w:r>
      <w:r>
        <w:rPr>
          <w:rFonts w:hint="eastAsia" w:cs="宋体" w:asciiTheme="minorEastAsia" w:hAnsiTheme="minorEastAsia" w:eastAsiaTheme="minorEastAsia"/>
          <w:color w:val="auto"/>
          <w:u w:val="single"/>
        </w:rPr>
        <w:t>服务名称</w:t>
      </w:r>
      <w:r>
        <w:rPr>
          <w:rFonts w:hint="eastAsia" w:cs="宋体" w:asciiTheme="minorEastAsia" w:hAnsiTheme="minorEastAsia" w:eastAsiaTheme="minorEastAsia"/>
          <w:color w:val="auto"/>
        </w:rPr>
        <w:t>)(以下简称服务)签订的(</w:t>
      </w:r>
      <w:r>
        <w:rPr>
          <w:rFonts w:hint="eastAsia" w:cs="宋体" w:asciiTheme="minorEastAsia" w:hAnsiTheme="minorEastAsia" w:eastAsiaTheme="minorEastAsia"/>
          <w:color w:val="auto"/>
          <w:u w:val="single"/>
        </w:rPr>
        <w:t>合同号</w:t>
      </w:r>
      <w:r>
        <w:rPr>
          <w:rFonts w:hint="eastAsia" w:cs="宋体" w:asciiTheme="minorEastAsia" w:hAnsiTheme="minorEastAsia" w:eastAsiaTheme="minorEastAsia"/>
          <w:color w:val="auto"/>
        </w:rPr>
        <w:t>)号合同的履约保函。</w:t>
      </w:r>
    </w:p>
    <w:p w14:paraId="6B5DCD52">
      <w:pPr>
        <w:pStyle w:val="12"/>
        <w:spacing w:line="240" w:lineRule="atLeast"/>
        <w:ind w:firstLine="540" w:firstLineChars="225"/>
        <w:rPr>
          <w:rFonts w:cs="宋体" w:asciiTheme="minorEastAsia" w:hAnsiTheme="minorEastAsia" w:eastAsiaTheme="minorEastAsia"/>
          <w:color w:val="auto"/>
        </w:rPr>
      </w:pP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u w:val="single"/>
        </w:rPr>
        <w:t>出具保函的银行名称</w:t>
      </w:r>
      <w:r>
        <w:rPr>
          <w:rFonts w:hint="eastAsia" w:cs="宋体" w:asciiTheme="minorEastAsia" w:hAnsiTheme="minorEastAsia" w:eastAsiaTheme="minorEastAsia"/>
          <w:color w:val="auto"/>
        </w:rPr>
        <w:t>)(以下简称银行)无条件地、不可撤销地具结保证本行、其继承人和受让人无追索地向贵方以(</w:t>
      </w:r>
      <w:r>
        <w:rPr>
          <w:rFonts w:hint="eastAsia" w:cs="宋体" w:asciiTheme="minorEastAsia" w:hAnsiTheme="minorEastAsia" w:eastAsiaTheme="minorEastAsia"/>
          <w:color w:val="auto"/>
          <w:u w:val="single"/>
        </w:rPr>
        <w:t>货币名称</w:t>
      </w:r>
      <w:r>
        <w:rPr>
          <w:rFonts w:hint="eastAsia" w:cs="宋体" w:asciiTheme="minorEastAsia" w:hAnsiTheme="minorEastAsia" w:eastAsiaTheme="minorEastAsia"/>
          <w:color w:val="auto"/>
        </w:rPr>
        <w:t>)支付总额不超过(</w:t>
      </w:r>
      <w:r>
        <w:rPr>
          <w:rFonts w:hint="eastAsia" w:cs="宋体" w:asciiTheme="minorEastAsia" w:hAnsiTheme="minorEastAsia" w:eastAsiaTheme="minorEastAsia"/>
          <w:color w:val="auto"/>
          <w:u w:val="single"/>
        </w:rPr>
        <w:t>货币数量</w:t>
      </w:r>
      <w:r>
        <w:rPr>
          <w:rFonts w:hint="eastAsia" w:cs="宋体" w:asciiTheme="minorEastAsia" w:hAnsiTheme="minorEastAsia" w:eastAsiaTheme="minorEastAsia"/>
          <w:color w:val="auto"/>
        </w:rPr>
        <w:t>),即相当于合同价格的</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%,并以此约定如下:</w:t>
      </w:r>
    </w:p>
    <w:p w14:paraId="50328318">
      <w:pPr>
        <w:pStyle w:val="12"/>
        <w:ind w:left="565" w:leftChars="257"/>
        <w:rPr>
          <w:rFonts w:cs="宋体" w:asciiTheme="minorEastAsia" w:hAnsiTheme="minorEastAsia" w:eastAsiaTheme="minorEastAsia"/>
          <w:color w:val="auto"/>
        </w:rPr>
      </w:pPr>
      <w:r>
        <w:rPr>
          <w:rFonts w:hint="eastAsia" w:cs="宋体" w:asciiTheme="minorEastAsia" w:hAnsiTheme="minorEastAsia" w:eastAsiaTheme="minorEastAsia"/>
          <w:color w:val="auto"/>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4595AE6A">
      <w:pPr>
        <w:pStyle w:val="12"/>
        <w:spacing w:line="240" w:lineRule="atLeast"/>
        <w:ind w:left="540"/>
        <w:rPr>
          <w:rFonts w:cs="宋体" w:asciiTheme="minorEastAsia" w:hAnsiTheme="minorEastAsia" w:eastAsiaTheme="minorEastAsia"/>
          <w:color w:val="auto"/>
        </w:rPr>
      </w:pPr>
      <w:r>
        <w:rPr>
          <w:rFonts w:hint="eastAsia" w:cs="宋体" w:asciiTheme="minorEastAsia" w:hAnsiTheme="minorEastAsia" w:eastAsiaTheme="minorEastAsia"/>
          <w:color w:val="auto"/>
        </w:rPr>
        <w:t>2.本保函项下的任何支付应为免税和净值。对于现有或将来的税收、关税、收费、费用扣减或预提税款，不论这些款项是何种性质和由谁征收，都不应从本保函项下的支付中扣除。</w:t>
      </w:r>
    </w:p>
    <w:p w14:paraId="6C90094A">
      <w:pPr>
        <w:pStyle w:val="12"/>
        <w:spacing w:line="240" w:lineRule="atLeast"/>
        <w:ind w:left="540"/>
        <w:rPr>
          <w:rFonts w:cs="宋体" w:asciiTheme="minorEastAsia" w:hAnsiTheme="minorEastAsia" w:eastAsiaTheme="minorEastAsia"/>
          <w:color w:val="auto"/>
        </w:rPr>
      </w:pPr>
      <w:r>
        <w:rPr>
          <w:rFonts w:hint="eastAsia" w:cs="宋体" w:asciiTheme="minorEastAsia" w:hAnsiTheme="minorEastAsia" w:eastAsiaTheme="minorEastAsia"/>
          <w:color w:val="auto"/>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4ECE7F3">
      <w:pPr>
        <w:pStyle w:val="12"/>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4.本保函在本合同规定的保证期期满前完全有效。</w:t>
      </w:r>
    </w:p>
    <w:p w14:paraId="63894D63">
      <w:pPr>
        <w:pStyle w:val="12"/>
        <w:spacing w:line="240" w:lineRule="atLeast"/>
        <w:ind w:left="1105" w:leftChars="257" w:hanging="540"/>
        <w:rPr>
          <w:rFonts w:cs="宋体" w:asciiTheme="minorEastAsia" w:hAnsiTheme="minorEastAsia" w:eastAsiaTheme="minorEastAsia"/>
          <w:color w:val="auto"/>
        </w:rPr>
      </w:pPr>
    </w:p>
    <w:p w14:paraId="4C0820B1">
      <w:pPr>
        <w:pStyle w:val="12"/>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谨启</w:t>
      </w:r>
    </w:p>
    <w:p w14:paraId="6C133450">
      <w:pPr>
        <w:pStyle w:val="12"/>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出具保函银行名称：</w:t>
      </w:r>
      <w:r>
        <w:rPr>
          <w:rFonts w:hint="eastAsia" w:cs="宋体" w:asciiTheme="minorEastAsia" w:hAnsiTheme="minorEastAsia" w:eastAsiaTheme="minorEastAsia"/>
          <w:color w:val="auto"/>
          <w:u w:val="single"/>
        </w:rPr>
        <w:t xml:space="preserve">                             </w:t>
      </w:r>
    </w:p>
    <w:p w14:paraId="1DE84125">
      <w:pPr>
        <w:pStyle w:val="12"/>
        <w:spacing w:line="240" w:lineRule="atLeast"/>
        <w:ind w:left="1105" w:leftChars="257" w:hanging="540"/>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签字人姓名和职务：</w:t>
      </w:r>
      <w:r>
        <w:rPr>
          <w:rFonts w:hint="eastAsia" w:cs="宋体" w:asciiTheme="minorEastAsia" w:hAnsiTheme="minorEastAsia" w:eastAsiaTheme="minorEastAsia"/>
          <w:color w:val="auto"/>
          <w:u w:val="single"/>
        </w:rPr>
        <w:t xml:space="preserve">                             </w:t>
      </w:r>
    </w:p>
    <w:p w14:paraId="479E55A7">
      <w:pPr>
        <w:pStyle w:val="12"/>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签字人签名：</w:t>
      </w:r>
      <w:r>
        <w:rPr>
          <w:rFonts w:hint="eastAsia" w:cs="宋体" w:asciiTheme="minorEastAsia" w:hAnsiTheme="minorEastAsia" w:eastAsiaTheme="minorEastAsia"/>
          <w:color w:val="auto"/>
          <w:u w:val="single"/>
        </w:rPr>
        <w:t xml:space="preserve">                                   </w:t>
      </w:r>
    </w:p>
    <w:p w14:paraId="68E6CFE2">
      <w:pPr>
        <w:pStyle w:val="12"/>
        <w:spacing w:line="240" w:lineRule="atLeast"/>
        <w:ind w:left="1105" w:leftChars="257" w:hanging="540"/>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公章：</w:t>
      </w:r>
      <w:r>
        <w:rPr>
          <w:rFonts w:hint="eastAsia" w:cs="宋体" w:asciiTheme="minorEastAsia" w:hAnsiTheme="minorEastAsia" w:eastAsiaTheme="minorEastAsia"/>
          <w:color w:val="auto"/>
          <w:u w:val="single"/>
        </w:rPr>
        <w:t xml:space="preserve">                                         </w:t>
      </w:r>
    </w:p>
    <w:p w14:paraId="774F5A62">
      <w:pPr>
        <w:pStyle w:val="25"/>
        <w:tabs>
          <w:tab w:val="left" w:pos="1882"/>
        </w:tabs>
        <w:adjustRightInd w:val="0"/>
        <w:ind w:left="0" w:firstLine="0"/>
        <w:jc w:val="center"/>
        <w:rPr>
          <w:color w:val="auto"/>
          <w:sz w:val="24"/>
          <w:szCs w:val="24"/>
        </w:rPr>
      </w:pPr>
    </w:p>
    <w:p w14:paraId="726C515D">
      <w:pPr>
        <w:pStyle w:val="25"/>
        <w:tabs>
          <w:tab w:val="left" w:pos="1882"/>
        </w:tabs>
        <w:adjustRightInd w:val="0"/>
        <w:ind w:left="0" w:firstLine="0"/>
        <w:jc w:val="center"/>
        <w:rPr>
          <w:color w:val="auto"/>
          <w:sz w:val="24"/>
          <w:szCs w:val="24"/>
        </w:rPr>
        <w:sectPr>
          <w:footerReference r:id="rId7" w:type="default"/>
          <w:pgSz w:w="11910" w:h="16840"/>
          <w:pgMar w:top="1134" w:right="1134" w:bottom="1134" w:left="1134" w:header="878" w:footer="1052" w:gutter="0"/>
          <w:pgBorders>
            <w:top w:val="none" w:sz="0" w:space="0"/>
            <w:left w:val="none" w:sz="0" w:space="0"/>
            <w:bottom w:val="none" w:sz="0" w:space="0"/>
            <w:right w:val="none" w:sz="0" w:space="0"/>
          </w:pgBorders>
          <w:pgNumType w:fmt="decimal"/>
          <w:cols w:equalWidth="0" w:num="1">
            <w:col w:w="10590"/>
          </w:cols>
        </w:sectPr>
      </w:pPr>
    </w:p>
    <w:p w14:paraId="379C2763">
      <w:pPr>
        <w:pStyle w:val="4"/>
        <w:spacing w:before="0" w:line="240" w:lineRule="atLeast"/>
        <w:rPr>
          <w:rFonts w:cs="宋体" w:asciiTheme="minorEastAsia" w:hAnsiTheme="minorEastAsia" w:eastAsiaTheme="minorEastAsia"/>
          <w:color w:val="auto"/>
          <w:szCs w:val="24"/>
        </w:rPr>
      </w:pPr>
      <w:bookmarkStart w:id="239" w:name="_Toc9904"/>
      <w:bookmarkStart w:id="240" w:name="_Toc25500_WPSOffice_Level1"/>
      <w:bookmarkStart w:id="241" w:name="_Toc518923104"/>
      <w:bookmarkStart w:id="242" w:name="_Toc10323_WPSOffice_Level1"/>
      <w:bookmarkStart w:id="243" w:name="_Toc391_WPSOffice_Level1"/>
      <w:bookmarkStart w:id="244" w:name="_Toc30226"/>
      <w:bookmarkStart w:id="245" w:name="_Toc27788"/>
      <w:bookmarkStart w:id="246" w:name="_Toc30682"/>
      <w:r>
        <w:rPr>
          <w:rFonts w:hint="eastAsia" w:cs="宋体" w:asciiTheme="minorEastAsia" w:hAnsiTheme="minorEastAsia" w:eastAsiaTheme="minorEastAsia"/>
          <w:color w:val="auto"/>
          <w:szCs w:val="24"/>
        </w:rPr>
        <w:t>附件2：履约担保函格式</w:t>
      </w:r>
      <w:bookmarkEnd w:id="239"/>
      <w:bookmarkEnd w:id="240"/>
      <w:bookmarkEnd w:id="241"/>
      <w:bookmarkEnd w:id="242"/>
      <w:bookmarkEnd w:id="243"/>
      <w:bookmarkEnd w:id="244"/>
      <w:bookmarkEnd w:id="245"/>
    </w:p>
    <w:p w14:paraId="7A8B9D3B">
      <w:pPr>
        <w:pStyle w:val="4"/>
        <w:spacing w:before="0" w:line="240" w:lineRule="atLeast"/>
        <w:ind w:left="1105" w:leftChars="257" w:hanging="540"/>
        <w:rPr>
          <w:rFonts w:cs="宋体" w:asciiTheme="minorEastAsia" w:hAnsiTheme="minorEastAsia" w:eastAsiaTheme="minorEastAsia"/>
          <w:b w:val="0"/>
          <w:color w:val="auto"/>
        </w:rPr>
      </w:pPr>
      <w:bookmarkStart w:id="247" w:name="_Toc515904842"/>
      <w:bookmarkStart w:id="248" w:name="_Toc17070"/>
      <w:bookmarkStart w:id="249" w:name="_Toc13630"/>
      <w:bookmarkStart w:id="250" w:name="_Toc518923105"/>
      <w:bookmarkStart w:id="251" w:name="_Toc20933_WPSOffice_Level1"/>
      <w:bookmarkStart w:id="252" w:name="_Toc30995"/>
      <w:bookmarkStart w:id="253" w:name="_Toc11516_WPSOffice_Level1"/>
      <w:bookmarkStart w:id="254" w:name="_Toc27405_WPSOffice_Level1"/>
      <w:r>
        <w:rPr>
          <w:rFonts w:hint="eastAsia" w:cs="宋体" w:asciiTheme="minorEastAsia" w:hAnsiTheme="minorEastAsia" w:eastAsiaTheme="minorEastAsia"/>
          <w:color w:val="auto"/>
          <w:szCs w:val="24"/>
        </w:rPr>
        <w:t>（采用政府采购信用担保形式时使用）</w:t>
      </w:r>
      <w:bookmarkEnd w:id="247"/>
      <w:bookmarkEnd w:id="248"/>
      <w:bookmarkEnd w:id="249"/>
      <w:bookmarkEnd w:id="250"/>
      <w:bookmarkEnd w:id="251"/>
      <w:bookmarkEnd w:id="252"/>
      <w:bookmarkEnd w:id="253"/>
      <w:bookmarkEnd w:id="254"/>
    </w:p>
    <w:p w14:paraId="46D1599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政府采购履约担保函（项目用）</w:t>
      </w:r>
    </w:p>
    <w:p w14:paraId="31737E71">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编号：</w:t>
      </w:r>
    </w:p>
    <w:p w14:paraId="1BDF9A74">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（采购人）：</w:t>
      </w:r>
    </w:p>
    <w:p w14:paraId="78E389A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鉴于你方与</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（以下简称供应商）于</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日签定编号为   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政府采购合同》（以下简称主合同），且依据该合同的约定，供应商应在</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年</w:t>
      </w:r>
    </w:p>
    <w:p w14:paraId="52023A3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日前向你方交纳履约保证金，且可以履约担保函的形式交纳履约保证金。应供应商的申请，我方以保证的方式向你方提供如下履约保证金担保：</w:t>
      </w:r>
    </w:p>
    <w:p w14:paraId="7959C586">
      <w:pPr>
        <w:spacing w:line="360" w:lineRule="auto"/>
        <w:ind w:firstLine="480" w:firstLineChars="200"/>
        <w:outlineLvl w:val="1"/>
        <w:rPr>
          <w:rFonts w:cs="宋体" w:asciiTheme="minorEastAsia" w:hAnsiTheme="minorEastAsia" w:eastAsiaTheme="minorEastAsia"/>
          <w:color w:val="auto"/>
          <w:sz w:val="24"/>
        </w:rPr>
      </w:pPr>
      <w:bookmarkStart w:id="255" w:name="_Toc11823_WPSOffice_Level1"/>
      <w:bookmarkStart w:id="256" w:name="_Toc10654_WPSOffice_Level1"/>
      <w:bookmarkStart w:id="257" w:name="_Toc25347"/>
      <w:r>
        <w:rPr>
          <w:rFonts w:hint="eastAsia" w:cs="宋体" w:asciiTheme="minorEastAsia" w:hAnsiTheme="minorEastAsia" w:eastAsiaTheme="minorEastAsia"/>
          <w:color w:val="auto"/>
          <w:sz w:val="24"/>
        </w:rPr>
        <w:t>一、保证责任的情形及保证金额</w:t>
      </w:r>
      <w:bookmarkEnd w:id="255"/>
      <w:bookmarkEnd w:id="256"/>
      <w:bookmarkEnd w:id="257"/>
    </w:p>
    <w:p w14:paraId="1F1FBA7B">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（一）在供应商出现下列情形之一时，我方承担保证责任：</w:t>
      </w:r>
    </w:p>
    <w:p w14:paraId="54C72558">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1．将成交项目转让给他人，或者在响应文件中未说明，且未经采购招标机构人同意，将成交项目分包给他人的；</w:t>
      </w:r>
    </w:p>
    <w:p w14:paraId="59699BCE">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2．主合同约定的应当缴纳履约保证金的情形: </w:t>
      </w:r>
    </w:p>
    <w:p w14:paraId="0A92E62A">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（1）未按主合同约定的质量、数量和期限供应货物/提供服务/完成工程的；</w:t>
      </w:r>
    </w:p>
    <w:p w14:paraId="658B541D">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6D1F8EEF">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（二）我方的保证范围是主合同约定的合同价款总额的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%数额为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元（大写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），币种为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。（即主合同履约保证金金额）</w:t>
      </w:r>
    </w:p>
    <w:p w14:paraId="22652201">
      <w:pPr>
        <w:ind w:firstLine="480" w:firstLineChars="200"/>
        <w:outlineLvl w:val="1"/>
        <w:rPr>
          <w:rFonts w:cs="宋体" w:asciiTheme="minorEastAsia" w:hAnsiTheme="minorEastAsia" w:eastAsiaTheme="minorEastAsia"/>
          <w:color w:val="auto"/>
          <w:sz w:val="24"/>
        </w:rPr>
      </w:pPr>
      <w:bookmarkStart w:id="258" w:name="_Toc7886_WPSOffice_Level1"/>
      <w:bookmarkStart w:id="259" w:name="_Toc3896_WPSOffice_Level1"/>
      <w:bookmarkStart w:id="260" w:name="_Toc12023"/>
      <w:r>
        <w:rPr>
          <w:rFonts w:hint="eastAsia" w:cs="宋体" w:asciiTheme="minorEastAsia" w:hAnsiTheme="minorEastAsia" w:eastAsiaTheme="minorEastAsia"/>
          <w:color w:val="auto"/>
          <w:sz w:val="24"/>
        </w:rPr>
        <w:t>二、保证的方式及保证期间</w:t>
      </w:r>
      <w:bookmarkEnd w:id="258"/>
      <w:bookmarkEnd w:id="259"/>
      <w:bookmarkEnd w:id="260"/>
    </w:p>
    <w:p w14:paraId="108ABB3B">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我方保证的方式为：连带责任保证。</w:t>
      </w:r>
    </w:p>
    <w:p w14:paraId="1EE2DCEA">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我方保证的期间为：自本合同生效之日起至供应商按照主合同约定的供货/完工期限届满后</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日内。</w:t>
      </w:r>
    </w:p>
    <w:p w14:paraId="648F2CC8">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如果供应商未按主合同约定向贵方供应货物/提供服务/完成工程的，由我方在保证金额内向你方支付上述款项。</w:t>
      </w:r>
    </w:p>
    <w:p w14:paraId="7B3D2064">
      <w:pPr>
        <w:ind w:firstLine="480" w:firstLineChars="200"/>
        <w:outlineLvl w:val="1"/>
        <w:rPr>
          <w:rFonts w:cs="宋体" w:asciiTheme="minorEastAsia" w:hAnsiTheme="minorEastAsia" w:eastAsiaTheme="minorEastAsia"/>
          <w:color w:val="auto"/>
          <w:sz w:val="24"/>
        </w:rPr>
      </w:pPr>
      <w:bookmarkStart w:id="261" w:name="_Toc13180_WPSOffice_Level1"/>
      <w:bookmarkStart w:id="262" w:name="_Toc6638_WPSOffice_Level1"/>
      <w:bookmarkStart w:id="263" w:name="_Toc17901"/>
      <w:r>
        <w:rPr>
          <w:rFonts w:hint="eastAsia" w:cs="宋体" w:asciiTheme="minorEastAsia" w:hAnsiTheme="minorEastAsia" w:eastAsiaTheme="minorEastAsia"/>
          <w:color w:val="auto"/>
          <w:sz w:val="24"/>
        </w:rPr>
        <w:t>三、承担保证责任的程序</w:t>
      </w:r>
      <w:bookmarkEnd w:id="261"/>
      <w:bookmarkEnd w:id="262"/>
      <w:bookmarkEnd w:id="263"/>
    </w:p>
    <w:p w14:paraId="55BF7D09">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54EBD059">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如果你方与供应商因货物质量问题产生争议，你方还需同时提供</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部门出具的质量检测报告，或经诉讼（仲裁）程序裁决后的裁决书、调解书，本保证人即按照检测结果或裁决书、调解书决定是否承担保证责任。</w:t>
      </w:r>
    </w:p>
    <w:p w14:paraId="34799742">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我方收到你方的书面索赔通知及相应证明材料，在</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工作日内进行核定后按照本保函的承诺承担保证责任。</w:t>
      </w:r>
    </w:p>
    <w:p w14:paraId="2123F642">
      <w:pPr>
        <w:ind w:firstLine="480" w:firstLineChars="200"/>
        <w:outlineLvl w:val="1"/>
        <w:rPr>
          <w:rFonts w:cs="宋体" w:asciiTheme="minorEastAsia" w:hAnsiTheme="minorEastAsia" w:eastAsiaTheme="minorEastAsia"/>
          <w:color w:val="auto"/>
          <w:sz w:val="24"/>
        </w:rPr>
      </w:pPr>
      <w:bookmarkStart w:id="264" w:name="_Toc32368_WPSOffice_Level1"/>
      <w:bookmarkStart w:id="265" w:name="_Toc19335"/>
      <w:bookmarkStart w:id="266" w:name="_Toc14402_WPSOffice_Level1"/>
      <w:r>
        <w:rPr>
          <w:rFonts w:hint="eastAsia" w:cs="宋体" w:asciiTheme="minorEastAsia" w:hAnsiTheme="minorEastAsia" w:eastAsiaTheme="minorEastAsia"/>
          <w:color w:val="auto"/>
          <w:sz w:val="24"/>
        </w:rPr>
        <w:t>四、保证责任的终止</w:t>
      </w:r>
      <w:bookmarkEnd w:id="264"/>
      <w:bookmarkEnd w:id="265"/>
      <w:bookmarkEnd w:id="266"/>
    </w:p>
    <w:p w14:paraId="670DB4DA">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12AFCF9">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2．我方按照本保函向你方履行了保证责任后，自我方向你方支付款项（支付款项从我方账户划出）之日起，保证责任即终止。</w:t>
      </w:r>
    </w:p>
    <w:p w14:paraId="1459A090">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3．按照法律法规的规定或出现应终止我方保证责任的其它情形的，我方在本保函项下的保证责任亦终止。</w:t>
      </w:r>
    </w:p>
    <w:p w14:paraId="2B348841">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959AA92">
      <w:pPr>
        <w:ind w:firstLine="480" w:firstLineChars="200"/>
        <w:outlineLvl w:val="1"/>
        <w:rPr>
          <w:rFonts w:cs="宋体" w:asciiTheme="minorEastAsia" w:hAnsiTheme="minorEastAsia" w:eastAsiaTheme="minorEastAsia"/>
          <w:color w:val="auto"/>
          <w:sz w:val="24"/>
        </w:rPr>
      </w:pPr>
      <w:bookmarkStart w:id="267" w:name="_Toc15921_WPSOffice_Level1"/>
      <w:bookmarkStart w:id="268" w:name="_Toc23917_WPSOffice_Level1"/>
      <w:bookmarkStart w:id="269" w:name="_Toc27259"/>
      <w:r>
        <w:rPr>
          <w:rFonts w:hint="eastAsia" w:cs="宋体" w:asciiTheme="minorEastAsia" w:hAnsiTheme="minorEastAsia" w:eastAsiaTheme="minorEastAsia"/>
          <w:color w:val="auto"/>
          <w:sz w:val="24"/>
        </w:rPr>
        <w:t>五、免责条款</w:t>
      </w:r>
      <w:bookmarkEnd w:id="267"/>
      <w:bookmarkEnd w:id="268"/>
      <w:bookmarkEnd w:id="269"/>
    </w:p>
    <w:p w14:paraId="17FC5BDB">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1．因你方违反主合同约定致使供应商不能履行义务的，我方不承担保证责任。</w:t>
      </w:r>
    </w:p>
    <w:p w14:paraId="260BF51B">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2．依照法律法规的规定或你方与供应商的另行约定，全部或者部分免除供应商应缴纳的保证金义务的，我方亦免除相应的保证责任。</w:t>
      </w:r>
    </w:p>
    <w:p w14:paraId="75902933">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3．因不可抗力造成供应商不能履行供货义务的，我方不承担保证责任。</w:t>
      </w:r>
    </w:p>
    <w:p w14:paraId="7ED2A647">
      <w:pPr>
        <w:ind w:firstLine="480" w:firstLineChars="200"/>
        <w:outlineLvl w:val="1"/>
        <w:rPr>
          <w:rFonts w:cs="宋体" w:asciiTheme="minorEastAsia" w:hAnsiTheme="minorEastAsia" w:eastAsiaTheme="minorEastAsia"/>
          <w:color w:val="auto"/>
          <w:sz w:val="24"/>
        </w:rPr>
      </w:pPr>
      <w:bookmarkStart w:id="270" w:name="_Toc6543_WPSOffice_Level1"/>
      <w:bookmarkStart w:id="271" w:name="_Toc4297"/>
      <w:bookmarkStart w:id="272" w:name="_Toc2970_WPSOffice_Level1"/>
      <w:r>
        <w:rPr>
          <w:rFonts w:hint="eastAsia" w:cs="宋体" w:asciiTheme="minorEastAsia" w:hAnsiTheme="minorEastAsia" w:eastAsiaTheme="minorEastAsia"/>
          <w:color w:val="auto"/>
          <w:sz w:val="24"/>
        </w:rPr>
        <w:t>六、争议的解决</w:t>
      </w:r>
      <w:bookmarkEnd w:id="270"/>
      <w:bookmarkEnd w:id="271"/>
      <w:bookmarkEnd w:id="272"/>
    </w:p>
    <w:p w14:paraId="600475DD">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因本保函发生的纠纷，由你我双方协商解决，协商不成的，通过诉讼程序解决，诉讼管辖地法院为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法院。</w:t>
      </w:r>
    </w:p>
    <w:p w14:paraId="2BD5831A">
      <w:pPr>
        <w:ind w:firstLine="480" w:firstLineChars="200"/>
        <w:outlineLvl w:val="1"/>
        <w:rPr>
          <w:rFonts w:cs="宋体" w:asciiTheme="minorEastAsia" w:hAnsiTheme="minorEastAsia" w:eastAsiaTheme="minorEastAsia"/>
          <w:color w:val="auto"/>
          <w:sz w:val="24"/>
        </w:rPr>
      </w:pPr>
      <w:bookmarkStart w:id="273" w:name="_Toc7439"/>
      <w:bookmarkStart w:id="274" w:name="_Toc548_WPSOffice_Level1"/>
      <w:bookmarkStart w:id="275" w:name="_Toc3482_WPSOffice_Level1"/>
      <w:r>
        <w:rPr>
          <w:rFonts w:hint="eastAsia" w:cs="宋体" w:asciiTheme="minorEastAsia" w:hAnsiTheme="minorEastAsia" w:eastAsiaTheme="minorEastAsia"/>
          <w:color w:val="auto"/>
          <w:sz w:val="24"/>
        </w:rPr>
        <w:t>七、保函的生效</w:t>
      </w:r>
      <w:bookmarkEnd w:id="273"/>
      <w:bookmarkEnd w:id="274"/>
      <w:bookmarkEnd w:id="275"/>
    </w:p>
    <w:p w14:paraId="692DB873">
      <w:pPr>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本保函自我方加盖公章之日起生效。    </w:t>
      </w:r>
    </w:p>
    <w:p w14:paraId="20CDA593">
      <w:pPr>
        <w:ind w:firstLine="5400" w:firstLineChars="2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保证人：（公章）</w:t>
      </w:r>
    </w:p>
    <w:p w14:paraId="73A42202">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年     月      日</w:t>
      </w:r>
    </w:p>
    <w:p w14:paraId="6DA6E2C5">
      <w:pPr>
        <w:pStyle w:val="7"/>
        <w:spacing w:line="240" w:lineRule="atLeast"/>
        <w:ind w:firstLine="442"/>
        <w:rPr>
          <w:rFonts w:cs="宋体" w:asciiTheme="minorEastAsia" w:hAnsiTheme="minorEastAsia" w:eastAsiaTheme="minorEastAsia"/>
          <w:color w:val="auto"/>
          <w:kern w:val="2"/>
          <w:szCs w:val="24"/>
        </w:rPr>
      </w:pPr>
      <w:r>
        <w:rPr>
          <w:rFonts w:hint="eastAsia" w:cs="宋体" w:asciiTheme="minorEastAsia" w:hAnsiTheme="minorEastAsia" w:eastAsiaTheme="minorEastAsia"/>
          <w:b/>
          <w:color w:val="auto"/>
        </w:rPr>
        <w:br w:type="page"/>
      </w:r>
    </w:p>
    <w:p w14:paraId="748CFF96">
      <w:pPr>
        <w:pStyle w:val="3"/>
        <w:numPr>
          <w:ilvl w:val="0"/>
          <w:numId w:val="5"/>
        </w:numPr>
        <w:spacing w:line="240" w:lineRule="atLeast"/>
        <w:ind w:left="794"/>
        <w:rPr>
          <w:rFonts w:ascii="仿宋" w:hAnsi="仿宋" w:eastAsia="仿宋" w:cs="仿宋"/>
          <w:color w:val="auto"/>
          <w:sz w:val="28"/>
          <w:szCs w:val="28"/>
          <w:lang w:val="en-US"/>
        </w:rPr>
      </w:pPr>
      <w:bookmarkStart w:id="276" w:name="_Toc18794"/>
      <w:r>
        <w:rPr>
          <w:rFonts w:hint="eastAsia" w:ascii="仿宋" w:hAnsi="仿宋" w:eastAsia="仿宋" w:cs="仿宋"/>
          <w:color w:val="auto"/>
          <w:sz w:val="28"/>
          <w:szCs w:val="28"/>
          <w:lang w:val="en-US"/>
        </w:rPr>
        <w:t>采购需求</w:t>
      </w:r>
      <w:bookmarkEnd w:id="276"/>
    </w:p>
    <w:p w14:paraId="528FF4B8">
      <w:pPr>
        <w:spacing w:line="360" w:lineRule="auto"/>
        <w:rPr>
          <w:rFonts w:cs="宋体" w:asciiTheme="minorEastAsia" w:hAnsiTheme="minorEastAsia" w:eastAsiaTheme="minorEastAsia"/>
          <w:color w:val="auto"/>
          <w:sz w:val="24"/>
          <w:lang w:val="en-US"/>
        </w:rPr>
      </w:pPr>
    </w:p>
    <w:p w14:paraId="49FFA1EF">
      <w:pPr>
        <w:rPr>
          <w:rFonts w:hint="eastAsia" w:cs="宋体" w:asciiTheme="minorEastAsia" w:hAnsiTheme="minorEastAsia" w:eastAsiaTheme="minorEastAsia"/>
          <w:color w:val="auto"/>
          <w:sz w:val="24"/>
        </w:rPr>
      </w:pPr>
      <w:bookmarkStart w:id="277" w:name="_Toc5569"/>
      <w:r>
        <w:rPr>
          <w:rFonts w:hint="eastAsia" w:cs="宋体" w:asciiTheme="minorEastAsia" w:hAnsiTheme="minorEastAsia" w:eastAsiaTheme="minorEastAsia"/>
          <w:color w:val="auto"/>
          <w:sz w:val="24"/>
          <w:lang w:val="en-US" w:eastAsia="zh-CN"/>
        </w:rPr>
        <w:t>1、</w:t>
      </w:r>
      <w:r>
        <w:rPr>
          <w:rFonts w:hint="eastAsia" w:cs="宋体" w:asciiTheme="minorEastAsia" w:hAnsiTheme="minorEastAsia" w:eastAsiaTheme="minorEastAsia"/>
          <w:color w:val="auto"/>
          <w:sz w:val="24"/>
        </w:rPr>
        <w:t>具体内容详见</w:t>
      </w:r>
      <w:r>
        <w:rPr>
          <w:rFonts w:hint="eastAsia" w:cs="宋体" w:asciiTheme="minorEastAsia" w:hAnsiTheme="minorEastAsia" w:eastAsiaTheme="minorEastAsia"/>
          <w:color w:val="auto"/>
          <w:sz w:val="24"/>
          <w:lang w:val="en-US" w:eastAsia="zh-CN"/>
        </w:rPr>
        <w:t>施工图纸</w:t>
      </w:r>
      <w:r>
        <w:rPr>
          <w:rFonts w:hint="eastAsia" w:cs="宋体" w:asciiTheme="minorEastAsia" w:hAnsiTheme="minorEastAsia" w:eastAsiaTheme="minorEastAsia"/>
          <w:color w:val="auto"/>
          <w:sz w:val="24"/>
        </w:rPr>
        <w:t>、及工程量清单（另附）</w:t>
      </w:r>
    </w:p>
    <w:p w14:paraId="4140569C">
      <w:pPr>
        <w:pStyle w:val="12"/>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注意：</w:t>
      </w:r>
    </w:p>
    <w:p w14:paraId="5A6725B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1、投标人必须按招标工程量清单填报价格。项目编码、项目名称、项目特征、计量单位、工程量必须与招标工程量清单一致。</w:t>
      </w:r>
    </w:p>
    <w:p w14:paraId="1B4D73A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2、安全文明施工费（除临时设施外）、规费和税金必须按国家或省级、行业建设主管部门的规定计算，不得作为竞争性费用。</w:t>
      </w:r>
    </w:p>
    <w:p w14:paraId="765042B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3、暂列金额应按招标工程量清单中列出的金额填写，不得变动。</w:t>
      </w:r>
    </w:p>
    <w:p w14:paraId="4A0BD3D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4、材料、工程设备暂估价必须按招标工程量清单中列出的暂估单价计入综合单价；专业工程暂估价必须按招标工程量清单中列出的金额填写。</w:t>
      </w:r>
    </w:p>
    <w:p w14:paraId="4FDB08C2">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5、计日工应按招标工程量清单中列出的项目和数量，自主确定综合单价并计算计日工金额。</w:t>
      </w:r>
    </w:p>
    <w:p w14:paraId="5674F69A">
      <w:pPr>
        <w:pStyle w:val="2"/>
        <w:rPr>
          <w:rFonts w:hint="eastAsia" w:ascii="宋体" w:hAnsi="宋体" w:eastAsia="宋体" w:cs="宋体"/>
          <w:b/>
          <w:bCs/>
          <w:color w:val="auto"/>
          <w:kern w:val="2"/>
          <w:sz w:val="21"/>
          <w:szCs w:val="24"/>
          <w:lang w:val="en-US" w:eastAsia="zh-CN" w:bidi="ar-SA"/>
        </w:rPr>
      </w:pPr>
    </w:p>
    <w:p w14:paraId="74459B9B">
      <w:pPr>
        <w:rPr>
          <w:b/>
          <w:bCs/>
          <w:color w:val="auto"/>
          <w:sz w:val="28"/>
          <w:szCs w:val="28"/>
        </w:rPr>
      </w:pPr>
    </w:p>
    <w:p w14:paraId="2CAD12B8">
      <w:pPr>
        <w:adjustRightInd w:val="0"/>
        <w:jc w:val="center"/>
        <w:outlineLvl w:val="0"/>
        <w:rPr>
          <w:rFonts w:hint="eastAsia"/>
          <w:b/>
          <w:bCs/>
          <w:color w:val="auto"/>
          <w:sz w:val="28"/>
          <w:szCs w:val="28"/>
        </w:rPr>
        <w:sectPr>
          <w:headerReference r:id="rId8" w:type="default"/>
          <w:footerReference r:id="rId9" w:type="default"/>
          <w:pgSz w:w="11907" w:h="16840"/>
          <w:pgMar w:top="1474" w:right="1644" w:bottom="1474" w:left="1587" w:header="851" w:footer="851" w:gutter="0"/>
          <w:pgBorders>
            <w:top w:val="none" w:sz="0" w:space="0"/>
            <w:left w:val="none" w:sz="0" w:space="0"/>
            <w:bottom w:val="none" w:sz="0" w:space="0"/>
            <w:right w:val="none" w:sz="0" w:space="0"/>
          </w:pgBorders>
          <w:pgNumType w:fmt="decimal"/>
          <w:cols w:space="720" w:num="1"/>
          <w:docGrid w:linePitch="462" w:charSpace="0"/>
        </w:sectPr>
      </w:pPr>
    </w:p>
    <w:p w14:paraId="12DB7688">
      <w:pPr>
        <w:adjustRightInd w:val="0"/>
        <w:jc w:val="center"/>
        <w:outlineLvl w:val="0"/>
        <w:rPr>
          <w:b/>
          <w:bCs/>
          <w:color w:val="auto"/>
          <w:sz w:val="28"/>
          <w:szCs w:val="28"/>
        </w:rPr>
      </w:pPr>
      <w:r>
        <w:rPr>
          <w:rFonts w:hint="eastAsia"/>
          <w:b/>
          <w:bCs/>
          <w:color w:val="auto"/>
          <w:sz w:val="28"/>
          <w:szCs w:val="28"/>
        </w:rPr>
        <w:t>第四章</w:t>
      </w:r>
      <w:r>
        <w:rPr>
          <w:rFonts w:hint="eastAsia"/>
          <w:b/>
          <w:bCs/>
          <w:color w:val="auto"/>
          <w:sz w:val="28"/>
          <w:szCs w:val="28"/>
          <w:lang w:val="en-US"/>
        </w:rPr>
        <w:t xml:space="preserve"> </w:t>
      </w:r>
      <w:r>
        <w:rPr>
          <w:rFonts w:hint="eastAsia"/>
          <w:b/>
          <w:bCs/>
          <w:color w:val="auto"/>
          <w:sz w:val="28"/>
          <w:szCs w:val="28"/>
        </w:rPr>
        <w:t>政府采购合同格式</w:t>
      </w:r>
      <w:bookmarkEnd w:id="246"/>
      <w:bookmarkEnd w:id="277"/>
    </w:p>
    <w:p w14:paraId="6BA97502">
      <w:pPr>
        <w:adjustRightInd w:val="0"/>
        <w:jc w:val="both"/>
        <w:rPr>
          <w:b/>
          <w:color w:val="auto"/>
          <w:sz w:val="24"/>
          <w:szCs w:val="24"/>
        </w:rPr>
      </w:pPr>
    </w:p>
    <w:p w14:paraId="7A06DE13">
      <w:pPr>
        <w:spacing w:line="480" w:lineRule="auto"/>
        <w:ind w:firstLine="2209" w:firstLineChars="500"/>
        <w:rPr>
          <w:rFonts w:ascii="宋体" w:hAnsi="宋体" w:cs="宋体"/>
          <w:b/>
          <w:color w:val="auto"/>
          <w:sz w:val="44"/>
          <w:szCs w:val="44"/>
        </w:rPr>
      </w:pPr>
      <w:r>
        <w:rPr>
          <w:rFonts w:hint="eastAsia" w:ascii="宋体" w:hAnsi="宋体" w:cs="宋体"/>
          <w:b/>
          <w:color w:val="auto"/>
          <w:sz w:val="44"/>
          <w:szCs w:val="44"/>
        </w:rPr>
        <w:t>政府采购合同参考范本</w:t>
      </w:r>
    </w:p>
    <w:p w14:paraId="0F5AC89A">
      <w:pPr>
        <w:pStyle w:val="31"/>
        <w:ind w:firstLine="0"/>
        <w:rPr>
          <w:rFonts w:asciiTheme="minorEastAsia" w:hAnsiTheme="minorEastAsia" w:eastAsiaTheme="minorEastAsia" w:cstheme="minorEastAsia"/>
          <w:color w:val="auto"/>
          <w:szCs w:val="24"/>
        </w:rPr>
      </w:pPr>
    </w:p>
    <w:p w14:paraId="32C4A950">
      <w:pPr>
        <w:pStyle w:val="31"/>
        <w:ind w:firstLine="0"/>
        <w:rPr>
          <w:rFonts w:asciiTheme="minorEastAsia" w:hAnsiTheme="minorEastAsia" w:eastAsiaTheme="minorEastAsia" w:cstheme="minorEastAsia"/>
          <w:color w:val="auto"/>
          <w:szCs w:val="24"/>
        </w:rPr>
      </w:pPr>
    </w:p>
    <w:p w14:paraId="44AEE229">
      <w:pPr>
        <w:pStyle w:val="31"/>
        <w:ind w:firstLine="0"/>
        <w:rPr>
          <w:rFonts w:asciiTheme="minorEastAsia" w:hAnsiTheme="minorEastAsia" w:eastAsiaTheme="minorEastAsia" w:cstheme="minorEastAsia"/>
          <w:color w:val="auto"/>
          <w:szCs w:val="24"/>
        </w:rPr>
      </w:pPr>
    </w:p>
    <w:p w14:paraId="34CA4EF3">
      <w:pPr>
        <w:pStyle w:val="31"/>
        <w:ind w:firstLine="0"/>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第一部分 合同书</w:t>
      </w:r>
    </w:p>
    <w:p w14:paraId="1B14A0AA">
      <w:pPr>
        <w:pStyle w:val="31"/>
        <w:ind w:firstLine="0"/>
        <w:rPr>
          <w:rFonts w:asciiTheme="minorEastAsia" w:hAnsiTheme="minorEastAsia" w:eastAsiaTheme="minorEastAsia" w:cstheme="minorEastAsia"/>
          <w:color w:val="auto"/>
          <w:szCs w:val="24"/>
        </w:rPr>
      </w:pPr>
    </w:p>
    <w:p w14:paraId="3B779940">
      <w:pPr>
        <w:pStyle w:val="31"/>
        <w:ind w:firstLine="0"/>
        <w:rPr>
          <w:rFonts w:asciiTheme="minorEastAsia" w:hAnsiTheme="minorEastAsia" w:eastAsiaTheme="minorEastAsia" w:cstheme="minorEastAsia"/>
          <w:color w:val="auto"/>
          <w:szCs w:val="24"/>
        </w:rPr>
      </w:pPr>
    </w:p>
    <w:p w14:paraId="7C7733BD">
      <w:pPr>
        <w:spacing w:before="120" w:line="22" w:lineRule="atLeast"/>
        <w:rPr>
          <w:rFonts w:asciiTheme="minorEastAsia" w:hAnsiTheme="minorEastAsia" w:eastAsiaTheme="minorEastAsia" w:cstheme="minorEastAsia"/>
          <w:color w:val="auto"/>
          <w:sz w:val="24"/>
        </w:rPr>
      </w:pPr>
    </w:p>
    <w:p w14:paraId="7F30CEE6">
      <w:pPr>
        <w:spacing w:before="120" w:line="22" w:lineRule="atLeast"/>
        <w:ind w:left="96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u w:val="single"/>
        </w:rPr>
        <w:t xml:space="preserve">                                   </w:t>
      </w:r>
    </w:p>
    <w:p w14:paraId="1BC81BFB">
      <w:pPr>
        <w:pStyle w:val="32"/>
        <w:spacing w:before="120" w:line="22" w:lineRule="atLeast"/>
        <w:rPr>
          <w:rFonts w:asciiTheme="minorEastAsia" w:hAnsiTheme="minorEastAsia" w:eastAsiaTheme="minorEastAsia" w:cstheme="minorEastAsia"/>
          <w:color w:val="auto"/>
          <w:szCs w:val="24"/>
        </w:rPr>
      </w:pPr>
    </w:p>
    <w:p w14:paraId="3DE8B438">
      <w:pPr>
        <w:pStyle w:val="32"/>
        <w:spacing w:before="120" w:line="22" w:lineRule="atLeast"/>
        <w:rPr>
          <w:rFonts w:asciiTheme="minorEastAsia" w:hAnsiTheme="minorEastAsia" w:eastAsiaTheme="minorEastAsia" w:cstheme="minorEastAsia"/>
          <w:color w:val="auto"/>
          <w:szCs w:val="24"/>
        </w:rPr>
      </w:pPr>
    </w:p>
    <w:p w14:paraId="10ACC0A0">
      <w:pPr>
        <w:rPr>
          <w:rFonts w:asciiTheme="minorEastAsia" w:hAnsiTheme="minorEastAsia" w:eastAsiaTheme="minorEastAsia" w:cstheme="minorEastAsia"/>
          <w:color w:val="auto"/>
        </w:rPr>
      </w:pPr>
    </w:p>
    <w:p w14:paraId="45738088">
      <w:pPr>
        <w:spacing w:before="120" w:line="22" w:lineRule="atLeast"/>
        <w:ind w:left="96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甲方：</w:t>
      </w:r>
      <w:r>
        <w:rPr>
          <w:rFonts w:hint="eastAsia" w:asciiTheme="minorEastAsia" w:hAnsiTheme="minorEastAsia" w:eastAsiaTheme="minorEastAsia" w:cstheme="minorEastAsia"/>
          <w:color w:val="auto"/>
          <w:sz w:val="24"/>
          <w:u w:val="single"/>
        </w:rPr>
        <w:t xml:space="preserve">                                       </w:t>
      </w:r>
    </w:p>
    <w:p w14:paraId="536E21AD">
      <w:pPr>
        <w:spacing w:before="120" w:line="22" w:lineRule="atLeast"/>
        <w:rPr>
          <w:rFonts w:asciiTheme="minorEastAsia" w:hAnsiTheme="minorEastAsia" w:eastAsiaTheme="minorEastAsia" w:cstheme="minorEastAsia"/>
          <w:color w:val="auto"/>
          <w:sz w:val="24"/>
        </w:rPr>
      </w:pPr>
    </w:p>
    <w:p w14:paraId="3440DAE1">
      <w:pPr>
        <w:spacing w:before="120" w:line="22" w:lineRule="atLeast"/>
        <w:ind w:left="96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乙方：</w:t>
      </w:r>
      <w:r>
        <w:rPr>
          <w:rFonts w:hint="eastAsia" w:asciiTheme="minorEastAsia" w:hAnsiTheme="minorEastAsia" w:eastAsiaTheme="minorEastAsia" w:cstheme="minorEastAsia"/>
          <w:color w:val="auto"/>
          <w:sz w:val="24"/>
          <w:u w:val="single"/>
        </w:rPr>
        <w:t xml:space="preserve">                                       </w:t>
      </w:r>
    </w:p>
    <w:p w14:paraId="3334C2A6">
      <w:pPr>
        <w:spacing w:before="120" w:line="22" w:lineRule="atLeast"/>
        <w:rPr>
          <w:rFonts w:asciiTheme="minorEastAsia" w:hAnsiTheme="minorEastAsia" w:eastAsiaTheme="minorEastAsia" w:cstheme="minorEastAsia"/>
          <w:color w:val="auto"/>
          <w:sz w:val="24"/>
        </w:rPr>
      </w:pPr>
    </w:p>
    <w:p w14:paraId="76E0FAED">
      <w:pPr>
        <w:spacing w:before="120" w:line="22" w:lineRule="atLeast"/>
        <w:ind w:firstLine="960" w:firstLineChars="4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签订地：</w:t>
      </w:r>
      <w:r>
        <w:rPr>
          <w:rFonts w:hint="eastAsia" w:asciiTheme="minorEastAsia" w:hAnsiTheme="minorEastAsia" w:eastAsiaTheme="minorEastAsia" w:cstheme="minorEastAsia"/>
          <w:color w:val="auto"/>
          <w:sz w:val="24"/>
          <w:u w:val="single"/>
        </w:rPr>
        <w:t xml:space="preserve">                                     </w:t>
      </w:r>
    </w:p>
    <w:p w14:paraId="186A090E">
      <w:pPr>
        <w:spacing w:before="120" w:line="22" w:lineRule="atLeast"/>
        <w:rPr>
          <w:rFonts w:asciiTheme="minorEastAsia" w:hAnsiTheme="minorEastAsia" w:eastAsiaTheme="minorEastAsia" w:cstheme="minorEastAsia"/>
          <w:color w:val="auto"/>
          <w:sz w:val="24"/>
        </w:rPr>
      </w:pPr>
    </w:p>
    <w:p w14:paraId="1FBFD811">
      <w:pPr>
        <w:spacing w:before="120" w:line="22" w:lineRule="atLeast"/>
        <w:ind w:firstLine="960" w:firstLineChars="4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签订日期：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4088F929">
      <w:pPr>
        <w:adjustRightInd w:val="0"/>
        <w:spacing w:line="600" w:lineRule="exact"/>
        <w:ind w:firstLine="640"/>
        <w:jc w:val="center"/>
        <w:rPr>
          <w:rFonts w:asciiTheme="minorEastAsia" w:hAnsiTheme="minorEastAsia" w:eastAsiaTheme="minorEastAsia" w:cstheme="minorEastAsia"/>
          <w:color w:val="auto"/>
          <w:sz w:val="24"/>
        </w:rPr>
        <w:sectPr>
          <w:pgSz w:w="11907" w:h="16840"/>
          <w:pgMar w:top="1474" w:right="1644" w:bottom="1474" w:left="1587" w:header="851" w:footer="851" w:gutter="0"/>
          <w:pgBorders>
            <w:top w:val="none" w:sz="0" w:space="0"/>
            <w:left w:val="none" w:sz="0" w:space="0"/>
            <w:bottom w:val="none" w:sz="0" w:space="0"/>
            <w:right w:val="none" w:sz="0" w:space="0"/>
          </w:pgBorders>
          <w:pgNumType w:fmt="decimal"/>
          <w:cols w:space="720" w:num="1"/>
          <w:docGrid w:linePitch="462" w:charSpace="0"/>
        </w:sectPr>
      </w:pPr>
    </w:p>
    <w:p w14:paraId="0C676CBA">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u w:val="single"/>
        </w:rPr>
        <w:t xml:space="preserve">   （采购人名称）   </w:t>
      </w:r>
      <w:r>
        <w:rPr>
          <w:rFonts w:hint="eastAsia" w:asciiTheme="minorEastAsia" w:hAnsiTheme="minorEastAsia" w:eastAsiaTheme="minorEastAsia" w:cstheme="minorEastAsia"/>
          <w:color w:val="auto"/>
          <w:sz w:val="24"/>
        </w:rPr>
        <w:t>以</w:t>
      </w:r>
      <w:r>
        <w:rPr>
          <w:rFonts w:hint="eastAsia" w:asciiTheme="minorEastAsia" w:hAnsiTheme="minorEastAsia" w:eastAsiaTheme="minorEastAsia" w:cstheme="minorEastAsia"/>
          <w:color w:val="auto"/>
          <w:sz w:val="24"/>
          <w:u w:val="single"/>
        </w:rPr>
        <w:t xml:space="preserve">   （政府采购方式）  </w:t>
      </w:r>
      <w:r>
        <w:rPr>
          <w:rFonts w:hint="eastAsia" w:asciiTheme="minorEastAsia" w:hAnsiTheme="minorEastAsia" w:eastAsiaTheme="minorEastAsia" w:cstheme="minorEastAsia"/>
          <w:color w:val="auto"/>
          <w:sz w:val="24"/>
        </w:rPr>
        <w:t>对</w:t>
      </w:r>
      <w:r>
        <w:rPr>
          <w:rFonts w:hint="eastAsia" w:asciiTheme="minorEastAsia" w:hAnsiTheme="minorEastAsia" w:eastAsiaTheme="minorEastAsia" w:cstheme="minorEastAsia"/>
          <w:color w:val="auto"/>
          <w:sz w:val="24"/>
          <w:u w:val="single"/>
        </w:rPr>
        <w:t xml:space="preserve">   （同前页项目名称）   </w:t>
      </w:r>
      <w:r>
        <w:rPr>
          <w:rFonts w:hint="eastAsia" w:asciiTheme="minorEastAsia" w:hAnsiTheme="minorEastAsia" w:eastAsiaTheme="minorEastAsia" w:cstheme="minorEastAsia"/>
          <w:color w:val="auto"/>
          <w:sz w:val="24"/>
        </w:rPr>
        <w:t>项目进行了采购。经</w:t>
      </w:r>
      <w:r>
        <w:rPr>
          <w:rFonts w:hint="eastAsia" w:asciiTheme="minorEastAsia" w:hAnsiTheme="minorEastAsia" w:eastAsiaTheme="minorEastAsia" w:cstheme="minorEastAsia"/>
          <w:color w:val="auto"/>
          <w:sz w:val="24"/>
          <w:u w:val="single"/>
        </w:rPr>
        <w:t xml:space="preserve">   （相关评定主体名称）   </w:t>
      </w:r>
      <w:r>
        <w:rPr>
          <w:rFonts w:hint="eastAsia" w:asciiTheme="minorEastAsia" w:hAnsiTheme="minorEastAsia" w:eastAsiaTheme="minorEastAsia" w:cstheme="minorEastAsia"/>
          <w:color w:val="auto"/>
          <w:sz w:val="24"/>
        </w:rPr>
        <w:t>评定，</w:t>
      </w:r>
      <w:r>
        <w:rPr>
          <w:rFonts w:hint="eastAsia" w:asciiTheme="minorEastAsia" w:hAnsiTheme="minorEastAsia" w:eastAsiaTheme="minorEastAsia" w:cstheme="minorEastAsia"/>
          <w:color w:val="auto"/>
          <w:sz w:val="24"/>
          <w:u w:val="single"/>
        </w:rPr>
        <w:t xml:space="preserve">   （中标供应商名称） </w:t>
      </w:r>
      <w:r>
        <w:rPr>
          <w:rFonts w:hint="eastAsia" w:asciiTheme="minorEastAsia" w:hAnsiTheme="minorEastAsia" w:eastAsiaTheme="minorEastAsia" w:cstheme="minorEastAsia"/>
          <w:color w:val="auto"/>
          <w:sz w:val="24"/>
        </w:rPr>
        <w:t>为该项目中标供应商。现于中标通知书发出之日起三十日内，按照采购文件确定的事项签订本合同。</w:t>
      </w:r>
    </w:p>
    <w:p w14:paraId="09884FA3">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u w:val="single"/>
        </w:rPr>
        <w:t xml:space="preserve">   （采购人名称）   </w:t>
      </w:r>
      <w:r>
        <w:rPr>
          <w:rFonts w:hint="eastAsia" w:asciiTheme="minorEastAsia" w:hAnsiTheme="minorEastAsia" w:eastAsiaTheme="minorEastAsia" w:cstheme="minorEastAsia"/>
          <w:color w:val="auto"/>
          <w:sz w:val="24"/>
        </w:rPr>
        <w:t>(以下简称：甲方)和</w:t>
      </w:r>
      <w:r>
        <w:rPr>
          <w:rFonts w:hint="eastAsia" w:asciiTheme="minorEastAsia" w:hAnsiTheme="minorEastAsia" w:eastAsiaTheme="minorEastAsia" w:cstheme="minorEastAsia"/>
          <w:color w:val="auto"/>
          <w:sz w:val="24"/>
          <w:u w:val="single"/>
        </w:rPr>
        <w:t xml:space="preserve">   （中标供应商名称）   </w:t>
      </w:r>
      <w:r>
        <w:rPr>
          <w:rFonts w:hint="eastAsia" w:asciiTheme="minorEastAsia" w:hAnsiTheme="minorEastAsia" w:eastAsiaTheme="minorEastAsia" w:cstheme="minorEastAsia"/>
          <w:color w:val="auto"/>
          <w:sz w:val="24"/>
        </w:rPr>
        <w:t>(以下简称：乙方)协商一致，约定以下合同条款，以兹共同遵守、全面履行。</w:t>
      </w:r>
    </w:p>
    <w:p w14:paraId="30E4FC31">
      <w:pPr>
        <w:spacing w:line="560" w:lineRule="exact"/>
        <w:ind w:firstLine="482" w:firstLineChars="200"/>
        <w:rPr>
          <w:rFonts w:asciiTheme="minorEastAsia" w:hAnsiTheme="minorEastAsia" w:eastAsiaTheme="minorEastAsia" w:cstheme="minorEastAsia"/>
          <w:color w:val="auto"/>
          <w:sz w:val="24"/>
        </w:rPr>
      </w:pPr>
      <w:bookmarkStart w:id="278" w:name="_Toc15367"/>
      <w:bookmarkStart w:id="279" w:name="_Toc19273"/>
      <w:bookmarkStart w:id="280" w:name="_Toc20421"/>
      <w:bookmarkStart w:id="281" w:name="_Toc22967"/>
      <w:bookmarkStart w:id="282" w:name="_Toc32457"/>
      <w:bookmarkStart w:id="283" w:name="_Toc28855"/>
      <w:r>
        <w:rPr>
          <w:rFonts w:hint="eastAsia" w:asciiTheme="minorEastAsia" w:hAnsiTheme="minorEastAsia" w:eastAsiaTheme="minorEastAsia" w:cstheme="minorEastAsia"/>
          <w:b/>
          <w:color w:val="auto"/>
          <w:sz w:val="24"/>
        </w:rPr>
        <w:t>1.1 合同组成部分</w:t>
      </w:r>
      <w:bookmarkEnd w:id="278"/>
      <w:bookmarkEnd w:id="279"/>
      <w:bookmarkEnd w:id="280"/>
      <w:bookmarkEnd w:id="281"/>
      <w:bookmarkEnd w:id="282"/>
      <w:bookmarkEnd w:id="283"/>
    </w:p>
    <w:p w14:paraId="3BA07A7F">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1FA19C4">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 本合同及其补充合同、变更协议；</w:t>
      </w:r>
    </w:p>
    <w:p w14:paraId="7E1C40E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 中标通知书；</w:t>
      </w:r>
    </w:p>
    <w:p w14:paraId="0845642F">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 投标文件（含澄清或者说明文件）；</w:t>
      </w:r>
    </w:p>
    <w:p w14:paraId="7D6D62C0">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1.1.4 招标文件（含澄清或者修改文件）；</w:t>
      </w:r>
    </w:p>
    <w:p w14:paraId="20F377DD">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1.1.5 其他相关采购文件。</w:t>
      </w:r>
    </w:p>
    <w:p w14:paraId="10198ED9">
      <w:pPr>
        <w:spacing w:line="560" w:lineRule="exact"/>
        <w:ind w:firstLine="482" w:firstLineChars="200"/>
        <w:rPr>
          <w:rFonts w:asciiTheme="minorEastAsia" w:hAnsiTheme="minorEastAsia" w:eastAsiaTheme="minorEastAsia" w:cstheme="minorEastAsia"/>
          <w:b/>
          <w:color w:val="auto"/>
          <w:sz w:val="24"/>
        </w:rPr>
      </w:pPr>
      <w:bookmarkStart w:id="284" w:name="_Toc22185"/>
      <w:bookmarkStart w:id="285" w:name="_Toc2918"/>
      <w:bookmarkStart w:id="286" w:name="_Toc18585"/>
      <w:bookmarkStart w:id="287" w:name="_Toc6773"/>
      <w:bookmarkStart w:id="288" w:name="_Toc6311"/>
      <w:bookmarkStart w:id="289" w:name="_Toc25080"/>
      <w:r>
        <w:rPr>
          <w:rFonts w:hint="eastAsia" w:asciiTheme="minorEastAsia" w:hAnsiTheme="minorEastAsia" w:eastAsiaTheme="minorEastAsia" w:cstheme="minorEastAsia"/>
          <w:b/>
          <w:color w:val="auto"/>
          <w:sz w:val="24"/>
        </w:rPr>
        <w:t>1.2 标的</w:t>
      </w:r>
      <w:bookmarkEnd w:id="284"/>
      <w:bookmarkEnd w:id="285"/>
      <w:bookmarkEnd w:id="286"/>
      <w:bookmarkEnd w:id="287"/>
      <w:bookmarkEnd w:id="288"/>
      <w:bookmarkEnd w:id="289"/>
    </w:p>
    <w:p w14:paraId="0FECE036">
      <w:pPr>
        <w:spacing w:line="560" w:lineRule="exact"/>
        <w:ind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1.2.1 标的名称：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4DC743E8">
      <w:pPr>
        <w:spacing w:line="560" w:lineRule="exact"/>
        <w:ind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1.2.2 标的数量：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1C1D85A3">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1.2.3 标的质量：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2EFD8904">
      <w:pPr>
        <w:spacing w:line="560" w:lineRule="exact"/>
        <w:ind w:firstLine="482" w:firstLineChars="200"/>
        <w:rPr>
          <w:rFonts w:asciiTheme="minorEastAsia" w:hAnsiTheme="minorEastAsia" w:eastAsiaTheme="minorEastAsia" w:cstheme="minorEastAsia"/>
          <w:b/>
          <w:color w:val="auto"/>
          <w:sz w:val="24"/>
        </w:rPr>
      </w:pPr>
      <w:bookmarkStart w:id="290" w:name="_Toc4929"/>
      <w:bookmarkStart w:id="291" w:name="_Toc13918"/>
      <w:bookmarkStart w:id="292" w:name="_Toc1386"/>
      <w:bookmarkStart w:id="293" w:name="_Toc16362"/>
      <w:bookmarkStart w:id="294" w:name="_Toc21124"/>
      <w:bookmarkStart w:id="295" w:name="_Toc5635"/>
      <w:r>
        <w:rPr>
          <w:rFonts w:hint="eastAsia" w:asciiTheme="minorEastAsia" w:hAnsiTheme="minorEastAsia" w:eastAsiaTheme="minorEastAsia" w:cstheme="minorEastAsia"/>
          <w:b/>
          <w:color w:val="auto"/>
          <w:sz w:val="24"/>
        </w:rPr>
        <w:t>1.3 价款</w:t>
      </w:r>
      <w:bookmarkEnd w:id="290"/>
      <w:bookmarkEnd w:id="291"/>
      <w:bookmarkEnd w:id="292"/>
      <w:bookmarkEnd w:id="293"/>
      <w:bookmarkEnd w:id="294"/>
      <w:bookmarkEnd w:id="295"/>
    </w:p>
    <w:p w14:paraId="2B1E4D29">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本合同总价为：￥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元（大写：</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元人民币）。</w:t>
      </w:r>
    </w:p>
    <w:p w14:paraId="1E8C6690">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分项价格：</w:t>
      </w:r>
    </w:p>
    <w:p w14:paraId="0B051225">
      <w:pPr>
        <w:pStyle w:val="7"/>
        <w:ind w:firstLine="480"/>
        <w:rPr>
          <w:rFonts w:asciiTheme="minorEastAsia" w:hAnsiTheme="minorEastAsia" w:eastAsiaTheme="minorEastAsia" w:cstheme="minorEastAsia"/>
          <w:color w:val="auto"/>
          <w:sz w:val="24"/>
        </w:rPr>
      </w:pPr>
    </w:p>
    <w:p w14:paraId="4EBFF11F">
      <w:pPr>
        <w:rPr>
          <w:color w:val="auto"/>
        </w:rPr>
      </w:pP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79D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4D5BF0E">
            <w:pPr>
              <w:pStyle w:val="33"/>
              <w:spacing w:line="5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402" w:type="dxa"/>
            <w:vAlign w:val="center"/>
          </w:tcPr>
          <w:p w14:paraId="2551B9C3">
            <w:pPr>
              <w:pStyle w:val="33"/>
              <w:spacing w:line="560" w:lineRule="exact"/>
              <w:ind w:firstLine="20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分项名称</w:t>
            </w:r>
          </w:p>
        </w:tc>
        <w:tc>
          <w:tcPr>
            <w:tcW w:w="2552" w:type="dxa"/>
            <w:vAlign w:val="center"/>
          </w:tcPr>
          <w:p w14:paraId="598CC20A">
            <w:pPr>
              <w:pStyle w:val="33"/>
              <w:spacing w:line="5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分项价格</w:t>
            </w:r>
          </w:p>
        </w:tc>
      </w:tr>
      <w:tr w14:paraId="245C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2673AA">
            <w:pPr>
              <w:pStyle w:val="33"/>
              <w:spacing w:line="560" w:lineRule="exact"/>
              <w:ind w:firstLine="200"/>
              <w:jc w:val="center"/>
              <w:rPr>
                <w:rFonts w:asciiTheme="minorEastAsia" w:hAnsiTheme="minorEastAsia" w:eastAsiaTheme="minorEastAsia" w:cstheme="minorEastAsia"/>
                <w:color w:val="auto"/>
                <w:sz w:val="24"/>
                <w:szCs w:val="24"/>
              </w:rPr>
            </w:pPr>
          </w:p>
        </w:tc>
        <w:tc>
          <w:tcPr>
            <w:tcW w:w="3402" w:type="dxa"/>
            <w:vAlign w:val="center"/>
          </w:tcPr>
          <w:p w14:paraId="299CDF31">
            <w:pPr>
              <w:pStyle w:val="33"/>
              <w:spacing w:line="560" w:lineRule="exact"/>
              <w:ind w:firstLine="200"/>
              <w:jc w:val="center"/>
              <w:rPr>
                <w:rFonts w:asciiTheme="minorEastAsia" w:hAnsiTheme="minorEastAsia" w:eastAsiaTheme="minorEastAsia" w:cstheme="minorEastAsia"/>
                <w:color w:val="auto"/>
                <w:sz w:val="24"/>
                <w:szCs w:val="24"/>
              </w:rPr>
            </w:pPr>
          </w:p>
        </w:tc>
        <w:tc>
          <w:tcPr>
            <w:tcW w:w="2552" w:type="dxa"/>
            <w:vAlign w:val="center"/>
          </w:tcPr>
          <w:p w14:paraId="55DF7457">
            <w:pPr>
              <w:pStyle w:val="33"/>
              <w:spacing w:line="560" w:lineRule="exact"/>
              <w:ind w:firstLine="200"/>
              <w:jc w:val="center"/>
              <w:rPr>
                <w:rFonts w:asciiTheme="minorEastAsia" w:hAnsiTheme="minorEastAsia" w:eastAsiaTheme="minorEastAsia" w:cstheme="minorEastAsia"/>
                <w:color w:val="auto"/>
                <w:sz w:val="24"/>
                <w:szCs w:val="24"/>
              </w:rPr>
            </w:pPr>
          </w:p>
        </w:tc>
      </w:tr>
      <w:tr w14:paraId="486F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8403751">
            <w:pPr>
              <w:pStyle w:val="33"/>
              <w:spacing w:line="560" w:lineRule="exact"/>
              <w:ind w:firstLine="200"/>
              <w:jc w:val="center"/>
              <w:rPr>
                <w:rFonts w:asciiTheme="minorEastAsia" w:hAnsiTheme="minorEastAsia" w:eastAsiaTheme="minorEastAsia" w:cstheme="minorEastAsia"/>
                <w:color w:val="auto"/>
                <w:sz w:val="24"/>
                <w:szCs w:val="24"/>
              </w:rPr>
            </w:pPr>
          </w:p>
        </w:tc>
        <w:tc>
          <w:tcPr>
            <w:tcW w:w="3402" w:type="dxa"/>
            <w:vAlign w:val="center"/>
          </w:tcPr>
          <w:p w14:paraId="01C13E9C">
            <w:pPr>
              <w:pStyle w:val="33"/>
              <w:spacing w:line="560" w:lineRule="exact"/>
              <w:ind w:firstLine="200"/>
              <w:jc w:val="center"/>
              <w:rPr>
                <w:rFonts w:asciiTheme="minorEastAsia" w:hAnsiTheme="minorEastAsia" w:eastAsiaTheme="minorEastAsia" w:cstheme="minorEastAsia"/>
                <w:color w:val="auto"/>
                <w:sz w:val="24"/>
                <w:szCs w:val="24"/>
              </w:rPr>
            </w:pPr>
          </w:p>
        </w:tc>
        <w:tc>
          <w:tcPr>
            <w:tcW w:w="2552" w:type="dxa"/>
            <w:vAlign w:val="center"/>
          </w:tcPr>
          <w:p w14:paraId="0DF27EC1">
            <w:pPr>
              <w:pStyle w:val="33"/>
              <w:spacing w:line="560" w:lineRule="exact"/>
              <w:ind w:firstLine="200"/>
              <w:jc w:val="center"/>
              <w:rPr>
                <w:rFonts w:asciiTheme="minorEastAsia" w:hAnsiTheme="minorEastAsia" w:eastAsiaTheme="minorEastAsia" w:cstheme="minorEastAsia"/>
                <w:color w:val="auto"/>
                <w:sz w:val="24"/>
                <w:szCs w:val="24"/>
              </w:rPr>
            </w:pPr>
          </w:p>
        </w:tc>
      </w:tr>
      <w:tr w14:paraId="399E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23D11E">
            <w:pPr>
              <w:pStyle w:val="33"/>
              <w:spacing w:line="560" w:lineRule="exact"/>
              <w:ind w:firstLine="200"/>
              <w:jc w:val="center"/>
              <w:rPr>
                <w:rFonts w:asciiTheme="minorEastAsia" w:hAnsiTheme="minorEastAsia" w:eastAsiaTheme="minorEastAsia" w:cstheme="minorEastAsia"/>
                <w:color w:val="auto"/>
                <w:sz w:val="24"/>
                <w:szCs w:val="24"/>
              </w:rPr>
            </w:pPr>
          </w:p>
        </w:tc>
        <w:tc>
          <w:tcPr>
            <w:tcW w:w="3402" w:type="dxa"/>
            <w:vAlign w:val="center"/>
          </w:tcPr>
          <w:p w14:paraId="5898D2D3">
            <w:pPr>
              <w:pStyle w:val="33"/>
              <w:spacing w:line="560" w:lineRule="exact"/>
              <w:ind w:firstLine="200"/>
              <w:jc w:val="center"/>
              <w:rPr>
                <w:rFonts w:asciiTheme="minorEastAsia" w:hAnsiTheme="minorEastAsia" w:eastAsiaTheme="minorEastAsia" w:cstheme="minorEastAsia"/>
                <w:color w:val="auto"/>
                <w:sz w:val="24"/>
                <w:szCs w:val="24"/>
              </w:rPr>
            </w:pPr>
          </w:p>
        </w:tc>
        <w:tc>
          <w:tcPr>
            <w:tcW w:w="2552" w:type="dxa"/>
            <w:vAlign w:val="center"/>
          </w:tcPr>
          <w:p w14:paraId="3999ADF0">
            <w:pPr>
              <w:pStyle w:val="33"/>
              <w:spacing w:line="560" w:lineRule="exact"/>
              <w:ind w:firstLine="200"/>
              <w:jc w:val="center"/>
              <w:rPr>
                <w:rFonts w:asciiTheme="minorEastAsia" w:hAnsiTheme="minorEastAsia" w:eastAsiaTheme="minorEastAsia" w:cstheme="minorEastAsia"/>
                <w:color w:val="auto"/>
                <w:sz w:val="24"/>
                <w:szCs w:val="24"/>
              </w:rPr>
            </w:pPr>
          </w:p>
        </w:tc>
      </w:tr>
      <w:tr w14:paraId="7844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160F9B">
            <w:pPr>
              <w:pStyle w:val="33"/>
              <w:spacing w:line="560" w:lineRule="exact"/>
              <w:ind w:firstLine="200"/>
              <w:jc w:val="center"/>
              <w:rPr>
                <w:rFonts w:asciiTheme="minorEastAsia" w:hAnsiTheme="minorEastAsia" w:eastAsiaTheme="minorEastAsia" w:cstheme="minorEastAsia"/>
                <w:color w:val="auto"/>
                <w:sz w:val="24"/>
                <w:szCs w:val="24"/>
              </w:rPr>
            </w:pPr>
          </w:p>
        </w:tc>
        <w:tc>
          <w:tcPr>
            <w:tcW w:w="3402" w:type="dxa"/>
            <w:vAlign w:val="center"/>
          </w:tcPr>
          <w:p w14:paraId="144F4842">
            <w:pPr>
              <w:pStyle w:val="33"/>
              <w:spacing w:line="560" w:lineRule="exact"/>
              <w:ind w:firstLine="200"/>
              <w:jc w:val="center"/>
              <w:rPr>
                <w:rFonts w:asciiTheme="minorEastAsia" w:hAnsiTheme="minorEastAsia" w:eastAsiaTheme="minorEastAsia" w:cstheme="minorEastAsia"/>
                <w:color w:val="auto"/>
                <w:sz w:val="24"/>
                <w:szCs w:val="24"/>
              </w:rPr>
            </w:pPr>
          </w:p>
        </w:tc>
        <w:tc>
          <w:tcPr>
            <w:tcW w:w="2552" w:type="dxa"/>
            <w:vAlign w:val="center"/>
          </w:tcPr>
          <w:p w14:paraId="3231220F">
            <w:pPr>
              <w:pStyle w:val="33"/>
              <w:spacing w:line="560" w:lineRule="exact"/>
              <w:ind w:firstLine="200"/>
              <w:jc w:val="center"/>
              <w:rPr>
                <w:rFonts w:asciiTheme="minorEastAsia" w:hAnsiTheme="minorEastAsia" w:eastAsiaTheme="minorEastAsia" w:cstheme="minorEastAsia"/>
                <w:color w:val="auto"/>
                <w:sz w:val="24"/>
                <w:szCs w:val="24"/>
              </w:rPr>
            </w:pPr>
          </w:p>
        </w:tc>
      </w:tr>
      <w:tr w14:paraId="647B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7BC4468">
            <w:pPr>
              <w:pStyle w:val="33"/>
              <w:spacing w:line="560" w:lineRule="exact"/>
              <w:ind w:firstLine="200"/>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tc>
        <w:tc>
          <w:tcPr>
            <w:tcW w:w="2552" w:type="dxa"/>
            <w:vAlign w:val="center"/>
          </w:tcPr>
          <w:p w14:paraId="6057A403">
            <w:pPr>
              <w:pStyle w:val="33"/>
              <w:spacing w:line="560" w:lineRule="exact"/>
              <w:ind w:firstLine="200"/>
              <w:jc w:val="center"/>
              <w:rPr>
                <w:rFonts w:asciiTheme="minorEastAsia" w:hAnsiTheme="minorEastAsia" w:eastAsiaTheme="minorEastAsia" w:cstheme="minorEastAsia"/>
                <w:color w:val="auto"/>
                <w:sz w:val="24"/>
                <w:szCs w:val="24"/>
              </w:rPr>
            </w:pPr>
          </w:p>
        </w:tc>
      </w:tr>
    </w:tbl>
    <w:p w14:paraId="37C53512">
      <w:pPr>
        <w:spacing w:line="560" w:lineRule="exact"/>
        <w:ind w:firstLine="482" w:firstLineChars="200"/>
        <w:rPr>
          <w:rFonts w:asciiTheme="minorEastAsia" w:hAnsiTheme="minorEastAsia" w:eastAsiaTheme="minorEastAsia" w:cstheme="minorEastAsia"/>
          <w:b/>
          <w:color w:val="auto"/>
          <w:sz w:val="24"/>
        </w:rPr>
      </w:pPr>
      <w:bookmarkStart w:id="296" w:name="_Toc30506"/>
      <w:bookmarkStart w:id="297" w:name="_Toc26916"/>
      <w:bookmarkStart w:id="298" w:name="_Toc3654"/>
      <w:bookmarkStart w:id="299" w:name="_Toc29382"/>
      <w:bookmarkStart w:id="300" w:name="_Toc14993"/>
      <w:bookmarkStart w:id="301" w:name="_Toc30158"/>
      <w:r>
        <w:rPr>
          <w:rFonts w:hint="eastAsia" w:asciiTheme="minorEastAsia" w:hAnsiTheme="minorEastAsia" w:eastAsiaTheme="minorEastAsia" w:cstheme="minorEastAsia"/>
          <w:b/>
          <w:color w:val="auto"/>
          <w:sz w:val="24"/>
        </w:rPr>
        <w:t>1.4 付款方式和发票开具方式</w:t>
      </w:r>
      <w:bookmarkEnd w:id="296"/>
      <w:bookmarkEnd w:id="297"/>
      <w:bookmarkEnd w:id="298"/>
      <w:bookmarkEnd w:id="299"/>
      <w:bookmarkEnd w:id="300"/>
      <w:bookmarkEnd w:id="301"/>
    </w:p>
    <w:p w14:paraId="7520A578">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1.4.1付款方式：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rPr>
        <w:t xml:space="preserve">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03CCD8B6">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 发票开具方式：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B493A66">
      <w:pPr>
        <w:spacing w:line="560" w:lineRule="exact"/>
        <w:ind w:firstLine="482" w:firstLineChars="200"/>
        <w:rPr>
          <w:rFonts w:asciiTheme="minorEastAsia" w:hAnsiTheme="minorEastAsia" w:eastAsiaTheme="minorEastAsia" w:cstheme="minorEastAsia"/>
          <w:b/>
          <w:color w:val="auto"/>
          <w:sz w:val="24"/>
        </w:rPr>
      </w:pPr>
      <w:bookmarkStart w:id="302" w:name="_Toc31421"/>
      <w:bookmarkStart w:id="303" w:name="_Toc11108"/>
      <w:bookmarkStart w:id="304" w:name="_Toc8772"/>
      <w:bookmarkStart w:id="305" w:name="_Toc2699"/>
      <w:bookmarkStart w:id="306" w:name="_Toc4760"/>
      <w:bookmarkStart w:id="307" w:name="_Toc3625"/>
      <w:r>
        <w:rPr>
          <w:rFonts w:hint="eastAsia" w:asciiTheme="minorEastAsia" w:hAnsiTheme="minorEastAsia" w:eastAsiaTheme="minorEastAsia" w:cstheme="minorEastAsia"/>
          <w:b/>
          <w:color w:val="auto"/>
          <w:sz w:val="24"/>
        </w:rPr>
        <w:t>1.5 履行期限、地点和方式</w:t>
      </w:r>
      <w:bookmarkEnd w:id="302"/>
      <w:bookmarkEnd w:id="303"/>
      <w:bookmarkEnd w:id="304"/>
      <w:bookmarkEnd w:id="305"/>
      <w:bookmarkEnd w:id="306"/>
      <w:bookmarkEnd w:id="307"/>
    </w:p>
    <w:p w14:paraId="596E1B88">
      <w:pPr>
        <w:spacing w:line="560" w:lineRule="exact"/>
        <w:ind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1.5.1 履行期限：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09555800">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1.5.2 履行地点：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47C843EC">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1.5.3 履行方式：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03841ED4">
      <w:pPr>
        <w:spacing w:line="560" w:lineRule="exact"/>
        <w:ind w:firstLine="482" w:firstLineChars="200"/>
        <w:rPr>
          <w:rFonts w:asciiTheme="minorEastAsia" w:hAnsiTheme="minorEastAsia" w:eastAsiaTheme="minorEastAsia" w:cstheme="minorEastAsia"/>
          <w:color w:val="auto"/>
          <w:sz w:val="24"/>
          <w:u w:val="single"/>
        </w:rPr>
      </w:pPr>
      <w:bookmarkStart w:id="308" w:name="_Toc24662"/>
      <w:bookmarkStart w:id="309" w:name="_Toc8586"/>
      <w:bookmarkStart w:id="310" w:name="_Toc3079"/>
      <w:bookmarkStart w:id="311" w:name="_Toc5698"/>
      <w:bookmarkStart w:id="312" w:name="_Toc12005"/>
      <w:bookmarkStart w:id="313" w:name="_Toc2375"/>
      <w:r>
        <w:rPr>
          <w:rFonts w:hint="eastAsia" w:asciiTheme="minorEastAsia" w:hAnsiTheme="minorEastAsia" w:eastAsiaTheme="minorEastAsia" w:cstheme="minorEastAsia"/>
          <w:b/>
          <w:color w:val="auto"/>
          <w:sz w:val="24"/>
        </w:rPr>
        <w:t>1.6 违约责任</w:t>
      </w:r>
      <w:bookmarkEnd w:id="308"/>
      <w:bookmarkEnd w:id="309"/>
      <w:bookmarkEnd w:id="310"/>
      <w:bookmarkEnd w:id="311"/>
      <w:bookmarkEnd w:id="312"/>
      <w:bookmarkEnd w:id="313"/>
    </w:p>
    <w:p w14:paraId="44CFB91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%计算，最高限额为本合同总价的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%；迟延履行的违约金计算数额达到前述最高限额之日起，甲方有权在要求乙方支付违约金的同时，书面通知乙方解除本合同；</w:t>
      </w:r>
    </w:p>
    <w:p w14:paraId="025F7E4A">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%计算，最高限额为本合同总价的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%；迟延付款的违约金计算数额达到前述最高限额之日起，乙方有权在要求甲方支付违约金的同时，书面通知甲方解除本合同；</w:t>
      </w:r>
    </w:p>
    <w:p w14:paraId="01897EF9">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E953EBD">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F482C0">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FC1E75D">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0A5B3089">
      <w:pPr>
        <w:spacing w:line="560" w:lineRule="exact"/>
        <w:ind w:firstLine="482" w:firstLineChars="200"/>
        <w:rPr>
          <w:rFonts w:asciiTheme="minorEastAsia" w:hAnsiTheme="minorEastAsia" w:eastAsiaTheme="minorEastAsia" w:cstheme="minorEastAsia"/>
          <w:b/>
          <w:color w:val="auto"/>
          <w:sz w:val="24"/>
        </w:rPr>
      </w:pPr>
      <w:bookmarkStart w:id="314" w:name="_Toc18683"/>
      <w:bookmarkStart w:id="315" w:name="_Toc30329"/>
      <w:bookmarkStart w:id="316" w:name="_Toc26807"/>
      <w:bookmarkStart w:id="317" w:name="_Toc18632"/>
      <w:bookmarkStart w:id="318" w:name="_Toc9497"/>
      <w:bookmarkStart w:id="319" w:name="_Toc32454"/>
      <w:r>
        <w:rPr>
          <w:rFonts w:hint="eastAsia" w:asciiTheme="minorEastAsia" w:hAnsiTheme="minorEastAsia" w:eastAsiaTheme="minorEastAsia" w:cstheme="minorEastAsia"/>
          <w:b/>
          <w:color w:val="auto"/>
          <w:sz w:val="24"/>
        </w:rPr>
        <w:t>1.7 合同争议的解决</w:t>
      </w:r>
      <w:bookmarkEnd w:id="314"/>
      <w:bookmarkEnd w:id="315"/>
      <w:bookmarkEnd w:id="316"/>
      <w:bookmarkEnd w:id="317"/>
      <w:bookmarkEnd w:id="318"/>
      <w:bookmarkEnd w:id="319"/>
    </w:p>
    <w:p w14:paraId="6C0123F6">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种方式解决：</w:t>
      </w:r>
    </w:p>
    <w:p w14:paraId="6C02633D">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1.7.1 将争议提交</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仲裁委员会依申请仲裁时其现行有效的仲裁规则裁决；</w:t>
      </w:r>
    </w:p>
    <w:p w14:paraId="305CE8CD">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1.7.2 向</w:t>
      </w:r>
      <w:r>
        <w:rPr>
          <w:rFonts w:hint="eastAsia" w:asciiTheme="minorEastAsia" w:hAnsiTheme="minorEastAsia" w:eastAsiaTheme="minorEastAsia" w:cstheme="minorEastAsia"/>
          <w:color w:val="auto"/>
          <w:sz w:val="24"/>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z w:val="24"/>
        </w:rPr>
        <w:t>人民法院起诉。</w:t>
      </w:r>
    </w:p>
    <w:p w14:paraId="70C9D3F4">
      <w:pPr>
        <w:spacing w:line="560" w:lineRule="exact"/>
        <w:ind w:firstLine="482" w:firstLineChars="200"/>
        <w:rPr>
          <w:rFonts w:asciiTheme="minorEastAsia" w:hAnsiTheme="minorEastAsia" w:eastAsiaTheme="minorEastAsia" w:cstheme="minorEastAsia"/>
          <w:b/>
          <w:color w:val="auto"/>
          <w:sz w:val="24"/>
        </w:rPr>
      </w:pPr>
      <w:bookmarkStart w:id="320" w:name="_Toc26227"/>
      <w:bookmarkStart w:id="321" w:name="_Toc16417"/>
      <w:bookmarkStart w:id="322" w:name="_Toc12273"/>
      <w:bookmarkStart w:id="323" w:name="_Toc15827"/>
      <w:bookmarkStart w:id="324" w:name="_Toc23784"/>
      <w:bookmarkStart w:id="325" w:name="_Toc18551"/>
      <w:r>
        <w:rPr>
          <w:rFonts w:hint="eastAsia" w:asciiTheme="minorEastAsia" w:hAnsiTheme="minorEastAsia" w:eastAsiaTheme="minorEastAsia" w:cstheme="minorEastAsia"/>
          <w:b/>
          <w:color w:val="auto"/>
          <w:sz w:val="24"/>
        </w:rPr>
        <w:t>1.8 合同生效</w:t>
      </w:r>
      <w:bookmarkEnd w:id="320"/>
      <w:bookmarkEnd w:id="321"/>
      <w:bookmarkEnd w:id="322"/>
      <w:bookmarkEnd w:id="323"/>
      <w:bookmarkEnd w:id="324"/>
      <w:bookmarkEnd w:id="325"/>
    </w:p>
    <w:p w14:paraId="7E0C8DE4">
      <w:pPr>
        <w:spacing w:line="560" w:lineRule="exac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本合同自双方当事人盖章或者签字时生效。</w:t>
      </w:r>
    </w:p>
    <w:p w14:paraId="7581FC25">
      <w:pPr>
        <w:adjustRightInd w:val="0"/>
        <w:spacing w:line="560" w:lineRule="exact"/>
        <w:rPr>
          <w:rFonts w:asciiTheme="minorEastAsia" w:hAnsiTheme="minorEastAsia" w:eastAsiaTheme="minorEastAsia" w:cstheme="minorEastAsia"/>
          <w:color w:val="auto"/>
          <w:sz w:val="24"/>
        </w:rPr>
      </w:pPr>
    </w:p>
    <w:p w14:paraId="7E7539CD">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甲方</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b/>
          <w:color w:val="auto"/>
          <w:sz w:val="24"/>
        </w:rPr>
        <w:t xml:space="preserve">      乙方</w:t>
      </w:r>
      <w:r>
        <w:rPr>
          <w:rFonts w:hint="eastAsia" w:asciiTheme="minorEastAsia" w:hAnsiTheme="minorEastAsia" w:eastAsiaTheme="minorEastAsia" w:cstheme="minorEastAsia"/>
          <w:color w:val="auto"/>
          <w:sz w:val="24"/>
        </w:rPr>
        <w:t>：</w:t>
      </w:r>
    </w:p>
    <w:p w14:paraId="29CA20D7">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统一社会信用代码：                        统一社会信用代码或身份证号码：</w:t>
      </w:r>
    </w:p>
    <w:p w14:paraId="0695145B">
      <w:pPr>
        <w:adjustRightInd w:val="0"/>
        <w:spacing w:line="560" w:lineRule="exact"/>
        <w:rPr>
          <w:rFonts w:asciiTheme="minorEastAsia" w:hAnsiTheme="minorEastAsia" w:eastAsiaTheme="minorEastAsia" w:cstheme="minorEastAsia"/>
          <w:color w:val="auto"/>
          <w:sz w:val="24"/>
        </w:rPr>
      </w:pPr>
    </w:p>
    <w:p w14:paraId="66211E3B">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住所：                                   住所：</w:t>
      </w:r>
    </w:p>
    <w:p w14:paraId="47A27180">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                             法定代表人</w:t>
      </w:r>
    </w:p>
    <w:p w14:paraId="5CC4AA09">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授权代表（签字）：                        或授权代表（签字）: </w:t>
      </w:r>
    </w:p>
    <w:p w14:paraId="3908089B">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                                 联系人：</w:t>
      </w:r>
    </w:p>
    <w:p w14:paraId="77D8011D">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约定送达地址：                           约定送达地址：</w:t>
      </w:r>
    </w:p>
    <w:p w14:paraId="37AA8112">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                               邮政编码：</w:t>
      </w:r>
    </w:p>
    <w:p w14:paraId="2E6A2948">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电话:                                    电话: </w:t>
      </w:r>
    </w:p>
    <w:p w14:paraId="5D68D981">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                                    传真:</w:t>
      </w:r>
    </w:p>
    <w:p w14:paraId="5C43B8C2">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                               电子邮箱：</w:t>
      </w:r>
    </w:p>
    <w:p w14:paraId="1C98F3DE">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开户银行：                               开户银行： </w:t>
      </w:r>
    </w:p>
    <w:p w14:paraId="70C26B12">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开户名称：                               开户名称： </w:t>
      </w:r>
    </w:p>
    <w:p w14:paraId="5FE3FCC8">
      <w:pPr>
        <w:adjustRightInd w:val="0"/>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开户账号：                               开户账号：</w:t>
      </w:r>
    </w:p>
    <w:p w14:paraId="3C632026">
      <w:pPr>
        <w:widowControl/>
        <w:spacing w:line="560" w:lineRule="exact"/>
        <w:rPr>
          <w:rFonts w:asciiTheme="minorEastAsia" w:hAnsiTheme="minorEastAsia" w:eastAsiaTheme="minorEastAsia" w:cstheme="minorEastAsia"/>
          <w:b/>
          <w:color w:val="auto"/>
        </w:rPr>
      </w:pPr>
      <w:bookmarkStart w:id="326" w:name="_Toc331685783"/>
    </w:p>
    <w:p w14:paraId="5EE7D374">
      <w:pPr>
        <w:widowControl/>
        <w:spacing w:line="560" w:lineRule="exact"/>
        <w:rPr>
          <w:rFonts w:asciiTheme="minorEastAsia" w:hAnsiTheme="minorEastAsia" w:eastAsiaTheme="minorEastAsia" w:cstheme="minorEastAsia"/>
          <w:b/>
          <w:color w:val="auto"/>
          <w:sz w:val="24"/>
        </w:rPr>
      </w:pPr>
    </w:p>
    <w:p w14:paraId="0D392BF4">
      <w:pPr>
        <w:pStyle w:val="31"/>
        <w:spacing w:line="560" w:lineRule="exact"/>
        <w:ind w:firstLine="200"/>
        <w:jc w:val="center"/>
        <w:rPr>
          <w:rFonts w:asciiTheme="minorEastAsia" w:hAnsiTheme="minorEastAsia" w:eastAsiaTheme="minorEastAsia" w:cstheme="minorEastAsia"/>
          <w:b/>
          <w:color w:val="auto"/>
          <w:szCs w:val="24"/>
        </w:rPr>
        <w:sectPr>
          <w:footerReference r:id="rId10" w:type="default"/>
          <w:pgSz w:w="11910" w:h="16840"/>
          <w:pgMar w:top="1134" w:right="1134" w:bottom="1134" w:left="1134" w:header="878" w:footer="1052" w:gutter="0"/>
          <w:pgBorders>
            <w:top w:val="none" w:sz="0" w:space="0"/>
            <w:left w:val="none" w:sz="0" w:space="0"/>
            <w:bottom w:val="none" w:sz="0" w:space="0"/>
            <w:right w:val="none" w:sz="0" w:space="0"/>
          </w:pgBorders>
          <w:pgNumType w:fmt="decimal"/>
          <w:cols w:equalWidth="0" w:num="1">
            <w:col w:w="10590"/>
          </w:cols>
        </w:sectPr>
      </w:pPr>
    </w:p>
    <w:p w14:paraId="753A3BAC">
      <w:pPr>
        <w:pStyle w:val="31"/>
        <w:spacing w:line="560" w:lineRule="exact"/>
        <w:ind w:firstLine="200"/>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第二部分 合同一般条款</w:t>
      </w:r>
      <w:bookmarkEnd w:id="326"/>
    </w:p>
    <w:p w14:paraId="3CF5BFB7">
      <w:pPr>
        <w:spacing w:line="560" w:lineRule="exact"/>
        <w:ind w:firstLine="482" w:firstLineChars="200"/>
        <w:rPr>
          <w:rFonts w:asciiTheme="minorEastAsia" w:hAnsiTheme="minorEastAsia" w:eastAsiaTheme="minorEastAsia" w:cstheme="minorEastAsia"/>
          <w:b/>
          <w:color w:val="auto"/>
          <w:sz w:val="24"/>
        </w:rPr>
      </w:pPr>
      <w:bookmarkStart w:id="327" w:name="_Toc19680"/>
      <w:bookmarkStart w:id="328" w:name="_Ref467378499"/>
      <w:bookmarkStart w:id="329" w:name="_Ref467379101"/>
      <w:bookmarkStart w:id="330" w:name="_Ref467379109"/>
      <w:bookmarkStart w:id="331" w:name="_Ref467379205"/>
      <w:bookmarkStart w:id="332" w:name="_Ref467379195"/>
      <w:bookmarkStart w:id="333" w:name="_Toc25079"/>
      <w:bookmarkStart w:id="334" w:name="_Ref467379225"/>
      <w:bookmarkStart w:id="335" w:name="_Ref467379214"/>
      <w:bookmarkStart w:id="336" w:name="_Toc259093669"/>
      <w:bookmarkStart w:id="337" w:name="_Toc31443"/>
      <w:bookmarkStart w:id="338" w:name="_Toc487900349"/>
      <w:bookmarkStart w:id="339" w:name="_Toc14021"/>
      <w:bookmarkStart w:id="340" w:name="_Toc5228"/>
      <w:bookmarkStart w:id="341" w:name="_Toc279701240"/>
      <w:bookmarkStart w:id="342" w:name="_Toc31297"/>
      <w:bookmarkStart w:id="343" w:name="_Ref467378404"/>
      <w:bookmarkStart w:id="344" w:name="_Ref467378463"/>
      <w:bookmarkStart w:id="345" w:name="_Ref467379094"/>
      <w:r>
        <w:rPr>
          <w:rFonts w:hint="eastAsia" w:asciiTheme="minorEastAsia" w:hAnsiTheme="minorEastAsia" w:eastAsiaTheme="minorEastAsia" w:cstheme="minorEastAsia"/>
          <w:b/>
          <w:color w:val="auto"/>
          <w:sz w:val="24"/>
        </w:rPr>
        <w:t>2.1 定义</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EC174DC">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本合同中的下列词语应按以下内容进行解释：</w:t>
      </w:r>
    </w:p>
    <w:p w14:paraId="30C42FF3">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“合同”系指采购人和中标供应商签订的载明双方当事人所达成的协议，并包括所有的附件、附录和构成合同的其他文件。</w:t>
      </w:r>
    </w:p>
    <w:p w14:paraId="4E544B2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 “合同价”系指根据合同约定，中标供应商在完全履行合同义务后，采购人应支付给中标供应商的价格。</w:t>
      </w:r>
    </w:p>
    <w:p w14:paraId="5D6531F5">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 “服务”系指中标供应商根据合同约定应向采购人履行的除货物和工程以外的其他政府采购对象，包括采购人自身需要的服务和向社会公众提供的公共服务。</w:t>
      </w:r>
    </w:p>
    <w:p w14:paraId="38466DDD">
      <w:pPr>
        <w:spacing w:line="560" w:lineRule="exact"/>
        <w:ind w:firstLine="480" w:firstLineChars="200"/>
        <w:rPr>
          <w:rFonts w:asciiTheme="minorEastAsia" w:hAnsiTheme="minorEastAsia" w:eastAsiaTheme="minorEastAsia" w:cstheme="minorEastAsia"/>
          <w:color w:val="auto"/>
          <w:sz w:val="24"/>
        </w:rPr>
      </w:pPr>
      <w:bookmarkStart w:id="346" w:name="_Ref467378840"/>
      <w:r>
        <w:rPr>
          <w:rFonts w:hint="eastAsia" w:asciiTheme="minorEastAsia" w:hAnsiTheme="minorEastAsia" w:eastAsiaTheme="minorEastAsia" w:cstheme="minorEastAsia"/>
          <w:color w:val="auto"/>
          <w:sz w:val="24"/>
        </w:rPr>
        <w:t>2.1.4 “甲方”系指与中标供应商签署合同的采购人</w:t>
      </w:r>
      <w:bookmarkEnd w:id="346"/>
      <w:r>
        <w:rPr>
          <w:rFonts w:hint="eastAsia" w:asciiTheme="minorEastAsia" w:hAnsiTheme="minorEastAsia" w:eastAsiaTheme="minorEastAsia" w:cstheme="minorEastAsia"/>
          <w:color w:val="auto"/>
          <w:sz w:val="24"/>
        </w:rPr>
        <w:t>；采购人委托采购代理机构代表其与乙方签订合同的，采购人的授权委托书作为合同附件。</w:t>
      </w:r>
    </w:p>
    <w:p w14:paraId="056C62CB">
      <w:pPr>
        <w:spacing w:line="560" w:lineRule="exact"/>
        <w:ind w:firstLine="480" w:firstLineChars="200"/>
        <w:rPr>
          <w:rFonts w:asciiTheme="minorEastAsia" w:hAnsiTheme="minorEastAsia" w:eastAsiaTheme="minorEastAsia" w:cstheme="minorEastAsia"/>
          <w:color w:val="auto"/>
          <w:sz w:val="24"/>
        </w:rPr>
      </w:pPr>
      <w:bookmarkStart w:id="347" w:name="_Ref467379400"/>
      <w:r>
        <w:rPr>
          <w:rFonts w:hint="eastAsia" w:asciiTheme="minorEastAsia" w:hAnsiTheme="minorEastAsia" w:eastAsiaTheme="minorEastAsia" w:cstheme="minorEastAsia"/>
          <w:color w:val="auto"/>
          <w:sz w:val="24"/>
        </w:rPr>
        <w:t>2.1.5 “乙方”系指根据合同约定提供服务的中标供应商</w:t>
      </w:r>
      <w:bookmarkEnd w:id="347"/>
      <w:r>
        <w:rPr>
          <w:rFonts w:hint="eastAsia" w:asciiTheme="minorEastAsia" w:hAnsiTheme="minorEastAsia" w:eastAsiaTheme="minorEastAsia" w:cstheme="minorEastAsia"/>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8903F6C">
      <w:pPr>
        <w:spacing w:line="560" w:lineRule="exact"/>
        <w:ind w:firstLine="480" w:firstLineChars="200"/>
        <w:rPr>
          <w:rFonts w:asciiTheme="minorEastAsia" w:hAnsiTheme="minorEastAsia" w:eastAsiaTheme="minorEastAsia" w:cstheme="minorEastAsia"/>
          <w:color w:val="auto"/>
          <w:sz w:val="24"/>
        </w:rPr>
      </w:pPr>
      <w:bookmarkStart w:id="348" w:name="_Ref467379436"/>
      <w:r>
        <w:rPr>
          <w:rFonts w:hint="eastAsia" w:asciiTheme="minorEastAsia" w:hAnsiTheme="minorEastAsia" w:eastAsiaTheme="minorEastAsia" w:cstheme="minorEastAsia"/>
          <w:color w:val="auto"/>
          <w:sz w:val="24"/>
        </w:rPr>
        <w:t>2.1.6 “现场”系指合同约定提供服务的地点。</w:t>
      </w:r>
      <w:bookmarkEnd w:id="348"/>
    </w:p>
    <w:p w14:paraId="6A0A889D">
      <w:pPr>
        <w:spacing w:line="560" w:lineRule="exact"/>
        <w:ind w:firstLine="482" w:firstLineChars="200"/>
        <w:rPr>
          <w:rFonts w:asciiTheme="minorEastAsia" w:hAnsiTheme="minorEastAsia" w:eastAsiaTheme="minorEastAsia" w:cstheme="minorEastAsia"/>
          <w:b/>
          <w:color w:val="auto"/>
          <w:sz w:val="24"/>
        </w:rPr>
      </w:pPr>
      <w:bookmarkStart w:id="349" w:name="_Toc279701241"/>
      <w:bookmarkStart w:id="350" w:name="_Toc17204"/>
      <w:bookmarkStart w:id="351" w:name="_Toc16752"/>
      <w:bookmarkStart w:id="352" w:name="_Toc259093670"/>
      <w:bookmarkStart w:id="353" w:name="_Toc23289"/>
      <w:bookmarkStart w:id="354" w:name="_Toc31402"/>
      <w:bookmarkStart w:id="355" w:name="_Toc3769"/>
      <w:bookmarkStart w:id="356" w:name="_Toc19539"/>
      <w:bookmarkStart w:id="357" w:name="_Toc487900350"/>
      <w:r>
        <w:rPr>
          <w:rFonts w:hint="eastAsia" w:asciiTheme="minorEastAsia" w:hAnsiTheme="minorEastAsia" w:eastAsiaTheme="minorEastAsia" w:cstheme="minorEastAsia"/>
          <w:b/>
          <w:color w:val="auto"/>
          <w:sz w:val="24"/>
        </w:rPr>
        <w:t>2.2 技术规范</w:t>
      </w:r>
      <w:bookmarkEnd w:id="349"/>
      <w:bookmarkEnd w:id="350"/>
      <w:bookmarkEnd w:id="351"/>
      <w:bookmarkEnd w:id="352"/>
      <w:bookmarkEnd w:id="353"/>
      <w:bookmarkEnd w:id="354"/>
      <w:bookmarkEnd w:id="355"/>
      <w:bookmarkEnd w:id="356"/>
      <w:bookmarkEnd w:id="357"/>
    </w:p>
    <w:p w14:paraId="65A9A941">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6B0506D">
      <w:pPr>
        <w:spacing w:line="560" w:lineRule="exact"/>
        <w:ind w:firstLine="482" w:firstLineChars="200"/>
        <w:rPr>
          <w:rFonts w:asciiTheme="minorEastAsia" w:hAnsiTheme="minorEastAsia" w:eastAsiaTheme="minorEastAsia" w:cstheme="minorEastAsia"/>
          <w:b/>
          <w:color w:val="auto"/>
          <w:sz w:val="24"/>
        </w:rPr>
      </w:pPr>
      <w:bookmarkStart w:id="358" w:name="_Toc12453"/>
      <w:bookmarkStart w:id="359" w:name="_Toc12412"/>
      <w:bookmarkStart w:id="360" w:name="_Toc27945"/>
      <w:bookmarkStart w:id="361" w:name="_Toc487900351"/>
      <w:bookmarkStart w:id="362" w:name="_Toc4133"/>
      <w:bookmarkStart w:id="363" w:name="_Toc259093671"/>
      <w:bookmarkStart w:id="364" w:name="_Toc13673"/>
      <w:bookmarkStart w:id="365" w:name="_Toc279701242"/>
      <w:bookmarkStart w:id="366" w:name="_Toc9161"/>
      <w:r>
        <w:rPr>
          <w:rFonts w:hint="eastAsia" w:asciiTheme="minorEastAsia" w:hAnsiTheme="minorEastAsia" w:eastAsiaTheme="minorEastAsia" w:cstheme="minorEastAsia"/>
          <w:b/>
          <w:color w:val="auto"/>
          <w:sz w:val="24"/>
        </w:rPr>
        <w:t>2.3 知识产权</w:t>
      </w:r>
      <w:bookmarkEnd w:id="358"/>
      <w:bookmarkEnd w:id="359"/>
      <w:bookmarkEnd w:id="360"/>
      <w:bookmarkEnd w:id="361"/>
      <w:bookmarkEnd w:id="362"/>
      <w:bookmarkEnd w:id="363"/>
      <w:bookmarkEnd w:id="364"/>
      <w:bookmarkEnd w:id="365"/>
      <w:bookmarkEnd w:id="366"/>
    </w:p>
    <w:p w14:paraId="6A61B712">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0CED901">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 合同涉及技术成果的归属和收益的分成办法的，详见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w:t>
      </w:r>
    </w:p>
    <w:p w14:paraId="4B0DFA78">
      <w:pPr>
        <w:spacing w:line="560" w:lineRule="exact"/>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2.4 履约检查和问题反馈</w:t>
      </w:r>
    </w:p>
    <w:p w14:paraId="2DD6C6AB">
      <w:pPr>
        <w:spacing w:line="560" w:lineRule="exact"/>
        <w:ind w:firstLine="480" w:firstLineChars="200"/>
        <w:rPr>
          <w:rFonts w:asciiTheme="minorEastAsia" w:hAnsiTheme="minorEastAsia" w:eastAsiaTheme="minorEastAsia" w:cstheme="minorEastAsia"/>
          <w:color w:val="auto"/>
          <w:sz w:val="24"/>
        </w:rPr>
      </w:pPr>
      <w:bookmarkStart w:id="367" w:name="_Ref467379657"/>
      <w:r>
        <w:rPr>
          <w:rFonts w:hint="eastAsia" w:asciiTheme="minorEastAsia" w:hAnsiTheme="minorEastAsia" w:eastAsiaTheme="minorEastAsia" w:cstheme="minorEastAsia"/>
          <w:color w:val="auto"/>
          <w:sz w:val="24"/>
        </w:rPr>
        <w:t>2.4.1</w:t>
      </w:r>
      <w:bookmarkEnd w:id="367"/>
      <w:bookmarkStart w:id="368" w:name="_Toc186431854"/>
      <w:bookmarkStart w:id="369" w:name="_Toc259093676"/>
      <w:bookmarkStart w:id="370" w:name="_Ref467379793"/>
      <w:bookmarkStart w:id="371" w:name="_Toc279701247"/>
      <w:bookmarkStart w:id="372" w:name="_Ref467379807"/>
      <w:bookmarkStart w:id="373" w:name="_Toc487900357"/>
      <w:r>
        <w:rPr>
          <w:rFonts w:hint="eastAsia" w:asciiTheme="minorEastAsia" w:hAnsiTheme="minorEastAsia" w:eastAsiaTheme="minorEastAsia" w:cstheme="minorEastAsia"/>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D780954">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2.4.2 合同履行期间，甲方有权将履行过程中出现的问题反馈给乙方，双方当事人应以书面形式约定需要完善和改进的内容</w:t>
      </w:r>
      <w:bookmarkEnd w:id="368"/>
      <w:bookmarkStart w:id="374" w:name="_Toc186431855"/>
      <w:r>
        <w:rPr>
          <w:rFonts w:hint="eastAsia" w:asciiTheme="minorEastAsia" w:hAnsiTheme="minorEastAsia" w:eastAsiaTheme="minorEastAsia" w:cstheme="minorEastAsia"/>
          <w:color w:val="auto"/>
          <w:sz w:val="24"/>
        </w:rPr>
        <w:t>。</w:t>
      </w:r>
    </w:p>
    <w:bookmarkEnd w:id="374"/>
    <w:p w14:paraId="30051147">
      <w:pPr>
        <w:spacing w:line="560" w:lineRule="exact"/>
        <w:ind w:firstLine="482" w:firstLineChars="200"/>
        <w:rPr>
          <w:rFonts w:asciiTheme="minorEastAsia" w:hAnsiTheme="minorEastAsia" w:eastAsiaTheme="minorEastAsia" w:cstheme="minorEastAsia"/>
          <w:b/>
          <w:color w:val="auto"/>
          <w:sz w:val="24"/>
        </w:rPr>
      </w:pPr>
      <w:bookmarkStart w:id="375" w:name="_Toc15447"/>
      <w:bookmarkStart w:id="376" w:name="_Toc32670"/>
      <w:bookmarkStart w:id="377" w:name="_Toc31233"/>
      <w:bookmarkStart w:id="378" w:name="_Toc26555"/>
      <w:bookmarkStart w:id="379" w:name="_Toc22011"/>
      <w:bookmarkStart w:id="380" w:name="_Toc9674"/>
      <w:r>
        <w:rPr>
          <w:rFonts w:hint="eastAsia" w:asciiTheme="minorEastAsia" w:hAnsiTheme="minorEastAsia" w:eastAsiaTheme="minorEastAsia" w:cstheme="minorEastAsia"/>
          <w:b/>
          <w:color w:val="auto"/>
          <w:sz w:val="24"/>
        </w:rPr>
        <w:t>2.5 结算方式和付款条件</w:t>
      </w:r>
      <w:bookmarkEnd w:id="369"/>
      <w:bookmarkEnd w:id="370"/>
      <w:bookmarkEnd w:id="371"/>
      <w:bookmarkEnd w:id="372"/>
      <w:bookmarkEnd w:id="373"/>
      <w:bookmarkEnd w:id="375"/>
      <w:bookmarkEnd w:id="376"/>
      <w:bookmarkEnd w:id="377"/>
      <w:bookmarkEnd w:id="378"/>
      <w:bookmarkEnd w:id="379"/>
      <w:bookmarkEnd w:id="380"/>
    </w:p>
    <w:p w14:paraId="08DDF516">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w:t>
      </w:r>
    </w:p>
    <w:p w14:paraId="0A1F8029">
      <w:pPr>
        <w:spacing w:line="560" w:lineRule="exact"/>
        <w:ind w:firstLine="482" w:firstLineChars="200"/>
        <w:rPr>
          <w:rFonts w:asciiTheme="minorEastAsia" w:hAnsiTheme="minorEastAsia" w:eastAsiaTheme="minorEastAsia" w:cstheme="minorEastAsia"/>
          <w:b/>
          <w:color w:val="auto"/>
          <w:sz w:val="24"/>
        </w:rPr>
      </w:pPr>
      <w:bookmarkStart w:id="381" w:name="_Ref467379863"/>
      <w:bookmarkStart w:id="382" w:name="_Toc487900358"/>
      <w:bookmarkStart w:id="383" w:name="_Toc279701248"/>
      <w:bookmarkStart w:id="384" w:name="_Ref467379852"/>
      <w:bookmarkStart w:id="385" w:name="_Ref467379923"/>
      <w:bookmarkStart w:id="386" w:name="_Toc259093677"/>
      <w:bookmarkStart w:id="387" w:name="_Toc13467"/>
      <w:bookmarkStart w:id="388" w:name="_Toc18990"/>
      <w:bookmarkStart w:id="389" w:name="_Toc30507"/>
      <w:bookmarkStart w:id="390" w:name="_Toc16163"/>
      <w:bookmarkStart w:id="391" w:name="_Toc6752"/>
      <w:bookmarkStart w:id="392" w:name="_Toc13154"/>
      <w:r>
        <w:rPr>
          <w:rFonts w:hint="eastAsia" w:asciiTheme="minorEastAsia" w:hAnsiTheme="minorEastAsia" w:eastAsiaTheme="minorEastAsia" w:cstheme="minorEastAsia"/>
          <w:b/>
          <w:color w:val="auto"/>
          <w:sz w:val="24"/>
        </w:rPr>
        <w:t>2.6 技术资料</w:t>
      </w:r>
      <w:bookmarkEnd w:id="381"/>
      <w:bookmarkEnd w:id="382"/>
      <w:bookmarkEnd w:id="383"/>
      <w:bookmarkEnd w:id="384"/>
      <w:bookmarkEnd w:id="385"/>
      <w:bookmarkEnd w:id="386"/>
      <w:r>
        <w:rPr>
          <w:rFonts w:hint="eastAsia" w:asciiTheme="minorEastAsia" w:hAnsiTheme="minorEastAsia" w:eastAsiaTheme="minorEastAsia" w:cstheme="minorEastAsia"/>
          <w:b/>
          <w:color w:val="auto"/>
          <w:sz w:val="24"/>
        </w:rPr>
        <w:t>和保密义务</w:t>
      </w:r>
      <w:bookmarkEnd w:id="387"/>
      <w:bookmarkEnd w:id="388"/>
      <w:bookmarkEnd w:id="389"/>
      <w:bookmarkEnd w:id="390"/>
      <w:bookmarkEnd w:id="391"/>
      <w:bookmarkEnd w:id="392"/>
    </w:p>
    <w:p w14:paraId="27329D9F">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 乙方有权依据合同约定和项目需要，向甲方了解有关情况，调阅有关资料等，甲方应予积极配合；</w:t>
      </w:r>
    </w:p>
    <w:p w14:paraId="340EFAF1">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 乙方有义务妥善保管和保护由甲方提供的前款信息和资料等；</w:t>
      </w:r>
    </w:p>
    <w:p w14:paraId="0BAB3CBA">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AFE7268">
      <w:pPr>
        <w:spacing w:line="560" w:lineRule="exact"/>
        <w:ind w:firstLine="482" w:firstLineChars="200"/>
        <w:rPr>
          <w:rFonts w:asciiTheme="minorEastAsia" w:hAnsiTheme="minorEastAsia" w:eastAsiaTheme="minorEastAsia" w:cstheme="minorEastAsia"/>
          <w:b/>
          <w:color w:val="auto"/>
          <w:sz w:val="24"/>
        </w:rPr>
      </w:pPr>
      <w:bookmarkStart w:id="393" w:name="_Toc19069"/>
      <w:bookmarkStart w:id="394" w:name="_Toc23353"/>
      <w:bookmarkStart w:id="395" w:name="_Toc487900362"/>
      <w:bookmarkStart w:id="396" w:name="_Toc279701252"/>
      <w:bookmarkStart w:id="397" w:name="_Toc259093681"/>
      <w:r>
        <w:rPr>
          <w:rFonts w:hint="eastAsia" w:asciiTheme="minorEastAsia" w:hAnsiTheme="minorEastAsia" w:eastAsiaTheme="minorEastAsia" w:cstheme="minorEastAsia"/>
          <w:b/>
          <w:color w:val="auto"/>
          <w:sz w:val="24"/>
        </w:rPr>
        <w:t>2.7 质量保证</w:t>
      </w:r>
      <w:bookmarkEnd w:id="393"/>
      <w:bookmarkEnd w:id="394"/>
    </w:p>
    <w:p w14:paraId="151DD7C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2.7.1 乙方应建立和完善履行合同的内部质量保证体系，并提供相关内部规章制度给甲方，以便甲方进行监督检查；</w:t>
      </w:r>
    </w:p>
    <w:p w14:paraId="330D8237">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2.7.2 乙方应保证履行合同的人员数量和素质、软件和硬件设备的配置、场地、环境和设施等满足全面履行合同的要求，并应接受甲方的监督检查。</w:t>
      </w:r>
    </w:p>
    <w:p w14:paraId="0F72A489">
      <w:pPr>
        <w:spacing w:line="560" w:lineRule="exact"/>
        <w:ind w:firstLine="482" w:firstLineChars="200"/>
        <w:rPr>
          <w:rFonts w:asciiTheme="minorEastAsia" w:hAnsiTheme="minorEastAsia" w:eastAsiaTheme="minorEastAsia" w:cstheme="minorEastAsia"/>
          <w:b/>
          <w:color w:val="auto"/>
          <w:sz w:val="24"/>
        </w:rPr>
      </w:pPr>
      <w:bookmarkStart w:id="398" w:name="_Toc22267"/>
      <w:bookmarkStart w:id="399" w:name="_Toc11469"/>
      <w:r>
        <w:rPr>
          <w:rFonts w:hint="eastAsia" w:asciiTheme="minorEastAsia" w:hAnsiTheme="minorEastAsia" w:eastAsiaTheme="minorEastAsia" w:cstheme="minorEastAsia"/>
          <w:b/>
          <w:color w:val="auto"/>
          <w:sz w:val="24"/>
        </w:rPr>
        <w:t>2.8 延迟</w:t>
      </w:r>
      <w:bookmarkEnd w:id="395"/>
      <w:bookmarkEnd w:id="396"/>
      <w:bookmarkEnd w:id="397"/>
      <w:r>
        <w:rPr>
          <w:rFonts w:hint="eastAsia" w:asciiTheme="minorEastAsia" w:hAnsiTheme="minorEastAsia" w:eastAsiaTheme="minorEastAsia" w:cstheme="minorEastAsia"/>
          <w:b/>
          <w:color w:val="auto"/>
          <w:sz w:val="24"/>
        </w:rPr>
        <w:t>履行</w:t>
      </w:r>
      <w:bookmarkEnd w:id="398"/>
      <w:bookmarkEnd w:id="399"/>
    </w:p>
    <w:p w14:paraId="063A9EC3">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3AC680A">
      <w:pPr>
        <w:spacing w:line="560" w:lineRule="exact"/>
        <w:ind w:firstLine="482" w:firstLineChars="200"/>
        <w:rPr>
          <w:rFonts w:asciiTheme="minorEastAsia" w:hAnsiTheme="minorEastAsia" w:eastAsiaTheme="minorEastAsia" w:cstheme="minorEastAsia"/>
          <w:b/>
          <w:color w:val="auto"/>
          <w:sz w:val="24"/>
        </w:rPr>
      </w:pPr>
      <w:bookmarkStart w:id="400" w:name="_Toc27624"/>
      <w:bookmarkStart w:id="401" w:name="_Toc10611"/>
      <w:bookmarkStart w:id="402" w:name="_Ref467378121"/>
      <w:bookmarkStart w:id="403" w:name="_Toc259093683"/>
      <w:bookmarkStart w:id="404" w:name="_Toc487900364"/>
      <w:bookmarkStart w:id="405" w:name="_Toc279701254"/>
      <w:r>
        <w:rPr>
          <w:rFonts w:hint="eastAsia" w:asciiTheme="minorEastAsia" w:hAnsiTheme="minorEastAsia" w:eastAsiaTheme="minorEastAsia" w:cstheme="minorEastAsia"/>
          <w:b/>
          <w:color w:val="auto"/>
          <w:sz w:val="24"/>
        </w:rPr>
        <w:t>2.9 合同变更</w:t>
      </w:r>
      <w:bookmarkEnd w:id="400"/>
      <w:bookmarkEnd w:id="401"/>
    </w:p>
    <w:p w14:paraId="522C7886">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16C467DD">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2.9.2 合同继续履行将损害国家利益和社会公共利益的，双方当事人应当以书面形式变更合同。有过错的一方应当承担赔偿责任，双方当事人都有过错的，各自承担相应的责任。</w:t>
      </w:r>
      <w:bookmarkStart w:id="406" w:name="_Toc279701259"/>
      <w:bookmarkStart w:id="407" w:name="_Toc259093688"/>
      <w:bookmarkStart w:id="408" w:name="_Toc487900369"/>
    </w:p>
    <w:p w14:paraId="79C466FC">
      <w:pPr>
        <w:spacing w:line="560" w:lineRule="exact"/>
        <w:ind w:firstLine="482" w:firstLineChars="200"/>
        <w:rPr>
          <w:rFonts w:asciiTheme="minorEastAsia" w:hAnsiTheme="minorEastAsia" w:eastAsiaTheme="minorEastAsia" w:cstheme="minorEastAsia"/>
          <w:b/>
          <w:color w:val="auto"/>
          <w:sz w:val="24"/>
        </w:rPr>
      </w:pPr>
      <w:bookmarkStart w:id="409" w:name="_Toc10663"/>
      <w:bookmarkStart w:id="410" w:name="_Toc42"/>
      <w:bookmarkStart w:id="411" w:name="_Toc23368"/>
      <w:bookmarkStart w:id="412" w:name="_Toc26689"/>
      <w:bookmarkStart w:id="413" w:name="_Toc647"/>
      <w:bookmarkStart w:id="414" w:name="_Toc21830"/>
      <w:r>
        <w:rPr>
          <w:rFonts w:hint="eastAsia" w:asciiTheme="minorEastAsia" w:hAnsiTheme="minorEastAsia" w:eastAsiaTheme="minorEastAsia" w:cstheme="minorEastAsia"/>
          <w:b/>
          <w:color w:val="auto"/>
          <w:sz w:val="24"/>
        </w:rPr>
        <w:t>2.10 合同转让</w:t>
      </w:r>
      <w:bookmarkEnd w:id="406"/>
      <w:bookmarkEnd w:id="407"/>
      <w:bookmarkEnd w:id="408"/>
      <w:r>
        <w:rPr>
          <w:rFonts w:hint="eastAsia" w:asciiTheme="minorEastAsia" w:hAnsiTheme="minorEastAsia" w:eastAsiaTheme="minorEastAsia" w:cstheme="minorEastAsia"/>
          <w:b/>
          <w:color w:val="auto"/>
          <w:sz w:val="24"/>
        </w:rPr>
        <w:t>和分包</w:t>
      </w:r>
      <w:bookmarkEnd w:id="409"/>
      <w:bookmarkEnd w:id="410"/>
      <w:bookmarkEnd w:id="411"/>
      <w:bookmarkEnd w:id="412"/>
      <w:bookmarkEnd w:id="413"/>
      <w:bookmarkEnd w:id="414"/>
    </w:p>
    <w:p w14:paraId="247D86A6">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B39098B">
      <w:pPr>
        <w:spacing w:line="560" w:lineRule="exact"/>
        <w:ind w:firstLine="482" w:firstLineChars="200"/>
        <w:rPr>
          <w:rFonts w:asciiTheme="minorEastAsia" w:hAnsiTheme="minorEastAsia" w:eastAsiaTheme="minorEastAsia" w:cstheme="minorEastAsia"/>
          <w:b/>
          <w:color w:val="auto"/>
          <w:sz w:val="24"/>
        </w:rPr>
      </w:pPr>
      <w:bookmarkStart w:id="415" w:name="_Toc13447"/>
      <w:bookmarkStart w:id="416" w:name="_Toc14371"/>
      <w:bookmarkStart w:id="417" w:name="_Toc32494"/>
      <w:bookmarkStart w:id="418" w:name="_Toc4720"/>
      <w:bookmarkStart w:id="419" w:name="_Toc25571"/>
      <w:bookmarkStart w:id="420" w:name="_Toc26633"/>
      <w:r>
        <w:rPr>
          <w:rFonts w:hint="eastAsia" w:asciiTheme="minorEastAsia" w:hAnsiTheme="minorEastAsia" w:eastAsiaTheme="minorEastAsia" w:cstheme="minorEastAsia"/>
          <w:b/>
          <w:color w:val="auto"/>
          <w:sz w:val="24"/>
        </w:rPr>
        <w:t>2.11 不可抗力</w:t>
      </w:r>
      <w:bookmarkEnd w:id="415"/>
      <w:bookmarkEnd w:id="416"/>
      <w:bookmarkEnd w:id="417"/>
      <w:bookmarkEnd w:id="418"/>
      <w:bookmarkEnd w:id="419"/>
      <w:bookmarkEnd w:id="420"/>
    </w:p>
    <w:p w14:paraId="32D59B9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2.11.1如果任何一方遭遇法律规定的不可抗力，致使合同履行受阻时，履行合同的期限应予延长，延长的期限应相当于不可抗力所影响的时间；</w:t>
      </w:r>
    </w:p>
    <w:p w14:paraId="3795D13E">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2.11.2 因不可抗力致使不能实现合同目的的，当事人可以解除合同；</w:t>
      </w:r>
    </w:p>
    <w:p w14:paraId="4E8AEEFC">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2.11.3 因不可抗力致使合同有变更必要的，双方当事人应在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约定时间内以书面形式变更合同；</w:t>
      </w:r>
    </w:p>
    <w:p w14:paraId="7F8333EE">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2.11.4受不可抗力影响的一方在不可抗力发生后，应在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约定时间内以书面形式通知对方当事人，并在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约定时间内，将有关部门出具的证明文件送达对方当事人。</w:t>
      </w:r>
    </w:p>
    <w:p w14:paraId="3306E353">
      <w:pPr>
        <w:spacing w:line="560" w:lineRule="exact"/>
        <w:ind w:firstLine="482" w:firstLineChars="200"/>
        <w:rPr>
          <w:rFonts w:asciiTheme="minorEastAsia" w:hAnsiTheme="minorEastAsia" w:eastAsiaTheme="minorEastAsia" w:cstheme="minorEastAsia"/>
          <w:b/>
          <w:color w:val="auto"/>
          <w:sz w:val="24"/>
        </w:rPr>
      </w:pPr>
      <w:bookmarkStart w:id="421" w:name="_Toc24465"/>
      <w:bookmarkStart w:id="422" w:name="_Toc10206"/>
      <w:bookmarkStart w:id="423" w:name="_Toc3638"/>
      <w:bookmarkStart w:id="424" w:name="_Toc25783"/>
      <w:bookmarkStart w:id="425" w:name="_Toc23854"/>
      <w:bookmarkStart w:id="426" w:name="_Toc14115"/>
      <w:bookmarkStart w:id="427" w:name="_Toc259093684"/>
      <w:bookmarkStart w:id="428" w:name="_Toc487900365"/>
      <w:bookmarkStart w:id="429" w:name="_Toc279701255"/>
      <w:r>
        <w:rPr>
          <w:rFonts w:hint="eastAsia" w:asciiTheme="minorEastAsia" w:hAnsiTheme="minorEastAsia" w:eastAsiaTheme="minorEastAsia" w:cstheme="minorEastAsia"/>
          <w:b/>
          <w:color w:val="auto"/>
          <w:sz w:val="24"/>
        </w:rPr>
        <w:t>2.12 税费</w:t>
      </w:r>
      <w:bookmarkEnd w:id="421"/>
      <w:bookmarkEnd w:id="422"/>
      <w:bookmarkEnd w:id="423"/>
      <w:bookmarkEnd w:id="424"/>
      <w:bookmarkEnd w:id="425"/>
      <w:bookmarkEnd w:id="426"/>
      <w:bookmarkEnd w:id="427"/>
      <w:bookmarkEnd w:id="428"/>
      <w:bookmarkEnd w:id="429"/>
    </w:p>
    <w:p w14:paraId="6157B525">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与合同有关的一切税费，均按照中华人民共和国法律的相关规定缴纳。</w:t>
      </w:r>
    </w:p>
    <w:p w14:paraId="65BA9A43">
      <w:pPr>
        <w:spacing w:line="560" w:lineRule="exact"/>
        <w:ind w:firstLine="482" w:firstLineChars="200"/>
        <w:rPr>
          <w:rFonts w:asciiTheme="minorEastAsia" w:hAnsiTheme="minorEastAsia" w:eastAsiaTheme="minorEastAsia" w:cstheme="minorEastAsia"/>
          <w:b/>
          <w:color w:val="auto"/>
          <w:sz w:val="24"/>
        </w:rPr>
      </w:pPr>
      <w:bookmarkStart w:id="430" w:name="_Toc30105"/>
      <w:bookmarkStart w:id="431" w:name="_Toc12549"/>
      <w:bookmarkStart w:id="432" w:name="_Toc487900368"/>
      <w:bookmarkStart w:id="433" w:name="_Toc26883"/>
      <w:bookmarkStart w:id="434" w:name="_Toc7315"/>
      <w:bookmarkStart w:id="435" w:name="_Toc259093687"/>
      <w:bookmarkStart w:id="436" w:name="_Toc25525"/>
      <w:bookmarkStart w:id="437" w:name="_Toc14814"/>
      <w:bookmarkStart w:id="438" w:name="_Toc279701258"/>
      <w:r>
        <w:rPr>
          <w:rFonts w:hint="eastAsia" w:asciiTheme="minorEastAsia" w:hAnsiTheme="minorEastAsia" w:eastAsiaTheme="minorEastAsia" w:cstheme="minorEastAsia"/>
          <w:b/>
          <w:color w:val="auto"/>
          <w:sz w:val="24"/>
        </w:rPr>
        <w:t>2.13 乙方破产</w:t>
      </w:r>
      <w:bookmarkEnd w:id="430"/>
      <w:bookmarkEnd w:id="431"/>
      <w:bookmarkEnd w:id="432"/>
      <w:bookmarkEnd w:id="433"/>
      <w:bookmarkEnd w:id="434"/>
      <w:bookmarkEnd w:id="435"/>
      <w:bookmarkEnd w:id="436"/>
      <w:bookmarkEnd w:id="437"/>
      <w:bookmarkEnd w:id="438"/>
    </w:p>
    <w:p w14:paraId="5D903A88">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3D01137">
      <w:pPr>
        <w:spacing w:line="560" w:lineRule="exact"/>
        <w:ind w:firstLine="482" w:firstLineChars="200"/>
        <w:rPr>
          <w:rFonts w:asciiTheme="minorEastAsia" w:hAnsiTheme="minorEastAsia" w:eastAsiaTheme="minorEastAsia" w:cstheme="minorEastAsia"/>
          <w:b/>
          <w:color w:val="auto"/>
          <w:sz w:val="24"/>
        </w:rPr>
      </w:pPr>
      <w:bookmarkStart w:id="439" w:name="_Toc23323"/>
      <w:bookmarkStart w:id="440" w:name="_Toc11896"/>
      <w:bookmarkStart w:id="441" w:name="_Toc2016"/>
      <w:bookmarkStart w:id="442" w:name="_Toc1123"/>
      <w:r>
        <w:rPr>
          <w:rFonts w:hint="eastAsia" w:asciiTheme="minorEastAsia" w:hAnsiTheme="minorEastAsia" w:eastAsiaTheme="minorEastAsia" w:cstheme="minorEastAsia"/>
          <w:b/>
          <w:color w:val="auto"/>
          <w:sz w:val="24"/>
        </w:rPr>
        <w:t>2.14 合同中止、终止</w:t>
      </w:r>
      <w:bookmarkEnd w:id="439"/>
      <w:bookmarkEnd w:id="440"/>
      <w:bookmarkEnd w:id="441"/>
      <w:bookmarkEnd w:id="442"/>
    </w:p>
    <w:p w14:paraId="73B940A0">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2.14.1 双方当事人不得擅自中止或者终止合同；</w:t>
      </w:r>
    </w:p>
    <w:p w14:paraId="3EFE589C">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2.14.2合同继续履行将损害国家利益和社会公共利益的，双方当事人应当中止或者终止合同。有过错的一方应当承担赔偿责任，双方当事人都有过错的，各自承担相应的责任。</w:t>
      </w:r>
    </w:p>
    <w:p w14:paraId="73F954B6">
      <w:pPr>
        <w:spacing w:line="560" w:lineRule="exact"/>
        <w:ind w:firstLine="482" w:firstLineChars="200"/>
        <w:rPr>
          <w:rFonts w:asciiTheme="minorEastAsia" w:hAnsiTheme="minorEastAsia" w:eastAsiaTheme="minorEastAsia" w:cstheme="minorEastAsia"/>
          <w:b/>
          <w:color w:val="auto"/>
          <w:sz w:val="24"/>
        </w:rPr>
      </w:pPr>
      <w:bookmarkStart w:id="443" w:name="_Toc25627"/>
      <w:bookmarkStart w:id="444" w:name="_Toc1969"/>
      <w:bookmarkStart w:id="445" w:name="_Toc14525"/>
      <w:bookmarkStart w:id="446" w:name="_Toc17363"/>
      <w:r>
        <w:rPr>
          <w:rFonts w:hint="eastAsia" w:asciiTheme="minorEastAsia" w:hAnsiTheme="minorEastAsia" w:eastAsiaTheme="minorEastAsia" w:cstheme="minorEastAsia"/>
          <w:b/>
          <w:color w:val="auto"/>
          <w:sz w:val="24"/>
        </w:rPr>
        <w:t>2.15 检验和验收</w:t>
      </w:r>
      <w:bookmarkEnd w:id="443"/>
      <w:bookmarkEnd w:id="444"/>
      <w:bookmarkEnd w:id="445"/>
      <w:bookmarkEnd w:id="446"/>
    </w:p>
    <w:p w14:paraId="5401EC5A">
      <w:pPr>
        <w:tabs>
          <w:tab w:val="left" w:pos="360"/>
          <w:tab w:val="left" w:pos="540"/>
          <w:tab w:val="left" w:pos="1080"/>
        </w:tabs>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2.15.1 乙方按照</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的约定，定期提交服务报告，甲方按照</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的约定进行定期验收；</w:t>
      </w:r>
    </w:p>
    <w:p w14:paraId="68E6D724">
      <w:pPr>
        <w:tabs>
          <w:tab w:val="left" w:pos="360"/>
          <w:tab w:val="left" w:pos="540"/>
          <w:tab w:val="left" w:pos="1080"/>
        </w:tabs>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02C16A3">
      <w:pPr>
        <w:tabs>
          <w:tab w:val="left" w:pos="360"/>
          <w:tab w:val="left" w:pos="540"/>
          <w:tab w:val="left" w:pos="1080"/>
        </w:tabs>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2.15.3 检验和验收标准、程序等具体内容以及前述验收书的效力详见</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i/>
          <w:color w:val="auto"/>
          <w:sz w:val="24"/>
        </w:rPr>
        <w:t>。</w:t>
      </w:r>
    </w:p>
    <w:bookmarkEnd w:id="402"/>
    <w:bookmarkEnd w:id="403"/>
    <w:bookmarkEnd w:id="404"/>
    <w:bookmarkEnd w:id="405"/>
    <w:p w14:paraId="455E5064">
      <w:pPr>
        <w:spacing w:line="560" w:lineRule="exact"/>
        <w:ind w:firstLine="482" w:firstLineChars="200"/>
        <w:rPr>
          <w:rFonts w:asciiTheme="minorEastAsia" w:hAnsiTheme="minorEastAsia" w:eastAsiaTheme="minorEastAsia" w:cstheme="minorEastAsia"/>
          <w:b/>
          <w:color w:val="auto"/>
          <w:sz w:val="24"/>
        </w:rPr>
      </w:pPr>
      <w:bookmarkStart w:id="447" w:name="_Toc259093690"/>
      <w:bookmarkStart w:id="448" w:name="_Toc279701261"/>
      <w:bookmarkStart w:id="449" w:name="_Toc487900371"/>
      <w:bookmarkStart w:id="450" w:name="_Toc31892"/>
      <w:bookmarkStart w:id="451" w:name="_Toc3886"/>
      <w:bookmarkStart w:id="452" w:name="_Toc12666"/>
      <w:bookmarkStart w:id="453" w:name="_Toc25198"/>
      <w:bookmarkStart w:id="454" w:name="_Toc9808"/>
      <w:bookmarkStart w:id="455" w:name="_Toc2308"/>
      <w:r>
        <w:rPr>
          <w:rFonts w:hint="eastAsia" w:asciiTheme="minorEastAsia" w:hAnsiTheme="minorEastAsia" w:eastAsiaTheme="minorEastAsia" w:cstheme="minorEastAsia"/>
          <w:b/>
          <w:color w:val="auto"/>
          <w:sz w:val="24"/>
        </w:rPr>
        <w:t>2.16 通知</w:t>
      </w:r>
      <w:bookmarkEnd w:id="447"/>
      <w:bookmarkEnd w:id="448"/>
      <w:bookmarkEnd w:id="449"/>
      <w:r>
        <w:rPr>
          <w:rFonts w:hint="eastAsia" w:asciiTheme="minorEastAsia" w:hAnsiTheme="minorEastAsia" w:eastAsiaTheme="minorEastAsia" w:cstheme="minorEastAsia"/>
          <w:b/>
          <w:color w:val="auto"/>
          <w:sz w:val="24"/>
        </w:rPr>
        <w:t>和送达</w:t>
      </w:r>
      <w:bookmarkEnd w:id="450"/>
      <w:bookmarkEnd w:id="451"/>
      <w:bookmarkEnd w:id="452"/>
      <w:bookmarkEnd w:id="453"/>
      <w:bookmarkEnd w:id="454"/>
      <w:bookmarkEnd w:id="455"/>
    </w:p>
    <w:p w14:paraId="2CA4030A">
      <w:pPr>
        <w:spacing w:line="560" w:lineRule="exact"/>
        <w:ind w:firstLine="480" w:firstLineChars="200"/>
        <w:rPr>
          <w:rFonts w:asciiTheme="minorEastAsia" w:hAnsiTheme="minorEastAsia" w:eastAsiaTheme="minorEastAsia" w:cstheme="minorEastAsia"/>
          <w:color w:val="auto"/>
          <w:sz w:val="24"/>
        </w:rPr>
      </w:pPr>
      <w:bookmarkStart w:id="456" w:name="_Toc29220"/>
      <w:bookmarkStart w:id="457" w:name="_Toc7073"/>
      <w:bookmarkStart w:id="458" w:name="_Toc487900372"/>
      <w:bookmarkStart w:id="459" w:name="_Toc259093691"/>
      <w:bookmarkStart w:id="460" w:name="_Toc279701262"/>
      <w:r>
        <w:rPr>
          <w:rFonts w:hint="eastAsia" w:asciiTheme="minorEastAsia" w:hAnsiTheme="minorEastAsia" w:eastAsiaTheme="minorEastAsia" w:cstheme="minorEastAsia"/>
          <w:color w:val="auto"/>
          <w:sz w:val="24"/>
        </w:rPr>
        <w:t>2.16.1 任何一方因履行合同而以合同第一部分尾部所列明的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个工作日内书面通知对方当事人，在对方当事人收到有关变更通知之前，变更前的约定送达方式或者地址仍视为有效。</w:t>
      </w:r>
      <w:bookmarkEnd w:id="456"/>
      <w:bookmarkEnd w:id="457"/>
    </w:p>
    <w:p w14:paraId="1A805B96">
      <w:pPr>
        <w:spacing w:line="560" w:lineRule="exact"/>
        <w:ind w:firstLine="480" w:firstLineChars="200"/>
        <w:rPr>
          <w:rFonts w:asciiTheme="minorEastAsia" w:hAnsiTheme="minorEastAsia" w:eastAsiaTheme="minorEastAsia" w:cstheme="minorEastAsia"/>
          <w:color w:val="auto"/>
          <w:sz w:val="24"/>
        </w:rPr>
      </w:pPr>
      <w:bookmarkStart w:id="461" w:name="_Toc27674"/>
      <w:bookmarkStart w:id="462" w:name="_Toc18401"/>
      <w:r>
        <w:rPr>
          <w:rFonts w:hint="eastAsia" w:asciiTheme="minorEastAsia" w:hAnsiTheme="minorEastAsia" w:eastAsiaTheme="minorEastAsia" w:cstheme="minorEastAsia"/>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61"/>
      <w:bookmarkEnd w:id="462"/>
    </w:p>
    <w:bookmarkEnd w:id="458"/>
    <w:bookmarkEnd w:id="459"/>
    <w:bookmarkEnd w:id="460"/>
    <w:p w14:paraId="7DFF03E1">
      <w:pPr>
        <w:spacing w:line="560" w:lineRule="exact"/>
        <w:ind w:firstLine="482" w:firstLineChars="200"/>
        <w:rPr>
          <w:rFonts w:asciiTheme="minorEastAsia" w:hAnsiTheme="minorEastAsia" w:eastAsiaTheme="minorEastAsia" w:cstheme="minorEastAsia"/>
          <w:b/>
          <w:color w:val="auto"/>
          <w:sz w:val="24"/>
        </w:rPr>
      </w:pPr>
      <w:bookmarkStart w:id="463" w:name="_Toc487900373"/>
      <w:bookmarkStart w:id="464" w:name="_Toc279701263"/>
      <w:bookmarkStart w:id="465" w:name="_Toc28906"/>
      <w:bookmarkStart w:id="466" w:name="_Toc259093692"/>
      <w:bookmarkStart w:id="467" w:name="_Toc26679"/>
      <w:bookmarkStart w:id="468" w:name="_Toc12254"/>
      <w:bookmarkStart w:id="469" w:name="_Toc20808"/>
      <w:bookmarkStart w:id="470" w:name="_Toc27644"/>
      <w:bookmarkStart w:id="471" w:name="_Toc5063"/>
      <w:r>
        <w:rPr>
          <w:rFonts w:hint="eastAsia" w:asciiTheme="minorEastAsia" w:hAnsiTheme="minorEastAsia" w:eastAsiaTheme="minorEastAsia" w:cstheme="minorEastAsia"/>
          <w:b/>
          <w:color w:val="auto"/>
          <w:sz w:val="24"/>
        </w:rPr>
        <w:t>2.17 合同使用的文字和适用的法律</w:t>
      </w:r>
      <w:bookmarkEnd w:id="463"/>
      <w:bookmarkEnd w:id="464"/>
      <w:bookmarkEnd w:id="465"/>
      <w:bookmarkEnd w:id="466"/>
      <w:bookmarkEnd w:id="467"/>
      <w:bookmarkEnd w:id="468"/>
      <w:bookmarkEnd w:id="469"/>
      <w:bookmarkEnd w:id="470"/>
      <w:bookmarkEnd w:id="471"/>
    </w:p>
    <w:p w14:paraId="3318E49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2.17.1 合同使用汉语书就、变更和解释；</w:t>
      </w:r>
    </w:p>
    <w:p w14:paraId="1E6CBD72">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2.17.2 合同适用中华人民共和国法律。</w:t>
      </w:r>
    </w:p>
    <w:p w14:paraId="1637E06D">
      <w:pPr>
        <w:spacing w:line="560" w:lineRule="exact"/>
        <w:ind w:firstLine="482" w:firstLineChars="200"/>
        <w:rPr>
          <w:rFonts w:asciiTheme="minorEastAsia" w:hAnsiTheme="minorEastAsia" w:eastAsiaTheme="minorEastAsia" w:cstheme="minorEastAsia"/>
          <w:b/>
          <w:color w:val="auto"/>
          <w:sz w:val="24"/>
        </w:rPr>
      </w:pPr>
      <w:bookmarkStart w:id="472" w:name="_Toc279701264"/>
      <w:bookmarkStart w:id="473" w:name="_Toc1492"/>
      <w:bookmarkStart w:id="474" w:name="_Toc27403"/>
      <w:bookmarkStart w:id="475" w:name="_Toc21443"/>
      <w:bookmarkStart w:id="476" w:name="_Toc30096"/>
      <w:bookmarkStart w:id="477" w:name="_Toc259093693"/>
      <w:bookmarkStart w:id="478" w:name="_Toc27127"/>
      <w:bookmarkStart w:id="479" w:name="_Toc22266"/>
      <w:bookmarkStart w:id="480" w:name="_Toc487900374"/>
      <w:r>
        <w:rPr>
          <w:rFonts w:hint="eastAsia" w:asciiTheme="minorEastAsia" w:hAnsiTheme="minorEastAsia" w:eastAsiaTheme="minorEastAsia" w:cstheme="minorEastAsia"/>
          <w:b/>
          <w:color w:val="auto"/>
          <w:sz w:val="24"/>
        </w:rPr>
        <w:t>2.18 履约保证金</w:t>
      </w:r>
      <w:bookmarkEnd w:id="472"/>
      <w:bookmarkEnd w:id="473"/>
      <w:bookmarkEnd w:id="474"/>
      <w:bookmarkEnd w:id="475"/>
      <w:bookmarkEnd w:id="476"/>
      <w:bookmarkEnd w:id="477"/>
      <w:bookmarkEnd w:id="478"/>
      <w:bookmarkEnd w:id="479"/>
    </w:p>
    <w:p w14:paraId="42561824">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2.18.1 采购文件要求乙方提交履约保证金的，乙方应按</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约定的方式，以支票、汇票、本票或者金融机构、担保机构出具的保函等非现金形式，提交不超过合同价10%的履约保证金；</w:t>
      </w:r>
    </w:p>
    <w:p w14:paraId="3EF91220">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2.18.2 履约保证金在</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约定期间内不予退还或者应完全有效，前述约定期间届满之日起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个工作日内，甲方应将履约保证金退还乙方；</w:t>
      </w:r>
    </w:p>
    <w:p w14:paraId="3B6E685B">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80"/>
    <w:p w14:paraId="228A3023">
      <w:pPr>
        <w:spacing w:line="560" w:lineRule="exact"/>
        <w:ind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2.19 合同份数</w:t>
      </w:r>
    </w:p>
    <w:p w14:paraId="2C022454">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合同份数按</w:t>
      </w:r>
      <w:r>
        <w:rPr>
          <w:rFonts w:hint="eastAsia" w:asciiTheme="minorEastAsia" w:hAnsiTheme="minorEastAsia" w:eastAsiaTheme="minorEastAsia" w:cstheme="minorEastAsia"/>
          <w:b/>
          <w:i/>
          <w:color w:val="auto"/>
          <w:sz w:val="24"/>
          <w:u w:val="single"/>
        </w:rPr>
        <w:t>合同专用条款</w:t>
      </w:r>
      <w:r>
        <w:rPr>
          <w:rFonts w:hint="eastAsia" w:asciiTheme="minorEastAsia" w:hAnsiTheme="minorEastAsia" w:eastAsiaTheme="minorEastAsia" w:cstheme="minorEastAsia"/>
          <w:color w:val="auto"/>
          <w:sz w:val="24"/>
        </w:rPr>
        <w:t>规定，每份均具有同等法律效力。</w:t>
      </w:r>
    </w:p>
    <w:p w14:paraId="1D535DE3">
      <w:pPr>
        <w:pStyle w:val="31"/>
        <w:spacing w:line="560" w:lineRule="exact"/>
        <w:ind w:firstLine="0"/>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color w:val="auto"/>
          <w:szCs w:val="24"/>
        </w:rPr>
        <w:br w:type="page"/>
      </w:r>
      <w:bookmarkStart w:id="481" w:name="_Toc331685784"/>
      <w:r>
        <w:rPr>
          <w:rFonts w:hint="eastAsia" w:asciiTheme="minorEastAsia" w:hAnsiTheme="minorEastAsia" w:eastAsiaTheme="minorEastAsia" w:cstheme="minorEastAsia"/>
          <w:b/>
          <w:color w:val="auto"/>
          <w:szCs w:val="24"/>
        </w:rPr>
        <w:t>第三部分  合同专用条款</w:t>
      </w:r>
      <w:bookmarkEnd w:id="481"/>
    </w:p>
    <w:p w14:paraId="73B30B21">
      <w:pPr>
        <w:spacing w:line="56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426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553"/>
        <w:gridCol w:w="3534"/>
      </w:tblGrid>
      <w:tr w14:paraId="769E4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3055" w:type="pct"/>
            <w:tcBorders>
              <w:left w:val="single" w:color="auto" w:sz="4" w:space="0"/>
            </w:tcBorders>
            <w:vAlign w:val="center"/>
          </w:tcPr>
          <w:p w14:paraId="1FE561A2">
            <w:pPr>
              <w:spacing w:line="560" w:lineRule="exact"/>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条款号</w:t>
            </w:r>
          </w:p>
        </w:tc>
        <w:tc>
          <w:tcPr>
            <w:tcW w:w="1944" w:type="pct"/>
            <w:vAlign w:val="center"/>
          </w:tcPr>
          <w:p w14:paraId="0988C4E3">
            <w:pPr>
              <w:spacing w:line="560" w:lineRule="exact"/>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约定内容</w:t>
            </w:r>
          </w:p>
        </w:tc>
      </w:tr>
      <w:tr w14:paraId="355E8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3055" w:type="pct"/>
            <w:tcBorders>
              <w:left w:val="single" w:color="auto" w:sz="4" w:space="0"/>
            </w:tcBorders>
            <w:vAlign w:val="center"/>
          </w:tcPr>
          <w:p w14:paraId="726CF1E3">
            <w:pPr>
              <w:spacing w:line="560" w:lineRule="exact"/>
              <w:rPr>
                <w:rFonts w:asciiTheme="minorEastAsia" w:hAnsiTheme="minorEastAsia" w:eastAsiaTheme="minorEastAsia" w:cstheme="minorEastAsia"/>
                <w:color w:val="auto"/>
                <w:sz w:val="24"/>
              </w:rPr>
            </w:pPr>
          </w:p>
        </w:tc>
        <w:tc>
          <w:tcPr>
            <w:tcW w:w="1944" w:type="pct"/>
            <w:vAlign w:val="center"/>
          </w:tcPr>
          <w:p w14:paraId="70C287E8">
            <w:pPr>
              <w:spacing w:line="560" w:lineRule="exact"/>
              <w:rPr>
                <w:rFonts w:asciiTheme="minorEastAsia" w:hAnsiTheme="minorEastAsia" w:eastAsiaTheme="minorEastAsia" w:cstheme="minorEastAsia"/>
                <w:color w:val="auto"/>
                <w:sz w:val="24"/>
              </w:rPr>
            </w:pPr>
          </w:p>
        </w:tc>
      </w:tr>
      <w:tr w14:paraId="4C039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49FBE617">
            <w:pPr>
              <w:spacing w:line="560" w:lineRule="exact"/>
              <w:rPr>
                <w:rFonts w:asciiTheme="minorEastAsia" w:hAnsiTheme="minorEastAsia" w:eastAsiaTheme="minorEastAsia" w:cstheme="minorEastAsia"/>
                <w:color w:val="auto"/>
                <w:sz w:val="24"/>
              </w:rPr>
            </w:pPr>
          </w:p>
        </w:tc>
        <w:tc>
          <w:tcPr>
            <w:tcW w:w="1944" w:type="pct"/>
            <w:vAlign w:val="center"/>
          </w:tcPr>
          <w:p w14:paraId="4FEF11AD">
            <w:pPr>
              <w:spacing w:line="560" w:lineRule="exact"/>
              <w:rPr>
                <w:rFonts w:asciiTheme="minorEastAsia" w:hAnsiTheme="minorEastAsia" w:eastAsiaTheme="minorEastAsia" w:cstheme="minorEastAsia"/>
                <w:color w:val="auto"/>
                <w:sz w:val="24"/>
              </w:rPr>
            </w:pPr>
          </w:p>
        </w:tc>
      </w:tr>
      <w:tr w14:paraId="2A7F3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2C2BB92B">
            <w:pPr>
              <w:spacing w:line="560" w:lineRule="exact"/>
              <w:rPr>
                <w:rFonts w:asciiTheme="minorEastAsia" w:hAnsiTheme="minorEastAsia" w:eastAsiaTheme="minorEastAsia" w:cstheme="minorEastAsia"/>
                <w:color w:val="auto"/>
                <w:sz w:val="24"/>
              </w:rPr>
            </w:pPr>
          </w:p>
        </w:tc>
        <w:tc>
          <w:tcPr>
            <w:tcW w:w="1944" w:type="pct"/>
            <w:vAlign w:val="center"/>
          </w:tcPr>
          <w:p w14:paraId="013C0788">
            <w:pPr>
              <w:spacing w:line="560" w:lineRule="exact"/>
              <w:rPr>
                <w:rFonts w:asciiTheme="minorEastAsia" w:hAnsiTheme="minorEastAsia" w:eastAsiaTheme="minorEastAsia" w:cstheme="minorEastAsia"/>
                <w:color w:val="auto"/>
                <w:sz w:val="24"/>
              </w:rPr>
            </w:pPr>
          </w:p>
        </w:tc>
      </w:tr>
      <w:tr w14:paraId="7A40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29A8FA71">
            <w:pPr>
              <w:spacing w:line="560" w:lineRule="exact"/>
              <w:rPr>
                <w:rFonts w:asciiTheme="minorEastAsia" w:hAnsiTheme="minorEastAsia" w:eastAsiaTheme="minorEastAsia" w:cstheme="minorEastAsia"/>
                <w:color w:val="auto"/>
                <w:sz w:val="24"/>
              </w:rPr>
            </w:pPr>
          </w:p>
        </w:tc>
        <w:tc>
          <w:tcPr>
            <w:tcW w:w="1944" w:type="pct"/>
            <w:vAlign w:val="center"/>
          </w:tcPr>
          <w:p w14:paraId="5A8CD126">
            <w:pPr>
              <w:spacing w:line="560" w:lineRule="exact"/>
              <w:rPr>
                <w:rFonts w:asciiTheme="minorEastAsia" w:hAnsiTheme="minorEastAsia" w:eastAsiaTheme="minorEastAsia" w:cstheme="minorEastAsia"/>
                <w:color w:val="auto"/>
                <w:sz w:val="24"/>
              </w:rPr>
            </w:pPr>
          </w:p>
        </w:tc>
      </w:tr>
      <w:tr w14:paraId="7D6EF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2E56D222">
            <w:pPr>
              <w:spacing w:line="560" w:lineRule="exact"/>
              <w:rPr>
                <w:rFonts w:asciiTheme="minorEastAsia" w:hAnsiTheme="minorEastAsia" w:eastAsiaTheme="minorEastAsia" w:cstheme="minorEastAsia"/>
                <w:color w:val="auto"/>
                <w:sz w:val="24"/>
              </w:rPr>
            </w:pPr>
          </w:p>
        </w:tc>
        <w:tc>
          <w:tcPr>
            <w:tcW w:w="1944" w:type="pct"/>
            <w:vAlign w:val="center"/>
          </w:tcPr>
          <w:p w14:paraId="3AAB7871">
            <w:pPr>
              <w:spacing w:line="560" w:lineRule="exact"/>
              <w:rPr>
                <w:rFonts w:asciiTheme="minorEastAsia" w:hAnsiTheme="minorEastAsia" w:eastAsiaTheme="minorEastAsia" w:cstheme="minorEastAsia"/>
                <w:color w:val="auto"/>
                <w:sz w:val="24"/>
                <w:u w:val="single"/>
              </w:rPr>
            </w:pPr>
          </w:p>
        </w:tc>
      </w:tr>
      <w:tr w14:paraId="23DC5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2191501D">
            <w:pPr>
              <w:spacing w:line="560" w:lineRule="exact"/>
              <w:rPr>
                <w:rFonts w:asciiTheme="minorEastAsia" w:hAnsiTheme="minorEastAsia" w:eastAsiaTheme="minorEastAsia" w:cstheme="minorEastAsia"/>
                <w:color w:val="auto"/>
                <w:sz w:val="24"/>
              </w:rPr>
            </w:pPr>
          </w:p>
        </w:tc>
        <w:tc>
          <w:tcPr>
            <w:tcW w:w="1944" w:type="pct"/>
            <w:vAlign w:val="center"/>
          </w:tcPr>
          <w:p w14:paraId="2316FC97">
            <w:pPr>
              <w:spacing w:line="560" w:lineRule="exact"/>
              <w:rPr>
                <w:rFonts w:asciiTheme="minorEastAsia" w:hAnsiTheme="minorEastAsia" w:eastAsiaTheme="minorEastAsia" w:cstheme="minorEastAsia"/>
                <w:color w:val="auto"/>
                <w:sz w:val="24"/>
              </w:rPr>
            </w:pPr>
          </w:p>
        </w:tc>
      </w:tr>
      <w:tr w14:paraId="3957F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717EE9B0">
            <w:pPr>
              <w:spacing w:line="560" w:lineRule="exact"/>
              <w:rPr>
                <w:rFonts w:asciiTheme="minorEastAsia" w:hAnsiTheme="minorEastAsia" w:eastAsiaTheme="minorEastAsia" w:cstheme="minorEastAsia"/>
                <w:color w:val="auto"/>
                <w:sz w:val="24"/>
              </w:rPr>
            </w:pPr>
          </w:p>
        </w:tc>
        <w:tc>
          <w:tcPr>
            <w:tcW w:w="1944" w:type="pct"/>
            <w:vAlign w:val="center"/>
          </w:tcPr>
          <w:p w14:paraId="62975F5D">
            <w:pPr>
              <w:spacing w:line="560" w:lineRule="exact"/>
              <w:rPr>
                <w:rFonts w:asciiTheme="minorEastAsia" w:hAnsiTheme="minorEastAsia" w:eastAsiaTheme="minorEastAsia" w:cstheme="minorEastAsia"/>
                <w:color w:val="auto"/>
                <w:sz w:val="24"/>
                <w:u w:val="single"/>
              </w:rPr>
            </w:pPr>
          </w:p>
        </w:tc>
      </w:tr>
      <w:tr w14:paraId="21D31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059AA1D7">
            <w:pPr>
              <w:spacing w:line="560" w:lineRule="exact"/>
              <w:rPr>
                <w:rFonts w:asciiTheme="minorEastAsia" w:hAnsiTheme="minorEastAsia" w:eastAsiaTheme="minorEastAsia" w:cstheme="minorEastAsia"/>
                <w:color w:val="auto"/>
                <w:sz w:val="24"/>
              </w:rPr>
            </w:pPr>
          </w:p>
        </w:tc>
        <w:tc>
          <w:tcPr>
            <w:tcW w:w="1944" w:type="pct"/>
            <w:vAlign w:val="center"/>
          </w:tcPr>
          <w:p w14:paraId="6B1A4C78">
            <w:pPr>
              <w:spacing w:line="560" w:lineRule="exact"/>
              <w:rPr>
                <w:rFonts w:asciiTheme="minorEastAsia" w:hAnsiTheme="minorEastAsia" w:eastAsiaTheme="minorEastAsia" w:cstheme="minorEastAsia"/>
                <w:color w:val="auto"/>
                <w:sz w:val="24"/>
              </w:rPr>
            </w:pPr>
          </w:p>
        </w:tc>
      </w:tr>
      <w:tr w14:paraId="3C559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5EDA6F62">
            <w:pPr>
              <w:spacing w:line="560" w:lineRule="exact"/>
              <w:rPr>
                <w:rFonts w:asciiTheme="minorEastAsia" w:hAnsiTheme="minorEastAsia" w:eastAsiaTheme="minorEastAsia" w:cstheme="minorEastAsia"/>
                <w:color w:val="auto"/>
                <w:sz w:val="24"/>
              </w:rPr>
            </w:pPr>
          </w:p>
        </w:tc>
        <w:tc>
          <w:tcPr>
            <w:tcW w:w="1944" w:type="pct"/>
            <w:vAlign w:val="center"/>
          </w:tcPr>
          <w:p w14:paraId="422B2825">
            <w:pPr>
              <w:spacing w:line="560" w:lineRule="exact"/>
              <w:rPr>
                <w:rFonts w:asciiTheme="minorEastAsia" w:hAnsiTheme="minorEastAsia" w:eastAsiaTheme="minorEastAsia" w:cstheme="minorEastAsia"/>
                <w:color w:val="auto"/>
                <w:sz w:val="24"/>
              </w:rPr>
            </w:pPr>
          </w:p>
        </w:tc>
      </w:tr>
      <w:tr w14:paraId="61A04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7AF60918">
            <w:pPr>
              <w:spacing w:line="560" w:lineRule="exact"/>
              <w:rPr>
                <w:rFonts w:asciiTheme="minorEastAsia" w:hAnsiTheme="minorEastAsia" w:eastAsiaTheme="minorEastAsia" w:cstheme="minorEastAsia"/>
                <w:color w:val="auto"/>
                <w:sz w:val="24"/>
              </w:rPr>
            </w:pPr>
          </w:p>
        </w:tc>
        <w:tc>
          <w:tcPr>
            <w:tcW w:w="1944" w:type="pct"/>
            <w:vAlign w:val="center"/>
          </w:tcPr>
          <w:p w14:paraId="6A950BDE">
            <w:pPr>
              <w:spacing w:line="560" w:lineRule="exact"/>
              <w:rPr>
                <w:rFonts w:asciiTheme="minorEastAsia" w:hAnsiTheme="minorEastAsia" w:eastAsiaTheme="minorEastAsia" w:cstheme="minorEastAsia"/>
                <w:color w:val="auto"/>
                <w:sz w:val="24"/>
              </w:rPr>
            </w:pPr>
          </w:p>
        </w:tc>
      </w:tr>
      <w:tr w14:paraId="3ABE1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7DCC7532">
            <w:pPr>
              <w:spacing w:line="560" w:lineRule="exact"/>
              <w:rPr>
                <w:rFonts w:asciiTheme="minorEastAsia" w:hAnsiTheme="minorEastAsia" w:eastAsiaTheme="minorEastAsia" w:cstheme="minorEastAsia"/>
                <w:color w:val="auto"/>
                <w:sz w:val="24"/>
              </w:rPr>
            </w:pPr>
          </w:p>
        </w:tc>
        <w:tc>
          <w:tcPr>
            <w:tcW w:w="1944" w:type="pct"/>
            <w:vAlign w:val="center"/>
          </w:tcPr>
          <w:p w14:paraId="7C4D8CE4">
            <w:pPr>
              <w:spacing w:line="560" w:lineRule="exact"/>
              <w:rPr>
                <w:rFonts w:asciiTheme="minorEastAsia" w:hAnsiTheme="minorEastAsia" w:eastAsiaTheme="minorEastAsia" w:cstheme="minorEastAsia"/>
                <w:color w:val="auto"/>
                <w:sz w:val="24"/>
              </w:rPr>
            </w:pPr>
          </w:p>
        </w:tc>
      </w:tr>
      <w:tr w14:paraId="6562C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67A62143">
            <w:pPr>
              <w:spacing w:line="560" w:lineRule="exact"/>
              <w:rPr>
                <w:rFonts w:asciiTheme="minorEastAsia" w:hAnsiTheme="minorEastAsia" w:eastAsiaTheme="minorEastAsia" w:cstheme="minorEastAsia"/>
                <w:color w:val="auto"/>
                <w:sz w:val="24"/>
              </w:rPr>
            </w:pPr>
          </w:p>
        </w:tc>
        <w:tc>
          <w:tcPr>
            <w:tcW w:w="1944" w:type="pct"/>
            <w:vAlign w:val="center"/>
          </w:tcPr>
          <w:p w14:paraId="3E644683">
            <w:pPr>
              <w:spacing w:line="560" w:lineRule="exact"/>
              <w:rPr>
                <w:rFonts w:asciiTheme="minorEastAsia" w:hAnsiTheme="minorEastAsia" w:eastAsiaTheme="minorEastAsia" w:cstheme="minorEastAsia"/>
                <w:color w:val="auto"/>
                <w:sz w:val="24"/>
              </w:rPr>
            </w:pPr>
          </w:p>
        </w:tc>
      </w:tr>
    </w:tbl>
    <w:p w14:paraId="31621639">
      <w:pPr>
        <w:pStyle w:val="2"/>
        <w:numPr>
          <w:ilvl w:val="0"/>
          <w:numId w:val="6"/>
        </w:numPr>
        <w:ind w:left="0"/>
        <w:rPr>
          <w:i w:val="0"/>
          <w:iCs w:val="0"/>
          <w:color w:val="auto"/>
          <w:sz w:val="24"/>
          <w:szCs w:val="24"/>
          <w:lang w:val="en-US"/>
        </w:rPr>
        <w:sectPr>
          <w:pgSz w:w="11910" w:h="16840"/>
          <w:pgMar w:top="1134" w:right="1134" w:bottom="1134" w:left="1134" w:header="878" w:footer="1052" w:gutter="0"/>
          <w:pgBorders>
            <w:top w:val="none" w:sz="0" w:space="0"/>
            <w:left w:val="none" w:sz="0" w:space="0"/>
            <w:bottom w:val="none" w:sz="0" w:space="0"/>
            <w:right w:val="none" w:sz="0" w:space="0"/>
          </w:pgBorders>
          <w:pgNumType w:fmt="decimal"/>
          <w:cols w:equalWidth="0" w:num="1">
            <w:col w:w="10590"/>
          </w:cols>
        </w:sectPr>
      </w:pPr>
    </w:p>
    <w:p w14:paraId="08F46518">
      <w:pPr>
        <w:pStyle w:val="2"/>
        <w:numPr>
          <w:ilvl w:val="0"/>
          <w:numId w:val="6"/>
        </w:numPr>
        <w:ind w:left="0"/>
        <w:jc w:val="center"/>
        <w:outlineLvl w:val="0"/>
        <w:rPr>
          <w:b/>
          <w:bCs/>
          <w:i w:val="0"/>
          <w:iCs w:val="0"/>
          <w:color w:val="auto"/>
          <w:sz w:val="28"/>
          <w:szCs w:val="28"/>
          <w:lang w:val="en-US"/>
        </w:rPr>
      </w:pPr>
      <w:bookmarkStart w:id="482" w:name="_Toc19283"/>
      <w:r>
        <w:rPr>
          <w:rFonts w:hint="eastAsia"/>
          <w:b/>
          <w:bCs/>
          <w:i w:val="0"/>
          <w:iCs w:val="0"/>
          <w:color w:val="auto"/>
          <w:sz w:val="28"/>
          <w:szCs w:val="28"/>
          <w:lang w:val="en-US"/>
        </w:rPr>
        <w:t>评审方法和标准</w:t>
      </w:r>
      <w:bookmarkEnd w:id="482"/>
    </w:p>
    <w:p w14:paraId="6F255B64">
      <w:pPr>
        <w:pStyle w:val="10"/>
        <w:spacing w:line="340" w:lineRule="exact"/>
        <w:ind w:firstLine="540" w:firstLineChars="225"/>
        <w:rPr>
          <w:rFonts w:cs="宋体" w:asciiTheme="minorEastAsia" w:hAnsiTheme="minorEastAsia" w:eastAsiaTheme="minorEastAsia"/>
          <w:color w:val="auto"/>
          <w:sz w:val="24"/>
          <w:szCs w:val="22"/>
        </w:rPr>
      </w:pPr>
      <w:r>
        <w:rPr>
          <w:rFonts w:hint="eastAsia" w:cs="宋体" w:asciiTheme="minorEastAsia" w:hAnsiTheme="minorEastAsia" w:eastAsiaTheme="minorEastAsia"/>
          <w:color w:val="auto"/>
          <w:sz w:val="24"/>
          <w:szCs w:val="22"/>
        </w:rPr>
        <w:t>本项目将按照磋商文件第一章供应商须知中“五 响应文件开启及评审”、“六 确定成交”及本章的规定评审。</w:t>
      </w:r>
    </w:p>
    <w:p w14:paraId="4D923A55">
      <w:pPr>
        <w:pStyle w:val="10"/>
        <w:spacing w:before="100" w:after="100" w:line="34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（内容要包括</w:t>
      </w:r>
      <w:r>
        <w:rPr>
          <w:rFonts w:hint="eastAsia" w:cs="宋体" w:asciiTheme="minorEastAsia" w:hAnsiTheme="minorEastAsia" w:eastAsiaTheme="minorEastAsia"/>
          <w:b/>
          <w:bCs/>
          <w:color w:val="auto"/>
        </w:rPr>
        <w:t>响应无效</w:t>
      </w:r>
      <w:r>
        <w:rPr>
          <w:rFonts w:hint="eastAsia" w:cs="宋体" w:asciiTheme="minorEastAsia" w:hAnsiTheme="minorEastAsia" w:eastAsiaTheme="minorEastAsia"/>
          <w:color w:val="auto"/>
        </w:rPr>
        <w:t>界定和详细评审标准）</w:t>
      </w:r>
    </w:p>
    <w:p w14:paraId="68D65402">
      <w:pPr>
        <w:widowControl/>
        <w:spacing w:line="340" w:lineRule="exact"/>
        <w:rPr>
          <w:rFonts w:cs="宋体" w:asciiTheme="minorEastAsia" w:hAnsiTheme="minorEastAsia" w:eastAsiaTheme="minorEastAsia"/>
          <w:color w:val="auto"/>
          <w:sz w:val="24"/>
        </w:rPr>
      </w:pPr>
      <w:bookmarkStart w:id="483" w:name="_Toc10595"/>
      <w:r>
        <w:rPr>
          <w:rFonts w:hint="eastAsia" w:cs="宋体" w:asciiTheme="minorEastAsia" w:hAnsiTheme="minorEastAsia" w:eastAsiaTheme="minorEastAsia"/>
          <w:color w:val="auto"/>
          <w:sz w:val="24"/>
        </w:rPr>
        <w:t>注：1.根据《政府采购促进中小企业发展暂行办法》（财库[2011]181号）、《财政部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cs="宋体" w:asciiTheme="minorEastAsia" w:hAnsiTheme="minorEastAsia" w:eastAsiaTheme="minorEastAsia"/>
          <w:color w:val="auto"/>
          <w:sz w:val="24"/>
          <w:u w:val="single"/>
          <w:lang w:val="en-US" w:eastAsia="zh-CN"/>
        </w:rPr>
        <w:t>/</w:t>
      </w:r>
      <w:r>
        <w:rPr>
          <w:rFonts w:hint="eastAsia" w:cs="宋体" w:asciiTheme="minorEastAsia" w:hAnsiTheme="minorEastAsia" w:eastAsiaTheme="minorEastAsia"/>
          <w:b/>
          <w:bCs/>
          <w:color w:val="auto"/>
          <w:sz w:val="24"/>
          <w:u w:val="single"/>
        </w:rPr>
        <w:t xml:space="preserve"> </w:t>
      </w:r>
      <w:r>
        <w:rPr>
          <w:rFonts w:hint="eastAsia" w:cs="宋体" w:asciiTheme="minorEastAsia" w:hAnsiTheme="minorEastAsia" w:eastAsiaTheme="minorEastAsia"/>
          <w:b/>
          <w:bCs/>
          <w:color w:val="auto"/>
          <w:sz w:val="24"/>
        </w:rPr>
        <w:t>%</w:t>
      </w:r>
      <w:r>
        <w:rPr>
          <w:rFonts w:hint="eastAsia" w:cs="宋体" w:asciiTheme="minorEastAsia" w:hAnsiTheme="minorEastAsia" w:eastAsiaTheme="minorEastAsia"/>
          <w:color w:val="auto"/>
          <w:sz w:val="24"/>
        </w:rPr>
        <w:t>后参与评审。对于同时属于小微企业、监狱企业或残疾人福利性单位的，不重复进行报价扣除。</w:t>
      </w:r>
    </w:p>
    <w:p w14:paraId="2EF01288">
      <w:pPr>
        <w:widowControl/>
        <w:spacing w:line="3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2.联合协议中约定，小型、微型企业和监狱企业的协议合同金额占到联合体协议合同总金额30%以上的，可给予联合体</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%的价格扣除。（本项目不适用）</w:t>
      </w:r>
    </w:p>
    <w:p w14:paraId="7D22A2EB">
      <w:pPr>
        <w:widowControl/>
        <w:spacing w:line="34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联合体各方均为小型、微型企业和监狱企业的，联合体视同为小型、微型企业和监狱企业。</w:t>
      </w:r>
    </w:p>
    <w:p w14:paraId="779DFD65">
      <w:pPr>
        <w:pStyle w:val="10"/>
        <w:spacing w:line="340" w:lineRule="exact"/>
        <w:ind w:left="-64" w:leftChars="-29" w:firstLine="540" w:firstLineChars="225"/>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3.供应商所投产品如被列入财政部与国家主管部门颁发的节能产品目录或环境标志产品目录或无线局域网产品目录，应提供相关证明，在评审时予以优先采购，具体优惠措施为</w:t>
      </w:r>
      <w:r>
        <w:rPr>
          <w:rFonts w:hint="eastAsia" w:cs="宋体" w:asciiTheme="minorEastAsia" w:hAnsiTheme="minorEastAsia" w:eastAsiaTheme="minorEastAsia"/>
          <w:color w:val="auto"/>
          <w:sz w:val="24"/>
          <w:szCs w:val="24"/>
          <w:u w:val="single"/>
        </w:rPr>
        <w:t>： 供应商所投产品应优先选择《财政部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02D31946">
      <w:pPr>
        <w:pStyle w:val="10"/>
        <w:spacing w:line="340" w:lineRule="exact"/>
        <w:ind w:left="-189" w:leftChars="-86" w:firstLine="660" w:firstLineChars="27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4.如采购人所采购产品为政府强制采购的节能产品，供应商所投产品的品牌及型号必须为清单中有效期内产品并提供证明文件，否则其响应将被认定为</w:t>
      </w:r>
      <w:r>
        <w:rPr>
          <w:rFonts w:hint="eastAsia" w:cs="宋体" w:asciiTheme="minorEastAsia" w:hAnsiTheme="minorEastAsia" w:eastAsiaTheme="minorEastAsia"/>
          <w:b/>
          <w:bCs/>
          <w:color w:val="auto"/>
          <w:sz w:val="24"/>
          <w:szCs w:val="24"/>
        </w:rPr>
        <w:t>响应无效</w:t>
      </w:r>
      <w:r>
        <w:rPr>
          <w:rFonts w:hint="eastAsia" w:cs="宋体" w:asciiTheme="minorEastAsia" w:hAnsiTheme="minorEastAsia" w:eastAsiaTheme="minorEastAsia"/>
          <w:color w:val="auto"/>
          <w:sz w:val="24"/>
          <w:szCs w:val="24"/>
        </w:rPr>
        <w:t>。</w:t>
      </w:r>
    </w:p>
    <w:p w14:paraId="1BDD64AB">
      <w:pPr>
        <w:pStyle w:val="10"/>
        <w:spacing w:line="340" w:lineRule="exact"/>
        <w:ind w:firstLine="56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5.对创新产品或创新性企业的优惠措施为</w:t>
      </w:r>
      <w:r>
        <w:rPr>
          <w:rFonts w:hint="eastAsia" w:cs="宋体" w:asciiTheme="minorEastAsia" w:hAnsiTheme="minorEastAsia" w:eastAsiaTheme="minorEastAsia"/>
          <w:color w:val="auto"/>
          <w:u w:val="single"/>
        </w:rPr>
        <w:t xml:space="preserve">：    /       </w:t>
      </w:r>
    </w:p>
    <w:p w14:paraId="18980EF7">
      <w:pPr>
        <w:pStyle w:val="10"/>
        <w:spacing w:line="340" w:lineRule="exact"/>
        <w:ind w:left="-189" w:leftChars="-86" w:firstLine="660" w:firstLineChars="27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6.同品牌处理办法：参照《政府采购货物和服务招标投标管理办法》第三十一条规定。</w:t>
      </w:r>
    </w:p>
    <w:p w14:paraId="746C8389">
      <w:pPr>
        <w:pStyle w:val="10"/>
        <w:spacing w:line="340" w:lineRule="exact"/>
        <w:ind w:left="-189" w:leftChars="-86" w:firstLine="660" w:firstLineChars="275"/>
        <w:rPr>
          <w:rFonts w:cs="宋体" w:asciiTheme="minorEastAsia" w:hAnsiTheme="minorEastAsia" w:eastAsiaTheme="minorEastAsia"/>
          <w:color w:val="auto"/>
        </w:rPr>
      </w:pPr>
      <w:r>
        <w:rPr>
          <w:rFonts w:hint="eastAsia" w:cs="宋体" w:asciiTheme="minorEastAsia" w:hAnsiTheme="minorEastAsia" w:eastAsiaTheme="minorEastAsia"/>
          <w:color w:val="auto"/>
          <w:sz w:val="24"/>
          <w:szCs w:val="24"/>
        </w:rPr>
        <w:t>如采用综合评分法，则：</w:t>
      </w:r>
      <w:r>
        <w:rPr>
          <w:rFonts w:hint="eastAsia" w:cs="宋体" w:asciiTheme="minorEastAsia" w:hAnsiTheme="minorEastAsia" w:eastAsiaTheme="minorEastAsia"/>
          <w:color w:val="auto"/>
          <w:sz w:val="24"/>
          <w:szCs w:val="24"/>
          <w:u w:val="single"/>
        </w:rPr>
        <w:t xml:space="preserve">  提供相同品牌产品且通过资格审查、符合性审查的不同供应商参加同一合同项下投标的，按一家供应商计算，评审后得分最高的同品牌供应商获得成交人推荐资格;评审得分相同的，由采购人或者采购人委托评审委员会按照磋商文件规定的方式确定一个供应商获得成交人推荐资格，磋商文件未规定的采取随机抽取方式确定，其他同品牌供应商不作为成交候选人。 </w:t>
      </w:r>
      <w:r>
        <w:rPr>
          <w:rFonts w:hint="eastAsia" w:cs="宋体" w:asciiTheme="minorEastAsia" w:hAnsiTheme="minorEastAsia" w:eastAsiaTheme="minorEastAsia"/>
          <w:color w:val="auto"/>
          <w:u w:val="single"/>
        </w:rPr>
        <w:t xml:space="preserve"> </w:t>
      </w:r>
    </w:p>
    <w:p w14:paraId="3EA93F8C">
      <w:pPr>
        <w:pStyle w:val="10"/>
        <w:spacing w:line="340" w:lineRule="exact"/>
        <w:ind w:left="-189" w:leftChars="-86" w:firstLine="660" w:firstLineChars="27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7.成交候选人并列式时的处理方式：   </w:t>
      </w:r>
    </w:p>
    <w:p w14:paraId="3826E4D2">
      <w:pPr>
        <w:pStyle w:val="7"/>
        <w:ind w:firstLine="440"/>
        <w:rPr>
          <w:rFonts w:cs="宋体" w:asciiTheme="minorEastAsia" w:hAnsiTheme="minorEastAsia" w:eastAsiaTheme="minorEastAsia"/>
          <w:color w:val="auto"/>
        </w:rPr>
      </w:pPr>
      <w:r>
        <w:rPr>
          <w:rFonts w:hint="eastAsia" w:cs="宋体" w:asciiTheme="minorEastAsia" w:hAnsiTheme="minorEastAsia" w:eastAsiaTheme="minorEastAsia"/>
          <w:color w:val="auto"/>
        </w:rPr>
        <w:t>如采用综合评分法，则：</w:t>
      </w:r>
      <w:r>
        <w:rPr>
          <w:rFonts w:hint="eastAsia" w:cs="宋体" w:asciiTheme="minorEastAsia" w:hAnsiTheme="minorEastAsia" w:eastAsiaTheme="minorEastAsia"/>
          <w:color w:val="auto"/>
          <w:u w:val="single"/>
        </w:rPr>
        <w:t xml:space="preserve"> 自收到评审报告之日起5个工作日内，在评审报告确定的成交候选人名单中按顺序确定成交人  </w:t>
      </w:r>
      <w:r>
        <w:rPr>
          <w:rFonts w:hint="eastAsia" w:cs="宋体" w:asciiTheme="minorEastAsia" w:hAnsiTheme="minorEastAsia" w:eastAsiaTheme="minorEastAsia"/>
          <w:color w:val="auto"/>
        </w:rPr>
        <w:t xml:space="preserve"> 。</w:t>
      </w:r>
    </w:p>
    <w:p w14:paraId="0BF13AE9">
      <w:pPr>
        <w:spacing w:line="300" w:lineRule="auto"/>
        <w:jc w:val="center"/>
        <w:rPr>
          <w:rFonts w:ascii="宋体" w:hAnsi="宋体" w:cs="宋体"/>
          <w:b/>
          <w:color w:val="auto"/>
          <w:spacing w:val="-2"/>
          <w:sz w:val="24"/>
        </w:rPr>
      </w:pPr>
    </w:p>
    <w:p w14:paraId="57FFE298">
      <w:pPr>
        <w:spacing w:line="300" w:lineRule="auto"/>
        <w:jc w:val="center"/>
        <w:rPr>
          <w:rFonts w:ascii="宋体" w:hAnsi="宋体" w:cs="宋体"/>
          <w:b/>
          <w:color w:val="auto"/>
          <w:spacing w:val="-2"/>
          <w:sz w:val="24"/>
        </w:rPr>
      </w:pPr>
    </w:p>
    <w:p w14:paraId="1417A7DB">
      <w:pPr>
        <w:spacing w:line="300" w:lineRule="auto"/>
        <w:jc w:val="center"/>
        <w:rPr>
          <w:rFonts w:ascii="宋体" w:hAnsi="宋体" w:cs="宋体"/>
          <w:b/>
          <w:color w:val="auto"/>
          <w:spacing w:val="-2"/>
          <w:sz w:val="24"/>
        </w:rPr>
      </w:pPr>
    </w:p>
    <w:p w14:paraId="2E54C0DA">
      <w:pPr>
        <w:spacing w:line="300" w:lineRule="auto"/>
        <w:jc w:val="center"/>
        <w:rPr>
          <w:rFonts w:ascii="宋体" w:hAnsi="宋体" w:cs="宋体"/>
          <w:b/>
          <w:color w:val="auto"/>
          <w:spacing w:val="-2"/>
          <w:sz w:val="24"/>
        </w:rPr>
      </w:pPr>
    </w:p>
    <w:p w14:paraId="68496E8D">
      <w:pPr>
        <w:spacing w:line="300" w:lineRule="auto"/>
        <w:jc w:val="center"/>
        <w:rPr>
          <w:rFonts w:hint="eastAsia" w:ascii="宋体" w:hAnsi="宋体" w:cs="宋体"/>
          <w:b/>
          <w:color w:val="auto"/>
          <w:spacing w:val="-2"/>
          <w:sz w:val="24"/>
        </w:rPr>
        <w:sectPr>
          <w:headerReference r:id="rId11" w:type="default"/>
          <w:footerReference r:id="rId12" w:type="default"/>
          <w:pgSz w:w="11906" w:h="16838"/>
          <w:pgMar w:top="1474" w:right="1531"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5F1741D">
      <w:pPr>
        <w:spacing w:line="300" w:lineRule="auto"/>
        <w:jc w:val="center"/>
        <w:rPr>
          <w:rFonts w:ascii="宋体" w:hAnsi="宋体" w:cs="宋体"/>
          <w:b/>
          <w:color w:val="auto"/>
          <w:sz w:val="24"/>
        </w:rPr>
      </w:pPr>
      <w:r>
        <w:rPr>
          <w:rFonts w:hint="eastAsia" w:ascii="宋体" w:hAnsi="宋体" w:cs="宋体"/>
          <w:b/>
          <w:color w:val="auto"/>
          <w:spacing w:val="-2"/>
          <w:sz w:val="24"/>
        </w:rPr>
        <w:t xml:space="preserve">附表一     </w:t>
      </w:r>
      <w:r>
        <w:rPr>
          <w:rFonts w:hint="eastAsia" w:ascii="宋体" w:hAnsi="宋体" w:cs="宋体"/>
          <w:b/>
          <w:color w:val="auto"/>
          <w:sz w:val="24"/>
        </w:rPr>
        <w:t>响应文件—资格性审查表</w:t>
      </w:r>
      <w:bookmarkEnd w:id="483"/>
    </w:p>
    <w:tbl>
      <w:tblPr>
        <w:tblStyle w:val="20"/>
        <w:tblpPr w:leftFromText="180" w:rightFromText="180" w:vertAnchor="text" w:horzAnchor="page" w:tblpXSpec="center" w:tblpY="116"/>
        <w:tblOverlap w:val="never"/>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01"/>
        <w:gridCol w:w="783"/>
        <w:gridCol w:w="687"/>
        <w:gridCol w:w="717"/>
      </w:tblGrid>
      <w:tr w14:paraId="2043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4" w:type="dxa"/>
            <w:vMerge w:val="restart"/>
            <w:vAlign w:val="center"/>
          </w:tcPr>
          <w:p w14:paraId="106997E2">
            <w:pPr>
              <w:jc w:val="center"/>
              <w:rPr>
                <w:rFonts w:ascii="宋体" w:hAnsi="宋体" w:cs="宋体"/>
                <w:color w:val="auto"/>
                <w:sz w:val="24"/>
              </w:rPr>
            </w:pPr>
            <w:r>
              <w:rPr>
                <w:rFonts w:hint="eastAsia" w:ascii="宋体" w:hAnsi="宋体" w:cs="宋体"/>
                <w:color w:val="auto"/>
                <w:sz w:val="24"/>
              </w:rPr>
              <w:t>序号</w:t>
            </w:r>
          </w:p>
        </w:tc>
        <w:tc>
          <w:tcPr>
            <w:tcW w:w="7301" w:type="dxa"/>
            <w:vMerge w:val="restart"/>
            <w:vAlign w:val="center"/>
          </w:tcPr>
          <w:p w14:paraId="54746493">
            <w:pPr>
              <w:jc w:val="center"/>
              <w:rPr>
                <w:rFonts w:ascii="宋体" w:hAnsi="宋体" w:cs="宋体"/>
                <w:color w:val="auto"/>
                <w:sz w:val="24"/>
              </w:rPr>
            </w:pPr>
            <w:r>
              <w:rPr>
                <w:rFonts w:hint="eastAsia" w:ascii="宋体" w:hAnsi="宋体" w:cs="宋体"/>
                <w:color w:val="auto"/>
                <w:sz w:val="24"/>
              </w:rPr>
              <w:t>评审内容</w:t>
            </w:r>
          </w:p>
        </w:tc>
        <w:tc>
          <w:tcPr>
            <w:tcW w:w="2187" w:type="dxa"/>
            <w:gridSpan w:val="3"/>
            <w:vAlign w:val="center"/>
          </w:tcPr>
          <w:p w14:paraId="7C62DD62">
            <w:pPr>
              <w:jc w:val="center"/>
              <w:rPr>
                <w:rFonts w:ascii="宋体" w:hAnsi="宋体" w:cs="宋体"/>
                <w:color w:val="auto"/>
                <w:sz w:val="24"/>
              </w:rPr>
            </w:pPr>
            <w:r>
              <w:rPr>
                <w:rFonts w:hint="eastAsia" w:ascii="宋体" w:hAnsi="宋体" w:cs="宋体"/>
                <w:color w:val="auto"/>
                <w:sz w:val="24"/>
              </w:rPr>
              <w:t>供应商名称及审查情况</w:t>
            </w:r>
          </w:p>
        </w:tc>
      </w:tr>
      <w:tr w14:paraId="0E9F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34" w:type="dxa"/>
            <w:vMerge w:val="continue"/>
            <w:vAlign w:val="center"/>
          </w:tcPr>
          <w:p w14:paraId="2390F60A">
            <w:pPr>
              <w:jc w:val="center"/>
              <w:rPr>
                <w:rFonts w:ascii="宋体" w:hAnsi="宋体" w:cs="宋体"/>
                <w:color w:val="auto"/>
                <w:sz w:val="24"/>
              </w:rPr>
            </w:pPr>
          </w:p>
        </w:tc>
        <w:tc>
          <w:tcPr>
            <w:tcW w:w="7301" w:type="dxa"/>
            <w:vMerge w:val="continue"/>
            <w:vAlign w:val="center"/>
          </w:tcPr>
          <w:p w14:paraId="4B87906E">
            <w:pPr>
              <w:jc w:val="center"/>
              <w:rPr>
                <w:rFonts w:ascii="宋体" w:hAnsi="宋体" w:cs="宋体"/>
                <w:color w:val="auto"/>
                <w:sz w:val="24"/>
              </w:rPr>
            </w:pPr>
          </w:p>
        </w:tc>
        <w:tc>
          <w:tcPr>
            <w:tcW w:w="783" w:type="dxa"/>
            <w:vAlign w:val="center"/>
          </w:tcPr>
          <w:p w14:paraId="281D8EB7">
            <w:pPr>
              <w:jc w:val="center"/>
              <w:rPr>
                <w:rFonts w:ascii="宋体" w:hAnsi="宋体" w:cs="宋体"/>
                <w:color w:val="auto"/>
                <w:sz w:val="22"/>
                <w:szCs w:val="21"/>
              </w:rPr>
            </w:pPr>
            <w:r>
              <w:rPr>
                <w:rFonts w:hint="eastAsia" w:ascii="宋体" w:hAnsi="宋体" w:cs="宋体"/>
                <w:color w:val="auto"/>
                <w:sz w:val="22"/>
                <w:szCs w:val="21"/>
              </w:rPr>
              <w:t>是否合格</w:t>
            </w:r>
          </w:p>
        </w:tc>
        <w:tc>
          <w:tcPr>
            <w:tcW w:w="687" w:type="dxa"/>
            <w:vAlign w:val="center"/>
          </w:tcPr>
          <w:p w14:paraId="1D5E9C00">
            <w:pPr>
              <w:jc w:val="center"/>
              <w:rPr>
                <w:rFonts w:ascii="宋体" w:hAnsi="宋体" w:cs="宋体"/>
                <w:color w:val="auto"/>
                <w:sz w:val="22"/>
                <w:szCs w:val="21"/>
              </w:rPr>
            </w:pPr>
            <w:r>
              <w:rPr>
                <w:rFonts w:hint="eastAsia" w:ascii="宋体" w:hAnsi="宋体" w:cs="宋体"/>
                <w:color w:val="auto"/>
                <w:sz w:val="22"/>
                <w:szCs w:val="21"/>
              </w:rPr>
              <w:t>是否合格</w:t>
            </w:r>
          </w:p>
        </w:tc>
        <w:tc>
          <w:tcPr>
            <w:tcW w:w="717" w:type="dxa"/>
            <w:vAlign w:val="center"/>
          </w:tcPr>
          <w:p w14:paraId="29322781">
            <w:pPr>
              <w:jc w:val="center"/>
              <w:rPr>
                <w:rFonts w:ascii="宋体" w:hAnsi="宋体" w:cs="宋体"/>
                <w:color w:val="auto"/>
                <w:sz w:val="22"/>
                <w:szCs w:val="21"/>
              </w:rPr>
            </w:pPr>
            <w:r>
              <w:rPr>
                <w:rFonts w:hint="eastAsia" w:ascii="宋体" w:hAnsi="宋体" w:cs="宋体"/>
                <w:color w:val="auto"/>
                <w:sz w:val="22"/>
                <w:szCs w:val="21"/>
              </w:rPr>
              <w:t>是否合格</w:t>
            </w:r>
          </w:p>
        </w:tc>
      </w:tr>
      <w:tr w14:paraId="527D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534" w:type="dxa"/>
            <w:vAlign w:val="center"/>
          </w:tcPr>
          <w:p w14:paraId="0CD64E33">
            <w:pPr>
              <w:jc w:val="center"/>
              <w:rPr>
                <w:rFonts w:ascii="宋体" w:hAnsi="宋体" w:cs="宋体"/>
                <w:color w:val="auto"/>
                <w:sz w:val="24"/>
              </w:rPr>
            </w:pPr>
            <w:r>
              <w:rPr>
                <w:rFonts w:hint="eastAsia" w:ascii="宋体" w:hAnsi="宋体" w:cs="宋体"/>
                <w:color w:val="auto"/>
                <w:sz w:val="24"/>
              </w:rPr>
              <w:t>1</w:t>
            </w:r>
          </w:p>
        </w:tc>
        <w:tc>
          <w:tcPr>
            <w:tcW w:w="7301" w:type="dxa"/>
            <w:vAlign w:val="center"/>
          </w:tcPr>
          <w:p w14:paraId="76A70C95">
            <w:pPr>
              <w:rPr>
                <w:rFonts w:hint="eastAsia" w:ascii="宋体" w:hAnsi="宋体" w:cs="宋体"/>
                <w:color w:val="auto"/>
                <w:szCs w:val="21"/>
                <w:lang w:val="en-US"/>
              </w:rPr>
            </w:pPr>
            <w:r>
              <w:rPr>
                <w:rFonts w:hint="eastAsia" w:ascii="宋体" w:hAnsi="宋体" w:cs="宋体"/>
                <w:color w:val="auto"/>
                <w:szCs w:val="21"/>
                <w:lang w:val="en-US"/>
              </w:rPr>
              <w:t>1、符合《中华人民共和国政府采购法》第二十二条规定：</w:t>
            </w:r>
          </w:p>
          <w:p w14:paraId="23E49DDC">
            <w:pPr>
              <w:rPr>
                <w:rFonts w:hint="eastAsia" w:ascii="宋体" w:hAnsi="宋体" w:cs="宋体"/>
                <w:color w:val="auto"/>
                <w:szCs w:val="21"/>
                <w:lang w:val="en-US"/>
              </w:rPr>
            </w:pPr>
            <w:r>
              <w:rPr>
                <w:rFonts w:hint="eastAsia" w:ascii="宋体" w:hAnsi="宋体" w:cs="宋体"/>
                <w:color w:val="auto"/>
                <w:szCs w:val="21"/>
                <w:lang w:val="en-US"/>
              </w:rPr>
              <w:t>1）有效的营业执照或事业单位法人证书；</w:t>
            </w:r>
          </w:p>
          <w:p w14:paraId="3A6B41F7">
            <w:pPr>
              <w:rPr>
                <w:rFonts w:hint="eastAsia" w:ascii="宋体" w:hAnsi="宋体" w:cs="宋体"/>
                <w:color w:val="auto"/>
                <w:szCs w:val="21"/>
                <w:lang w:val="en-US"/>
              </w:rPr>
            </w:pPr>
            <w:r>
              <w:rPr>
                <w:rFonts w:hint="eastAsia" w:ascii="宋体" w:hAnsi="宋体" w:cs="宋体"/>
                <w:color w:val="auto"/>
                <w:szCs w:val="21"/>
                <w:lang w:val="en-US"/>
              </w:rPr>
              <w:t>2）投标人在人员、设备、资金等方面具有相应的履约能力；</w:t>
            </w:r>
          </w:p>
          <w:p w14:paraId="75EDF522">
            <w:pPr>
              <w:rPr>
                <w:rFonts w:hint="eastAsia" w:ascii="宋体" w:hAnsi="宋体" w:cs="宋体"/>
                <w:color w:val="auto"/>
                <w:szCs w:val="21"/>
                <w:lang w:val="en-US"/>
              </w:rPr>
            </w:pPr>
            <w:r>
              <w:rPr>
                <w:rFonts w:hint="eastAsia" w:ascii="宋体" w:hAnsi="宋体" w:cs="宋体"/>
                <w:color w:val="auto"/>
                <w:szCs w:val="21"/>
                <w:lang w:val="en-US"/>
              </w:rPr>
              <w:t>3）提供税务登记证复印件或近半年</w:t>
            </w:r>
            <w:r>
              <w:rPr>
                <w:rFonts w:hint="eastAsia" w:ascii="宋体" w:hAnsi="宋体" w:cs="宋体"/>
                <w:color w:val="auto"/>
                <w:szCs w:val="21"/>
                <w:lang w:val="en-US" w:eastAsia="zh-CN"/>
              </w:rPr>
              <w:t>任意一个月</w:t>
            </w:r>
            <w:r>
              <w:rPr>
                <w:rFonts w:hint="eastAsia" w:ascii="宋体" w:hAnsi="宋体" w:cs="宋体"/>
                <w:color w:val="auto"/>
                <w:szCs w:val="21"/>
                <w:lang w:val="en-US"/>
              </w:rPr>
              <w:t>依法缴纳税收证明；</w:t>
            </w:r>
          </w:p>
          <w:p w14:paraId="1C1A432D">
            <w:pPr>
              <w:rPr>
                <w:rFonts w:hint="eastAsia" w:ascii="宋体" w:hAnsi="宋体" w:cs="宋体"/>
                <w:color w:val="auto"/>
                <w:szCs w:val="21"/>
                <w:lang w:val="en-US"/>
              </w:rPr>
            </w:pPr>
            <w:r>
              <w:rPr>
                <w:rFonts w:hint="eastAsia" w:ascii="宋体" w:hAnsi="宋体" w:cs="宋体"/>
                <w:color w:val="auto"/>
                <w:szCs w:val="21"/>
                <w:lang w:val="en-US"/>
              </w:rPr>
              <w:t>4）提供社会保险登记证或社保机构出具的近半年</w:t>
            </w:r>
            <w:r>
              <w:rPr>
                <w:rFonts w:hint="eastAsia" w:ascii="宋体" w:hAnsi="宋体" w:cs="宋体"/>
                <w:color w:val="auto"/>
                <w:szCs w:val="21"/>
                <w:lang w:val="en-US" w:eastAsia="zh-CN"/>
              </w:rPr>
              <w:t>任意一个月</w:t>
            </w:r>
            <w:r>
              <w:rPr>
                <w:rFonts w:hint="eastAsia" w:ascii="宋体" w:hAnsi="宋体" w:cs="宋体"/>
                <w:color w:val="auto"/>
                <w:szCs w:val="21"/>
                <w:lang w:val="en-US"/>
              </w:rPr>
              <w:t>社保缴纳明细；</w:t>
            </w:r>
          </w:p>
          <w:p w14:paraId="022090E4">
            <w:pPr>
              <w:rPr>
                <w:rFonts w:hint="eastAsia" w:ascii="宋体" w:hAnsi="宋体" w:eastAsia="仿宋" w:cs="宋体"/>
                <w:color w:val="auto"/>
                <w:sz w:val="24"/>
                <w:lang w:eastAsia="zh-CN"/>
              </w:rPr>
            </w:pPr>
            <w:r>
              <w:rPr>
                <w:rFonts w:hint="eastAsia" w:ascii="宋体" w:hAnsi="宋体" w:cs="宋体"/>
                <w:color w:val="auto"/>
                <w:szCs w:val="21"/>
                <w:lang w:val="en-US"/>
              </w:rPr>
              <w:t>5）供应商近三年应在“信用中国”网站（</w:t>
            </w:r>
            <w:r>
              <w:rPr>
                <w:rFonts w:hint="eastAsia" w:ascii="宋体" w:hAnsi="宋体" w:cs="宋体"/>
                <w:color w:val="auto"/>
                <w:szCs w:val="21"/>
                <w:lang w:val="en-US" w:eastAsia="zh-CN"/>
              </w:rPr>
              <w:t>https://www.creditchina. gov. cn/</w:t>
            </w:r>
            <w:r>
              <w:rPr>
                <w:rFonts w:hint="eastAsia" w:ascii="宋体" w:hAnsi="宋体" w:cs="宋体"/>
                <w:color w:val="auto"/>
                <w:szCs w:val="21"/>
                <w:lang w:val="en-US"/>
              </w:rPr>
              <w:t>）未被列入失信被执行人记录、重大税收违法失信主体且在中国政府采购网（</w:t>
            </w:r>
            <w:r>
              <w:rPr>
                <w:rFonts w:hint="eastAsia" w:ascii="宋体" w:hAnsi="宋体" w:cs="宋体"/>
                <w:color w:val="auto"/>
                <w:szCs w:val="21"/>
                <w:lang w:val="en-US" w:eastAsia="zh-CN"/>
              </w:rPr>
              <w:t>http://www.ccgp.gov.cn/</w:t>
            </w:r>
            <w:r>
              <w:rPr>
                <w:rFonts w:hint="eastAsia" w:ascii="宋体" w:hAnsi="宋体" w:cs="宋体"/>
                <w:color w:val="auto"/>
                <w:szCs w:val="21"/>
                <w:lang w:val="en-US"/>
              </w:rPr>
              <w:t>）没有相关主体政府采购严重违法失信行为记录（被禁止在一定期限内参加政府采购活动但期限届满的除外）</w:t>
            </w:r>
            <w:r>
              <w:rPr>
                <w:rFonts w:hint="eastAsia" w:ascii="宋体" w:hAnsi="宋体" w:cs="宋体"/>
                <w:color w:val="auto"/>
                <w:szCs w:val="21"/>
                <w:lang w:val="en-US" w:eastAsia="zh-CN"/>
              </w:rPr>
              <w:t>。</w:t>
            </w:r>
          </w:p>
        </w:tc>
        <w:tc>
          <w:tcPr>
            <w:tcW w:w="783" w:type="dxa"/>
            <w:vAlign w:val="center"/>
          </w:tcPr>
          <w:p w14:paraId="7B226B54">
            <w:pPr>
              <w:jc w:val="center"/>
              <w:rPr>
                <w:rFonts w:ascii="宋体" w:hAnsi="宋体" w:cs="宋体"/>
                <w:color w:val="auto"/>
                <w:sz w:val="24"/>
              </w:rPr>
            </w:pPr>
          </w:p>
        </w:tc>
        <w:tc>
          <w:tcPr>
            <w:tcW w:w="687" w:type="dxa"/>
            <w:vAlign w:val="center"/>
          </w:tcPr>
          <w:p w14:paraId="43302EC3">
            <w:pPr>
              <w:jc w:val="center"/>
              <w:rPr>
                <w:rFonts w:ascii="宋体" w:hAnsi="宋体" w:cs="宋体"/>
                <w:color w:val="auto"/>
                <w:sz w:val="24"/>
              </w:rPr>
            </w:pPr>
          </w:p>
        </w:tc>
        <w:tc>
          <w:tcPr>
            <w:tcW w:w="717" w:type="dxa"/>
            <w:vAlign w:val="center"/>
          </w:tcPr>
          <w:p w14:paraId="762DF4EA">
            <w:pPr>
              <w:jc w:val="center"/>
              <w:rPr>
                <w:rFonts w:ascii="宋体" w:hAnsi="宋体" w:cs="宋体"/>
                <w:color w:val="auto"/>
                <w:sz w:val="24"/>
              </w:rPr>
            </w:pPr>
          </w:p>
        </w:tc>
      </w:tr>
      <w:tr w14:paraId="0ED1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34" w:type="dxa"/>
            <w:vAlign w:val="center"/>
          </w:tcPr>
          <w:p w14:paraId="4603F90E">
            <w:pPr>
              <w:jc w:val="center"/>
              <w:rPr>
                <w:rFonts w:hint="eastAsia" w:ascii="宋体" w:hAnsi="宋体" w:eastAsia="仿宋" w:cs="宋体"/>
                <w:color w:val="auto"/>
                <w:sz w:val="24"/>
                <w:lang w:val="en-US" w:eastAsia="zh-CN"/>
              </w:rPr>
            </w:pPr>
            <w:r>
              <w:rPr>
                <w:rFonts w:hint="eastAsia" w:ascii="宋体" w:hAnsi="宋体" w:cs="宋体"/>
                <w:color w:val="auto"/>
                <w:sz w:val="24"/>
                <w:lang w:val="en-US" w:eastAsia="zh-CN"/>
              </w:rPr>
              <w:t>2</w:t>
            </w:r>
          </w:p>
        </w:tc>
        <w:tc>
          <w:tcPr>
            <w:tcW w:w="7301" w:type="dxa"/>
            <w:vAlign w:val="center"/>
          </w:tcPr>
          <w:p w14:paraId="1075AD5F">
            <w:pPr>
              <w:rPr>
                <w:rFonts w:hint="eastAsia" w:ascii="宋体" w:hAnsi="宋体" w:cs="宋体"/>
                <w:color w:val="auto"/>
                <w:szCs w:val="21"/>
              </w:rPr>
            </w:pPr>
            <w:r>
              <w:rPr>
                <w:rFonts w:hint="eastAsia" w:ascii="宋体" w:hAnsi="宋体" w:cs="宋体"/>
                <w:color w:val="auto"/>
                <w:szCs w:val="21"/>
                <w:lang w:val="en-US" w:eastAsia="zh-CN"/>
              </w:rPr>
              <w:t>投标人名称必须与事业单位法人证书或工商营业执照、资质证书、安全生产许可证中的企业名称保持一致；</w:t>
            </w:r>
          </w:p>
        </w:tc>
        <w:tc>
          <w:tcPr>
            <w:tcW w:w="783" w:type="dxa"/>
            <w:vAlign w:val="center"/>
          </w:tcPr>
          <w:p w14:paraId="3C080BD8">
            <w:pPr>
              <w:jc w:val="center"/>
              <w:rPr>
                <w:rFonts w:ascii="宋体" w:hAnsi="宋体" w:cs="宋体"/>
                <w:color w:val="auto"/>
                <w:sz w:val="24"/>
              </w:rPr>
            </w:pPr>
          </w:p>
        </w:tc>
        <w:tc>
          <w:tcPr>
            <w:tcW w:w="687" w:type="dxa"/>
            <w:vAlign w:val="center"/>
          </w:tcPr>
          <w:p w14:paraId="1AC9243A">
            <w:pPr>
              <w:jc w:val="center"/>
              <w:rPr>
                <w:rFonts w:ascii="宋体" w:hAnsi="宋体" w:cs="宋体"/>
                <w:color w:val="auto"/>
                <w:sz w:val="24"/>
              </w:rPr>
            </w:pPr>
          </w:p>
        </w:tc>
        <w:tc>
          <w:tcPr>
            <w:tcW w:w="717" w:type="dxa"/>
            <w:vAlign w:val="center"/>
          </w:tcPr>
          <w:p w14:paraId="42C5DD74">
            <w:pPr>
              <w:jc w:val="center"/>
              <w:rPr>
                <w:rFonts w:ascii="宋体" w:hAnsi="宋体" w:cs="宋体"/>
                <w:color w:val="auto"/>
                <w:sz w:val="24"/>
              </w:rPr>
            </w:pPr>
          </w:p>
        </w:tc>
      </w:tr>
      <w:tr w14:paraId="2630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34" w:type="dxa"/>
            <w:vAlign w:val="center"/>
          </w:tcPr>
          <w:p w14:paraId="35CE577A">
            <w:pPr>
              <w:jc w:val="center"/>
              <w:rPr>
                <w:rFonts w:hint="eastAsia" w:ascii="宋体" w:hAnsi="宋体" w:eastAsia="仿宋" w:cs="宋体"/>
                <w:color w:val="auto"/>
                <w:sz w:val="24"/>
                <w:lang w:eastAsia="zh-CN"/>
              </w:rPr>
            </w:pPr>
            <w:r>
              <w:rPr>
                <w:rFonts w:hint="eastAsia" w:ascii="宋体" w:hAnsi="宋体" w:cs="宋体"/>
                <w:color w:val="auto"/>
                <w:sz w:val="24"/>
                <w:lang w:val="en-US" w:eastAsia="zh-CN"/>
              </w:rPr>
              <w:t>3</w:t>
            </w:r>
          </w:p>
        </w:tc>
        <w:tc>
          <w:tcPr>
            <w:tcW w:w="7301" w:type="dxa"/>
            <w:vAlign w:val="center"/>
          </w:tcPr>
          <w:p w14:paraId="624F84C6">
            <w:pPr>
              <w:rPr>
                <w:rFonts w:ascii="宋体" w:hAnsi="宋体" w:cs="宋体"/>
                <w:color w:val="auto"/>
                <w:sz w:val="24"/>
              </w:rPr>
            </w:pPr>
            <w:r>
              <w:rPr>
                <w:rFonts w:hint="eastAsia" w:ascii="宋体" w:hAnsi="宋体" w:cs="宋体"/>
                <w:color w:val="auto"/>
                <w:szCs w:val="21"/>
              </w:rPr>
              <w:t>法人身份证明及法人授权委托书和</w:t>
            </w:r>
            <w:r>
              <w:rPr>
                <w:rFonts w:hint="eastAsia" w:ascii="宋体" w:hAnsi="宋体" w:cs="宋体"/>
                <w:color w:val="auto"/>
                <w:szCs w:val="21"/>
                <w:lang w:val="en-US"/>
              </w:rPr>
              <w:t>法人及</w:t>
            </w:r>
            <w:r>
              <w:rPr>
                <w:rFonts w:hint="eastAsia" w:ascii="宋体" w:hAnsi="宋体" w:cs="宋体"/>
                <w:color w:val="auto"/>
                <w:szCs w:val="21"/>
              </w:rPr>
              <w:t>被授权人身份有效证件</w:t>
            </w:r>
          </w:p>
        </w:tc>
        <w:tc>
          <w:tcPr>
            <w:tcW w:w="783" w:type="dxa"/>
            <w:vAlign w:val="center"/>
          </w:tcPr>
          <w:p w14:paraId="145D7111">
            <w:pPr>
              <w:jc w:val="center"/>
              <w:rPr>
                <w:rFonts w:ascii="宋体" w:hAnsi="宋体" w:cs="宋体"/>
                <w:color w:val="auto"/>
                <w:sz w:val="24"/>
              </w:rPr>
            </w:pPr>
          </w:p>
        </w:tc>
        <w:tc>
          <w:tcPr>
            <w:tcW w:w="687" w:type="dxa"/>
            <w:vAlign w:val="center"/>
          </w:tcPr>
          <w:p w14:paraId="0ABDEC43">
            <w:pPr>
              <w:jc w:val="center"/>
              <w:rPr>
                <w:rFonts w:ascii="宋体" w:hAnsi="宋体" w:cs="宋体"/>
                <w:color w:val="auto"/>
                <w:sz w:val="24"/>
              </w:rPr>
            </w:pPr>
          </w:p>
        </w:tc>
        <w:tc>
          <w:tcPr>
            <w:tcW w:w="717" w:type="dxa"/>
            <w:vAlign w:val="center"/>
          </w:tcPr>
          <w:p w14:paraId="6D0120C9">
            <w:pPr>
              <w:jc w:val="center"/>
              <w:rPr>
                <w:rFonts w:ascii="宋体" w:hAnsi="宋体" w:cs="宋体"/>
                <w:color w:val="auto"/>
                <w:sz w:val="24"/>
              </w:rPr>
            </w:pPr>
          </w:p>
        </w:tc>
      </w:tr>
      <w:tr w14:paraId="6ADF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34" w:type="dxa"/>
            <w:vAlign w:val="center"/>
          </w:tcPr>
          <w:p w14:paraId="38713651">
            <w:pPr>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7301" w:type="dxa"/>
            <w:vAlign w:val="center"/>
          </w:tcPr>
          <w:p w14:paraId="2F794E04">
            <w:pPr>
              <w:rPr>
                <w:rFonts w:hint="eastAsia" w:ascii="宋体" w:hAnsi="宋体" w:eastAsia="仿宋" w:cs="宋体"/>
                <w:color w:val="auto"/>
                <w:szCs w:val="21"/>
                <w:lang w:eastAsia="zh-CN"/>
              </w:rPr>
            </w:pPr>
            <w:r>
              <w:rPr>
                <w:rFonts w:hint="eastAsia" w:ascii="宋体" w:hAnsi="宋体" w:cs="宋体"/>
                <w:color w:val="auto"/>
                <w:szCs w:val="21"/>
              </w:rPr>
              <w:t>供应商应为中小企业</w:t>
            </w:r>
            <w:r>
              <w:rPr>
                <w:rFonts w:hint="eastAsia" w:ascii="宋体" w:hAnsi="宋体" w:cs="宋体"/>
                <w:color w:val="auto"/>
                <w:szCs w:val="21"/>
                <w:lang w:eastAsia="zh-CN"/>
              </w:rPr>
              <w:t>，请根据要求单独上传《中小企业声明函》。格式以采购文件要求为准。</w:t>
            </w:r>
          </w:p>
        </w:tc>
        <w:tc>
          <w:tcPr>
            <w:tcW w:w="783" w:type="dxa"/>
            <w:vAlign w:val="center"/>
          </w:tcPr>
          <w:p w14:paraId="542B3FBF">
            <w:pPr>
              <w:jc w:val="center"/>
              <w:rPr>
                <w:rFonts w:ascii="宋体" w:hAnsi="宋体" w:cs="宋体"/>
                <w:color w:val="auto"/>
                <w:sz w:val="24"/>
              </w:rPr>
            </w:pPr>
          </w:p>
        </w:tc>
        <w:tc>
          <w:tcPr>
            <w:tcW w:w="687" w:type="dxa"/>
            <w:vAlign w:val="center"/>
          </w:tcPr>
          <w:p w14:paraId="20252BB1">
            <w:pPr>
              <w:jc w:val="center"/>
              <w:rPr>
                <w:rFonts w:ascii="宋体" w:hAnsi="宋体" w:cs="宋体"/>
                <w:color w:val="auto"/>
                <w:sz w:val="24"/>
              </w:rPr>
            </w:pPr>
          </w:p>
        </w:tc>
        <w:tc>
          <w:tcPr>
            <w:tcW w:w="717" w:type="dxa"/>
            <w:vAlign w:val="center"/>
          </w:tcPr>
          <w:p w14:paraId="535C779A">
            <w:pPr>
              <w:jc w:val="center"/>
              <w:rPr>
                <w:rFonts w:ascii="宋体" w:hAnsi="宋体" w:cs="宋体"/>
                <w:color w:val="auto"/>
                <w:sz w:val="24"/>
              </w:rPr>
            </w:pPr>
          </w:p>
        </w:tc>
      </w:tr>
      <w:tr w14:paraId="010B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34" w:type="dxa"/>
            <w:vAlign w:val="center"/>
          </w:tcPr>
          <w:p w14:paraId="63B1B47B">
            <w:pPr>
              <w:jc w:val="center"/>
              <w:rPr>
                <w:rFonts w:hint="eastAsia" w:ascii="宋体" w:hAnsi="宋体" w:eastAsia="仿宋" w:cs="宋体"/>
                <w:color w:val="auto"/>
                <w:sz w:val="24"/>
                <w:lang w:val="en-US" w:eastAsia="zh-CN"/>
              </w:rPr>
            </w:pPr>
            <w:r>
              <w:rPr>
                <w:rFonts w:hint="eastAsia" w:ascii="宋体" w:hAnsi="宋体" w:cs="宋体"/>
                <w:color w:val="auto"/>
                <w:sz w:val="24"/>
                <w:lang w:val="en-US" w:eastAsia="zh-CN"/>
              </w:rPr>
              <w:t>5</w:t>
            </w:r>
          </w:p>
        </w:tc>
        <w:tc>
          <w:tcPr>
            <w:tcW w:w="7301" w:type="dxa"/>
            <w:vAlign w:val="center"/>
          </w:tcPr>
          <w:p w14:paraId="68104D98">
            <w:pPr>
              <w:rPr>
                <w:rFonts w:ascii="宋体" w:hAnsi="宋体" w:cs="宋体"/>
                <w:color w:val="auto"/>
                <w:szCs w:val="21"/>
              </w:rPr>
            </w:pPr>
            <w:r>
              <w:rPr>
                <w:rFonts w:hint="eastAsia" w:ascii="宋体" w:hAnsi="宋体" w:cs="宋体"/>
                <w:color w:val="auto"/>
                <w:szCs w:val="21"/>
              </w:rPr>
              <w:t>供应商应具备独立法人资格的</w:t>
            </w:r>
            <w:r>
              <w:rPr>
                <w:rFonts w:hint="eastAsia" w:ascii="宋体" w:hAnsi="宋体" w:cs="宋体"/>
                <w:color w:val="auto"/>
                <w:szCs w:val="21"/>
                <w:lang w:eastAsia="zh-CN"/>
              </w:rPr>
              <w:t>市政公用工程施工总承包贰级</w:t>
            </w:r>
            <w:r>
              <w:rPr>
                <w:rFonts w:hint="eastAsia" w:ascii="宋体" w:hAnsi="宋体" w:cs="宋体"/>
                <w:color w:val="auto"/>
                <w:szCs w:val="21"/>
              </w:rPr>
              <w:t>(含叁级) 以上资质同时具备有效的安全生产许可证。项目负责人需具备</w:t>
            </w:r>
            <w:r>
              <w:rPr>
                <w:rFonts w:hint="eastAsia" w:ascii="宋体" w:hAnsi="宋体" w:cs="宋体"/>
                <w:color w:val="auto"/>
                <w:szCs w:val="21"/>
                <w:lang w:eastAsia="zh-CN"/>
              </w:rPr>
              <w:t>市政公用工程</w:t>
            </w:r>
            <w:r>
              <w:rPr>
                <w:rFonts w:hint="eastAsia" w:ascii="宋体" w:hAnsi="宋体" w:cs="宋体"/>
                <w:color w:val="auto"/>
                <w:szCs w:val="21"/>
              </w:rPr>
              <w:t>专业二级及以上注册建造师执业资格，及</w:t>
            </w:r>
            <w:r>
              <w:rPr>
                <w:rFonts w:hint="eastAsia" w:ascii="宋体" w:hAnsi="宋体" w:cs="宋体"/>
                <w:color w:val="auto"/>
                <w:szCs w:val="21"/>
                <w:lang w:val="en-US" w:eastAsia="zh-CN"/>
              </w:rPr>
              <w:t>有效</w:t>
            </w:r>
            <w:r>
              <w:rPr>
                <w:rFonts w:hint="eastAsia" w:ascii="宋体" w:hAnsi="宋体" w:cs="宋体"/>
                <w:color w:val="auto"/>
                <w:szCs w:val="21"/>
              </w:rPr>
              <w:t>的B类安全生产考核合格证，且无在建项目。</w:t>
            </w:r>
          </w:p>
        </w:tc>
        <w:tc>
          <w:tcPr>
            <w:tcW w:w="783" w:type="dxa"/>
            <w:vAlign w:val="center"/>
          </w:tcPr>
          <w:p w14:paraId="689B58E3">
            <w:pPr>
              <w:jc w:val="center"/>
              <w:rPr>
                <w:rFonts w:ascii="宋体" w:hAnsi="宋体" w:cs="宋体"/>
                <w:color w:val="auto"/>
                <w:sz w:val="24"/>
              </w:rPr>
            </w:pPr>
          </w:p>
        </w:tc>
        <w:tc>
          <w:tcPr>
            <w:tcW w:w="687" w:type="dxa"/>
            <w:vAlign w:val="center"/>
          </w:tcPr>
          <w:p w14:paraId="061A8460">
            <w:pPr>
              <w:jc w:val="center"/>
              <w:rPr>
                <w:rFonts w:ascii="宋体" w:hAnsi="宋体" w:cs="宋体"/>
                <w:color w:val="auto"/>
                <w:sz w:val="24"/>
              </w:rPr>
            </w:pPr>
          </w:p>
        </w:tc>
        <w:tc>
          <w:tcPr>
            <w:tcW w:w="717" w:type="dxa"/>
            <w:vAlign w:val="center"/>
          </w:tcPr>
          <w:p w14:paraId="0375C15D">
            <w:pPr>
              <w:jc w:val="center"/>
              <w:rPr>
                <w:rFonts w:ascii="宋体" w:hAnsi="宋体" w:cs="宋体"/>
                <w:color w:val="auto"/>
                <w:sz w:val="24"/>
              </w:rPr>
            </w:pPr>
          </w:p>
        </w:tc>
      </w:tr>
      <w:tr w14:paraId="0BC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34" w:type="dxa"/>
            <w:vAlign w:val="center"/>
          </w:tcPr>
          <w:p w14:paraId="5E2608BC">
            <w:pPr>
              <w:jc w:val="center"/>
              <w:rPr>
                <w:rFonts w:hint="default" w:ascii="宋体" w:hAnsi="宋体" w:cs="宋体"/>
                <w:color w:val="auto"/>
                <w:sz w:val="24"/>
                <w:lang w:val="en-US" w:eastAsia="zh-CN"/>
              </w:rPr>
            </w:pPr>
            <w:r>
              <w:rPr>
                <w:rFonts w:hint="eastAsia" w:ascii="宋体" w:hAnsi="宋体" w:cs="宋体"/>
                <w:color w:val="auto"/>
                <w:sz w:val="24"/>
                <w:lang w:val="en-US" w:eastAsia="zh-CN"/>
              </w:rPr>
              <w:t>6</w:t>
            </w:r>
          </w:p>
        </w:tc>
        <w:tc>
          <w:tcPr>
            <w:tcW w:w="7301" w:type="dxa"/>
            <w:shd w:val="clear" w:color="auto" w:fill="auto"/>
            <w:vAlign w:val="center"/>
          </w:tcPr>
          <w:p w14:paraId="3A7269F2">
            <w:pPr>
              <w:rPr>
                <w:rFonts w:hint="eastAsia" w:ascii="宋体" w:hAnsi="宋体" w:eastAsia="仿宋" w:cs="宋体"/>
                <w:color w:val="auto"/>
                <w:sz w:val="24"/>
                <w:szCs w:val="22"/>
                <w:lang w:val="zh-CN" w:eastAsia="zh-CN" w:bidi="zh-CN"/>
              </w:rPr>
            </w:pPr>
            <w:r>
              <w:rPr>
                <w:rFonts w:hint="eastAsia"/>
                <w:color w:val="auto"/>
              </w:rPr>
              <w:t>按规定交纳投标保证金（</w:t>
            </w:r>
            <w:r>
              <w:rPr>
                <w:rFonts w:hint="eastAsia"/>
                <w:color w:val="auto"/>
                <w:lang w:val="en-US"/>
              </w:rPr>
              <w:t>附保证金凭证</w:t>
            </w:r>
            <w:r>
              <w:rPr>
                <w:rFonts w:hint="eastAsia"/>
                <w:color w:val="auto"/>
              </w:rPr>
              <w:t>）</w:t>
            </w:r>
          </w:p>
        </w:tc>
        <w:tc>
          <w:tcPr>
            <w:tcW w:w="783" w:type="dxa"/>
            <w:vAlign w:val="center"/>
          </w:tcPr>
          <w:p w14:paraId="206520FF">
            <w:pPr>
              <w:jc w:val="center"/>
              <w:rPr>
                <w:rFonts w:ascii="宋体" w:hAnsi="宋体" w:cs="宋体"/>
                <w:color w:val="auto"/>
                <w:sz w:val="24"/>
              </w:rPr>
            </w:pPr>
          </w:p>
        </w:tc>
        <w:tc>
          <w:tcPr>
            <w:tcW w:w="687" w:type="dxa"/>
            <w:vAlign w:val="center"/>
          </w:tcPr>
          <w:p w14:paraId="6D2EDFB0">
            <w:pPr>
              <w:jc w:val="center"/>
              <w:rPr>
                <w:rFonts w:ascii="宋体" w:hAnsi="宋体" w:cs="宋体"/>
                <w:color w:val="auto"/>
                <w:sz w:val="24"/>
              </w:rPr>
            </w:pPr>
          </w:p>
        </w:tc>
        <w:tc>
          <w:tcPr>
            <w:tcW w:w="717" w:type="dxa"/>
            <w:vAlign w:val="center"/>
          </w:tcPr>
          <w:p w14:paraId="63BB80C1">
            <w:pPr>
              <w:jc w:val="center"/>
              <w:rPr>
                <w:rFonts w:ascii="宋体" w:hAnsi="宋体" w:cs="宋体"/>
                <w:color w:val="auto"/>
                <w:sz w:val="24"/>
              </w:rPr>
            </w:pPr>
          </w:p>
        </w:tc>
      </w:tr>
      <w:tr w14:paraId="0483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34" w:type="dxa"/>
            <w:vAlign w:val="center"/>
          </w:tcPr>
          <w:p w14:paraId="7F40E930">
            <w:pPr>
              <w:jc w:val="center"/>
              <w:rPr>
                <w:rFonts w:hint="eastAsia" w:ascii="宋体" w:hAnsi="宋体" w:eastAsia="仿宋" w:cs="宋体"/>
                <w:color w:val="auto"/>
                <w:sz w:val="24"/>
                <w:lang w:eastAsia="zh-CN"/>
              </w:rPr>
            </w:pPr>
            <w:r>
              <w:rPr>
                <w:rFonts w:hint="eastAsia" w:ascii="宋体" w:hAnsi="宋体" w:cs="宋体"/>
                <w:color w:val="auto"/>
                <w:sz w:val="24"/>
                <w:lang w:val="en-US" w:eastAsia="zh-CN"/>
              </w:rPr>
              <w:t>7</w:t>
            </w:r>
          </w:p>
        </w:tc>
        <w:tc>
          <w:tcPr>
            <w:tcW w:w="7301" w:type="dxa"/>
            <w:shd w:val="clear" w:color="auto" w:fill="auto"/>
            <w:vAlign w:val="center"/>
          </w:tcPr>
          <w:p w14:paraId="63699D57">
            <w:pPr>
              <w:rPr>
                <w:rFonts w:ascii="宋体" w:hAnsi="宋体" w:eastAsia="仿宋" w:cs="宋体"/>
                <w:color w:val="auto"/>
                <w:sz w:val="24"/>
                <w:szCs w:val="22"/>
                <w:lang w:val="zh-CN" w:eastAsia="zh-CN" w:bidi="zh-CN"/>
              </w:rPr>
            </w:pPr>
            <w:r>
              <w:rPr>
                <w:rFonts w:hint="eastAsia" w:ascii="宋体" w:hAnsi="宋体" w:cs="宋体"/>
                <w:color w:val="auto"/>
                <w:szCs w:val="21"/>
              </w:rPr>
              <w:t>无重大违法记录声明</w:t>
            </w:r>
          </w:p>
        </w:tc>
        <w:tc>
          <w:tcPr>
            <w:tcW w:w="783" w:type="dxa"/>
            <w:vAlign w:val="center"/>
          </w:tcPr>
          <w:p w14:paraId="0C5FDE3D">
            <w:pPr>
              <w:jc w:val="center"/>
              <w:rPr>
                <w:rFonts w:ascii="宋体" w:hAnsi="宋体" w:cs="宋体"/>
                <w:color w:val="auto"/>
                <w:sz w:val="24"/>
              </w:rPr>
            </w:pPr>
          </w:p>
        </w:tc>
        <w:tc>
          <w:tcPr>
            <w:tcW w:w="687" w:type="dxa"/>
            <w:vAlign w:val="center"/>
          </w:tcPr>
          <w:p w14:paraId="172D6846">
            <w:pPr>
              <w:jc w:val="center"/>
              <w:rPr>
                <w:rFonts w:ascii="宋体" w:hAnsi="宋体" w:cs="宋体"/>
                <w:color w:val="auto"/>
                <w:sz w:val="24"/>
              </w:rPr>
            </w:pPr>
          </w:p>
        </w:tc>
        <w:tc>
          <w:tcPr>
            <w:tcW w:w="717" w:type="dxa"/>
            <w:vAlign w:val="center"/>
          </w:tcPr>
          <w:p w14:paraId="4D9A41E1">
            <w:pPr>
              <w:jc w:val="center"/>
              <w:rPr>
                <w:rFonts w:ascii="宋体" w:hAnsi="宋体" w:cs="宋体"/>
                <w:color w:val="auto"/>
                <w:sz w:val="24"/>
              </w:rPr>
            </w:pPr>
          </w:p>
        </w:tc>
      </w:tr>
      <w:tr w14:paraId="5293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34" w:type="dxa"/>
            <w:vAlign w:val="center"/>
          </w:tcPr>
          <w:p w14:paraId="13267F65">
            <w:pPr>
              <w:jc w:val="center"/>
              <w:rPr>
                <w:rFonts w:hint="eastAsia" w:ascii="宋体" w:hAnsi="宋体" w:eastAsia="仿宋" w:cs="宋体"/>
                <w:color w:val="auto"/>
                <w:sz w:val="24"/>
                <w:lang w:eastAsia="zh-CN"/>
              </w:rPr>
            </w:pPr>
            <w:r>
              <w:rPr>
                <w:rFonts w:hint="eastAsia" w:ascii="宋体" w:hAnsi="宋体" w:cs="宋体"/>
                <w:color w:val="auto"/>
                <w:sz w:val="24"/>
                <w:lang w:val="en-US" w:eastAsia="zh-CN"/>
              </w:rPr>
              <w:t>8</w:t>
            </w:r>
          </w:p>
        </w:tc>
        <w:tc>
          <w:tcPr>
            <w:tcW w:w="7301" w:type="dxa"/>
            <w:shd w:val="clear" w:color="auto" w:fill="auto"/>
            <w:vAlign w:val="center"/>
          </w:tcPr>
          <w:p w14:paraId="40E1AC07">
            <w:pPr>
              <w:rPr>
                <w:rFonts w:ascii="宋体" w:hAnsi="宋体" w:eastAsia="仿宋" w:cs="宋体"/>
                <w:color w:val="auto"/>
                <w:sz w:val="24"/>
                <w:szCs w:val="22"/>
                <w:lang w:val="zh-CN" w:eastAsia="zh-CN" w:bidi="zh-CN"/>
              </w:rPr>
            </w:pPr>
            <w:r>
              <w:rPr>
                <w:rFonts w:hint="eastAsia" w:ascii="宋体" w:hAnsi="宋体" w:cs="宋体"/>
                <w:color w:val="auto"/>
                <w:szCs w:val="21"/>
              </w:rPr>
              <w:t>反商业贿赂承诺书</w:t>
            </w:r>
          </w:p>
        </w:tc>
        <w:tc>
          <w:tcPr>
            <w:tcW w:w="783" w:type="dxa"/>
            <w:vAlign w:val="center"/>
          </w:tcPr>
          <w:p w14:paraId="03281B1F">
            <w:pPr>
              <w:jc w:val="center"/>
              <w:rPr>
                <w:rFonts w:ascii="宋体" w:hAnsi="宋体" w:cs="宋体"/>
                <w:color w:val="auto"/>
                <w:sz w:val="24"/>
              </w:rPr>
            </w:pPr>
          </w:p>
        </w:tc>
        <w:tc>
          <w:tcPr>
            <w:tcW w:w="687" w:type="dxa"/>
            <w:vAlign w:val="center"/>
          </w:tcPr>
          <w:p w14:paraId="41EACD32">
            <w:pPr>
              <w:jc w:val="center"/>
              <w:rPr>
                <w:rFonts w:ascii="宋体" w:hAnsi="宋体" w:cs="宋体"/>
                <w:color w:val="auto"/>
                <w:sz w:val="24"/>
              </w:rPr>
            </w:pPr>
          </w:p>
        </w:tc>
        <w:tc>
          <w:tcPr>
            <w:tcW w:w="717" w:type="dxa"/>
            <w:vAlign w:val="center"/>
          </w:tcPr>
          <w:p w14:paraId="74684C98">
            <w:pPr>
              <w:jc w:val="center"/>
              <w:rPr>
                <w:rFonts w:ascii="宋体" w:hAnsi="宋体" w:cs="宋体"/>
                <w:color w:val="auto"/>
                <w:sz w:val="24"/>
              </w:rPr>
            </w:pPr>
          </w:p>
        </w:tc>
      </w:tr>
      <w:tr w14:paraId="460B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34" w:type="dxa"/>
            <w:vAlign w:val="center"/>
          </w:tcPr>
          <w:p w14:paraId="5BCA73D3">
            <w:pPr>
              <w:jc w:val="center"/>
              <w:rPr>
                <w:rFonts w:hint="default" w:ascii="宋体" w:hAnsi="宋体" w:eastAsia="仿宋" w:cs="宋体"/>
                <w:color w:val="auto"/>
                <w:sz w:val="24"/>
                <w:lang w:val="en-US" w:eastAsia="zh-CN"/>
              </w:rPr>
            </w:pPr>
            <w:r>
              <w:rPr>
                <w:rFonts w:hint="eastAsia" w:ascii="宋体" w:hAnsi="宋体" w:cs="宋体"/>
                <w:color w:val="auto"/>
                <w:sz w:val="24"/>
                <w:lang w:val="en-US" w:eastAsia="zh-CN"/>
              </w:rPr>
              <w:t>9</w:t>
            </w:r>
          </w:p>
        </w:tc>
        <w:tc>
          <w:tcPr>
            <w:tcW w:w="7301" w:type="dxa"/>
            <w:shd w:val="clear" w:color="auto" w:fill="auto"/>
            <w:vAlign w:val="center"/>
          </w:tcPr>
          <w:p w14:paraId="373DE912">
            <w:pPr>
              <w:rPr>
                <w:rFonts w:ascii="宋体" w:hAnsi="宋体" w:eastAsia="宋体" w:cs="宋体"/>
                <w:color w:val="auto"/>
                <w:sz w:val="24"/>
                <w:szCs w:val="22"/>
                <w:lang w:val="zh-CN" w:eastAsia="zh-CN" w:bidi="zh-CN"/>
              </w:rPr>
            </w:pPr>
            <w:r>
              <w:rPr>
                <w:rFonts w:hint="eastAsia" w:ascii="宋体" w:hAnsi="宋体" w:cs="宋体"/>
                <w:color w:val="auto"/>
                <w:szCs w:val="21"/>
              </w:rPr>
              <w:t>投标人具有良好的商业信誉和健全的财务会计管理制度：成立年限满1年及以上的投标人，提供近一年度审计报告或财务报表；成立年限满半年但不足1年的投标人，提供该半年度中任一季度的季度财务报告或该半年度的半年度财务报告，或者提供企业资信证明(提供开户许可证或开户银行出具的基本存款账户信息)</w:t>
            </w:r>
          </w:p>
        </w:tc>
        <w:tc>
          <w:tcPr>
            <w:tcW w:w="783" w:type="dxa"/>
            <w:vAlign w:val="center"/>
          </w:tcPr>
          <w:p w14:paraId="0FEBEEC9">
            <w:pPr>
              <w:jc w:val="center"/>
              <w:rPr>
                <w:rFonts w:ascii="宋体" w:hAnsi="宋体" w:cs="宋体"/>
                <w:color w:val="auto"/>
                <w:sz w:val="24"/>
              </w:rPr>
            </w:pPr>
          </w:p>
        </w:tc>
        <w:tc>
          <w:tcPr>
            <w:tcW w:w="687" w:type="dxa"/>
            <w:vAlign w:val="center"/>
          </w:tcPr>
          <w:p w14:paraId="4826DF07">
            <w:pPr>
              <w:jc w:val="center"/>
              <w:rPr>
                <w:rFonts w:ascii="宋体" w:hAnsi="宋体" w:cs="宋体"/>
                <w:color w:val="auto"/>
                <w:sz w:val="24"/>
              </w:rPr>
            </w:pPr>
          </w:p>
        </w:tc>
        <w:tc>
          <w:tcPr>
            <w:tcW w:w="717" w:type="dxa"/>
            <w:vAlign w:val="center"/>
          </w:tcPr>
          <w:p w14:paraId="1D6FB10C">
            <w:pPr>
              <w:jc w:val="center"/>
              <w:rPr>
                <w:rFonts w:ascii="宋体" w:hAnsi="宋体" w:cs="宋体"/>
                <w:color w:val="auto"/>
                <w:sz w:val="24"/>
              </w:rPr>
            </w:pPr>
          </w:p>
        </w:tc>
      </w:tr>
      <w:tr w14:paraId="64FD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34" w:type="dxa"/>
            <w:vAlign w:val="center"/>
          </w:tcPr>
          <w:p w14:paraId="2A1C62CF">
            <w:pPr>
              <w:jc w:val="center"/>
              <w:rPr>
                <w:rFonts w:hint="default" w:ascii="宋体" w:hAnsi="宋体" w:eastAsia="仿宋" w:cs="宋体"/>
                <w:color w:val="auto"/>
                <w:sz w:val="24"/>
                <w:lang w:val="en-US" w:eastAsia="zh-CN"/>
              </w:rPr>
            </w:pPr>
            <w:r>
              <w:rPr>
                <w:rFonts w:hint="eastAsia" w:ascii="宋体" w:hAnsi="宋体" w:cs="宋体"/>
                <w:color w:val="auto"/>
                <w:sz w:val="24"/>
                <w:lang w:val="en-US" w:eastAsia="zh-CN"/>
              </w:rPr>
              <w:t>10</w:t>
            </w:r>
          </w:p>
        </w:tc>
        <w:tc>
          <w:tcPr>
            <w:tcW w:w="7301" w:type="dxa"/>
            <w:shd w:val="clear" w:color="auto" w:fill="auto"/>
            <w:vAlign w:val="center"/>
          </w:tcPr>
          <w:p w14:paraId="255F7C82">
            <w:pPr>
              <w:rPr>
                <w:rFonts w:ascii="宋体" w:hAnsi="宋体" w:eastAsia="仿宋" w:cs="宋体"/>
                <w:color w:val="auto"/>
                <w:sz w:val="22"/>
                <w:szCs w:val="21"/>
                <w:lang w:val="zh-CN" w:eastAsia="zh-CN" w:bidi="zh-CN"/>
              </w:rPr>
            </w:pPr>
            <w:r>
              <w:rPr>
                <w:rFonts w:hint="eastAsia" w:ascii="宋体" w:hAnsi="宋体" w:cs="宋体"/>
                <w:color w:val="auto"/>
                <w:szCs w:val="21"/>
              </w:rPr>
              <w:t>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tc>
        <w:tc>
          <w:tcPr>
            <w:tcW w:w="783" w:type="dxa"/>
            <w:vAlign w:val="center"/>
          </w:tcPr>
          <w:p w14:paraId="7594DCD1">
            <w:pPr>
              <w:jc w:val="center"/>
              <w:rPr>
                <w:rFonts w:ascii="宋体" w:hAnsi="宋体" w:cs="宋体"/>
                <w:color w:val="auto"/>
                <w:sz w:val="24"/>
              </w:rPr>
            </w:pPr>
          </w:p>
        </w:tc>
        <w:tc>
          <w:tcPr>
            <w:tcW w:w="687" w:type="dxa"/>
            <w:vAlign w:val="center"/>
          </w:tcPr>
          <w:p w14:paraId="202B9266">
            <w:pPr>
              <w:jc w:val="center"/>
              <w:rPr>
                <w:rFonts w:ascii="宋体" w:hAnsi="宋体" w:cs="宋体"/>
                <w:color w:val="auto"/>
                <w:sz w:val="24"/>
              </w:rPr>
            </w:pPr>
          </w:p>
        </w:tc>
        <w:tc>
          <w:tcPr>
            <w:tcW w:w="717" w:type="dxa"/>
            <w:vAlign w:val="center"/>
          </w:tcPr>
          <w:p w14:paraId="6A1DB229">
            <w:pPr>
              <w:jc w:val="center"/>
              <w:rPr>
                <w:rFonts w:ascii="宋体" w:hAnsi="宋体" w:cs="宋体"/>
                <w:color w:val="auto"/>
                <w:sz w:val="24"/>
              </w:rPr>
            </w:pPr>
          </w:p>
        </w:tc>
      </w:tr>
      <w:tr w14:paraId="2B7B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35" w:type="dxa"/>
            <w:gridSpan w:val="2"/>
            <w:vAlign w:val="center"/>
          </w:tcPr>
          <w:p w14:paraId="719D2783">
            <w:pPr>
              <w:jc w:val="center"/>
              <w:rPr>
                <w:rFonts w:ascii="宋体" w:hAnsi="宋体" w:cs="宋体"/>
                <w:color w:val="auto"/>
                <w:sz w:val="24"/>
              </w:rPr>
            </w:pPr>
            <w:r>
              <w:rPr>
                <w:rFonts w:hint="eastAsia" w:ascii="宋体" w:hAnsi="宋体" w:cs="宋体"/>
                <w:color w:val="auto"/>
                <w:sz w:val="24"/>
              </w:rPr>
              <w:t>结论（</w:t>
            </w:r>
            <w:r>
              <w:rPr>
                <w:rFonts w:hint="eastAsia" w:ascii="宋体" w:hAnsi="宋体" w:cs="宋体"/>
                <w:color w:val="auto"/>
                <w:spacing w:val="-2"/>
                <w:sz w:val="24"/>
              </w:rPr>
              <w:t>通过评审写“通过”，未通过评审写“不通过”）</w:t>
            </w:r>
          </w:p>
        </w:tc>
        <w:tc>
          <w:tcPr>
            <w:tcW w:w="783" w:type="dxa"/>
            <w:vAlign w:val="center"/>
          </w:tcPr>
          <w:p w14:paraId="4A04715A">
            <w:pPr>
              <w:jc w:val="center"/>
              <w:rPr>
                <w:rFonts w:ascii="宋体" w:hAnsi="宋体" w:cs="宋体"/>
                <w:color w:val="auto"/>
                <w:sz w:val="24"/>
              </w:rPr>
            </w:pPr>
          </w:p>
        </w:tc>
        <w:tc>
          <w:tcPr>
            <w:tcW w:w="687" w:type="dxa"/>
            <w:vAlign w:val="center"/>
          </w:tcPr>
          <w:p w14:paraId="3EA7FF5B">
            <w:pPr>
              <w:jc w:val="center"/>
              <w:rPr>
                <w:rFonts w:ascii="宋体" w:hAnsi="宋体" w:cs="宋体"/>
                <w:color w:val="auto"/>
                <w:sz w:val="24"/>
              </w:rPr>
            </w:pPr>
          </w:p>
        </w:tc>
        <w:tc>
          <w:tcPr>
            <w:tcW w:w="717" w:type="dxa"/>
            <w:vAlign w:val="center"/>
          </w:tcPr>
          <w:p w14:paraId="38361532">
            <w:pPr>
              <w:jc w:val="center"/>
              <w:rPr>
                <w:rFonts w:ascii="宋体" w:hAnsi="宋体" w:cs="宋体"/>
                <w:color w:val="auto"/>
                <w:sz w:val="24"/>
              </w:rPr>
            </w:pPr>
          </w:p>
        </w:tc>
      </w:tr>
    </w:tbl>
    <w:p w14:paraId="539AB2E8">
      <w:pPr>
        <w:rPr>
          <w:rFonts w:ascii="宋体" w:hAnsi="宋体" w:cs="宋体"/>
          <w:b/>
          <w:bCs/>
          <w:color w:val="auto"/>
          <w:sz w:val="22"/>
          <w:szCs w:val="21"/>
        </w:rPr>
      </w:pPr>
      <w:r>
        <w:rPr>
          <w:rFonts w:hint="eastAsia" w:ascii="宋体" w:hAnsi="宋体" w:cs="宋体"/>
          <w:b/>
          <w:bCs/>
          <w:color w:val="auto"/>
          <w:sz w:val="22"/>
          <w:szCs w:val="21"/>
        </w:rPr>
        <w:t>说明：（1）上述各项中用“√”表示通过，“×”表示不通过；</w:t>
      </w:r>
    </w:p>
    <w:p w14:paraId="1417AD9B">
      <w:pPr>
        <w:rPr>
          <w:rFonts w:ascii="宋体" w:hAnsi="宋体" w:cs="宋体"/>
          <w:b/>
          <w:bCs/>
          <w:color w:val="auto"/>
          <w:sz w:val="22"/>
          <w:szCs w:val="21"/>
        </w:rPr>
      </w:pPr>
      <w:r>
        <w:rPr>
          <w:rFonts w:hint="eastAsia" w:ascii="宋体" w:hAnsi="宋体" w:cs="宋体"/>
          <w:b/>
          <w:bCs/>
          <w:color w:val="auto"/>
          <w:sz w:val="22"/>
          <w:szCs w:val="21"/>
        </w:rPr>
        <w:t>（2）上述各项中如有一项为“×”，则结论为“×”，表示该响应文件中存在重大偏差，不能通过初步评审；评委对某一分项评审认为不合格时，必须要写明原因。</w:t>
      </w:r>
    </w:p>
    <w:p w14:paraId="36AC783C">
      <w:pPr>
        <w:ind w:left="60"/>
        <w:rPr>
          <w:rFonts w:ascii="宋体" w:hAnsi="宋体" w:cs="宋体"/>
          <w:b/>
          <w:bCs/>
          <w:color w:val="auto"/>
          <w:sz w:val="22"/>
          <w:szCs w:val="21"/>
        </w:rPr>
      </w:pPr>
      <w:r>
        <w:rPr>
          <w:rFonts w:hint="eastAsia" w:ascii="宋体" w:hAnsi="宋体" w:cs="宋体"/>
          <w:b/>
          <w:bCs/>
          <w:color w:val="auto"/>
          <w:sz w:val="22"/>
          <w:szCs w:val="21"/>
        </w:rPr>
        <w:t>（3）响应文件最终合格与否，以所有评委的评审意见中少数服从多数为原则定论。</w:t>
      </w:r>
    </w:p>
    <w:p w14:paraId="636F46EA">
      <w:pPr>
        <w:spacing w:line="240" w:lineRule="atLeast"/>
        <w:rPr>
          <w:rFonts w:ascii="宋体" w:hAnsi="宋体" w:cs="宋体"/>
          <w:b/>
          <w:bCs/>
          <w:color w:val="auto"/>
          <w:sz w:val="22"/>
          <w:szCs w:val="21"/>
        </w:rPr>
      </w:pPr>
      <w:r>
        <w:rPr>
          <w:rFonts w:hint="eastAsia" w:ascii="宋体" w:hAnsi="宋体" w:cs="宋体"/>
          <w:b/>
          <w:bCs/>
          <w:color w:val="auto"/>
          <w:sz w:val="22"/>
          <w:szCs w:val="21"/>
        </w:rPr>
        <w:t>未通过资格审查的供应商不进入评审；通过资格审查的供应商不足三家的，不得评审。</w:t>
      </w:r>
    </w:p>
    <w:p w14:paraId="28130A6F">
      <w:pPr>
        <w:rPr>
          <w:rFonts w:hAnsi="宋体" w:cs="宋体"/>
          <w:b/>
          <w:bCs/>
          <w:color w:val="auto"/>
          <w:szCs w:val="24"/>
        </w:rPr>
      </w:pPr>
      <w:r>
        <w:rPr>
          <w:rFonts w:hint="eastAsia" w:hAnsi="宋体" w:cs="宋体"/>
          <w:b/>
          <w:bCs/>
          <w:color w:val="auto"/>
          <w:szCs w:val="24"/>
        </w:rPr>
        <w:br w:type="page"/>
      </w:r>
    </w:p>
    <w:p w14:paraId="11936406">
      <w:pPr>
        <w:pStyle w:val="7"/>
        <w:spacing w:line="300" w:lineRule="auto"/>
        <w:ind w:firstLine="442"/>
        <w:jc w:val="center"/>
        <w:rPr>
          <w:rFonts w:hAnsi="宋体" w:cs="宋体"/>
          <w:b/>
          <w:bCs/>
          <w:color w:val="auto"/>
          <w:szCs w:val="24"/>
        </w:rPr>
      </w:pPr>
      <w:bookmarkStart w:id="484" w:name="_Toc10075"/>
      <w:r>
        <w:rPr>
          <w:rFonts w:hint="eastAsia" w:hAnsi="宋体" w:cs="宋体"/>
          <w:b/>
          <w:bCs/>
          <w:color w:val="auto"/>
          <w:szCs w:val="24"/>
        </w:rPr>
        <w:t>附表</w:t>
      </w:r>
      <w:r>
        <w:rPr>
          <w:rFonts w:hint="eastAsia" w:hAnsi="宋体" w:cs="宋体"/>
          <w:b/>
          <w:bCs/>
          <w:color w:val="auto"/>
          <w:szCs w:val="24"/>
          <w:lang w:val="en-US"/>
        </w:rPr>
        <w:t>二</w:t>
      </w:r>
      <w:r>
        <w:rPr>
          <w:rFonts w:hint="eastAsia" w:hAnsi="宋体" w:cs="宋体"/>
          <w:b/>
          <w:bCs/>
          <w:color w:val="auto"/>
          <w:szCs w:val="24"/>
        </w:rPr>
        <w:t xml:space="preserve">   初步评审—符合性审查表</w:t>
      </w:r>
      <w:bookmarkEnd w:id="484"/>
    </w:p>
    <w:tbl>
      <w:tblPr>
        <w:tblStyle w:val="20"/>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14:paraId="3E52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14:paraId="26A831AB">
            <w:pPr>
              <w:jc w:val="center"/>
              <w:rPr>
                <w:rFonts w:ascii="宋体" w:hAnsi="宋体" w:cs="宋体"/>
                <w:color w:val="auto"/>
                <w:spacing w:val="-2"/>
                <w:sz w:val="24"/>
              </w:rPr>
            </w:pPr>
            <w:r>
              <w:rPr>
                <w:rFonts w:hint="eastAsia" w:ascii="宋体" w:hAnsi="宋体" w:cs="宋体"/>
                <w:color w:val="auto"/>
                <w:spacing w:val="-2"/>
                <w:sz w:val="24"/>
              </w:rPr>
              <w:t>评审内容</w:t>
            </w:r>
          </w:p>
        </w:tc>
        <w:tc>
          <w:tcPr>
            <w:tcW w:w="1637" w:type="dxa"/>
            <w:vAlign w:val="center"/>
          </w:tcPr>
          <w:p w14:paraId="50D67DCE">
            <w:pPr>
              <w:jc w:val="center"/>
              <w:rPr>
                <w:rFonts w:ascii="宋体" w:hAnsi="宋体" w:cs="宋体"/>
                <w:color w:val="auto"/>
                <w:spacing w:val="-2"/>
                <w:sz w:val="24"/>
              </w:rPr>
            </w:pPr>
            <w:r>
              <w:rPr>
                <w:rFonts w:hint="eastAsia" w:ascii="宋体" w:hAnsi="宋体" w:cs="宋体"/>
                <w:b/>
                <w:color w:val="auto"/>
                <w:sz w:val="24"/>
              </w:rPr>
              <w:t>评审意见</w:t>
            </w:r>
          </w:p>
        </w:tc>
      </w:tr>
      <w:tr w14:paraId="2521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14:paraId="23483A23">
            <w:pPr>
              <w:jc w:val="center"/>
              <w:rPr>
                <w:rFonts w:ascii="宋体" w:hAnsi="宋体" w:cs="宋体"/>
                <w:color w:val="auto"/>
                <w:sz w:val="24"/>
              </w:rPr>
            </w:pPr>
            <w:r>
              <w:rPr>
                <w:rFonts w:hint="eastAsia" w:ascii="宋体" w:hAnsi="宋体" w:cs="宋体"/>
                <w:color w:val="auto"/>
                <w:sz w:val="24"/>
              </w:rPr>
              <w:t>序号</w:t>
            </w:r>
          </w:p>
        </w:tc>
        <w:tc>
          <w:tcPr>
            <w:tcW w:w="6755" w:type="dxa"/>
            <w:vAlign w:val="center"/>
          </w:tcPr>
          <w:p w14:paraId="1CD2E6D9">
            <w:pPr>
              <w:jc w:val="center"/>
              <w:rPr>
                <w:rFonts w:ascii="宋体" w:hAnsi="宋体" w:cs="宋体"/>
                <w:color w:val="auto"/>
                <w:spacing w:val="-2"/>
                <w:sz w:val="24"/>
              </w:rPr>
            </w:pPr>
          </w:p>
        </w:tc>
        <w:tc>
          <w:tcPr>
            <w:tcW w:w="1637" w:type="dxa"/>
            <w:vAlign w:val="center"/>
          </w:tcPr>
          <w:p w14:paraId="13D480F7">
            <w:pPr>
              <w:jc w:val="center"/>
              <w:rPr>
                <w:rFonts w:ascii="宋体" w:hAnsi="宋体" w:cs="宋体"/>
                <w:color w:val="auto"/>
                <w:spacing w:val="-2"/>
                <w:sz w:val="24"/>
              </w:rPr>
            </w:pPr>
            <w:r>
              <w:rPr>
                <w:rFonts w:hint="eastAsia" w:ascii="宋体" w:hAnsi="宋体" w:cs="宋体"/>
                <w:color w:val="auto"/>
                <w:spacing w:val="-2"/>
                <w:sz w:val="24"/>
              </w:rPr>
              <w:t>是否合格</w:t>
            </w:r>
          </w:p>
        </w:tc>
      </w:tr>
      <w:tr w14:paraId="40BB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14:paraId="630A0A6D">
            <w:pPr>
              <w:jc w:val="center"/>
              <w:rPr>
                <w:rFonts w:ascii="宋体" w:hAnsi="宋体" w:cs="宋体"/>
                <w:color w:val="auto"/>
                <w:sz w:val="24"/>
              </w:rPr>
            </w:pPr>
            <w:r>
              <w:rPr>
                <w:rFonts w:hint="eastAsia" w:ascii="宋体" w:hAnsi="宋体" w:cs="宋体"/>
                <w:color w:val="auto"/>
                <w:sz w:val="24"/>
              </w:rPr>
              <w:t>1</w:t>
            </w:r>
          </w:p>
        </w:tc>
        <w:tc>
          <w:tcPr>
            <w:tcW w:w="6755" w:type="dxa"/>
            <w:vAlign w:val="center"/>
          </w:tcPr>
          <w:p w14:paraId="015617B1">
            <w:pPr>
              <w:rPr>
                <w:rFonts w:ascii="宋体" w:hAnsi="宋体" w:cs="宋体"/>
                <w:color w:val="auto"/>
                <w:sz w:val="24"/>
              </w:rPr>
            </w:pPr>
            <w:r>
              <w:rPr>
                <w:rFonts w:hint="eastAsia" w:ascii="宋体" w:hAnsi="宋体" w:cs="宋体"/>
                <w:color w:val="auto"/>
                <w:sz w:val="24"/>
              </w:rPr>
              <w:t>各供应商报价未高于最高限价；</w:t>
            </w:r>
          </w:p>
        </w:tc>
        <w:tc>
          <w:tcPr>
            <w:tcW w:w="1637" w:type="dxa"/>
            <w:vAlign w:val="center"/>
          </w:tcPr>
          <w:p w14:paraId="382C6403">
            <w:pPr>
              <w:jc w:val="center"/>
              <w:rPr>
                <w:rFonts w:ascii="宋体" w:hAnsi="宋体" w:cs="宋体"/>
                <w:color w:val="auto"/>
                <w:spacing w:val="-2"/>
                <w:sz w:val="24"/>
              </w:rPr>
            </w:pPr>
          </w:p>
        </w:tc>
      </w:tr>
      <w:tr w14:paraId="268C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vAlign w:val="center"/>
          </w:tcPr>
          <w:p w14:paraId="62E2F901">
            <w:pPr>
              <w:jc w:val="center"/>
              <w:rPr>
                <w:rFonts w:ascii="宋体" w:hAnsi="宋体" w:cs="宋体"/>
                <w:color w:val="auto"/>
                <w:sz w:val="24"/>
              </w:rPr>
            </w:pPr>
            <w:r>
              <w:rPr>
                <w:rFonts w:hint="eastAsia" w:ascii="宋体" w:hAnsi="宋体" w:cs="宋体"/>
                <w:color w:val="auto"/>
                <w:sz w:val="24"/>
              </w:rPr>
              <w:t>2</w:t>
            </w:r>
          </w:p>
        </w:tc>
        <w:tc>
          <w:tcPr>
            <w:tcW w:w="6755" w:type="dxa"/>
            <w:vAlign w:val="center"/>
          </w:tcPr>
          <w:p w14:paraId="538F2B23">
            <w:pPr>
              <w:rPr>
                <w:rFonts w:ascii="宋体" w:hAnsi="宋体" w:cs="宋体"/>
                <w:color w:val="auto"/>
                <w:sz w:val="24"/>
              </w:rPr>
            </w:pPr>
            <w:r>
              <w:rPr>
                <w:rFonts w:hint="eastAsia" w:ascii="宋体" w:hAnsi="宋体" w:cs="宋体"/>
                <w:color w:val="auto"/>
                <w:sz w:val="24"/>
              </w:rPr>
              <w:t>磋商小组认为供应商的报价无明显低于其他通过符合性审查供应商的报价的，供应商的报价不存在异常一致并成规律性的，其报价合理。</w:t>
            </w:r>
          </w:p>
        </w:tc>
        <w:tc>
          <w:tcPr>
            <w:tcW w:w="1637" w:type="dxa"/>
            <w:vAlign w:val="center"/>
          </w:tcPr>
          <w:p w14:paraId="50B4A62F">
            <w:pPr>
              <w:jc w:val="center"/>
              <w:rPr>
                <w:rFonts w:ascii="宋体" w:hAnsi="宋体" w:cs="宋体"/>
                <w:color w:val="auto"/>
                <w:spacing w:val="-2"/>
                <w:sz w:val="24"/>
              </w:rPr>
            </w:pPr>
          </w:p>
        </w:tc>
      </w:tr>
      <w:tr w14:paraId="3AD4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14:paraId="7361852C">
            <w:pPr>
              <w:jc w:val="center"/>
              <w:rPr>
                <w:rFonts w:ascii="宋体" w:hAnsi="宋体" w:cs="宋体"/>
                <w:color w:val="auto"/>
                <w:sz w:val="24"/>
              </w:rPr>
            </w:pPr>
            <w:r>
              <w:rPr>
                <w:rFonts w:hint="eastAsia" w:ascii="宋体" w:hAnsi="宋体" w:cs="宋体"/>
                <w:color w:val="auto"/>
                <w:sz w:val="24"/>
              </w:rPr>
              <w:t>3</w:t>
            </w:r>
          </w:p>
        </w:tc>
        <w:tc>
          <w:tcPr>
            <w:tcW w:w="6755" w:type="dxa"/>
            <w:vAlign w:val="center"/>
          </w:tcPr>
          <w:p w14:paraId="580274C1">
            <w:pPr>
              <w:rPr>
                <w:rFonts w:hint="eastAsia" w:ascii="宋体" w:hAnsi="宋体" w:eastAsia="仿宋" w:cs="宋体"/>
                <w:color w:val="auto"/>
                <w:sz w:val="24"/>
                <w:lang w:eastAsia="zh-CN"/>
              </w:rPr>
            </w:pPr>
            <w:r>
              <w:rPr>
                <w:rFonts w:hint="eastAsia" w:ascii="宋体" w:hAnsi="宋体" w:cs="宋体"/>
                <w:color w:val="auto"/>
                <w:sz w:val="24"/>
              </w:rPr>
              <w:t>供应商按磋商文件规定提交响应文件</w:t>
            </w:r>
            <w:r>
              <w:rPr>
                <w:rFonts w:hint="eastAsia" w:ascii="宋体" w:hAnsi="宋体" w:cs="宋体"/>
                <w:color w:val="auto"/>
                <w:sz w:val="24"/>
                <w:lang w:eastAsia="zh-CN"/>
              </w:rPr>
              <w:t>。</w:t>
            </w:r>
          </w:p>
        </w:tc>
        <w:tc>
          <w:tcPr>
            <w:tcW w:w="1637" w:type="dxa"/>
            <w:vAlign w:val="center"/>
          </w:tcPr>
          <w:p w14:paraId="3E4D60FA">
            <w:pPr>
              <w:jc w:val="center"/>
              <w:rPr>
                <w:rFonts w:ascii="宋体" w:hAnsi="宋体" w:cs="宋体"/>
                <w:color w:val="auto"/>
                <w:sz w:val="24"/>
              </w:rPr>
            </w:pPr>
          </w:p>
        </w:tc>
      </w:tr>
      <w:tr w14:paraId="10D5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14:paraId="76196242">
            <w:pPr>
              <w:jc w:val="center"/>
              <w:rPr>
                <w:rFonts w:ascii="宋体" w:hAnsi="宋体" w:cs="宋体"/>
                <w:color w:val="auto"/>
                <w:sz w:val="24"/>
              </w:rPr>
            </w:pPr>
            <w:r>
              <w:rPr>
                <w:rFonts w:hint="eastAsia" w:ascii="宋体" w:hAnsi="宋体" w:cs="宋体"/>
                <w:color w:val="auto"/>
                <w:sz w:val="24"/>
              </w:rPr>
              <w:t>4</w:t>
            </w:r>
          </w:p>
        </w:tc>
        <w:tc>
          <w:tcPr>
            <w:tcW w:w="6755" w:type="dxa"/>
            <w:vAlign w:val="center"/>
          </w:tcPr>
          <w:p w14:paraId="349A4350">
            <w:pPr>
              <w:rPr>
                <w:rFonts w:ascii="宋体" w:hAnsi="宋体" w:eastAsia="宋体" w:cs="宋体"/>
                <w:color w:val="auto"/>
                <w:sz w:val="24"/>
              </w:rPr>
            </w:pPr>
            <w:r>
              <w:rPr>
                <w:rFonts w:hint="eastAsia" w:ascii="宋体" w:hAnsi="宋体" w:cs="宋体"/>
                <w:color w:val="auto"/>
                <w:sz w:val="24"/>
              </w:rPr>
              <w:t>响应文件按照磋商文件的</w:t>
            </w:r>
            <w:r>
              <w:rPr>
                <w:rFonts w:hint="eastAsia" w:ascii="宋体" w:hAnsi="宋体" w:cs="宋体"/>
                <w:color w:val="auto"/>
                <w:sz w:val="24"/>
                <w:lang w:val="en-US"/>
              </w:rPr>
              <w:t>规</w:t>
            </w:r>
            <w:r>
              <w:rPr>
                <w:rFonts w:hint="eastAsia" w:ascii="宋体" w:hAnsi="宋体" w:cs="宋体"/>
                <w:color w:val="auto"/>
                <w:sz w:val="24"/>
              </w:rPr>
              <w:t>定编制、标记及签署盖章的，法定代表人或其授权代表签字（章）和加盖供应商单位公章的。</w:t>
            </w:r>
          </w:p>
        </w:tc>
        <w:tc>
          <w:tcPr>
            <w:tcW w:w="1637" w:type="dxa"/>
            <w:vAlign w:val="center"/>
          </w:tcPr>
          <w:p w14:paraId="2BEE3914">
            <w:pPr>
              <w:jc w:val="center"/>
              <w:rPr>
                <w:rFonts w:ascii="宋体" w:hAnsi="宋体" w:cs="宋体"/>
                <w:color w:val="auto"/>
                <w:spacing w:val="-2"/>
                <w:sz w:val="24"/>
              </w:rPr>
            </w:pPr>
          </w:p>
        </w:tc>
      </w:tr>
      <w:tr w14:paraId="1A17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48" w:type="dxa"/>
            <w:vAlign w:val="center"/>
          </w:tcPr>
          <w:p w14:paraId="415E614F">
            <w:pPr>
              <w:jc w:val="center"/>
              <w:rPr>
                <w:rFonts w:ascii="宋体" w:hAnsi="宋体" w:cs="宋体"/>
                <w:color w:val="auto"/>
                <w:sz w:val="24"/>
              </w:rPr>
            </w:pPr>
            <w:r>
              <w:rPr>
                <w:rFonts w:hint="eastAsia" w:ascii="宋体" w:hAnsi="宋体" w:cs="宋体"/>
                <w:color w:val="auto"/>
                <w:sz w:val="24"/>
              </w:rPr>
              <w:t>5</w:t>
            </w:r>
          </w:p>
        </w:tc>
        <w:tc>
          <w:tcPr>
            <w:tcW w:w="6755" w:type="dxa"/>
            <w:vAlign w:val="center"/>
          </w:tcPr>
          <w:p w14:paraId="3E365172">
            <w:pPr>
              <w:rPr>
                <w:rFonts w:ascii="宋体" w:hAnsi="宋体" w:eastAsia="宋体" w:cs="宋体"/>
                <w:color w:val="auto"/>
                <w:sz w:val="24"/>
              </w:rPr>
            </w:pPr>
            <w:r>
              <w:rPr>
                <w:rFonts w:hint="eastAsia" w:ascii="宋体" w:hAnsi="宋体" w:cs="宋体"/>
                <w:color w:val="auto"/>
                <w:sz w:val="24"/>
              </w:rPr>
              <w:t>实质性条款与磋商文件要求的条款相符、且没有重大偏离的。</w:t>
            </w:r>
          </w:p>
        </w:tc>
        <w:tc>
          <w:tcPr>
            <w:tcW w:w="1637" w:type="dxa"/>
            <w:vAlign w:val="center"/>
          </w:tcPr>
          <w:p w14:paraId="6A9A4449">
            <w:pPr>
              <w:jc w:val="center"/>
              <w:rPr>
                <w:rFonts w:ascii="宋体" w:hAnsi="宋体" w:cs="宋体"/>
                <w:color w:val="auto"/>
                <w:spacing w:val="-2"/>
                <w:sz w:val="24"/>
              </w:rPr>
            </w:pPr>
          </w:p>
        </w:tc>
      </w:tr>
      <w:tr w14:paraId="597D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14:paraId="6F6A21FB">
            <w:pPr>
              <w:jc w:val="center"/>
              <w:rPr>
                <w:rFonts w:ascii="宋体" w:hAnsi="宋体" w:cs="宋体"/>
                <w:color w:val="auto"/>
                <w:sz w:val="24"/>
              </w:rPr>
            </w:pPr>
            <w:r>
              <w:rPr>
                <w:rFonts w:hint="eastAsia" w:ascii="宋体" w:hAnsi="宋体" w:cs="宋体"/>
                <w:color w:val="auto"/>
                <w:sz w:val="24"/>
              </w:rPr>
              <w:t>6</w:t>
            </w:r>
          </w:p>
        </w:tc>
        <w:tc>
          <w:tcPr>
            <w:tcW w:w="6755" w:type="dxa"/>
            <w:vAlign w:val="center"/>
          </w:tcPr>
          <w:p w14:paraId="7E333C66">
            <w:pPr>
              <w:rPr>
                <w:rFonts w:ascii="宋体" w:hAnsi="宋体" w:eastAsia="宋体" w:cs="宋体"/>
                <w:color w:val="auto"/>
                <w:sz w:val="24"/>
              </w:rPr>
            </w:pPr>
            <w:r>
              <w:rPr>
                <w:rFonts w:hint="eastAsia" w:ascii="宋体" w:hAnsi="宋体" w:cs="宋体"/>
                <w:color w:val="auto"/>
                <w:sz w:val="24"/>
              </w:rPr>
              <w:t>响应文件载明的技术标准、技术指标等，符合磋商文件要求的（可参考技术偏离表）。</w:t>
            </w:r>
          </w:p>
        </w:tc>
        <w:tc>
          <w:tcPr>
            <w:tcW w:w="1637" w:type="dxa"/>
            <w:vAlign w:val="center"/>
          </w:tcPr>
          <w:p w14:paraId="1D4B86B8">
            <w:pPr>
              <w:jc w:val="center"/>
              <w:rPr>
                <w:rFonts w:ascii="宋体" w:hAnsi="宋体" w:cs="宋体"/>
                <w:color w:val="auto"/>
                <w:spacing w:val="-2"/>
                <w:sz w:val="24"/>
              </w:rPr>
            </w:pPr>
          </w:p>
        </w:tc>
      </w:tr>
      <w:tr w14:paraId="3B19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14:paraId="157EB9D5">
            <w:pPr>
              <w:jc w:val="center"/>
              <w:rPr>
                <w:rFonts w:hint="eastAsia" w:ascii="宋体" w:hAnsi="宋体" w:eastAsia="仿宋" w:cs="宋体"/>
                <w:color w:val="auto"/>
                <w:sz w:val="24"/>
                <w:lang w:val="en-US" w:eastAsia="zh-CN"/>
              </w:rPr>
            </w:pPr>
            <w:r>
              <w:rPr>
                <w:rFonts w:hint="eastAsia" w:ascii="宋体" w:hAnsi="宋体" w:cs="宋体"/>
                <w:color w:val="auto"/>
                <w:sz w:val="24"/>
                <w:lang w:val="en-US" w:eastAsia="zh-CN"/>
              </w:rPr>
              <w:t>7</w:t>
            </w:r>
          </w:p>
        </w:tc>
        <w:tc>
          <w:tcPr>
            <w:tcW w:w="6755" w:type="dxa"/>
            <w:vAlign w:val="center"/>
          </w:tcPr>
          <w:p w14:paraId="28677C42">
            <w:pPr>
              <w:rPr>
                <w:rFonts w:hint="eastAsia" w:ascii="宋体" w:hAnsi="宋体" w:cs="宋体"/>
                <w:color w:val="auto"/>
                <w:sz w:val="24"/>
              </w:rPr>
            </w:pPr>
            <w:r>
              <w:rPr>
                <w:rFonts w:hint="eastAsia" w:ascii="宋体" w:hAnsi="宋体" w:cs="宋体"/>
                <w:color w:val="auto"/>
                <w:sz w:val="24"/>
              </w:rPr>
              <w:t>按磋商文件规定的格式填写，内容全或关键字迹清晰、数量等齐全，所有原件的复印件清晰可辨。</w:t>
            </w:r>
          </w:p>
        </w:tc>
        <w:tc>
          <w:tcPr>
            <w:tcW w:w="1637" w:type="dxa"/>
            <w:vAlign w:val="center"/>
          </w:tcPr>
          <w:p w14:paraId="20840B8E">
            <w:pPr>
              <w:jc w:val="center"/>
              <w:rPr>
                <w:rFonts w:ascii="宋体" w:hAnsi="宋体" w:cs="宋体"/>
                <w:color w:val="auto"/>
                <w:spacing w:val="-2"/>
                <w:sz w:val="24"/>
              </w:rPr>
            </w:pPr>
          </w:p>
        </w:tc>
      </w:tr>
      <w:tr w14:paraId="4F7A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2A2624EF">
            <w:pPr>
              <w:jc w:val="center"/>
              <w:rPr>
                <w:rFonts w:hint="eastAsia" w:ascii="宋体" w:hAnsi="宋体" w:eastAsia="仿宋" w:cs="宋体"/>
                <w:color w:val="auto"/>
                <w:sz w:val="24"/>
                <w:lang w:eastAsia="zh-CN"/>
              </w:rPr>
            </w:pPr>
            <w:r>
              <w:rPr>
                <w:rFonts w:hint="eastAsia" w:ascii="宋体" w:hAnsi="宋体" w:cs="宋体"/>
                <w:color w:val="auto"/>
                <w:sz w:val="24"/>
                <w:lang w:val="en-US" w:eastAsia="zh-CN"/>
              </w:rPr>
              <w:t>8</w:t>
            </w:r>
          </w:p>
        </w:tc>
        <w:tc>
          <w:tcPr>
            <w:tcW w:w="6755" w:type="dxa"/>
            <w:vAlign w:val="center"/>
          </w:tcPr>
          <w:p w14:paraId="6947AEB5">
            <w:pPr>
              <w:rPr>
                <w:rFonts w:ascii="宋体" w:hAnsi="宋体" w:cs="宋体"/>
                <w:color w:val="auto"/>
                <w:sz w:val="24"/>
              </w:rPr>
            </w:pPr>
            <w:r>
              <w:rPr>
                <w:rFonts w:hint="eastAsia" w:ascii="宋体" w:hAnsi="宋体" w:cs="宋体"/>
                <w:color w:val="auto"/>
                <w:sz w:val="24"/>
              </w:rPr>
              <w:t>没有采购人不能接受的附加条件的。</w:t>
            </w:r>
          </w:p>
        </w:tc>
        <w:tc>
          <w:tcPr>
            <w:tcW w:w="1637" w:type="dxa"/>
            <w:vAlign w:val="center"/>
          </w:tcPr>
          <w:p w14:paraId="4B432B6B">
            <w:pPr>
              <w:jc w:val="center"/>
              <w:rPr>
                <w:rFonts w:ascii="宋体" w:hAnsi="宋体" w:cs="宋体"/>
                <w:color w:val="auto"/>
                <w:spacing w:val="-2"/>
                <w:sz w:val="24"/>
              </w:rPr>
            </w:pPr>
          </w:p>
        </w:tc>
      </w:tr>
      <w:tr w14:paraId="135A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779C0610">
            <w:pPr>
              <w:jc w:val="center"/>
              <w:rPr>
                <w:rFonts w:hint="eastAsia" w:ascii="宋体" w:hAnsi="宋体" w:eastAsia="仿宋" w:cs="宋体"/>
                <w:color w:val="auto"/>
                <w:sz w:val="24"/>
                <w:lang w:eastAsia="zh-CN"/>
              </w:rPr>
            </w:pPr>
            <w:r>
              <w:rPr>
                <w:rFonts w:hint="eastAsia" w:ascii="宋体" w:hAnsi="宋体" w:cs="宋体"/>
                <w:color w:val="auto"/>
                <w:sz w:val="24"/>
                <w:lang w:val="en-US" w:eastAsia="zh-CN"/>
              </w:rPr>
              <w:t>9</w:t>
            </w:r>
          </w:p>
        </w:tc>
        <w:tc>
          <w:tcPr>
            <w:tcW w:w="6755" w:type="dxa"/>
            <w:vAlign w:val="center"/>
          </w:tcPr>
          <w:p w14:paraId="2C08C052">
            <w:pPr>
              <w:rPr>
                <w:rFonts w:ascii="宋体" w:hAnsi="宋体" w:eastAsia="宋体" w:cs="宋体"/>
                <w:color w:val="auto"/>
                <w:sz w:val="24"/>
              </w:rPr>
            </w:pPr>
            <w:r>
              <w:rPr>
                <w:rFonts w:hint="eastAsia" w:ascii="宋体" w:hAnsi="宋体" w:cs="宋体"/>
                <w:color w:val="auto"/>
                <w:sz w:val="24"/>
              </w:rPr>
              <w:t>符合磋商文件中规定的其他实质性要求。</w:t>
            </w:r>
          </w:p>
        </w:tc>
        <w:tc>
          <w:tcPr>
            <w:tcW w:w="1637" w:type="dxa"/>
            <w:vAlign w:val="center"/>
          </w:tcPr>
          <w:p w14:paraId="1500AF6F">
            <w:pPr>
              <w:jc w:val="center"/>
              <w:rPr>
                <w:rFonts w:ascii="宋体" w:hAnsi="宋体" w:cs="宋体"/>
                <w:color w:val="auto"/>
                <w:spacing w:val="-2"/>
                <w:sz w:val="24"/>
              </w:rPr>
            </w:pPr>
          </w:p>
        </w:tc>
      </w:tr>
      <w:tr w14:paraId="4DFF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14:paraId="0AFAA5BA">
            <w:pPr>
              <w:jc w:val="center"/>
              <w:rPr>
                <w:rFonts w:hint="default" w:ascii="宋体" w:hAnsi="宋体" w:eastAsia="仿宋" w:cs="宋体"/>
                <w:color w:val="auto"/>
                <w:sz w:val="24"/>
                <w:lang w:val="en-US" w:eastAsia="zh-CN"/>
              </w:rPr>
            </w:pPr>
            <w:r>
              <w:rPr>
                <w:rFonts w:hint="eastAsia" w:ascii="宋体" w:hAnsi="宋体" w:cs="宋体"/>
                <w:color w:val="auto"/>
                <w:sz w:val="24"/>
                <w:lang w:val="en-US" w:eastAsia="zh-CN"/>
              </w:rPr>
              <w:t>10</w:t>
            </w:r>
          </w:p>
        </w:tc>
        <w:tc>
          <w:tcPr>
            <w:tcW w:w="6755" w:type="dxa"/>
            <w:vAlign w:val="center"/>
          </w:tcPr>
          <w:p w14:paraId="5F5EFB9D">
            <w:pPr>
              <w:rPr>
                <w:rFonts w:ascii="宋体" w:hAnsi="宋体" w:eastAsia="宋体" w:cs="宋体"/>
                <w:color w:val="auto"/>
                <w:sz w:val="24"/>
              </w:rPr>
            </w:pPr>
            <w:r>
              <w:rPr>
                <w:rFonts w:hint="eastAsia" w:ascii="宋体" w:hAnsi="宋体" w:cs="宋体"/>
                <w:color w:val="auto"/>
                <w:sz w:val="24"/>
              </w:rPr>
              <w:t>不同供应商的响应文件没有错漏一致的情况。</w:t>
            </w:r>
          </w:p>
        </w:tc>
        <w:tc>
          <w:tcPr>
            <w:tcW w:w="1637" w:type="dxa"/>
            <w:vAlign w:val="center"/>
          </w:tcPr>
          <w:p w14:paraId="189CB76F">
            <w:pPr>
              <w:jc w:val="center"/>
              <w:rPr>
                <w:rFonts w:ascii="宋体" w:hAnsi="宋体" w:cs="宋体"/>
                <w:color w:val="auto"/>
                <w:spacing w:val="-2"/>
                <w:sz w:val="24"/>
              </w:rPr>
            </w:pPr>
          </w:p>
        </w:tc>
      </w:tr>
      <w:tr w14:paraId="28F1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14:paraId="39B6071B">
            <w:pPr>
              <w:ind w:firstLine="424" w:firstLineChars="180"/>
              <w:jc w:val="center"/>
              <w:rPr>
                <w:rFonts w:ascii="宋体" w:hAnsi="宋体" w:cs="宋体"/>
                <w:color w:val="auto"/>
                <w:spacing w:val="-2"/>
                <w:sz w:val="24"/>
              </w:rPr>
            </w:pPr>
            <w:r>
              <w:rPr>
                <w:rFonts w:hint="eastAsia" w:ascii="宋体" w:hAnsi="宋体" w:cs="宋体"/>
                <w:color w:val="auto"/>
                <w:spacing w:val="-2"/>
                <w:sz w:val="24"/>
              </w:rPr>
              <w:t>结论：通过评审打“√”，未通过评审打“×”</w:t>
            </w:r>
          </w:p>
        </w:tc>
        <w:tc>
          <w:tcPr>
            <w:tcW w:w="1637" w:type="dxa"/>
            <w:vAlign w:val="center"/>
          </w:tcPr>
          <w:p w14:paraId="51C61069">
            <w:pPr>
              <w:ind w:firstLine="424" w:firstLineChars="180"/>
              <w:jc w:val="center"/>
              <w:rPr>
                <w:rFonts w:ascii="宋体" w:hAnsi="宋体" w:cs="宋体"/>
                <w:color w:val="auto"/>
                <w:spacing w:val="-2"/>
                <w:sz w:val="24"/>
              </w:rPr>
            </w:pPr>
          </w:p>
        </w:tc>
      </w:tr>
    </w:tbl>
    <w:p w14:paraId="56014612">
      <w:pPr>
        <w:spacing w:line="300" w:lineRule="auto"/>
        <w:ind w:left="60"/>
        <w:rPr>
          <w:rFonts w:ascii="宋体" w:hAnsi="宋体" w:cs="宋体"/>
          <w:color w:val="auto"/>
          <w:sz w:val="24"/>
        </w:rPr>
      </w:pPr>
      <w:r>
        <w:rPr>
          <w:rFonts w:hint="eastAsia" w:ascii="宋体" w:hAnsi="宋体" w:cs="宋体"/>
          <w:color w:val="auto"/>
          <w:sz w:val="24"/>
        </w:rPr>
        <w:t>说明：</w:t>
      </w:r>
    </w:p>
    <w:p w14:paraId="28E46300">
      <w:pPr>
        <w:spacing w:line="300" w:lineRule="auto"/>
        <w:ind w:left="60"/>
        <w:rPr>
          <w:rFonts w:ascii="宋体" w:hAnsi="宋体" w:cs="宋体"/>
          <w:color w:val="auto"/>
          <w:sz w:val="24"/>
        </w:rPr>
      </w:pPr>
      <w:r>
        <w:rPr>
          <w:rFonts w:hint="eastAsia" w:ascii="宋体" w:hAnsi="宋体" w:cs="宋体"/>
          <w:color w:val="auto"/>
          <w:sz w:val="24"/>
        </w:rPr>
        <w:t>（1）上述各项中用“√”表示合格，“×”表示不合格；</w:t>
      </w:r>
    </w:p>
    <w:p w14:paraId="31559000">
      <w:pPr>
        <w:spacing w:line="300" w:lineRule="auto"/>
        <w:ind w:left="782" w:leftChars="28" w:hanging="720" w:hangingChars="300"/>
        <w:rPr>
          <w:rFonts w:ascii="宋体" w:hAnsi="宋体" w:cs="宋体"/>
          <w:color w:val="auto"/>
          <w:sz w:val="24"/>
        </w:rPr>
      </w:pPr>
      <w:r>
        <w:rPr>
          <w:rFonts w:hint="eastAsia" w:ascii="宋体" w:hAnsi="宋体" w:cs="宋体"/>
          <w:color w:val="auto"/>
          <w:sz w:val="24"/>
        </w:rPr>
        <w:t>（2）上述各项中如有一项为“×”，则结论为“×”，表示该响应文件中存在重大偏差，不能通过初步评审；磋商小组对某一分项评审认为不合格时，必须要写明原因。</w:t>
      </w:r>
    </w:p>
    <w:p w14:paraId="3E2FC10A">
      <w:pPr>
        <w:pStyle w:val="7"/>
        <w:spacing w:line="300" w:lineRule="auto"/>
        <w:ind w:left="0" w:leftChars="0" w:firstLine="0" w:firstLineChars="0"/>
        <w:jc w:val="both"/>
        <w:rPr>
          <w:rFonts w:hAnsi="宋体" w:cs="宋体"/>
          <w:color w:val="auto"/>
          <w:szCs w:val="24"/>
        </w:rPr>
      </w:pPr>
      <w:r>
        <w:rPr>
          <w:rFonts w:hint="eastAsia" w:hAnsi="宋体" w:cs="宋体"/>
          <w:color w:val="auto"/>
          <w:szCs w:val="24"/>
        </w:rPr>
        <w:t>（3）响应文件最终合格与否，以所有磋商小组的评审意见中少数服从多数为原则定论。</w:t>
      </w:r>
    </w:p>
    <w:p w14:paraId="115E0685">
      <w:pPr>
        <w:ind w:firstLine="482" w:firstLineChars="200"/>
        <w:rPr>
          <w:color w:val="auto"/>
        </w:rPr>
      </w:pPr>
      <w:r>
        <w:rPr>
          <w:rFonts w:hint="eastAsia" w:ascii="宋体" w:hAnsi="宋体" w:cs="宋体"/>
          <w:b/>
          <w:bCs/>
          <w:color w:val="auto"/>
          <w:sz w:val="24"/>
        </w:rPr>
        <w:t>未通过资格审查的供应商不进入评审；通过资格审查的供应商不足三家的，不得评审。</w:t>
      </w:r>
    </w:p>
    <w:p w14:paraId="72AF79C0">
      <w:pPr>
        <w:rPr>
          <w:rFonts w:hint="eastAsia" w:ascii="宋体" w:hAnsi="宋体" w:cs="宋体"/>
          <w:b/>
          <w:color w:val="auto"/>
          <w:sz w:val="28"/>
          <w:szCs w:val="28"/>
        </w:rPr>
      </w:pPr>
      <w:bookmarkStart w:id="485" w:name="_Toc13291"/>
      <w:r>
        <w:rPr>
          <w:rFonts w:hint="eastAsia" w:ascii="宋体" w:hAnsi="宋体" w:cs="宋体"/>
          <w:b/>
          <w:color w:val="auto"/>
          <w:sz w:val="28"/>
          <w:szCs w:val="28"/>
        </w:rPr>
        <w:br w:type="page"/>
      </w:r>
    </w:p>
    <w:p w14:paraId="601FBC86">
      <w:pPr>
        <w:spacing w:line="360" w:lineRule="auto"/>
        <w:jc w:val="center"/>
        <w:rPr>
          <w:rFonts w:ascii="宋体" w:hAnsi="宋体" w:cs="宋体"/>
          <w:b/>
          <w:color w:val="auto"/>
          <w:sz w:val="28"/>
          <w:szCs w:val="28"/>
        </w:rPr>
      </w:pPr>
      <w:r>
        <w:rPr>
          <w:rFonts w:hint="eastAsia" w:ascii="宋体" w:hAnsi="宋体" w:cs="宋体"/>
          <w:b/>
          <w:color w:val="auto"/>
          <w:sz w:val="28"/>
          <w:szCs w:val="28"/>
        </w:rPr>
        <w:t>综合评分法评分标准</w:t>
      </w:r>
      <w:bookmarkEnd w:id="485"/>
    </w:p>
    <w:p w14:paraId="5872009B">
      <w:pPr>
        <w:tabs>
          <w:tab w:val="left" w:pos="0"/>
        </w:tabs>
        <w:adjustRightInd w:val="0"/>
        <w:snapToGrid w:val="0"/>
        <w:spacing w:before="156" w:beforeLines="50" w:line="360" w:lineRule="auto"/>
        <w:rPr>
          <w:rFonts w:hint="eastAsia" w:ascii="宋体" w:hAnsi="宋体"/>
          <w:b/>
          <w:color w:val="auto"/>
          <w:szCs w:val="21"/>
        </w:rPr>
      </w:pPr>
      <w:bookmarkStart w:id="486" w:name="第六章__响应文件格式"/>
      <w:bookmarkEnd w:id="486"/>
      <w:bookmarkStart w:id="487" w:name="一、报_价_函"/>
      <w:bookmarkEnd w:id="487"/>
      <w:bookmarkStart w:id="488" w:name="_Toc30411"/>
      <w:r>
        <w:rPr>
          <w:rFonts w:hint="eastAsia" w:ascii="宋体" w:hAnsi="宋体"/>
          <w:b/>
          <w:color w:val="auto"/>
          <w:szCs w:val="21"/>
        </w:rPr>
        <w:t>评分办法：各投标人的总评分</w:t>
      </w:r>
      <w:r>
        <w:rPr>
          <w:rFonts w:ascii="宋体" w:hAnsi="宋体"/>
          <w:b/>
          <w:color w:val="auto"/>
          <w:szCs w:val="21"/>
        </w:rPr>
        <w:t>=A+B+C</w:t>
      </w:r>
      <w:r>
        <w:rPr>
          <w:rFonts w:hint="eastAsia" w:ascii="宋体" w:hAnsi="宋体"/>
          <w:b/>
          <w:color w:val="auto"/>
          <w:szCs w:val="21"/>
        </w:rPr>
        <w:t>，具体评分细则如下：</w:t>
      </w:r>
    </w:p>
    <w:tbl>
      <w:tblPr>
        <w:tblStyle w:val="20"/>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904"/>
        <w:gridCol w:w="913"/>
      </w:tblGrid>
      <w:tr w14:paraId="6D6C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63" w:type="dxa"/>
            <w:noWrap w:val="0"/>
            <w:vAlign w:val="center"/>
          </w:tcPr>
          <w:p w14:paraId="41AB046E">
            <w:pPr>
              <w:pStyle w:val="12"/>
              <w:snapToGrid w:val="0"/>
              <w:spacing w:line="400" w:lineRule="exact"/>
              <w:jc w:val="center"/>
              <w:rPr>
                <w:rFonts w:hint="eastAsia" w:ascii="宋体" w:hAnsi="宋体"/>
                <w:b/>
                <w:color w:val="auto"/>
                <w:sz w:val="21"/>
                <w:szCs w:val="21"/>
              </w:rPr>
            </w:pPr>
            <w:r>
              <w:rPr>
                <w:rFonts w:hint="eastAsia" w:ascii="宋体" w:hAnsi="宋体"/>
                <w:b/>
                <w:color w:val="auto"/>
                <w:sz w:val="21"/>
                <w:szCs w:val="21"/>
              </w:rPr>
              <w:t>项目</w:t>
            </w:r>
          </w:p>
        </w:tc>
        <w:tc>
          <w:tcPr>
            <w:tcW w:w="6904" w:type="dxa"/>
            <w:noWrap w:val="0"/>
            <w:vAlign w:val="center"/>
          </w:tcPr>
          <w:p w14:paraId="5B43C81C">
            <w:pPr>
              <w:pStyle w:val="12"/>
              <w:snapToGrid w:val="0"/>
              <w:spacing w:line="400" w:lineRule="exact"/>
              <w:jc w:val="center"/>
              <w:rPr>
                <w:rFonts w:hint="eastAsia" w:ascii="宋体" w:hAnsi="宋体"/>
                <w:b/>
                <w:color w:val="auto"/>
                <w:sz w:val="21"/>
                <w:szCs w:val="21"/>
              </w:rPr>
            </w:pPr>
            <w:r>
              <w:rPr>
                <w:rFonts w:hint="eastAsia" w:ascii="宋体" w:hAnsi="宋体"/>
                <w:b/>
                <w:color w:val="auto"/>
                <w:sz w:val="21"/>
                <w:szCs w:val="21"/>
              </w:rPr>
              <w:t>评审内容</w:t>
            </w:r>
          </w:p>
        </w:tc>
        <w:tc>
          <w:tcPr>
            <w:tcW w:w="913" w:type="dxa"/>
            <w:noWrap w:val="0"/>
            <w:vAlign w:val="center"/>
          </w:tcPr>
          <w:p w14:paraId="2C756BDE">
            <w:pPr>
              <w:pStyle w:val="12"/>
              <w:snapToGrid w:val="0"/>
              <w:spacing w:line="400" w:lineRule="exact"/>
              <w:jc w:val="center"/>
              <w:rPr>
                <w:rFonts w:hint="eastAsia" w:ascii="宋体" w:hAnsi="宋体"/>
                <w:b/>
                <w:color w:val="auto"/>
                <w:sz w:val="21"/>
                <w:szCs w:val="21"/>
              </w:rPr>
            </w:pPr>
            <w:r>
              <w:rPr>
                <w:rFonts w:hint="eastAsia" w:ascii="宋体" w:hAnsi="宋体"/>
                <w:b/>
                <w:color w:val="auto"/>
                <w:sz w:val="21"/>
                <w:szCs w:val="21"/>
              </w:rPr>
              <w:t>分值</w:t>
            </w:r>
          </w:p>
        </w:tc>
      </w:tr>
      <w:tr w14:paraId="7FF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80" w:type="dxa"/>
            <w:gridSpan w:val="3"/>
            <w:noWrap w:val="0"/>
            <w:vAlign w:val="center"/>
          </w:tcPr>
          <w:p w14:paraId="49A47FF7">
            <w:pPr>
              <w:pStyle w:val="12"/>
              <w:snapToGrid w:val="0"/>
              <w:spacing w:line="400" w:lineRule="exact"/>
              <w:rPr>
                <w:rFonts w:hint="eastAsia" w:ascii="宋体" w:hAnsi="宋体"/>
                <w:b/>
                <w:color w:val="auto"/>
                <w:sz w:val="21"/>
                <w:szCs w:val="21"/>
              </w:rPr>
            </w:pPr>
            <w:r>
              <w:rPr>
                <w:rFonts w:hint="eastAsia" w:ascii="宋体" w:hAnsi="宋体"/>
                <w:b/>
                <w:color w:val="auto"/>
                <w:sz w:val="21"/>
                <w:szCs w:val="21"/>
              </w:rPr>
              <w:t>A：投标价格评分</w:t>
            </w:r>
            <w:r>
              <w:rPr>
                <w:rFonts w:hint="eastAsia" w:ascii="宋体" w:hAnsi="宋体"/>
                <w:b/>
                <w:color w:val="auto"/>
                <w:sz w:val="21"/>
                <w:szCs w:val="21"/>
                <w:lang w:val="en-US" w:eastAsia="zh-CN"/>
              </w:rPr>
              <w:t>3</w:t>
            </w:r>
            <w:r>
              <w:rPr>
                <w:rFonts w:hint="eastAsia" w:ascii="宋体" w:hAnsi="宋体"/>
                <w:b/>
                <w:color w:val="auto"/>
                <w:sz w:val="21"/>
                <w:szCs w:val="21"/>
              </w:rPr>
              <w:t>0分</w:t>
            </w:r>
          </w:p>
        </w:tc>
      </w:tr>
      <w:tr w14:paraId="56D7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63" w:type="dxa"/>
            <w:noWrap w:val="0"/>
            <w:vAlign w:val="center"/>
          </w:tcPr>
          <w:p w14:paraId="041C5BA0">
            <w:pPr>
              <w:pStyle w:val="12"/>
              <w:snapToGrid w:val="0"/>
              <w:spacing w:line="400" w:lineRule="exact"/>
              <w:jc w:val="center"/>
              <w:rPr>
                <w:rFonts w:hint="eastAsia" w:ascii="宋体" w:hAnsi="宋体"/>
                <w:color w:val="auto"/>
                <w:sz w:val="21"/>
                <w:szCs w:val="21"/>
              </w:rPr>
            </w:pPr>
            <w:r>
              <w:rPr>
                <w:rFonts w:hint="eastAsia" w:ascii="宋体" w:hAnsi="宋体"/>
                <w:color w:val="auto"/>
                <w:sz w:val="21"/>
                <w:szCs w:val="21"/>
              </w:rPr>
              <w:t>价格</w:t>
            </w:r>
          </w:p>
        </w:tc>
        <w:tc>
          <w:tcPr>
            <w:tcW w:w="6904" w:type="dxa"/>
            <w:noWrap w:val="0"/>
            <w:vAlign w:val="center"/>
          </w:tcPr>
          <w:p w14:paraId="318FE467">
            <w:pPr>
              <w:pStyle w:val="12"/>
              <w:snapToGrid w:val="0"/>
              <w:spacing w:before="120" w:after="120" w:line="320" w:lineRule="exact"/>
              <w:rPr>
                <w:rFonts w:hint="eastAsia" w:ascii="宋体" w:hAnsi="宋体"/>
                <w:color w:val="auto"/>
                <w:sz w:val="21"/>
                <w:szCs w:val="21"/>
              </w:rPr>
            </w:pPr>
            <w:r>
              <w:rPr>
                <w:rFonts w:hint="eastAsia" w:ascii="宋体" w:hAnsi="宋体"/>
                <w:b/>
                <w:color w:val="auto"/>
                <w:sz w:val="21"/>
                <w:szCs w:val="21"/>
              </w:rPr>
              <w:t>投标报价得分=(评标基准价/投标报价)×</w:t>
            </w:r>
            <w:r>
              <w:rPr>
                <w:rFonts w:hint="eastAsia" w:ascii="宋体" w:hAnsi="宋体"/>
                <w:b/>
                <w:color w:val="auto"/>
                <w:sz w:val="21"/>
                <w:szCs w:val="21"/>
                <w:lang w:val="en-US" w:eastAsia="zh-CN"/>
              </w:rPr>
              <w:t>3</w:t>
            </w:r>
            <w:r>
              <w:rPr>
                <w:rFonts w:hint="eastAsia" w:ascii="宋体" w:hAnsi="宋体"/>
                <w:b/>
                <w:color w:val="auto"/>
                <w:sz w:val="21"/>
                <w:szCs w:val="21"/>
              </w:rPr>
              <w:t>0%×100</w:t>
            </w:r>
          </w:p>
          <w:p w14:paraId="64E5EAAA">
            <w:pPr>
              <w:pStyle w:val="12"/>
              <w:snapToGrid w:val="0"/>
              <w:spacing w:line="320" w:lineRule="exact"/>
              <w:rPr>
                <w:rFonts w:hint="eastAsia" w:ascii="宋体" w:hAnsi="宋体" w:eastAsia="仿宋"/>
                <w:color w:val="auto"/>
                <w:kern w:val="0"/>
                <w:sz w:val="21"/>
                <w:szCs w:val="21"/>
                <w:lang w:val="en-US" w:eastAsia="zh-CN"/>
              </w:rPr>
            </w:pPr>
            <w:r>
              <w:rPr>
                <w:rFonts w:hint="eastAsia" w:ascii="宋体" w:hAnsi="宋体"/>
                <w:color w:val="auto"/>
                <w:kern w:val="0"/>
                <w:sz w:val="21"/>
                <w:szCs w:val="21"/>
              </w:rPr>
              <w:t>评标基准价：满足招标文件要求且投标价格最低的投标报价为评标基准价</w:t>
            </w:r>
            <w:r>
              <w:rPr>
                <w:rFonts w:hint="eastAsia" w:ascii="宋体" w:hAnsi="宋体"/>
                <w:color w:val="auto"/>
                <w:kern w:val="0"/>
                <w:sz w:val="21"/>
                <w:szCs w:val="21"/>
                <w:lang w:eastAsia="zh-CN"/>
              </w:rPr>
              <w:t>。</w:t>
            </w:r>
          </w:p>
          <w:p w14:paraId="4CA782F1">
            <w:pPr>
              <w:pStyle w:val="12"/>
              <w:snapToGrid w:val="0"/>
              <w:spacing w:line="320" w:lineRule="exact"/>
              <w:rPr>
                <w:rFonts w:hint="eastAsia" w:ascii="宋体" w:hAnsi="宋体"/>
                <w:color w:val="auto"/>
                <w:kern w:val="0"/>
                <w:sz w:val="21"/>
                <w:szCs w:val="21"/>
                <w:lang w:val="en-US" w:eastAsia="zh-CN"/>
              </w:rPr>
            </w:pPr>
            <w:r>
              <w:rPr>
                <w:rFonts w:hint="eastAsia" w:ascii="宋体" w:hAnsi="宋体" w:eastAsia="宋体" w:cs="宋体"/>
                <w:b/>
                <w:color w:val="auto"/>
                <w:kern w:val="0"/>
                <w:sz w:val="24"/>
                <w:szCs w:val="24"/>
                <w:lang w:bidi="ar"/>
              </w:rPr>
              <w:t>投标人不得低于成本或市场价恶意竞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13" w:type="dxa"/>
            <w:noWrap w:val="0"/>
            <w:vAlign w:val="center"/>
          </w:tcPr>
          <w:p w14:paraId="29607101">
            <w:pPr>
              <w:pStyle w:val="12"/>
              <w:snapToGrid w:val="0"/>
              <w:spacing w:line="400" w:lineRule="exact"/>
              <w:jc w:val="center"/>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0分</w:t>
            </w:r>
          </w:p>
        </w:tc>
      </w:tr>
      <w:tr w14:paraId="750A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180" w:type="dxa"/>
            <w:gridSpan w:val="3"/>
            <w:noWrap w:val="0"/>
            <w:vAlign w:val="center"/>
          </w:tcPr>
          <w:p w14:paraId="7776B723">
            <w:pPr>
              <w:pStyle w:val="12"/>
              <w:snapToGrid w:val="0"/>
              <w:spacing w:line="320" w:lineRule="exact"/>
              <w:rPr>
                <w:rFonts w:hint="eastAsia" w:ascii="宋体" w:hAnsi="宋体"/>
                <w:b/>
                <w:color w:val="auto"/>
                <w:sz w:val="21"/>
                <w:szCs w:val="21"/>
              </w:rPr>
            </w:pPr>
            <w:r>
              <w:rPr>
                <w:rFonts w:hint="eastAsia" w:ascii="宋体" w:hAnsi="宋体"/>
                <w:b/>
                <w:color w:val="auto"/>
                <w:sz w:val="21"/>
                <w:szCs w:val="21"/>
              </w:rPr>
              <w:t>B：技术部分评分</w:t>
            </w:r>
            <w:r>
              <w:rPr>
                <w:rFonts w:hint="eastAsia" w:ascii="宋体" w:hAnsi="宋体"/>
                <w:b/>
                <w:color w:val="auto"/>
                <w:sz w:val="21"/>
                <w:szCs w:val="21"/>
                <w:lang w:val="en-US" w:eastAsia="zh-CN"/>
              </w:rPr>
              <w:t>55</w:t>
            </w:r>
            <w:r>
              <w:rPr>
                <w:rFonts w:hint="eastAsia" w:ascii="宋体" w:hAnsi="宋体"/>
                <w:b/>
                <w:color w:val="auto"/>
                <w:sz w:val="21"/>
                <w:szCs w:val="21"/>
              </w:rPr>
              <w:t>分</w:t>
            </w:r>
          </w:p>
        </w:tc>
      </w:tr>
      <w:tr w14:paraId="01C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3" w:type="dxa"/>
            <w:noWrap w:val="0"/>
            <w:vAlign w:val="center"/>
          </w:tcPr>
          <w:p w14:paraId="76EC4EEB">
            <w:pPr>
              <w:widowControl/>
              <w:jc w:val="center"/>
              <w:rPr>
                <w:rFonts w:hint="eastAsia" w:ascii="宋体" w:hAnsi="宋体" w:eastAsia="宋体" w:cs="宋体"/>
                <w:color w:val="auto"/>
                <w:sz w:val="21"/>
                <w:szCs w:val="21"/>
                <w:lang w:val="en-US" w:eastAsia="zh-CN"/>
              </w:rPr>
            </w:pPr>
            <w:r>
              <w:rPr>
                <w:rFonts w:hint="eastAsia" w:ascii="宋体" w:hAnsi="宋体"/>
                <w:color w:val="auto"/>
                <w:kern w:val="0"/>
                <w:sz w:val="21"/>
                <w:szCs w:val="21"/>
                <w:lang w:val="en-US" w:eastAsia="zh-CN" w:bidi="ar-SA"/>
              </w:rPr>
              <w:t>施工组织设计</w:t>
            </w:r>
          </w:p>
        </w:tc>
        <w:tc>
          <w:tcPr>
            <w:tcW w:w="6904" w:type="dxa"/>
            <w:noWrap w:val="0"/>
            <w:vAlign w:val="center"/>
          </w:tcPr>
          <w:p w14:paraId="1382219E">
            <w:pPr>
              <w:pStyle w:val="12"/>
              <w:numPr>
                <w:ilvl w:val="0"/>
                <w:numId w:val="0"/>
              </w:numPr>
              <w:snapToGrid w:val="0"/>
              <w:spacing w:line="320" w:lineRule="exact"/>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项目管理网络、施工平面布置、工序衔接，关键节点控制措施：</w:t>
            </w:r>
          </w:p>
          <w:p w14:paraId="4E040814">
            <w:pPr>
              <w:widowControl/>
              <w:numPr>
                <w:ilvl w:val="0"/>
                <w:numId w:val="7"/>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项目管理网络、施工平面布置、工序衔接，关键节点控制措施</w:t>
            </w:r>
            <w:r>
              <w:rPr>
                <w:rFonts w:hint="eastAsia" w:ascii="宋体" w:hAnsi="宋体" w:eastAsia="仿宋" w:cs="仿宋"/>
                <w:color w:val="auto"/>
                <w:kern w:val="0"/>
                <w:sz w:val="21"/>
                <w:szCs w:val="21"/>
                <w:lang w:val="en-US" w:eastAsia="zh-CN" w:bidi="ar-SA"/>
              </w:rPr>
              <w:t>良好、具体、详细的得</w:t>
            </w:r>
            <w:r>
              <w:rPr>
                <w:rFonts w:hint="eastAsia" w:ascii="宋体" w:hAnsi="宋体" w:cs="仿宋"/>
                <w:color w:val="auto"/>
                <w:kern w:val="0"/>
                <w:sz w:val="21"/>
                <w:szCs w:val="21"/>
                <w:lang w:val="en-US" w:eastAsia="zh-CN" w:bidi="ar-SA"/>
              </w:rPr>
              <w:t>15</w:t>
            </w:r>
            <w:r>
              <w:rPr>
                <w:rFonts w:hint="eastAsia" w:ascii="宋体" w:hAnsi="宋体" w:eastAsia="仿宋" w:cs="仿宋"/>
                <w:color w:val="auto"/>
                <w:kern w:val="0"/>
                <w:sz w:val="21"/>
                <w:szCs w:val="21"/>
                <w:lang w:val="en-US" w:eastAsia="zh-CN" w:bidi="ar-SA"/>
              </w:rPr>
              <w:t>分；</w:t>
            </w:r>
          </w:p>
          <w:p w14:paraId="58BA1BE2">
            <w:pPr>
              <w:widowControl/>
              <w:numPr>
                <w:ilvl w:val="0"/>
                <w:numId w:val="7"/>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项目管理网络、施工平面布置、工序衔接，关键节点控制措施</w:t>
            </w:r>
            <w:r>
              <w:rPr>
                <w:rFonts w:hint="eastAsia" w:ascii="宋体" w:hAnsi="宋体" w:eastAsia="仿宋" w:cs="仿宋"/>
                <w:color w:val="auto"/>
                <w:kern w:val="0"/>
                <w:sz w:val="21"/>
                <w:szCs w:val="21"/>
                <w:lang w:val="en-US" w:eastAsia="zh-CN" w:bidi="ar-SA"/>
              </w:rPr>
              <w:t>可行的得</w:t>
            </w:r>
            <w:r>
              <w:rPr>
                <w:rFonts w:hint="eastAsia" w:ascii="宋体" w:hAnsi="宋体" w:cs="仿宋"/>
                <w:color w:val="auto"/>
                <w:kern w:val="0"/>
                <w:sz w:val="21"/>
                <w:szCs w:val="21"/>
                <w:lang w:val="en-US" w:eastAsia="zh-CN" w:bidi="ar-SA"/>
              </w:rPr>
              <w:t>9</w:t>
            </w:r>
            <w:r>
              <w:rPr>
                <w:rFonts w:hint="eastAsia" w:ascii="宋体" w:hAnsi="宋体" w:eastAsia="仿宋" w:cs="仿宋"/>
                <w:color w:val="auto"/>
                <w:kern w:val="0"/>
                <w:sz w:val="21"/>
                <w:szCs w:val="21"/>
                <w:lang w:val="en-US" w:eastAsia="zh-CN" w:bidi="ar-SA"/>
              </w:rPr>
              <w:t>分；</w:t>
            </w:r>
          </w:p>
          <w:p w14:paraId="23651566">
            <w:pPr>
              <w:pStyle w:val="12"/>
              <w:numPr>
                <w:ilvl w:val="0"/>
                <w:numId w:val="0"/>
              </w:numPr>
              <w:snapToGrid w:val="0"/>
              <w:spacing w:line="320" w:lineRule="exact"/>
              <w:ind w:left="0" w:leftChars="0" w:firstLine="0" w:firstLineChars="0"/>
              <w:rPr>
                <w:rFonts w:hint="eastAsia" w:ascii="宋体" w:hAnsi="宋体" w:eastAsia="宋体"/>
                <w:color w:val="auto"/>
                <w:sz w:val="24"/>
                <w:szCs w:val="24"/>
                <w:lang w:eastAsia="zh-CN"/>
              </w:rPr>
            </w:pPr>
            <w:r>
              <w:rPr>
                <w:rFonts w:hint="eastAsia" w:ascii="宋体" w:hAnsi="宋体"/>
                <w:color w:val="auto"/>
                <w:kern w:val="0"/>
                <w:sz w:val="21"/>
                <w:szCs w:val="21"/>
                <w:lang w:val="en-US" w:eastAsia="zh-CN" w:bidi="ar-SA"/>
              </w:rPr>
              <w:t>3、项目管理网络、施工平面布置、工序衔接，关键节点控制措施</w:t>
            </w:r>
            <w:r>
              <w:rPr>
                <w:rFonts w:hint="eastAsia" w:ascii="宋体" w:hAnsi="宋体" w:cs="仿宋"/>
                <w:color w:val="auto"/>
                <w:kern w:val="0"/>
                <w:sz w:val="21"/>
                <w:szCs w:val="21"/>
                <w:lang w:val="en-US" w:eastAsia="zh-CN" w:bidi="ar-SA"/>
              </w:rPr>
              <w:t>一般的得5</w:t>
            </w:r>
            <w:r>
              <w:rPr>
                <w:rFonts w:hint="eastAsia" w:ascii="宋体" w:hAnsi="宋体" w:eastAsia="仿宋" w:cs="仿宋"/>
                <w:color w:val="auto"/>
                <w:kern w:val="0"/>
                <w:sz w:val="21"/>
                <w:szCs w:val="21"/>
                <w:lang w:val="en-US" w:eastAsia="zh-CN" w:bidi="ar-SA"/>
              </w:rPr>
              <w:t>分；</w:t>
            </w:r>
          </w:p>
        </w:tc>
        <w:tc>
          <w:tcPr>
            <w:tcW w:w="913" w:type="dxa"/>
            <w:noWrap w:val="0"/>
            <w:vAlign w:val="center"/>
          </w:tcPr>
          <w:p w14:paraId="0DC4B90C">
            <w:pPr>
              <w:pStyle w:val="12"/>
              <w:snapToGrid w:val="0"/>
              <w:spacing w:line="400" w:lineRule="exact"/>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15分</w:t>
            </w:r>
          </w:p>
        </w:tc>
      </w:tr>
      <w:tr w14:paraId="77CF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14:paraId="39075ABD">
            <w:pPr>
              <w:widowControl/>
              <w:jc w:val="center"/>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bidi="ar-SA"/>
              </w:rPr>
              <w:t>施工机械设备投入</w:t>
            </w:r>
          </w:p>
        </w:tc>
        <w:tc>
          <w:tcPr>
            <w:tcW w:w="6904" w:type="dxa"/>
            <w:noWrap w:val="0"/>
            <w:vAlign w:val="center"/>
          </w:tcPr>
          <w:p w14:paraId="7150739B">
            <w:pPr>
              <w:pStyle w:val="12"/>
              <w:numPr>
                <w:ilvl w:val="0"/>
                <w:numId w:val="0"/>
              </w:numPr>
              <w:snapToGrid w:val="0"/>
              <w:spacing w:line="320" w:lineRule="exact"/>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施工机械投入与施工季度计划、施工机械搭配：</w:t>
            </w:r>
          </w:p>
          <w:p w14:paraId="0CF333C5">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1、施工机械投入与施工季度计划、施工机械搭配</w:t>
            </w:r>
            <w:r>
              <w:rPr>
                <w:rFonts w:hint="eastAsia" w:ascii="宋体" w:hAnsi="宋体" w:eastAsia="仿宋" w:cs="仿宋"/>
                <w:color w:val="auto"/>
                <w:kern w:val="0"/>
                <w:sz w:val="21"/>
                <w:szCs w:val="21"/>
                <w:lang w:val="en-US" w:eastAsia="zh-CN" w:bidi="ar-SA"/>
              </w:rPr>
              <w:t>良好、具体、详细的得</w:t>
            </w:r>
            <w:r>
              <w:rPr>
                <w:rFonts w:hint="eastAsia" w:ascii="宋体" w:hAnsi="宋体" w:cs="仿宋"/>
                <w:color w:val="auto"/>
                <w:kern w:val="0"/>
                <w:sz w:val="21"/>
                <w:szCs w:val="21"/>
                <w:lang w:val="en-US" w:eastAsia="zh-CN" w:bidi="ar-SA"/>
              </w:rPr>
              <w:t>8</w:t>
            </w:r>
            <w:r>
              <w:rPr>
                <w:rFonts w:hint="eastAsia" w:ascii="宋体" w:hAnsi="宋体" w:eastAsia="仿宋" w:cs="仿宋"/>
                <w:color w:val="auto"/>
                <w:kern w:val="0"/>
                <w:sz w:val="21"/>
                <w:szCs w:val="21"/>
                <w:lang w:val="en-US" w:eastAsia="zh-CN" w:bidi="ar-SA"/>
              </w:rPr>
              <w:t>分；</w:t>
            </w:r>
          </w:p>
          <w:p w14:paraId="7E508D5B">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2、施工机械投入与施工季度计划、施工机械搭配</w:t>
            </w:r>
            <w:r>
              <w:rPr>
                <w:rFonts w:hint="eastAsia" w:ascii="宋体" w:hAnsi="宋体" w:eastAsia="仿宋" w:cs="仿宋"/>
                <w:color w:val="auto"/>
                <w:kern w:val="0"/>
                <w:sz w:val="21"/>
                <w:szCs w:val="21"/>
                <w:lang w:val="en-US" w:eastAsia="zh-CN" w:bidi="ar-SA"/>
              </w:rPr>
              <w:t>可行的得</w:t>
            </w:r>
            <w:r>
              <w:rPr>
                <w:rFonts w:hint="eastAsia" w:ascii="宋体" w:hAnsi="宋体" w:cs="仿宋"/>
                <w:color w:val="auto"/>
                <w:kern w:val="0"/>
                <w:sz w:val="21"/>
                <w:szCs w:val="21"/>
                <w:lang w:val="en-US" w:eastAsia="zh-CN" w:bidi="ar-SA"/>
              </w:rPr>
              <w:t>5</w:t>
            </w:r>
            <w:r>
              <w:rPr>
                <w:rFonts w:hint="eastAsia" w:ascii="宋体" w:hAnsi="宋体" w:eastAsia="仿宋" w:cs="仿宋"/>
                <w:color w:val="auto"/>
                <w:kern w:val="0"/>
                <w:sz w:val="21"/>
                <w:szCs w:val="21"/>
                <w:lang w:val="en-US" w:eastAsia="zh-CN" w:bidi="ar-SA"/>
              </w:rPr>
              <w:t>分；</w:t>
            </w:r>
          </w:p>
          <w:p w14:paraId="6A4DC314">
            <w:pPr>
              <w:pStyle w:val="12"/>
              <w:numPr>
                <w:ilvl w:val="0"/>
                <w:numId w:val="0"/>
              </w:numPr>
              <w:snapToGrid w:val="0"/>
              <w:spacing w:line="320" w:lineRule="exact"/>
              <w:ind w:left="0" w:leftChars="0" w:firstLine="0" w:firstLineChars="0"/>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bidi="ar-SA"/>
              </w:rPr>
              <w:t>3、施工机械投入与施工季度计划、施工机械搭配</w:t>
            </w:r>
            <w:r>
              <w:rPr>
                <w:rFonts w:hint="eastAsia" w:ascii="宋体" w:hAnsi="宋体" w:cs="仿宋"/>
                <w:color w:val="auto"/>
                <w:kern w:val="0"/>
                <w:sz w:val="21"/>
                <w:szCs w:val="21"/>
                <w:lang w:val="en-US" w:eastAsia="zh-CN" w:bidi="ar-SA"/>
              </w:rPr>
              <w:t>一般的得3</w:t>
            </w:r>
            <w:r>
              <w:rPr>
                <w:rFonts w:hint="eastAsia" w:ascii="宋体" w:hAnsi="宋体" w:eastAsia="仿宋" w:cs="仿宋"/>
                <w:color w:val="auto"/>
                <w:kern w:val="0"/>
                <w:sz w:val="21"/>
                <w:szCs w:val="21"/>
                <w:lang w:val="en-US" w:eastAsia="zh-CN" w:bidi="ar-SA"/>
              </w:rPr>
              <w:t>分；</w:t>
            </w:r>
          </w:p>
        </w:tc>
        <w:tc>
          <w:tcPr>
            <w:tcW w:w="913" w:type="dxa"/>
            <w:noWrap w:val="0"/>
            <w:vAlign w:val="center"/>
          </w:tcPr>
          <w:p w14:paraId="55FBB77B">
            <w:pPr>
              <w:pStyle w:val="12"/>
              <w:snapToGrid w:val="0"/>
              <w:spacing w:line="400" w:lineRule="exact"/>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8分</w:t>
            </w:r>
          </w:p>
        </w:tc>
      </w:tr>
      <w:tr w14:paraId="234A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14:paraId="55E6E1A8">
            <w:pPr>
              <w:widowControl/>
              <w:jc w:val="center"/>
              <w:rPr>
                <w:rFonts w:hint="eastAsia"/>
                <w:color w:val="auto"/>
                <w:szCs w:val="21"/>
              </w:rPr>
            </w:pPr>
            <w:r>
              <w:rPr>
                <w:rFonts w:hint="eastAsia" w:ascii="宋体" w:hAnsi="宋体"/>
                <w:color w:val="auto"/>
                <w:kern w:val="0"/>
                <w:sz w:val="21"/>
                <w:szCs w:val="21"/>
                <w:lang w:val="en-US" w:eastAsia="zh-CN" w:bidi="ar-SA"/>
              </w:rPr>
              <w:t>劳动力安排计划及保证措施</w:t>
            </w:r>
          </w:p>
        </w:tc>
        <w:tc>
          <w:tcPr>
            <w:tcW w:w="6904" w:type="dxa"/>
            <w:noWrap w:val="0"/>
            <w:vAlign w:val="center"/>
          </w:tcPr>
          <w:p w14:paraId="5FFEB487">
            <w:pPr>
              <w:pStyle w:val="12"/>
              <w:numPr>
                <w:ilvl w:val="0"/>
                <w:numId w:val="0"/>
              </w:numPr>
              <w:snapToGrid w:val="0"/>
              <w:spacing w:line="320" w:lineRule="exact"/>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调配投入计划、劳动力安排计划与施工进度：</w:t>
            </w:r>
          </w:p>
          <w:p w14:paraId="71913DE1">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1、调配投入计划、劳动力安排计划与施工进度</w:t>
            </w:r>
            <w:r>
              <w:rPr>
                <w:rFonts w:hint="eastAsia" w:ascii="宋体" w:hAnsi="宋体" w:eastAsia="仿宋" w:cs="仿宋"/>
                <w:color w:val="auto"/>
                <w:kern w:val="0"/>
                <w:sz w:val="21"/>
                <w:szCs w:val="21"/>
                <w:lang w:val="en-US" w:eastAsia="zh-CN" w:bidi="ar-SA"/>
              </w:rPr>
              <w:t>良好、具体、详细的得</w:t>
            </w:r>
            <w:r>
              <w:rPr>
                <w:rFonts w:hint="eastAsia" w:ascii="宋体" w:hAnsi="宋体" w:cs="仿宋"/>
                <w:color w:val="auto"/>
                <w:kern w:val="0"/>
                <w:sz w:val="21"/>
                <w:szCs w:val="21"/>
                <w:lang w:val="en-US" w:eastAsia="zh-CN" w:bidi="ar-SA"/>
              </w:rPr>
              <w:t>8</w:t>
            </w:r>
            <w:r>
              <w:rPr>
                <w:rFonts w:hint="eastAsia" w:ascii="宋体" w:hAnsi="宋体" w:eastAsia="仿宋" w:cs="仿宋"/>
                <w:color w:val="auto"/>
                <w:kern w:val="0"/>
                <w:sz w:val="21"/>
                <w:szCs w:val="21"/>
                <w:lang w:val="en-US" w:eastAsia="zh-CN" w:bidi="ar-SA"/>
              </w:rPr>
              <w:t>分；</w:t>
            </w:r>
          </w:p>
          <w:p w14:paraId="202820B6">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2、调配投入计划、劳动力安排计划与施工进度</w:t>
            </w:r>
            <w:r>
              <w:rPr>
                <w:rFonts w:hint="eastAsia" w:ascii="宋体" w:hAnsi="宋体" w:eastAsia="仿宋" w:cs="仿宋"/>
                <w:color w:val="auto"/>
                <w:kern w:val="0"/>
                <w:sz w:val="21"/>
                <w:szCs w:val="21"/>
                <w:lang w:val="en-US" w:eastAsia="zh-CN" w:bidi="ar-SA"/>
              </w:rPr>
              <w:t>可行的得</w:t>
            </w:r>
            <w:r>
              <w:rPr>
                <w:rFonts w:hint="eastAsia" w:ascii="宋体" w:hAnsi="宋体" w:cs="仿宋"/>
                <w:color w:val="auto"/>
                <w:kern w:val="0"/>
                <w:sz w:val="21"/>
                <w:szCs w:val="21"/>
                <w:lang w:val="en-US" w:eastAsia="zh-CN" w:bidi="ar-SA"/>
              </w:rPr>
              <w:t>5</w:t>
            </w:r>
            <w:r>
              <w:rPr>
                <w:rFonts w:hint="eastAsia" w:ascii="宋体" w:hAnsi="宋体" w:eastAsia="仿宋" w:cs="仿宋"/>
                <w:color w:val="auto"/>
                <w:kern w:val="0"/>
                <w:sz w:val="21"/>
                <w:szCs w:val="21"/>
                <w:lang w:val="en-US" w:eastAsia="zh-CN" w:bidi="ar-SA"/>
              </w:rPr>
              <w:t>分；</w:t>
            </w:r>
          </w:p>
          <w:p w14:paraId="0706DF96">
            <w:pPr>
              <w:pStyle w:val="12"/>
              <w:numPr>
                <w:ilvl w:val="0"/>
                <w:numId w:val="0"/>
              </w:numPr>
              <w:snapToGrid w:val="0"/>
              <w:spacing w:line="320" w:lineRule="exact"/>
              <w:ind w:left="0" w:leftChars="0" w:firstLine="0" w:firstLineChars="0"/>
              <w:rPr>
                <w:rFonts w:hint="eastAsia" w:ascii="宋体" w:hAnsi="宋体" w:eastAsia="宋体" w:cs="宋体"/>
                <w:color w:val="auto"/>
                <w:sz w:val="21"/>
                <w:szCs w:val="21"/>
              </w:rPr>
            </w:pPr>
            <w:r>
              <w:rPr>
                <w:rFonts w:hint="eastAsia" w:ascii="宋体" w:hAnsi="宋体"/>
                <w:color w:val="auto"/>
                <w:kern w:val="0"/>
                <w:sz w:val="21"/>
                <w:szCs w:val="21"/>
                <w:lang w:val="en-US" w:eastAsia="zh-CN" w:bidi="ar-SA"/>
              </w:rPr>
              <w:t>3、调配投入计划、劳动力安排计划与施工进度</w:t>
            </w:r>
            <w:r>
              <w:rPr>
                <w:rFonts w:hint="eastAsia" w:ascii="宋体" w:hAnsi="宋体" w:cs="仿宋"/>
                <w:color w:val="auto"/>
                <w:kern w:val="0"/>
                <w:sz w:val="21"/>
                <w:szCs w:val="21"/>
                <w:lang w:val="en-US" w:eastAsia="zh-CN" w:bidi="ar-SA"/>
              </w:rPr>
              <w:t>一般的得3</w:t>
            </w:r>
            <w:r>
              <w:rPr>
                <w:rFonts w:hint="eastAsia" w:ascii="宋体" w:hAnsi="宋体" w:eastAsia="仿宋" w:cs="仿宋"/>
                <w:color w:val="auto"/>
                <w:kern w:val="0"/>
                <w:sz w:val="21"/>
                <w:szCs w:val="21"/>
                <w:lang w:val="en-US" w:eastAsia="zh-CN" w:bidi="ar-SA"/>
              </w:rPr>
              <w:t>分；</w:t>
            </w:r>
          </w:p>
        </w:tc>
        <w:tc>
          <w:tcPr>
            <w:tcW w:w="913" w:type="dxa"/>
            <w:noWrap w:val="0"/>
            <w:vAlign w:val="center"/>
          </w:tcPr>
          <w:p w14:paraId="014061CF">
            <w:pPr>
              <w:pStyle w:val="12"/>
              <w:snapToGrid w:val="0"/>
              <w:spacing w:line="400" w:lineRule="exact"/>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8分</w:t>
            </w:r>
          </w:p>
        </w:tc>
      </w:tr>
      <w:tr w14:paraId="57DB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14:paraId="0FFD5E79">
            <w:pPr>
              <w:widowControl/>
              <w:jc w:val="center"/>
              <w:rPr>
                <w:rFonts w:hint="eastAsia" w:ascii="宋体" w:hAnsi="宋体"/>
                <w:color w:val="auto"/>
                <w:kern w:val="0"/>
                <w:sz w:val="21"/>
                <w:szCs w:val="21"/>
                <w:lang w:val="en-US" w:eastAsia="zh-CN" w:bidi="ar-SA"/>
              </w:rPr>
            </w:pPr>
            <w:r>
              <w:rPr>
                <w:rFonts w:hint="default" w:ascii="宋体" w:hAnsi="宋体"/>
                <w:color w:val="auto"/>
                <w:kern w:val="0"/>
                <w:sz w:val="21"/>
                <w:szCs w:val="21"/>
                <w:lang w:val="en-US" w:eastAsia="zh-CN" w:bidi="ar-SA"/>
              </w:rPr>
              <w:t>管理人员投入</w:t>
            </w:r>
          </w:p>
        </w:tc>
        <w:tc>
          <w:tcPr>
            <w:tcW w:w="6904" w:type="dxa"/>
            <w:noWrap w:val="0"/>
            <w:vAlign w:val="center"/>
          </w:tcPr>
          <w:p w14:paraId="0E9F5626">
            <w:pPr>
              <w:pStyle w:val="12"/>
              <w:numPr>
                <w:ilvl w:val="0"/>
                <w:numId w:val="0"/>
              </w:numPr>
              <w:snapToGrid w:val="0"/>
              <w:spacing w:line="320" w:lineRule="exact"/>
              <w:rPr>
                <w:rFonts w:hint="eastAsia" w:ascii="宋体" w:hAnsi="宋体"/>
                <w:color w:val="auto"/>
                <w:kern w:val="0"/>
                <w:sz w:val="21"/>
                <w:szCs w:val="21"/>
                <w:lang w:val="en-US" w:eastAsia="zh-CN" w:bidi="ar-SA"/>
              </w:rPr>
            </w:pPr>
            <w:r>
              <w:rPr>
                <w:rFonts w:hint="default" w:ascii="宋体" w:hAnsi="宋体"/>
                <w:color w:val="auto"/>
                <w:kern w:val="0"/>
                <w:sz w:val="21"/>
                <w:szCs w:val="21"/>
                <w:lang w:val="en-US" w:eastAsia="zh-CN" w:bidi="ar-SA"/>
              </w:rPr>
              <w:t>项目管理人员针对工程实际配置</w:t>
            </w:r>
            <w:r>
              <w:rPr>
                <w:rFonts w:hint="eastAsia" w:ascii="宋体" w:hAnsi="宋体"/>
                <w:color w:val="auto"/>
                <w:kern w:val="0"/>
                <w:sz w:val="21"/>
                <w:szCs w:val="21"/>
                <w:lang w:val="en-US" w:eastAsia="zh-CN" w:bidi="ar-SA"/>
              </w:rPr>
              <w:t>：</w:t>
            </w:r>
          </w:p>
          <w:p w14:paraId="43B4531E">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1、</w:t>
            </w:r>
            <w:r>
              <w:rPr>
                <w:rFonts w:hint="default" w:ascii="宋体" w:hAnsi="宋体"/>
                <w:color w:val="auto"/>
                <w:kern w:val="0"/>
                <w:sz w:val="21"/>
                <w:szCs w:val="21"/>
                <w:lang w:val="en-US" w:eastAsia="zh-CN" w:bidi="ar-SA"/>
              </w:rPr>
              <w:t>项目管理人员针对工程实际配置</w:t>
            </w:r>
            <w:r>
              <w:rPr>
                <w:rFonts w:hint="eastAsia" w:ascii="宋体" w:hAnsi="宋体" w:eastAsia="仿宋" w:cs="仿宋"/>
                <w:color w:val="auto"/>
                <w:kern w:val="0"/>
                <w:sz w:val="21"/>
                <w:szCs w:val="21"/>
                <w:lang w:val="en-US" w:eastAsia="zh-CN" w:bidi="ar-SA"/>
              </w:rPr>
              <w:t>良好、具体、详细的得</w:t>
            </w:r>
            <w:r>
              <w:rPr>
                <w:rFonts w:hint="eastAsia" w:ascii="宋体" w:hAnsi="宋体" w:cs="仿宋"/>
                <w:color w:val="auto"/>
                <w:kern w:val="0"/>
                <w:sz w:val="21"/>
                <w:szCs w:val="21"/>
                <w:lang w:val="en-US" w:eastAsia="zh-CN" w:bidi="ar-SA"/>
              </w:rPr>
              <w:t>8</w:t>
            </w:r>
            <w:r>
              <w:rPr>
                <w:rFonts w:hint="eastAsia" w:ascii="宋体" w:hAnsi="宋体" w:eastAsia="仿宋" w:cs="仿宋"/>
                <w:color w:val="auto"/>
                <w:kern w:val="0"/>
                <w:sz w:val="21"/>
                <w:szCs w:val="21"/>
                <w:lang w:val="en-US" w:eastAsia="zh-CN" w:bidi="ar-SA"/>
              </w:rPr>
              <w:t>分；</w:t>
            </w:r>
          </w:p>
          <w:p w14:paraId="07DBBB6E">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2、</w:t>
            </w:r>
            <w:r>
              <w:rPr>
                <w:rFonts w:hint="default" w:ascii="宋体" w:hAnsi="宋体"/>
                <w:color w:val="auto"/>
                <w:kern w:val="0"/>
                <w:sz w:val="21"/>
                <w:szCs w:val="21"/>
                <w:lang w:val="en-US" w:eastAsia="zh-CN" w:bidi="ar-SA"/>
              </w:rPr>
              <w:t>项目管理人员针对工程实际配置</w:t>
            </w:r>
            <w:r>
              <w:rPr>
                <w:rFonts w:hint="eastAsia" w:ascii="宋体" w:hAnsi="宋体" w:eastAsia="仿宋" w:cs="仿宋"/>
                <w:color w:val="auto"/>
                <w:kern w:val="0"/>
                <w:sz w:val="21"/>
                <w:szCs w:val="21"/>
                <w:lang w:val="en-US" w:eastAsia="zh-CN" w:bidi="ar-SA"/>
              </w:rPr>
              <w:t>可行的得</w:t>
            </w:r>
            <w:r>
              <w:rPr>
                <w:rFonts w:hint="eastAsia" w:ascii="宋体" w:hAnsi="宋体" w:cs="仿宋"/>
                <w:color w:val="auto"/>
                <w:kern w:val="0"/>
                <w:sz w:val="21"/>
                <w:szCs w:val="21"/>
                <w:lang w:val="en-US" w:eastAsia="zh-CN" w:bidi="ar-SA"/>
              </w:rPr>
              <w:t>5</w:t>
            </w:r>
            <w:r>
              <w:rPr>
                <w:rFonts w:hint="eastAsia" w:ascii="宋体" w:hAnsi="宋体" w:eastAsia="仿宋" w:cs="仿宋"/>
                <w:color w:val="auto"/>
                <w:kern w:val="0"/>
                <w:sz w:val="21"/>
                <w:szCs w:val="21"/>
                <w:lang w:val="en-US" w:eastAsia="zh-CN" w:bidi="ar-SA"/>
              </w:rPr>
              <w:t>分；</w:t>
            </w:r>
          </w:p>
          <w:p w14:paraId="6E464B9F">
            <w:pPr>
              <w:pStyle w:val="12"/>
              <w:numPr>
                <w:ilvl w:val="0"/>
                <w:numId w:val="0"/>
              </w:numPr>
              <w:snapToGrid w:val="0"/>
              <w:spacing w:line="320" w:lineRule="exact"/>
              <w:ind w:left="0" w:leftChars="0" w:firstLine="0" w:firstLineChars="0"/>
              <w:rPr>
                <w:rFonts w:hint="eastAsia" w:ascii="宋体" w:hAnsi="宋体" w:eastAsia="宋体" w:cs="宋体"/>
                <w:color w:val="auto"/>
                <w:sz w:val="21"/>
                <w:szCs w:val="21"/>
                <w:lang w:val="en-US" w:eastAsia="zh-CN"/>
              </w:rPr>
            </w:pPr>
            <w:r>
              <w:rPr>
                <w:rFonts w:hint="eastAsia" w:ascii="宋体" w:hAnsi="宋体"/>
                <w:color w:val="auto"/>
                <w:kern w:val="0"/>
                <w:sz w:val="21"/>
                <w:szCs w:val="21"/>
                <w:lang w:val="en-US" w:eastAsia="zh-CN" w:bidi="ar-SA"/>
              </w:rPr>
              <w:t>3、调</w:t>
            </w:r>
            <w:r>
              <w:rPr>
                <w:rFonts w:hint="default" w:ascii="宋体" w:hAnsi="宋体"/>
                <w:color w:val="auto"/>
                <w:kern w:val="0"/>
                <w:sz w:val="21"/>
                <w:szCs w:val="21"/>
                <w:lang w:val="en-US" w:eastAsia="zh-CN" w:bidi="ar-SA"/>
              </w:rPr>
              <w:t>项目管理人员针对工程实际配置</w:t>
            </w:r>
            <w:r>
              <w:rPr>
                <w:rFonts w:hint="eastAsia" w:ascii="宋体" w:hAnsi="宋体" w:cs="仿宋"/>
                <w:color w:val="auto"/>
                <w:kern w:val="0"/>
                <w:sz w:val="21"/>
                <w:szCs w:val="21"/>
                <w:lang w:val="en-US" w:eastAsia="zh-CN" w:bidi="ar-SA"/>
              </w:rPr>
              <w:t>一般的得3</w:t>
            </w:r>
            <w:r>
              <w:rPr>
                <w:rFonts w:hint="eastAsia" w:ascii="宋体" w:hAnsi="宋体" w:eastAsia="仿宋" w:cs="仿宋"/>
                <w:color w:val="auto"/>
                <w:kern w:val="0"/>
                <w:sz w:val="21"/>
                <w:szCs w:val="21"/>
                <w:lang w:val="en-US" w:eastAsia="zh-CN" w:bidi="ar-SA"/>
              </w:rPr>
              <w:t>分；</w:t>
            </w:r>
          </w:p>
        </w:tc>
        <w:tc>
          <w:tcPr>
            <w:tcW w:w="913" w:type="dxa"/>
            <w:noWrap w:val="0"/>
            <w:vAlign w:val="center"/>
          </w:tcPr>
          <w:p w14:paraId="59344CA1">
            <w:pPr>
              <w:pStyle w:val="12"/>
              <w:snapToGrid w:val="0"/>
              <w:spacing w:line="400" w:lineRule="exact"/>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8分</w:t>
            </w:r>
          </w:p>
        </w:tc>
      </w:tr>
      <w:tr w14:paraId="3222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3" w:type="dxa"/>
            <w:noWrap w:val="0"/>
            <w:vAlign w:val="center"/>
          </w:tcPr>
          <w:p w14:paraId="49A129A8">
            <w:pPr>
              <w:widowControl/>
              <w:jc w:val="center"/>
              <w:rPr>
                <w:rFonts w:hint="default" w:ascii="宋体" w:hAnsi="宋体" w:eastAsia="宋体"/>
                <w:color w:val="auto"/>
                <w:kern w:val="0"/>
                <w:sz w:val="21"/>
                <w:szCs w:val="21"/>
                <w:lang w:val="en-US" w:eastAsia="zh-CN" w:bidi="ar-SA"/>
              </w:rPr>
            </w:pPr>
            <w:r>
              <w:rPr>
                <w:rFonts w:hint="eastAsia" w:ascii="宋体" w:hAnsi="宋体"/>
                <w:color w:val="auto"/>
                <w:kern w:val="0"/>
                <w:sz w:val="21"/>
                <w:szCs w:val="21"/>
                <w:lang w:val="en-US" w:eastAsia="zh-CN" w:bidi="ar-SA"/>
              </w:rPr>
              <w:t>施工进度计划</w:t>
            </w:r>
          </w:p>
        </w:tc>
        <w:tc>
          <w:tcPr>
            <w:tcW w:w="6904" w:type="dxa"/>
            <w:noWrap w:val="0"/>
            <w:vAlign w:val="center"/>
          </w:tcPr>
          <w:p w14:paraId="34EF4708">
            <w:pPr>
              <w:pStyle w:val="12"/>
              <w:numPr>
                <w:ilvl w:val="0"/>
                <w:numId w:val="0"/>
              </w:numPr>
              <w:snapToGrid w:val="0"/>
              <w:spacing w:line="320" w:lineRule="exact"/>
              <w:ind w:left="0" w:leftChars="0" w:firstLine="0" w:firstLineChars="0"/>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对施工进度安排有切实可行的保证措施：</w:t>
            </w:r>
          </w:p>
          <w:p w14:paraId="7776A7D3">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1、对施工进度安排有切实可行的保证措施</w:t>
            </w:r>
            <w:r>
              <w:rPr>
                <w:rFonts w:hint="eastAsia" w:ascii="宋体" w:hAnsi="宋体" w:eastAsia="仿宋" w:cs="仿宋"/>
                <w:color w:val="auto"/>
                <w:kern w:val="0"/>
                <w:sz w:val="21"/>
                <w:szCs w:val="21"/>
                <w:lang w:val="en-US" w:eastAsia="zh-CN" w:bidi="ar-SA"/>
              </w:rPr>
              <w:t>良好、具体、详细的得</w:t>
            </w:r>
            <w:r>
              <w:rPr>
                <w:rFonts w:hint="eastAsia" w:ascii="宋体" w:hAnsi="宋体" w:cs="仿宋"/>
                <w:color w:val="auto"/>
                <w:kern w:val="0"/>
                <w:sz w:val="21"/>
                <w:szCs w:val="21"/>
                <w:lang w:val="en-US" w:eastAsia="zh-CN" w:bidi="ar-SA"/>
              </w:rPr>
              <w:t>6</w:t>
            </w:r>
            <w:r>
              <w:rPr>
                <w:rFonts w:hint="eastAsia" w:ascii="宋体" w:hAnsi="宋体" w:eastAsia="仿宋" w:cs="仿宋"/>
                <w:color w:val="auto"/>
                <w:kern w:val="0"/>
                <w:sz w:val="21"/>
                <w:szCs w:val="21"/>
                <w:lang w:val="en-US" w:eastAsia="zh-CN" w:bidi="ar-SA"/>
              </w:rPr>
              <w:t>分；</w:t>
            </w:r>
          </w:p>
          <w:p w14:paraId="56FDA452">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2、对施工进度安排有切实可行的保证措施</w:t>
            </w:r>
            <w:r>
              <w:rPr>
                <w:rFonts w:hint="eastAsia" w:ascii="宋体" w:hAnsi="宋体" w:eastAsia="仿宋" w:cs="仿宋"/>
                <w:color w:val="auto"/>
                <w:kern w:val="0"/>
                <w:sz w:val="21"/>
                <w:szCs w:val="21"/>
                <w:lang w:val="en-US" w:eastAsia="zh-CN" w:bidi="ar-SA"/>
              </w:rPr>
              <w:t>可行的得</w:t>
            </w:r>
            <w:r>
              <w:rPr>
                <w:rFonts w:hint="eastAsia" w:ascii="宋体" w:hAnsi="宋体" w:cs="仿宋"/>
                <w:color w:val="auto"/>
                <w:kern w:val="0"/>
                <w:sz w:val="21"/>
                <w:szCs w:val="21"/>
                <w:lang w:val="en-US" w:eastAsia="zh-CN" w:bidi="ar-SA"/>
              </w:rPr>
              <w:t>4</w:t>
            </w:r>
            <w:r>
              <w:rPr>
                <w:rFonts w:hint="eastAsia" w:ascii="宋体" w:hAnsi="宋体" w:eastAsia="仿宋" w:cs="仿宋"/>
                <w:color w:val="auto"/>
                <w:kern w:val="0"/>
                <w:sz w:val="21"/>
                <w:szCs w:val="21"/>
                <w:lang w:val="en-US" w:eastAsia="zh-CN" w:bidi="ar-SA"/>
              </w:rPr>
              <w:t>分；</w:t>
            </w:r>
          </w:p>
          <w:p w14:paraId="69E3DE15">
            <w:pPr>
              <w:pStyle w:val="12"/>
              <w:numPr>
                <w:ilvl w:val="0"/>
                <w:numId w:val="0"/>
              </w:numPr>
              <w:snapToGrid w:val="0"/>
              <w:spacing w:line="320" w:lineRule="exact"/>
              <w:ind w:left="0" w:leftChars="0" w:firstLine="0" w:firstLineChars="0"/>
              <w:rPr>
                <w:color w:val="auto"/>
              </w:rPr>
            </w:pPr>
            <w:r>
              <w:rPr>
                <w:rFonts w:hint="eastAsia" w:ascii="宋体" w:hAnsi="宋体"/>
                <w:color w:val="auto"/>
                <w:kern w:val="0"/>
                <w:sz w:val="21"/>
                <w:szCs w:val="21"/>
                <w:lang w:val="en-US" w:eastAsia="zh-CN" w:bidi="ar-SA"/>
              </w:rPr>
              <w:t>3、对施工进度安排有切实可行的保证措施</w:t>
            </w:r>
            <w:r>
              <w:rPr>
                <w:rFonts w:hint="eastAsia" w:ascii="宋体" w:hAnsi="宋体" w:cs="仿宋"/>
                <w:color w:val="auto"/>
                <w:kern w:val="0"/>
                <w:sz w:val="21"/>
                <w:szCs w:val="21"/>
                <w:lang w:val="en-US" w:eastAsia="zh-CN" w:bidi="ar-SA"/>
              </w:rPr>
              <w:t>一般的得2</w:t>
            </w:r>
            <w:r>
              <w:rPr>
                <w:rFonts w:hint="eastAsia" w:ascii="宋体" w:hAnsi="宋体" w:eastAsia="仿宋" w:cs="仿宋"/>
                <w:color w:val="auto"/>
                <w:kern w:val="0"/>
                <w:sz w:val="21"/>
                <w:szCs w:val="21"/>
                <w:lang w:val="en-US" w:eastAsia="zh-CN" w:bidi="ar-SA"/>
              </w:rPr>
              <w:t>分；</w:t>
            </w:r>
          </w:p>
        </w:tc>
        <w:tc>
          <w:tcPr>
            <w:tcW w:w="913" w:type="dxa"/>
            <w:noWrap w:val="0"/>
            <w:vAlign w:val="center"/>
          </w:tcPr>
          <w:p w14:paraId="76DCF9EC">
            <w:pPr>
              <w:pStyle w:val="12"/>
              <w:snapToGrid w:val="0"/>
              <w:spacing w:line="400" w:lineRule="exact"/>
              <w:jc w:val="center"/>
              <w:rPr>
                <w:color w:val="auto"/>
              </w:rPr>
            </w:pPr>
            <w:r>
              <w:rPr>
                <w:rFonts w:hint="eastAsia" w:ascii="宋体" w:hAnsi="宋体"/>
                <w:color w:val="auto"/>
                <w:kern w:val="0"/>
                <w:sz w:val="21"/>
                <w:szCs w:val="21"/>
                <w:lang w:val="en-US" w:eastAsia="zh-CN" w:bidi="ar-SA"/>
              </w:rPr>
              <w:t>6分</w:t>
            </w:r>
          </w:p>
        </w:tc>
      </w:tr>
      <w:tr w14:paraId="6E77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63" w:type="dxa"/>
            <w:noWrap w:val="0"/>
            <w:vAlign w:val="center"/>
          </w:tcPr>
          <w:p w14:paraId="7FE5FB60">
            <w:pPr>
              <w:widowControl/>
              <w:jc w:val="center"/>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bidi="ar-SA"/>
              </w:rPr>
              <w:t>质量安全文明施工保证措施</w:t>
            </w:r>
          </w:p>
        </w:tc>
        <w:tc>
          <w:tcPr>
            <w:tcW w:w="6904" w:type="dxa"/>
            <w:noWrap w:val="0"/>
            <w:vAlign w:val="center"/>
          </w:tcPr>
          <w:p w14:paraId="0C61FA44">
            <w:pPr>
              <w:pStyle w:val="12"/>
              <w:numPr>
                <w:ilvl w:val="0"/>
                <w:numId w:val="0"/>
              </w:numPr>
              <w:snapToGrid w:val="0"/>
              <w:spacing w:line="320" w:lineRule="exact"/>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对施工保证措施违约责任、管理机构、管理制度、质量检测能力与手段：</w:t>
            </w:r>
          </w:p>
          <w:p w14:paraId="4FA16F20">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1、对施工保证措施违约责任、管理机构、管理制度、质量检测能力与手段</w:t>
            </w:r>
            <w:r>
              <w:rPr>
                <w:rFonts w:hint="eastAsia" w:ascii="宋体" w:hAnsi="宋体" w:eastAsia="仿宋" w:cs="仿宋"/>
                <w:color w:val="auto"/>
                <w:kern w:val="0"/>
                <w:sz w:val="21"/>
                <w:szCs w:val="21"/>
                <w:lang w:val="en-US" w:eastAsia="zh-CN" w:bidi="ar-SA"/>
              </w:rPr>
              <w:t>良好、具体、详细的得</w:t>
            </w:r>
            <w:r>
              <w:rPr>
                <w:rFonts w:hint="eastAsia" w:ascii="宋体" w:hAnsi="宋体" w:cs="仿宋"/>
                <w:color w:val="auto"/>
                <w:kern w:val="0"/>
                <w:sz w:val="21"/>
                <w:szCs w:val="21"/>
                <w:lang w:val="en-US" w:eastAsia="zh-CN" w:bidi="ar-SA"/>
              </w:rPr>
              <w:t>10</w:t>
            </w:r>
            <w:r>
              <w:rPr>
                <w:rFonts w:hint="eastAsia" w:ascii="宋体" w:hAnsi="宋体" w:eastAsia="仿宋" w:cs="仿宋"/>
                <w:color w:val="auto"/>
                <w:kern w:val="0"/>
                <w:sz w:val="21"/>
                <w:szCs w:val="21"/>
                <w:lang w:val="en-US" w:eastAsia="zh-CN" w:bidi="ar-SA"/>
              </w:rPr>
              <w:t>分；</w:t>
            </w:r>
          </w:p>
          <w:p w14:paraId="2F187E96">
            <w:pPr>
              <w:widowControl/>
              <w:numPr>
                <w:ilvl w:val="0"/>
                <w:numId w:val="0"/>
              </w:numPr>
              <w:jc w:val="left"/>
              <w:rPr>
                <w:rFonts w:hint="eastAsia" w:ascii="宋体" w:hAnsi="宋体" w:eastAsia="仿宋" w:cs="仿宋"/>
                <w:color w:val="auto"/>
                <w:kern w:val="0"/>
                <w:sz w:val="21"/>
                <w:szCs w:val="21"/>
                <w:lang w:val="en-US" w:eastAsia="zh-CN" w:bidi="ar-SA"/>
              </w:rPr>
            </w:pPr>
            <w:r>
              <w:rPr>
                <w:rFonts w:hint="eastAsia" w:ascii="宋体" w:hAnsi="宋体"/>
                <w:color w:val="auto"/>
                <w:kern w:val="0"/>
                <w:sz w:val="21"/>
                <w:szCs w:val="21"/>
                <w:lang w:val="en-US" w:eastAsia="zh-CN" w:bidi="ar-SA"/>
              </w:rPr>
              <w:t>2、对施工保证措施违约责任、管理机构、管理制度、质量检测能力与手段</w:t>
            </w:r>
            <w:r>
              <w:rPr>
                <w:rFonts w:hint="eastAsia" w:ascii="宋体" w:hAnsi="宋体" w:eastAsia="仿宋" w:cs="仿宋"/>
                <w:color w:val="auto"/>
                <w:kern w:val="0"/>
                <w:sz w:val="21"/>
                <w:szCs w:val="21"/>
                <w:lang w:val="en-US" w:eastAsia="zh-CN" w:bidi="ar-SA"/>
              </w:rPr>
              <w:t>可行的得</w:t>
            </w:r>
            <w:r>
              <w:rPr>
                <w:rFonts w:hint="eastAsia" w:ascii="宋体" w:hAnsi="宋体" w:cs="仿宋"/>
                <w:color w:val="auto"/>
                <w:kern w:val="0"/>
                <w:sz w:val="21"/>
                <w:szCs w:val="21"/>
                <w:lang w:val="en-US" w:eastAsia="zh-CN" w:bidi="ar-SA"/>
              </w:rPr>
              <w:t>7</w:t>
            </w:r>
            <w:r>
              <w:rPr>
                <w:rFonts w:hint="eastAsia" w:ascii="宋体" w:hAnsi="宋体" w:eastAsia="仿宋" w:cs="仿宋"/>
                <w:color w:val="auto"/>
                <w:kern w:val="0"/>
                <w:sz w:val="21"/>
                <w:szCs w:val="21"/>
                <w:lang w:val="en-US" w:eastAsia="zh-CN" w:bidi="ar-SA"/>
              </w:rPr>
              <w:t>分；</w:t>
            </w:r>
          </w:p>
          <w:p w14:paraId="6CB05957">
            <w:pPr>
              <w:pStyle w:val="12"/>
              <w:numPr>
                <w:ilvl w:val="0"/>
                <w:numId w:val="0"/>
              </w:numPr>
              <w:snapToGrid w:val="0"/>
              <w:spacing w:line="320" w:lineRule="exact"/>
              <w:ind w:left="0" w:leftChars="0" w:firstLine="0" w:firstLineChars="0"/>
              <w:rPr>
                <w:color w:val="auto"/>
                <w:szCs w:val="21"/>
              </w:rPr>
            </w:pPr>
            <w:r>
              <w:rPr>
                <w:rFonts w:hint="eastAsia" w:ascii="宋体" w:hAnsi="宋体"/>
                <w:color w:val="auto"/>
                <w:kern w:val="0"/>
                <w:sz w:val="21"/>
                <w:szCs w:val="21"/>
                <w:lang w:val="en-US" w:eastAsia="zh-CN" w:bidi="ar-SA"/>
              </w:rPr>
              <w:t>3、对施工保证措施违约责任、管理机构、管理制度、质量检测能力与手段</w:t>
            </w:r>
            <w:r>
              <w:rPr>
                <w:rFonts w:hint="eastAsia" w:ascii="宋体" w:hAnsi="宋体" w:cs="仿宋"/>
                <w:color w:val="auto"/>
                <w:kern w:val="0"/>
                <w:sz w:val="21"/>
                <w:szCs w:val="21"/>
                <w:lang w:val="en-US" w:eastAsia="zh-CN" w:bidi="ar-SA"/>
              </w:rPr>
              <w:t>一般的得4</w:t>
            </w:r>
            <w:r>
              <w:rPr>
                <w:rFonts w:hint="eastAsia" w:ascii="宋体" w:hAnsi="宋体" w:eastAsia="仿宋" w:cs="仿宋"/>
                <w:color w:val="auto"/>
                <w:kern w:val="0"/>
                <w:sz w:val="21"/>
                <w:szCs w:val="21"/>
                <w:lang w:val="en-US" w:eastAsia="zh-CN" w:bidi="ar-SA"/>
              </w:rPr>
              <w:t>分；</w:t>
            </w:r>
          </w:p>
        </w:tc>
        <w:tc>
          <w:tcPr>
            <w:tcW w:w="913" w:type="dxa"/>
            <w:noWrap w:val="0"/>
            <w:vAlign w:val="center"/>
          </w:tcPr>
          <w:p w14:paraId="73AB4B18">
            <w:pPr>
              <w:pStyle w:val="12"/>
              <w:snapToGrid w:val="0"/>
              <w:spacing w:line="400" w:lineRule="exact"/>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10分</w:t>
            </w:r>
          </w:p>
        </w:tc>
      </w:tr>
      <w:tr w14:paraId="057F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180" w:type="dxa"/>
            <w:gridSpan w:val="3"/>
            <w:noWrap w:val="0"/>
            <w:vAlign w:val="center"/>
          </w:tcPr>
          <w:p w14:paraId="7FB1F5C9">
            <w:pPr>
              <w:jc w:val="left"/>
              <w:rPr>
                <w:rFonts w:hint="default" w:ascii="宋体" w:hAnsi="宋体" w:eastAsia="宋体"/>
                <w:color w:val="auto"/>
                <w:kern w:val="0"/>
                <w:sz w:val="21"/>
                <w:szCs w:val="21"/>
                <w:lang w:val="en-US" w:eastAsia="zh-CN" w:bidi="ar-SA"/>
              </w:rPr>
            </w:pPr>
            <w:r>
              <w:rPr>
                <w:rFonts w:hint="eastAsia" w:ascii="宋体" w:hAnsi="宋体" w:eastAsia="宋体"/>
                <w:b/>
                <w:bCs/>
                <w:color w:val="auto"/>
                <w:kern w:val="0"/>
                <w:sz w:val="21"/>
                <w:szCs w:val="21"/>
                <w:lang w:val="en-US" w:eastAsia="zh-CN" w:bidi="ar-SA"/>
              </w:rPr>
              <w:t>C商务部分评分15分</w:t>
            </w:r>
          </w:p>
        </w:tc>
      </w:tr>
      <w:tr w14:paraId="524D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3" w:type="dxa"/>
            <w:noWrap w:val="0"/>
            <w:vAlign w:val="center"/>
          </w:tcPr>
          <w:p w14:paraId="4A6D5BD9">
            <w:pPr>
              <w:widowControl/>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企业业绩</w:t>
            </w:r>
          </w:p>
        </w:tc>
        <w:tc>
          <w:tcPr>
            <w:tcW w:w="6904" w:type="dxa"/>
            <w:noWrap w:val="0"/>
            <w:vAlign w:val="center"/>
          </w:tcPr>
          <w:p w14:paraId="1A13C026">
            <w:pPr>
              <w:widowControl/>
              <w:rPr>
                <w:rFonts w:hint="eastAsia" w:ascii="宋体" w:hAnsi="宋体" w:eastAsia="仿宋" w:cs="仿宋"/>
                <w:color w:val="auto"/>
                <w:kern w:val="0"/>
                <w:sz w:val="21"/>
                <w:szCs w:val="21"/>
                <w:lang w:val="en-US" w:eastAsia="zh-CN" w:bidi="ar-SA"/>
              </w:rPr>
            </w:pPr>
            <w:r>
              <w:rPr>
                <w:rFonts w:hint="eastAsia" w:ascii="宋体" w:hAnsi="宋体" w:eastAsia="仿宋" w:cs="仿宋"/>
                <w:color w:val="auto"/>
                <w:kern w:val="0"/>
                <w:sz w:val="21"/>
                <w:szCs w:val="21"/>
                <w:lang w:val="en-US" w:eastAsia="zh-CN" w:bidi="ar-SA"/>
              </w:rPr>
              <w:t>企业经营稳定，业绩稳步增长，市场占有率高（类似业绩一个施工业绩得</w:t>
            </w:r>
            <w:r>
              <w:rPr>
                <w:rFonts w:hint="eastAsia" w:ascii="宋体" w:hAnsi="宋体" w:cs="仿宋"/>
                <w:color w:val="auto"/>
                <w:kern w:val="0"/>
                <w:sz w:val="21"/>
                <w:szCs w:val="21"/>
                <w:lang w:val="en-US" w:eastAsia="zh-CN" w:bidi="ar-SA"/>
              </w:rPr>
              <w:t>5</w:t>
            </w:r>
            <w:r>
              <w:rPr>
                <w:rFonts w:hint="eastAsia" w:ascii="宋体" w:hAnsi="宋体" w:eastAsia="仿宋" w:cs="仿宋"/>
                <w:color w:val="auto"/>
                <w:kern w:val="0"/>
                <w:sz w:val="21"/>
                <w:szCs w:val="21"/>
                <w:lang w:val="en-US" w:eastAsia="zh-CN" w:bidi="ar-SA"/>
              </w:rPr>
              <w:t>分，满分</w:t>
            </w:r>
            <w:r>
              <w:rPr>
                <w:rFonts w:hint="eastAsia" w:ascii="宋体" w:hAnsi="宋体" w:cs="仿宋"/>
                <w:color w:val="auto"/>
                <w:kern w:val="0"/>
                <w:sz w:val="21"/>
                <w:szCs w:val="21"/>
                <w:lang w:val="en-US" w:eastAsia="zh-CN" w:bidi="ar-SA"/>
              </w:rPr>
              <w:t>10</w:t>
            </w:r>
            <w:r>
              <w:rPr>
                <w:rFonts w:hint="eastAsia" w:ascii="宋体" w:hAnsi="宋体" w:eastAsia="仿宋" w:cs="仿宋"/>
                <w:color w:val="auto"/>
                <w:kern w:val="0"/>
                <w:sz w:val="21"/>
                <w:szCs w:val="21"/>
                <w:lang w:val="en-US" w:eastAsia="zh-CN" w:bidi="ar-SA"/>
              </w:rPr>
              <w:t>分；</w:t>
            </w:r>
          </w:p>
          <w:p w14:paraId="2E1A8759">
            <w:pPr>
              <w:pStyle w:val="2"/>
              <w:ind w:left="0" w:leftChars="0" w:firstLine="0" w:firstLineChars="0"/>
              <w:rPr>
                <w:rFonts w:hint="default"/>
                <w:color w:val="auto"/>
                <w:lang w:val="en-US" w:eastAsia="zh-CN"/>
              </w:rPr>
            </w:pPr>
            <w:r>
              <w:rPr>
                <w:rFonts w:hint="eastAsia" w:ascii="宋体" w:hAnsi="宋体" w:eastAsia="仿宋" w:cs="仿宋"/>
                <w:i w:val="0"/>
                <w:iCs w:val="0"/>
                <w:color w:val="auto"/>
                <w:kern w:val="0"/>
                <w:sz w:val="21"/>
                <w:szCs w:val="21"/>
                <w:lang w:val="en-US" w:eastAsia="zh-CN" w:bidi="ar-SA"/>
              </w:rPr>
              <w:t>类似业绩指：施工：</w:t>
            </w:r>
            <w:r>
              <w:rPr>
                <w:rFonts w:hint="eastAsia" w:ascii="宋体" w:hAnsi="宋体" w:cs="仿宋"/>
                <w:i w:val="0"/>
                <w:iCs w:val="0"/>
                <w:color w:val="auto"/>
                <w:kern w:val="0"/>
                <w:sz w:val="21"/>
                <w:szCs w:val="21"/>
                <w:lang w:val="en-US" w:eastAsia="zh-CN" w:bidi="ar-SA"/>
              </w:rPr>
              <w:t>市政公用工程</w:t>
            </w:r>
            <w:r>
              <w:rPr>
                <w:rFonts w:hint="eastAsia" w:ascii="宋体" w:hAnsi="宋体" w:eastAsia="仿宋" w:cs="仿宋"/>
                <w:i w:val="0"/>
                <w:iCs w:val="0"/>
                <w:color w:val="auto"/>
                <w:kern w:val="0"/>
                <w:sz w:val="21"/>
                <w:szCs w:val="21"/>
                <w:lang w:val="en-US" w:eastAsia="zh-CN" w:bidi="ar-SA"/>
              </w:rPr>
              <w:t>类似业绩；</w:t>
            </w:r>
            <w:r>
              <w:rPr>
                <w:rFonts w:hint="eastAsia" w:ascii="宋体" w:hAnsi="宋体" w:cs="仿宋"/>
                <w:i w:val="0"/>
                <w:iCs w:val="0"/>
                <w:color w:val="auto"/>
                <w:kern w:val="0"/>
                <w:sz w:val="21"/>
                <w:szCs w:val="21"/>
                <w:lang w:val="en-US" w:eastAsia="zh-CN" w:bidi="ar-SA"/>
              </w:rPr>
              <w:t>须提供中标通知书（或成交通知书或发包通知书）或施工合同。</w:t>
            </w:r>
          </w:p>
        </w:tc>
        <w:tc>
          <w:tcPr>
            <w:tcW w:w="913" w:type="dxa"/>
            <w:noWrap w:val="0"/>
            <w:vAlign w:val="center"/>
          </w:tcPr>
          <w:p w14:paraId="2BE2327F">
            <w:pPr>
              <w:jc w:val="center"/>
              <w:rPr>
                <w:rFonts w:hint="default"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10分</w:t>
            </w:r>
          </w:p>
        </w:tc>
      </w:tr>
      <w:tr w14:paraId="28AC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63" w:type="dxa"/>
            <w:noWrap w:val="0"/>
            <w:vAlign w:val="center"/>
          </w:tcPr>
          <w:p w14:paraId="71004964">
            <w:pPr>
              <w:widowControl/>
              <w:jc w:val="center"/>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项目负责人业绩</w:t>
            </w:r>
          </w:p>
        </w:tc>
        <w:tc>
          <w:tcPr>
            <w:tcW w:w="6904" w:type="dxa"/>
            <w:noWrap w:val="0"/>
            <w:vAlign w:val="center"/>
          </w:tcPr>
          <w:p w14:paraId="47232772">
            <w:pPr>
              <w:widowControl/>
              <w:rPr>
                <w:rFonts w:hint="eastAsia" w:ascii="宋体" w:hAnsi="宋体" w:eastAsia="仿宋" w:cs="仿宋"/>
                <w:color w:val="auto"/>
                <w:kern w:val="0"/>
                <w:sz w:val="21"/>
                <w:szCs w:val="21"/>
                <w:lang w:val="en-US" w:eastAsia="zh-CN" w:bidi="ar-SA"/>
              </w:rPr>
            </w:pPr>
            <w:r>
              <w:rPr>
                <w:rFonts w:hint="eastAsia" w:ascii="宋体" w:hAnsi="宋体" w:cs="仿宋"/>
                <w:color w:val="auto"/>
                <w:kern w:val="0"/>
                <w:sz w:val="21"/>
                <w:szCs w:val="21"/>
                <w:lang w:val="en-US" w:eastAsia="zh-CN" w:bidi="ar-SA"/>
              </w:rPr>
              <w:t>项目负责人</w:t>
            </w:r>
            <w:r>
              <w:rPr>
                <w:rFonts w:hint="eastAsia" w:ascii="宋体" w:hAnsi="宋体" w:eastAsia="仿宋" w:cs="仿宋"/>
                <w:color w:val="auto"/>
                <w:kern w:val="0"/>
                <w:sz w:val="21"/>
                <w:szCs w:val="21"/>
                <w:lang w:val="en-US" w:eastAsia="zh-CN" w:bidi="ar-SA"/>
              </w:rPr>
              <w:t>类似业绩一个施工业绩得</w:t>
            </w:r>
            <w:r>
              <w:rPr>
                <w:rFonts w:hint="eastAsia" w:ascii="宋体" w:hAnsi="宋体" w:cs="仿宋"/>
                <w:color w:val="auto"/>
                <w:kern w:val="0"/>
                <w:sz w:val="21"/>
                <w:szCs w:val="21"/>
                <w:lang w:val="en-US" w:eastAsia="zh-CN" w:bidi="ar-SA"/>
              </w:rPr>
              <w:t>2.5</w:t>
            </w:r>
            <w:r>
              <w:rPr>
                <w:rFonts w:hint="eastAsia" w:ascii="宋体" w:hAnsi="宋体" w:eastAsia="仿宋" w:cs="仿宋"/>
                <w:color w:val="auto"/>
                <w:kern w:val="0"/>
                <w:sz w:val="21"/>
                <w:szCs w:val="21"/>
                <w:lang w:val="en-US" w:eastAsia="zh-CN" w:bidi="ar-SA"/>
              </w:rPr>
              <w:t>分，满分</w:t>
            </w:r>
            <w:r>
              <w:rPr>
                <w:rFonts w:hint="eastAsia" w:ascii="宋体" w:hAnsi="宋体" w:cs="仿宋"/>
                <w:color w:val="auto"/>
                <w:kern w:val="0"/>
                <w:sz w:val="21"/>
                <w:szCs w:val="21"/>
                <w:lang w:val="en-US" w:eastAsia="zh-CN" w:bidi="ar-SA"/>
              </w:rPr>
              <w:t>5</w:t>
            </w:r>
            <w:r>
              <w:rPr>
                <w:rFonts w:hint="eastAsia" w:ascii="宋体" w:hAnsi="宋体" w:eastAsia="仿宋" w:cs="仿宋"/>
                <w:color w:val="auto"/>
                <w:kern w:val="0"/>
                <w:sz w:val="21"/>
                <w:szCs w:val="21"/>
                <w:lang w:val="en-US" w:eastAsia="zh-CN" w:bidi="ar-SA"/>
              </w:rPr>
              <w:t>分；</w:t>
            </w:r>
          </w:p>
          <w:p w14:paraId="666ADF49">
            <w:pPr>
              <w:pStyle w:val="2"/>
              <w:ind w:left="0" w:leftChars="0" w:firstLine="0" w:firstLineChars="0"/>
              <w:rPr>
                <w:rFonts w:hint="default" w:ascii="宋体" w:hAnsi="宋体" w:eastAsia="仿宋" w:cs="仿宋"/>
                <w:color w:val="auto"/>
                <w:kern w:val="0"/>
                <w:sz w:val="21"/>
                <w:szCs w:val="21"/>
                <w:lang w:val="en-US" w:eastAsia="zh-CN" w:bidi="ar-SA"/>
              </w:rPr>
            </w:pPr>
            <w:r>
              <w:rPr>
                <w:rFonts w:hint="eastAsia" w:ascii="宋体" w:hAnsi="宋体" w:eastAsia="仿宋" w:cs="仿宋"/>
                <w:i w:val="0"/>
                <w:iCs w:val="0"/>
                <w:color w:val="auto"/>
                <w:kern w:val="0"/>
                <w:sz w:val="21"/>
                <w:szCs w:val="21"/>
                <w:lang w:val="en-US" w:eastAsia="zh-CN" w:bidi="ar-SA"/>
              </w:rPr>
              <w:t>类似业绩指：施工：</w:t>
            </w:r>
            <w:r>
              <w:rPr>
                <w:rFonts w:hint="eastAsia" w:ascii="宋体" w:hAnsi="宋体" w:cs="仿宋"/>
                <w:i w:val="0"/>
                <w:iCs w:val="0"/>
                <w:color w:val="auto"/>
                <w:kern w:val="0"/>
                <w:sz w:val="21"/>
                <w:szCs w:val="21"/>
                <w:lang w:val="en-US" w:eastAsia="zh-CN" w:bidi="ar-SA"/>
              </w:rPr>
              <w:t>市政公用工程</w:t>
            </w:r>
            <w:r>
              <w:rPr>
                <w:rFonts w:hint="eastAsia" w:ascii="宋体" w:hAnsi="宋体" w:eastAsia="仿宋" w:cs="仿宋"/>
                <w:i w:val="0"/>
                <w:iCs w:val="0"/>
                <w:color w:val="auto"/>
                <w:kern w:val="0"/>
                <w:sz w:val="21"/>
                <w:szCs w:val="21"/>
                <w:lang w:val="en-US" w:eastAsia="zh-CN" w:bidi="ar-SA"/>
              </w:rPr>
              <w:t>类似业绩；</w:t>
            </w:r>
            <w:r>
              <w:rPr>
                <w:rFonts w:hint="eastAsia" w:ascii="宋体" w:hAnsi="宋体" w:cs="仿宋"/>
                <w:i w:val="0"/>
                <w:iCs w:val="0"/>
                <w:color w:val="auto"/>
                <w:kern w:val="0"/>
                <w:sz w:val="21"/>
                <w:szCs w:val="21"/>
                <w:lang w:val="en-US" w:eastAsia="zh-CN" w:bidi="ar-SA"/>
              </w:rPr>
              <w:t>须提供中标通知书（或成交通知书或发包通知书）或施工合同（所提供的业绩证明材料必须反映项目负责人）。</w:t>
            </w:r>
          </w:p>
        </w:tc>
        <w:tc>
          <w:tcPr>
            <w:tcW w:w="913" w:type="dxa"/>
            <w:noWrap w:val="0"/>
            <w:vAlign w:val="center"/>
          </w:tcPr>
          <w:p w14:paraId="2B81AB42">
            <w:pPr>
              <w:jc w:val="center"/>
              <w:rPr>
                <w:rFonts w:hint="eastAsia" w:ascii="宋体" w:hAnsi="宋体"/>
                <w:color w:val="auto"/>
                <w:kern w:val="0"/>
                <w:sz w:val="21"/>
                <w:szCs w:val="21"/>
                <w:lang w:val="en-US" w:eastAsia="zh-CN" w:bidi="ar-SA"/>
              </w:rPr>
            </w:pPr>
            <w:r>
              <w:rPr>
                <w:rFonts w:hint="eastAsia" w:ascii="宋体" w:hAnsi="宋体"/>
                <w:color w:val="auto"/>
                <w:kern w:val="0"/>
                <w:sz w:val="21"/>
                <w:szCs w:val="21"/>
                <w:lang w:val="en-US" w:eastAsia="zh-CN" w:bidi="ar-SA"/>
              </w:rPr>
              <w:t>5分</w:t>
            </w:r>
          </w:p>
        </w:tc>
      </w:tr>
    </w:tbl>
    <w:p w14:paraId="75895C80">
      <w:pPr>
        <w:pStyle w:val="34"/>
        <w:autoSpaceDE/>
        <w:autoSpaceDN/>
        <w:snapToGrid w:val="0"/>
        <w:spacing w:beforeLines="50" w:afterLines="50" w:line="400" w:lineRule="exact"/>
        <w:ind w:firstLine="482" w:firstLineChars="200"/>
        <w:rPr>
          <w:rFonts w:ascii="宋体" w:hAnsi="宋体" w:eastAsia="宋体" w:cs="宋体"/>
          <w:b/>
          <w:color w:val="auto"/>
          <w:lang w:val="en-US"/>
        </w:rPr>
      </w:pPr>
      <w:r>
        <w:rPr>
          <w:rFonts w:hint="eastAsia" w:ascii="宋体" w:hAnsi="宋体" w:eastAsia="宋体" w:cs="宋体"/>
          <w:b/>
          <w:color w:val="auto"/>
          <w:lang w:val="en-US"/>
        </w:rPr>
        <w:t>另：政府采购政策功能落实</w:t>
      </w:r>
    </w:p>
    <w:p w14:paraId="20BFFED7">
      <w:pPr>
        <w:pStyle w:val="34"/>
        <w:numPr>
          <w:ilvl w:val="0"/>
          <w:numId w:val="8"/>
        </w:numPr>
        <w:autoSpaceDE/>
        <w:autoSpaceDN/>
        <w:snapToGrid w:val="0"/>
        <w:spacing w:before="0" w:after="0"/>
        <w:ind w:firstLine="420" w:firstLineChars="200"/>
        <w:jc w:val="both"/>
        <w:rPr>
          <w:rFonts w:ascii="宋体" w:hAnsi="宋体" w:cs="宋体"/>
          <w:color w:val="auto"/>
          <w:kern w:val="2"/>
          <w:sz w:val="21"/>
          <w:szCs w:val="21"/>
          <w:lang w:val="en-US" w:bidi="ar-SA"/>
        </w:rPr>
      </w:pPr>
      <w:r>
        <w:rPr>
          <w:rFonts w:hint="eastAsia" w:ascii="宋体" w:hAnsi="宋体" w:cs="宋体"/>
          <w:color w:val="auto"/>
          <w:kern w:val="2"/>
          <w:sz w:val="21"/>
          <w:szCs w:val="21"/>
          <w:lang w:val="en-US" w:bidi="ar-SA"/>
        </w:rPr>
        <w:t>小微型企业价格扣除</w:t>
      </w:r>
    </w:p>
    <w:p w14:paraId="2D586845">
      <w:pPr>
        <w:pStyle w:val="34"/>
        <w:autoSpaceDE/>
        <w:autoSpaceDN/>
        <w:snapToGrid w:val="0"/>
        <w:spacing w:before="0" w:after="0"/>
        <w:ind w:firstLine="420" w:firstLineChars="200"/>
        <w:jc w:val="both"/>
        <w:rPr>
          <w:rFonts w:ascii="宋体" w:hAnsi="宋体" w:cs="宋体"/>
          <w:color w:val="auto"/>
          <w:kern w:val="2"/>
          <w:sz w:val="21"/>
          <w:szCs w:val="21"/>
          <w:lang w:val="en-US" w:bidi="ar-SA"/>
        </w:rPr>
      </w:pPr>
      <w:r>
        <w:rPr>
          <w:rFonts w:hint="eastAsia" w:ascii="宋体" w:hAnsi="宋体" w:cs="宋体"/>
          <w:color w:val="auto"/>
          <w:kern w:val="2"/>
          <w:sz w:val="21"/>
          <w:szCs w:val="21"/>
          <w:lang w:val="en-US" w:bidi="ar-SA"/>
        </w:rPr>
        <w:t xml:space="preserve">根据《政府采购促进中小企业发展管理办法》（财库﹝2020﹞46 号）规定 </w:t>
      </w:r>
    </w:p>
    <w:p w14:paraId="678C3DF8">
      <w:pPr>
        <w:pStyle w:val="34"/>
        <w:numPr>
          <w:ilvl w:val="0"/>
          <w:numId w:val="9"/>
        </w:numPr>
        <w:autoSpaceDE/>
        <w:autoSpaceDN/>
        <w:snapToGrid w:val="0"/>
        <w:spacing w:before="0" w:after="0"/>
        <w:ind w:firstLine="420" w:firstLineChars="2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bidi="ar-SA"/>
        </w:rPr>
        <w:t>本项目供应商为中小企业</w:t>
      </w:r>
    </w:p>
    <w:p w14:paraId="197388E2">
      <w:pPr>
        <w:pStyle w:val="34"/>
        <w:numPr>
          <w:ilvl w:val="0"/>
          <w:numId w:val="0"/>
        </w:numPr>
        <w:autoSpaceDE/>
        <w:autoSpaceDN/>
        <w:snapToGrid w:val="0"/>
        <w:spacing w:before="0" w:after="0"/>
        <w:ind w:firstLine="420" w:firstLineChars="200"/>
        <w:jc w:val="both"/>
        <w:rPr>
          <w:rFonts w:ascii="宋体" w:hAnsi="宋体" w:cs="宋体"/>
          <w:color w:val="auto"/>
          <w:kern w:val="2"/>
          <w:sz w:val="21"/>
          <w:szCs w:val="21"/>
          <w:lang w:val="en-US" w:bidi="ar-SA"/>
        </w:rPr>
      </w:pPr>
      <w:r>
        <w:rPr>
          <w:rFonts w:hint="eastAsia" w:ascii="宋体" w:hAnsi="宋体" w:cs="宋体"/>
          <w:color w:val="auto"/>
          <w:kern w:val="2"/>
          <w:sz w:val="21"/>
          <w:szCs w:val="21"/>
          <w:lang w:val="en-US" w:bidi="ar-SA"/>
        </w:rPr>
        <w:t>（2）供应商需按照采购文件的要求提供相应的《中小企业声明函》。</w:t>
      </w:r>
    </w:p>
    <w:p w14:paraId="4CB1DB47">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bidi="ar-SA"/>
        </w:rPr>
        <w:t>（3）企业标准请参照《关于印发中小企业划型标准规定的通知》（工信部联企业[2011]300号）文件规定自行填写。</w:t>
      </w:r>
    </w:p>
    <w:p w14:paraId="70086BAC">
      <w:pPr>
        <w:pStyle w:val="34"/>
        <w:autoSpaceDE/>
        <w:autoSpaceDN/>
        <w:snapToGrid w:val="0"/>
        <w:spacing w:before="0" w:after="0"/>
        <w:ind w:firstLine="422" w:firstLineChars="200"/>
        <w:jc w:val="both"/>
        <w:rPr>
          <w:rFonts w:hint="eastAsia" w:ascii="宋体" w:hAnsi="宋体" w:cs="宋体"/>
          <w:b/>
          <w:bCs/>
          <w:color w:val="auto"/>
          <w:kern w:val="2"/>
          <w:sz w:val="21"/>
          <w:szCs w:val="21"/>
          <w:lang w:val="en-US" w:bidi="ar-SA"/>
        </w:rPr>
      </w:pPr>
      <w:r>
        <w:rPr>
          <w:rFonts w:hint="eastAsia" w:ascii="宋体" w:hAnsi="宋体" w:cs="宋体"/>
          <w:b/>
          <w:bCs/>
          <w:color w:val="auto"/>
          <w:kern w:val="2"/>
          <w:sz w:val="21"/>
          <w:szCs w:val="21"/>
          <w:lang w:val="en-US" w:eastAsia="zh-CN" w:bidi="ar-SA"/>
        </w:rPr>
        <w:t>2、</w:t>
      </w:r>
      <w:r>
        <w:rPr>
          <w:rFonts w:hint="eastAsia" w:ascii="宋体" w:hAnsi="宋体" w:cs="宋体"/>
          <w:b/>
          <w:bCs/>
          <w:color w:val="auto"/>
          <w:kern w:val="2"/>
          <w:sz w:val="21"/>
          <w:szCs w:val="21"/>
          <w:lang w:val="en-US" w:bidi="ar-SA"/>
        </w:rPr>
        <w:t xml:space="preserve"> 异常低价</w:t>
      </w:r>
    </w:p>
    <w:p w14:paraId="3EEEAB17">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eastAsia="zh-CN" w:bidi="ar-SA"/>
        </w:rPr>
        <w:t>2.</w:t>
      </w:r>
      <w:r>
        <w:rPr>
          <w:rFonts w:hint="eastAsia" w:ascii="宋体" w:hAnsi="宋体" w:cs="宋体"/>
          <w:color w:val="auto"/>
          <w:kern w:val="2"/>
          <w:sz w:val="21"/>
          <w:szCs w:val="21"/>
          <w:lang w:val="en-US" w:bidi="ar-SA"/>
        </w:rPr>
        <w:t>1 政府采购评审中出现下列情形之一的，评审委员会应当启动异常低价投标（响应）审查程序：</w:t>
      </w:r>
    </w:p>
    <w:p w14:paraId="37A5E465">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bidi="ar-SA"/>
        </w:rPr>
        <w:t>（1）投标（响应）报价低于全部通过符合性审查供应商投标（响应）报价平均值50%的，即投标（响应）报价&lt;全部通过符合性审查供应商投标（响应）报价平均值×50%；</w:t>
      </w:r>
    </w:p>
    <w:p w14:paraId="15D9B69D">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bidi="ar-SA"/>
        </w:rPr>
        <w:t>（2）投标（响应）报价低于通过符合性审查的次低报价供应商投标（响应）报价50%的，即投标（响应）报价&lt;通过符合性审查的次低报价供应商投标（响应）报价×50%；</w:t>
      </w:r>
    </w:p>
    <w:p w14:paraId="01206671">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bidi="ar-SA"/>
        </w:rPr>
        <w:t>（3）投标（响应）报价低于采购项目最高限价45%的，即投标（响应）报价&lt;采购项目最高限价×45%；</w:t>
      </w:r>
    </w:p>
    <w:p w14:paraId="7F239F69">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bidi="ar-SA"/>
        </w:rPr>
        <w:t>（4）评审委员会基于专业判断，认为供应商报价过低，有可能影响产品质量或者不能诚信履约的其他情形。</w:t>
      </w:r>
    </w:p>
    <w:p w14:paraId="2AE6495D">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eastAsia="zh-CN" w:bidi="ar-SA"/>
        </w:rPr>
        <w:t>2.2</w:t>
      </w:r>
      <w:r>
        <w:rPr>
          <w:rFonts w:hint="eastAsia" w:ascii="宋体" w:hAnsi="宋体" w:cs="宋体"/>
          <w:color w:val="auto"/>
          <w:kern w:val="2"/>
          <w:sz w:val="21"/>
          <w:szCs w:val="21"/>
          <w:lang w:val="en-US" w:bidi="ar-SA"/>
        </w:rPr>
        <w:t>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30分钟。其中，属于第 3 项情形，供应商已随投标（响应）文件一并提交相关书面说明及必要的证明材料的，在评审现场可不再重复提交。</w:t>
      </w:r>
    </w:p>
    <w:p w14:paraId="6EE24D59">
      <w:pPr>
        <w:pStyle w:val="34"/>
        <w:autoSpaceDE/>
        <w:autoSpaceDN/>
        <w:snapToGrid w:val="0"/>
        <w:spacing w:before="0" w:after="0"/>
        <w:ind w:firstLine="420" w:firstLineChars="200"/>
        <w:jc w:val="both"/>
        <w:rPr>
          <w:rFonts w:hint="eastAsia" w:ascii="宋体" w:hAnsi="宋体" w:cs="宋体"/>
          <w:color w:val="auto"/>
          <w:kern w:val="2"/>
          <w:sz w:val="21"/>
          <w:szCs w:val="21"/>
          <w:lang w:val="en-US" w:bidi="ar-SA"/>
        </w:rPr>
      </w:pPr>
      <w:r>
        <w:rPr>
          <w:rFonts w:hint="eastAsia" w:ascii="宋体" w:hAnsi="宋体" w:cs="宋体"/>
          <w:color w:val="auto"/>
          <w:kern w:val="2"/>
          <w:sz w:val="21"/>
          <w:szCs w:val="21"/>
          <w:lang w:val="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A8ED70">
      <w:pPr>
        <w:spacing w:beforeLines="50" w:line="360" w:lineRule="auto"/>
        <w:textAlignment w:val="baseline"/>
        <w:rPr>
          <w:rFonts w:ascii="宋体" w:hAnsi="宋体" w:cs="宋体"/>
          <w:b/>
          <w:color w:val="auto"/>
          <w:szCs w:val="21"/>
        </w:rPr>
      </w:pPr>
      <w:r>
        <w:rPr>
          <w:rFonts w:hint="eastAsia" w:ascii="宋体" w:hAnsi="宋体" w:cs="宋体"/>
          <w:b/>
          <w:color w:val="auto"/>
          <w:szCs w:val="21"/>
        </w:rPr>
        <w:t>6.中标人的确定</w:t>
      </w:r>
    </w:p>
    <w:p w14:paraId="316700A1">
      <w:pPr>
        <w:pStyle w:val="12"/>
        <w:spacing w:beforeLines="50" w:line="360" w:lineRule="auto"/>
        <w:ind w:left="1"/>
        <w:textAlignment w:val="baseline"/>
        <w:rPr>
          <w:rFonts w:ascii="宋体" w:hAnsi="宋体" w:cs="宋体"/>
          <w:color w:val="auto"/>
          <w:sz w:val="21"/>
          <w:szCs w:val="21"/>
        </w:rPr>
      </w:pPr>
      <w:r>
        <w:rPr>
          <w:rFonts w:hint="eastAsia" w:ascii="宋体" w:hAnsi="宋体" w:cs="宋体"/>
          <w:color w:val="auto"/>
          <w:sz w:val="21"/>
          <w:szCs w:val="21"/>
        </w:rPr>
        <w:t>6.1评标委员会对投标人进行综合评分并按分数高低作出排序，推荐3名中标侯选人，得分最高的投标人将被确认为第一中标候选人，依次类推。如果两个投标人得分相同时，取投标价格低者。</w:t>
      </w:r>
    </w:p>
    <w:p w14:paraId="5E4CB7AB">
      <w:pPr>
        <w:spacing w:beforeLines="50" w:line="360" w:lineRule="auto"/>
        <w:ind w:left="-61"/>
        <w:textAlignment w:val="baseline"/>
        <w:rPr>
          <w:rFonts w:ascii="宋体" w:hAnsi="宋体" w:cs="宋体"/>
          <w:b/>
          <w:color w:val="auto"/>
          <w:szCs w:val="21"/>
        </w:rPr>
      </w:pPr>
      <w:r>
        <w:rPr>
          <w:rFonts w:hint="eastAsia" w:ascii="宋体" w:hAnsi="宋体" w:cs="宋体"/>
          <w:color w:val="auto"/>
          <w:szCs w:val="21"/>
        </w:rPr>
        <w:t>6.2招标人应根据评标委员会的评审结果和国家有关规定确定中标人；招标人也可以授权评标委员会直接确定中标人。</w:t>
      </w:r>
    </w:p>
    <w:p w14:paraId="715C2321">
      <w:pPr>
        <w:spacing w:beforeLines="50" w:line="360" w:lineRule="auto"/>
        <w:textAlignment w:val="baseline"/>
        <w:rPr>
          <w:rFonts w:ascii="宋体" w:hAnsi="宋体" w:cs="宋体"/>
          <w:color w:val="auto"/>
          <w:szCs w:val="21"/>
        </w:rPr>
      </w:pPr>
      <w:r>
        <w:rPr>
          <w:rFonts w:hint="eastAsia" w:ascii="宋体" w:hAnsi="宋体" w:cs="宋体"/>
          <w:b/>
          <w:color w:val="auto"/>
          <w:szCs w:val="21"/>
        </w:rPr>
        <w:t>7最终审查</w:t>
      </w:r>
    </w:p>
    <w:p w14:paraId="033D1DDC">
      <w:pPr>
        <w:spacing w:beforeLines="50" w:line="360" w:lineRule="auto"/>
        <w:textAlignment w:val="baseline"/>
        <w:rPr>
          <w:rFonts w:ascii="宋体" w:hAnsi="宋体" w:cs="宋体"/>
          <w:color w:val="auto"/>
          <w:szCs w:val="21"/>
        </w:rPr>
      </w:pPr>
      <w:r>
        <w:rPr>
          <w:rFonts w:hint="eastAsia" w:ascii="宋体" w:hAnsi="宋体" w:cs="宋体"/>
          <w:color w:val="auto"/>
          <w:szCs w:val="21"/>
        </w:rPr>
        <w:t>7.1最终审查的内容是招标人对中标候选人的</w:t>
      </w:r>
      <w:r>
        <w:rPr>
          <w:rFonts w:hint="eastAsia" w:ascii="宋体" w:hAnsi="宋体" w:cs="宋体"/>
          <w:color w:val="auto"/>
          <w:szCs w:val="21"/>
          <w:lang w:val="en-US"/>
        </w:rPr>
        <w:t>实力</w:t>
      </w:r>
      <w:r>
        <w:rPr>
          <w:rFonts w:hint="eastAsia" w:ascii="宋体" w:hAnsi="宋体" w:cs="宋体"/>
          <w:color w:val="auto"/>
          <w:szCs w:val="21"/>
        </w:rPr>
        <w:t>、技术状况、生产条件、</w:t>
      </w:r>
      <w:r>
        <w:rPr>
          <w:rFonts w:hint="eastAsia" w:ascii="宋体" w:hAnsi="宋体" w:cs="宋体"/>
          <w:color w:val="auto"/>
          <w:szCs w:val="21"/>
          <w:lang w:val="en-US"/>
        </w:rPr>
        <w:t>服务</w:t>
      </w:r>
      <w:r>
        <w:rPr>
          <w:rFonts w:hint="eastAsia" w:ascii="宋体" w:hAnsi="宋体" w:cs="宋体"/>
          <w:color w:val="auto"/>
          <w:szCs w:val="21"/>
        </w:rPr>
        <w:t xml:space="preserve">质量，投标人资格、信誉以及招标人认为有必要了解的其它问题作进一步的考查。 </w:t>
      </w:r>
    </w:p>
    <w:p w14:paraId="21AD705B">
      <w:pPr>
        <w:spacing w:beforeLines="50" w:line="360" w:lineRule="auto"/>
        <w:ind w:left="1"/>
        <w:textAlignment w:val="baseline"/>
        <w:rPr>
          <w:rFonts w:ascii="宋体" w:hAnsi="宋体" w:cs="宋体"/>
          <w:color w:val="auto"/>
          <w:szCs w:val="21"/>
        </w:rPr>
      </w:pPr>
      <w:r>
        <w:rPr>
          <w:rFonts w:hint="eastAsia" w:ascii="宋体" w:hAnsi="宋体" w:cs="宋体"/>
          <w:color w:val="auto"/>
          <w:szCs w:val="21"/>
        </w:rPr>
        <w:t>7.3接受最终审查的中标候选人，必须如实回答和受理招标人的询问和考查，并提供所需的有关资料。</w:t>
      </w:r>
    </w:p>
    <w:p w14:paraId="3F61FC19">
      <w:pPr>
        <w:pStyle w:val="12"/>
        <w:snapToGrid w:val="0"/>
        <w:spacing w:beforeLines="50" w:line="360" w:lineRule="auto"/>
        <w:ind w:firstLine="420" w:firstLineChars="200"/>
        <w:rPr>
          <w:rFonts w:ascii="宋体" w:hAnsi="宋体" w:cs="宋体"/>
          <w:color w:val="auto"/>
          <w:sz w:val="21"/>
          <w:szCs w:val="21"/>
        </w:rPr>
        <w:sectPr>
          <w:footerReference r:id="rId13" w:type="default"/>
          <w:pgSz w:w="11906" w:h="16838"/>
          <w:pgMar w:top="1474" w:right="1531"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7D24BD">
      <w:pPr>
        <w:tabs>
          <w:tab w:val="left" w:pos="1284"/>
        </w:tabs>
        <w:adjustRightInd w:val="0"/>
        <w:jc w:val="center"/>
        <w:outlineLvl w:val="0"/>
        <w:rPr>
          <w:b/>
          <w:bCs/>
          <w:color w:val="auto"/>
          <w:sz w:val="28"/>
          <w:szCs w:val="28"/>
        </w:rPr>
      </w:pPr>
      <w:r>
        <w:rPr>
          <w:rFonts w:hint="eastAsia"/>
          <w:b/>
          <w:bCs/>
          <w:color w:val="auto"/>
          <w:sz w:val="28"/>
          <w:szCs w:val="28"/>
        </w:rPr>
        <w:t>第六章</w:t>
      </w:r>
      <w:r>
        <w:rPr>
          <w:rFonts w:hint="eastAsia"/>
          <w:b/>
          <w:bCs/>
          <w:color w:val="auto"/>
          <w:sz w:val="28"/>
          <w:szCs w:val="28"/>
          <w:lang w:val="en-US"/>
        </w:rPr>
        <w:t xml:space="preserve"> </w:t>
      </w:r>
      <w:r>
        <w:rPr>
          <w:rFonts w:hint="eastAsia"/>
          <w:b/>
          <w:bCs/>
          <w:color w:val="auto"/>
          <w:sz w:val="28"/>
          <w:szCs w:val="28"/>
        </w:rPr>
        <w:t>响应文件格式</w:t>
      </w:r>
      <w:bookmarkEnd w:id="488"/>
    </w:p>
    <w:p w14:paraId="711EEFED">
      <w:pPr>
        <w:spacing w:line="240" w:lineRule="atLeast"/>
        <w:jc w:val="center"/>
        <w:outlineLvl w:val="1"/>
        <w:rPr>
          <w:rFonts w:hint="eastAsia" w:cs="宋体" w:asciiTheme="minorEastAsia" w:hAnsiTheme="minorEastAsia" w:eastAsiaTheme="minorEastAsia"/>
          <w:b/>
          <w:color w:val="auto"/>
          <w:kern w:val="0"/>
          <w:sz w:val="24"/>
          <w:szCs w:val="20"/>
        </w:rPr>
        <w:sectPr>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DAE3C05">
      <w:pPr>
        <w:spacing w:line="240" w:lineRule="atLeast"/>
        <w:jc w:val="center"/>
        <w:outlineLvl w:val="1"/>
        <w:rPr>
          <w:rFonts w:cs="宋体" w:asciiTheme="minorEastAsia" w:hAnsiTheme="minorEastAsia" w:eastAsiaTheme="minorEastAsia"/>
          <w:b/>
          <w:color w:val="auto"/>
          <w:kern w:val="0"/>
          <w:sz w:val="24"/>
          <w:szCs w:val="20"/>
        </w:rPr>
      </w:pPr>
      <w:r>
        <w:rPr>
          <w:rFonts w:hint="eastAsia" w:cs="宋体" w:asciiTheme="minorEastAsia" w:hAnsiTheme="minorEastAsia" w:eastAsiaTheme="minorEastAsia"/>
          <w:b/>
          <w:color w:val="auto"/>
          <w:kern w:val="0"/>
          <w:sz w:val="24"/>
          <w:szCs w:val="20"/>
        </w:rPr>
        <w:t>响应文件格式范本</w:t>
      </w:r>
    </w:p>
    <w:tbl>
      <w:tblPr>
        <w:tblStyle w:val="20"/>
        <w:tblpPr w:leftFromText="180" w:rightFromText="180" w:vertAnchor="text" w:horzAnchor="page" w:tblpX="1409" w:tblpY="297"/>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FFFFF" w:themeFill="background1"/>
        <w:tblLayout w:type="fixed"/>
        <w:tblCellMar>
          <w:top w:w="0" w:type="dxa"/>
          <w:left w:w="108" w:type="dxa"/>
          <w:bottom w:w="0" w:type="dxa"/>
          <w:right w:w="108" w:type="dxa"/>
        </w:tblCellMar>
      </w:tblPr>
      <w:tblGrid>
        <w:gridCol w:w="9520"/>
      </w:tblGrid>
      <w:tr w14:paraId="3F91B94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FFFFF" w:themeFill="background1"/>
          <w:tblCellMar>
            <w:top w:w="0" w:type="dxa"/>
            <w:left w:w="108" w:type="dxa"/>
            <w:bottom w:w="0" w:type="dxa"/>
            <w:right w:w="108" w:type="dxa"/>
          </w:tblCellMar>
        </w:tblPrEx>
        <w:trPr>
          <w:trHeight w:val="12335" w:hRule="atLeast"/>
        </w:trPr>
        <w:tc>
          <w:tcPr>
            <w:tcW w:w="9520" w:type="dxa"/>
            <w:shd w:val="clear" w:color="auto" w:fill="FFFFFF" w:themeFill="background1"/>
          </w:tcPr>
          <w:p w14:paraId="5B26C81E">
            <w:pPr>
              <w:pStyle w:val="10"/>
              <w:tabs>
                <w:tab w:val="left" w:pos="567"/>
              </w:tabs>
              <w:jc w:val="center"/>
              <w:rPr>
                <w:rFonts w:cs="宋体" w:asciiTheme="minorEastAsia" w:hAnsiTheme="minorEastAsia" w:eastAsiaTheme="minorEastAsia"/>
                <w:b/>
                <w:bCs/>
                <w:color w:val="auto"/>
                <w:sz w:val="28"/>
                <w:szCs w:val="28"/>
                <w:shd w:val="clear" w:color="auto" w:fill="auto"/>
              </w:rPr>
            </w:pPr>
            <w:r>
              <w:rPr>
                <w:rFonts w:hint="eastAsia" w:cs="宋体" w:asciiTheme="minorEastAsia" w:hAnsiTheme="minorEastAsia" w:eastAsiaTheme="minorEastAsia"/>
                <w:b/>
                <w:bCs/>
                <w:color w:val="auto"/>
                <w:sz w:val="28"/>
                <w:szCs w:val="28"/>
                <w:shd w:val="clear" w:color="auto" w:fill="auto"/>
              </w:rPr>
              <w:t xml:space="preserve">                                                （正本/副本）</w:t>
            </w:r>
          </w:p>
          <w:p w14:paraId="4D16485E">
            <w:pPr>
              <w:pStyle w:val="10"/>
              <w:tabs>
                <w:tab w:val="left" w:pos="567"/>
              </w:tabs>
              <w:ind w:firstLine="4200" w:firstLineChars="1500"/>
              <w:rPr>
                <w:rFonts w:cs="宋体" w:asciiTheme="minorEastAsia" w:hAnsiTheme="minorEastAsia" w:eastAsiaTheme="minorEastAsia"/>
                <w:b/>
                <w:bCs/>
                <w:color w:val="auto"/>
                <w:sz w:val="28"/>
                <w:szCs w:val="28"/>
                <w:shd w:val="clear" w:color="auto" w:fill="auto"/>
              </w:rPr>
            </w:pPr>
          </w:p>
          <w:p w14:paraId="305CB6F7">
            <w:pPr>
              <w:pStyle w:val="10"/>
              <w:tabs>
                <w:tab w:val="left" w:pos="567"/>
              </w:tabs>
              <w:ind w:firstLine="4200" w:firstLineChars="1500"/>
              <w:rPr>
                <w:rFonts w:cs="宋体" w:asciiTheme="minorEastAsia" w:hAnsiTheme="minorEastAsia" w:eastAsiaTheme="minorEastAsia"/>
                <w:b/>
                <w:bCs/>
                <w:color w:val="auto"/>
                <w:sz w:val="28"/>
                <w:szCs w:val="28"/>
                <w:shd w:val="clear" w:color="auto" w:fill="auto"/>
              </w:rPr>
            </w:pPr>
          </w:p>
          <w:p w14:paraId="37F31EF5">
            <w:pPr>
              <w:pStyle w:val="10"/>
              <w:tabs>
                <w:tab w:val="left" w:pos="567"/>
              </w:tabs>
              <w:rPr>
                <w:rFonts w:cs="宋体" w:asciiTheme="minorEastAsia" w:hAnsiTheme="minorEastAsia" w:eastAsiaTheme="minorEastAsia"/>
                <w:b/>
                <w:bCs/>
                <w:color w:val="auto"/>
                <w:sz w:val="28"/>
                <w:szCs w:val="28"/>
                <w:shd w:val="clear" w:color="auto" w:fill="auto"/>
              </w:rPr>
            </w:pPr>
          </w:p>
          <w:p w14:paraId="072B56E1">
            <w:pPr>
              <w:pStyle w:val="10"/>
              <w:tabs>
                <w:tab w:val="left" w:pos="567"/>
              </w:tabs>
              <w:ind w:firstLine="2520" w:firstLineChars="900"/>
              <w:rPr>
                <w:rFonts w:cs="宋体" w:asciiTheme="minorEastAsia" w:hAnsiTheme="minorEastAsia" w:eastAsiaTheme="minorEastAsia"/>
                <w:b/>
                <w:bCs/>
                <w:color w:val="auto"/>
                <w:sz w:val="28"/>
                <w:szCs w:val="28"/>
                <w:shd w:val="clear" w:color="auto" w:fill="auto"/>
              </w:rPr>
            </w:pPr>
            <w:r>
              <w:rPr>
                <w:rFonts w:hint="eastAsia" w:cs="宋体" w:asciiTheme="minorEastAsia" w:hAnsiTheme="minorEastAsia" w:eastAsiaTheme="minorEastAsia"/>
                <w:b/>
                <w:bCs/>
                <w:color w:val="auto"/>
                <w:sz w:val="28"/>
                <w:szCs w:val="28"/>
                <w:shd w:val="clear" w:color="auto" w:fill="auto"/>
              </w:rPr>
              <w:t>***** *** *** *** ***   项目</w:t>
            </w:r>
          </w:p>
          <w:p w14:paraId="0687B02B">
            <w:pPr>
              <w:pStyle w:val="10"/>
              <w:tabs>
                <w:tab w:val="left" w:pos="567"/>
              </w:tabs>
              <w:jc w:val="center"/>
              <w:rPr>
                <w:rFonts w:cs="宋体" w:asciiTheme="minorEastAsia" w:hAnsiTheme="minorEastAsia" w:eastAsiaTheme="minorEastAsia"/>
                <w:b/>
                <w:bCs/>
                <w:color w:val="auto"/>
                <w:sz w:val="21"/>
                <w:szCs w:val="21"/>
                <w:shd w:val="clear" w:color="auto" w:fill="auto"/>
              </w:rPr>
            </w:pPr>
          </w:p>
          <w:p w14:paraId="55879B08">
            <w:pPr>
              <w:pStyle w:val="10"/>
              <w:tabs>
                <w:tab w:val="left" w:pos="567"/>
              </w:tabs>
              <w:ind w:firstLine="3150" w:firstLineChars="1500"/>
              <w:rPr>
                <w:rFonts w:cs="宋体" w:asciiTheme="minorEastAsia" w:hAnsiTheme="minorEastAsia" w:eastAsiaTheme="minorEastAsia"/>
                <w:b/>
                <w:bCs/>
                <w:color w:val="auto"/>
                <w:sz w:val="21"/>
                <w:szCs w:val="21"/>
                <w:shd w:val="clear" w:color="auto" w:fill="auto"/>
              </w:rPr>
            </w:pPr>
            <w:r>
              <w:rPr>
                <w:rFonts w:hint="eastAsia" w:cs="宋体" w:asciiTheme="minorEastAsia" w:hAnsiTheme="minorEastAsia" w:eastAsiaTheme="minorEastAsia"/>
                <w:b/>
                <w:bCs/>
                <w:color w:val="auto"/>
                <w:sz w:val="21"/>
                <w:szCs w:val="21"/>
                <w:shd w:val="clear" w:color="auto" w:fill="auto"/>
              </w:rPr>
              <w:t>编号＊＊＊＊＊＊</w:t>
            </w:r>
          </w:p>
          <w:p w14:paraId="7B68E781">
            <w:pPr>
              <w:pStyle w:val="10"/>
              <w:tabs>
                <w:tab w:val="left" w:pos="567"/>
              </w:tabs>
              <w:jc w:val="center"/>
              <w:rPr>
                <w:rFonts w:cs="宋体" w:asciiTheme="minorEastAsia" w:hAnsiTheme="minorEastAsia" w:eastAsiaTheme="minorEastAsia"/>
                <w:b/>
                <w:bCs/>
                <w:color w:val="auto"/>
                <w:sz w:val="48"/>
                <w:shd w:val="clear" w:color="auto" w:fill="auto"/>
              </w:rPr>
            </w:pPr>
          </w:p>
          <w:p w14:paraId="7DFC7751">
            <w:pPr>
              <w:pStyle w:val="10"/>
              <w:tabs>
                <w:tab w:val="left" w:pos="567"/>
              </w:tabs>
              <w:jc w:val="center"/>
              <w:rPr>
                <w:rFonts w:cs="宋体" w:asciiTheme="minorEastAsia" w:hAnsiTheme="minorEastAsia" w:eastAsiaTheme="minorEastAsia"/>
                <w:b/>
                <w:bCs/>
                <w:color w:val="auto"/>
                <w:sz w:val="48"/>
                <w:shd w:val="clear" w:color="auto" w:fill="auto"/>
              </w:rPr>
            </w:pPr>
            <w:r>
              <w:rPr>
                <w:rFonts w:hint="eastAsia" w:cs="宋体" w:asciiTheme="minorEastAsia" w:hAnsiTheme="minorEastAsia" w:eastAsiaTheme="minorEastAsia"/>
                <w:b/>
                <w:bCs/>
                <w:color w:val="auto"/>
                <w:sz w:val="48"/>
                <w:shd w:val="clear" w:color="auto" w:fill="auto"/>
              </w:rPr>
              <w:t>响 应 文 件</w:t>
            </w:r>
          </w:p>
          <w:p w14:paraId="4A9DC0AC">
            <w:pPr>
              <w:jc w:val="center"/>
              <w:rPr>
                <w:rFonts w:cs="宋体" w:asciiTheme="minorEastAsia" w:hAnsiTheme="minorEastAsia" w:eastAsiaTheme="minorEastAsia"/>
                <w:b/>
                <w:color w:val="auto"/>
                <w:sz w:val="32"/>
                <w:shd w:val="clear" w:color="auto" w:fill="auto"/>
              </w:rPr>
            </w:pPr>
          </w:p>
          <w:p w14:paraId="46ABC7CB">
            <w:pPr>
              <w:pStyle w:val="7"/>
              <w:rPr>
                <w:rFonts w:cs="宋体" w:asciiTheme="minorEastAsia" w:hAnsiTheme="minorEastAsia" w:eastAsiaTheme="minorEastAsia"/>
                <w:b/>
                <w:color w:val="auto"/>
                <w:sz w:val="32"/>
                <w:shd w:val="clear" w:color="auto" w:fill="auto"/>
              </w:rPr>
            </w:pPr>
          </w:p>
          <w:p w14:paraId="0F4A24C3">
            <w:pPr>
              <w:pStyle w:val="7"/>
              <w:rPr>
                <w:rFonts w:cs="宋体" w:asciiTheme="minorEastAsia" w:hAnsiTheme="minorEastAsia" w:eastAsiaTheme="minorEastAsia"/>
                <w:b/>
                <w:color w:val="auto"/>
                <w:sz w:val="32"/>
                <w:shd w:val="clear" w:color="auto" w:fill="auto"/>
              </w:rPr>
            </w:pPr>
          </w:p>
          <w:p w14:paraId="78722E62">
            <w:pPr>
              <w:spacing w:line="360" w:lineRule="auto"/>
              <w:ind w:left="184" w:leftChars="84" w:firstLine="880" w:firstLineChars="400"/>
              <w:rPr>
                <w:rFonts w:cs="宋体" w:asciiTheme="minorEastAsia" w:hAnsiTheme="minorEastAsia" w:eastAsiaTheme="minorEastAsia"/>
                <w:color w:val="auto"/>
                <w:szCs w:val="21"/>
                <w:shd w:val="clear" w:color="auto" w:fill="auto"/>
              </w:rPr>
            </w:pPr>
            <w:r>
              <w:rPr>
                <w:rFonts w:hint="eastAsia" w:cs="宋体" w:asciiTheme="minorEastAsia" w:hAnsiTheme="minorEastAsia" w:eastAsiaTheme="minorEastAsia"/>
                <w:color w:val="auto"/>
                <w:szCs w:val="21"/>
                <w:shd w:val="clear" w:color="auto" w:fill="auto"/>
              </w:rPr>
              <w:t>投 标 单位（公章）：</w:t>
            </w:r>
            <w:r>
              <w:rPr>
                <w:rFonts w:hint="eastAsia" w:cs="宋体" w:asciiTheme="minorEastAsia" w:hAnsiTheme="minorEastAsia" w:eastAsiaTheme="minorEastAsia"/>
                <w:color w:val="auto"/>
                <w:szCs w:val="21"/>
                <w:u w:val="single"/>
                <w:shd w:val="clear" w:color="auto" w:fill="auto"/>
              </w:rPr>
              <w:t xml:space="preserve">                                </w:t>
            </w:r>
          </w:p>
          <w:p w14:paraId="0AB9BCE4">
            <w:pPr>
              <w:spacing w:line="360" w:lineRule="auto"/>
              <w:ind w:left="184" w:leftChars="84" w:firstLine="880" w:firstLineChars="400"/>
              <w:rPr>
                <w:rFonts w:hint="eastAsia" w:cs="宋体" w:asciiTheme="minorEastAsia" w:hAnsiTheme="minorEastAsia" w:eastAsiaTheme="minorEastAsia"/>
                <w:color w:val="auto"/>
                <w:szCs w:val="21"/>
                <w:u w:val="single"/>
                <w:shd w:val="clear" w:color="auto" w:fill="auto"/>
              </w:rPr>
            </w:pPr>
            <w:r>
              <w:rPr>
                <w:rFonts w:hint="eastAsia" w:cs="宋体" w:asciiTheme="minorEastAsia" w:hAnsiTheme="minorEastAsia" w:eastAsiaTheme="minorEastAsia"/>
                <w:color w:val="auto"/>
                <w:szCs w:val="21"/>
                <w:shd w:val="clear" w:color="auto" w:fill="auto"/>
              </w:rPr>
              <w:t>项目名称：</w:t>
            </w:r>
            <w:r>
              <w:rPr>
                <w:rFonts w:hint="eastAsia" w:cs="宋体" w:asciiTheme="minorEastAsia" w:hAnsiTheme="minorEastAsia" w:eastAsiaTheme="minorEastAsia"/>
                <w:color w:val="auto"/>
                <w:szCs w:val="21"/>
                <w:u w:val="single"/>
                <w:shd w:val="clear" w:color="auto" w:fill="auto"/>
              </w:rPr>
              <w:t xml:space="preserve">                                          </w:t>
            </w:r>
          </w:p>
          <w:p w14:paraId="4FE74B29">
            <w:pPr>
              <w:spacing w:line="360" w:lineRule="auto"/>
              <w:ind w:left="184" w:leftChars="84" w:firstLine="880" w:firstLineChars="400"/>
              <w:rPr>
                <w:rFonts w:cs="宋体" w:asciiTheme="minorEastAsia" w:hAnsiTheme="minorEastAsia" w:eastAsiaTheme="minorEastAsia"/>
                <w:color w:val="auto"/>
                <w:szCs w:val="21"/>
                <w:u w:val="single"/>
                <w:shd w:val="clear" w:color="auto" w:fill="auto"/>
              </w:rPr>
            </w:pPr>
            <w:r>
              <w:rPr>
                <w:rFonts w:hint="eastAsia" w:cs="宋体" w:asciiTheme="minorEastAsia" w:hAnsiTheme="minorEastAsia" w:eastAsiaTheme="minorEastAsia"/>
                <w:color w:val="auto"/>
                <w:szCs w:val="21"/>
                <w:shd w:val="clear" w:color="auto" w:fill="auto"/>
                <w:lang w:val="en-US" w:eastAsia="zh-CN"/>
              </w:rPr>
              <w:t>包号</w:t>
            </w:r>
            <w:r>
              <w:rPr>
                <w:rFonts w:hint="eastAsia" w:cs="宋体" w:asciiTheme="minorEastAsia" w:hAnsiTheme="minorEastAsia" w:eastAsiaTheme="minorEastAsia"/>
                <w:color w:val="auto"/>
                <w:szCs w:val="21"/>
                <w:shd w:val="clear" w:color="auto" w:fill="auto"/>
              </w:rPr>
              <w:t>：</w:t>
            </w:r>
            <w:r>
              <w:rPr>
                <w:rFonts w:hint="eastAsia" w:cs="宋体" w:asciiTheme="minorEastAsia" w:hAnsiTheme="minorEastAsia" w:eastAsiaTheme="minorEastAsia"/>
                <w:color w:val="auto"/>
                <w:szCs w:val="21"/>
                <w:u w:val="single"/>
                <w:shd w:val="clear" w:color="auto" w:fill="auto"/>
              </w:rPr>
              <w:t xml:space="preserve">    </w:t>
            </w:r>
            <w:r>
              <w:rPr>
                <w:rFonts w:hint="eastAsia" w:cs="宋体" w:asciiTheme="minorEastAsia" w:hAnsiTheme="minorEastAsia" w:eastAsiaTheme="minorEastAsia"/>
                <w:color w:val="auto"/>
                <w:szCs w:val="21"/>
                <w:u w:val="single"/>
                <w:shd w:val="clear" w:color="auto" w:fill="auto"/>
                <w:lang w:val="en-US" w:eastAsia="zh-CN"/>
              </w:rPr>
              <w:t>/</w:t>
            </w:r>
            <w:r>
              <w:rPr>
                <w:rFonts w:hint="eastAsia" w:cs="宋体" w:asciiTheme="minorEastAsia" w:hAnsiTheme="minorEastAsia" w:eastAsiaTheme="minorEastAsia"/>
                <w:color w:val="auto"/>
                <w:szCs w:val="21"/>
                <w:u w:val="single"/>
                <w:shd w:val="clear" w:color="auto" w:fill="auto"/>
              </w:rPr>
              <w:t xml:space="preserve">                                          </w:t>
            </w:r>
          </w:p>
          <w:p w14:paraId="2A986229">
            <w:pPr>
              <w:spacing w:line="360" w:lineRule="auto"/>
              <w:ind w:left="184" w:leftChars="84" w:firstLine="880" w:firstLineChars="400"/>
              <w:rPr>
                <w:rFonts w:hint="default" w:cs="宋体" w:asciiTheme="minorEastAsia" w:hAnsiTheme="minorEastAsia" w:eastAsiaTheme="minorEastAsia"/>
                <w:color w:val="auto"/>
                <w:szCs w:val="21"/>
                <w:shd w:val="clear" w:color="auto" w:fill="auto"/>
                <w:lang w:val="en-US" w:eastAsia="zh-CN"/>
              </w:rPr>
            </w:pPr>
            <w:r>
              <w:rPr>
                <w:rFonts w:hint="eastAsia" w:cs="宋体" w:asciiTheme="minorEastAsia" w:hAnsiTheme="minorEastAsia" w:eastAsiaTheme="minorEastAsia"/>
                <w:color w:val="auto"/>
                <w:szCs w:val="21"/>
                <w:shd w:val="clear" w:color="auto" w:fill="auto"/>
                <w:lang w:val="en-US" w:eastAsia="zh-CN"/>
              </w:rPr>
              <w:t>法定代表人或代理人（签字或盖章）：</w:t>
            </w:r>
            <w:r>
              <w:rPr>
                <w:rFonts w:hint="eastAsia" w:cs="宋体" w:asciiTheme="minorEastAsia" w:hAnsiTheme="minorEastAsia" w:eastAsiaTheme="minorEastAsia"/>
                <w:color w:val="auto"/>
                <w:szCs w:val="21"/>
                <w:u w:val="single"/>
                <w:shd w:val="clear" w:color="auto" w:fill="auto"/>
              </w:rPr>
              <w:t xml:space="preserve">                  </w:t>
            </w:r>
          </w:p>
          <w:p w14:paraId="5A477A5E">
            <w:pPr>
              <w:spacing w:line="360" w:lineRule="auto"/>
              <w:ind w:left="184" w:leftChars="84" w:firstLine="880" w:firstLineChars="400"/>
              <w:rPr>
                <w:rFonts w:cs="宋体" w:asciiTheme="minorEastAsia" w:hAnsiTheme="minorEastAsia" w:eastAsiaTheme="minorEastAsia"/>
                <w:color w:val="auto"/>
                <w:szCs w:val="21"/>
                <w:u w:val="single"/>
                <w:shd w:val="clear" w:color="auto" w:fill="auto"/>
              </w:rPr>
            </w:pPr>
            <w:r>
              <w:rPr>
                <w:rFonts w:hint="eastAsia" w:cs="宋体" w:asciiTheme="minorEastAsia" w:hAnsiTheme="minorEastAsia" w:eastAsiaTheme="minorEastAsia"/>
                <w:color w:val="auto"/>
                <w:szCs w:val="21"/>
                <w:shd w:val="clear" w:color="auto" w:fill="auto"/>
              </w:rPr>
              <w:t>联 系 人：</w:t>
            </w:r>
            <w:r>
              <w:rPr>
                <w:rFonts w:hint="eastAsia" w:cs="宋体" w:asciiTheme="minorEastAsia" w:hAnsiTheme="minorEastAsia" w:eastAsiaTheme="minorEastAsia"/>
                <w:color w:val="auto"/>
                <w:szCs w:val="21"/>
                <w:u w:val="single"/>
                <w:shd w:val="clear" w:color="auto" w:fill="auto"/>
              </w:rPr>
              <w:t xml:space="preserve">                                   </w:t>
            </w:r>
            <w:r>
              <w:rPr>
                <w:rFonts w:hint="eastAsia" w:cs="宋体" w:asciiTheme="minorEastAsia" w:hAnsiTheme="minorEastAsia" w:eastAsiaTheme="minorEastAsia"/>
                <w:color w:val="auto"/>
                <w:szCs w:val="21"/>
                <w:u w:val="single"/>
                <w:shd w:val="clear" w:color="auto" w:fill="auto"/>
                <w:lang w:val="en-US" w:eastAsia="zh-CN"/>
              </w:rPr>
              <w:t xml:space="preserve">  </w:t>
            </w:r>
            <w:r>
              <w:rPr>
                <w:rFonts w:hint="eastAsia" w:cs="宋体" w:asciiTheme="minorEastAsia" w:hAnsiTheme="minorEastAsia" w:eastAsiaTheme="minorEastAsia"/>
                <w:color w:val="auto"/>
                <w:szCs w:val="21"/>
                <w:u w:val="single"/>
                <w:shd w:val="clear" w:color="auto" w:fill="auto"/>
              </w:rPr>
              <w:t xml:space="preserve">     </w:t>
            </w:r>
          </w:p>
          <w:p w14:paraId="2805AEE8">
            <w:pPr>
              <w:spacing w:line="360" w:lineRule="auto"/>
              <w:ind w:left="184" w:leftChars="84" w:firstLine="880" w:firstLineChars="400"/>
              <w:rPr>
                <w:rFonts w:cs="宋体" w:asciiTheme="minorEastAsia" w:hAnsiTheme="minorEastAsia" w:eastAsiaTheme="minorEastAsia"/>
                <w:color w:val="auto"/>
                <w:szCs w:val="21"/>
                <w:shd w:val="clear" w:color="auto" w:fill="auto"/>
              </w:rPr>
            </w:pPr>
            <w:r>
              <w:rPr>
                <w:rFonts w:hint="eastAsia" w:cs="宋体" w:asciiTheme="minorEastAsia" w:hAnsiTheme="minorEastAsia" w:eastAsiaTheme="minorEastAsia"/>
                <w:color w:val="auto"/>
                <w:szCs w:val="21"/>
                <w:shd w:val="clear" w:color="auto" w:fill="auto"/>
              </w:rPr>
              <w:t>电    话：</w:t>
            </w:r>
            <w:r>
              <w:rPr>
                <w:rFonts w:hint="eastAsia" w:cs="宋体" w:asciiTheme="minorEastAsia" w:hAnsiTheme="minorEastAsia" w:eastAsiaTheme="minorEastAsia"/>
                <w:color w:val="auto"/>
                <w:szCs w:val="21"/>
                <w:u w:val="single"/>
                <w:shd w:val="clear" w:color="auto" w:fill="auto"/>
              </w:rPr>
              <w:t xml:space="preserve">                                    </w:t>
            </w:r>
            <w:r>
              <w:rPr>
                <w:rFonts w:hint="eastAsia" w:cs="宋体" w:asciiTheme="minorEastAsia" w:hAnsiTheme="minorEastAsia" w:eastAsiaTheme="minorEastAsia"/>
                <w:color w:val="auto"/>
                <w:szCs w:val="21"/>
                <w:u w:val="single"/>
                <w:shd w:val="clear" w:color="auto" w:fill="auto"/>
                <w:lang w:val="en-US" w:eastAsia="zh-CN"/>
              </w:rPr>
              <w:t xml:space="preserve">  </w:t>
            </w:r>
            <w:r>
              <w:rPr>
                <w:rFonts w:hint="eastAsia" w:cs="宋体" w:asciiTheme="minorEastAsia" w:hAnsiTheme="minorEastAsia" w:eastAsiaTheme="minorEastAsia"/>
                <w:color w:val="auto"/>
                <w:szCs w:val="21"/>
                <w:u w:val="single"/>
                <w:shd w:val="clear" w:color="auto" w:fill="auto"/>
              </w:rPr>
              <w:t xml:space="preserve">    </w:t>
            </w:r>
          </w:p>
          <w:p w14:paraId="3FAC77FD">
            <w:pPr>
              <w:spacing w:line="360" w:lineRule="auto"/>
              <w:ind w:left="184" w:leftChars="84" w:firstLine="880" w:firstLineChars="400"/>
              <w:rPr>
                <w:rFonts w:cs="宋体" w:asciiTheme="minorEastAsia" w:hAnsiTheme="minorEastAsia" w:eastAsiaTheme="minorEastAsia"/>
                <w:color w:val="auto"/>
                <w:szCs w:val="21"/>
                <w:u w:val="single"/>
                <w:shd w:val="clear" w:color="auto" w:fill="auto"/>
              </w:rPr>
            </w:pPr>
            <w:r>
              <w:rPr>
                <w:rFonts w:hint="eastAsia" w:cs="宋体" w:asciiTheme="minorEastAsia" w:hAnsiTheme="minorEastAsia" w:eastAsiaTheme="minorEastAsia"/>
                <w:color w:val="auto"/>
                <w:szCs w:val="21"/>
                <w:shd w:val="clear" w:color="auto" w:fill="auto"/>
              </w:rPr>
              <w:t xml:space="preserve">地    址  ：  </w:t>
            </w:r>
            <w:r>
              <w:rPr>
                <w:rFonts w:hint="eastAsia" w:cs="宋体" w:asciiTheme="minorEastAsia" w:hAnsiTheme="minorEastAsia" w:eastAsiaTheme="minorEastAsia"/>
                <w:color w:val="auto"/>
                <w:szCs w:val="21"/>
                <w:u w:val="single"/>
                <w:shd w:val="clear" w:color="auto" w:fill="auto"/>
              </w:rPr>
              <w:t xml:space="preserve">                                 </w:t>
            </w:r>
            <w:r>
              <w:rPr>
                <w:rFonts w:hint="eastAsia" w:cs="宋体" w:asciiTheme="minorEastAsia" w:hAnsiTheme="minorEastAsia" w:eastAsiaTheme="minorEastAsia"/>
                <w:color w:val="auto"/>
                <w:szCs w:val="21"/>
                <w:u w:val="single"/>
                <w:shd w:val="clear" w:color="auto" w:fill="auto"/>
                <w:lang w:val="en-US" w:eastAsia="zh-CN"/>
              </w:rPr>
              <w:t xml:space="preserve">  </w:t>
            </w:r>
            <w:r>
              <w:rPr>
                <w:rFonts w:hint="eastAsia" w:cs="宋体" w:asciiTheme="minorEastAsia" w:hAnsiTheme="minorEastAsia" w:eastAsiaTheme="minorEastAsia"/>
                <w:color w:val="auto"/>
                <w:szCs w:val="21"/>
                <w:u w:val="single"/>
                <w:shd w:val="clear" w:color="auto" w:fill="auto"/>
              </w:rPr>
              <w:t xml:space="preserve">   </w:t>
            </w:r>
          </w:p>
          <w:p w14:paraId="27CCF9F6">
            <w:pPr>
              <w:spacing w:line="360" w:lineRule="auto"/>
              <w:ind w:left="184" w:leftChars="84" w:firstLine="960" w:firstLineChars="400"/>
              <w:rPr>
                <w:rFonts w:cs="宋体" w:asciiTheme="minorEastAsia" w:hAnsiTheme="minorEastAsia" w:eastAsiaTheme="minorEastAsia"/>
                <w:color w:val="auto"/>
                <w:sz w:val="24"/>
                <w:shd w:val="clear" w:color="auto" w:fill="auto"/>
              </w:rPr>
            </w:pPr>
          </w:p>
          <w:p w14:paraId="678D2EDF">
            <w:pPr>
              <w:jc w:val="center"/>
              <w:rPr>
                <w:rFonts w:cs="宋体" w:asciiTheme="minorEastAsia" w:hAnsiTheme="minorEastAsia" w:eastAsiaTheme="minorEastAsia"/>
                <w:b/>
                <w:bCs/>
                <w:color w:val="auto"/>
                <w:shd w:val="clear" w:color="auto" w:fill="auto"/>
              </w:rPr>
            </w:pPr>
          </w:p>
          <w:p w14:paraId="22EE1409">
            <w:pPr>
              <w:jc w:val="center"/>
              <w:rPr>
                <w:rFonts w:cs="宋体" w:asciiTheme="minorEastAsia" w:hAnsiTheme="minorEastAsia" w:eastAsiaTheme="minorEastAsia"/>
                <w:b/>
                <w:bCs/>
                <w:color w:val="auto"/>
                <w:shd w:val="clear" w:color="auto" w:fill="auto"/>
              </w:rPr>
            </w:pPr>
          </w:p>
          <w:p w14:paraId="187EFD9D">
            <w:pPr>
              <w:jc w:val="center"/>
              <w:rPr>
                <w:rFonts w:cs="宋体" w:asciiTheme="minorEastAsia" w:hAnsiTheme="minorEastAsia" w:eastAsiaTheme="minorEastAsia"/>
                <w:b/>
                <w:bCs/>
                <w:color w:val="auto"/>
                <w:shd w:val="clear" w:color="auto" w:fill="auto"/>
              </w:rPr>
            </w:pPr>
            <w:r>
              <w:rPr>
                <w:rFonts w:hint="eastAsia" w:cs="宋体" w:asciiTheme="minorEastAsia" w:hAnsiTheme="minorEastAsia" w:eastAsiaTheme="minorEastAsia"/>
                <w:b/>
                <w:bCs/>
                <w:color w:val="auto"/>
                <w:shd w:val="clear" w:color="auto" w:fill="auto"/>
              </w:rPr>
              <w:t>注：   在</w:t>
            </w:r>
            <w:r>
              <w:rPr>
                <w:rFonts w:hint="eastAsia" w:cs="宋体" w:asciiTheme="minorEastAsia" w:hAnsiTheme="minorEastAsia" w:eastAsiaTheme="minorEastAsia"/>
                <w:b/>
                <w:bCs/>
                <w:color w:val="auto"/>
                <w:shd w:val="clear" w:color="auto" w:fill="auto"/>
                <w:lang w:val="en-US" w:eastAsia="zh-CN"/>
              </w:rPr>
              <w:t xml:space="preserve">   </w:t>
            </w:r>
            <w:r>
              <w:rPr>
                <w:rFonts w:hint="eastAsia" w:cs="宋体" w:asciiTheme="minorEastAsia" w:hAnsiTheme="minorEastAsia" w:eastAsiaTheme="minorEastAsia"/>
                <w:b/>
                <w:bCs/>
                <w:color w:val="auto"/>
                <w:shd w:val="clear" w:color="auto" w:fill="auto"/>
              </w:rPr>
              <w:t xml:space="preserve">年   月 </w:t>
            </w:r>
            <w:r>
              <w:rPr>
                <w:rFonts w:hint="eastAsia" w:cs="宋体" w:asciiTheme="minorEastAsia" w:hAnsiTheme="minorEastAsia" w:eastAsiaTheme="minorEastAsia"/>
                <w:b/>
                <w:bCs/>
                <w:color w:val="auto"/>
                <w:shd w:val="clear" w:color="auto" w:fill="auto"/>
                <w:lang w:val="en-US" w:eastAsia="zh-CN"/>
              </w:rPr>
              <w:t xml:space="preserve"> </w:t>
            </w:r>
            <w:r>
              <w:rPr>
                <w:rFonts w:hint="eastAsia" w:cs="宋体" w:asciiTheme="minorEastAsia" w:hAnsiTheme="minorEastAsia" w:eastAsiaTheme="minorEastAsia"/>
                <w:b/>
                <w:bCs/>
                <w:color w:val="auto"/>
                <w:shd w:val="clear" w:color="auto" w:fill="auto"/>
              </w:rPr>
              <w:t xml:space="preserve"> 日     之前不得启封</w:t>
            </w:r>
          </w:p>
        </w:tc>
      </w:tr>
    </w:tbl>
    <w:p w14:paraId="5A3C5AB7">
      <w:pPr>
        <w:pStyle w:val="2"/>
        <w:rPr>
          <w:color w:val="auto"/>
        </w:rPr>
      </w:pPr>
    </w:p>
    <w:p w14:paraId="56CA6C7F">
      <w:pPr>
        <w:rPr>
          <w:rFonts w:hint="eastAsia" w:cs="宋体" w:asciiTheme="minorEastAsia" w:hAnsiTheme="minorEastAsia" w:eastAsiaTheme="minorEastAsia"/>
          <w:color w:val="auto"/>
          <w:sz w:val="24"/>
        </w:rPr>
      </w:pPr>
      <w:bookmarkStart w:id="489" w:name="_Toc18694"/>
      <w:bookmarkStart w:id="490" w:name="_Toc975"/>
      <w:bookmarkStart w:id="491" w:name="_Toc25620_WPSOffice_Level2"/>
      <w:bookmarkStart w:id="492" w:name="_Toc27406"/>
      <w:bookmarkStart w:id="493" w:name="_Toc18974"/>
      <w:bookmarkStart w:id="494" w:name="_Toc27612"/>
      <w:bookmarkStart w:id="495" w:name="_Toc515647803"/>
      <w:bookmarkStart w:id="496" w:name="_Toc6762_WPSOffice_Level2"/>
      <w:r>
        <w:rPr>
          <w:rFonts w:hint="eastAsia" w:cs="宋体" w:asciiTheme="minorEastAsia" w:hAnsiTheme="minorEastAsia" w:eastAsiaTheme="minorEastAsia"/>
          <w:color w:val="auto"/>
          <w:sz w:val="24"/>
        </w:rPr>
        <w:br w:type="page"/>
      </w:r>
    </w:p>
    <w:p w14:paraId="5100DBA6">
      <w:pPr>
        <w:pStyle w:val="4"/>
        <w:spacing w:before="0" w:line="360" w:lineRule="exact"/>
        <w:ind w:left="1105"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第一部分 报价一览表及资格证明文件</w:t>
      </w:r>
      <w:bookmarkEnd w:id="489"/>
      <w:bookmarkEnd w:id="490"/>
      <w:bookmarkEnd w:id="491"/>
      <w:bookmarkEnd w:id="492"/>
      <w:bookmarkEnd w:id="493"/>
      <w:bookmarkEnd w:id="494"/>
      <w:bookmarkEnd w:id="495"/>
      <w:bookmarkEnd w:id="496"/>
    </w:p>
    <w:p w14:paraId="02D3D4B8">
      <w:pPr>
        <w:tabs>
          <w:tab w:val="left" w:pos="5580"/>
        </w:tabs>
        <w:spacing w:line="360" w:lineRule="exact"/>
        <w:rPr>
          <w:rFonts w:cs="宋体" w:asciiTheme="minorEastAsia" w:hAnsiTheme="minorEastAsia" w:eastAsiaTheme="minorEastAsia"/>
          <w:color w:val="auto"/>
          <w:sz w:val="24"/>
        </w:rPr>
      </w:pPr>
      <w:bookmarkStart w:id="497" w:name="_Toc515647816"/>
      <w:bookmarkStart w:id="498" w:name="_Toc11180"/>
      <w:bookmarkStart w:id="499" w:name="_Toc480942349"/>
      <w:bookmarkStart w:id="500" w:name="_Toc520356217"/>
      <w:bookmarkStart w:id="501" w:name="_Ref467988698"/>
      <w:bookmarkStart w:id="502" w:name="_Toc216582813"/>
    </w:p>
    <w:p w14:paraId="4F023E6D">
      <w:pPr>
        <w:tabs>
          <w:tab w:val="left" w:pos="5580"/>
        </w:tabs>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、报价一览表（见响应文件格式一）;</w:t>
      </w:r>
    </w:p>
    <w:p w14:paraId="712ACA5D">
      <w:pPr>
        <w:numPr>
          <w:ilvl w:val="0"/>
          <w:numId w:val="10"/>
        </w:numPr>
        <w:tabs>
          <w:tab w:val="left" w:pos="5580"/>
        </w:tabs>
        <w:spacing w:line="360" w:lineRule="exact"/>
        <w:ind w:left="501" w:leftChars="228"/>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法人或者非法人组织的事业单位法人证书或工商营业执照等证明文件复印件（须加盖本单位章）</w:t>
      </w:r>
    </w:p>
    <w:p w14:paraId="530FF49B">
      <w:pPr>
        <w:tabs>
          <w:tab w:val="left" w:pos="5580"/>
        </w:tabs>
        <w:spacing w:line="360" w:lineRule="exact"/>
        <w:ind w:left="501" w:leftChars="228"/>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r>
        <w:rPr>
          <w:rFonts w:hint="eastAsia" w:cs="宋体" w:asciiTheme="minorEastAsia" w:hAnsiTheme="minorEastAsia" w:eastAsiaTheme="minorEastAsia"/>
          <w:color w:val="auto"/>
          <w:sz w:val="24"/>
          <w:lang w:val="en-US"/>
        </w:rPr>
        <w:t>法人身份证明及</w:t>
      </w:r>
      <w:r>
        <w:rPr>
          <w:rFonts w:hint="eastAsia" w:cs="宋体" w:asciiTheme="minorEastAsia" w:hAnsiTheme="minorEastAsia" w:eastAsiaTheme="minorEastAsia"/>
          <w:color w:val="auto"/>
          <w:sz w:val="24"/>
        </w:rPr>
        <w:t>法定代表人授权书（见响应文件格式二，自然人磋商响应的无需提供）;</w:t>
      </w:r>
    </w:p>
    <w:p w14:paraId="1A44122D">
      <w:pPr>
        <w:tabs>
          <w:tab w:val="left" w:pos="5580"/>
        </w:tabs>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4、投标保证金（附保证金打款凭证）；</w:t>
      </w:r>
    </w:p>
    <w:p w14:paraId="6A7855C1">
      <w:pPr>
        <w:tabs>
          <w:tab w:val="left" w:pos="5580"/>
        </w:tabs>
        <w:spacing w:line="360" w:lineRule="exact"/>
        <w:ind w:firstLine="480" w:firstLineChars="200"/>
        <w:rPr>
          <w:rFonts w:cs="宋体" w:asciiTheme="minorEastAsia" w:hAnsiTheme="minorEastAsia" w:eastAsiaTheme="minorEastAsia"/>
          <w:color w:val="auto"/>
          <w:sz w:val="24"/>
          <w:lang w:val="en-US"/>
        </w:rPr>
      </w:pPr>
      <w:r>
        <w:rPr>
          <w:rFonts w:hint="eastAsia" w:cs="宋体" w:asciiTheme="minorEastAsia" w:hAnsiTheme="minorEastAsia" w:eastAsiaTheme="minorEastAsia"/>
          <w:color w:val="auto"/>
          <w:sz w:val="24"/>
        </w:rPr>
        <w:t>5、社会保障资金的缴纳记录（</w:t>
      </w:r>
      <w:r>
        <w:rPr>
          <w:rFonts w:hint="eastAsia" w:cs="宋体" w:asciiTheme="minorEastAsia" w:hAnsiTheme="minorEastAsia" w:eastAsiaTheme="minorEastAsia"/>
          <w:color w:val="auto"/>
          <w:sz w:val="24"/>
          <w:lang w:val="en-US"/>
        </w:rPr>
        <w:t>近半年</w:t>
      </w:r>
      <w:r>
        <w:rPr>
          <w:rFonts w:hint="eastAsia" w:cs="宋体" w:asciiTheme="minorEastAsia" w:hAnsiTheme="minorEastAsia" w:eastAsiaTheme="minorEastAsia"/>
          <w:color w:val="auto"/>
          <w:sz w:val="24"/>
          <w:lang w:val="en-US" w:eastAsia="zh-CN"/>
        </w:rPr>
        <w:t>任意一个月</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rPr>
        <w:t>完税记录（近半年</w:t>
      </w:r>
      <w:r>
        <w:rPr>
          <w:rFonts w:hint="eastAsia" w:cs="宋体" w:asciiTheme="minorEastAsia" w:hAnsiTheme="minorEastAsia" w:eastAsiaTheme="minorEastAsia"/>
          <w:color w:val="auto"/>
          <w:sz w:val="24"/>
          <w:lang w:val="en-US" w:eastAsia="zh-CN"/>
        </w:rPr>
        <w:t>任意一个月</w:t>
      </w:r>
      <w:r>
        <w:rPr>
          <w:rFonts w:hint="eastAsia" w:cs="宋体" w:asciiTheme="minorEastAsia" w:hAnsiTheme="minorEastAsia" w:eastAsiaTheme="minorEastAsia"/>
          <w:color w:val="auto"/>
          <w:sz w:val="24"/>
          <w:lang w:val="en-US"/>
        </w:rPr>
        <w:t>）；</w:t>
      </w:r>
    </w:p>
    <w:p w14:paraId="2DC1843E">
      <w:pPr>
        <w:tabs>
          <w:tab w:val="left" w:pos="5580"/>
        </w:tabs>
        <w:spacing w:line="360" w:lineRule="exact"/>
        <w:ind w:left="501" w:leftChars="228"/>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6、参加政府采购活动前3年内在经营活动中没有重大违法记录的书面声明及反商业贿赂承诺书;</w:t>
      </w:r>
    </w:p>
    <w:p w14:paraId="00D52D7D">
      <w:pPr>
        <w:spacing w:line="360" w:lineRule="exact"/>
        <w:ind w:firstLine="480" w:firstLineChars="200"/>
        <w:rPr>
          <w:rFonts w:cs="宋体" w:asciiTheme="minorEastAsia" w:hAnsiTheme="minorEastAsia" w:eastAsiaTheme="minorEastAsia"/>
          <w:color w:val="auto"/>
          <w:sz w:val="24"/>
          <w:lang w:val="en-US"/>
        </w:rPr>
      </w:pPr>
      <w:r>
        <w:rPr>
          <w:rFonts w:hint="eastAsia" w:cs="宋体" w:asciiTheme="minorEastAsia" w:hAnsiTheme="minorEastAsia" w:eastAsiaTheme="minorEastAsia"/>
          <w:color w:val="auto"/>
          <w:sz w:val="24"/>
        </w:rPr>
        <w:t>7、</w:t>
      </w:r>
      <w:r>
        <w:rPr>
          <w:rFonts w:hint="eastAsia" w:cs="宋体" w:asciiTheme="minorEastAsia" w:hAnsiTheme="minorEastAsia" w:eastAsiaTheme="minorEastAsia"/>
          <w:color w:val="auto"/>
          <w:sz w:val="24"/>
          <w:lang w:val="en-US"/>
        </w:rPr>
        <w:t>各网址</w:t>
      </w:r>
      <w:r>
        <w:rPr>
          <w:rFonts w:hint="eastAsia" w:cs="宋体" w:asciiTheme="minorEastAsia" w:hAnsiTheme="minorEastAsia" w:eastAsiaTheme="minorEastAsia"/>
          <w:color w:val="auto"/>
          <w:sz w:val="24"/>
        </w:rPr>
        <w:t>信用记录</w:t>
      </w:r>
      <w:r>
        <w:rPr>
          <w:rFonts w:hint="eastAsia" w:cs="宋体" w:asciiTheme="minorEastAsia" w:hAnsiTheme="minorEastAsia" w:eastAsiaTheme="minorEastAsia"/>
          <w:color w:val="auto"/>
          <w:sz w:val="24"/>
          <w:lang w:val="en-US"/>
        </w:rPr>
        <w:t>截图</w:t>
      </w:r>
    </w:p>
    <w:p w14:paraId="517A4A74">
      <w:pPr>
        <w:pStyle w:val="7"/>
        <w:ind w:firstLine="480"/>
        <w:rPr>
          <w:rFonts w:cs="宋体" w:asciiTheme="minorEastAsia" w:hAnsiTheme="minorEastAsia" w:eastAsiaTheme="minorEastAsia"/>
          <w:color w:val="auto"/>
          <w:sz w:val="24"/>
          <w:lang w:val="en-US"/>
        </w:rPr>
      </w:pPr>
      <w:r>
        <w:rPr>
          <w:rFonts w:hint="eastAsia" w:cs="宋体" w:asciiTheme="minorEastAsia" w:hAnsiTheme="minorEastAsia" w:eastAsiaTheme="minorEastAsia"/>
          <w:color w:val="auto"/>
          <w:sz w:val="24"/>
          <w:lang w:val="en-US"/>
        </w:rPr>
        <w:t>8、供应商须知资料表要求的其他资格证明文件</w:t>
      </w:r>
      <w:bookmarkStart w:id="503" w:name="_Toc30630"/>
      <w:bookmarkStart w:id="504" w:name="_Toc3620"/>
      <w:bookmarkStart w:id="505" w:name="_Toc30524"/>
      <w:bookmarkStart w:id="506" w:name="_Toc515647804"/>
      <w:bookmarkStart w:id="507" w:name="_Toc16568"/>
      <w:bookmarkStart w:id="508" w:name="_Toc16750"/>
      <w:bookmarkStart w:id="509" w:name="_Toc14118"/>
      <w:bookmarkStart w:id="510" w:name="_Toc21614"/>
    </w:p>
    <w:bookmarkEnd w:id="503"/>
    <w:bookmarkEnd w:id="504"/>
    <w:bookmarkEnd w:id="505"/>
    <w:bookmarkEnd w:id="506"/>
    <w:bookmarkEnd w:id="507"/>
    <w:bookmarkEnd w:id="508"/>
    <w:bookmarkEnd w:id="509"/>
    <w:bookmarkEnd w:id="510"/>
    <w:p w14:paraId="470E9AE4">
      <w:pPr>
        <w:tabs>
          <w:tab w:val="left" w:pos="1800"/>
          <w:tab w:val="left" w:pos="5580"/>
        </w:tabs>
        <w:spacing w:line="240" w:lineRule="atLeast"/>
        <w:ind w:left="1105" w:leftChars="257" w:right="-908" w:rightChars="-413" w:hanging="540"/>
        <w:rPr>
          <w:rFonts w:cs="宋体" w:asciiTheme="minorEastAsia" w:hAnsiTheme="minorEastAsia" w:eastAsiaTheme="minorEastAsia"/>
          <w:color w:val="auto"/>
          <w:sz w:val="24"/>
        </w:rPr>
      </w:pPr>
    </w:p>
    <w:p w14:paraId="12484B74">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br w:type="page"/>
      </w:r>
    </w:p>
    <w:p w14:paraId="4339AA7A">
      <w:pPr>
        <w:pStyle w:val="4"/>
        <w:spacing w:before="0" w:line="240" w:lineRule="atLeast"/>
        <w:ind w:left="1105" w:leftChars="257" w:hanging="540"/>
        <w:rPr>
          <w:rFonts w:cs="宋体" w:asciiTheme="minorEastAsia" w:hAnsiTheme="minorEastAsia" w:eastAsiaTheme="minorEastAsia"/>
          <w:color w:val="auto"/>
          <w:sz w:val="24"/>
        </w:rPr>
      </w:pPr>
      <w:bookmarkStart w:id="511" w:name="_Toc25056"/>
      <w:r>
        <w:rPr>
          <w:rFonts w:hint="eastAsia" w:cs="宋体" w:asciiTheme="minorEastAsia" w:hAnsiTheme="minorEastAsia" w:eastAsiaTheme="minorEastAsia"/>
          <w:color w:val="auto"/>
          <w:sz w:val="24"/>
        </w:rPr>
        <w:t>1  报价一览表（响应文件格式一）</w:t>
      </w:r>
      <w:bookmarkEnd w:id="511"/>
    </w:p>
    <w:p w14:paraId="62DAE780">
      <w:pPr>
        <w:pStyle w:val="12"/>
        <w:tabs>
          <w:tab w:val="left" w:pos="5580"/>
        </w:tabs>
        <w:spacing w:line="240" w:lineRule="atLeast"/>
        <w:rPr>
          <w:rFonts w:cs="宋体" w:asciiTheme="minorEastAsia" w:hAnsiTheme="minorEastAsia" w:eastAsiaTheme="minorEastAsia"/>
          <w:color w:val="auto"/>
          <w:szCs w:val="24"/>
        </w:rPr>
      </w:pPr>
    </w:p>
    <w:p w14:paraId="218FEF30">
      <w:pPr>
        <w:pStyle w:val="7"/>
        <w:tabs>
          <w:tab w:val="left" w:pos="5580"/>
        </w:tabs>
        <w:spacing w:line="240" w:lineRule="atLeast"/>
        <w:ind w:left="565" w:leftChars="257" w:firstLine="442"/>
        <w:jc w:val="center"/>
        <w:rPr>
          <w:rFonts w:cs="宋体" w:asciiTheme="minorEastAsia" w:hAnsiTheme="minorEastAsia" w:eastAsiaTheme="minorEastAsia"/>
          <w:color w:val="auto"/>
        </w:rPr>
      </w:pPr>
      <w:bookmarkStart w:id="512" w:name="_Hlt520356241"/>
      <w:bookmarkEnd w:id="512"/>
      <w:bookmarkStart w:id="513" w:name="_Toc494296984"/>
      <w:r>
        <w:rPr>
          <w:rFonts w:hint="eastAsia" w:cs="宋体" w:asciiTheme="minorEastAsia" w:hAnsiTheme="minorEastAsia" w:eastAsiaTheme="minorEastAsia"/>
          <w:b/>
          <w:color w:val="auto"/>
        </w:rPr>
        <w:t>报价一览表</w:t>
      </w:r>
      <w:bookmarkEnd w:id="513"/>
    </w:p>
    <w:p w14:paraId="31B2A82A">
      <w:pPr>
        <w:tabs>
          <w:tab w:val="left" w:pos="1800"/>
          <w:tab w:val="left" w:pos="5580"/>
        </w:tabs>
        <w:spacing w:line="240" w:lineRule="atLeast"/>
        <w:ind w:left="1105" w:leftChars="257" w:right="-908" w:rightChars="-413"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项目名称：　                  磋商文件编号：                 包号：         </w:t>
      </w:r>
    </w:p>
    <w:p w14:paraId="2BDFFE7A">
      <w:pPr>
        <w:tabs>
          <w:tab w:val="left" w:pos="1800"/>
          <w:tab w:val="left" w:pos="5580"/>
        </w:tabs>
        <w:spacing w:line="240" w:lineRule="atLeast"/>
        <w:ind w:left="1105" w:leftChars="257" w:right="-908" w:rightChars="-413"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报价单位：</w:t>
      </w:r>
      <w:r>
        <w:rPr>
          <w:rFonts w:hint="eastAsia" w:cs="宋体" w:asciiTheme="minorEastAsia" w:hAnsiTheme="minorEastAsia" w:eastAsiaTheme="minorEastAsia"/>
          <w:color w:val="auto"/>
          <w:sz w:val="24"/>
          <w:lang w:val="en-US"/>
        </w:rPr>
        <w:t xml:space="preserve">                                           </w:t>
      </w:r>
      <w:r>
        <w:rPr>
          <w:rFonts w:hint="eastAsia" w:cs="宋体" w:asciiTheme="minorEastAsia" w:hAnsiTheme="minorEastAsia" w:eastAsiaTheme="minorEastAsia"/>
          <w:color w:val="auto"/>
          <w:sz w:val="24"/>
        </w:rPr>
        <w:t xml:space="preserve">人民币    </w:t>
      </w:r>
      <w:r>
        <w:rPr>
          <w:rFonts w:hint="eastAsia" w:cs="宋体" w:asciiTheme="minorEastAsia" w:hAnsiTheme="minorEastAsia" w:eastAsiaTheme="minorEastAsia"/>
          <w:b/>
          <w:color w:val="auto"/>
          <w:sz w:val="24"/>
        </w:rPr>
        <w:t>元</w:t>
      </w:r>
    </w:p>
    <w:tbl>
      <w:tblPr>
        <w:tblStyle w:val="20"/>
        <w:tblW w:w="8497" w:type="dxa"/>
        <w:tblInd w:w="-56" w:type="dxa"/>
        <w:tblLayout w:type="fixed"/>
        <w:tblCellMar>
          <w:top w:w="0" w:type="dxa"/>
          <w:left w:w="0" w:type="dxa"/>
          <w:bottom w:w="0" w:type="dxa"/>
          <w:right w:w="0" w:type="dxa"/>
        </w:tblCellMar>
      </w:tblPr>
      <w:tblGrid>
        <w:gridCol w:w="1420"/>
        <w:gridCol w:w="2340"/>
        <w:gridCol w:w="1805"/>
        <w:gridCol w:w="1627"/>
        <w:gridCol w:w="1305"/>
      </w:tblGrid>
      <w:tr w14:paraId="34D0C086">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14:paraId="24221CA8">
            <w:pPr>
              <w:tabs>
                <w:tab w:val="left" w:pos="5580"/>
              </w:tabs>
              <w:spacing w:line="240" w:lineRule="atLeast"/>
              <w:ind w:right="-199"/>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rPr>
              <w:t>项目</w:t>
            </w:r>
            <w:r>
              <w:rPr>
                <w:rFonts w:hint="eastAsia" w:cs="宋体" w:asciiTheme="minorEastAsia" w:hAnsiTheme="minorEastAsia" w:eastAsiaTheme="minorEastAsia"/>
                <w:color w:val="auto"/>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14:paraId="513B740E">
            <w:pPr>
              <w:tabs>
                <w:tab w:val="left" w:pos="5580"/>
              </w:tabs>
              <w:spacing w:line="24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报价总价</w:t>
            </w:r>
          </w:p>
        </w:tc>
        <w:tc>
          <w:tcPr>
            <w:tcW w:w="1805" w:type="dxa"/>
            <w:tcBorders>
              <w:top w:val="single" w:color="auto" w:sz="8" w:space="0"/>
              <w:left w:val="nil"/>
              <w:bottom w:val="single" w:color="auto" w:sz="8" w:space="0"/>
              <w:right w:val="single" w:color="auto" w:sz="4" w:space="0"/>
            </w:tcBorders>
            <w:vAlign w:val="center"/>
          </w:tcPr>
          <w:p w14:paraId="4FE2F4D2">
            <w:pPr>
              <w:tabs>
                <w:tab w:val="left" w:pos="5580"/>
              </w:tabs>
              <w:spacing w:line="24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磋商保证金</w:t>
            </w:r>
          </w:p>
        </w:tc>
        <w:tc>
          <w:tcPr>
            <w:tcW w:w="1627" w:type="dxa"/>
            <w:tcBorders>
              <w:top w:val="single" w:color="auto" w:sz="8" w:space="0"/>
              <w:left w:val="nil"/>
              <w:bottom w:val="single" w:color="auto" w:sz="8" w:space="0"/>
              <w:right w:val="single" w:color="auto" w:sz="4" w:space="0"/>
            </w:tcBorders>
            <w:vAlign w:val="center"/>
          </w:tcPr>
          <w:p w14:paraId="54E0D2D9">
            <w:pPr>
              <w:tabs>
                <w:tab w:val="left" w:pos="5580"/>
              </w:tabs>
              <w:spacing w:line="24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合同履约期限</w:t>
            </w:r>
          </w:p>
        </w:tc>
        <w:tc>
          <w:tcPr>
            <w:tcW w:w="1305" w:type="dxa"/>
            <w:tcBorders>
              <w:top w:val="single" w:color="auto" w:sz="8" w:space="0"/>
              <w:left w:val="single" w:color="auto" w:sz="4" w:space="0"/>
              <w:bottom w:val="single" w:color="auto" w:sz="8" w:space="0"/>
              <w:right w:val="single" w:color="auto" w:sz="8" w:space="0"/>
            </w:tcBorders>
            <w:vAlign w:val="center"/>
          </w:tcPr>
          <w:p w14:paraId="3D7B15F6">
            <w:pPr>
              <w:tabs>
                <w:tab w:val="left" w:pos="5580"/>
              </w:tabs>
              <w:spacing w:line="24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w:t>
            </w:r>
          </w:p>
        </w:tc>
      </w:tr>
      <w:tr w14:paraId="3D286F23">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14:paraId="06F16123">
            <w:pPr>
              <w:tabs>
                <w:tab w:val="left" w:pos="5580"/>
              </w:tabs>
              <w:spacing w:line="240" w:lineRule="atLeast"/>
              <w:ind w:left="1105" w:leftChars="257" w:hanging="540"/>
              <w:jc w:val="center"/>
              <w:rPr>
                <w:rFonts w:cs="宋体" w:asciiTheme="minorEastAsia" w:hAnsiTheme="minorEastAsia" w:eastAsiaTheme="minorEastAsia"/>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14:paraId="5B5DC6A3">
            <w:pPr>
              <w:tabs>
                <w:tab w:val="left" w:pos="5580"/>
              </w:tabs>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大写：</w:t>
            </w:r>
          </w:p>
          <w:p w14:paraId="6C55E2C0">
            <w:pPr>
              <w:tabs>
                <w:tab w:val="left" w:pos="5580"/>
              </w:tabs>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小写：</w:t>
            </w:r>
          </w:p>
        </w:tc>
        <w:tc>
          <w:tcPr>
            <w:tcW w:w="1805" w:type="dxa"/>
            <w:tcBorders>
              <w:top w:val="single" w:color="auto" w:sz="8" w:space="0"/>
              <w:left w:val="nil"/>
              <w:bottom w:val="single" w:color="auto" w:sz="4" w:space="0"/>
              <w:right w:val="single" w:color="auto" w:sz="4" w:space="0"/>
            </w:tcBorders>
            <w:vAlign w:val="center"/>
          </w:tcPr>
          <w:p w14:paraId="7B59B54D">
            <w:pPr>
              <w:tabs>
                <w:tab w:val="left" w:pos="5580"/>
              </w:tabs>
              <w:spacing w:line="240" w:lineRule="atLeast"/>
              <w:ind w:left="1105" w:leftChars="257" w:hanging="540"/>
              <w:jc w:val="center"/>
              <w:rPr>
                <w:rFonts w:cs="宋体" w:asciiTheme="minorEastAsia" w:hAnsiTheme="minorEastAsia" w:eastAsiaTheme="minorEastAsia"/>
                <w:color w:val="auto"/>
                <w:sz w:val="24"/>
              </w:rPr>
            </w:pPr>
          </w:p>
        </w:tc>
        <w:tc>
          <w:tcPr>
            <w:tcW w:w="1627" w:type="dxa"/>
            <w:tcBorders>
              <w:top w:val="single" w:color="auto" w:sz="8" w:space="0"/>
              <w:left w:val="nil"/>
              <w:bottom w:val="single" w:color="auto" w:sz="4" w:space="0"/>
              <w:right w:val="single" w:color="auto" w:sz="4" w:space="0"/>
            </w:tcBorders>
            <w:vAlign w:val="center"/>
          </w:tcPr>
          <w:p w14:paraId="0B4470F0">
            <w:pPr>
              <w:tabs>
                <w:tab w:val="left" w:pos="5580"/>
              </w:tabs>
              <w:spacing w:line="240" w:lineRule="atLeast"/>
              <w:ind w:left="1105" w:leftChars="257" w:hanging="540"/>
              <w:jc w:val="center"/>
              <w:rPr>
                <w:rFonts w:cs="宋体" w:asciiTheme="minorEastAsia" w:hAnsiTheme="minorEastAsia" w:eastAsiaTheme="minorEastAsia"/>
                <w:color w:val="auto"/>
                <w:sz w:val="24"/>
              </w:rPr>
            </w:pPr>
          </w:p>
        </w:tc>
        <w:tc>
          <w:tcPr>
            <w:tcW w:w="1305" w:type="dxa"/>
            <w:tcBorders>
              <w:top w:val="single" w:color="auto" w:sz="8" w:space="0"/>
              <w:left w:val="single" w:color="auto" w:sz="4" w:space="0"/>
              <w:bottom w:val="single" w:color="auto" w:sz="4" w:space="0"/>
              <w:right w:val="single" w:color="auto" w:sz="8" w:space="0"/>
            </w:tcBorders>
            <w:vAlign w:val="center"/>
          </w:tcPr>
          <w:p w14:paraId="75B8094B">
            <w:pPr>
              <w:tabs>
                <w:tab w:val="left" w:pos="5580"/>
              </w:tabs>
              <w:spacing w:line="240" w:lineRule="atLeast"/>
              <w:ind w:left="1105" w:leftChars="257" w:hanging="540"/>
              <w:jc w:val="center"/>
              <w:rPr>
                <w:rFonts w:cs="宋体" w:asciiTheme="minorEastAsia" w:hAnsiTheme="minorEastAsia" w:eastAsiaTheme="minorEastAsia"/>
                <w:color w:val="auto"/>
                <w:sz w:val="24"/>
              </w:rPr>
            </w:pPr>
          </w:p>
        </w:tc>
      </w:tr>
    </w:tbl>
    <w:p w14:paraId="4697E733">
      <w:pPr>
        <w:pStyle w:val="12"/>
        <w:tabs>
          <w:tab w:val="left" w:pos="5580"/>
        </w:tabs>
        <w:spacing w:line="240" w:lineRule="atLeast"/>
        <w:ind w:left="1105" w:leftChars="257" w:hanging="540"/>
        <w:rPr>
          <w:rFonts w:cs="宋体" w:asciiTheme="minorEastAsia" w:hAnsiTheme="minorEastAsia" w:eastAsiaTheme="minorEastAsia"/>
          <w:color w:val="auto"/>
        </w:rPr>
      </w:pPr>
    </w:p>
    <w:p w14:paraId="74FADFC5">
      <w:pPr>
        <w:pStyle w:val="12"/>
        <w:tabs>
          <w:tab w:val="left" w:pos="5580"/>
        </w:tabs>
        <w:spacing w:line="240" w:lineRule="atLeast"/>
        <w:ind w:left="1105" w:leftChars="257" w:hanging="540"/>
        <w:rPr>
          <w:rFonts w:cs="宋体" w:asciiTheme="minorEastAsia" w:hAnsiTheme="minorEastAsia" w:eastAsiaTheme="minorEastAsia"/>
          <w:color w:val="auto"/>
          <w:u w:val="single"/>
        </w:rPr>
      </w:pPr>
    </w:p>
    <w:p w14:paraId="20E7D5AE">
      <w:pPr>
        <w:pStyle w:val="12"/>
        <w:tabs>
          <w:tab w:val="left" w:pos="5580"/>
        </w:tabs>
        <w:spacing w:line="240" w:lineRule="atLeast"/>
        <w:ind w:left="1105" w:leftChars="257" w:hanging="540"/>
        <w:rPr>
          <w:rFonts w:cs="宋体" w:asciiTheme="minorEastAsia" w:hAnsiTheme="minorEastAsia" w:eastAsiaTheme="minorEastAsia"/>
          <w:color w:val="auto"/>
          <w:lang w:val="en-US"/>
        </w:rPr>
      </w:pPr>
      <w:r>
        <w:rPr>
          <w:rFonts w:hint="eastAsia" w:cs="宋体" w:asciiTheme="minorEastAsia" w:hAnsiTheme="minorEastAsia" w:eastAsiaTheme="minorEastAsia"/>
          <w:color w:val="auto"/>
        </w:rPr>
        <w:t>供应商名称（单位盖章）：</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u w:val="single"/>
          <w:lang w:val="en-US"/>
        </w:rPr>
        <w:t xml:space="preserve"> </w:t>
      </w:r>
    </w:p>
    <w:p w14:paraId="2FB82120">
      <w:pPr>
        <w:pStyle w:val="12"/>
        <w:tabs>
          <w:tab w:val="left" w:pos="5580"/>
        </w:tabs>
        <w:spacing w:line="240" w:lineRule="atLeast"/>
        <w:ind w:left="1105" w:leftChars="257" w:hanging="540"/>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法定代表人或委托代理(签字</w:t>
      </w:r>
      <w:r>
        <w:rPr>
          <w:rFonts w:hint="eastAsia" w:cs="宋体" w:asciiTheme="minorEastAsia" w:hAnsiTheme="minorEastAsia" w:eastAsiaTheme="minorEastAsia"/>
          <w:color w:val="auto"/>
          <w:lang w:val="en-US" w:eastAsia="zh-CN"/>
        </w:rPr>
        <w:t>或盖章</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u w:val="single"/>
        </w:rPr>
        <w:tab/>
      </w:r>
    </w:p>
    <w:p w14:paraId="5012EDB9">
      <w:pPr>
        <w:pStyle w:val="12"/>
        <w:tabs>
          <w:tab w:val="left" w:pos="5580"/>
        </w:tabs>
        <w:spacing w:line="240" w:lineRule="atLeast"/>
        <w:ind w:left="1105" w:leftChars="257" w:hanging="540"/>
        <w:rPr>
          <w:rFonts w:cs="宋体" w:asciiTheme="minorEastAsia" w:hAnsiTheme="minorEastAsia" w:eastAsiaTheme="minorEastAsia"/>
          <w:color w:val="auto"/>
        </w:rPr>
      </w:pPr>
    </w:p>
    <w:p w14:paraId="39FE4D23">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注:1、此表应按供应商须知的规定装订密封。</w:t>
      </w:r>
    </w:p>
    <w:p w14:paraId="75A8DE4A">
      <w:pPr>
        <w:pStyle w:val="12"/>
        <w:numPr>
          <w:ilvl w:val="0"/>
          <w:numId w:val="11"/>
        </w:numPr>
        <w:tabs>
          <w:tab w:val="left" w:pos="5580"/>
        </w:tabs>
        <w:spacing w:line="240" w:lineRule="atLeast"/>
        <w:ind w:left="1121" w:leftChars="428" w:hanging="180" w:hangingChars="75"/>
        <w:rPr>
          <w:rFonts w:cs="宋体" w:asciiTheme="minorEastAsia" w:hAnsiTheme="minorEastAsia" w:eastAsiaTheme="minorEastAsia"/>
          <w:color w:val="auto"/>
        </w:rPr>
      </w:pPr>
      <w:r>
        <w:rPr>
          <w:rFonts w:hint="eastAsia" w:cs="宋体" w:asciiTheme="minorEastAsia" w:hAnsiTheme="minorEastAsia" w:eastAsiaTheme="minorEastAsia"/>
          <w:color w:val="auto"/>
        </w:rPr>
        <w:t>此表中，报价总价应和报价分项报价表的总价相一致。</w:t>
      </w:r>
    </w:p>
    <w:p w14:paraId="2E182B4B">
      <w:pPr>
        <w:pStyle w:val="12"/>
        <w:numPr>
          <w:ilvl w:val="0"/>
          <w:numId w:val="11"/>
        </w:numPr>
        <w:tabs>
          <w:tab w:val="left" w:pos="5580"/>
        </w:tabs>
        <w:spacing w:line="240" w:lineRule="atLeast"/>
        <w:ind w:left="1121" w:leftChars="428" w:hanging="180" w:hangingChars="75"/>
        <w:rPr>
          <w:rFonts w:cs="宋体" w:asciiTheme="minorEastAsia" w:hAnsiTheme="minorEastAsia" w:eastAsiaTheme="minorEastAsia"/>
          <w:color w:val="auto"/>
        </w:rPr>
      </w:pPr>
      <w:r>
        <w:rPr>
          <w:rFonts w:hint="eastAsia" w:cs="宋体" w:asciiTheme="minorEastAsia" w:hAnsiTheme="minorEastAsia" w:eastAsiaTheme="minorEastAsia"/>
          <w:color w:val="auto"/>
        </w:rPr>
        <w:t>供应商报价时包含税费等一切与本次项目相关的费用。</w:t>
      </w:r>
    </w:p>
    <w:p w14:paraId="3E667418">
      <w:pPr>
        <w:rPr>
          <w:rFonts w:cs="宋体" w:asciiTheme="minorEastAsia" w:hAnsiTheme="minorEastAsia" w:eastAsiaTheme="minorEastAsia"/>
          <w:color w:val="auto"/>
        </w:rPr>
      </w:pPr>
      <w:r>
        <w:rPr>
          <w:rFonts w:hint="eastAsia" w:cs="宋体" w:asciiTheme="minorEastAsia" w:hAnsiTheme="minorEastAsia" w:eastAsiaTheme="minorEastAsia"/>
          <w:color w:val="auto"/>
        </w:rPr>
        <w:br w:type="page"/>
      </w:r>
    </w:p>
    <w:p w14:paraId="04D6A0AE">
      <w:pPr>
        <w:adjustRightInd w:val="0"/>
        <w:snapToGrid w:val="0"/>
        <w:spacing w:line="360" w:lineRule="auto"/>
        <w:jc w:val="center"/>
        <w:rPr>
          <w:rFonts w:hint="eastAsia" w:ascii="宋体" w:hAnsi="宋体"/>
          <w:b/>
          <w:color w:val="auto"/>
          <w:sz w:val="28"/>
          <w:szCs w:val="28"/>
        </w:rPr>
      </w:pPr>
      <w:r>
        <w:rPr>
          <w:rFonts w:hint="eastAsia" w:ascii="宋体" w:hAnsi="宋体"/>
          <w:b/>
          <w:color w:val="auto"/>
          <w:sz w:val="28"/>
          <w:szCs w:val="28"/>
          <w:lang w:val="en-US" w:eastAsia="zh-CN"/>
        </w:rPr>
        <w:t>1.1、</w:t>
      </w:r>
      <w:r>
        <w:rPr>
          <w:rFonts w:hint="eastAsia" w:ascii="宋体" w:hAnsi="宋体"/>
          <w:b/>
          <w:color w:val="auto"/>
          <w:sz w:val="28"/>
          <w:szCs w:val="28"/>
        </w:rPr>
        <w:t>投标报价明细表</w:t>
      </w:r>
      <w:r>
        <w:rPr>
          <w:rFonts w:hint="eastAsia" w:ascii="宋体" w:hAnsi="宋体"/>
          <w:b/>
          <w:color w:val="auto"/>
          <w:sz w:val="28"/>
          <w:szCs w:val="28"/>
          <w:lang w:eastAsia="zh-CN"/>
        </w:rPr>
        <w:t>（</w:t>
      </w:r>
      <w:r>
        <w:rPr>
          <w:rFonts w:hint="eastAsia" w:ascii="宋体" w:hAnsi="宋体"/>
          <w:b/>
          <w:color w:val="auto"/>
          <w:sz w:val="28"/>
          <w:szCs w:val="28"/>
          <w:lang w:val="en-US" w:eastAsia="zh-CN"/>
        </w:rPr>
        <w:t>已标价的工程量清单</w:t>
      </w:r>
      <w:r>
        <w:rPr>
          <w:rFonts w:hint="eastAsia" w:ascii="宋体" w:hAnsi="宋体"/>
          <w:b/>
          <w:color w:val="auto"/>
          <w:sz w:val="28"/>
          <w:szCs w:val="28"/>
          <w:lang w:eastAsia="zh-CN"/>
        </w:rPr>
        <w:t>）</w:t>
      </w:r>
    </w:p>
    <w:p w14:paraId="42242175">
      <w:pPr>
        <w:pStyle w:val="12"/>
        <w:tabs>
          <w:tab w:val="left" w:pos="5580"/>
        </w:tabs>
        <w:spacing w:line="240" w:lineRule="atLeast"/>
        <w:rPr>
          <w:rFonts w:cs="宋体" w:asciiTheme="minorEastAsia" w:hAnsiTheme="minorEastAsia" w:eastAsiaTheme="minorEastAsia"/>
          <w:color w:val="auto"/>
        </w:rPr>
      </w:pPr>
    </w:p>
    <w:p w14:paraId="2FBD0068">
      <w:pPr>
        <w:pStyle w:val="12"/>
        <w:tabs>
          <w:tab w:val="left" w:pos="5580"/>
        </w:tabs>
        <w:spacing w:line="240" w:lineRule="atLeast"/>
        <w:rPr>
          <w:rFonts w:cs="宋体" w:asciiTheme="minorEastAsia" w:hAnsiTheme="minorEastAsia" w:eastAsiaTheme="minorEastAsia"/>
          <w:color w:val="auto"/>
        </w:rPr>
      </w:pPr>
    </w:p>
    <w:p w14:paraId="0AD37BCD">
      <w:pPr>
        <w:pStyle w:val="12"/>
        <w:tabs>
          <w:tab w:val="left" w:pos="5580"/>
        </w:tabs>
        <w:spacing w:line="240" w:lineRule="atLeast"/>
        <w:rPr>
          <w:rFonts w:cs="宋体" w:asciiTheme="minorEastAsia" w:hAnsiTheme="minorEastAsia" w:eastAsiaTheme="minorEastAsia"/>
          <w:color w:val="auto"/>
        </w:rPr>
      </w:pPr>
    </w:p>
    <w:p w14:paraId="5E0FB907">
      <w:pPr>
        <w:pStyle w:val="12"/>
        <w:tabs>
          <w:tab w:val="left" w:pos="5580"/>
        </w:tabs>
        <w:spacing w:line="240" w:lineRule="atLeast"/>
        <w:rPr>
          <w:rFonts w:cs="宋体" w:asciiTheme="minorEastAsia" w:hAnsiTheme="minorEastAsia" w:eastAsiaTheme="minorEastAsia"/>
          <w:color w:val="auto"/>
        </w:rPr>
      </w:pPr>
    </w:p>
    <w:p w14:paraId="1789E96A">
      <w:pPr>
        <w:pStyle w:val="12"/>
        <w:tabs>
          <w:tab w:val="left" w:pos="5580"/>
        </w:tabs>
        <w:spacing w:line="240" w:lineRule="atLeast"/>
        <w:rPr>
          <w:rFonts w:cs="宋体" w:asciiTheme="minorEastAsia" w:hAnsiTheme="minorEastAsia" w:eastAsiaTheme="minorEastAsia"/>
          <w:color w:val="auto"/>
        </w:rPr>
      </w:pPr>
    </w:p>
    <w:p w14:paraId="45339C3D">
      <w:pPr>
        <w:pStyle w:val="12"/>
        <w:tabs>
          <w:tab w:val="left" w:pos="5580"/>
        </w:tabs>
        <w:spacing w:line="240" w:lineRule="atLeast"/>
        <w:rPr>
          <w:rFonts w:cs="宋体" w:asciiTheme="minorEastAsia" w:hAnsiTheme="minorEastAsia" w:eastAsiaTheme="minorEastAsia"/>
          <w:color w:val="auto"/>
        </w:rPr>
      </w:pPr>
    </w:p>
    <w:p w14:paraId="348D2A54">
      <w:pPr>
        <w:pStyle w:val="12"/>
        <w:tabs>
          <w:tab w:val="left" w:pos="5580"/>
        </w:tabs>
        <w:spacing w:line="240" w:lineRule="atLeast"/>
        <w:rPr>
          <w:rFonts w:cs="宋体" w:asciiTheme="minorEastAsia" w:hAnsiTheme="minorEastAsia" w:eastAsiaTheme="minorEastAsia"/>
          <w:color w:val="auto"/>
        </w:rPr>
      </w:pPr>
    </w:p>
    <w:p w14:paraId="34AD3D76">
      <w:pPr>
        <w:pStyle w:val="12"/>
        <w:tabs>
          <w:tab w:val="left" w:pos="5580"/>
        </w:tabs>
        <w:spacing w:line="240" w:lineRule="atLeast"/>
        <w:rPr>
          <w:rFonts w:cs="宋体" w:asciiTheme="minorEastAsia" w:hAnsiTheme="minorEastAsia" w:eastAsiaTheme="minorEastAsia"/>
          <w:color w:val="auto"/>
        </w:rPr>
      </w:pPr>
    </w:p>
    <w:p w14:paraId="6160CB2F">
      <w:pPr>
        <w:pStyle w:val="12"/>
        <w:tabs>
          <w:tab w:val="left" w:pos="5580"/>
        </w:tabs>
        <w:spacing w:line="240" w:lineRule="atLeast"/>
        <w:rPr>
          <w:rFonts w:cs="宋体" w:asciiTheme="minorEastAsia" w:hAnsiTheme="minorEastAsia" w:eastAsiaTheme="minorEastAsia"/>
          <w:color w:val="auto"/>
        </w:rPr>
      </w:pPr>
    </w:p>
    <w:p w14:paraId="6B68D1A2">
      <w:pPr>
        <w:pStyle w:val="12"/>
        <w:tabs>
          <w:tab w:val="left" w:pos="5580"/>
        </w:tabs>
        <w:spacing w:line="240" w:lineRule="atLeast"/>
        <w:rPr>
          <w:rFonts w:cs="宋体" w:asciiTheme="minorEastAsia" w:hAnsiTheme="minorEastAsia" w:eastAsiaTheme="minorEastAsia"/>
          <w:color w:val="auto"/>
        </w:rPr>
      </w:pPr>
    </w:p>
    <w:p w14:paraId="10F183F4">
      <w:pPr>
        <w:pStyle w:val="12"/>
        <w:tabs>
          <w:tab w:val="left" w:pos="5580"/>
        </w:tabs>
        <w:spacing w:line="240" w:lineRule="atLeast"/>
        <w:rPr>
          <w:rFonts w:cs="宋体" w:asciiTheme="minorEastAsia" w:hAnsiTheme="minorEastAsia" w:eastAsiaTheme="minorEastAsia"/>
          <w:color w:val="auto"/>
        </w:rPr>
      </w:pPr>
    </w:p>
    <w:p w14:paraId="6B087D36">
      <w:pPr>
        <w:pStyle w:val="12"/>
        <w:tabs>
          <w:tab w:val="left" w:pos="5580"/>
        </w:tabs>
        <w:spacing w:line="240" w:lineRule="atLeast"/>
        <w:rPr>
          <w:rFonts w:cs="宋体" w:asciiTheme="minorEastAsia" w:hAnsiTheme="minorEastAsia" w:eastAsiaTheme="minorEastAsia"/>
          <w:color w:val="auto"/>
        </w:rPr>
      </w:pPr>
    </w:p>
    <w:p w14:paraId="1AB28B81">
      <w:pPr>
        <w:pStyle w:val="12"/>
        <w:tabs>
          <w:tab w:val="left" w:pos="5580"/>
        </w:tabs>
        <w:spacing w:line="240" w:lineRule="atLeast"/>
        <w:rPr>
          <w:rFonts w:cs="宋体" w:asciiTheme="minorEastAsia" w:hAnsiTheme="minorEastAsia" w:eastAsiaTheme="minorEastAsia"/>
          <w:color w:val="auto"/>
        </w:rPr>
      </w:pPr>
    </w:p>
    <w:p w14:paraId="7C98C39B">
      <w:pPr>
        <w:pStyle w:val="12"/>
        <w:tabs>
          <w:tab w:val="left" w:pos="5580"/>
        </w:tabs>
        <w:spacing w:line="240" w:lineRule="atLeast"/>
        <w:rPr>
          <w:rFonts w:cs="宋体" w:asciiTheme="minorEastAsia" w:hAnsiTheme="minorEastAsia" w:eastAsiaTheme="minorEastAsia"/>
          <w:color w:val="auto"/>
        </w:rPr>
      </w:pPr>
    </w:p>
    <w:p w14:paraId="69C2972C">
      <w:pPr>
        <w:pStyle w:val="12"/>
        <w:tabs>
          <w:tab w:val="left" w:pos="5580"/>
        </w:tabs>
        <w:spacing w:line="240" w:lineRule="atLeast"/>
        <w:rPr>
          <w:rFonts w:cs="宋体" w:asciiTheme="minorEastAsia" w:hAnsiTheme="minorEastAsia" w:eastAsiaTheme="minorEastAsia"/>
          <w:color w:val="auto"/>
        </w:rPr>
      </w:pPr>
    </w:p>
    <w:p w14:paraId="5894965C">
      <w:pPr>
        <w:pStyle w:val="12"/>
        <w:tabs>
          <w:tab w:val="left" w:pos="5580"/>
        </w:tabs>
        <w:spacing w:line="240" w:lineRule="atLeast"/>
        <w:rPr>
          <w:rFonts w:cs="宋体" w:asciiTheme="minorEastAsia" w:hAnsiTheme="minorEastAsia" w:eastAsiaTheme="minorEastAsia"/>
          <w:color w:val="auto"/>
        </w:rPr>
      </w:pPr>
    </w:p>
    <w:p w14:paraId="21E95B7A">
      <w:pPr>
        <w:pStyle w:val="12"/>
        <w:tabs>
          <w:tab w:val="left" w:pos="5580"/>
        </w:tabs>
        <w:spacing w:line="240" w:lineRule="atLeast"/>
        <w:rPr>
          <w:rFonts w:cs="宋体" w:asciiTheme="minorEastAsia" w:hAnsiTheme="minorEastAsia" w:eastAsiaTheme="minorEastAsia"/>
          <w:color w:val="auto"/>
        </w:rPr>
      </w:pPr>
    </w:p>
    <w:p w14:paraId="7EB0991A">
      <w:pPr>
        <w:pStyle w:val="12"/>
        <w:tabs>
          <w:tab w:val="left" w:pos="5580"/>
        </w:tabs>
        <w:spacing w:line="240" w:lineRule="atLeast"/>
        <w:rPr>
          <w:rFonts w:cs="宋体" w:asciiTheme="minorEastAsia" w:hAnsiTheme="minorEastAsia" w:eastAsiaTheme="minorEastAsia"/>
          <w:color w:val="auto"/>
        </w:rPr>
      </w:pPr>
    </w:p>
    <w:p w14:paraId="295B1410">
      <w:pPr>
        <w:pStyle w:val="12"/>
        <w:tabs>
          <w:tab w:val="left" w:pos="5580"/>
        </w:tabs>
        <w:spacing w:line="240" w:lineRule="atLeast"/>
        <w:rPr>
          <w:rFonts w:cs="宋体" w:asciiTheme="minorEastAsia" w:hAnsiTheme="minorEastAsia" w:eastAsiaTheme="minorEastAsia"/>
          <w:color w:val="auto"/>
        </w:rPr>
      </w:pPr>
    </w:p>
    <w:p w14:paraId="57CC028A">
      <w:pPr>
        <w:pStyle w:val="12"/>
        <w:tabs>
          <w:tab w:val="left" w:pos="5580"/>
        </w:tabs>
        <w:spacing w:line="240" w:lineRule="atLeast"/>
        <w:rPr>
          <w:rFonts w:cs="宋体" w:asciiTheme="minorEastAsia" w:hAnsiTheme="minorEastAsia" w:eastAsiaTheme="minorEastAsia"/>
          <w:color w:val="auto"/>
        </w:rPr>
      </w:pPr>
    </w:p>
    <w:p w14:paraId="1F503946">
      <w:pPr>
        <w:pStyle w:val="12"/>
        <w:tabs>
          <w:tab w:val="left" w:pos="5580"/>
        </w:tabs>
        <w:spacing w:line="240" w:lineRule="atLeast"/>
        <w:rPr>
          <w:rFonts w:cs="宋体" w:asciiTheme="minorEastAsia" w:hAnsiTheme="minorEastAsia" w:eastAsiaTheme="minorEastAsia"/>
          <w:color w:val="auto"/>
        </w:rPr>
      </w:pPr>
    </w:p>
    <w:p w14:paraId="7B80330F">
      <w:pPr>
        <w:pStyle w:val="12"/>
        <w:tabs>
          <w:tab w:val="left" w:pos="5580"/>
        </w:tabs>
        <w:spacing w:line="240" w:lineRule="atLeast"/>
        <w:rPr>
          <w:rFonts w:cs="宋体" w:asciiTheme="minorEastAsia" w:hAnsiTheme="minorEastAsia" w:eastAsiaTheme="minorEastAsia"/>
          <w:color w:val="auto"/>
        </w:rPr>
      </w:pPr>
    </w:p>
    <w:p w14:paraId="13C715AF">
      <w:pPr>
        <w:pStyle w:val="12"/>
        <w:tabs>
          <w:tab w:val="left" w:pos="5580"/>
        </w:tabs>
        <w:spacing w:line="240" w:lineRule="atLeast"/>
        <w:rPr>
          <w:rFonts w:cs="宋体" w:asciiTheme="minorEastAsia" w:hAnsiTheme="minorEastAsia" w:eastAsiaTheme="minorEastAsia"/>
          <w:color w:val="auto"/>
        </w:rPr>
      </w:pPr>
    </w:p>
    <w:p w14:paraId="3ADA5043">
      <w:pPr>
        <w:pStyle w:val="12"/>
        <w:tabs>
          <w:tab w:val="left" w:pos="5580"/>
        </w:tabs>
        <w:spacing w:line="240" w:lineRule="atLeast"/>
        <w:rPr>
          <w:rFonts w:cs="宋体" w:asciiTheme="minorEastAsia" w:hAnsiTheme="minorEastAsia" w:eastAsiaTheme="minorEastAsia"/>
          <w:color w:val="auto"/>
        </w:rPr>
      </w:pPr>
    </w:p>
    <w:p w14:paraId="1B2CFD3E">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br w:type="page"/>
      </w:r>
    </w:p>
    <w:p w14:paraId="1B2447C8">
      <w:pPr>
        <w:pStyle w:val="10"/>
        <w:tabs>
          <w:tab w:val="left" w:pos="567"/>
        </w:tabs>
        <w:rPr>
          <w:color w:val="auto"/>
        </w:rPr>
      </w:pPr>
    </w:p>
    <w:p w14:paraId="20FDEDD8">
      <w:pPr>
        <w:pStyle w:val="4"/>
        <w:spacing w:line="240" w:lineRule="atLeast"/>
        <w:rPr>
          <w:rFonts w:ascii="宋体" w:hAnsi="宋体" w:eastAsia="宋体" w:cs="宋体"/>
          <w:color w:val="auto"/>
          <w:sz w:val="24"/>
        </w:rPr>
      </w:pPr>
      <w:bookmarkStart w:id="514" w:name="_Toc14998"/>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 xml:space="preserve"> </w:t>
      </w:r>
      <w:r>
        <w:rPr>
          <w:rFonts w:hint="eastAsia" w:ascii="宋体" w:hAnsi="宋体" w:eastAsia="宋体" w:cs="宋体"/>
          <w:color w:val="auto"/>
          <w:sz w:val="24"/>
        </w:rPr>
        <w:t>法人或者非法人组织的事业单位法人证书或工商营业执照等证明文件</w:t>
      </w:r>
      <w:bookmarkEnd w:id="514"/>
    </w:p>
    <w:p w14:paraId="6CBBBD0E">
      <w:pPr>
        <w:pStyle w:val="12"/>
        <w:tabs>
          <w:tab w:val="left" w:pos="5580"/>
        </w:tabs>
        <w:spacing w:line="240" w:lineRule="atLeast"/>
        <w:ind w:left="1105" w:leftChars="257" w:hanging="540"/>
        <w:jc w:val="center"/>
        <w:rPr>
          <w:rFonts w:hAnsi="宋体" w:cs="宋体"/>
          <w:b/>
          <w:color w:val="auto"/>
        </w:rPr>
      </w:pPr>
    </w:p>
    <w:p w14:paraId="05858477">
      <w:pPr>
        <w:pStyle w:val="12"/>
        <w:tabs>
          <w:tab w:val="left" w:pos="5580"/>
        </w:tabs>
        <w:spacing w:line="240" w:lineRule="atLeast"/>
        <w:ind w:left="1105" w:leftChars="257" w:hanging="540"/>
        <w:rPr>
          <w:rFonts w:hAnsi="宋体" w:cs="宋体"/>
          <w:b/>
          <w:color w:val="auto"/>
        </w:rPr>
      </w:pPr>
    </w:p>
    <w:p w14:paraId="7FEA3BFC">
      <w:pPr>
        <w:pStyle w:val="12"/>
        <w:tabs>
          <w:tab w:val="left" w:pos="5580"/>
        </w:tabs>
        <w:spacing w:line="240" w:lineRule="atLeast"/>
        <w:ind w:left="1105" w:leftChars="257" w:hanging="540"/>
        <w:rPr>
          <w:rFonts w:hAnsi="宋体" w:cs="宋体"/>
          <w:b/>
          <w:color w:val="auto"/>
        </w:rPr>
      </w:pPr>
    </w:p>
    <w:p w14:paraId="5809801F">
      <w:pPr>
        <w:pStyle w:val="12"/>
        <w:tabs>
          <w:tab w:val="left" w:pos="5580"/>
        </w:tabs>
        <w:spacing w:line="240" w:lineRule="atLeast"/>
        <w:ind w:left="1105" w:leftChars="257" w:hanging="540"/>
        <w:rPr>
          <w:rFonts w:hAnsi="宋体" w:cs="宋体"/>
          <w:color w:val="auto"/>
        </w:rPr>
      </w:pPr>
      <w:r>
        <w:rPr>
          <w:rFonts w:hint="eastAsia" w:hAnsi="宋体" w:cs="宋体"/>
          <w:color w:val="auto"/>
        </w:rPr>
        <w:t>说明：1.提供有效的事业单位法人证书或工商营业执照等证明文件复印件，复印件上应加盖本单位章。</w:t>
      </w:r>
    </w:p>
    <w:p w14:paraId="44C47AAD">
      <w:pPr>
        <w:pStyle w:val="12"/>
        <w:tabs>
          <w:tab w:val="left" w:pos="5580"/>
        </w:tabs>
        <w:spacing w:line="240" w:lineRule="atLeast"/>
        <w:ind w:left="1105" w:leftChars="257" w:hanging="540"/>
        <w:rPr>
          <w:rFonts w:hAnsi="宋体" w:cs="宋体"/>
          <w:color w:val="auto"/>
        </w:rPr>
      </w:pPr>
      <w:r>
        <w:rPr>
          <w:rFonts w:hint="eastAsia" w:hAnsi="宋体" w:cs="宋体"/>
          <w:color w:val="auto"/>
        </w:rPr>
        <w:t xml:space="preserve">      2. 投标人为自然人的，应提供身份证明的复印件。</w:t>
      </w:r>
    </w:p>
    <w:p w14:paraId="241398F3">
      <w:pPr>
        <w:pStyle w:val="12"/>
        <w:tabs>
          <w:tab w:val="left" w:pos="5580"/>
        </w:tabs>
        <w:spacing w:line="240" w:lineRule="atLeast"/>
        <w:ind w:left="1105" w:leftChars="257" w:hanging="540"/>
        <w:rPr>
          <w:rFonts w:hAnsi="宋体" w:cs="宋体"/>
          <w:color w:val="auto"/>
        </w:rPr>
      </w:pPr>
      <w:r>
        <w:rPr>
          <w:rFonts w:hint="eastAsia" w:hAnsi="宋体" w:cs="宋体"/>
          <w:color w:val="auto"/>
        </w:rPr>
        <w:t xml:space="preserve">      3.联合体投标应提供联合体各方满足以上要求的证明文件。</w:t>
      </w:r>
      <w:bookmarkStart w:id="515" w:name="_Toc1957"/>
      <w:bookmarkStart w:id="516" w:name="_Toc17577"/>
      <w:bookmarkStart w:id="517" w:name="_Toc6475"/>
      <w:bookmarkStart w:id="518" w:name="_Toc28979"/>
      <w:bookmarkStart w:id="519" w:name="_Toc3087"/>
      <w:bookmarkStart w:id="520" w:name="_Toc32302"/>
      <w:bookmarkStart w:id="521" w:name="_Toc29899"/>
      <w:bookmarkStart w:id="522" w:name="_Toc515647805"/>
    </w:p>
    <w:p w14:paraId="67E90AF6">
      <w:pPr>
        <w:rPr>
          <w:rFonts w:hAnsi="宋体" w:cs="宋体"/>
          <w:color w:val="auto"/>
          <w:sz w:val="24"/>
        </w:rPr>
      </w:pPr>
      <w:r>
        <w:rPr>
          <w:rFonts w:hint="eastAsia" w:hAnsi="宋体" w:cs="宋体"/>
          <w:color w:val="auto"/>
          <w:sz w:val="24"/>
        </w:rPr>
        <w:br w:type="page"/>
      </w:r>
    </w:p>
    <w:p w14:paraId="301F6777">
      <w:pPr>
        <w:pStyle w:val="12"/>
        <w:tabs>
          <w:tab w:val="left" w:pos="5580"/>
        </w:tabs>
        <w:spacing w:line="240" w:lineRule="atLeast"/>
        <w:ind w:left="1105" w:leftChars="257" w:hanging="540"/>
        <w:rPr>
          <w:rFonts w:hAnsi="宋体" w:cs="宋体"/>
          <w:color w:val="auto"/>
        </w:rPr>
      </w:pPr>
    </w:p>
    <w:p w14:paraId="66ED5949">
      <w:pPr>
        <w:pStyle w:val="4"/>
        <w:spacing w:before="0" w:line="240" w:lineRule="atLeast"/>
        <w:rPr>
          <w:rFonts w:cs="宋体" w:asciiTheme="minorEastAsia" w:hAnsiTheme="minorEastAsia" w:eastAsiaTheme="minorEastAsia"/>
          <w:color w:val="auto"/>
          <w:sz w:val="24"/>
        </w:rPr>
      </w:pPr>
      <w:bookmarkStart w:id="523" w:name="_Toc31203"/>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 xml:space="preserve">  </w:t>
      </w:r>
      <w:bookmarkEnd w:id="515"/>
      <w:bookmarkEnd w:id="516"/>
      <w:bookmarkEnd w:id="517"/>
      <w:bookmarkEnd w:id="518"/>
      <w:bookmarkEnd w:id="519"/>
      <w:bookmarkEnd w:id="520"/>
      <w:bookmarkEnd w:id="521"/>
      <w:bookmarkEnd w:id="522"/>
      <w:r>
        <w:rPr>
          <w:rFonts w:hint="eastAsia" w:cs="宋体" w:asciiTheme="minorEastAsia" w:hAnsiTheme="minorEastAsia" w:eastAsiaTheme="minorEastAsia"/>
          <w:color w:val="auto"/>
          <w:sz w:val="24"/>
        </w:rPr>
        <w:t>法定代表人身份证明</w:t>
      </w:r>
      <w:bookmarkEnd w:id="523"/>
    </w:p>
    <w:p w14:paraId="2F04D0EA">
      <w:pPr>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 </w:t>
      </w:r>
    </w:p>
    <w:p w14:paraId="5D88E7C6">
      <w:pPr>
        <w:ind w:firstLine="960" w:firstLineChars="4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同志，现任我单位          职务，为法定代表人，特此证明。</w:t>
      </w:r>
    </w:p>
    <w:p w14:paraId="4538A78D">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签发日期：                  单位：           （盖章）</w:t>
      </w:r>
    </w:p>
    <w:p w14:paraId="4551138E">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附：代表人性别：            年龄：           身份证号码：</w:t>
      </w:r>
    </w:p>
    <w:p w14:paraId="4023B5EA">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联系电话：</w:t>
      </w:r>
    </w:p>
    <w:p w14:paraId="6A7873A1">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事业单位法人证书或工商营业执照号码：              </w:t>
      </w:r>
    </w:p>
    <w:p w14:paraId="1E89DFC7">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说明：</w:t>
      </w:r>
    </w:p>
    <w:p w14:paraId="36EBADC9">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1、法定代表人为企业事业单位、国家机关、社会团体的主要行政负责人。</w:t>
      </w:r>
    </w:p>
    <w:p w14:paraId="0FAC342D">
      <w:pPr>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  2、内容必须填写真实、清楚、涂改无效，不得转让。</w:t>
      </w:r>
    </w:p>
    <w:p w14:paraId="1F704756">
      <w:pPr>
        <w:ind w:firstLine="240" w:firstLineChars="100"/>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3、将此证明书原件提交采购代理机构作为磋商响应文件附件。</w:t>
      </w:r>
    </w:p>
    <w:p w14:paraId="38AA82B6">
      <w:pPr>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  (为避免废标，请供应商务必提供本附件)</w:t>
      </w:r>
    </w:p>
    <w:p w14:paraId="1E761829">
      <w:pPr>
        <w:rPr>
          <w:rFonts w:cs="宋体" w:asciiTheme="minorEastAsia" w:hAnsiTheme="minorEastAsia" w:eastAsiaTheme="minorEastAsia"/>
          <w:color w:val="auto"/>
          <w:sz w:val="24"/>
          <w:szCs w:val="20"/>
        </w:rPr>
      </w:pPr>
    </w:p>
    <w:p w14:paraId="6BE88432">
      <w:pPr>
        <w:rPr>
          <w:rFonts w:cs="宋体" w:asciiTheme="minorEastAsia" w:hAnsiTheme="minorEastAsia" w:eastAsiaTheme="minorEastAsia"/>
          <w:color w:val="auto"/>
          <w:sz w:val="24"/>
          <w:szCs w:val="20"/>
        </w:rPr>
      </w:pPr>
      <w:r>
        <w:rPr>
          <w:rFonts w:cs="宋体" w:asciiTheme="minorEastAsia" w:hAnsiTheme="minorEastAsia" w:eastAsiaTheme="minorEastAsia"/>
          <w:color w:val="auto"/>
          <w:sz w:val="24"/>
          <w:szCs w:val="20"/>
        </w:rPr>
        <w:pict>
          <v:roundrect id="_x0000_s1032" o:spid="_x0000_s1032" o:spt="2" style="position:absolute;left:0pt;margin-left:229.8pt;margin-top:3.65pt;height:95.5pt;width:163.55pt;z-index:251665408;mso-width-relative:page;mso-height-relative:page;"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path/>
            <v:fill focussize="0,0"/>
            <v:stroke weight="1.25pt" color="#808080"/>
            <v:imagedata o:title=""/>
            <o:lock v:ext="edit"/>
            <v:textbox>
              <w:txbxContent>
                <w:p w14:paraId="5A6D8B3D">
                  <w:pPr>
                    <w:jc w:val="center"/>
                    <w:rPr>
                      <w:rFonts w:hAnsi="宋体"/>
                      <w:szCs w:val="21"/>
                    </w:rPr>
                  </w:pPr>
                  <w:r>
                    <w:rPr>
                      <w:rFonts w:hint="eastAsia" w:hAnsi="宋体"/>
                      <w:szCs w:val="21"/>
                    </w:rPr>
                    <w:t xml:space="preserve">  </w:t>
                  </w:r>
                </w:p>
                <w:p w14:paraId="0DE16116">
                  <w:pPr>
                    <w:jc w:val="center"/>
                    <w:rPr>
                      <w:rFonts w:hAnsi="宋体"/>
                      <w:szCs w:val="21"/>
                    </w:rPr>
                  </w:pPr>
                </w:p>
                <w:p w14:paraId="20931851">
                  <w:pPr>
                    <w:jc w:val="center"/>
                    <w:rPr>
                      <w:rFonts w:hAnsi="宋体"/>
                      <w:szCs w:val="21"/>
                    </w:rPr>
                  </w:pPr>
                </w:p>
                <w:p w14:paraId="2D55C146">
                  <w:pPr>
                    <w:jc w:val="center"/>
                    <w:rPr>
                      <w:szCs w:val="21"/>
                    </w:rPr>
                  </w:pPr>
                  <w:r>
                    <w:rPr>
                      <w:rFonts w:hint="eastAsia" w:hAnsi="宋体"/>
                      <w:szCs w:val="21"/>
                    </w:rPr>
                    <w:t>法定代表人身份证复印件</w:t>
                  </w:r>
                </w:p>
                <w:p w14:paraId="6388AB9A"/>
                <w:p w14:paraId="01EF60E4">
                  <w:pPr>
                    <w:pStyle w:val="7"/>
                    <w:ind w:firstLine="440"/>
                  </w:pPr>
                </w:p>
                <w:p w14:paraId="1BD024DC">
                  <w:pPr>
                    <w:pStyle w:val="7"/>
                    <w:ind w:firstLine="440"/>
                  </w:pPr>
                </w:p>
                <w:p w14:paraId="05FBE111">
                  <w:pPr>
                    <w:pStyle w:val="7"/>
                    <w:ind w:firstLine="440"/>
                  </w:pPr>
                </w:p>
                <w:p w14:paraId="31ECB787">
                  <w:pPr>
                    <w:pStyle w:val="7"/>
                    <w:ind w:firstLine="440"/>
                  </w:pPr>
                </w:p>
              </w:txbxContent>
            </v:textbox>
          </v:roundrect>
        </w:pict>
      </w:r>
      <w:r>
        <w:rPr>
          <w:rFonts w:cs="宋体" w:asciiTheme="minorEastAsia" w:hAnsiTheme="minorEastAsia" w:eastAsiaTheme="minorEastAsia"/>
          <w:color w:val="auto"/>
          <w:sz w:val="24"/>
          <w:szCs w:val="20"/>
        </w:rPr>
        <w:pict>
          <v:shape id="_x0000_s1033" o:spid="_x0000_s1033" o:spt="176" type="#_x0000_t176" style="position:absolute;left:0pt;margin-left:12.15pt;margin-top:3.6pt;height:98.1pt;width:166.5pt;z-index:251664384;mso-width-relative:page;mso-height-relative:page;"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path/>
            <v:fill focussize="0,0"/>
            <v:stroke joinstyle="miter"/>
            <v:imagedata o:title=""/>
            <o:lock v:ext="edit"/>
            <v:textbox>
              <w:txbxContent>
                <w:p w14:paraId="4AB9B90C">
                  <w:pPr>
                    <w:jc w:val="center"/>
                    <w:rPr>
                      <w:rFonts w:hAnsi="宋体"/>
                      <w:szCs w:val="21"/>
                    </w:rPr>
                  </w:pPr>
                </w:p>
                <w:p w14:paraId="648AC838">
                  <w:pPr>
                    <w:jc w:val="center"/>
                    <w:rPr>
                      <w:rFonts w:hAnsi="宋体"/>
                      <w:szCs w:val="21"/>
                    </w:rPr>
                  </w:pPr>
                </w:p>
                <w:p w14:paraId="669F0BA8">
                  <w:pPr>
                    <w:jc w:val="center"/>
                    <w:rPr>
                      <w:rFonts w:hAnsi="宋体"/>
                      <w:szCs w:val="21"/>
                    </w:rPr>
                  </w:pPr>
                </w:p>
                <w:p w14:paraId="2DCDBD96">
                  <w:pPr>
                    <w:jc w:val="center"/>
                    <w:rPr>
                      <w:szCs w:val="21"/>
                    </w:rPr>
                  </w:pPr>
                  <w:r>
                    <w:rPr>
                      <w:rFonts w:hint="eastAsia" w:hAnsi="宋体"/>
                      <w:szCs w:val="21"/>
                    </w:rPr>
                    <w:t>法定代表人身份证复印件</w:t>
                  </w:r>
                </w:p>
              </w:txbxContent>
            </v:textbox>
          </v:shape>
        </w:pict>
      </w:r>
    </w:p>
    <w:p w14:paraId="0850A741">
      <w:pPr>
        <w:rPr>
          <w:rFonts w:cs="宋体" w:asciiTheme="minorEastAsia" w:hAnsiTheme="minorEastAsia" w:eastAsiaTheme="minorEastAsia"/>
          <w:color w:val="auto"/>
          <w:sz w:val="24"/>
          <w:szCs w:val="20"/>
        </w:rPr>
      </w:pPr>
    </w:p>
    <w:p w14:paraId="6AF00069">
      <w:pPr>
        <w:adjustRightInd w:val="0"/>
        <w:ind w:right="246"/>
        <w:rPr>
          <w:rFonts w:cs="宋体" w:asciiTheme="minorEastAsia" w:hAnsiTheme="minorEastAsia" w:eastAsiaTheme="minorEastAsia"/>
          <w:color w:val="auto"/>
          <w:sz w:val="24"/>
          <w:szCs w:val="20"/>
        </w:rPr>
      </w:pPr>
    </w:p>
    <w:p w14:paraId="253DD29D">
      <w:pPr>
        <w:adjustRightInd w:val="0"/>
        <w:ind w:right="246" w:firstLine="784" w:firstLineChars="327"/>
        <w:rPr>
          <w:rFonts w:cs="宋体" w:asciiTheme="minorEastAsia" w:hAnsiTheme="minorEastAsia" w:eastAsiaTheme="minorEastAsia"/>
          <w:color w:val="auto"/>
          <w:sz w:val="24"/>
          <w:szCs w:val="20"/>
        </w:rPr>
      </w:pPr>
    </w:p>
    <w:p w14:paraId="1BE74D06">
      <w:pPr>
        <w:adjustRightInd w:val="0"/>
        <w:ind w:right="246" w:firstLine="784" w:firstLineChars="327"/>
        <w:rPr>
          <w:rFonts w:cs="宋体" w:asciiTheme="minorEastAsia" w:hAnsiTheme="minorEastAsia" w:eastAsiaTheme="minorEastAsia"/>
          <w:color w:val="auto"/>
          <w:sz w:val="24"/>
          <w:szCs w:val="20"/>
        </w:rPr>
      </w:pPr>
    </w:p>
    <w:p w14:paraId="5E372023">
      <w:pPr>
        <w:adjustRightInd w:val="0"/>
        <w:ind w:right="246" w:firstLine="784" w:firstLineChars="327"/>
        <w:rPr>
          <w:rFonts w:cs="宋体" w:asciiTheme="minorEastAsia" w:hAnsiTheme="minorEastAsia" w:eastAsiaTheme="minorEastAsia"/>
          <w:color w:val="auto"/>
          <w:sz w:val="24"/>
          <w:szCs w:val="20"/>
        </w:rPr>
      </w:pPr>
    </w:p>
    <w:p w14:paraId="4A0A9594">
      <w:pPr>
        <w:adjustRightInd w:val="0"/>
        <w:ind w:right="246" w:firstLine="784" w:firstLineChars="327"/>
        <w:rPr>
          <w:rFonts w:cs="宋体" w:asciiTheme="minorEastAsia" w:hAnsiTheme="minorEastAsia" w:eastAsiaTheme="minorEastAsia"/>
          <w:color w:val="auto"/>
          <w:sz w:val="24"/>
          <w:szCs w:val="20"/>
        </w:rPr>
      </w:pPr>
    </w:p>
    <w:p w14:paraId="7092F985">
      <w:pPr>
        <w:adjustRightInd w:val="0"/>
        <w:ind w:right="246" w:firstLine="784" w:firstLineChars="327"/>
        <w:rPr>
          <w:rFonts w:cs="宋体" w:asciiTheme="minorEastAsia" w:hAnsiTheme="minorEastAsia" w:eastAsiaTheme="minorEastAsia"/>
          <w:color w:val="auto"/>
          <w:sz w:val="24"/>
          <w:szCs w:val="20"/>
        </w:rPr>
      </w:pPr>
    </w:p>
    <w:p w14:paraId="208FA8A5">
      <w:pPr>
        <w:adjustRightInd w:val="0"/>
        <w:ind w:right="246" w:firstLine="784" w:firstLineChars="327"/>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供应商（盖章）：                              </w:t>
      </w:r>
    </w:p>
    <w:p w14:paraId="18D52ECA">
      <w:pPr>
        <w:adjustRightInd w:val="0"/>
        <w:snapToGrid w:val="0"/>
        <w:ind w:firstLine="784" w:firstLineChars="327"/>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法定代表人签字或盖章：                    </w:t>
      </w:r>
    </w:p>
    <w:p w14:paraId="5C5B14B7">
      <w:pPr>
        <w:adjustRightInd w:val="0"/>
        <w:snapToGrid w:val="0"/>
        <w:ind w:firstLine="784" w:firstLineChars="327"/>
        <w:rPr>
          <w:rFonts w:cs="宋体" w:asciiTheme="minorEastAsia" w:hAnsiTheme="minorEastAsia" w:eastAsiaTheme="minorEastAsia"/>
          <w:color w:val="auto"/>
          <w:sz w:val="24"/>
          <w:szCs w:val="20"/>
        </w:rPr>
      </w:pPr>
      <w:r>
        <w:rPr>
          <w:rFonts w:hint="eastAsia" w:cs="宋体" w:asciiTheme="minorEastAsia" w:hAnsiTheme="minorEastAsia" w:eastAsiaTheme="minorEastAsia"/>
          <w:color w:val="auto"/>
          <w:sz w:val="24"/>
          <w:szCs w:val="20"/>
        </w:rPr>
        <w:t xml:space="preserve">日期：                                       </w:t>
      </w:r>
    </w:p>
    <w:p w14:paraId="7145146B">
      <w:pPr>
        <w:pStyle w:val="12"/>
        <w:tabs>
          <w:tab w:val="left" w:pos="5580"/>
        </w:tabs>
        <w:rPr>
          <w:rFonts w:cs="宋体" w:asciiTheme="minorEastAsia" w:hAnsiTheme="minorEastAsia" w:eastAsiaTheme="minorEastAsia"/>
          <w:color w:val="auto"/>
        </w:rPr>
      </w:pPr>
    </w:p>
    <w:p w14:paraId="0BDC081F">
      <w:pPr>
        <w:pStyle w:val="12"/>
        <w:tabs>
          <w:tab w:val="left" w:pos="5580"/>
        </w:tabs>
        <w:rPr>
          <w:rFonts w:cs="宋体" w:asciiTheme="minorEastAsia" w:hAnsiTheme="minorEastAsia" w:eastAsiaTheme="minorEastAsia"/>
          <w:color w:val="auto"/>
        </w:rPr>
      </w:pPr>
    </w:p>
    <w:p w14:paraId="0A5172C3">
      <w:pPr>
        <w:pStyle w:val="12"/>
        <w:tabs>
          <w:tab w:val="left" w:pos="5580"/>
        </w:tabs>
        <w:rPr>
          <w:rFonts w:cs="宋体" w:asciiTheme="minorEastAsia" w:hAnsiTheme="minorEastAsia" w:eastAsiaTheme="minorEastAsia"/>
          <w:color w:val="auto"/>
        </w:rPr>
      </w:pPr>
      <w:r>
        <w:rPr>
          <w:rFonts w:hint="eastAsia" w:cs="宋体" w:asciiTheme="minorEastAsia" w:hAnsiTheme="minorEastAsia" w:eastAsiaTheme="minorEastAsia"/>
          <w:color w:val="auto"/>
        </w:rPr>
        <w:t>说明：1.提供有效的事业单位法人证书或工商营业执照等证明文件复印件，复印件上应加盖本单位章。</w:t>
      </w:r>
    </w:p>
    <w:p w14:paraId="055FC6B1">
      <w:pPr>
        <w:pStyle w:val="12"/>
        <w:tabs>
          <w:tab w:val="left" w:pos="5580"/>
        </w:tabs>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2. 供应商为自然人的，应提供身份证明的复印件。</w:t>
      </w:r>
    </w:p>
    <w:p w14:paraId="64FF93B1">
      <w:pPr>
        <w:pStyle w:val="12"/>
        <w:tabs>
          <w:tab w:val="left" w:pos="5580"/>
        </w:tabs>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3.联合体提交响应文件应提供联合体各方满足以上要求的证明文件。</w:t>
      </w:r>
    </w:p>
    <w:p w14:paraId="68193CC5">
      <w:pPr>
        <w:pStyle w:val="12"/>
        <w:tabs>
          <w:tab w:val="left" w:pos="5580"/>
        </w:tabs>
        <w:spacing w:line="240" w:lineRule="atLeast"/>
        <w:rPr>
          <w:rFonts w:cs="宋体" w:asciiTheme="minorEastAsia" w:hAnsiTheme="minorEastAsia" w:eastAsiaTheme="minorEastAsia"/>
          <w:color w:val="auto"/>
        </w:rPr>
      </w:pPr>
      <w:bookmarkStart w:id="524" w:name="_Toc515647808"/>
      <w:bookmarkStart w:id="525" w:name="_Toc7039"/>
      <w:bookmarkStart w:id="526" w:name="_Toc32520"/>
      <w:r>
        <w:rPr>
          <w:rFonts w:hint="eastAsia" w:cs="宋体" w:asciiTheme="minorEastAsia" w:hAnsiTheme="minorEastAsia" w:eastAsiaTheme="minorEastAsia"/>
          <w:color w:val="auto"/>
        </w:rPr>
        <w:t xml:space="preserve"> </w:t>
      </w:r>
    </w:p>
    <w:p w14:paraId="44A97D74">
      <w:pPr>
        <w:pStyle w:val="12"/>
        <w:tabs>
          <w:tab w:val="left" w:pos="5580"/>
        </w:tabs>
        <w:spacing w:line="240" w:lineRule="atLeast"/>
        <w:rPr>
          <w:rFonts w:cs="宋体" w:asciiTheme="minorEastAsia" w:hAnsiTheme="minorEastAsia" w:eastAsiaTheme="minorEastAsia"/>
          <w:color w:val="auto"/>
        </w:rPr>
      </w:pPr>
    </w:p>
    <w:p w14:paraId="10F997BC">
      <w:pPr>
        <w:rPr>
          <w:rFonts w:cs="宋体" w:asciiTheme="minorEastAsia" w:hAnsiTheme="minorEastAsia" w:eastAsiaTheme="minorEastAsia"/>
          <w:color w:val="auto"/>
          <w:sz w:val="24"/>
        </w:rPr>
      </w:pPr>
      <w:bookmarkStart w:id="527" w:name="_Toc22472"/>
      <w:bookmarkStart w:id="528" w:name="_Toc21867"/>
      <w:bookmarkStart w:id="529" w:name="_Toc6829"/>
      <w:bookmarkStart w:id="530" w:name="_Toc1083"/>
      <w:bookmarkStart w:id="531" w:name="_Toc515647807"/>
      <w:bookmarkStart w:id="532" w:name="_Toc5436"/>
      <w:bookmarkStart w:id="533" w:name="_Toc16640"/>
      <w:r>
        <w:rPr>
          <w:rFonts w:hint="eastAsia" w:cs="宋体" w:asciiTheme="minorEastAsia" w:hAnsiTheme="minorEastAsia" w:eastAsiaTheme="minorEastAsia"/>
          <w:color w:val="auto"/>
          <w:sz w:val="24"/>
        </w:rPr>
        <w:br w:type="page"/>
      </w:r>
    </w:p>
    <w:p w14:paraId="5D990A13">
      <w:pPr>
        <w:pStyle w:val="4"/>
        <w:spacing w:before="0" w:line="240" w:lineRule="atLeast"/>
        <w:rPr>
          <w:rFonts w:cs="宋体" w:asciiTheme="minorEastAsia" w:hAnsiTheme="minorEastAsia" w:eastAsiaTheme="minorEastAsia"/>
          <w:b w:val="0"/>
          <w:color w:val="auto"/>
          <w:sz w:val="24"/>
          <w:u w:val="single"/>
        </w:rPr>
      </w:pPr>
      <w:bookmarkStart w:id="534" w:name="_Toc7395"/>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 xml:space="preserve"> .1 法定代表人授权委托书(响应文件格式二，自然人投标的无需提供)</w:t>
      </w:r>
      <w:bookmarkEnd w:id="527"/>
      <w:bookmarkEnd w:id="528"/>
      <w:bookmarkEnd w:id="529"/>
      <w:bookmarkEnd w:id="530"/>
      <w:bookmarkEnd w:id="531"/>
      <w:bookmarkEnd w:id="532"/>
      <w:bookmarkEnd w:id="533"/>
      <w:bookmarkEnd w:id="534"/>
    </w:p>
    <w:p w14:paraId="2659FBFC">
      <w:pPr>
        <w:pStyle w:val="12"/>
        <w:tabs>
          <w:tab w:val="left" w:pos="5580"/>
        </w:tabs>
        <w:spacing w:line="240" w:lineRule="atLeast"/>
        <w:ind w:firstLine="48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14:paraId="5F70CE7B">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本授权书于           年      月      日签字生效,特此声明。</w:t>
      </w:r>
    </w:p>
    <w:p w14:paraId="6A2ABC8C">
      <w:pPr>
        <w:pStyle w:val="12"/>
        <w:tabs>
          <w:tab w:val="left" w:pos="5580"/>
        </w:tabs>
        <w:spacing w:line="240" w:lineRule="atLeast"/>
        <w:ind w:left="1105" w:leftChars="257" w:hanging="540"/>
        <w:rPr>
          <w:rFonts w:cs="宋体" w:asciiTheme="minorEastAsia" w:hAnsiTheme="minorEastAsia" w:eastAsiaTheme="minorEastAsia"/>
          <w:color w:val="auto"/>
        </w:rPr>
      </w:pPr>
    </w:p>
    <w:p w14:paraId="421A107F">
      <w:pPr>
        <w:pStyle w:val="12"/>
        <w:tabs>
          <w:tab w:val="left" w:pos="5580"/>
        </w:tabs>
        <w:spacing w:line="240" w:lineRule="atLeast"/>
        <w:ind w:left="1105" w:leftChars="257" w:hanging="540"/>
        <w:rPr>
          <w:rFonts w:cs="宋体" w:asciiTheme="minorEastAsia" w:hAnsiTheme="minorEastAsia" w:eastAsiaTheme="minorEastAsia"/>
          <w:color w:val="auto"/>
        </w:rPr>
      </w:pPr>
      <w:r>
        <w:rPr>
          <w:rFonts w:cs="宋体" w:asciiTheme="minorEastAsia" w:hAnsiTheme="minorEastAsia" w:eastAsiaTheme="minorEastAsia"/>
          <w:color w:val="auto"/>
        </w:rPr>
        <w:pict>
          <v:roundrect id="_x0000_s1034" o:spid="_x0000_s1034" o:spt="2" style="position:absolute;left:0pt;margin-left:239.3pt;margin-top:11.85pt;height:74.35pt;width:195.15pt;z-index:251667456;mso-width-relative:page;mso-height-relative:page;"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path/>
            <v:fill focussize="0,0"/>
            <v:stroke weight="1.25pt" color="#808080"/>
            <v:imagedata o:title=""/>
            <o:lock v:ext="edit"/>
            <v:textbox>
              <w:txbxContent>
                <w:p w14:paraId="5C47AD3C">
                  <w:pPr>
                    <w:rPr>
                      <w:rFonts w:hAnsi="宋体"/>
                    </w:rPr>
                  </w:pPr>
                </w:p>
                <w:p w14:paraId="6D1EFD3C">
                  <w:pPr>
                    <w:rPr>
                      <w:rFonts w:hAnsi="宋体"/>
                    </w:rPr>
                  </w:pPr>
                </w:p>
                <w:p w14:paraId="61FE7B47">
                  <w:r>
                    <w:rPr>
                      <w:rFonts w:hint="eastAsia" w:hAnsi="宋体"/>
                    </w:rPr>
                    <w:t>授权委托人身份证复印件</w:t>
                  </w:r>
                </w:p>
                <w:p w14:paraId="248A2EB7"/>
              </w:txbxContent>
            </v:textbox>
          </v:roundrect>
        </w:pict>
      </w:r>
      <w:r>
        <w:rPr>
          <w:rFonts w:cs="宋体" w:asciiTheme="minorEastAsia" w:hAnsiTheme="minorEastAsia" w:eastAsiaTheme="minorEastAsia"/>
          <w:color w:val="auto"/>
        </w:rPr>
        <w:pict>
          <v:shape id="_x0000_s1035" o:spid="_x0000_s1035" o:spt="176" type="#_x0000_t176" style="position:absolute;left:0pt;margin-left:1.65pt;margin-top:8.05pt;height:77.05pt;width:197.45pt;z-index:251666432;mso-width-relative:page;mso-height-relative:page;"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path/>
            <v:fill focussize="0,0"/>
            <v:stroke joinstyle="miter"/>
            <v:imagedata o:title=""/>
            <o:lock v:ext="edit"/>
            <v:textbox>
              <w:txbxContent>
                <w:p w14:paraId="3783FD6C">
                  <w:pPr>
                    <w:jc w:val="center"/>
                    <w:rPr>
                      <w:rFonts w:hAnsi="宋体"/>
                    </w:rPr>
                  </w:pPr>
                </w:p>
                <w:p w14:paraId="6F9A875E">
                  <w:pPr>
                    <w:jc w:val="center"/>
                    <w:rPr>
                      <w:rFonts w:hAnsi="宋体"/>
                    </w:rPr>
                  </w:pPr>
                </w:p>
                <w:p w14:paraId="48AEE546">
                  <w:pPr>
                    <w:jc w:val="center"/>
                  </w:pPr>
                  <w:r>
                    <w:rPr>
                      <w:rFonts w:hint="eastAsia" w:hAnsi="宋体"/>
                    </w:rPr>
                    <w:t>授权委托人身份证复印件</w:t>
                  </w:r>
                </w:p>
              </w:txbxContent>
            </v:textbox>
          </v:shape>
        </w:pict>
      </w:r>
    </w:p>
    <w:p w14:paraId="7DA7D3C0">
      <w:pPr>
        <w:pStyle w:val="12"/>
        <w:tabs>
          <w:tab w:val="left" w:pos="5580"/>
        </w:tabs>
        <w:spacing w:line="240" w:lineRule="atLeast"/>
        <w:rPr>
          <w:rFonts w:cs="宋体" w:asciiTheme="minorEastAsia" w:hAnsiTheme="minorEastAsia" w:eastAsiaTheme="minorEastAsia"/>
          <w:color w:val="auto"/>
        </w:rPr>
      </w:pPr>
    </w:p>
    <w:p w14:paraId="3626B63A">
      <w:pPr>
        <w:pStyle w:val="12"/>
        <w:tabs>
          <w:tab w:val="left" w:pos="5580"/>
        </w:tabs>
        <w:spacing w:line="240" w:lineRule="atLeast"/>
        <w:rPr>
          <w:rFonts w:cs="宋体" w:asciiTheme="minorEastAsia" w:hAnsiTheme="minorEastAsia" w:eastAsiaTheme="minorEastAsia"/>
          <w:color w:val="auto"/>
        </w:rPr>
      </w:pPr>
    </w:p>
    <w:p w14:paraId="13604158">
      <w:pPr>
        <w:pStyle w:val="12"/>
        <w:tabs>
          <w:tab w:val="left" w:pos="5580"/>
        </w:tabs>
        <w:spacing w:line="240" w:lineRule="atLeast"/>
        <w:ind w:left="1105" w:leftChars="257" w:hanging="540"/>
        <w:rPr>
          <w:rFonts w:cs="宋体" w:asciiTheme="minorEastAsia" w:hAnsiTheme="minorEastAsia" w:eastAsiaTheme="minorEastAsia"/>
          <w:color w:val="auto"/>
        </w:rPr>
      </w:pPr>
    </w:p>
    <w:p w14:paraId="580AB22E">
      <w:pPr>
        <w:pStyle w:val="12"/>
        <w:tabs>
          <w:tab w:val="left" w:pos="5580"/>
        </w:tabs>
        <w:spacing w:line="240" w:lineRule="atLeast"/>
        <w:ind w:left="1105" w:leftChars="257" w:hanging="540"/>
        <w:rPr>
          <w:rFonts w:cs="宋体" w:asciiTheme="minorEastAsia" w:hAnsiTheme="minorEastAsia" w:eastAsiaTheme="minorEastAsia"/>
          <w:color w:val="auto"/>
        </w:rPr>
      </w:pPr>
    </w:p>
    <w:p w14:paraId="5E6955F4">
      <w:pPr>
        <w:pStyle w:val="12"/>
        <w:tabs>
          <w:tab w:val="left" w:pos="5580"/>
        </w:tabs>
        <w:spacing w:line="240" w:lineRule="atLeast"/>
        <w:rPr>
          <w:rFonts w:cs="宋体" w:asciiTheme="minorEastAsia" w:hAnsiTheme="minorEastAsia" w:eastAsiaTheme="minorEastAsia"/>
          <w:color w:val="auto"/>
        </w:rPr>
      </w:pPr>
    </w:p>
    <w:p w14:paraId="3A633766">
      <w:pPr>
        <w:pStyle w:val="12"/>
        <w:tabs>
          <w:tab w:val="left" w:pos="5580"/>
        </w:tabs>
        <w:spacing w:line="240" w:lineRule="atLeast"/>
        <w:ind w:left="1105" w:leftChars="257" w:hanging="540"/>
        <w:rPr>
          <w:rFonts w:cs="宋体" w:asciiTheme="minorEastAsia" w:hAnsiTheme="minorEastAsia" w:eastAsiaTheme="minorEastAsia"/>
          <w:color w:val="auto"/>
        </w:rPr>
      </w:pPr>
      <w:r>
        <w:rPr>
          <w:rFonts w:cs="宋体" w:asciiTheme="minorEastAsia" w:hAnsiTheme="minorEastAsia" w:eastAsiaTheme="minorEastAsia"/>
          <w:color w:val="auto"/>
        </w:rPr>
        <w:pict>
          <v:roundrect id="_x0000_s1036" o:spid="_x0000_s1036" o:spt="2" style="position:absolute;left:0pt;margin-left:-0.85pt;margin-top:9.45pt;height:89.55pt;width:201.2pt;z-index:251668480;mso-width-relative:page;mso-height-relative:page;"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path/>
            <v:fill focussize="0,0"/>
            <v:stroke weight="1.25pt" color="#808080"/>
            <v:imagedata o:title=""/>
            <o:lock v:ext="edit"/>
            <v:textbox>
              <w:txbxContent>
                <w:p w14:paraId="3F10527D">
                  <w:pPr>
                    <w:jc w:val="center"/>
                    <w:rPr>
                      <w:rFonts w:hAnsi="宋体"/>
                    </w:rPr>
                  </w:pPr>
                </w:p>
                <w:p w14:paraId="58F7C4B0">
                  <w:pPr>
                    <w:jc w:val="center"/>
                    <w:rPr>
                      <w:rFonts w:hAnsi="宋体"/>
                    </w:rPr>
                  </w:pPr>
                </w:p>
                <w:p w14:paraId="2B65326D">
                  <w:pPr>
                    <w:jc w:val="center"/>
                  </w:pPr>
                  <w:r>
                    <w:rPr>
                      <w:rFonts w:hint="eastAsia" w:hAnsi="宋体"/>
                    </w:rPr>
                    <w:t>法人身份证复印件</w:t>
                  </w:r>
                </w:p>
                <w:p w14:paraId="1A7C8F1B"/>
              </w:txbxContent>
            </v:textbox>
          </v:roundrect>
        </w:pict>
      </w:r>
    </w:p>
    <w:p w14:paraId="246B9BF2">
      <w:pPr>
        <w:pStyle w:val="12"/>
        <w:tabs>
          <w:tab w:val="left" w:pos="5580"/>
        </w:tabs>
        <w:spacing w:line="240" w:lineRule="atLeast"/>
        <w:ind w:left="1105" w:leftChars="257" w:hanging="540"/>
        <w:rPr>
          <w:rFonts w:cs="宋体" w:asciiTheme="minorEastAsia" w:hAnsiTheme="minorEastAsia" w:eastAsiaTheme="minorEastAsia"/>
          <w:color w:val="auto"/>
        </w:rPr>
      </w:pPr>
      <w:r>
        <w:rPr>
          <w:rFonts w:cs="宋体" w:asciiTheme="minorEastAsia" w:hAnsiTheme="minorEastAsia" w:eastAsiaTheme="minorEastAsia"/>
          <w:color w:val="auto"/>
        </w:rPr>
        <w:pict>
          <v:roundrect id="_x0000_s1037" o:spid="_x0000_s1037" o:spt="2" style="position:absolute;left:0pt;margin-left:237.65pt;margin-top:1.1pt;height:83.05pt;width:199.65pt;z-index:251669504;mso-width-relative:page;mso-height-relative:page;"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path/>
            <v:fill focussize="0,0"/>
            <v:stroke weight="1.25pt" color="#808080"/>
            <v:imagedata o:title=""/>
            <o:lock v:ext="edit"/>
            <v:textbox>
              <w:txbxContent>
                <w:p w14:paraId="395BB7B9">
                  <w:pPr>
                    <w:jc w:val="center"/>
                    <w:rPr>
                      <w:rFonts w:hAnsi="宋体"/>
                    </w:rPr>
                  </w:pPr>
                  <w:r>
                    <w:rPr>
                      <w:rFonts w:hint="eastAsia" w:hAnsi="宋体"/>
                    </w:rPr>
                    <w:t xml:space="preserve">  </w:t>
                  </w:r>
                </w:p>
                <w:p w14:paraId="7BF53006">
                  <w:pPr>
                    <w:jc w:val="center"/>
                    <w:rPr>
                      <w:rFonts w:hAnsi="宋体"/>
                    </w:rPr>
                  </w:pPr>
                </w:p>
                <w:p w14:paraId="09BF5B11">
                  <w:pPr>
                    <w:jc w:val="center"/>
                  </w:pPr>
                  <w:r>
                    <w:rPr>
                      <w:rFonts w:hint="eastAsia" w:hAnsi="宋体"/>
                    </w:rPr>
                    <w:t>法人身份证复印件</w:t>
                  </w:r>
                </w:p>
                <w:p w14:paraId="26D6D4BA"/>
              </w:txbxContent>
            </v:textbox>
          </v:roundrect>
        </w:pict>
      </w:r>
    </w:p>
    <w:p w14:paraId="6CECF70C">
      <w:pPr>
        <w:pStyle w:val="12"/>
        <w:tabs>
          <w:tab w:val="left" w:pos="5580"/>
        </w:tabs>
        <w:spacing w:line="240" w:lineRule="atLeast"/>
        <w:ind w:left="1105" w:leftChars="257" w:hanging="540"/>
        <w:rPr>
          <w:rFonts w:cs="宋体" w:asciiTheme="minorEastAsia" w:hAnsiTheme="minorEastAsia" w:eastAsiaTheme="minorEastAsia"/>
          <w:color w:val="auto"/>
        </w:rPr>
      </w:pPr>
    </w:p>
    <w:p w14:paraId="14A8E088">
      <w:pPr>
        <w:pStyle w:val="12"/>
        <w:tabs>
          <w:tab w:val="left" w:pos="5580"/>
        </w:tabs>
        <w:spacing w:line="240" w:lineRule="atLeast"/>
        <w:ind w:left="1105" w:leftChars="257" w:hanging="540"/>
        <w:rPr>
          <w:rFonts w:cs="宋体" w:asciiTheme="minorEastAsia" w:hAnsiTheme="minorEastAsia" w:eastAsiaTheme="minorEastAsia"/>
          <w:color w:val="auto"/>
        </w:rPr>
      </w:pPr>
    </w:p>
    <w:p w14:paraId="15B8B868">
      <w:pPr>
        <w:pStyle w:val="12"/>
        <w:tabs>
          <w:tab w:val="left" w:pos="5580"/>
        </w:tabs>
        <w:spacing w:line="240" w:lineRule="atLeast"/>
        <w:ind w:left="1105" w:leftChars="257" w:hanging="540"/>
        <w:rPr>
          <w:rFonts w:cs="宋体" w:asciiTheme="minorEastAsia" w:hAnsiTheme="minorEastAsia" w:eastAsiaTheme="minorEastAsia"/>
          <w:color w:val="auto"/>
        </w:rPr>
      </w:pPr>
    </w:p>
    <w:p w14:paraId="48DA3D9B">
      <w:pPr>
        <w:pStyle w:val="12"/>
        <w:tabs>
          <w:tab w:val="left" w:pos="5580"/>
        </w:tabs>
        <w:spacing w:line="240" w:lineRule="atLeast"/>
        <w:ind w:left="1105" w:leftChars="257" w:hanging="540"/>
        <w:rPr>
          <w:rFonts w:cs="宋体" w:asciiTheme="minorEastAsia" w:hAnsiTheme="minorEastAsia" w:eastAsiaTheme="minorEastAsia"/>
          <w:color w:val="auto"/>
        </w:rPr>
      </w:pPr>
    </w:p>
    <w:p w14:paraId="2664B84D">
      <w:pPr>
        <w:pStyle w:val="12"/>
        <w:tabs>
          <w:tab w:val="left" w:pos="5580"/>
        </w:tabs>
        <w:spacing w:line="240" w:lineRule="atLeast"/>
        <w:ind w:left="1105" w:leftChars="257" w:hanging="540"/>
        <w:rPr>
          <w:rFonts w:cs="宋体" w:asciiTheme="minorEastAsia" w:hAnsiTheme="minorEastAsia" w:eastAsiaTheme="minorEastAsia"/>
          <w:color w:val="auto"/>
        </w:rPr>
      </w:pPr>
    </w:p>
    <w:p w14:paraId="690315A6">
      <w:pPr>
        <w:pStyle w:val="12"/>
        <w:tabs>
          <w:tab w:val="left" w:pos="5580"/>
        </w:tabs>
        <w:spacing w:line="240" w:lineRule="atLeast"/>
        <w:ind w:left="1105" w:leftChars="257" w:hanging="540"/>
        <w:rPr>
          <w:rFonts w:cs="宋体" w:asciiTheme="minorEastAsia" w:hAnsiTheme="minorEastAsia" w:eastAsiaTheme="minorEastAsia"/>
          <w:color w:val="auto"/>
        </w:rPr>
      </w:pPr>
    </w:p>
    <w:p w14:paraId="3C8F3BDA">
      <w:pPr>
        <w:pStyle w:val="12"/>
        <w:tabs>
          <w:tab w:val="left" w:pos="5580"/>
        </w:tabs>
        <w:spacing w:line="240" w:lineRule="atLeast"/>
        <w:ind w:left="1105" w:leftChars="257" w:hanging="540"/>
        <w:rPr>
          <w:rFonts w:cs="宋体" w:asciiTheme="minorEastAsia" w:hAnsiTheme="minorEastAsia" w:eastAsiaTheme="minorEastAsia"/>
          <w:color w:val="auto"/>
        </w:rPr>
      </w:pPr>
    </w:p>
    <w:p w14:paraId="0CF86C0B">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供应商（盖单位章）;                           </w:t>
      </w:r>
    </w:p>
    <w:p w14:paraId="50EDEA21">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法定代表人（签字或签章）：                     </w:t>
      </w:r>
    </w:p>
    <w:p w14:paraId="7866FCED">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身份证号码：__________________________________ </w:t>
      </w:r>
    </w:p>
    <w:p w14:paraId="77AD0729">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委托代理人：                                   </w:t>
      </w:r>
    </w:p>
    <w:p w14:paraId="46840AA2">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身份证号码：                                   </w:t>
      </w:r>
    </w:p>
    <w:p w14:paraId="440786F8">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详细通讯地址：                                 </w:t>
      </w:r>
    </w:p>
    <w:p w14:paraId="0A2BBC3F">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邮 政 编 码 ：                                 </w:t>
      </w:r>
    </w:p>
    <w:p w14:paraId="6EE3FC18">
      <w:pPr>
        <w:pStyle w:val="12"/>
        <w:tabs>
          <w:tab w:val="left" w:pos="5580"/>
        </w:tabs>
        <w:spacing w:line="240" w:lineRule="atLeas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传　　　　真：                                 </w:t>
      </w:r>
    </w:p>
    <w:p w14:paraId="6D35B21D">
      <w:pPr>
        <w:spacing w:line="460" w:lineRule="exact"/>
        <w:ind w:firstLine="480" w:firstLineChars="200"/>
        <w:rPr>
          <w:rFonts w:cs="宋体" w:asciiTheme="minorEastAsia" w:hAnsiTheme="minorEastAsia" w:eastAsiaTheme="minorEastAsia"/>
          <w:b/>
          <w:color w:val="auto"/>
          <w:sz w:val="24"/>
          <w:szCs w:val="20"/>
        </w:rPr>
      </w:pPr>
      <w:r>
        <w:rPr>
          <w:rFonts w:hint="eastAsia" w:cs="宋体" w:asciiTheme="minorEastAsia" w:hAnsiTheme="minorEastAsia" w:eastAsiaTheme="minorEastAsia"/>
          <w:color w:val="auto"/>
          <w:sz w:val="24"/>
          <w:szCs w:val="20"/>
        </w:rPr>
        <w:t xml:space="preserve">电　　　　话：                                 </w:t>
      </w:r>
      <w:bookmarkEnd w:id="524"/>
      <w:bookmarkEnd w:id="525"/>
      <w:bookmarkEnd w:id="526"/>
      <w:bookmarkStart w:id="535" w:name="_Toc10290"/>
      <w:bookmarkStart w:id="536" w:name="_Toc8410"/>
      <w:bookmarkStart w:id="537" w:name="_Toc15480"/>
      <w:bookmarkStart w:id="538" w:name="_Toc22138"/>
      <w:bookmarkStart w:id="539" w:name="_Toc515647809"/>
      <w:bookmarkStart w:id="540" w:name="_Toc11047"/>
      <w:bookmarkStart w:id="541" w:name="_Toc4923"/>
      <w:bookmarkStart w:id="542" w:name="_Toc28445"/>
    </w:p>
    <w:p w14:paraId="06E69F81">
      <w:pPr>
        <w:spacing w:line="460" w:lineRule="exact"/>
        <w:ind w:firstLine="480" w:firstLineChars="200"/>
        <w:rPr>
          <w:rFonts w:cs="宋体" w:asciiTheme="minorEastAsia" w:hAnsiTheme="minorEastAsia" w:eastAsiaTheme="minorEastAsia"/>
          <w:b/>
          <w:color w:val="auto"/>
          <w:sz w:val="24"/>
          <w:szCs w:val="20"/>
        </w:rPr>
      </w:pPr>
    </w:p>
    <w:bookmarkEnd w:id="535"/>
    <w:bookmarkEnd w:id="536"/>
    <w:bookmarkEnd w:id="537"/>
    <w:bookmarkEnd w:id="538"/>
    <w:bookmarkEnd w:id="539"/>
    <w:bookmarkEnd w:id="540"/>
    <w:bookmarkEnd w:id="541"/>
    <w:bookmarkEnd w:id="542"/>
    <w:p w14:paraId="65DE2BE2">
      <w:pPr>
        <w:rPr>
          <w:color w:val="auto"/>
        </w:rPr>
      </w:pPr>
      <w:r>
        <w:rPr>
          <w:color w:val="auto"/>
        </w:rPr>
        <w:br w:type="page"/>
      </w:r>
    </w:p>
    <w:p w14:paraId="3E4518E4">
      <w:pPr>
        <w:pStyle w:val="4"/>
        <w:numPr>
          <w:ilvl w:val="0"/>
          <w:numId w:val="0"/>
        </w:numPr>
        <w:spacing w:before="0" w:line="240" w:lineRule="atLeast"/>
        <w:ind w:leftChars="353" w:right="0" w:rightChars="0"/>
        <w:rPr>
          <w:rFonts w:cs="宋体" w:asciiTheme="minorEastAsia" w:hAnsiTheme="minorEastAsia" w:eastAsiaTheme="minorEastAsia"/>
          <w:color w:val="auto"/>
          <w:sz w:val="24"/>
        </w:rPr>
      </w:pPr>
      <w:bookmarkStart w:id="543" w:name="_Toc6556"/>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磋商保证金</w:t>
      </w:r>
      <w:r>
        <w:rPr>
          <w:rFonts w:hint="eastAsia" w:cs="宋体" w:asciiTheme="minorEastAsia" w:hAnsiTheme="minorEastAsia" w:eastAsiaTheme="minorEastAsia"/>
          <w:color w:val="auto"/>
          <w:sz w:val="24"/>
          <w:lang w:val="en-US" w:eastAsia="zh-CN"/>
        </w:rPr>
        <w:t>银行转账回执单</w:t>
      </w:r>
      <w:bookmarkEnd w:id="543"/>
    </w:p>
    <w:p w14:paraId="5F7D9C58">
      <w:pPr>
        <w:spacing w:line="360" w:lineRule="exact"/>
        <w:ind w:firstLine="660" w:firstLineChars="300"/>
        <w:rPr>
          <w:rFonts w:ascii="宋体" w:hAnsi="宋体" w:cs="宋体"/>
          <w:color w:val="auto"/>
        </w:rPr>
      </w:pPr>
      <w:r>
        <w:rPr>
          <w:rFonts w:hint="eastAsia" w:ascii="宋体" w:hAnsi="宋体" w:cs="宋体"/>
          <w:color w:val="auto"/>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20"/>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57FE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14:paraId="53B7E66F">
            <w:pPr>
              <w:spacing w:line="360" w:lineRule="exact"/>
              <w:rPr>
                <w:rFonts w:ascii="宋体" w:hAnsi="宋体" w:cs="宋体"/>
                <w:color w:val="auto"/>
              </w:rPr>
            </w:pPr>
          </w:p>
          <w:p w14:paraId="2B64B924">
            <w:pPr>
              <w:spacing w:line="360" w:lineRule="exact"/>
              <w:rPr>
                <w:rFonts w:ascii="宋体" w:hAnsi="宋体" w:cs="宋体"/>
                <w:color w:val="auto"/>
              </w:rPr>
            </w:pPr>
          </w:p>
          <w:p w14:paraId="124233B1">
            <w:pPr>
              <w:spacing w:line="360" w:lineRule="exact"/>
              <w:rPr>
                <w:rFonts w:ascii="宋体" w:hAnsi="宋体" w:cs="宋体"/>
                <w:color w:val="auto"/>
              </w:rPr>
            </w:pPr>
          </w:p>
          <w:p w14:paraId="6031BF72">
            <w:pPr>
              <w:spacing w:line="360" w:lineRule="exact"/>
              <w:jc w:val="center"/>
              <w:rPr>
                <w:rFonts w:ascii="宋体" w:hAnsi="宋体" w:cs="宋体"/>
                <w:color w:val="auto"/>
              </w:rPr>
            </w:pPr>
          </w:p>
          <w:p w14:paraId="20090525">
            <w:pPr>
              <w:spacing w:line="360" w:lineRule="exact"/>
              <w:jc w:val="center"/>
              <w:rPr>
                <w:rFonts w:ascii="宋体" w:hAnsi="宋体" w:cs="宋体"/>
                <w:color w:val="auto"/>
              </w:rPr>
            </w:pPr>
            <w:r>
              <w:rPr>
                <w:rFonts w:hint="eastAsia" w:ascii="宋体" w:hAnsi="宋体" w:cs="宋体"/>
                <w:color w:val="auto"/>
              </w:rPr>
              <w:t>投标保证金银行转账回执单复印件</w:t>
            </w:r>
          </w:p>
        </w:tc>
      </w:tr>
    </w:tbl>
    <w:p w14:paraId="0285BDDE">
      <w:pPr>
        <w:rPr>
          <w:color w:val="auto"/>
        </w:rPr>
      </w:pPr>
    </w:p>
    <w:p w14:paraId="3052CB7F">
      <w:pPr>
        <w:rPr>
          <w:rFonts w:cs="宋体" w:asciiTheme="minorEastAsia" w:hAnsiTheme="minorEastAsia" w:eastAsiaTheme="minorEastAsia"/>
          <w:color w:val="auto"/>
        </w:rPr>
      </w:pPr>
    </w:p>
    <w:p w14:paraId="3A9CB5D8">
      <w:pPr>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br w:type="page"/>
      </w:r>
    </w:p>
    <w:p w14:paraId="2DAA1F10">
      <w:pPr>
        <w:spacing w:line="360" w:lineRule="exact"/>
        <w:jc w:val="center"/>
        <w:outlineLvl w:val="1"/>
        <w:rPr>
          <w:rFonts w:cs="宋体" w:asciiTheme="minorEastAsia" w:hAnsiTheme="minorEastAsia" w:eastAsiaTheme="minorEastAsia"/>
          <w:color w:val="auto"/>
          <w:sz w:val="28"/>
          <w:szCs w:val="28"/>
        </w:rPr>
      </w:pPr>
      <w:bookmarkStart w:id="544" w:name="_Toc6388"/>
      <w:r>
        <w:rPr>
          <w:rFonts w:hint="eastAsia" w:cs="宋体" w:asciiTheme="minorEastAsia" w:hAnsiTheme="minorEastAsia" w:eastAsiaTheme="minorEastAsia"/>
          <w:color w:val="auto"/>
          <w:sz w:val="28"/>
          <w:szCs w:val="28"/>
        </w:rPr>
        <w:t>政府采购磋商担保函 （本项目不适用）（响应文件格式三）</w:t>
      </w:r>
      <w:bookmarkEnd w:id="544"/>
    </w:p>
    <w:p w14:paraId="5376A819">
      <w:pPr>
        <w:spacing w:line="360" w:lineRule="exact"/>
        <w:ind w:firstLine="7040" w:firstLineChars="3200"/>
        <w:rPr>
          <w:rFonts w:cs="宋体" w:asciiTheme="minorEastAsia" w:hAnsiTheme="minorEastAsia" w:eastAsiaTheme="minorEastAsia"/>
          <w:color w:val="auto"/>
        </w:rPr>
      </w:pPr>
      <w:r>
        <w:rPr>
          <w:rFonts w:hint="eastAsia" w:cs="宋体" w:asciiTheme="minorEastAsia" w:hAnsiTheme="minorEastAsia" w:eastAsiaTheme="minorEastAsia"/>
          <w:color w:val="auto"/>
        </w:rPr>
        <w:t>编号：</w:t>
      </w:r>
    </w:p>
    <w:p w14:paraId="5893FD20">
      <w:pPr>
        <w:spacing w:line="360" w:lineRule="exact"/>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w:t>
      </w:r>
    </w:p>
    <w:p w14:paraId="16B9D5AB">
      <w:pPr>
        <w:spacing w:line="3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（采购人）：</w:t>
      </w:r>
    </w:p>
    <w:p w14:paraId="01003421">
      <w:pPr>
        <w:spacing w:line="360" w:lineRule="exact"/>
        <w:rPr>
          <w:rFonts w:cs="宋体" w:asciiTheme="minorEastAsia" w:hAnsiTheme="minorEastAsia" w:eastAsiaTheme="minorEastAsia"/>
          <w:color w:val="auto"/>
          <w:sz w:val="24"/>
        </w:rPr>
      </w:pPr>
    </w:p>
    <w:p w14:paraId="010EF8A9">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鉴于</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（以下简称“供应商”）拟参加编号为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p>
    <w:p w14:paraId="590E7D67">
      <w:pPr>
        <w:spacing w:line="3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14:paraId="758FCE4E">
      <w:pPr>
        <w:spacing w:line="360" w:lineRule="exact"/>
        <w:ind w:firstLine="480" w:firstLineChars="200"/>
        <w:outlineLvl w:val="1"/>
        <w:rPr>
          <w:rFonts w:cs="宋体" w:asciiTheme="minorEastAsia" w:hAnsiTheme="minorEastAsia" w:eastAsiaTheme="minorEastAsia"/>
          <w:color w:val="auto"/>
          <w:sz w:val="24"/>
        </w:rPr>
      </w:pPr>
      <w:bookmarkStart w:id="545" w:name="_Toc1620"/>
      <w:r>
        <w:rPr>
          <w:rFonts w:hint="eastAsia" w:cs="宋体" w:asciiTheme="minorEastAsia" w:hAnsiTheme="minorEastAsia" w:eastAsiaTheme="minorEastAsia"/>
          <w:color w:val="auto"/>
          <w:sz w:val="24"/>
        </w:rPr>
        <w:t>一、保证责任的情形及保证金额</w:t>
      </w:r>
      <w:bookmarkEnd w:id="545"/>
    </w:p>
    <w:p w14:paraId="295B77FD">
      <w:pPr>
        <w:spacing w:line="360" w:lineRule="exact"/>
        <w:ind w:firstLine="240" w:firstLineChars="1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（一）在供应商出现下列情形之一时，我方承担保证责任：</w:t>
      </w:r>
    </w:p>
    <w:p w14:paraId="2E22C835">
      <w:pPr>
        <w:spacing w:line="360" w:lineRule="exact"/>
        <w:ind w:firstLine="480" w:firstLineChars="200"/>
        <w:outlineLvl w:val="2"/>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1．成交后供应商无正当理由不与采购人或者采购代理机构签订《政府采购合同》；</w:t>
      </w:r>
    </w:p>
    <w:p w14:paraId="7DFBEF3B">
      <w:pPr>
        <w:spacing w:line="360" w:lineRule="exact"/>
        <w:ind w:firstLine="480" w:firstLineChars="200"/>
        <w:outlineLvl w:val="2"/>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2．磋商文件规定的供应商应当缴纳保证金的其他情形。</w:t>
      </w:r>
    </w:p>
    <w:p w14:paraId="367E6EA3">
      <w:pPr>
        <w:spacing w:line="360" w:lineRule="exact"/>
        <w:ind w:firstLine="240" w:firstLineChars="1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（二）我方承担保证责任的最高金额为人民币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元（大写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），即本项目的磋商保证金金额。</w:t>
      </w:r>
    </w:p>
    <w:p w14:paraId="3E42484B">
      <w:pPr>
        <w:spacing w:line="360" w:lineRule="exact"/>
        <w:ind w:firstLine="480" w:firstLineChars="200"/>
        <w:outlineLvl w:val="1"/>
        <w:rPr>
          <w:rFonts w:cs="宋体" w:asciiTheme="minorEastAsia" w:hAnsiTheme="minorEastAsia" w:eastAsiaTheme="minorEastAsia"/>
          <w:color w:val="auto"/>
          <w:sz w:val="24"/>
        </w:rPr>
      </w:pPr>
      <w:bookmarkStart w:id="546" w:name="_Toc22568"/>
      <w:r>
        <w:rPr>
          <w:rFonts w:hint="eastAsia" w:cs="宋体" w:asciiTheme="minorEastAsia" w:hAnsiTheme="minorEastAsia" w:eastAsiaTheme="minorEastAsia"/>
          <w:color w:val="auto"/>
          <w:sz w:val="24"/>
        </w:rPr>
        <w:t>二、保证的方式及保证期间</w:t>
      </w:r>
      <w:bookmarkEnd w:id="546"/>
    </w:p>
    <w:p w14:paraId="1D88D06E">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我方保证的方式为：连带责任保证。</w:t>
      </w:r>
    </w:p>
    <w:p w14:paraId="6E469FB9">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我方的保证期间为：自本保函生效之日起</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个月止。</w:t>
      </w:r>
    </w:p>
    <w:p w14:paraId="66E0BD1A">
      <w:pPr>
        <w:spacing w:line="360" w:lineRule="exact"/>
        <w:ind w:firstLine="480" w:firstLineChars="200"/>
        <w:outlineLvl w:val="1"/>
        <w:rPr>
          <w:rFonts w:cs="宋体" w:asciiTheme="minorEastAsia" w:hAnsiTheme="minorEastAsia" w:eastAsiaTheme="minorEastAsia"/>
          <w:color w:val="auto"/>
          <w:sz w:val="24"/>
        </w:rPr>
      </w:pPr>
      <w:bookmarkStart w:id="547" w:name="_Toc16450"/>
      <w:r>
        <w:rPr>
          <w:rFonts w:hint="eastAsia" w:cs="宋体" w:asciiTheme="minorEastAsia" w:hAnsiTheme="minorEastAsia" w:eastAsiaTheme="minorEastAsia"/>
          <w:color w:val="auto"/>
          <w:sz w:val="24"/>
        </w:rPr>
        <w:t>三、承担保证责任的程序</w:t>
      </w:r>
      <w:bookmarkEnd w:id="547"/>
    </w:p>
    <w:p w14:paraId="68E06356">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486535A7">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2．我方在收到索赔通知及相关证明材料后，在</w:t>
      </w:r>
      <w:r>
        <w:rPr>
          <w:rFonts w:hint="eastAsia" w:cs="宋体" w:asciiTheme="minorEastAsia" w:hAnsiTheme="minorEastAsia" w:eastAsiaTheme="minorEastAsia"/>
          <w:color w:val="auto"/>
          <w:sz w:val="24"/>
          <w:u w:val="single"/>
        </w:rPr>
        <w:t>　　　</w:t>
      </w:r>
      <w:r>
        <w:rPr>
          <w:rFonts w:hint="eastAsia" w:cs="宋体" w:asciiTheme="minorEastAsia" w:hAnsiTheme="minorEastAsia" w:eastAsiaTheme="minorEastAsia"/>
          <w:color w:val="auto"/>
          <w:sz w:val="24"/>
        </w:rPr>
        <w:t>个工作日内进行审查，符合应承担保证责任情形的，我方应按照你方的要求代供应商向你方支付磋商保证金。</w:t>
      </w:r>
    </w:p>
    <w:p w14:paraId="7ADEA839">
      <w:pPr>
        <w:spacing w:line="360" w:lineRule="exact"/>
        <w:ind w:firstLine="480" w:firstLineChars="200"/>
        <w:outlineLvl w:val="1"/>
        <w:rPr>
          <w:rFonts w:cs="宋体" w:asciiTheme="minorEastAsia" w:hAnsiTheme="minorEastAsia" w:eastAsiaTheme="minorEastAsia"/>
          <w:color w:val="auto"/>
          <w:sz w:val="24"/>
        </w:rPr>
      </w:pPr>
      <w:bookmarkStart w:id="548" w:name="_Toc11496"/>
      <w:r>
        <w:rPr>
          <w:rFonts w:hint="eastAsia" w:cs="宋体" w:asciiTheme="minorEastAsia" w:hAnsiTheme="minorEastAsia" w:eastAsiaTheme="minorEastAsia"/>
          <w:color w:val="auto"/>
          <w:sz w:val="24"/>
        </w:rPr>
        <w:t>四、保证责任的终止</w:t>
      </w:r>
      <w:bookmarkEnd w:id="548"/>
    </w:p>
    <w:p w14:paraId="0795AFFD">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1．保证期间届满你方未向我方书面主张保证责任的，自保证期间届满次日起，我方保证责任自动终止。</w:t>
      </w:r>
    </w:p>
    <w:p w14:paraId="12392DC8">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2．我方按照本保函向你贵方履行了保证责任后，自我方向你贵方支付款项（支付款项从我方账户划出）之日起，保证责任终止。</w:t>
      </w:r>
    </w:p>
    <w:p w14:paraId="2DD39012">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3．按照法律法规的规定或出现我方保证责任终止的其它情形的，我方在本保函项下的保证责任亦终止。</w:t>
      </w:r>
    </w:p>
    <w:p w14:paraId="30E9C182">
      <w:pPr>
        <w:spacing w:line="360" w:lineRule="exact"/>
        <w:ind w:firstLine="480" w:firstLineChars="200"/>
        <w:outlineLvl w:val="1"/>
        <w:rPr>
          <w:rFonts w:cs="宋体" w:asciiTheme="minorEastAsia" w:hAnsiTheme="minorEastAsia" w:eastAsiaTheme="minorEastAsia"/>
          <w:color w:val="auto"/>
          <w:sz w:val="24"/>
        </w:rPr>
      </w:pPr>
      <w:bookmarkStart w:id="549" w:name="_Toc32519"/>
      <w:r>
        <w:rPr>
          <w:rFonts w:hint="eastAsia" w:cs="宋体" w:asciiTheme="minorEastAsia" w:hAnsiTheme="minorEastAsia" w:eastAsiaTheme="minorEastAsia"/>
          <w:color w:val="auto"/>
          <w:sz w:val="24"/>
        </w:rPr>
        <w:t>五、免责条款</w:t>
      </w:r>
      <w:bookmarkEnd w:id="549"/>
    </w:p>
    <w:p w14:paraId="4AA85A9D">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1．依照法律规定或你方与供应商的另行约定，全部或者部分免除供应商磋商保证金义务时，我方亦免除相应的保证责任。</w:t>
      </w:r>
    </w:p>
    <w:p w14:paraId="7CE54AEC">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2．因你方原因致使供应商发生本保函第一条第（一）款约定情形的，我方不承担保证责任。</w:t>
      </w:r>
    </w:p>
    <w:p w14:paraId="5C97EDE1">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3．因不可抗力造成供应商发生本保函第一条约定情形的，我方不承担保证责任。</w:t>
      </w:r>
    </w:p>
    <w:p w14:paraId="5DF18E6B">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4．你方或其他有权机关对磋商文件进行任何澄清或修改，加重我方保证责任的，我方对加重部分不承担保证责任，但该澄清或修改经我方事先书面同意的除外。</w:t>
      </w:r>
    </w:p>
    <w:p w14:paraId="170A64D9">
      <w:pPr>
        <w:spacing w:line="360" w:lineRule="exact"/>
        <w:ind w:firstLine="480" w:firstLineChars="200"/>
        <w:outlineLvl w:val="1"/>
        <w:rPr>
          <w:rFonts w:cs="宋体" w:asciiTheme="minorEastAsia" w:hAnsiTheme="minorEastAsia" w:eastAsiaTheme="minorEastAsia"/>
          <w:color w:val="auto"/>
          <w:sz w:val="24"/>
        </w:rPr>
      </w:pPr>
      <w:bookmarkStart w:id="550" w:name="_Toc27558"/>
      <w:r>
        <w:rPr>
          <w:rFonts w:hint="eastAsia" w:cs="宋体" w:asciiTheme="minorEastAsia" w:hAnsiTheme="minorEastAsia" w:eastAsiaTheme="minorEastAsia"/>
          <w:color w:val="auto"/>
          <w:sz w:val="24"/>
        </w:rPr>
        <w:t>六、争议的解决</w:t>
      </w:r>
      <w:bookmarkEnd w:id="550"/>
    </w:p>
    <w:p w14:paraId="4C60F1AB">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因本保函发生的纠纷，由你我双方协商解决，协商不成的，通过诉讼程序解决，诉讼管辖地法院为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法院。</w:t>
      </w:r>
    </w:p>
    <w:p w14:paraId="3FF15202">
      <w:pPr>
        <w:spacing w:line="360" w:lineRule="exact"/>
        <w:ind w:firstLine="480" w:firstLineChars="200"/>
        <w:outlineLvl w:val="1"/>
        <w:rPr>
          <w:rFonts w:cs="宋体" w:asciiTheme="minorEastAsia" w:hAnsiTheme="minorEastAsia" w:eastAsiaTheme="minorEastAsia"/>
          <w:color w:val="auto"/>
          <w:sz w:val="24"/>
        </w:rPr>
      </w:pPr>
      <w:bookmarkStart w:id="551" w:name="_Toc15172"/>
      <w:r>
        <w:rPr>
          <w:rFonts w:hint="eastAsia" w:cs="宋体" w:asciiTheme="minorEastAsia" w:hAnsiTheme="minorEastAsia" w:eastAsiaTheme="minorEastAsia"/>
          <w:color w:val="auto"/>
          <w:sz w:val="24"/>
        </w:rPr>
        <w:t>七、保函的生效</w:t>
      </w:r>
      <w:bookmarkEnd w:id="551"/>
    </w:p>
    <w:p w14:paraId="2A589D36">
      <w:pPr>
        <w:spacing w:line="3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本保函自我方加盖公章之日起生效。</w:t>
      </w:r>
    </w:p>
    <w:p w14:paraId="325DCDC5">
      <w:pPr>
        <w:spacing w:line="360" w:lineRule="exact"/>
        <w:ind w:firstLine="5760" w:firstLineChars="24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保证人：（公章）</w:t>
      </w:r>
    </w:p>
    <w:p w14:paraId="2E25798C">
      <w:pPr>
        <w:spacing w:line="3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w:t>
      </w:r>
    </w:p>
    <w:p w14:paraId="4A935126">
      <w:pPr>
        <w:spacing w:line="360" w:lineRule="exact"/>
        <w:ind w:firstLine="6600" w:firstLineChars="27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年 月   日</w:t>
      </w:r>
    </w:p>
    <w:p w14:paraId="15DD4B15">
      <w:pPr>
        <w:spacing w:line="360" w:lineRule="exact"/>
        <w:rPr>
          <w:rFonts w:cs="宋体" w:asciiTheme="minorEastAsia" w:hAnsiTheme="minorEastAsia" w:eastAsiaTheme="minorEastAsia"/>
          <w:color w:val="auto"/>
          <w:sz w:val="24"/>
        </w:rPr>
      </w:pPr>
    </w:p>
    <w:p w14:paraId="41EDEA5E">
      <w:pPr>
        <w:spacing w:line="360" w:lineRule="exact"/>
        <w:rPr>
          <w:rFonts w:cs="宋体" w:asciiTheme="minorEastAsia" w:hAnsiTheme="minorEastAsia" w:eastAsiaTheme="minorEastAsia"/>
          <w:b/>
          <w:bCs/>
          <w:color w:val="auto"/>
          <w:sz w:val="28"/>
          <w:szCs w:val="28"/>
        </w:rPr>
      </w:pPr>
    </w:p>
    <w:p w14:paraId="5179CE81">
      <w:pPr>
        <w:rPr>
          <w:rFonts w:ascii="宋体" w:hAnsi="宋体" w:eastAsia="宋体" w:cs="宋体"/>
          <w:color w:val="auto"/>
          <w:sz w:val="24"/>
        </w:rPr>
      </w:pPr>
      <w:bookmarkStart w:id="552" w:name="_Toc518923111"/>
      <w:bookmarkStart w:id="553" w:name="_Toc27589"/>
      <w:bookmarkStart w:id="554" w:name="_Toc31179"/>
      <w:bookmarkStart w:id="555" w:name="_Toc5167"/>
      <w:bookmarkStart w:id="556" w:name="_Toc22500"/>
      <w:bookmarkStart w:id="557" w:name="_Toc8873"/>
      <w:bookmarkStart w:id="558" w:name="_Toc15031"/>
      <w:bookmarkStart w:id="559" w:name="_Toc23044"/>
      <w:bookmarkStart w:id="560" w:name="_Toc2502"/>
      <w:bookmarkStart w:id="561" w:name="_Toc515647814"/>
      <w:r>
        <w:rPr>
          <w:rFonts w:hint="eastAsia" w:ascii="宋体" w:hAnsi="宋体" w:eastAsia="宋体" w:cs="宋体"/>
          <w:color w:val="auto"/>
          <w:sz w:val="24"/>
        </w:rPr>
        <w:br w:type="page"/>
      </w:r>
    </w:p>
    <w:p w14:paraId="3907D1CA">
      <w:pPr>
        <w:pStyle w:val="4"/>
        <w:spacing w:line="240" w:lineRule="atLeast"/>
        <w:rPr>
          <w:rFonts w:ascii="宋体" w:hAnsi="宋体" w:eastAsia="宋体" w:cs="宋体"/>
          <w:color w:val="auto"/>
          <w:sz w:val="24"/>
          <w:lang w:val="en-US"/>
        </w:rPr>
      </w:pPr>
      <w:bookmarkStart w:id="562" w:name="_Toc4269"/>
      <w:r>
        <w:rPr>
          <w:rFonts w:hint="eastAsia" w:ascii="宋体" w:hAnsi="宋体" w:eastAsia="宋体" w:cs="宋体"/>
          <w:color w:val="auto"/>
          <w:sz w:val="24"/>
          <w:lang w:val="en-US" w:eastAsia="zh-CN"/>
        </w:rPr>
        <w:t>5、</w:t>
      </w:r>
      <w:r>
        <w:rPr>
          <w:rFonts w:hint="eastAsia" w:ascii="宋体" w:hAnsi="宋体" w:eastAsia="宋体" w:cs="宋体"/>
          <w:color w:val="auto"/>
          <w:sz w:val="24"/>
        </w:rPr>
        <w:t xml:space="preserve">  社会保障资金的缴纳记录</w:t>
      </w:r>
      <w:bookmarkEnd w:id="552"/>
      <w:bookmarkEnd w:id="553"/>
      <w:r>
        <w:rPr>
          <w:rFonts w:hint="eastAsia" w:ascii="宋体" w:hAnsi="宋体" w:eastAsia="宋体" w:cs="宋体"/>
          <w:color w:val="auto"/>
          <w:sz w:val="24"/>
          <w:lang w:val="en-US"/>
        </w:rPr>
        <w:t>及完税证明</w:t>
      </w:r>
      <w:bookmarkEnd w:id="562"/>
      <w:r>
        <w:rPr>
          <w:rFonts w:hint="eastAsia" w:ascii="宋体" w:hAnsi="宋体" w:eastAsia="宋体" w:cs="宋体"/>
          <w:color w:val="auto"/>
          <w:sz w:val="24"/>
          <w:lang w:val="en-US"/>
        </w:rPr>
        <w:t>（近半年</w:t>
      </w:r>
      <w:r>
        <w:rPr>
          <w:rFonts w:hint="eastAsia" w:ascii="宋体" w:hAnsi="宋体" w:eastAsia="宋体" w:cs="宋体"/>
          <w:color w:val="auto"/>
          <w:sz w:val="24"/>
          <w:lang w:val="en-US" w:eastAsia="zh-CN"/>
        </w:rPr>
        <w:t>任意一个月</w:t>
      </w:r>
      <w:r>
        <w:rPr>
          <w:rFonts w:hint="eastAsia" w:ascii="宋体" w:hAnsi="宋体" w:eastAsia="宋体" w:cs="宋体"/>
          <w:color w:val="auto"/>
          <w:sz w:val="24"/>
          <w:lang w:val="en-US"/>
        </w:rPr>
        <w:t>）</w:t>
      </w:r>
    </w:p>
    <w:p w14:paraId="61FDF871">
      <w:pPr>
        <w:pStyle w:val="12"/>
        <w:tabs>
          <w:tab w:val="left" w:pos="5580"/>
        </w:tabs>
        <w:spacing w:line="240" w:lineRule="atLeast"/>
        <w:ind w:left="1105" w:leftChars="257" w:hanging="540"/>
        <w:jc w:val="center"/>
        <w:rPr>
          <w:rFonts w:hAnsi="宋体" w:cs="宋体"/>
          <w:b/>
          <w:color w:val="auto"/>
        </w:rPr>
      </w:pPr>
    </w:p>
    <w:p w14:paraId="75DA80A6">
      <w:pPr>
        <w:pStyle w:val="12"/>
        <w:tabs>
          <w:tab w:val="left" w:pos="5580"/>
        </w:tabs>
        <w:spacing w:line="240" w:lineRule="atLeast"/>
        <w:ind w:left="540"/>
        <w:rPr>
          <w:rFonts w:hAnsi="宋体" w:cs="宋体"/>
          <w:b/>
          <w:color w:val="auto"/>
        </w:rPr>
      </w:pPr>
    </w:p>
    <w:p w14:paraId="251307B2">
      <w:pPr>
        <w:pStyle w:val="12"/>
        <w:tabs>
          <w:tab w:val="left" w:pos="5580"/>
        </w:tabs>
        <w:spacing w:line="240" w:lineRule="atLeast"/>
        <w:ind w:left="540"/>
        <w:rPr>
          <w:rFonts w:hAnsi="宋体" w:cs="宋体"/>
          <w:color w:val="auto"/>
        </w:rPr>
      </w:pPr>
      <w:r>
        <w:rPr>
          <w:rFonts w:hint="eastAsia" w:hAnsi="宋体" w:cs="宋体"/>
          <w:color w:val="auto"/>
        </w:rPr>
        <w:t>说明：1.按照</w:t>
      </w:r>
      <w:r>
        <w:rPr>
          <w:rFonts w:hint="eastAsia" w:hAnsi="宋体" w:cs="宋体"/>
          <w:color w:val="auto"/>
          <w:u w:val="single"/>
        </w:rPr>
        <w:t>投标人须知资料表</w:t>
      </w:r>
      <w:r>
        <w:rPr>
          <w:rFonts w:hint="eastAsia" w:hAnsi="宋体" w:cs="宋体"/>
          <w:color w:val="auto"/>
        </w:rPr>
        <w:t>中的规定提供复印件。</w:t>
      </w:r>
    </w:p>
    <w:p w14:paraId="2B85D824">
      <w:pPr>
        <w:pStyle w:val="12"/>
        <w:tabs>
          <w:tab w:val="left" w:pos="5580"/>
        </w:tabs>
        <w:spacing w:line="240" w:lineRule="atLeast"/>
        <w:ind w:left="1105" w:leftChars="257" w:hanging="540"/>
        <w:rPr>
          <w:rFonts w:hAnsi="宋体" w:cs="宋体"/>
          <w:color w:val="auto"/>
        </w:rPr>
      </w:pPr>
      <w:r>
        <w:rPr>
          <w:rFonts w:hint="eastAsia" w:hAnsi="宋体" w:cs="宋体"/>
          <w:color w:val="auto"/>
        </w:rPr>
        <w:t xml:space="preserve">      2.复印件上应加盖本单位章。</w:t>
      </w:r>
    </w:p>
    <w:p w14:paraId="0DCA98DE">
      <w:pPr>
        <w:tabs>
          <w:tab w:val="left" w:pos="5580"/>
        </w:tabs>
        <w:spacing w:line="240" w:lineRule="atLeast"/>
        <w:ind w:left="1105" w:leftChars="257" w:hanging="540"/>
        <w:rPr>
          <w:rFonts w:ascii="宋体" w:hAnsi="宋体" w:cs="宋体"/>
          <w:color w:val="auto"/>
          <w:sz w:val="24"/>
        </w:rPr>
      </w:pPr>
      <w:r>
        <w:rPr>
          <w:rFonts w:hint="eastAsia" w:ascii="宋体" w:hAnsi="宋体" w:cs="宋体"/>
          <w:color w:val="auto"/>
          <w:sz w:val="24"/>
        </w:rPr>
        <w:t xml:space="preserve">      3.如果是联合体投标，联合体各方均需提供上述证明。</w:t>
      </w:r>
    </w:p>
    <w:p w14:paraId="053A7A3E">
      <w:pPr>
        <w:rPr>
          <w:rFonts w:ascii="宋体" w:hAnsi="宋体" w:cs="宋体"/>
          <w:color w:val="auto"/>
          <w:sz w:val="24"/>
        </w:rPr>
      </w:pPr>
      <w:r>
        <w:rPr>
          <w:rFonts w:hint="eastAsia" w:ascii="宋体" w:hAnsi="宋体" w:cs="宋体"/>
          <w:color w:val="auto"/>
          <w:sz w:val="24"/>
        </w:rPr>
        <w:br w:type="page"/>
      </w:r>
    </w:p>
    <w:p w14:paraId="3DE73216">
      <w:pPr>
        <w:pStyle w:val="10"/>
        <w:tabs>
          <w:tab w:val="left" w:pos="567"/>
        </w:tabs>
        <w:rPr>
          <w:color w:val="auto"/>
        </w:rPr>
      </w:pPr>
    </w:p>
    <w:p w14:paraId="72278B42">
      <w:pPr>
        <w:pStyle w:val="4"/>
        <w:spacing w:before="0" w:line="360" w:lineRule="exact"/>
        <w:ind w:left="776" w:leftChars="353"/>
        <w:jc w:val="both"/>
        <w:rPr>
          <w:rFonts w:cs="宋体" w:asciiTheme="minorEastAsia" w:hAnsiTheme="minorEastAsia" w:eastAsiaTheme="minorEastAsia"/>
          <w:color w:val="auto"/>
          <w:sz w:val="24"/>
        </w:rPr>
      </w:pPr>
      <w:bookmarkStart w:id="563" w:name="_Toc30104"/>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、参加政府采购活动前3年内</w:t>
      </w:r>
      <w:bookmarkStart w:id="564" w:name="_Toc1137"/>
      <w:bookmarkStart w:id="565" w:name="_Toc6008"/>
      <w:bookmarkStart w:id="566" w:name="_Toc515647812"/>
      <w:r>
        <w:rPr>
          <w:rFonts w:hint="eastAsia" w:cs="宋体" w:asciiTheme="minorEastAsia" w:hAnsiTheme="minorEastAsia" w:eastAsiaTheme="minorEastAsia"/>
          <w:color w:val="auto"/>
          <w:sz w:val="24"/>
        </w:rPr>
        <w:t>在经营活动中没有重大违法记录的书面声明</w:t>
      </w:r>
      <w:bookmarkEnd w:id="554"/>
      <w:bookmarkEnd w:id="555"/>
      <w:bookmarkEnd w:id="556"/>
      <w:bookmarkEnd w:id="557"/>
      <w:bookmarkEnd w:id="558"/>
      <w:bookmarkEnd w:id="564"/>
      <w:bookmarkEnd w:id="565"/>
      <w:bookmarkEnd w:id="566"/>
      <w:r>
        <w:rPr>
          <w:rFonts w:hint="eastAsia" w:cs="宋体" w:asciiTheme="minorEastAsia" w:hAnsiTheme="minorEastAsia" w:eastAsiaTheme="minorEastAsia"/>
          <w:color w:val="auto"/>
          <w:sz w:val="24"/>
        </w:rPr>
        <w:t>及反商业贿赂承诺书</w:t>
      </w:r>
      <w:bookmarkEnd w:id="563"/>
    </w:p>
    <w:p w14:paraId="043653BF">
      <w:pPr>
        <w:pStyle w:val="12"/>
        <w:tabs>
          <w:tab w:val="left" w:pos="5580"/>
        </w:tabs>
        <w:spacing w:line="360" w:lineRule="exact"/>
        <w:ind w:left="1105" w:leftChars="257" w:hanging="540"/>
        <w:jc w:val="center"/>
        <w:rPr>
          <w:rFonts w:cs="宋体" w:asciiTheme="minorEastAsia" w:hAnsiTheme="minorEastAsia" w:eastAsiaTheme="minorEastAsia"/>
          <w:b/>
          <w:color w:val="auto"/>
        </w:rPr>
      </w:pPr>
    </w:p>
    <w:p w14:paraId="4BE25C50">
      <w:pPr>
        <w:pStyle w:val="12"/>
        <w:tabs>
          <w:tab w:val="left" w:pos="5580"/>
        </w:tabs>
        <w:spacing w:line="360" w:lineRule="exact"/>
        <w:ind w:left="1105" w:leftChars="257" w:hanging="540"/>
        <w:rPr>
          <w:rFonts w:cs="宋体" w:asciiTheme="minorEastAsia" w:hAnsiTheme="minorEastAsia" w:eastAsiaTheme="minorEastAsia"/>
          <w:color w:val="auto"/>
        </w:rPr>
      </w:pPr>
    </w:p>
    <w:p w14:paraId="0897461C">
      <w:pPr>
        <w:pStyle w:val="12"/>
        <w:tabs>
          <w:tab w:val="left" w:pos="5580"/>
        </w:tabs>
        <w:spacing w:line="360" w:lineRule="exact"/>
        <w:ind w:left="1105" w:leftChars="257" w:hanging="540"/>
        <w:rPr>
          <w:rFonts w:cs="宋体" w:asciiTheme="minorEastAsia" w:hAnsiTheme="minorEastAsia" w:eastAsiaTheme="minorEastAsia"/>
          <w:color w:val="auto"/>
        </w:rPr>
      </w:pPr>
    </w:p>
    <w:p w14:paraId="15871272">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说明：1.供应商应按照相关法规规定如实作出说明。</w:t>
      </w:r>
    </w:p>
    <w:p w14:paraId="5812DC74">
      <w:pPr>
        <w:pStyle w:val="12"/>
        <w:tabs>
          <w:tab w:val="left" w:pos="5580"/>
        </w:tabs>
        <w:spacing w:line="360" w:lineRule="exact"/>
        <w:ind w:left="675" w:leftChars="307" w:firstLine="600" w:firstLineChars="250"/>
        <w:rPr>
          <w:rFonts w:cs="宋体" w:asciiTheme="minorEastAsia" w:hAnsiTheme="minorEastAsia" w:eastAsiaTheme="minorEastAsia"/>
          <w:color w:val="auto"/>
        </w:rPr>
      </w:pPr>
      <w:r>
        <w:rPr>
          <w:rFonts w:hint="eastAsia" w:cs="宋体" w:asciiTheme="minorEastAsia" w:hAnsiTheme="minorEastAsia" w:eastAsiaTheme="minorEastAsia"/>
          <w:color w:val="auto"/>
        </w:rPr>
        <w:t>2．按照磋商文件的规定加盖单位章（自然人响应的无需盖章，需要签字）。</w:t>
      </w:r>
    </w:p>
    <w:p w14:paraId="3A0C64AC">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3.如果是联合体提交响应文件，联合体各方均需提供上述证明。</w:t>
      </w:r>
    </w:p>
    <w:p w14:paraId="7308F435">
      <w:pPr>
        <w:pStyle w:val="12"/>
        <w:tabs>
          <w:tab w:val="left" w:pos="5580"/>
        </w:tabs>
        <w:spacing w:line="360" w:lineRule="exact"/>
        <w:ind w:left="1105" w:leftChars="257" w:hanging="540"/>
        <w:rPr>
          <w:rFonts w:cs="宋体" w:asciiTheme="minorEastAsia" w:hAnsiTheme="minorEastAsia" w:eastAsiaTheme="minorEastAsia"/>
          <w:color w:val="auto"/>
        </w:rPr>
      </w:pPr>
    </w:p>
    <w:p w14:paraId="07AD443F">
      <w:pPr>
        <w:pStyle w:val="12"/>
        <w:tabs>
          <w:tab w:val="left" w:pos="5580"/>
        </w:tabs>
        <w:spacing w:line="360" w:lineRule="exact"/>
        <w:ind w:left="1105" w:leftChars="257" w:hanging="540"/>
        <w:rPr>
          <w:rFonts w:cs="宋体" w:asciiTheme="minorEastAsia" w:hAnsiTheme="minorEastAsia" w:eastAsiaTheme="minorEastAsia"/>
          <w:color w:val="auto"/>
        </w:rPr>
      </w:pPr>
    </w:p>
    <w:p w14:paraId="4B55BA01">
      <w:pPr>
        <w:pStyle w:val="12"/>
        <w:tabs>
          <w:tab w:val="left" w:pos="5580"/>
        </w:tabs>
        <w:spacing w:line="360" w:lineRule="exact"/>
        <w:ind w:left="1105" w:leftChars="257" w:hanging="540"/>
        <w:rPr>
          <w:rFonts w:cs="宋体" w:asciiTheme="minorEastAsia" w:hAnsiTheme="minorEastAsia" w:eastAsiaTheme="minorEastAsia"/>
          <w:color w:val="auto"/>
        </w:rPr>
      </w:pPr>
    </w:p>
    <w:p w14:paraId="7E060793">
      <w:pPr>
        <w:pStyle w:val="12"/>
        <w:tabs>
          <w:tab w:val="left" w:pos="5580"/>
        </w:tabs>
        <w:spacing w:line="360" w:lineRule="exact"/>
        <w:ind w:left="1105" w:leftChars="257" w:hanging="540"/>
        <w:rPr>
          <w:rFonts w:cs="宋体" w:asciiTheme="minorEastAsia" w:hAnsiTheme="minorEastAsia" w:eastAsiaTheme="minorEastAsia"/>
          <w:color w:val="auto"/>
        </w:rPr>
      </w:pPr>
    </w:p>
    <w:p w14:paraId="5F6A17B0">
      <w:pPr>
        <w:pStyle w:val="12"/>
        <w:tabs>
          <w:tab w:val="left" w:pos="5580"/>
        </w:tabs>
        <w:spacing w:line="360" w:lineRule="exact"/>
        <w:ind w:left="1105" w:leftChars="257" w:hanging="540"/>
        <w:rPr>
          <w:rFonts w:cs="宋体" w:asciiTheme="minorEastAsia" w:hAnsiTheme="minorEastAsia" w:eastAsiaTheme="minorEastAsia"/>
          <w:color w:val="auto"/>
        </w:rPr>
      </w:pPr>
    </w:p>
    <w:p w14:paraId="0602F320">
      <w:pPr>
        <w:rPr>
          <w:rFonts w:asciiTheme="minorEastAsia" w:hAnsiTheme="minorEastAsia" w:eastAsiaTheme="minorEastAsia" w:cstheme="minorEastAsia"/>
          <w:color w:val="auto"/>
          <w:sz w:val="24"/>
        </w:rPr>
      </w:pPr>
      <w:bookmarkStart w:id="567" w:name="_Toc17207"/>
      <w:bookmarkStart w:id="568" w:name="_Toc12185"/>
      <w:bookmarkStart w:id="569" w:name="_Toc515647813"/>
      <w:bookmarkStart w:id="570" w:name="_Toc11862"/>
      <w:bookmarkStart w:id="571" w:name="_Toc29703"/>
      <w:bookmarkStart w:id="572" w:name="_Toc15456"/>
      <w:bookmarkStart w:id="573" w:name="_Toc24488"/>
      <w:bookmarkStart w:id="574" w:name="_Toc11163"/>
      <w:r>
        <w:rPr>
          <w:rFonts w:hint="eastAsia" w:asciiTheme="minorEastAsia" w:hAnsiTheme="minorEastAsia" w:eastAsiaTheme="minorEastAsia" w:cstheme="minorEastAsia"/>
          <w:color w:val="auto"/>
          <w:sz w:val="24"/>
        </w:rPr>
        <w:br w:type="page"/>
      </w:r>
    </w:p>
    <w:p w14:paraId="1599AA3B">
      <w:pPr>
        <w:rPr>
          <w:rFonts w:asciiTheme="minorEastAsia" w:hAnsiTheme="minorEastAsia" w:eastAsiaTheme="minorEastAsia" w:cstheme="minorEastAsia"/>
          <w:color w:val="auto"/>
          <w:sz w:val="24"/>
          <w:lang w:val="en-US"/>
        </w:rPr>
      </w:pPr>
    </w:p>
    <w:p w14:paraId="3941EB64">
      <w:pPr>
        <w:pStyle w:val="4"/>
        <w:spacing w:line="240" w:lineRule="atLeast"/>
        <w:jc w:val="both"/>
        <w:rPr>
          <w:rFonts w:asciiTheme="minorEastAsia" w:hAnsiTheme="minorEastAsia" w:eastAsiaTheme="minorEastAsia" w:cstheme="minorEastAsia"/>
          <w:color w:val="auto"/>
          <w:sz w:val="24"/>
          <w:lang w:val="en-US"/>
        </w:rPr>
      </w:pPr>
      <w:bookmarkStart w:id="575" w:name="_Toc11971"/>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lang w:val="en-US"/>
        </w:rPr>
        <w:t>、</w:t>
      </w:r>
      <w:bookmarkStart w:id="576" w:name="_Toc10692"/>
      <w:bookmarkStart w:id="577" w:name="_Toc522633283"/>
      <w:r>
        <w:rPr>
          <w:rFonts w:hint="eastAsia" w:asciiTheme="minorEastAsia" w:hAnsiTheme="minorEastAsia" w:eastAsiaTheme="minorEastAsia" w:cstheme="minorEastAsia"/>
          <w:color w:val="auto"/>
          <w:sz w:val="24"/>
          <w:lang w:val="en-US"/>
        </w:rPr>
        <w:t>“信用中国”网站（</w:t>
      </w:r>
      <w:r>
        <w:rPr>
          <w:rFonts w:hint="eastAsia" w:asciiTheme="minorEastAsia" w:hAnsiTheme="minorEastAsia" w:eastAsiaTheme="minorEastAsia" w:cstheme="minorEastAsia"/>
          <w:color w:val="auto"/>
          <w:sz w:val="24"/>
          <w:lang w:val="en-US" w:eastAsia="zh-CN"/>
        </w:rPr>
        <w:t>https://www.creditchina. gov. cn/</w:t>
      </w:r>
      <w:r>
        <w:rPr>
          <w:rFonts w:hint="eastAsia" w:asciiTheme="minorEastAsia" w:hAnsiTheme="minorEastAsia" w:eastAsiaTheme="minorEastAsia" w:cstheme="minorEastAsia"/>
          <w:color w:val="auto"/>
          <w:sz w:val="24"/>
          <w:lang w:val="en-US"/>
        </w:rPr>
        <w:t>）未被列入失信被执行人记录、重大税收违法案件当事人名单且在中国政府采购网（</w:t>
      </w:r>
      <w:r>
        <w:rPr>
          <w:rFonts w:hint="eastAsia" w:asciiTheme="minorEastAsia" w:hAnsiTheme="minorEastAsia" w:eastAsiaTheme="minorEastAsia" w:cstheme="minorEastAsia"/>
          <w:color w:val="auto"/>
          <w:sz w:val="24"/>
          <w:lang w:val="en-US" w:eastAsia="zh-CN"/>
        </w:rPr>
        <w:t>http://www.ccgp.gov.cn/</w:t>
      </w:r>
      <w:r>
        <w:rPr>
          <w:rFonts w:hint="eastAsia" w:asciiTheme="minorEastAsia" w:hAnsiTheme="minorEastAsia" w:eastAsiaTheme="minorEastAsia" w:cstheme="minorEastAsia"/>
          <w:color w:val="auto"/>
          <w:sz w:val="24"/>
          <w:lang w:val="en-US"/>
        </w:rPr>
        <w:t>）没有相关主体政府采购严重违法失信行为记录（被禁止在一定期限内参加政府采购活动但期限届满的除外）的查询记录。</w:t>
      </w:r>
      <w:bookmarkEnd w:id="575"/>
      <w:bookmarkEnd w:id="576"/>
      <w:bookmarkEnd w:id="577"/>
    </w:p>
    <w:p w14:paraId="6DC69C08">
      <w:pPr>
        <w:pStyle w:val="12"/>
        <w:tabs>
          <w:tab w:val="left" w:pos="5580"/>
        </w:tabs>
        <w:spacing w:line="240" w:lineRule="atLeast"/>
        <w:ind w:left="1105" w:leftChars="257" w:hanging="540"/>
        <w:jc w:val="center"/>
        <w:rPr>
          <w:b/>
          <w:color w:val="auto"/>
        </w:rPr>
      </w:pPr>
    </w:p>
    <w:p w14:paraId="2854A1AA">
      <w:pPr>
        <w:pStyle w:val="12"/>
        <w:tabs>
          <w:tab w:val="left" w:pos="5580"/>
        </w:tabs>
        <w:spacing w:line="240" w:lineRule="atLeast"/>
        <w:ind w:left="1105" w:leftChars="257" w:hanging="540"/>
        <w:rPr>
          <w:color w:val="auto"/>
        </w:rPr>
      </w:pPr>
    </w:p>
    <w:p w14:paraId="06F7FD37">
      <w:pPr>
        <w:pStyle w:val="12"/>
        <w:tabs>
          <w:tab w:val="left" w:pos="5580"/>
        </w:tabs>
        <w:spacing w:line="240" w:lineRule="atLeast"/>
        <w:ind w:left="1105" w:leftChars="257" w:hanging="540"/>
        <w:rPr>
          <w:color w:val="auto"/>
        </w:rPr>
      </w:pPr>
    </w:p>
    <w:p w14:paraId="094BAACF">
      <w:pPr>
        <w:pStyle w:val="12"/>
        <w:tabs>
          <w:tab w:val="left" w:pos="5580"/>
        </w:tabs>
        <w:spacing w:line="360" w:lineRule="exact"/>
        <w:ind w:left="1421" w:leftChars="257" w:hanging="856" w:hangingChars="357"/>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说明：</w:t>
      </w:r>
      <w:r>
        <w:rPr>
          <w:rFonts w:hint="eastAsia" w:asciiTheme="minorEastAsia" w:hAnsiTheme="minorEastAsia" w:eastAsiaTheme="minorEastAsia" w:cstheme="minorEastAsia"/>
          <w:color w:val="auto"/>
          <w:szCs w:val="24"/>
          <w:lang w:val="en-US"/>
        </w:rPr>
        <w:t xml:space="preserve"> </w:t>
      </w:r>
      <w:r>
        <w:rPr>
          <w:rFonts w:hint="eastAsia" w:asciiTheme="minorEastAsia" w:hAnsiTheme="minorEastAsia" w:eastAsiaTheme="minorEastAsia" w:cstheme="minorEastAsia"/>
          <w:color w:val="auto"/>
          <w:szCs w:val="24"/>
        </w:rPr>
        <w:t>1.投标人应按照相关法规规定如实作出说明，并提供招标公告发布至投标截止时间前在上述网站查询结果截图。</w:t>
      </w:r>
    </w:p>
    <w:p w14:paraId="5B1A54C0">
      <w:pPr>
        <w:pStyle w:val="12"/>
        <w:tabs>
          <w:tab w:val="left" w:pos="5580"/>
        </w:tabs>
        <w:spacing w:line="360" w:lineRule="exact"/>
        <w:ind w:left="1317" w:leftChars="599" w:firstLine="103" w:firstLineChars="43"/>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2．按照招标文件的规定加盖单位章。</w:t>
      </w:r>
    </w:p>
    <w:p w14:paraId="7C3309F9">
      <w:pPr>
        <w:pStyle w:val="12"/>
        <w:tabs>
          <w:tab w:val="left" w:pos="5580"/>
        </w:tabs>
        <w:spacing w:line="240" w:lineRule="atLeast"/>
        <w:ind w:left="1105" w:leftChars="257" w:hanging="540"/>
        <w:rPr>
          <w:color w:val="auto"/>
        </w:rPr>
      </w:pPr>
      <w:r>
        <w:rPr>
          <w:rFonts w:hint="eastAsia"/>
          <w:color w:val="auto"/>
        </w:rPr>
        <w:t xml:space="preserve">  </w:t>
      </w:r>
    </w:p>
    <w:p w14:paraId="2DABA5C0">
      <w:pPr>
        <w:pStyle w:val="7"/>
        <w:ind w:firstLine="440"/>
        <w:rPr>
          <w:color w:va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6C2D8D28">
      <w:pPr>
        <w:pStyle w:val="4"/>
        <w:spacing w:before="0" w:line="360" w:lineRule="exact"/>
        <w:rPr>
          <w:rFonts w:cs="宋体" w:asciiTheme="minorEastAsia" w:hAnsiTheme="minorEastAsia" w:eastAsiaTheme="minorEastAsia"/>
          <w:color w:val="auto"/>
          <w:sz w:val="24"/>
        </w:rPr>
      </w:pPr>
      <w:bookmarkStart w:id="578" w:name="_Toc28529"/>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、供应商须知资料表要求的其他资格证明文件</w:t>
      </w:r>
      <w:bookmarkEnd w:id="567"/>
      <w:bookmarkEnd w:id="568"/>
      <w:bookmarkEnd w:id="569"/>
      <w:bookmarkEnd w:id="570"/>
      <w:bookmarkEnd w:id="571"/>
      <w:bookmarkEnd w:id="572"/>
      <w:bookmarkEnd w:id="573"/>
      <w:bookmarkEnd w:id="574"/>
      <w:bookmarkEnd w:id="578"/>
    </w:p>
    <w:p w14:paraId="2A2C1F46">
      <w:pPr>
        <w:spacing w:line="360" w:lineRule="exact"/>
        <w:ind w:left="1105" w:leftChars="257" w:hanging="540"/>
        <w:jc w:val="center"/>
        <w:rPr>
          <w:rFonts w:cs="宋体" w:asciiTheme="minorEastAsia" w:hAnsiTheme="minorEastAsia" w:eastAsiaTheme="minorEastAsia"/>
          <w:b/>
          <w:bCs/>
          <w:color w:val="auto"/>
          <w:sz w:val="24"/>
        </w:rPr>
      </w:pPr>
    </w:p>
    <w:p w14:paraId="1677C4C3">
      <w:pPr>
        <w:spacing w:line="360" w:lineRule="exact"/>
        <w:rPr>
          <w:rFonts w:cs="宋体" w:asciiTheme="minorEastAsia" w:hAnsiTheme="minorEastAsia" w:eastAsiaTheme="minorEastAsia"/>
          <w:b/>
          <w:bCs/>
          <w:color w:val="auto"/>
          <w:sz w:val="24"/>
        </w:rPr>
      </w:pPr>
    </w:p>
    <w:p w14:paraId="7FAC87FF">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说明：1.应提供</w:t>
      </w:r>
      <w:r>
        <w:rPr>
          <w:rFonts w:hint="eastAsia" w:cs="宋体" w:asciiTheme="minorEastAsia" w:hAnsiTheme="minorEastAsia" w:eastAsiaTheme="minorEastAsia"/>
          <w:color w:val="auto"/>
          <w:u w:val="single"/>
        </w:rPr>
        <w:t>供应商须知资料表</w:t>
      </w:r>
      <w:r>
        <w:rPr>
          <w:rFonts w:hint="eastAsia" w:cs="宋体" w:asciiTheme="minorEastAsia" w:hAnsiTheme="minorEastAsia" w:eastAsiaTheme="minorEastAsia"/>
          <w:color w:val="auto"/>
        </w:rPr>
        <w:t>要求的其他资格证明文件。</w:t>
      </w:r>
    </w:p>
    <w:p w14:paraId="5DEF26D5">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2.复印件上应加盖本单位章。</w:t>
      </w:r>
    </w:p>
    <w:p w14:paraId="26B98339">
      <w:pPr>
        <w:pStyle w:val="12"/>
        <w:tabs>
          <w:tab w:val="left" w:pos="5580"/>
        </w:tabs>
        <w:spacing w:line="360" w:lineRule="exact"/>
        <w:ind w:left="1294" w:leftChars="344" w:hanging="538"/>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3. 如果是联合体提交响应文件，联合体各方需提供的满足磋商文件要求的其他资格证明文件。</w:t>
      </w:r>
    </w:p>
    <w:p w14:paraId="0915272F">
      <w:pPr>
        <w:pStyle w:val="12"/>
        <w:tabs>
          <w:tab w:val="left" w:pos="5580"/>
        </w:tabs>
        <w:spacing w:line="360" w:lineRule="exact"/>
        <w:ind w:left="1294" w:leftChars="344" w:hanging="538"/>
        <w:rPr>
          <w:rFonts w:cs="宋体" w:asciiTheme="minorEastAsia" w:hAnsiTheme="minorEastAsia" w:eastAsiaTheme="minorEastAsia"/>
          <w:color w:val="auto"/>
        </w:rPr>
      </w:pPr>
    </w:p>
    <w:p w14:paraId="39CF1776">
      <w:pPr>
        <w:pStyle w:val="12"/>
        <w:tabs>
          <w:tab w:val="left" w:pos="5580"/>
        </w:tabs>
        <w:spacing w:line="360" w:lineRule="exact"/>
        <w:ind w:left="1294" w:leftChars="344" w:hanging="538"/>
        <w:rPr>
          <w:rFonts w:cs="宋体" w:asciiTheme="minorEastAsia" w:hAnsiTheme="minorEastAsia" w:eastAsiaTheme="minorEastAsia"/>
          <w:color w:val="auto"/>
        </w:rPr>
      </w:pPr>
    </w:p>
    <w:p w14:paraId="5FFE6136">
      <w:pPr>
        <w:pStyle w:val="12"/>
        <w:tabs>
          <w:tab w:val="left" w:pos="5580"/>
        </w:tabs>
        <w:spacing w:line="360" w:lineRule="exact"/>
        <w:ind w:left="1294" w:leftChars="344" w:hanging="538"/>
        <w:rPr>
          <w:rFonts w:cs="宋体" w:asciiTheme="minorEastAsia" w:hAnsiTheme="minorEastAsia" w:eastAsiaTheme="minorEastAsia"/>
          <w:color w:val="auto"/>
        </w:rPr>
      </w:pPr>
    </w:p>
    <w:p w14:paraId="52EBC093">
      <w:pPr>
        <w:pStyle w:val="12"/>
        <w:tabs>
          <w:tab w:val="left" w:pos="5580"/>
        </w:tabs>
        <w:spacing w:line="360" w:lineRule="exact"/>
        <w:ind w:left="1294" w:leftChars="344" w:hanging="538"/>
        <w:rPr>
          <w:rFonts w:cs="宋体" w:asciiTheme="minorEastAsia" w:hAnsiTheme="minorEastAsia" w:eastAsiaTheme="minorEastAsia"/>
          <w:color w:val="auto"/>
        </w:rPr>
      </w:pPr>
    </w:p>
    <w:p w14:paraId="294E3C03">
      <w:pPr>
        <w:pStyle w:val="12"/>
        <w:tabs>
          <w:tab w:val="left" w:pos="5580"/>
        </w:tabs>
        <w:spacing w:line="360" w:lineRule="exact"/>
        <w:ind w:left="1294" w:leftChars="344" w:hanging="538"/>
        <w:rPr>
          <w:rFonts w:cs="宋体" w:asciiTheme="minorEastAsia" w:hAnsiTheme="minorEastAsia" w:eastAsiaTheme="minorEastAsia"/>
          <w:color w:val="auto"/>
        </w:rPr>
      </w:pPr>
    </w:p>
    <w:p w14:paraId="559B4A63">
      <w:pPr>
        <w:pStyle w:val="12"/>
        <w:tabs>
          <w:tab w:val="left" w:pos="5580"/>
        </w:tabs>
        <w:spacing w:line="360" w:lineRule="exact"/>
        <w:ind w:left="1294" w:leftChars="344" w:hanging="538"/>
        <w:rPr>
          <w:rFonts w:cs="宋体" w:asciiTheme="minorEastAsia" w:hAnsiTheme="minorEastAsia" w:eastAsiaTheme="minorEastAsia"/>
          <w:color w:val="auto"/>
        </w:rPr>
      </w:pPr>
    </w:p>
    <w:p w14:paraId="14E2381F">
      <w:pPr>
        <w:pStyle w:val="12"/>
        <w:tabs>
          <w:tab w:val="left" w:pos="5580"/>
        </w:tabs>
        <w:spacing w:line="360" w:lineRule="exact"/>
        <w:ind w:left="1294" w:leftChars="344" w:hanging="538"/>
        <w:rPr>
          <w:rFonts w:cs="宋体" w:asciiTheme="minorEastAsia" w:hAnsiTheme="minorEastAsia" w:eastAsiaTheme="minorEastAsia"/>
          <w:color w:val="auto"/>
        </w:rPr>
      </w:pPr>
    </w:p>
    <w:p w14:paraId="0532A868">
      <w:pPr>
        <w:pStyle w:val="12"/>
        <w:tabs>
          <w:tab w:val="left" w:pos="5580"/>
        </w:tabs>
        <w:spacing w:line="360" w:lineRule="exact"/>
        <w:ind w:left="1294" w:leftChars="344" w:hanging="538"/>
        <w:rPr>
          <w:rFonts w:cs="宋体" w:asciiTheme="minorEastAsia" w:hAnsiTheme="minorEastAsia" w:eastAsiaTheme="minorEastAsia"/>
          <w:color w:val="auto"/>
        </w:rPr>
      </w:pPr>
    </w:p>
    <w:p w14:paraId="0B356049">
      <w:pPr>
        <w:pStyle w:val="12"/>
        <w:tabs>
          <w:tab w:val="left" w:pos="5580"/>
        </w:tabs>
        <w:spacing w:line="360" w:lineRule="exact"/>
        <w:ind w:left="1294" w:leftChars="344" w:hanging="538"/>
        <w:rPr>
          <w:rFonts w:cs="宋体" w:asciiTheme="minorEastAsia" w:hAnsiTheme="minorEastAsia" w:eastAsiaTheme="minorEastAsia"/>
          <w:color w:val="auto"/>
        </w:rPr>
      </w:pPr>
    </w:p>
    <w:p w14:paraId="636D6F91">
      <w:pPr>
        <w:pStyle w:val="12"/>
        <w:tabs>
          <w:tab w:val="left" w:pos="5580"/>
        </w:tabs>
        <w:spacing w:line="360" w:lineRule="exact"/>
        <w:ind w:left="1294" w:leftChars="344" w:hanging="538"/>
        <w:rPr>
          <w:rFonts w:cs="宋体" w:asciiTheme="minorEastAsia" w:hAnsiTheme="minorEastAsia" w:eastAsiaTheme="minorEastAsia"/>
          <w:color w:val="auto"/>
        </w:rPr>
      </w:pPr>
    </w:p>
    <w:p w14:paraId="1072C415">
      <w:pPr>
        <w:pStyle w:val="12"/>
        <w:tabs>
          <w:tab w:val="left" w:pos="5580"/>
        </w:tabs>
        <w:spacing w:line="360" w:lineRule="exact"/>
        <w:ind w:left="1294" w:leftChars="344" w:hanging="538"/>
        <w:rPr>
          <w:rFonts w:cs="宋体" w:asciiTheme="minorEastAsia" w:hAnsiTheme="minorEastAsia" w:eastAsiaTheme="minorEastAsia"/>
          <w:color w:val="auto"/>
        </w:rPr>
      </w:pPr>
    </w:p>
    <w:p w14:paraId="55B64FB0">
      <w:pPr>
        <w:pStyle w:val="12"/>
        <w:tabs>
          <w:tab w:val="left" w:pos="5580"/>
        </w:tabs>
        <w:spacing w:line="360" w:lineRule="exact"/>
        <w:ind w:left="1294" w:leftChars="344" w:hanging="538"/>
        <w:rPr>
          <w:rFonts w:cs="宋体" w:asciiTheme="minorEastAsia" w:hAnsiTheme="minorEastAsia" w:eastAsiaTheme="minorEastAsia"/>
          <w:color w:val="auto"/>
        </w:rPr>
      </w:pPr>
    </w:p>
    <w:p w14:paraId="63EB8387">
      <w:pPr>
        <w:pStyle w:val="12"/>
        <w:tabs>
          <w:tab w:val="left" w:pos="5580"/>
        </w:tabs>
        <w:spacing w:line="360" w:lineRule="exact"/>
        <w:ind w:left="1294" w:leftChars="344" w:hanging="538"/>
        <w:rPr>
          <w:rFonts w:cs="宋体" w:asciiTheme="minorEastAsia" w:hAnsiTheme="minorEastAsia" w:eastAsiaTheme="minorEastAsia"/>
          <w:color w:val="auto"/>
        </w:rPr>
      </w:pPr>
    </w:p>
    <w:p w14:paraId="63C37ABF">
      <w:pPr>
        <w:pStyle w:val="12"/>
        <w:tabs>
          <w:tab w:val="left" w:pos="5580"/>
        </w:tabs>
        <w:spacing w:line="360" w:lineRule="exact"/>
        <w:ind w:left="1294" w:leftChars="344" w:hanging="538"/>
        <w:rPr>
          <w:rFonts w:cs="宋体" w:asciiTheme="minorEastAsia" w:hAnsiTheme="minorEastAsia" w:eastAsiaTheme="minorEastAsia"/>
          <w:color w:val="auto"/>
        </w:rPr>
      </w:pPr>
    </w:p>
    <w:p w14:paraId="2FD965D6">
      <w:pPr>
        <w:pStyle w:val="12"/>
        <w:tabs>
          <w:tab w:val="left" w:pos="5580"/>
        </w:tabs>
        <w:spacing w:line="360" w:lineRule="exact"/>
        <w:ind w:left="1294" w:leftChars="344" w:hanging="538"/>
        <w:rPr>
          <w:rFonts w:cs="宋体" w:asciiTheme="minorEastAsia" w:hAnsiTheme="minorEastAsia" w:eastAsiaTheme="minorEastAsia"/>
          <w:color w:val="auto"/>
        </w:rPr>
      </w:pPr>
    </w:p>
    <w:p w14:paraId="09D0E520">
      <w:pPr>
        <w:pStyle w:val="12"/>
        <w:tabs>
          <w:tab w:val="left" w:pos="5580"/>
        </w:tabs>
        <w:spacing w:line="360" w:lineRule="exact"/>
        <w:ind w:left="1294" w:leftChars="344" w:hanging="538"/>
        <w:rPr>
          <w:rFonts w:cs="宋体" w:asciiTheme="minorEastAsia" w:hAnsiTheme="minorEastAsia" w:eastAsiaTheme="minorEastAsia"/>
          <w:color w:val="auto"/>
        </w:rPr>
      </w:pPr>
    </w:p>
    <w:p w14:paraId="0483DF05">
      <w:pPr>
        <w:pStyle w:val="12"/>
        <w:tabs>
          <w:tab w:val="left" w:pos="5580"/>
        </w:tabs>
        <w:spacing w:line="360" w:lineRule="exact"/>
        <w:ind w:left="1294" w:leftChars="344" w:hanging="538"/>
        <w:rPr>
          <w:rFonts w:cs="宋体" w:asciiTheme="minorEastAsia" w:hAnsiTheme="minorEastAsia" w:eastAsiaTheme="minorEastAsia"/>
          <w:color w:val="auto"/>
        </w:rPr>
      </w:pPr>
    </w:p>
    <w:p w14:paraId="35FD4B8A">
      <w:pPr>
        <w:pStyle w:val="12"/>
        <w:tabs>
          <w:tab w:val="left" w:pos="5580"/>
        </w:tabs>
        <w:spacing w:line="360" w:lineRule="exact"/>
        <w:ind w:left="1294" w:leftChars="344" w:hanging="538"/>
        <w:rPr>
          <w:rFonts w:cs="宋体" w:asciiTheme="minorEastAsia" w:hAnsiTheme="minorEastAsia" w:eastAsiaTheme="minorEastAsia"/>
          <w:color w:val="auto"/>
        </w:rPr>
      </w:pPr>
    </w:p>
    <w:p w14:paraId="2CD05EDB">
      <w:pPr>
        <w:pStyle w:val="12"/>
        <w:tabs>
          <w:tab w:val="left" w:pos="5580"/>
        </w:tabs>
        <w:spacing w:line="360" w:lineRule="exact"/>
        <w:ind w:left="1294" w:leftChars="344" w:hanging="538"/>
        <w:rPr>
          <w:rFonts w:cs="宋体" w:asciiTheme="minorEastAsia" w:hAnsiTheme="minorEastAsia" w:eastAsiaTheme="minorEastAsia"/>
          <w:color w:val="auto"/>
        </w:rPr>
      </w:pPr>
    </w:p>
    <w:p w14:paraId="115F63A9">
      <w:pPr>
        <w:pStyle w:val="12"/>
        <w:tabs>
          <w:tab w:val="left" w:pos="5580"/>
        </w:tabs>
        <w:spacing w:line="360" w:lineRule="exact"/>
        <w:ind w:left="1294" w:leftChars="344" w:hanging="538"/>
        <w:rPr>
          <w:rFonts w:cs="宋体" w:asciiTheme="minorEastAsia" w:hAnsiTheme="minorEastAsia" w:eastAsiaTheme="minorEastAsia"/>
          <w:color w:val="auto"/>
        </w:rPr>
      </w:pPr>
    </w:p>
    <w:p w14:paraId="434FF819">
      <w:pPr>
        <w:pStyle w:val="12"/>
        <w:tabs>
          <w:tab w:val="left" w:pos="5580"/>
        </w:tabs>
        <w:spacing w:line="360" w:lineRule="exact"/>
        <w:ind w:left="1294" w:leftChars="344" w:hanging="538"/>
        <w:rPr>
          <w:rFonts w:cs="宋体" w:asciiTheme="minorEastAsia" w:hAnsiTheme="minorEastAsia" w:eastAsiaTheme="minorEastAsia"/>
          <w:color w:val="auto"/>
        </w:rPr>
      </w:pPr>
    </w:p>
    <w:p w14:paraId="0B329374">
      <w:pPr>
        <w:pStyle w:val="12"/>
        <w:tabs>
          <w:tab w:val="left" w:pos="5580"/>
        </w:tabs>
        <w:spacing w:line="360" w:lineRule="exact"/>
        <w:ind w:left="1294" w:leftChars="344" w:hanging="538"/>
        <w:rPr>
          <w:rFonts w:cs="宋体" w:asciiTheme="minorEastAsia" w:hAnsiTheme="minorEastAsia" w:eastAsiaTheme="minorEastAsia"/>
          <w:color w:val="auto"/>
        </w:rPr>
      </w:pPr>
    </w:p>
    <w:p w14:paraId="4BEF2758">
      <w:pPr>
        <w:pStyle w:val="12"/>
        <w:tabs>
          <w:tab w:val="left" w:pos="5580"/>
        </w:tabs>
        <w:spacing w:line="360" w:lineRule="exact"/>
        <w:ind w:left="1294" w:leftChars="344" w:hanging="538"/>
        <w:rPr>
          <w:rFonts w:cs="宋体" w:asciiTheme="minorEastAsia" w:hAnsiTheme="minorEastAsia" w:eastAsiaTheme="minorEastAsia"/>
          <w:color w:val="auto"/>
        </w:rPr>
      </w:pPr>
    </w:p>
    <w:p w14:paraId="4F5F0745">
      <w:pPr>
        <w:pStyle w:val="12"/>
        <w:tabs>
          <w:tab w:val="left" w:pos="5580"/>
        </w:tabs>
        <w:spacing w:line="360" w:lineRule="exact"/>
        <w:ind w:left="1294" w:leftChars="344" w:hanging="538"/>
        <w:rPr>
          <w:rFonts w:cs="宋体" w:asciiTheme="minorEastAsia" w:hAnsiTheme="minorEastAsia" w:eastAsiaTheme="minorEastAsia"/>
          <w:color w:val="auto"/>
        </w:rPr>
      </w:pPr>
    </w:p>
    <w:p w14:paraId="217078F5">
      <w:pPr>
        <w:pStyle w:val="12"/>
        <w:tabs>
          <w:tab w:val="left" w:pos="5580"/>
        </w:tabs>
        <w:spacing w:line="360" w:lineRule="exact"/>
        <w:ind w:left="1294" w:leftChars="344" w:hanging="538"/>
        <w:rPr>
          <w:rFonts w:cs="宋体" w:asciiTheme="minorEastAsia" w:hAnsiTheme="minorEastAsia" w:eastAsiaTheme="minorEastAsia"/>
          <w:color w:val="auto"/>
        </w:rPr>
      </w:pPr>
    </w:p>
    <w:p w14:paraId="66387F98">
      <w:pPr>
        <w:pStyle w:val="12"/>
        <w:tabs>
          <w:tab w:val="left" w:pos="5580"/>
        </w:tabs>
        <w:spacing w:line="360" w:lineRule="exact"/>
        <w:ind w:left="1294" w:leftChars="344" w:hanging="538"/>
        <w:rPr>
          <w:rFonts w:cs="宋体" w:asciiTheme="minorEastAsia" w:hAnsiTheme="minorEastAsia" w:eastAsiaTheme="minorEastAsia"/>
          <w:color w:val="auto"/>
        </w:rPr>
      </w:pPr>
    </w:p>
    <w:p w14:paraId="48200ABB">
      <w:pPr>
        <w:pStyle w:val="12"/>
        <w:tabs>
          <w:tab w:val="left" w:pos="5580"/>
        </w:tabs>
        <w:spacing w:line="360" w:lineRule="exact"/>
        <w:ind w:left="1294" w:leftChars="344" w:hanging="538"/>
        <w:rPr>
          <w:rFonts w:cs="宋体" w:asciiTheme="minorEastAsia" w:hAnsiTheme="minorEastAsia" w:eastAsiaTheme="minorEastAsia"/>
          <w:color w:val="auto"/>
        </w:rPr>
      </w:pPr>
    </w:p>
    <w:p w14:paraId="2ADF96C6">
      <w:pPr>
        <w:pStyle w:val="12"/>
        <w:tabs>
          <w:tab w:val="left" w:pos="5580"/>
        </w:tabs>
        <w:spacing w:line="360" w:lineRule="exact"/>
        <w:ind w:left="1294" w:leftChars="344" w:hanging="538"/>
        <w:rPr>
          <w:rFonts w:cs="宋体" w:asciiTheme="minorEastAsia" w:hAnsiTheme="minorEastAsia" w:eastAsiaTheme="minorEastAsia"/>
          <w:color w:val="auto"/>
        </w:rPr>
      </w:pPr>
    </w:p>
    <w:p w14:paraId="715ABA5E">
      <w:pPr>
        <w:pStyle w:val="12"/>
        <w:tabs>
          <w:tab w:val="left" w:pos="5580"/>
        </w:tabs>
        <w:spacing w:line="360" w:lineRule="exact"/>
        <w:ind w:left="1294" w:leftChars="344" w:hanging="538"/>
        <w:rPr>
          <w:rFonts w:cs="宋体" w:asciiTheme="minorEastAsia" w:hAnsiTheme="minorEastAsia" w:eastAsiaTheme="minorEastAsia"/>
          <w:color w:val="auto"/>
        </w:rPr>
      </w:pPr>
    </w:p>
    <w:p w14:paraId="6F570698">
      <w:pPr>
        <w:spacing w:line="360" w:lineRule="exact"/>
        <w:rPr>
          <w:rFonts w:cs="宋体" w:asciiTheme="minorEastAsia" w:hAnsiTheme="minorEastAsia" w:eastAsiaTheme="minorEastAsia"/>
          <w:color w:val="auto"/>
          <w:sz w:val="24"/>
        </w:rPr>
      </w:pPr>
    </w:p>
    <w:bookmarkEnd w:id="497"/>
    <w:bookmarkEnd w:id="498"/>
    <w:bookmarkEnd w:id="559"/>
    <w:bookmarkEnd w:id="560"/>
    <w:bookmarkEnd w:id="561"/>
    <w:p w14:paraId="769F07AB">
      <w:pPr>
        <w:rPr>
          <w:rFonts w:cs="宋体" w:asciiTheme="minorEastAsia" w:hAnsiTheme="minorEastAsia" w:eastAsiaTheme="minorEastAsia"/>
          <w:b/>
          <w:color w:val="auto"/>
          <w:sz w:val="24"/>
        </w:rPr>
      </w:pPr>
      <w:bookmarkStart w:id="579" w:name="_Toc24267_WPSOffice_Level2"/>
      <w:bookmarkStart w:id="580" w:name="_Toc5279"/>
      <w:bookmarkStart w:id="581" w:name="_Toc23485"/>
      <w:bookmarkStart w:id="582" w:name="_Toc9513_WPSOffice_Level2"/>
      <w:bookmarkStart w:id="583" w:name="_Toc6295"/>
      <w:bookmarkStart w:id="584" w:name="_Toc515647817"/>
      <w:bookmarkStart w:id="585" w:name="_Toc26170"/>
      <w:bookmarkStart w:id="586" w:name="_Toc14915"/>
      <w:bookmarkStart w:id="587" w:name="_Toc23960"/>
      <w:bookmarkStart w:id="588" w:name="_Toc2041"/>
      <w:bookmarkStart w:id="589" w:name="_Toc5068"/>
      <w:r>
        <w:rPr>
          <w:rFonts w:hint="eastAsia" w:cs="宋体" w:asciiTheme="minorEastAsia" w:hAnsiTheme="minorEastAsia" w:eastAsiaTheme="minorEastAsia"/>
          <w:b/>
          <w:color w:val="auto"/>
          <w:sz w:val="24"/>
        </w:rPr>
        <w:br w:type="page"/>
      </w:r>
    </w:p>
    <w:p w14:paraId="5B67DCEA">
      <w:pPr>
        <w:pStyle w:val="12"/>
        <w:tabs>
          <w:tab w:val="left" w:pos="5580"/>
        </w:tabs>
        <w:spacing w:line="360" w:lineRule="exact"/>
        <w:jc w:val="center"/>
        <w:outlineLvl w:val="1"/>
        <w:rPr>
          <w:rFonts w:cs="宋体" w:asciiTheme="minorEastAsia" w:hAnsiTheme="minorEastAsia" w:eastAsiaTheme="minorEastAsia"/>
          <w:color w:val="auto"/>
        </w:rPr>
      </w:pPr>
      <w:bookmarkStart w:id="590" w:name="_Toc25036"/>
      <w:r>
        <w:rPr>
          <w:rFonts w:hint="eastAsia" w:cs="宋体" w:asciiTheme="minorEastAsia" w:hAnsiTheme="minorEastAsia" w:eastAsiaTheme="minorEastAsia"/>
          <w:b/>
          <w:color w:val="auto"/>
        </w:rPr>
        <w:t>第二部分  商务及技术文件</w:t>
      </w:r>
      <w:bookmarkEnd w:id="579"/>
      <w:bookmarkEnd w:id="580"/>
      <w:bookmarkEnd w:id="581"/>
      <w:bookmarkEnd w:id="582"/>
      <w:bookmarkEnd w:id="583"/>
      <w:bookmarkEnd w:id="590"/>
    </w:p>
    <w:p w14:paraId="50A2B3B2">
      <w:pPr>
        <w:pStyle w:val="12"/>
        <w:spacing w:line="360" w:lineRule="exact"/>
        <w:ind w:firstLine="720" w:firstLineChars="300"/>
        <w:rPr>
          <w:rFonts w:cs="宋体" w:asciiTheme="minorEastAsia" w:hAnsiTheme="minorEastAsia" w:eastAsiaTheme="minorEastAsia"/>
          <w:color w:val="auto"/>
        </w:rPr>
      </w:pPr>
      <w:r>
        <w:rPr>
          <w:rFonts w:hint="eastAsia" w:cs="宋体" w:asciiTheme="minorEastAsia" w:hAnsiTheme="minorEastAsia" w:eastAsiaTheme="minorEastAsia"/>
          <w:color w:val="auto"/>
        </w:rPr>
        <w:t>1、磋商响应函（响应文件格式</w:t>
      </w:r>
      <w:r>
        <w:rPr>
          <w:rFonts w:hint="eastAsia" w:cs="宋体" w:asciiTheme="minorEastAsia" w:hAnsiTheme="minorEastAsia" w:eastAsiaTheme="minorEastAsia"/>
          <w:color w:val="auto"/>
          <w:lang w:val="en-US" w:eastAsia="zh-CN"/>
        </w:rPr>
        <w:t>四</w:t>
      </w:r>
      <w:r>
        <w:rPr>
          <w:rFonts w:hint="eastAsia" w:cs="宋体" w:asciiTheme="minorEastAsia" w:hAnsiTheme="minorEastAsia" w:eastAsiaTheme="minorEastAsia"/>
          <w:color w:val="auto"/>
        </w:rPr>
        <w:t>）</w:t>
      </w:r>
    </w:p>
    <w:p w14:paraId="336495E8">
      <w:pPr>
        <w:pStyle w:val="12"/>
        <w:spacing w:line="360" w:lineRule="exact"/>
        <w:ind w:firstLine="720" w:firstLineChars="300"/>
        <w:rPr>
          <w:rFonts w:cs="宋体" w:asciiTheme="minorEastAsia" w:hAnsiTheme="minorEastAsia" w:eastAsiaTheme="minorEastAsia"/>
          <w:color w:val="auto"/>
        </w:rPr>
      </w:pPr>
      <w:r>
        <w:rPr>
          <w:rFonts w:hint="eastAsia" w:cs="宋体" w:asciiTheme="minorEastAsia" w:hAnsiTheme="minorEastAsia" w:eastAsiaTheme="minorEastAsia"/>
          <w:color w:val="auto"/>
        </w:rPr>
        <w:t>2、技术规格偏离表（响应文件格式</w:t>
      </w:r>
      <w:r>
        <w:rPr>
          <w:rFonts w:hint="eastAsia" w:cs="宋体" w:asciiTheme="minorEastAsia" w:hAnsiTheme="minorEastAsia" w:eastAsiaTheme="minorEastAsia"/>
          <w:color w:val="auto"/>
          <w:lang w:val="en-US" w:eastAsia="zh-CN"/>
        </w:rPr>
        <w:t>五</w:t>
      </w:r>
      <w:r>
        <w:rPr>
          <w:rFonts w:hint="eastAsia" w:cs="宋体" w:asciiTheme="minorEastAsia" w:hAnsiTheme="minorEastAsia" w:eastAsiaTheme="minorEastAsia"/>
          <w:color w:val="auto"/>
        </w:rPr>
        <w:t>）</w:t>
      </w:r>
    </w:p>
    <w:p w14:paraId="5530DD5E">
      <w:pPr>
        <w:pStyle w:val="12"/>
        <w:spacing w:line="360" w:lineRule="exact"/>
        <w:ind w:firstLine="720" w:firstLineChars="300"/>
        <w:rPr>
          <w:rFonts w:cs="宋体" w:asciiTheme="minorEastAsia" w:hAnsiTheme="minorEastAsia" w:eastAsiaTheme="minorEastAsia"/>
          <w:color w:val="auto"/>
        </w:rPr>
      </w:pPr>
      <w:r>
        <w:rPr>
          <w:rFonts w:hint="eastAsia" w:cs="宋体" w:asciiTheme="minorEastAsia" w:hAnsiTheme="minorEastAsia" w:eastAsiaTheme="minorEastAsia"/>
          <w:color w:val="auto"/>
        </w:rPr>
        <w:t>3、商务条款偏离表（响应文件格式</w:t>
      </w:r>
      <w:r>
        <w:rPr>
          <w:rFonts w:hint="eastAsia" w:cs="宋体" w:asciiTheme="minorEastAsia" w:hAnsiTheme="minorEastAsia" w:eastAsiaTheme="minorEastAsia"/>
          <w:color w:val="auto"/>
          <w:lang w:val="en-US" w:eastAsia="zh-CN"/>
        </w:rPr>
        <w:t>六</w:t>
      </w:r>
      <w:r>
        <w:rPr>
          <w:rFonts w:hint="eastAsia" w:cs="宋体" w:asciiTheme="minorEastAsia" w:hAnsiTheme="minorEastAsia" w:eastAsiaTheme="minorEastAsia"/>
          <w:color w:val="auto"/>
        </w:rPr>
        <w:t>）</w:t>
      </w:r>
    </w:p>
    <w:p w14:paraId="34374904">
      <w:pPr>
        <w:pStyle w:val="12"/>
        <w:spacing w:line="360" w:lineRule="exact"/>
        <w:ind w:firstLine="720" w:firstLineChars="300"/>
        <w:rPr>
          <w:rFonts w:cs="宋体" w:asciiTheme="minorEastAsia" w:hAnsiTheme="minorEastAsia" w:eastAsiaTheme="minorEastAsia"/>
          <w:color w:val="auto"/>
        </w:rPr>
      </w:pPr>
      <w:r>
        <w:rPr>
          <w:rFonts w:hint="eastAsia" w:cs="宋体" w:asciiTheme="minorEastAsia" w:hAnsiTheme="minorEastAsia" w:eastAsiaTheme="minorEastAsia"/>
          <w:color w:val="auto"/>
        </w:rPr>
        <w:t>4、符合《政府采购促进中小企业发展暂行办法》、《关于政府采购支持监狱企业发展有关问题的通知》和《三部门联合发布关于促进残疾人就业政府采购政策的通知》价格扣减条件的供应商须提交）</w:t>
      </w:r>
    </w:p>
    <w:p w14:paraId="68F3ACC2">
      <w:pPr>
        <w:pStyle w:val="12"/>
        <w:spacing w:line="360" w:lineRule="exact"/>
        <w:ind w:firstLine="720" w:firstLineChars="300"/>
        <w:outlineLvl w:val="1"/>
        <w:rPr>
          <w:rFonts w:cs="宋体" w:asciiTheme="minorEastAsia" w:hAnsiTheme="minorEastAsia" w:eastAsiaTheme="minorEastAsia"/>
          <w:color w:val="auto"/>
        </w:rPr>
      </w:pPr>
      <w:bookmarkStart w:id="591" w:name="_Toc31905_WPSOffice_Level2"/>
      <w:bookmarkStart w:id="592" w:name="_Toc10232_WPSOffice_Level2"/>
      <w:bookmarkStart w:id="593" w:name="_Toc18109"/>
      <w:r>
        <w:rPr>
          <w:rFonts w:hint="eastAsia" w:cs="宋体" w:asciiTheme="minorEastAsia" w:hAnsiTheme="minorEastAsia" w:eastAsiaTheme="minorEastAsia"/>
          <w:color w:val="auto"/>
          <w:lang w:val="en-US"/>
        </w:rPr>
        <w:t>4</w:t>
      </w:r>
      <w:r>
        <w:rPr>
          <w:rFonts w:hint="eastAsia" w:cs="宋体" w:asciiTheme="minorEastAsia" w:hAnsiTheme="minorEastAsia" w:eastAsiaTheme="minorEastAsia"/>
          <w:color w:val="auto"/>
        </w:rPr>
        <w:t>-1《供应商企业（单位）类型声明函》（响应文件格式</w:t>
      </w:r>
      <w:r>
        <w:rPr>
          <w:rFonts w:hint="eastAsia" w:cs="宋体" w:asciiTheme="minorEastAsia" w:hAnsiTheme="minorEastAsia" w:eastAsiaTheme="minorEastAsia"/>
          <w:color w:val="auto"/>
          <w:lang w:val="en-US" w:eastAsia="zh-CN"/>
        </w:rPr>
        <w:t>七</w:t>
      </w:r>
      <w:r>
        <w:rPr>
          <w:rFonts w:hint="eastAsia" w:cs="宋体" w:asciiTheme="minorEastAsia" w:hAnsiTheme="minorEastAsia" w:eastAsiaTheme="minorEastAsia"/>
          <w:color w:val="auto"/>
        </w:rPr>
        <w:t>）</w:t>
      </w:r>
      <w:bookmarkEnd w:id="591"/>
      <w:bookmarkEnd w:id="592"/>
      <w:bookmarkEnd w:id="593"/>
    </w:p>
    <w:p w14:paraId="18BCA0CC">
      <w:pPr>
        <w:pStyle w:val="12"/>
        <w:spacing w:line="360" w:lineRule="exact"/>
        <w:ind w:firstLine="720" w:firstLineChars="300"/>
        <w:outlineLvl w:val="1"/>
        <w:rPr>
          <w:rFonts w:cs="宋体" w:asciiTheme="minorEastAsia" w:hAnsiTheme="minorEastAsia" w:eastAsiaTheme="minorEastAsia"/>
          <w:color w:val="auto"/>
        </w:rPr>
      </w:pPr>
      <w:bookmarkStart w:id="594" w:name="_Toc30193_WPSOffice_Level2"/>
      <w:bookmarkStart w:id="595" w:name="_Toc6226"/>
      <w:bookmarkStart w:id="596" w:name="_Toc2883_WPSOffice_Level2"/>
      <w:r>
        <w:rPr>
          <w:rFonts w:hint="eastAsia" w:cs="宋体" w:asciiTheme="minorEastAsia" w:hAnsiTheme="minorEastAsia" w:eastAsiaTheme="minorEastAsia"/>
          <w:color w:val="auto"/>
          <w:lang w:val="en-US"/>
        </w:rPr>
        <w:t>4</w:t>
      </w:r>
      <w:r>
        <w:rPr>
          <w:rFonts w:hint="eastAsia" w:cs="宋体" w:asciiTheme="minorEastAsia" w:hAnsiTheme="minorEastAsia" w:eastAsiaTheme="minorEastAsia"/>
          <w:color w:val="auto"/>
        </w:rPr>
        <w:t>-2《制造商供应商企业（单位）类型声明函》（响应文件格式</w:t>
      </w:r>
      <w:r>
        <w:rPr>
          <w:rFonts w:hint="eastAsia" w:cs="宋体" w:asciiTheme="minorEastAsia" w:hAnsiTheme="minorEastAsia" w:eastAsiaTheme="minorEastAsia"/>
          <w:color w:val="auto"/>
          <w:lang w:val="en-US" w:eastAsia="zh-CN"/>
        </w:rPr>
        <w:t>八</w:t>
      </w:r>
      <w:r>
        <w:rPr>
          <w:rFonts w:hint="eastAsia" w:cs="宋体" w:asciiTheme="minorEastAsia" w:hAnsiTheme="minorEastAsia" w:eastAsiaTheme="minorEastAsia"/>
          <w:color w:val="auto"/>
        </w:rPr>
        <w:t>）</w:t>
      </w:r>
      <w:bookmarkEnd w:id="594"/>
      <w:bookmarkEnd w:id="595"/>
      <w:bookmarkEnd w:id="596"/>
    </w:p>
    <w:p w14:paraId="28D0A07E">
      <w:pPr>
        <w:pStyle w:val="12"/>
        <w:spacing w:line="360" w:lineRule="exact"/>
        <w:ind w:firstLine="720" w:firstLineChars="300"/>
        <w:outlineLvl w:val="1"/>
        <w:rPr>
          <w:rFonts w:hint="eastAsia" w:cs="宋体" w:asciiTheme="minorEastAsia" w:hAnsiTheme="minorEastAsia" w:eastAsiaTheme="minorEastAsia"/>
          <w:color w:val="auto"/>
        </w:rPr>
      </w:pPr>
      <w:bookmarkStart w:id="597" w:name="_Toc2617_WPSOffice_Level2"/>
      <w:bookmarkStart w:id="598" w:name="_Toc12463_WPSOffice_Level2"/>
      <w:bookmarkStart w:id="599" w:name="_Toc17672"/>
      <w:r>
        <w:rPr>
          <w:rFonts w:hint="eastAsia" w:cs="宋体" w:asciiTheme="minorEastAsia" w:hAnsiTheme="minorEastAsia" w:eastAsiaTheme="minorEastAsia"/>
          <w:color w:val="auto"/>
          <w:lang w:val="en-US"/>
        </w:rPr>
        <w:t>4</w:t>
      </w:r>
      <w:r>
        <w:rPr>
          <w:rFonts w:hint="eastAsia" w:cs="宋体" w:asciiTheme="minorEastAsia" w:hAnsiTheme="minorEastAsia" w:eastAsiaTheme="minorEastAsia"/>
          <w:color w:val="auto"/>
        </w:rPr>
        <w:t>-3《残疾人福利性单位声明函》</w:t>
      </w:r>
      <w:r>
        <w:rPr>
          <w:rFonts w:hint="eastAsia" w:cs="宋体" w:asciiTheme="minorEastAsia" w:hAnsiTheme="minorEastAsia" w:eastAsiaTheme="minorEastAsia"/>
          <w:color w:val="auto"/>
          <w:lang w:eastAsia="zh-CN"/>
        </w:rPr>
        <w:t>、监狱企业声明函</w:t>
      </w:r>
      <w:r>
        <w:rPr>
          <w:rFonts w:hint="eastAsia" w:cs="宋体" w:asciiTheme="minorEastAsia" w:hAnsiTheme="minorEastAsia" w:eastAsiaTheme="minorEastAsia"/>
          <w:color w:val="auto"/>
        </w:rPr>
        <w:t>（响应文件格式</w:t>
      </w:r>
      <w:r>
        <w:rPr>
          <w:rFonts w:hint="eastAsia" w:cs="宋体" w:asciiTheme="minorEastAsia" w:hAnsiTheme="minorEastAsia" w:eastAsiaTheme="minorEastAsia"/>
          <w:color w:val="auto"/>
          <w:lang w:val="en-US" w:eastAsia="zh-CN"/>
        </w:rPr>
        <w:t>九</w:t>
      </w:r>
      <w:r>
        <w:rPr>
          <w:rFonts w:hint="eastAsia" w:cs="宋体" w:asciiTheme="minorEastAsia" w:hAnsiTheme="minorEastAsia" w:eastAsiaTheme="minorEastAsia"/>
          <w:color w:val="auto"/>
        </w:rPr>
        <w:t>）</w:t>
      </w:r>
      <w:bookmarkEnd w:id="597"/>
      <w:bookmarkEnd w:id="598"/>
      <w:bookmarkEnd w:id="599"/>
    </w:p>
    <w:p w14:paraId="7834EEA1">
      <w:pPr>
        <w:pStyle w:val="12"/>
        <w:spacing w:line="360" w:lineRule="exact"/>
        <w:ind w:firstLine="720" w:firstLineChars="300"/>
        <w:outlineLvl w:val="2"/>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5</w:t>
      </w:r>
      <w:r>
        <w:rPr>
          <w:rFonts w:hint="eastAsia" w:cs="宋体" w:asciiTheme="minorEastAsia" w:hAnsiTheme="minorEastAsia" w:eastAsiaTheme="minorEastAsia"/>
          <w:color w:val="auto"/>
        </w:rPr>
        <w:t>、供应商关联单位的说明（格式自拟）</w:t>
      </w:r>
    </w:p>
    <w:p w14:paraId="1951B462">
      <w:pPr>
        <w:pStyle w:val="12"/>
        <w:spacing w:line="360" w:lineRule="exact"/>
        <w:ind w:firstLine="720" w:firstLineChars="300"/>
        <w:outlineLvl w:val="2"/>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6</w:t>
      </w:r>
      <w:r>
        <w:rPr>
          <w:rFonts w:hint="eastAsia" w:cs="宋体" w:asciiTheme="minorEastAsia" w:hAnsiTheme="minorEastAsia" w:eastAsiaTheme="minorEastAsia"/>
          <w:color w:val="auto"/>
        </w:rPr>
        <w:t>、响应文件还应包括供应商须知的</w:t>
      </w:r>
      <w:r>
        <w:rPr>
          <w:rFonts w:hint="eastAsia" w:cs="宋体" w:asciiTheme="minorEastAsia" w:hAnsiTheme="minorEastAsia" w:eastAsiaTheme="minorEastAsia"/>
          <w:color w:val="auto"/>
          <w:lang w:val="en-US"/>
        </w:rPr>
        <w:t>其他</w:t>
      </w:r>
      <w:r>
        <w:rPr>
          <w:rFonts w:hint="eastAsia" w:cs="宋体" w:asciiTheme="minorEastAsia" w:hAnsiTheme="minorEastAsia" w:eastAsiaTheme="minorEastAsia"/>
          <w:color w:val="auto"/>
        </w:rPr>
        <w:t>技术文件</w:t>
      </w:r>
    </w:p>
    <w:p w14:paraId="308732D5">
      <w:pPr>
        <w:pStyle w:val="12"/>
        <w:spacing w:line="360" w:lineRule="exact"/>
        <w:ind w:firstLine="720" w:firstLineChars="300"/>
        <w:outlineLvl w:val="2"/>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7</w:t>
      </w:r>
      <w:r>
        <w:rPr>
          <w:rFonts w:hint="eastAsia" w:cs="宋体" w:asciiTheme="minorEastAsia" w:hAnsiTheme="minorEastAsia" w:eastAsiaTheme="minorEastAsia"/>
          <w:color w:val="auto"/>
        </w:rPr>
        <w:t>、其他有利于磋商响应的技术条件</w:t>
      </w:r>
    </w:p>
    <w:p w14:paraId="71CB276E">
      <w:pPr>
        <w:pStyle w:val="12"/>
        <w:tabs>
          <w:tab w:val="left" w:pos="5580"/>
        </w:tabs>
        <w:spacing w:line="360" w:lineRule="exact"/>
        <w:rPr>
          <w:rFonts w:cs="宋体" w:asciiTheme="minorEastAsia" w:hAnsiTheme="minorEastAsia" w:eastAsiaTheme="minorEastAsia"/>
          <w:color w:val="auto"/>
        </w:rPr>
      </w:pPr>
    </w:p>
    <w:p w14:paraId="25A49323">
      <w:pPr>
        <w:pStyle w:val="12"/>
        <w:tabs>
          <w:tab w:val="left" w:pos="5580"/>
        </w:tabs>
        <w:spacing w:line="360" w:lineRule="exact"/>
        <w:rPr>
          <w:rFonts w:cs="宋体" w:asciiTheme="minorEastAsia" w:hAnsiTheme="minorEastAsia" w:eastAsiaTheme="minorEastAsia"/>
          <w:color w:val="auto"/>
        </w:rPr>
      </w:pPr>
    </w:p>
    <w:p w14:paraId="4E08779E">
      <w:pPr>
        <w:pStyle w:val="12"/>
        <w:tabs>
          <w:tab w:val="left" w:pos="5580"/>
        </w:tabs>
        <w:spacing w:line="360" w:lineRule="exact"/>
        <w:rPr>
          <w:rFonts w:cs="宋体" w:asciiTheme="minorEastAsia" w:hAnsiTheme="minorEastAsia" w:eastAsiaTheme="minorEastAsia"/>
          <w:color w:val="auto"/>
        </w:rPr>
      </w:pPr>
    </w:p>
    <w:p w14:paraId="533CADA5">
      <w:pPr>
        <w:pStyle w:val="12"/>
        <w:tabs>
          <w:tab w:val="left" w:pos="5580"/>
        </w:tabs>
        <w:spacing w:line="360" w:lineRule="exact"/>
        <w:rPr>
          <w:rFonts w:cs="宋体" w:asciiTheme="minorEastAsia" w:hAnsiTheme="minorEastAsia" w:eastAsiaTheme="minorEastAsia"/>
          <w:color w:val="auto"/>
        </w:rPr>
      </w:pPr>
    </w:p>
    <w:p w14:paraId="19EE2E37">
      <w:pPr>
        <w:pStyle w:val="12"/>
        <w:tabs>
          <w:tab w:val="left" w:pos="5580"/>
        </w:tabs>
        <w:spacing w:line="360" w:lineRule="exact"/>
        <w:rPr>
          <w:rFonts w:cs="宋体" w:asciiTheme="minorEastAsia" w:hAnsiTheme="minorEastAsia" w:eastAsiaTheme="minorEastAsia"/>
          <w:color w:val="auto"/>
        </w:rPr>
      </w:pPr>
    </w:p>
    <w:p w14:paraId="4E235B17">
      <w:pPr>
        <w:pStyle w:val="12"/>
        <w:tabs>
          <w:tab w:val="left" w:pos="5580"/>
        </w:tabs>
        <w:spacing w:line="360" w:lineRule="exact"/>
        <w:rPr>
          <w:rFonts w:cs="宋体" w:asciiTheme="minorEastAsia" w:hAnsiTheme="minorEastAsia" w:eastAsiaTheme="minorEastAsia"/>
          <w:color w:val="auto"/>
        </w:rPr>
      </w:pPr>
    </w:p>
    <w:p w14:paraId="07A1BFA9">
      <w:pPr>
        <w:pStyle w:val="12"/>
        <w:tabs>
          <w:tab w:val="left" w:pos="5580"/>
        </w:tabs>
        <w:spacing w:line="360" w:lineRule="exact"/>
        <w:rPr>
          <w:rFonts w:cs="宋体" w:asciiTheme="minorEastAsia" w:hAnsiTheme="minorEastAsia" w:eastAsiaTheme="minorEastAsia"/>
          <w:color w:val="auto"/>
        </w:rPr>
      </w:pPr>
    </w:p>
    <w:p w14:paraId="4B1ABD26">
      <w:pPr>
        <w:pStyle w:val="12"/>
        <w:tabs>
          <w:tab w:val="left" w:pos="5580"/>
        </w:tabs>
        <w:spacing w:line="360" w:lineRule="exact"/>
        <w:rPr>
          <w:rFonts w:cs="宋体" w:asciiTheme="minorEastAsia" w:hAnsiTheme="minorEastAsia" w:eastAsiaTheme="minorEastAsia"/>
          <w:color w:val="auto"/>
        </w:rPr>
      </w:pPr>
    </w:p>
    <w:p w14:paraId="3BDEE0F1">
      <w:pPr>
        <w:pStyle w:val="12"/>
        <w:tabs>
          <w:tab w:val="left" w:pos="5580"/>
        </w:tabs>
        <w:spacing w:line="360" w:lineRule="exact"/>
        <w:rPr>
          <w:rFonts w:cs="宋体" w:asciiTheme="minorEastAsia" w:hAnsiTheme="minorEastAsia" w:eastAsiaTheme="minorEastAsia"/>
          <w:color w:val="auto"/>
        </w:rPr>
      </w:pPr>
    </w:p>
    <w:p w14:paraId="7D40CC18">
      <w:pPr>
        <w:pStyle w:val="12"/>
        <w:tabs>
          <w:tab w:val="left" w:pos="5580"/>
        </w:tabs>
        <w:spacing w:line="360" w:lineRule="exact"/>
        <w:rPr>
          <w:rFonts w:cs="宋体" w:asciiTheme="minorEastAsia" w:hAnsiTheme="minorEastAsia" w:eastAsiaTheme="minorEastAsia"/>
          <w:color w:val="auto"/>
        </w:rPr>
      </w:pPr>
    </w:p>
    <w:p w14:paraId="3F54E18F">
      <w:pPr>
        <w:pStyle w:val="12"/>
        <w:tabs>
          <w:tab w:val="left" w:pos="5580"/>
        </w:tabs>
        <w:spacing w:line="360" w:lineRule="exact"/>
        <w:rPr>
          <w:rFonts w:cs="宋体" w:asciiTheme="minorEastAsia" w:hAnsiTheme="minorEastAsia" w:eastAsiaTheme="minorEastAsia"/>
          <w:color w:val="auto"/>
        </w:rPr>
      </w:pPr>
    </w:p>
    <w:p w14:paraId="1025C7D4">
      <w:pPr>
        <w:pStyle w:val="12"/>
        <w:tabs>
          <w:tab w:val="left" w:pos="5580"/>
        </w:tabs>
        <w:spacing w:line="360" w:lineRule="exact"/>
        <w:rPr>
          <w:rFonts w:cs="宋体" w:asciiTheme="minorEastAsia" w:hAnsiTheme="minorEastAsia" w:eastAsiaTheme="minorEastAsia"/>
          <w:color w:val="auto"/>
        </w:rPr>
      </w:pPr>
    </w:p>
    <w:p w14:paraId="05BD00EC">
      <w:pPr>
        <w:pStyle w:val="12"/>
        <w:tabs>
          <w:tab w:val="left" w:pos="5580"/>
        </w:tabs>
        <w:spacing w:line="360" w:lineRule="exact"/>
        <w:rPr>
          <w:rFonts w:cs="宋体" w:asciiTheme="minorEastAsia" w:hAnsiTheme="minorEastAsia" w:eastAsiaTheme="minorEastAsia"/>
          <w:color w:val="auto"/>
        </w:rPr>
      </w:pPr>
    </w:p>
    <w:p w14:paraId="683A88B3">
      <w:pPr>
        <w:pStyle w:val="12"/>
        <w:tabs>
          <w:tab w:val="left" w:pos="5580"/>
        </w:tabs>
        <w:spacing w:line="360" w:lineRule="exact"/>
        <w:rPr>
          <w:rFonts w:cs="宋体" w:asciiTheme="minorEastAsia" w:hAnsiTheme="minorEastAsia" w:eastAsiaTheme="minorEastAsia"/>
          <w:color w:val="auto"/>
        </w:rPr>
      </w:pPr>
    </w:p>
    <w:p w14:paraId="3C0A6BA5">
      <w:pPr>
        <w:pStyle w:val="12"/>
        <w:tabs>
          <w:tab w:val="left" w:pos="5580"/>
        </w:tabs>
        <w:spacing w:line="360" w:lineRule="exact"/>
        <w:rPr>
          <w:rFonts w:cs="宋体" w:asciiTheme="minorEastAsia" w:hAnsiTheme="minorEastAsia" w:eastAsiaTheme="minorEastAsia"/>
          <w:color w:val="auto"/>
        </w:rPr>
      </w:pPr>
    </w:p>
    <w:p w14:paraId="19D2BA6D">
      <w:pPr>
        <w:pStyle w:val="12"/>
        <w:tabs>
          <w:tab w:val="left" w:pos="5580"/>
        </w:tabs>
        <w:spacing w:line="360" w:lineRule="exact"/>
        <w:rPr>
          <w:rFonts w:cs="宋体" w:asciiTheme="minorEastAsia" w:hAnsiTheme="minorEastAsia" w:eastAsiaTheme="minorEastAsia"/>
          <w:color w:val="auto"/>
        </w:rPr>
      </w:pPr>
    </w:p>
    <w:p w14:paraId="7395040A">
      <w:pPr>
        <w:pStyle w:val="12"/>
        <w:tabs>
          <w:tab w:val="left" w:pos="5580"/>
        </w:tabs>
        <w:spacing w:line="360" w:lineRule="exact"/>
        <w:rPr>
          <w:rFonts w:cs="宋体" w:asciiTheme="minorEastAsia" w:hAnsiTheme="minorEastAsia" w:eastAsiaTheme="minorEastAsia"/>
          <w:color w:val="auto"/>
        </w:rPr>
      </w:pPr>
    </w:p>
    <w:p w14:paraId="48125C37">
      <w:pPr>
        <w:pStyle w:val="12"/>
        <w:tabs>
          <w:tab w:val="left" w:pos="5580"/>
        </w:tabs>
        <w:spacing w:line="360" w:lineRule="exact"/>
        <w:rPr>
          <w:rFonts w:cs="宋体" w:asciiTheme="minorEastAsia" w:hAnsiTheme="minorEastAsia" w:eastAsiaTheme="minorEastAsia"/>
          <w:color w:val="auto"/>
        </w:rPr>
      </w:pPr>
    </w:p>
    <w:p w14:paraId="6E575828">
      <w:pPr>
        <w:pStyle w:val="12"/>
        <w:tabs>
          <w:tab w:val="left" w:pos="5580"/>
        </w:tabs>
        <w:spacing w:line="360" w:lineRule="exact"/>
        <w:rPr>
          <w:rFonts w:cs="宋体" w:asciiTheme="minorEastAsia" w:hAnsiTheme="minorEastAsia" w:eastAsiaTheme="minorEastAsia"/>
          <w:color w:val="auto"/>
        </w:rPr>
      </w:pPr>
    </w:p>
    <w:p w14:paraId="3B070552">
      <w:pPr>
        <w:pStyle w:val="12"/>
        <w:tabs>
          <w:tab w:val="left" w:pos="5580"/>
        </w:tabs>
        <w:spacing w:line="360" w:lineRule="exact"/>
        <w:rPr>
          <w:rFonts w:cs="宋体" w:asciiTheme="minorEastAsia" w:hAnsiTheme="minorEastAsia" w:eastAsiaTheme="minorEastAsia"/>
          <w:color w:val="auto"/>
        </w:rPr>
      </w:pPr>
    </w:p>
    <w:p w14:paraId="14701268">
      <w:pPr>
        <w:pStyle w:val="12"/>
        <w:tabs>
          <w:tab w:val="left" w:pos="5580"/>
        </w:tabs>
        <w:spacing w:line="360" w:lineRule="exact"/>
        <w:rPr>
          <w:rFonts w:cs="宋体" w:asciiTheme="minorEastAsia" w:hAnsiTheme="minorEastAsia" w:eastAsiaTheme="minorEastAsia"/>
          <w:color w:val="auto"/>
        </w:rPr>
      </w:pPr>
    </w:p>
    <w:p w14:paraId="4FA3A389">
      <w:pP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br w:type="page"/>
      </w:r>
    </w:p>
    <w:p w14:paraId="1566C5FB">
      <w:pPr>
        <w:pStyle w:val="4"/>
        <w:spacing w:before="0" w:line="360" w:lineRule="exact"/>
        <w:ind w:left="1105" w:leftChars="257" w:hanging="540"/>
        <w:rPr>
          <w:rFonts w:cs="宋体" w:asciiTheme="minorEastAsia" w:hAnsiTheme="minorEastAsia" w:eastAsiaTheme="minorEastAsia"/>
          <w:color w:val="auto"/>
          <w:sz w:val="24"/>
        </w:rPr>
      </w:pPr>
      <w:bookmarkStart w:id="600" w:name="_Toc12918"/>
      <w:r>
        <w:rPr>
          <w:rFonts w:hint="eastAsia" w:cs="宋体" w:asciiTheme="minorEastAsia" w:hAnsiTheme="minorEastAsia" w:eastAsiaTheme="minorEastAsia"/>
          <w:color w:val="auto"/>
          <w:sz w:val="24"/>
        </w:rPr>
        <w:t xml:space="preserve">1   </w:t>
      </w:r>
      <w:bookmarkEnd w:id="499"/>
      <w:bookmarkEnd w:id="500"/>
      <w:bookmarkEnd w:id="501"/>
      <w:bookmarkStart w:id="601" w:name="_Hlt520355504"/>
      <w:bookmarkEnd w:id="601"/>
      <w:r>
        <w:rPr>
          <w:rFonts w:hint="eastAsia" w:cs="宋体" w:asciiTheme="minorEastAsia" w:hAnsiTheme="minorEastAsia" w:eastAsiaTheme="minorEastAsia"/>
          <w:color w:val="auto"/>
          <w:sz w:val="24"/>
        </w:rPr>
        <w:t>磋商响应函（响应文件格式</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w:t>
      </w:r>
      <w:bookmarkEnd w:id="502"/>
      <w:bookmarkEnd w:id="584"/>
      <w:bookmarkEnd w:id="585"/>
      <w:bookmarkEnd w:id="586"/>
      <w:bookmarkEnd w:id="587"/>
      <w:bookmarkEnd w:id="588"/>
      <w:bookmarkEnd w:id="589"/>
      <w:bookmarkEnd w:id="600"/>
    </w:p>
    <w:p w14:paraId="4733CCF0">
      <w:pPr>
        <w:tabs>
          <w:tab w:val="left" w:pos="5580"/>
        </w:tabs>
        <w:spacing w:line="360" w:lineRule="exact"/>
        <w:ind w:left="1105" w:leftChars="257" w:hanging="540"/>
        <w:rPr>
          <w:rFonts w:cs="宋体" w:asciiTheme="minorEastAsia" w:hAnsiTheme="minorEastAsia" w:eastAsiaTheme="minorEastAsia"/>
          <w:color w:val="auto"/>
          <w:sz w:val="24"/>
        </w:rPr>
      </w:pPr>
    </w:p>
    <w:p w14:paraId="4738EE90">
      <w:pPr>
        <w:tabs>
          <w:tab w:val="left" w:pos="5580"/>
        </w:tabs>
        <w:spacing w:line="360" w:lineRule="exact"/>
        <w:ind w:left="1080" w:hanging="108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致：</w:t>
      </w:r>
      <w:r>
        <w:rPr>
          <w:rFonts w:hint="eastAsia" w:cs="宋体" w:asciiTheme="minorEastAsia" w:hAnsiTheme="minorEastAsia" w:eastAsiaTheme="minorEastAsia"/>
          <w:color w:val="auto"/>
          <w:sz w:val="24"/>
          <w:u w:val="single"/>
        </w:rPr>
        <w:t>采购方</w:t>
      </w:r>
    </w:p>
    <w:p w14:paraId="3A2F6766">
      <w:pPr>
        <w:pStyle w:val="12"/>
        <w:tabs>
          <w:tab w:val="left" w:pos="5580"/>
        </w:tabs>
        <w:spacing w:line="360" w:lineRule="exact"/>
        <w:ind w:left="1105" w:leftChars="257" w:hanging="540"/>
        <w:rPr>
          <w:rFonts w:cs="宋体" w:asciiTheme="minorEastAsia" w:hAnsiTheme="minorEastAsia" w:eastAsiaTheme="minorEastAsia"/>
          <w:color w:val="auto"/>
        </w:rPr>
      </w:pPr>
    </w:p>
    <w:p w14:paraId="028E082E">
      <w:pPr>
        <w:pStyle w:val="12"/>
        <w:tabs>
          <w:tab w:val="left" w:pos="5580"/>
        </w:tabs>
        <w:spacing w:line="360" w:lineRule="exact"/>
        <w:ind w:left="2" w:leftChars="1" w:firstLine="48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rPr>
        <w:t>根据贵方(</w:t>
      </w:r>
      <w:r>
        <w:rPr>
          <w:rFonts w:hint="eastAsia" w:cs="宋体" w:asciiTheme="minorEastAsia" w:hAnsiTheme="minorEastAsia" w:eastAsiaTheme="minorEastAsia"/>
          <w:color w:val="auto"/>
          <w:u w:val="single"/>
        </w:rPr>
        <w:t>项目名称)（</w:t>
      </w:r>
      <w:r>
        <w:rPr>
          <w:rFonts w:hint="eastAsia" w:cs="宋体" w:asciiTheme="minorEastAsia" w:hAnsiTheme="minorEastAsia" w:eastAsiaTheme="minorEastAsia"/>
          <w:color w:val="auto"/>
          <w:u w:val="single"/>
          <w:lang w:val="en-US"/>
        </w:rPr>
        <w:t>包号</w:t>
      </w:r>
      <w:r>
        <w:rPr>
          <w:rFonts w:hint="eastAsia" w:cs="宋体" w:asciiTheme="minorEastAsia" w:hAnsiTheme="minorEastAsia" w:eastAsiaTheme="minorEastAsia"/>
          <w:color w:val="auto"/>
          <w:u w:val="single"/>
        </w:rPr>
        <w:t>）</w:t>
      </w:r>
      <w:r>
        <w:rPr>
          <w:rFonts w:hint="eastAsia" w:cs="宋体" w:asciiTheme="minorEastAsia" w:hAnsiTheme="minorEastAsia" w:eastAsiaTheme="minorEastAsia"/>
          <w:color w:val="auto"/>
        </w:rPr>
        <w:t>项目的磋商邀请(</w:t>
      </w:r>
      <w:r>
        <w:rPr>
          <w:rFonts w:hint="eastAsia" w:cs="宋体" w:asciiTheme="minorEastAsia" w:hAnsiTheme="minorEastAsia" w:eastAsiaTheme="minorEastAsia"/>
          <w:color w:val="auto"/>
          <w:u w:val="single"/>
        </w:rPr>
        <w:t>磋商文件编号</w:t>
      </w:r>
      <w:r>
        <w:rPr>
          <w:rFonts w:hint="eastAsia" w:cs="宋体" w:asciiTheme="minorEastAsia" w:hAnsiTheme="minorEastAsia" w:eastAsiaTheme="minorEastAsia"/>
          <w:color w:val="auto"/>
        </w:rPr>
        <w:t>),签字代表(</w:t>
      </w:r>
      <w:r>
        <w:rPr>
          <w:rFonts w:hint="eastAsia" w:cs="宋体" w:asciiTheme="minorEastAsia" w:hAnsiTheme="minorEastAsia" w:eastAsiaTheme="minorEastAsia"/>
          <w:color w:val="auto"/>
          <w:u w:val="single"/>
        </w:rPr>
        <w:t>姓名、职务</w:t>
      </w:r>
      <w:r>
        <w:rPr>
          <w:rFonts w:hint="eastAsia" w:cs="宋体" w:asciiTheme="minorEastAsia" w:hAnsiTheme="minorEastAsia" w:eastAsiaTheme="minorEastAsia"/>
          <w:color w:val="auto"/>
        </w:rPr>
        <w:t>)经正式授权并代表供应商（</w:t>
      </w:r>
      <w:r>
        <w:rPr>
          <w:rFonts w:hint="eastAsia" w:cs="宋体" w:asciiTheme="minorEastAsia" w:hAnsiTheme="minorEastAsia" w:eastAsiaTheme="minorEastAsia"/>
          <w:color w:val="auto"/>
          <w:u w:val="single"/>
        </w:rPr>
        <w:t>名称、地址</w:t>
      </w:r>
      <w:r>
        <w:rPr>
          <w:rFonts w:hint="eastAsia" w:cs="宋体" w:asciiTheme="minorEastAsia" w:hAnsiTheme="minorEastAsia" w:eastAsiaTheme="minorEastAsia"/>
          <w:color w:val="auto"/>
        </w:rPr>
        <w:t>）提交下述文件正本</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份、副本</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份及电子文档</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份，并以</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形式出具的金额为人民币</w:t>
      </w:r>
      <w:r>
        <w:rPr>
          <w:rFonts w:hint="eastAsia" w:cs="宋体" w:asciiTheme="minorEastAsia" w:hAnsiTheme="minorEastAsia" w:eastAsiaTheme="minorEastAsia"/>
          <w:color w:val="auto"/>
          <w:u w:val="single"/>
        </w:rPr>
        <w:t>　　　　</w:t>
      </w:r>
      <w:r>
        <w:rPr>
          <w:rFonts w:hint="eastAsia" w:cs="宋体" w:asciiTheme="minorEastAsia" w:hAnsiTheme="minorEastAsia" w:eastAsiaTheme="minorEastAsia"/>
          <w:color w:val="auto"/>
        </w:rPr>
        <w:t>元的磋商保证金。</w:t>
      </w:r>
    </w:p>
    <w:p w14:paraId="33F7B0E2">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据此，签字代表宣布同意如下：</w:t>
      </w:r>
    </w:p>
    <w:p w14:paraId="077962BC">
      <w:pPr>
        <w:pStyle w:val="12"/>
        <w:tabs>
          <w:tab w:val="left" w:pos="720"/>
          <w:tab w:val="left" w:pos="900"/>
        </w:tabs>
        <w:spacing w:line="360" w:lineRule="exact"/>
        <w:ind w:left="794" w:leftChars="257" w:hanging="229"/>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（1）附报价价格表中规定的应提供服务的报价总价详见报价一览表，</w:t>
      </w:r>
      <w:r>
        <w:rPr>
          <w:rFonts w:hint="eastAsia" w:cs="宋体" w:asciiTheme="minorEastAsia" w:hAnsiTheme="minorEastAsia" w:eastAsiaTheme="minorEastAsia"/>
          <w:color w:val="auto"/>
          <w:u w:val="single"/>
        </w:rPr>
        <w:t>其中由小型和</w:t>
      </w:r>
      <w:r>
        <w:rPr>
          <w:rFonts w:hint="eastAsia" w:cs="宋体" w:asciiTheme="minorEastAsia" w:hAnsiTheme="minorEastAsia" w:eastAsiaTheme="minorEastAsia"/>
          <w:color w:val="auto"/>
        </w:rPr>
        <w:t>微型企业制造产品的价格为</w:t>
      </w:r>
      <w:r>
        <w:rPr>
          <w:rFonts w:hint="eastAsia" w:cs="宋体" w:asciiTheme="minorEastAsia" w:hAnsiTheme="minorEastAsia" w:eastAsiaTheme="minorEastAsia"/>
          <w:color w:val="auto"/>
          <w:u w:val="single"/>
        </w:rPr>
        <w:t>　　  （用文字和数字表示），占报价总价   %</w:t>
      </w:r>
      <w:r>
        <w:rPr>
          <w:rFonts w:hint="eastAsia" w:cs="宋体" w:asciiTheme="minorEastAsia" w:hAnsiTheme="minorEastAsia" w:eastAsiaTheme="minorEastAsia"/>
          <w:color w:val="auto"/>
        </w:rPr>
        <w:t>。</w:t>
      </w:r>
    </w:p>
    <w:p w14:paraId="447B10A3">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（2）本磋商文件有效期为自递交响应文件截止之日起</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个日历日。</w:t>
      </w:r>
    </w:p>
    <w:p w14:paraId="7CAB32F1">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（3）联合体中的大中型企业和其他自然人、法人或者非法人组织，与联合体中的小型、微型企业之间</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存在、不存在）投资关系（如果是联合体的话）。</w:t>
      </w:r>
    </w:p>
    <w:p w14:paraId="51ECF72A">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（4）已详细审查全部磋商文件，包括所有补充通知（如果有的话），完全理解并同意放弃对这方面有不明、误解和质疑的权力。</w:t>
      </w:r>
    </w:p>
    <w:p w14:paraId="19C8EF94">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（5）在规定的递交响应文件时间后，遵守磋商文件中有关保证金的规定。</w:t>
      </w:r>
    </w:p>
    <w:p w14:paraId="611B546E">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（6）我方不是为本项目提供整体设计、规范编制或者项目管理、监理、检测等服务的供应商，我方不是采购代理机构的附属机构。</w:t>
      </w:r>
    </w:p>
    <w:p w14:paraId="409639D6">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（7）在领取成交通知书的同时按磋商文件规定的形式，向贵方一次性支付成交服务费。</w:t>
      </w:r>
    </w:p>
    <w:p w14:paraId="0C1C940D">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（8）按照贵方可能要求，提供与其响应文件有关的一切数据或资料，完全理解贵方不一定接受最低价的报价或收到的任何响应文件。</w:t>
      </w:r>
    </w:p>
    <w:p w14:paraId="327FBB82">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（9）按照磋商文件的规定履行合同责任和义务。</w:t>
      </w:r>
    </w:p>
    <w:p w14:paraId="2A10EE4E">
      <w:pPr>
        <w:pStyle w:val="12"/>
        <w:tabs>
          <w:tab w:val="left" w:pos="5580"/>
        </w:tabs>
        <w:spacing w:line="360" w:lineRule="exact"/>
        <w:ind w:left="365" w:leftChars="68" w:hanging="216" w:hangingChars="90"/>
        <w:rPr>
          <w:rFonts w:cs="宋体" w:asciiTheme="minorEastAsia" w:hAnsiTheme="minorEastAsia" w:eastAsiaTheme="minorEastAsia"/>
          <w:color w:val="auto"/>
        </w:rPr>
      </w:pPr>
      <w:r>
        <w:rPr>
          <w:rFonts w:hint="eastAsia" w:cs="宋体" w:asciiTheme="minorEastAsia" w:hAnsiTheme="minorEastAsia" w:eastAsiaTheme="minorEastAsia"/>
          <w:color w:val="auto"/>
        </w:rPr>
        <w:t xml:space="preserve">  与本磋商文件有关的一切正式往来信函请寄：</w:t>
      </w:r>
    </w:p>
    <w:p w14:paraId="424012F8">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地址</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 xml:space="preserve">     传真</w:t>
      </w:r>
      <w:r>
        <w:rPr>
          <w:rFonts w:hint="eastAsia" w:cs="宋体" w:asciiTheme="minorEastAsia" w:hAnsiTheme="minorEastAsia" w:eastAsiaTheme="minorEastAsia"/>
          <w:color w:val="auto"/>
          <w:u w:val="single"/>
        </w:rPr>
        <w:t xml:space="preserve">                             </w:t>
      </w:r>
    </w:p>
    <w:p w14:paraId="47FD1543">
      <w:pPr>
        <w:pStyle w:val="12"/>
        <w:tabs>
          <w:tab w:val="left" w:pos="5580"/>
        </w:tabs>
        <w:spacing w:line="360" w:lineRule="exact"/>
        <w:ind w:left="1105" w:leftChars="257" w:hanging="540"/>
        <w:rPr>
          <w:rFonts w:cs="宋体" w:asciiTheme="minorEastAsia" w:hAnsiTheme="minorEastAsia" w:eastAsiaTheme="minorEastAsia"/>
          <w:b/>
          <w:color w:val="auto"/>
        </w:rPr>
      </w:pPr>
      <w:r>
        <w:rPr>
          <w:rFonts w:hint="eastAsia" w:cs="宋体" w:asciiTheme="minorEastAsia" w:hAnsiTheme="minorEastAsia" w:eastAsiaTheme="minorEastAsia"/>
          <w:color w:val="auto"/>
        </w:rPr>
        <w:t>电话</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 xml:space="preserve">     电子函件</w:t>
      </w:r>
      <w:r>
        <w:rPr>
          <w:rFonts w:hint="eastAsia" w:cs="宋体" w:asciiTheme="minorEastAsia" w:hAnsiTheme="minorEastAsia" w:eastAsiaTheme="minorEastAsia"/>
          <w:color w:val="auto"/>
          <w:u w:val="single"/>
        </w:rPr>
        <w:t xml:space="preserve">                         </w:t>
      </w:r>
    </w:p>
    <w:p w14:paraId="0414944E">
      <w:pPr>
        <w:pStyle w:val="12"/>
        <w:tabs>
          <w:tab w:val="left" w:pos="5580"/>
        </w:tabs>
        <w:spacing w:line="360" w:lineRule="exact"/>
        <w:ind w:left="1105" w:leftChars="257" w:hanging="540"/>
        <w:rPr>
          <w:rFonts w:cs="宋体" w:asciiTheme="minorEastAsia" w:hAnsiTheme="minorEastAsia" w:eastAsiaTheme="minorEastAsia"/>
          <w:color w:val="auto"/>
        </w:rPr>
      </w:pPr>
    </w:p>
    <w:p w14:paraId="24CB9B33">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法定代表人或其委托代理人</w:t>
      </w:r>
      <w:r>
        <w:rPr>
          <w:rFonts w:hint="eastAsia" w:cs="宋体" w:asciiTheme="minorEastAsia" w:hAnsiTheme="minorEastAsia" w:eastAsiaTheme="minorEastAsia"/>
          <w:color w:val="auto"/>
          <w:lang w:val="en-US" w:eastAsia="zh-CN"/>
        </w:rPr>
        <w:t>(</w:t>
      </w:r>
      <w:r>
        <w:rPr>
          <w:rFonts w:hint="eastAsia" w:cs="宋体" w:asciiTheme="minorEastAsia" w:hAnsiTheme="minorEastAsia" w:eastAsiaTheme="minorEastAsia"/>
          <w:color w:val="auto"/>
        </w:rPr>
        <w:t>签字</w:t>
      </w:r>
      <w:r>
        <w:rPr>
          <w:rFonts w:hint="eastAsia" w:cs="宋体" w:asciiTheme="minorEastAsia" w:hAnsiTheme="minorEastAsia" w:eastAsiaTheme="minorEastAsia"/>
          <w:color w:val="auto"/>
          <w:lang w:val="en-US" w:eastAsia="zh-CN"/>
        </w:rPr>
        <w:t>或盖章）</w:t>
      </w:r>
      <w:r>
        <w:rPr>
          <w:rFonts w:hint="eastAsia" w:cs="宋体" w:asciiTheme="minorEastAsia" w:hAnsiTheme="minorEastAsia" w:eastAsiaTheme="minorEastAsia"/>
          <w:color w:val="auto"/>
        </w:rPr>
        <w:t>-----------------</w:t>
      </w:r>
    </w:p>
    <w:p w14:paraId="2E9439F7">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供应商名称（全称）-----------------</w:t>
      </w:r>
    </w:p>
    <w:p w14:paraId="27320A43">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供应商开户银行（全称）</w:t>
      </w:r>
      <w:r>
        <w:rPr>
          <w:rFonts w:hint="eastAsia" w:cs="宋体" w:asciiTheme="minorEastAsia" w:hAnsiTheme="minorEastAsia" w:eastAsiaTheme="minorEastAsia"/>
          <w:color w:val="auto"/>
          <w:u w:val="single"/>
        </w:rPr>
        <w:t xml:space="preserve">　　　　　　 </w:t>
      </w:r>
    </w:p>
    <w:p w14:paraId="6563E238">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供应商银行帐号</w:t>
      </w:r>
      <w:r>
        <w:rPr>
          <w:rFonts w:hint="eastAsia" w:cs="宋体" w:asciiTheme="minorEastAsia" w:hAnsiTheme="minorEastAsia" w:eastAsiaTheme="minorEastAsia"/>
          <w:color w:val="auto"/>
          <w:u w:val="single"/>
        </w:rPr>
        <w:t>　　　　　　　　 　　</w:t>
      </w:r>
    </w:p>
    <w:p w14:paraId="335C4A91">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供应商单位章-------------------------</w:t>
      </w:r>
    </w:p>
    <w:p w14:paraId="79C01000">
      <w:pPr>
        <w:pStyle w:val="12"/>
        <w:tabs>
          <w:tab w:val="left" w:pos="5580"/>
        </w:tabs>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日期-------------------------------</w:t>
      </w:r>
    </w:p>
    <w:p w14:paraId="3ED3D370">
      <w:pPr>
        <w:spacing w:line="360" w:lineRule="exact"/>
        <w:rPr>
          <w:rFonts w:cs="宋体" w:asciiTheme="minorEastAsia" w:hAnsiTheme="minorEastAsia" w:eastAsiaTheme="minorEastAsia"/>
          <w:color w:val="auto"/>
        </w:rPr>
        <w:sectPr>
          <w:footerReference r:id="rId15" w:type="default"/>
          <w:pgSz w:w="11906" w:h="16838"/>
          <w:pgMar w:top="1440" w:right="1576" w:bottom="1440" w:left="1576"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3AE5F10">
      <w:pPr>
        <w:pStyle w:val="4"/>
        <w:spacing w:before="0" w:line="240" w:lineRule="atLeast"/>
        <w:ind w:left="1105" w:leftChars="257" w:hanging="540"/>
        <w:rPr>
          <w:rFonts w:cs="宋体" w:asciiTheme="minorEastAsia" w:hAnsiTheme="minorEastAsia" w:eastAsiaTheme="minorEastAsia"/>
          <w:color w:val="auto"/>
          <w:sz w:val="24"/>
        </w:rPr>
      </w:pPr>
      <w:bookmarkStart w:id="602" w:name="_Hlt520356243"/>
      <w:bookmarkEnd w:id="602"/>
      <w:bookmarkStart w:id="603" w:name="_Hlt520355938"/>
      <w:bookmarkEnd w:id="603"/>
      <w:bookmarkStart w:id="604" w:name="_Toc216582817"/>
      <w:bookmarkStart w:id="605" w:name="_Toc23925"/>
      <w:bookmarkStart w:id="606" w:name="_Toc13833"/>
      <w:bookmarkStart w:id="607" w:name="_Toc28959"/>
      <w:bookmarkStart w:id="608" w:name="_Toc515647820"/>
      <w:bookmarkStart w:id="609" w:name="_Toc22563"/>
      <w:bookmarkStart w:id="610" w:name="_Toc18348"/>
      <w:bookmarkStart w:id="611" w:name="_Toc24837"/>
      <w:r>
        <w:rPr>
          <w:rFonts w:hint="eastAsia" w:cs="宋体" w:asciiTheme="minorEastAsia" w:hAnsiTheme="minorEastAsia" w:eastAsiaTheme="minorEastAsia"/>
          <w:color w:val="auto"/>
          <w:sz w:val="24"/>
          <w:lang w:val="en-US"/>
        </w:rPr>
        <w:t>2</w:t>
      </w:r>
      <w:r>
        <w:rPr>
          <w:rFonts w:hint="eastAsia" w:cs="宋体" w:asciiTheme="minorEastAsia" w:hAnsiTheme="minorEastAsia" w:eastAsiaTheme="minorEastAsia"/>
          <w:color w:val="auto"/>
          <w:sz w:val="24"/>
        </w:rPr>
        <w:t xml:space="preserve">   技术规格偏离表</w:t>
      </w:r>
      <w:bookmarkEnd w:id="604"/>
      <w:r>
        <w:rPr>
          <w:rFonts w:hint="eastAsia" w:cs="宋体" w:asciiTheme="minorEastAsia" w:hAnsiTheme="minorEastAsia" w:eastAsiaTheme="minorEastAsia"/>
          <w:color w:val="auto"/>
          <w:sz w:val="24"/>
        </w:rPr>
        <w:t>（响应文件格式</w:t>
      </w:r>
      <w:r>
        <w:rPr>
          <w:rFonts w:hint="eastAsia" w:cs="宋体" w:asciiTheme="minorEastAsia" w:hAnsiTheme="minorEastAsia" w:eastAsiaTheme="minorEastAsia"/>
          <w:color w:val="auto"/>
          <w:sz w:val="24"/>
          <w:lang w:val="en-US" w:eastAsia="zh-CN"/>
        </w:rPr>
        <w:t>五</w:t>
      </w:r>
      <w:r>
        <w:rPr>
          <w:rFonts w:hint="eastAsia" w:cs="宋体" w:asciiTheme="minorEastAsia" w:hAnsiTheme="minorEastAsia" w:eastAsiaTheme="minorEastAsia"/>
          <w:color w:val="auto"/>
          <w:sz w:val="24"/>
        </w:rPr>
        <w:t>）</w:t>
      </w:r>
      <w:bookmarkEnd w:id="605"/>
      <w:bookmarkEnd w:id="606"/>
      <w:bookmarkEnd w:id="607"/>
      <w:bookmarkEnd w:id="608"/>
      <w:bookmarkEnd w:id="609"/>
      <w:bookmarkEnd w:id="610"/>
      <w:bookmarkEnd w:id="611"/>
    </w:p>
    <w:p w14:paraId="5BDE9EDD">
      <w:pPr>
        <w:pStyle w:val="12"/>
        <w:spacing w:line="360" w:lineRule="exact"/>
        <w:ind w:left="1105" w:leftChars="257" w:hanging="540"/>
        <w:rPr>
          <w:rFonts w:cs="宋体" w:asciiTheme="minorEastAsia" w:hAnsiTheme="minorEastAsia" w:eastAsiaTheme="minorEastAsia"/>
          <w:color w:val="auto"/>
        </w:rPr>
      </w:pPr>
    </w:p>
    <w:p w14:paraId="06E340C9">
      <w:pPr>
        <w:pStyle w:val="12"/>
        <w:spacing w:line="360" w:lineRule="exact"/>
        <w:rPr>
          <w:rFonts w:cs="宋体" w:asciiTheme="minorEastAsia" w:hAnsiTheme="minorEastAsia" w:eastAsiaTheme="minorEastAsia"/>
          <w:color w:val="auto"/>
        </w:rPr>
      </w:pPr>
      <w:r>
        <w:rPr>
          <w:rFonts w:hint="eastAsia" w:cs="宋体" w:asciiTheme="minorEastAsia" w:hAnsiTheme="minorEastAsia" w:eastAsiaTheme="minorEastAsia"/>
          <w:color w:val="auto"/>
        </w:rPr>
        <w:t>项目名称:                       磋商文件编号:                 包号:</w:t>
      </w:r>
    </w:p>
    <w:p w14:paraId="2246F35F">
      <w:pPr>
        <w:pStyle w:val="12"/>
        <w:spacing w:line="360" w:lineRule="exact"/>
        <w:ind w:left="1105" w:leftChars="257" w:hanging="540"/>
        <w:rPr>
          <w:rFonts w:cs="宋体" w:asciiTheme="minorEastAsia" w:hAnsiTheme="minorEastAsia" w:eastAsiaTheme="minorEastAsia"/>
          <w:color w:val="auto"/>
        </w:rPr>
      </w:pP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E4E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26E72D0C">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序号</w:t>
            </w:r>
          </w:p>
        </w:tc>
        <w:tc>
          <w:tcPr>
            <w:tcW w:w="1260" w:type="dxa"/>
            <w:vAlign w:val="center"/>
          </w:tcPr>
          <w:p w14:paraId="19B549EF">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产品名称</w:t>
            </w:r>
          </w:p>
        </w:tc>
        <w:tc>
          <w:tcPr>
            <w:tcW w:w="2340" w:type="dxa"/>
            <w:vAlign w:val="center"/>
          </w:tcPr>
          <w:p w14:paraId="37912C93">
            <w:pPr>
              <w:pStyle w:val="12"/>
              <w:spacing w:line="360" w:lineRule="exact"/>
              <w:ind w:left="282" w:leftChars="128"/>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磋商文件条款号</w:t>
            </w:r>
          </w:p>
        </w:tc>
        <w:tc>
          <w:tcPr>
            <w:tcW w:w="1260" w:type="dxa"/>
            <w:vAlign w:val="center"/>
          </w:tcPr>
          <w:p w14:paraId="7AC349D4">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磋商文件规格</w:t>
            </w:r>
          </w:p>
        </w:tc>
        <w:tc>
          <w:tcPr>
            <w:tcW w:w="1260" w:type="dxa"/>
            <w:vAlign w:val="center"/>
          </w:tcPr>
          <w:p w14:paraId="1005B9AF">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响应文件规格</w:t>
            </w:r>
          </w:p>
        </w:tc>
        <w:tc>
          <w:tcPr>
            <w:tcW w:w="900" w:type="dxa"/>
            <w:vAlign w:val="center"/>
          </w:tcPr>
          <w:p w14:paraId="3DAC7DF9">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偏离</w:t>
            </w:r>
          </w:p>
        </w:tc>
        <w:tc>
          <w:tcPr>
            <w:tcW w:w="900" w:type="dxa"/>
            <w:vAlign w:val="center"/>
          </w:tcPr>
          <w:p w14:paraId="7BF56611">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说明</w:t>
            </w:r>
          </w:p>
        </w:tc>
      </w:tr>
      <w:tr w14:paraId="6191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6F096F0">
            <w:pPr>
              <w:pStyle w:val="12"/>
              <w:spacing w:line="360" w:lineRule="exact"/>
              <w:ind w:left="1105" w:leftChars="257" w:hanging="540"/>
              <w:rPr>
                <w:rFonts w:cs="宋体" w:asciiTheme="minorEastAsia" w:hAnsiTheme="minorEastAsia" w:eastAsiaTheme="minorEastAsia"/>
                <w:color w:val="auto"/>
              </w:rPr>
            </w:pPr>
          </w:p>
        </w:tc>
        <w:tc>
          <w:tcPr>
            <w:tcW w:w="1260" w:type="dxa"/>
          </w:tcPr>
          <w:p w14:paraId="7931C633">
            <w:pPr>
              <w:pStyle w:val="12"/>
              <w:spacing w:line="360" w:lineRule="exact"/>
              <w:ind w:left="1105" w:leftChars="257" w:hanging="540"/>
              <w:rPr>
                <w:rFonts w:cs="宋体" w:asciiTheme="minorEastAsia" w:hAnsiTheme="minorEastAsia" w:eastAsiaTheme="minorEastAsia"/>
                <w:color w:val="auto"/>
              </w:rPr>
            </w:pPr>
          </w:p>
        </w:tc>
        <w:tc>
          <w:tcPr>
            <w:tcW w:w="2340" w:type="dxa"/>
          </w:tcPr>
          <w:p w14:paraId="7BE832B7">
            <w:pPr>
              <w:pStyle w:val="12"/>
              <w:spacing w:line="360" w:lineRule="exact"/>
              <w:ind w:left="1105" w:leftChars="257" w:hanging="540"/>
              <w:rPr>
                <w:rFonts w:cs="宋体" w:asciiTheme="minorEastAsia" w:hAnsiTheme="minorEastAsia" w:eastAsiaTheme="minorEastAsia"/>
                <w:color w:val="auto"/>
              </w:rPr>
            </w:pPr>
          </w:p>
        </w:tc>
        <w:tc>
          <w:tcPr>
            <w:tcW w:w="1260" w:type="dxa"/>
          </w:tcPr>
          <w:p w14:paraId="50DDEF28">
            <w:pPr>
              <w:pStyle w:val="12"/>
              <w:spacing w:line="360" w:lineRule="exact"/>
              <w:ind w:left="1105" w:leftChars="257" w:hanging="540"/>
              <w:rPr>
                <w:rFonts w:cs="宋体" w:asciiTheme="minorEastAsia" w:hAnsiTheme="minorEastAsia" w:eastAsiaTheme="minorEastAsia"/>
                <w:color w:val="auto"/>
              </w:rPr>
            </w:pPr>
          </w:p>
        </w:tc>
        <w:tc>
          <w:tcPr>
            <w:tcW w:w="1260" w:type="dxa"/>
          </w:tcPr>
          <w:p w14:paraId="57B87655">
            <w:pPr>
              <w:pStyle w:val="12"/>
              <w:spacing w:line="360" w:lineRule="exact"/>
              <w:ind w:left="1105" w:leftChars="257" w:hanging="540"/>
              <w:rPr>
                <w:rFonts w:cs="宋体" w:asciiTheme="minorEastAsia" w:hAnsiTheme="minorEastAsia" w:eastAsiaTheme="minorEastAsia"/>
                <w:color w:val="auto"/>
              </w:rPr>
            </w:pPr>
          </w:p>
        </w:tc>
        <w:tc>
          <w:tcPr>
            <w:tcW w:w="900" w:type="dxa"/>
          </w:tcPr>
          <w:p w14:paraId="5055A46B">
            <w:pPr>
              <w:pStyle w:val="12"/>
              <w:spacing w:line="360" w:lineRule="exact"/>
              <w:ind w:left="1105" w:leftChars="257" w:hanging="540"/>
              <w:rPr>
                <w:rFonts w:cs="宋体" w:asciiTheme="minorEastAsia" w:hAnsiTheme="minorEastAsia" w:eastAsiaTheme="minorEastAsia"/>
                <w:color w:val="auto"/>
              </w:rPr>
            </w:pPr>
          </w:p>
        </w:tc>
        <w:tc>
          <w:tcPr>
            <w:tcW w:w="900" w:type="dxa"/>
          </w:tcPr>
          <w:p w14:paraId="3CF4519C">
            <w:pPr>
              <w:pStyle w:val="12"/>
              <w:spacing w:line="360" w:lineRule="exact"/>
              <w:ind w:left="1105" w:leftChars="257" w:hanging="540"/>
              <w:rPr>
                <w:rFonts w:cs="宋体" w:asciiTheme="minorEastAsia" w:hAnsiTheme="minorEastAsia" w:eastAsiaTheme="minorEastAsia"/>
                <w:color w:val="auto"/>
              </w:rPr>
            </w:pPr>
          </w:p>
        </w:tc>
      </w:tr>
      <w:tr w14:paraId="53AC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673645F">
            <w:pPr>
              <w:pStyle w:val="12"/>
              <w:spacing w:line="360" w:lineRule="exact"/>
              <w:ind w:left="1105" w:leftChars="257" w:hanging="540"/>
              <w:rPr>
                <w:rFonts w:cs="宋体" w:asciiTheme="minorEastAsia" w:hAnsiTheme="minorEastAsia" w:eastAsiaTheme="minorEastAsia"/>
                <w:color w:val="auto"/>
              </w:rPr>
            </w:pPr>
          </w:p>
        </w:tc>
        <w:tc>
          <w:tcPr>
            <w:tcW w:w="1260" w:type="dxa"/>
          </w:tcPr>
          <w:p w14:paraId="2E8D3C3B">
            <w:pPr>
              <w:pStyle w:val="12"/>
              <w:spacing w:line="360" w:lineRule="exact"/>
              <w:ind w:left="1105" w:leftChars="257" w:hanging="540"/>
              <w:rPr>
                <w:rFonts w:cs="宋体" w:asciiTheme="minorEastAsia" w:hAnsiTheme="minorEastAsia" w:eastAsiaTheme="minorEastAsia"/>
                <w:color w:val="auto"/>
              </w:rPr>
            </w:pPr>
          </w:p>
        </w:tc>
        <w:tc>
          <w:tcPr>
            <w:tcW w:w="2340" w:type="dxa"/>
          </w:tcPr>
          <w:p w14:paraId="103F3DB1">
            <w:pPr>
              <w:pStyle w:val="12"/>
              <w:spacing w:line="360" w:lineRule="exact"/>
              <w:ind w:left="1105" w:leftChars="257" w:hanging="540"/>
              <w:rPr>
                <w:rFonts w:cs="宋体" w:asciiTheme="minorEastAsia" w:hAnsiTheme="minorEastAsia" w:eastAsiaTheme="minorEastAsia"/>
                <w:color w:val="auto"/>
              </w:rPr>
            </w:pPr>
          </w:p>
        </w:tc>
        <w:tc>
          <w:tcPr>
            <w:tcW w:w="1260" w:type="dxa"/>
          </w:tcPr>
          <w:p w14:paraId="08028D86">
            <w:pPr>
              <w:pStyle w:val="12"/>
              <w:spacing w:line="360" w:lineRule="exact"/>
              <w:ind w:left="1105" w:leftChars="257" w:hanging="540"/>
              <w:rPr>
                <w:rFonts w:cs="宋体" w:asciiTheme="minorEastAsia" w:hAnsiTheme="minorEastAsia" w:eastAsiaTheme="minorEastAsia"/>
                <w:color w:val="auto"/>
              </w:rPr>
            </w:pPr>
          </w:p>
        </w:tc>
        <w:tc>
          <w:tcPr>
            <w:tcW w:w="1260" w:type="dxa"/>
          </w:tcPr>
          <w:p w14:paraId="57E6F6B7">
            <w:pPr>
              <w:pStyle w:val="12"/>
              <w:spacing w:line="360" w:lineRule="exact"/>
              <w:ind w:left="1105" w:leftChars="257" w:hanging="540"/>
              <w:rPr>
                <w:rFonts w:cs="宋体" w:asciiTheme="minorEastAsia" w:hAnsiTheme="minorEastAsia" w:eastAsiaTheme="minorEastAsia"/>
                <w:color w:val="auto"/>
              </w:rPr>
            </w:pPr>
          </w:p>
        </w:tc>
        <w:tc>
          <w:tcPr>
            <w:tcW w:w="900" w:type="dxa"/>
          </w:tcPr>
          <w:p w14:paraId="018E87CC">
            <w:pPr>
              <w:pStyle w:val="12"/>
              <w:spacing w:line="360" w:lineRule="exact"/>
              <w:ind w:left="1105" w:leftChars="257" w:hanging="540"/>
              <w:rPr>
                <w:rFonts w:cs="宋体" w:asciiTheme="minorEastAsia" w:hAnsiTheme="minorEastAsia" w:eastAsiaTheme="minorEastAsia"/>
                <w:color w:val="auto"/>
              </w:rPr>
            </w:pPr>
          </w:p>
        </w:tc>
        <w:tc>
          <w:tcPr>
            <w:tcW w:w="900" w:type="dxa"/>
          </w:tcPr>
          <w:p w14:paraId="7C52DEB0">
            <w:pPr>
              <w:pStyle w:val="12"/>
              <w:spacing w:line="360" w:lineRule="exact"/>
              <w:ind w:left="1105" w:leftChars="257" w:hanging="540"/>
              <w:rPr>
                <w:rFonts w:cs="宋体" w:asciiTheme="minorEastAsia" w:hAnsiTheme="minorEastAsia" w:eastAsiaTheme="minorEastAsia"/>
                <w:color w:val="auto"/>
              </w:rPr>
            </w:pPr>
          </w:p>
        </w:tc>
      </w:tr>
      <w:tr w14:paraId="1449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36B8B08">
            <w:pPr>
              <w:pStyle w:val="12"/>
              <w:spacing w:line="360" w:lineRule="exact"/>
              <w:ind w:left="1105" w:leftChars="257" w:hanging="540"/>
              <w:rPr>
                <w:rFonts w:cs="宋体" w:asciiTheme="minorEastAsia" w:hAnsiTheme="minorEastAsia" w:eastAsiaTheme="minorEastAsia"/>
                <w:color w:val="auto"/>
              </w:rPr>
            </w:pPr>
          </w:p>
        </w:tc>
        <w:tc>
          <w:tcPr>
            <w:tcW w:w="1260" w:type="dxa"/>
          </w:tcPr>
          <w:p w14:paraId="1532F565">
            <w:pPr>
              <w:pStyle w:val="12"/>
              <w:spacing w:line="360" w:lineRule="exact"/>
              <w:ind w:left="1105" w:leftChars="257" w:hanging="540"/>
              <w:rPr>
                <w:rFonts w:cs="宋体" w:asciiTheme="minorEastAsia" w:hAnsiTheme="minorEastAsia" w:eastAsiaTheme="minorEastAsia"/>
                <w:color w:val="auto"/>
              </w:rPr>
            </w:pPr>
          </w:p>
        </w:tc>
        <w:tc>
          <w:tcPr>
            <w:tcW w:w="2340" w:type="dxa"/>
          </w:tcPr>
          <w:p w14:paraId="39A7C797">
            <w:pPr>
              <w:pStyle w:val="12"/>
              <w:spacing w:line="360" w:lineRule="exact"/>
              <w:ind w:left="1105" w:leftChars="257" w:hanging="540"/>
              <w:rPr>
                <w:rFonts w:cs="宋体" w:asciiTheme="minorEastAsia" w:hAnsiTheme="minorEastAsia" w:eastAsiaTheme="minorEastAsia"/>
                <w:color w:val="auto"/>
              </w:rPr>
            </w:pPr>
          </w:p>
        </w:tc>
        <w:tc>
          <w:tcPr>
            <w:tcW w:w="1260" w:type="dxa"/>
          </w:tcPr>
          <w:p w14:paraId="232C2D47">
            <w:pPr>
              <w:pStyle w:val="12"/>
              <w:spacing w:line="360" w:lineRule="exact"/>
              <w:ind w:left="1105" w:leftChars="257" w:hanging="540"/>
              <w:rPr>
                <w:rFonts w:cs="宋体" w:asciiTheme="minorEastAsia" w:hAnsiTheme="minorEastAsia" w:eastAsiaTheme="minorEastAsia"/>
                <w:color w:val="auto"/>
              </w:rPr>
            </w:pPr>
          </w:p>
        </w:tc>
        <w:tc>
          <w:tcPr>
            <w:tcW w:w="1260" w:type="dxa"/>
          </w:tcPr>
          <w:p w14:paraId="68020CCA">
            <w:pPr>
              <w:pStyle w:val="12"/>
              <w:spacing w:line="360" w:lineRule="exact"/>
              <w:ind w:left="1105" w:leftChars="257" w:hanging="540"/>
              <w:rPr>
                <w:rFonts w:cs="宋体" w:asciiTheme="minorEastAsia" w:hAnsiTheme="minorEastAsia" w:eastAsiaTheme="minorEastAsia"/>
                <w:color w:val="auto"/>
              </w:rPr>
            </w:pPr>
          </w:p>
        </w:tc>
        <w:tc>
          <w:tcPr>
            <w:tcW w:w="900" w:type="dxa"/>
          </w:tcPr>
          <w:p w14:paraId="352F3864">
            <w:pPr>
              <w:pStyle w:val="12"/>
              <w:spacing w:line="360" w:lineRule="exact"/>
              <w:ind w:left="1105" w:leftChars="257" w:hanging="540"/>
              <w:rPr>
                <w:rFonts w:cs="宋体" w:asciiTheme="minorEastAsia" w:hAnsiTheme="minorEastAsia" w:eastAsiaTheme="minorEastAsia"/>
                <w:color w:val="auto"/>
              </w:rPr>
            </w:pPr>
          </w:p>
        </w:tc>
        <w:tc>
          <w:tcPr>
            <w:tcW w:w="900" w:type="dxa"/>
          </w:tcPr>
          <w:p w14:paraId="2DB50205">
            <w:pPr>
              <w:pStyle w:val="12"/>
              <w:spacing w:line="360" w:lineRule="exact"/>
              <w:ind w:left="1105" w:leftChars="257" w:hanging="540"/>
              <w:rPr>
                <w:rFonts w:cs="宋体" w:asciiTheme="minorEastAsia" w:hAnsiTheme="minorEastAsia" w:eastAsiaTheme="minorEastAsia"/>
                <w:color w:val="auto"/>
              </w:rPr>
            </w:pPr>
          </w:p>
        </w:tc>
      </w:tr>
      <w:tr w14:paraId="4BFB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B218CFF">
            <w:pPr>
              <w:pStyle w:val="12"/>
              <w:spacing w:line="360" w:lineRule="exact"/>
              <w:ind w:left="1105" w:leftChars="257" w:hanging="540"/>
              <w:rPr>
                <w:rFonts w:cs="宋体" w:asciiTheme="minorEastAsia" w:hAnsiTheme="minorEastAsia" w:eastAsiaTheme="minorEastAsia"/>
                <w:color w:val="auto"/>
              </w:rPr>
            </w:pPr>
          </w:p>
        </w:tc>
        <w:tc>
          <w:tcPr>
            <w:tcW w:w="1260" w:type="dxa"/>
          </w:tcPr>
          <w:p w14:paraId="12ADA15F">
            <w:pPr>
              <w:pStyle w:val="12"/>
              <w:spacing w:line="360" w:lineRule="exact"/>
              <w:ind w:left="1105" w:leftChars="257" w:hanging="540"/>
              <w:rPr>
                <w:rFonts w:cs="宋体" w:asciiTheme="minorEastAsia" w:hAnsiTheme="minorEastAsia" w:eastAsiaTheme="minorEastAsia"/>
                <w:color w:val="auto"/>
              </w:rPr>
            </w:pPr>
          </w:p>
        </w:tc>
        <w:tc>
          <w:tcPr>
            <w:tcW w:w="2340" w:type="dxa"/>
          </w:tcPr>
          <w:p w14:paraId="39A3819C">
            <w:pPr>
              <w:pStyle w:val="12"/>
              <w:spacing w:line="360" w:lineRule="exact"/>
              <w:ind w:left="1105" w:leftChars="257" w:hanging="540"/>
              <w:rPr>
                <w:rFonts w:cs="宋体" w:asciiTheme="minorEastAsia" w:hAnsiTheme="minorEastAsia" w:eastAsiaTheme="minorEastAsia"/>
                <w:color w:val="auto"/>
              </w:rPr>
            </w:pPr>
          </w:p>
        </w:tc>
        <w:tc>
          <w:tcPr>
            <w:tcW w:w="1260" w:type="dxa"/>
          </w:tcPr>
          <w:p w14:paraId="5FD6CB79">
            <w:pPr>
              <w:pStyle w:val="12"/>
              <w:spacing w:line="360" w:lineRule="exact"/>
              <w:ind w:left="1105" w:leftChars="257" w:hanging="540"/>
              <w:rPr>
                <w:rFonts w:cs="宋体" w:asciiTheme="minorEastAsia" w:hAnsiTheme="minorEastAsia" w:eastAsiaTheme="minorEastAsia"/>
                <w:color w:val="auto"/>
              </w:rPr>
            </w:pPr>
          </w:p>
        </w:tc>
        <w:tc>
          <w:tcPr>
            <w:tcW w:w="1260" w:type="dxa"/>
          </w:tcPr>
          <w:p w14:paraId="3D398099">
            <w:pPr>
              <w:pStyle w:val="12"/>
              <w:spacing w:line="360" w:lineRule="exact"/>
              <w:ind w:left="1105" w:leftChars="257" w:hanging="540"/>
              <w:rPr>
                <w:rFonts w:cs="宋体" w:asciiTheme="minorEastAsia" w:hAnsiTheme="minorEastAsia" w:eastAsiaTheme="minorEastAsia"/>
                <w:color w:val="auto"/>
              </w:rPr>
            </w:pPr>
          </w:p>
        </w:tc>
        <w:tc>
          <w:tcPr>
            <w:tcW w:w="900" w:type="dxa"/>
          </w:tcPr>
          <w:p w14:paraId="2B0253F5">
            <w:pPr>
              <w:pStyle w:val="12"/>
              <w:spacing w:line="360" w:lineRule="exact"/>
              <w:ind w:left="1105" w:leftChars="257" w:hanging="540"/>
              <w:rPr>
                <w:rFonts w:cs="宋体" w:asciiTheme="minorEastAsia" w:hAnsiTheme="minorEastAsia" w:eastAsiaTheme="minorEastAsia"/>
                <w:color w:val="auto"/>
              </w:rPr>
            </w:pPr>
          </w:p>
        </w:tc>
        <w:tc>
          <w:tcPr>
            <w:tcW w:w="900" w:type="dxa"/>
          </w:tcPr>
          <w:p w14:paraId="7D6AEB31">
            <w:pPr>
              <w:pStyle w:val="12"/>
              <w:spacing w:line="360" w:lineRule="exact"/>
              <w:ind w:left="1105" w:leftChars="257" w:hanging="540"/>
              <w:rPr>
                <w:rFonts w:cs="宋体" w:asciiTheme="minorEastAsia" w:hAnsiTheme="minorEastAsia" w:eastAsiaTheme="minorEastAsia"/>
                <w:color w:val="auto"/>
              </w:rPr>
            </w:pPr>
          </w:p>
        </w:tc>
      </w:tr>
      <w:tr w14:paraId="53DB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E626F63">
            <w:pPr>
              <w:pStyle w:val="12"/>
              <w:spacing w:line="360" w:lineRule="exact"/>
              <w:ind w:left="1105" w:leftChars="257" w:hanging="540"/>
              <w:rPr>
                <w:rFonts w:cs="宋体" w:asciiTheme="minorEastAsia" w:hAnsiTheme="minorEastAsia" w:eastAsiaTheme="minorEastAsia"/>
                <w:color w:val="auto"/>
              </w:rPr>
            </w:pPr>
          </w:p>
        </w:tc>
        <w:tc>
          <w:tcPr>
            <w:tcW w:w="1260" w:type="dxa"/>
          </w:tcPr>
          <w:p w14:paraId="6536E111">
            <w:pPr>
              <w:pStyle w:val="12"/>
              <w:spacing w:line="360" w:lineRule="exact"/>
              <w:ind w:left="1105" w:leftChars="257" w:hanging="540"/>
              <w:rPr>
                <w:rFonts w:cs="宋体" w:asciiTheme="minorEastAsia" w:hAnsiTheme="minorEastAsia" w:eastAsiaTheme="minorEastAsia"/>
                <w:color w:val="auto"/>
              </w:rPr>
            </w:pPr>
          </w:p>
        </w:tc>
        <w:tc>
          <w:tcPr>
            <w:tcW w:w="2340" w:type="dxa"/>
          </w:tcPr>
          <w:p w14:paraId="545DFEB0">
            <w:pPr>
              <w:pStyle w:val="12"/>
              <w:spacing w:line="360" w:lineRule="exact"/>
              <w:ind w:left="1105" w:leftChars="257" w:hanging="540"/>
              <w:rPr>
                <w:rFonts w:cs="宋体" w:asciiTheme="minorEastAsia" w:hAnsiTheme="minorEastAsia" w:eastAsiaTheme="minorEastAsia"/>
                <w:color w:val="auto"/>
              </w:rPr>
            </w:pPr>
          </w:p>
        </w:tc>
        <w:tc>
          <w:tcPr>
            <w:tcW w:w="1260" w:type="dxa"/>
          </w:tcPr>
          <w:p w14:paraId="76783541">
            <w:pPr>
              <w:pStyle w:val="12"/>
              <w:spacing w:line="360" w:lineRule="exact"/>
              <w:ind w:left="1105" w:leftChars="257" w:hanging="540"/>
              <w:rPr>
                <w:rFonts w:cs="宋体" w:asciiTheme="minorEastAsia" w:hAnsiTheme="minorEastAsia" w:eastAsiaTheme="minorEastAsia"/>
                <w:color w:val="auto"/>
              </w:rPr>
            </w:pPr>
          </w:p>
        </w:tc>
        <w:tc>
          <w:tcPr>
            <w:tcW w:w="1260" w:type="dxa"/>
          </w:tcPr>
          <w:p w14:paraId="0B965D03">
            <w:pPr>
              <w:pStyle w:val="12"/>
              <w:spacing w:line="360" w:lineRule="exact"/>
              <w:ind w:left="1105" w:leftChars="257" w:hanging="540"/>
              <w:rPr>
                <w:rFonts w:cs="宋体" w:asciiTheme="minorEastAsia" w:hAnsiTheme="minorEastAsia" w:eastAsiaTheme="minorEastAsia"/>
                <w:color w:val="auto"/>
              </w:rPr>
            </w:pPr>
          </w:p>
        </w:tc>
        <w:tc>
          <w:tcPr>
            <w:tcW w:w="900" w:type="dxa"/>
          </w:tcPr>
          <w:p w14:paraId="7F98339E">
            <w:pPr>
              <w:pStyle w:val="12"/>
              <w:spacing w:line="360" w:lineRule="exact"/>
              <w:ind w:left="1105" w:leftChars="257" w:hanging="540"/>
              <w:rPr>
                <w:rFonts w:cs="宋体" w:asciiTheme="minorEastAsia" w:hAnsiTheme="minorEastAsia" w:eastAsiaTheme="minorEastAsia"/>
                <w:color w:val="auto"/>
              </w:rPr>
            </w:pPr>
          </w:p>
        </w:tc>
        <w:tc>
          <w:tcPr>
            <w:tcW w:w="900" w:type="dxa"/>
          </w:tcPr>
          <w:p w14:paraId="642E2B54">
            <w:pPr>
              <w:pStyle w:val="12"/>
              <w:spacing w:line="360" w:lineRule="exact"/>
              <w:ind w:left="1105" w:leftChars="257" w:hanging="540"/>
              <w:rPr>
                <w:rFonts w:cs="宋体" w:asciiTheme="minorEastAsia" w:hAnsiTheme="minorEastAsia" w:eastAsiaTheme="minorEastAsia"/>
                <w:color w:val="auto"/>
              </w:rPr>
            </w:pPr>
          </w:p>
        </w:tc>
      </w:tr>
      <w:tr w14:paraId="541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1032631">
            <w:pPr>
              <w:pStyle w:val="12"/>
              <w:spacing w:line="360" w:lineRule="exact"/>
              <w:ind w:left="1105" w:leftChars="257" w:hanging="540"/>
              <w:rPr>
                <w:rFonts w:cs="宋体" w:asciiTheme="minorEastAsia" w:hAnsiTheme="minorEastAsia" w:eastAsiaTheme="minorEastAsia"/>
                <w:color w:val="auto"/>
              </w:rPr>
            </w:pPr>
          </w:p>
        </w:tc>
        <w:tc>
          <w:tcPr>
            <w:tcW w:w="1260" w:type="dxa"/>
          </w:tcPr>
          <w:p w14:paraId="73015222">
            <w:pPr>
              <w:pStyle w:val="12"/>
              <w:spacing w:line="360" w:lineRule="exact"/>
              <w:ind w:left="1105" w:leftChars="257" w:hanging="540"/>
              <w:rPr>
                <w:rFonts w:cs="宋体" w:asciiTheme="minorEastAsia" w:hAnsiTheme="minorEastAsia" w:eastAsiaTheme="minorEastAsia"/>
                <w:color w:val="auto"/>
              </w:rPr>
            </w:pPr>
          </w:p>
        </w:tc>
        <w:tc>
          <w:tcPr>
            <w:tcW w:w="2340" w:type="dxa"/>
          </w:tcPr>
          <w:p w14:paraId="351FB5A9">
            <w:pPr>
              <w:pStyle w:val="12"/>
              <w:spacing w:line="360" w:lineRule="exact"/>
              <w:ind w:left="1105" w:leftChars="257" w:hanging="540"/>
              <w:rPr>
                <w:rFonts w:cs="宋体" w:asciiTheme="minorEastAsia" w:hAnsiTheme="minorEastAsia" w:eastAsiaTheme="minorEastAsia"/>
                <w:color w:val="auto"/>
              </w:rPr>
            </w:pPr>
          </w:p>
        </w:tc>
        <w:tc>
          <w:tcPr>
            <w:tcW w:w="1260" w:type="dxa"/>
          </w:tcPr>
          <w:p w14:paraId="62B67B31">
            <w:pPr>
              <w:pStyle w:val="12"/>
              <w:spacing w:line="360" w:lineRule="exact"/>
              <w:ind w:left="1105" w:leftChars="257" w:hanging="540"/>
              <w:rPr>
                <w:rFonts w:cs="宋体" w:asciiTheme="minorEastAsia" w:hAnsiTheme="minorEastAsia" w:eastAsiaTheme="minorEastAsia"/>
                <w:color w:val="auto"/>
              </w:rPr>
            </w:pPr>
          </w:p>
        </w:tc>
        <w:tc>
          <w:tcPr>
            <w:tcW w:w="1260" w:type="dxa"/>
          </w:tcPr>
          <w:p w14:paraId="2EE8E730">
            <w:pPr>
              <w:pStyle w:val="12"/>
              <w:spacing w:line="360" w:lineRule="exact"/>
              <w:ind w:left="1105" w:leftChars="257" w:hanging="540"/>
              <w:rPr>
                <w:rFonts w:cs="宋体" w:asciiTheme="minorEastAsia" w:hAnsiTheme="minorEastAsia" w:eastAsiaTheme="minorEastAsia"/>
                <w:color w:val="auto"/>
              </w:rPr>
            </w:pPr>
          </w:p>
        </w:tc>
        <w:tc>
          <w:tcPr>
            <w:tcW w:w="900" w:type="dxa"/>
          </w:tcPr>
          <w:p w14:paraId="6758C2E1">
            <w:pPr>
              <w:pStyle w:val="12"/>
              <w:spacing w:line="360" w:lineRule="exact"/>
              <w:ind w:left="1105" w:leftChars="257" w:hanging="540"/>
              <w:rPr>
                <w:rFonts w:cs="宋体" w:asciiTheme="minorEastAsia" w:hAnsiTheme="minorEastAsia" w:eastAsiaTheme="minorEastAsia"/>
                <w:color w:val="auto"/>
              </w:rPr>
            </w:pPr>
          </w:p>
        </w:tc>
        <w:tc>
          <w:tcPr>
            <w:tcW w:w="900" w:type="dxa"/>
          </w:tcPr>
          <w:p w14:paraId="5DC610D1">
            <w:pPr>
              <w:pStyle w:val="12"/>
              <w:spacing w:line="360" w:lineRule="exact"/>
              <w:ind w:left="1105" w:leftChars="257" w:hanging="540"/>
              <w:rPr>
                <w:rFonts w:cs="宋体" w:asciiTheme="minorEastAsia" w:hAnsiTheme="minorEastAsia" w:eastAsiaTheme="minorEastAsia"/>
                <w:color w:val="auto"/>
              </w:rPr>
            </w:pPr>
          </w:p>
        </w:tc>
      </w:tr>
      <w:tr w14:paraId="599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7AE1B77">
            <w:pPr>
              <w:pStyle w:val="12"/>
              <w:spacing w:line="360" w:lineRule="exact"/>
              <w:ind w:left="1105" w:leftChars="257" w:hanging="540"/>
              <w:rPr>
                <w:rFonts w:cs="宋体" w:asciiTheme="minorEastAsia" w:hAnsiTheme="minorEastAsia" w:eastAsiaTheme="minorEastAsia"/>
                <w:color w:val="auto"/>
              </w:rPr>
            </w:pPr>
          </w:p>
        </w:tc>
        <w:tc>
          <w:tcPr>
            <w:tcW w:w="1260" w:type="dxa"/>
          </w:tcPr>
          <w:p w14:paraId="5A18430A">
            <w:pPr>
              <w:pStyle w:val="12"/>
              <w:spacing w:line="360" w:lineRule="exact"/>
              <w:ind w:left="1105" w:leftChars="257" w:hanging="540"/>
              <w:rPr>
                <w:rFonts w:cs="宋体" w:asciiTheme="minorEastAsia" w:hAnsiTheme="minorEastAsia" w:eastAsiaTheme="minorEastAsia"/>
                <w:color w:val="auto"/>
              </w:rPr>
            </w:pPr>
          </w:p>
        </w:tc>
        <w:tc>
          <w:tcPr>
            <w:tcW w:w="2340" w:type="dxa"/>
          </w:tcPr>
          <w:p w14:paraId="5BC22C84">
            <w:pPr>
              <w:pStyle w:val="12"/>
              <w:spacing w:line="360" w:lineRule="exact"/>
              <w:ind w:left="1105" w:leftChars="257" w:hanging="540"/>
              <w:rPr>
                <w:rFonts w:cs="宋体" w:asciiTheme="minorEastAsia" w:hAnsiTheme="minorEastAsia" w:eastAsiaTheme="minorEastAsia"/>
                <w:color w:val="auto"/>
              </w:rPr>
            </w:pPr>
          </w:p>
        </w:tc>
        <w:tc>
          <w:tcPr>
            <w:tcW w:w="1260" w:type="dxa"/>
          </w:tcPr>
          <w:p w14:paraId="3D8C424A">
            <w:pPr>
              <w:pStyle w:val="12"/>
              <w:spacing w:line="360" w:lineRule="exact"/>
              <w:ind w:left="1105" w:leftChars="257" w:hanging="540"/>
              <w:rPr>
                <w:rFonts w:cs="宋体" w:asciiTheme="minorEastAsia" w:hAnsiTheme="minorEastAsia" w:eastAsiaTheme="minorEastAsia"/>
                <w:color w:val="auto"/>
              </w:rPr>
            </w:pPr>
          </w:p>
        </w:tc>
        <w:tc>
          <w:tcPr>
            <w:tcW w:w="1260" w:type="dxa"/>
          </w:tcPr>
          <w:p w14:paraId="75708DC3">
            <w:pPr>
              <w:pStyle w:val="12"/>
              <w:spacing w:line="360" w:lineRule="exact"/>
              <w:ind w:left="1105" w:leftChars="257" w:hanging="540"/>
              <w:rPr>
                <w:rFonts w:cs="宋体" w:asciiTheme="minorEastAsia" w:hAnsiTheme="minorEastAsia" w:eastAsiaTheme="minorEastAsia"/>
                <w:color w:val="auto"/>
              </w:rPr>
            </w:pPr>
          </w:p>
        </w:tc>
        <w:tc>
          <w:tcPr>
            <w:tcW w:w="900" w:type="dxa"/>
          </w:tcPr>
          <w:p w14:paraId="4C73881A">
            <w:pPr>
              <w:pStyle w:val="12"/>
              <w:spacing w:line="360" w:lineRule="exact"/>
              <w:ind w:left="1105" w:leftChars="257" w:hanging="540"/>
              <w:rPr>
                <w:rFonts w:cs="宋体" w:asciiTheme="minorEastAsia" w:hAnsiTheme="minorEastAsia" w:eastAsiaTheme="minorEastAsia"/>
                <w:color w:val="auto"/>
              </w:rPr>
            </w:pPr>
          </w:p>
        </w:tc>
        <w:tc>
          <w:tcPr>
            <w:tcW w:w="900" w:type="dxa"/>
          </w:tcPr>
          <w:p w14:paraId="6BD3589A">
            <w:pPr>
              <w:pStyle w:val="12"/>
              <w:spacing w:line="360" w:lineRule="exact"/>
              <w:ind w:left="1105" w:leftChars="257" w:hanging="540"/>
              <w:rPr>
                <w:rFonts w:cs="宋体" w:asciiTheme="minorEastAsia" w:hAnsiTheme="minorEastAsia" w:eastAsiaTheme="minorEastAsia"/>
                <w:color w:val="auto"/>
              </w:rPr>
            </w:pPr>
          </w:p>
        </w:tc>
      </w:tr>
      <w:tr w14:paraId="6C49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5CEACC1">
            <w:pPr>
              <w:pStyle w:val="12"/>
              <w:spacing w:line="360" w:lineRule="exact"/>
              <w:ind w:left="1105" w:leftChars="257" w:hanging="540"/>
              <w:rPr>
                <w:rFonts w:cs="宋体" w:asciiTheme="minorEastAsia" w:hAnsiTheme="minorEastAsia" w:eastAsiaTheme="minorEastAsia"/>
                <w:color w:val="auto"/>
              </w:rPr>
            </w:pPr>
          </w:p>
        </w:tc>
        <w:tc>
          <w:tcPr>
            <w:tcW w:w="1260" w:type="dxa"/>
          </w:tcPr>
          <w:p w14:paraId="169A405A">
            <w:pPr>
              <w:pStyle w:val="12"/>
              <w:spacing w:line="360" w:lineRule="exact"/>
              <w:ind w:left="1105" w:leftChars="257" w:hanging="540"/>
              <w:rPr>
                <w:rFonts w:cs="宋体" w:asciiTheme="minorEastAsia" w:hAnsiTheme="minorEastAsia" w:eastAsiaTheme="minorEastAsia"/>
                <w:color w:val="auto"/>
              </w:rPr>
            </w:pPr>
          </w:p>
        </w:tc>
        <w:tc>
          <w:tcPr>
            <w:tcW w:w="2340" w:type="dxa"/>
          </w:tcPr>
          <w:p w14:paraId="59F09A7D">
            <w:pPr>
              <w:pStyle w:val="12"/>
              <w:spacing w:line="360" w:lineRule="exact"/>
              <w:ind w:left="1105" w:leftChars="257" w:hanging="540"/>
              <w:rPr>
                <w:rFonts w:cs="宋体" w:asciiTheme="minorEastAsia" w:hAnsiTheme="minorEastAsia" w:eastAsiaTheme="minorEastAsia"/>
                <w:color w:val="auto"/>
              </w:rPr>
            </w:pPr>
          </w:p>
        </w:tc>
        <w:tc>
          <w:tcPr>
            <w:tcW w:w="1260" w:type="dxa"/>
          </w:tcPr>
          <w:p w14:paraId="45FD739E">
            <w:pPr>
              <w:pStyle w:val="12"/>
              <w:spacing w:line="360" w:lineRule="exact"/>
              <w:ind w:left="1105" w:leftChars="257" w:hanging="540"/>
              <w:rPr>
                <w:rFonts w:cs="宋体" w:asciiTheme="minorEastAsia" w:hAnsiTheme="minorEastAsia" w:eastAsiaTheme="minorEastAsia"/>
                <w:color w:val="auto"/>
              </w:rPr>
            </w:pPr>
          </w:p>
        </w:tc>
        <w:tc>
          <w:tcPr>
            <w:tcW w:w="1260" w:type="dxa"/>
          </w:tcPr>
          <w:p w14:paraId="2F7E0CC4">
            <w:pPr>
              <w:pStyle w:val="12"/>
              <w:spacing w:line="360" w:lineRule="exact"/>
              <w:ind w:left="1105" w:leftChars="257" w:hanging="540"/>
              <w:rPr>
                <w:rFonts w:cs="宋体" w:asciiTheme="minorEastAsia" w:hAnsiTheme="minorEastAsia" w:eastAsiaTheme="minorEastAsia"/>
                <w:color w:val="auto"/>
              </w:rPr>
            </w:pPr>
          </w:p>
        </w:tc>
        <w:tc>
          <w:tcPr>
            <w:tcW w:w="900" w:type="dxa"/>
          </w:tcPr>
          <w:p w14:paraId="575458A9">
            <w:pPr>
              <w:pStyle w:val="12"/>
              <w:spacing w:line="360" w:lineRule="exact"/>
              <w:ind w:left="1105" w:leftChars="257" w:hanging="540"/>
              <w:rPr>
                <w:rFonts w:cs="宋体" w:asciiTheme="minorEastAsia" w:hAnsiTheme="minorEastAsia" w:eastAsiaTheme="minorEastAsia"/>
                <w:color w:val="auto"/>
              </w:rPr>
            </w:pPr>
          </w:p>
        </w:tc>
        <w:tc>
          <w:tcPr>
            <w:tcW w:w="900" w:type="dxa"/>
          </w:tcPr>
          <w:p w14:paraId="7AAB6CB8">
            <w:pPr>
              <w:pStyle w:val="12"/>
              <w:spacing w:line="360" w:lineRule="exact"/>
              <w:ind w:left="1105" w:leftChars="257" w:hanging="540"/>
              <w:rPr>
                <w:rFonts w:cs="宋体" w:asciiTheme="minorEastAsia" w:hAnsiTheme="minorEastAsia" w:eastAsiaTheme="minorEastAsia"/>
                <w:color w:val="auto"/>
              </w:rPr>
            </w:pPr>
          </w:p>
        </w:tc>
      </w:tr>
      <w:tr w14:paraId="475D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0305A6D">
            <w:pPr>
              <w:pStyle w:val="12"/>
              <w:spacing w:line="360" w:lineRule="exact"/>
              <w:ind w:left="1105" w:leftChars="257" w:hanging="540"/>
              <w:rPr>
                <w:rFonts w:cs="宋体" w:asciiTheme="minorEastAsia" w:hAnsiTheme="minorEastAsia" w:eastAsiaTheme="minorEastAsia"/>
                <w:color w:val="auto"/>
              </w:rPr>
            </w:pPr>
          </w:p>
        </w:tc>
        <w:tc>
          <w:tcPr>
            <w:tcW w:w="1260" w:type="dxa"/>
          </w:tcPr>
          <w:p w14:paraId="74913986">
            <w:pPr>
              <w:pStyle w:val="12"/>
              <w:spacing w:line="360" w:lineRule="exact"/>
              <w:ind w:left="1105" w:leftChars="257" w:hanging="540"/>
              <w:rPr>
                <w:rFonts w:cs="宋体" w:asciiTheme="minorEastAsia" w:hAnsiTheme="minorEastAsia" w:eastAsiaTheme="minorEastAsia"/>
                <w:color w:val="auto"/>
              </w:rPr>
            </w:pPr>
          </w:p>
        </w:tc>
        <w:tc>
          <w:tcPr>
            <w:tcW w:w="2340" w:type="dxa"/>
          </w:tcPr>
          <w:p w14:paraId="7A5B95FA">
            <w:pPr>
              <w:pStyle w:val="12"/>
              <w:spacing w:line="360" w:lineRule="exact"/>
              <w:ind w:left="1105" w:leftChars="257" w:hanging="540"/>
              <w:rPr>
                <w:rFonts w:cs="宋体" w:asciiTheme="minorEastAsia" w:hAnsiTheme="minorEastAsia" w:eastAsiaTheme="minorEastAsia"/>
                <w:color w:val="auto"/>
              </w:rPr>
            </w:pPr>
          </w:p>
        </w:tc>
        <w:tc>
          <w:tcPr>
            <w:tcW w:w="1260" w:type="dxa"/>
          </w:tcPr>
          <w:p w14:paraId="01EAAFA9">
            <w:pPr>
              <w:pStyle w:val="12"/>
              <w:spacing w:line="360" w:lineRule="exact"/>
              <w:ind w:left="1105" w:leftChars="257" w:hanging="540"/>
              <w:rPr>
                <w:rFonts w:cs="宋体" w:asciiTheme="minorEastAsia" w:hAnsiTheme="minorEastAsia" w:eastAsiaTheme="minorEastAsia"/>
                <w:color w:val="auto"/>
              </w:rPr>
            </w:pPr>
          </w:p>
        </w:tc>
        <w:tc>
          <w:tcPr>
            <w:tcW w:w="1260" w:type="dxa"/>
          </w:tcPr>
          <w:p w14:paraId="6978BFFA">
            <w:pPr>
              <w:pStyle w:val="12"/>
              <w:spacing w:line="360" w:lineRule="exact"/>
              <w:ind w:left="1105" w:leftChars="257" w:hanging="540"/>
              <w:rPr>
                <w:rFonts w:cs="宋体" w:asciiTheme="minorEastAsia" w:hAnsiTheme="minorEastAsia" w:eastAsiaTheme="minorEastAsia"/>
                <w:color w:val="auto"/>
              </w:rPr>
            </w:pPr>
          </w:p>
        </w:tc>
        <w:tc>
          <w:tcPr>
            <w:tcW w:w="900" w:type="dxa"/>
          </w:tcPr>
          <w:p w14:paraId="4ADEBBC7">
            <w:pPr>
              <w:pStyle w:val="12"/>
              <w:spacing w:line="360" w:lineRule="exact"/>
              <w:ind w:left="1105" w:leftChars="257" w:hanging="540"/>
              <w:rPr>
                <w:rFonts w:cs="宋体" w:asciiTheme="minorEastAsia" w:hAnsiTheme="minorEastAsia" w:eastAsiaTheme="minorEastAsia"/>
                <w:color w:val="auto"/>
              </w:rPr>
            </w:pPr>
          </w:p>
        </w:tc>
        <w:tc>
          <w:tcPr>
            <w:tcW w:w="900" w:type="dxa"/>
          </w:tcPr>
          <w:p w14:paraId="66458E5E">
            <w:pPr>
              <w:pStyle w:val="12"/>
              <w:spacing w:line="360" w:lineRule="exact"/>
              <w:ind w:left="1105" w:leftChars="257" w:hanging="540"/>
              <w:rPr>
                <w:rFonts w:cs="宋体" w:asciiTheme="minorEastAsia" w:hAnsiTheme="minorEastAsia" w:eastAsiaTheme="minorEastAsia"/>
                <w:color w:val="auto"/>
              </w:rPr>
            </w:pPr>
          </w:p>
        </w:tc>
      </w:tr>
      <w:tr w14:paraId="31D7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332BA9B7">
            <w:pPr>
              <w:pStyle w:val="12"/>
              <w:spacing w:line="360" w:lineRule="exact"/>
              <w:ind w:left="1105" w:leftChars="257" w:hanging="540"/>
              <w:rPr>
                <w:rFonts w:cs="宋体" w:asciiTheme="minorEastAsia" w:hAnsiTheme="minorEastAsia" w:eastAsiaTheme="minorEastAsia"/>
                <w:color w:val="auto"/>
              </w:rPr>
            </w:pPr>
          </w:p>
        </w:tc>
        <w:tc>
          <w:tcPr>
            <w:tcW w:w="1260" w:type="dxa"/>
          </w:tcPr>
          <w:p w14:paraId="6D610A46">
            <w:pPr>
              <w:pStyle w:val="12"/>
              <w:spacing w:line="360" w:lineRule="exact"/>
              <w:ind w:left="1105" w:leftChars="257" w:hanging="540"/>
              <w:rPr>
                <w:rFonts w:cs="宋体" w:asciiTheme="minorEastAsia" w:hAnsiTheme="minorEastAsia" w:eastAsiaTheme="minorEastAsia"/>
                <w:color w:val="auto"/>
              </w:rPr>
            </w:pPr>
          </w:p>
        </w:tc>
        <w:tc>
          <w:tcPr>
            <w:tcW w:w="2340" w:type="dxa"/>
          </w:tcPr>
          <w:p w14:paraId="3CF34AB1">
            <w:pPr>
              <w:pStyle w:val="12"/>
              <w:spacing w:line="360" w:lineRule="exact"/>
              <w:ind w:left="1105" w:leftChars="257" w:hanging="540"/>
              <w:rPr>
                <w:rFonts w:cs="宋体" w:asciiTheme="minorEastAsia" w:hAnsiTheme="minorEastAsia" w:eastAsiaTheme="minorEastAsia"/>
                <w:color w:val="auto"/>
              </w:rPr>
            </w:pPr>
          </w:p>
        </w:tc>
        <w:tc>
          <w:tcPr>
            <w:tcW w:w="1260" w:type="dxa"/>
          </w:tcPr>
          <w:p w14:paraId="1B39701F">
            <w:pPr>
              <w:pStyle w:val="12"/>
              <w:spacing w:line="360" w:lineRule="exact"/>
              <w:ind w:left="1105" w:leftChars="257" w:hanging="540"/>
              <w:rPr>
                <w:rFonts w:cs="宋体" w:asciiTheme="minorEastAsia" w:hAnsiTheme="minorEastAsia" w:eastAsiaTheme="minorEastAsia"/>
                <w:color w:val="auto"/>
              </w:rPr>
            </w:pPr>
          </w:p>
        </w:tc>
        <w:tc>
          <w:tcPr>
            <w:tcW w:w="1260" w:type="dxa"/>
          </w:tcPr>
          <w:p w14:paraId="049ECE85">
            <w:pPr>
              <w:pStyle w:val="12"/>
              <w:spacing w:line="360" w:lineRule="exact"/>
              <w:ind w:left="1105" w:leftChars="257" w:hanging="540"/>
              <w:rPr>
                <w:rFonts w:cs="宋体" w:asciiTheme="minorEastAsia" w:hAnsiTheme="minorEastAsia" w:eastAsiaTheme="minorEastAsia"/>
                <w:color w:val="auto"/>
              </w:rPr>
            </w:pPr>
          </w:p>
        </w:tc>
        <w:tc>
          <w:tcPr>
            <w:tcW w:w="900" w:type="dxa"/>
          </w:tcPr>
          <w:p w14:paraId="1D813506">
            <w:pPr>
              <w:pStyle w:val="12"/>
              <w:spacing w:line="360" w:lineRule="exact"/>
              <w:ind w:left="1105" w:leftChars="257" w:hanging="540"/>
              <w:rPr>
                <w:rFonts w:cs="宋体" w:asciiTheme="minorEastAsia" w:hAnsiTheme="minorEastAsia" w:eastAsiaTheme="minorEastAsia"/>
                <w:color w:val="auto"/>
              </w:rPr>
            </w:pPr>
          </w:p>
        </w:tc>
        <w:tc>
          <w:tcPr>
            <w:tcW w:w="900" w:type="dxa"/>
          </w:tcPr>
          <w:p w14:paraId="3BE689F3">
            <w:pPr>
              <w:pStyle w:val="12"/>
              <w:spacing w:line="360" w:lineRule="exact"/>
              <w:ind w:left="1105" w:leftChars="257" w:hanging="540"/>
              <w:rPr>
                <w:rFonts w:cs="宋体" w:asciiTheme="minorEastAsia" w:hAnsiTheme="minorEastAsia" w:eastAsiaTheme="minorEastAsia"/>
                <w:color w:val="auto"/>
              </w:rPr>
            </w:pPr>
          </w:p>
        </w:tc>
      </w:tr>
      <w:tr w14:paraId="1EC9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5C66A0FD">
            <w:pPr>
              <w:pStyle w:val="12"/>
              <w:spacing w:line="360" w:lineRule="exact"/>
              <w:ind w:left="1105" w:leftChars="257" w:hanging="540"/>
              <w:rPr>
                <w:rFonts w:cs="宋体" w:asciiTheme="minorEastAsia" w:hAnsiTheme="minorEastAsia" w:eastAsiaTheme="minorEastAsia"/>
                <w:color w:val="auto"/>
              </w:rPr>
            </w:pPr>
          </w:p>
        </w:tc>
        <w:tc>
          <w:tcPr>
            <w:tcW w:w="1260" w:type="dxa"/>
          </w:tcPr>
          <w:p w14:paraId="3E683A72">
            <w:pPr>
              <w:pStyle w:val="12"/>
              <w:spacing w:line="360" w:lineRule="exact"/>
              <w:ind w:left="1105" w:leftChars="257" w:hanging="540"/>
              <w:rPr>
                <w:rFonts w:cs="宋体" w:asciiTheme="minorEastAsia" w:hAnsiTheme="minorEastAsia" w:eastAsiaTheme="minorEastAsia"/>
                <w:color w:val="auto"/>
              </w:rPr>
            </w:pPr>
          </w:p>
        </w:tc>
        <w:tc>
          <w:tcPr>
            <w:tcW w:w="2340" w:type="dxa"/>
          </w:tcPr>
          <w:p w14:paraId="75DDF6D0">
            <w:pPr>
              <w:pStyle w:val="12"/>
              <w:spacing w:line="360" w:lineRule="exact"/>
              <w:ind w:left="1105" w:leftChars="257" w:hanging="540"/>
              <w:rPr>
                <w:rFonts w:cs="宋体" w:asciiTheme="minorEastAsia" w:hAnsiTheme="minorEastAsia" w:eastAsiaTheme="minorEastAsia"/>
                <w:color w:val="auto"/>
              </w:rPr>
            </w:pPr>
          </w:p>
        </w:tc>
        <w:tc>
          <w:tcPr>
            <w:tcW w:w="1260" w:type="dxa"/>
          </w:tcPr>
          <w:p w14:paraId="32809D2B">
            <w:pPr>
              <w:pStyle w:val="12"/>
              <w:spacing w:line="360" w:lineRule="exact"/>
              <w:ind w:left="1105" w:leftChars="257" w:hanging="540"/>
              <w:rPr>
                <w:rFonts w:cs="宋体" w:asciiTheme="minorEastAsia" w:hAnsiTheme="minorEastAsia" w:eastAsiaTheme="minorEastAsia"/>
                <w:color w:val="auto"/>
              </w:rPr>
            </w:pPr>
          </w:p>
        </w:tc>
        <w:tc>
          <w:tcPr>
            <w:tcW w:w="1260" w:type="dxa"/>
          </w:tcPr>
          <w:p w14:paraId="4FE16753">
            <w:pPr>
              <w:pStyle w:val="12"/>
              <w:spacing w:line="360" w:lineRule="exact"/>
              <w:ind w:left="1105" w:leftChars="257" w:hanging="540"/>
              <w:rPr>
                <w:rFonts w:cs="宋体" w:asciiTheme="minorEastAsia" w:hAnsiTheme="minorEastAsia" w:eastAsiaTheme="minorEastAsia"/>
                <w:color w:val="auto"/>
              </w:rPr>
            </w:pPr>
          </w:p>
        </w:tc>
        <w:tc>
          <w:tcPr>
            <w:tcW w:w="900" w:type="dxa"/>
          </w:tcPr>
          <w:p w14:paraId="4DBEDDB6">
            <w:pPr>
              <w:pStyle w:val="12"/>
              <w:spacing w:line="360" w:lineRule="exact"/>
              <w:ind w:left="1105" w:leftChars="257" w:hanging="540"/>
              <w:rPr>
                <w:rFonts w:cs="宋体" w:asciiTheme="minorEastAsia" w:hAnsiTheme="minorEastAsia" w:eastAsiaTheme="minorEastAsia"/>
                <w:color w:val="auto"/>
              </w:rPr>
            </w:pPr>
          </w:p>
        </w:tc>
        <w:tc>
          <w:tcPr>
            <w:tcW w:w="900" w:type="dxa"/>
          </w:tcPr>
          <w:p w14:paraId="6EF0F351">
            <w:pPr>
              <w:pStyle w:val="12"/>
              <w:spacing w:line="360" w:lineRule="exact"/>
              <w:ind w:left="1105" w:leftChars="257" w:hanging="540"/>
              <w:rPr>
                <w:rFonts w:cs="宋体" w:asciiTheme="minorEastAsia" w:hAnsiTheme="minorEastAsia" w:eastAsiaTheme="minorEastAsia"/>
                <w:color w:val="auto"/>
              </w:rPr>
            </w:pPr>
          </w:p>
        </w:tc>
      </w:tr>
      <w:tr w14:paraId="56BF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1218D209">
            <w:pPr>
              <w:pStyle w:val="12"/>
              <w:spacing w:line="360" w:lineRule="exact"/>
              <w:ind w:left="1105" w:leftChars="257" w:hanging="540"/>
              <w:rPr>
                <w:rFonts w:cs="宋体" w:asciiTheme="minorEastAsia" w:hAnsiTheme="minorEastAsia" w:eastAsiaTheme="minorEastAsia"/>
                <w:color w:val="auto"/>
              </w:rPr>
            </w:pPr>
          </w:p>
        </w:tc>
        <w:tc>
          <w:tcPr>
            <w:tcW w:w="1260" w:type="dxa"/>
          </w:tcPr>
          <w:p w14:paraId="13365BE3">
            <w:pPr>
              <w:pStyle w:val="12"/>
              <w:spacing w:line="360" w:lineRule="exact"/>
              <w:ind w:left="1105" w:leftChars="257" w:hanging="540"/>
              <w:rPr>
                <w:rFonts w:cs="宋体" w:asciiTheme="minorEastAsia" w:hAnsiTheme="minorEastAsia" w:eastAsiaTheme="minorEastAsia"/>
                <w:color w:val="auto"/>
              </w:rPr>
            </w:pPr>
          </w:p>
        </w:tc>
        <w:tc>
          <w:tcPr>
            <w:tcW w:w="2340" w:type="dxa"/>
          </w:tcPr>
          <w:p w14:paraId="14D8299E">
            <w:pPr>
              <w:pStyle w:val="12"/>
              <w:spacing w:line="360" w:lineRule="exact"/>
              <w:ind w:left="1105" w:leftChars="257" w:hanging="540"/>
              <w:rPr>
                <w:rFonts w:cs="宋体" w:asciiTheme="minorEastAsia" w:hAnsiTheme="minorEastAsia" w:eastAsiaTheme="minorEastAsia"/>
                <w:color w:val="auto"/>
              </w:rPr>
            </w:pPr>
          </w:p>
        </w:tc>
        <w:tc>
          <w:tcPr>
            <w:tcW w:w="1260" w:type="dxa"/>
          </w:tcPr>
          <w:p w14:paraId="17DF3B53">
            <w:pPr>
              <w:pStyle w:val="12"/>
              <w:spacing w:line="360" w:lineRule="exact"/>
              <w:ind w:left="1105" w:leftChars="257" w:hanging="540"/>
              <w:rPr>
                <w:rFonts w:cs="宋体" w:asciiTheme="minorEastAsia" w:hAnsiTheme="minorEastAsia" w:eastAsiaTheme="minorEastAsia"/>
                <w:color w:val="auto"/>
              </w:rPr>
            </w:pPr>
          </w:p>
        </w:tc>
        <w:tc>
          <w:tcPr>
            <w:tcW w:w="1260" w:type="dxa"/>
          </w:tcPr>
          <w:p w14:paraId="0C3F2DAB">
            <w:pPr>
              <w:pStyle w:val="12"/>
              <w:spacing w:line="360" w:lineRule="exact"/>
              <w:ind w:left="1105" w:leftChars="257" w:hanging="540"/>
              <w:rPr>
                <w:rFonts w:cs="宋体" w:asciiTheme="minorEastAsia" w:hAnsiTheme="minorEastAsia" w:eastAsiaTheme="minorEastAsia"/>
                <w:color w:val="auto"/>
              </w:rPr>
            </w:pPr>
          </w:p>
        </w:tc>
        <w:tc>
          <w:tcPr>
            <w:tcW w:w="900" w:type="dxa"/>
          </w:tcPr>
          <w:p w14:paraId="144A6CEE">
            <w:pPr>
              <w:pStyle w:val="12"/>
              <w:spacing w:line="360" w:lineRule="exact"/>
              <w:ind w:left="1105" w:leftChars="257" w:hanging="540"/>
              <w:rPr>
                <w:rFonts w:cs="宋体" w:asciiTheme="minorEastAsia" w:hAnsiTheme="minorEastAsia" w:eastAsiaTheme="minorEastAsia"/>
                <w:color w:val="auto"/>
              </w:rPr>
            </w:pPr>
          </w:p>
        </w:tc>
        <w:tc>
          <w:tcPr>
            <w:tcW w:w="900" w:type="dxa"/>
          </w:tcPr>
          <w:p w14:paraId="712E7B2C">
            <w:pPr>
              <w:pStyle w:val="12"/>
              <w:spacing w:line="360" w:lineRule="exact"/>
              <w:ind w:left="1105" w:leftChars="257" w:hanging="540"/>
              <w:rPr>
                <w:rFonts w:cs="宋体" w:asciiTheme="minorEastAsia" w:hAnsiTheme="minorEastAsia" w:eastAsiaTheme="minorEastAsia"/>
                <w:color w:val="auto"/>
              </w:rPr>
            </w:pPr>
          </w:p>
        </w:tc>
      </w:tr>
      <w:tr w14:paraId="7BB6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50AF8E77">
            <w:pPr>
              <w:pStyle w:val="12"/>
              <w:spacing w:line="360" w:lineRule="exact"/>
              <w:ind w:left="1105" w:leftChars="257" w:hanging="540"/>
              <w:rPr>
                <w:rFonts w:cs="宋体" w:asciiTheme="minorEastAsia" w:hAnsiTheme="minorEastAsia" w:eastAsiaTheme="minorEastAsia"/>
                <w:color w:val="auto"/>
              </w:rPr>
            </w:pPr>
          </w:p>
        </w:tc>
        <w:tc>
          <w:tcPr>
            <w:tcW w:w="1260" w:type="dxa"/>
          </w:tcPr>
          <w:p w14:paraId="4B818EE8">
            <w:pPr>
              <w:pStyle w:val="12"/>
              <w:spacing w:line="360" w:lineRule="exact"/>
              <w:ind w:left="1105" w:leftChars="257" w:hanging="540"/>
              <w:rPr>
                <w:rFonts w:cs="宋体" w:asciiTheme="minorEastAsia" w:hAnsiTheme="minorEastAsia" w:eastAsiaTheme="minorEastAsia"/>
                <w:color w:val="auto"/>
              </w:rPr>
            </w:pPr>
          </w:p>
        </w:tc>
        <w:tc>
          <w:tcPr>
            <w:tcW w:w="2340" w:type="dxa"/>
          </w:tcPr>
          <w:p w14:paraId="23FA2FBD">
            <w:pPr>
              <w:pStyle w:val="12"/>
              <w:spacing w:line="360" w:lineRule="exact"/>
              <w:ind w:left="1105" w:leftChars="257" w:hanging="540"/>
              <w:rPr>
                <w:rFonts w:cs="宋体" w:asciiTheme="minorEastAsia" w:hAnsiTheme="minorEastAsia" w:eastAsiaTheme="minorEastAsia"/>
                <w:color w:val="auto"/>
              </w:rPr>
            </w:pPr>
          </w:p>
        </w:tc>
        <w:tc>
          <w:tcPr>
            <w:tcW w:w="1260" w:type="dxa"/>
          </w:tcPr>
          <w:p w14:paraId="48252308">
            <w:pPr>
              <w:pStyle w:val="12"/>
              <w:spacing w:line="360" w:lineRule="exact"/>
              <w:ind w:left="1105" w:leftChars="257" w:hanging="540"/>
              <w:rPr>
                <w:rFonts w:cs="宋体" w:asciiTheme="minorEastAsia" w:hAnsiTheme="minorEastAsia" w:eastAsiaTheme="minorEastAsia"/>
                <w:color w:val="auto"/>
              </w:rPr>
            </w:pPr>
          </w:p>
        </w:tc>
        <w:tc>
          <w:tcPr>
            <w:tcW w:w="1260" w:type="dxa"/>
          </w:tcPr>
          <w:p w14:paraId="1540598E">
            <w:pPr>
              <w:pStyle w:val="12"/>
              <w:spacing w:line="360" w:lineRule="exact"/>
              <w:ind w:left="1105" w:leftChars="257" w:hanging="540"/>
              <w:rPr>
                <w:rFonts w:cs="宋体" w:asciiTheme="minorEastAsia" w:hAnsiTheme="minorEastAsia" w:eastAsiaTheme="minorEastAsia"/>
                <w:color w:val="auto"/>
              </w:rPr>
            </w:pPr>
          </w:p>
        </w:tc>
        <w:tc>
          <w:tcPr>
            <w:tcW w:w="900" w:type="dxa"/>
          </w:tcPr>
          <w:p w14:paraId="2D406DA9">
            <w:pPr>
              <w:pStyle w:val="12"/>
              <w:spacing w:line="360" w:lineRule="exact"/>
              <w:ind w:left="1105" w:leftChars="257" w:hanging="540"/>
              <w:rPr>
                <w:rFonts w:cs="宋体" w:asciiTheme="minorEastAsia" w:hAnsiTheme="minorEastAsia" w:eastAsiaTheme="minorEastAsia"/>
                <w:color w:val="auto"/>
              </w:rPr>
            </w:pPr>
          </w:p>
        </w:tc>
        <w:tc>
          <w:tcPr>
            <w:tcW w:w="900" w:type="dxa"/>
          </w:tcPr>
          <w:p w14:paraId="4CEFD9AF">
            <w:pPr>
              <w:pStyle w:val="12"/>
              <w:spacing w:line="360" w:lineRule="exact"/>
              <w:ind w:left="1105" w:leftChars="257" w:hanging="540"/>
              <w:rPr>
                <w:rFonts w:cs="宋体" w:asciiTheme="minorEastAsia" w:hAnsiTheme="minorEastAsia" w:eastAsiaTheme="minorEastAsia"/>
                <w:color w:val="auto"/>
              </w:rPr>
            </w:pPr>
          </w:p>
        </w:tc>
      </w:tr>
    </w:tbl>
    <w:p w14:paraId="345F1D94">
      <w:pPr>
        <w:spacing w:line="380" w:lineRule="exact"/>
        <w:rPr>
          <w:rFonts w:hint="eastAsia" w:ascii="宋体" w:hAnsi="宋体"/>
          <w:b/>
          <w:color w:val="auto"/>
          <w:szCs w:val="21"/>
        </w:rPr>
      </w:pPr>
      <w:r>
        <w:rPr>
          <w:rFonts w:hint="eastAsia" w:ascii="宋体" w:hAnsi="宋体"/>
          <w:b/>
          <w:color w:val="auto"/>
          <w:szCs w:val="21"/>
        </w:rPr>
        <w:t>附注：1、对采购文件有任何偏离请在本表中详细填写；如对技术条款没有偏离，请注明“无偏离”。</w:t>
      </w:r>
    </w:p>
    <w:p w14:paraId="75F82D6E">
      <w:pPr>
        <w:spacing w:line="380" w:lineRule="exact"/>
        <w:ind w:left="969" w:leftChars="290" w:hanging="331" w:hangingChars="150"/>
        <w:rPr>
          <w:rFonts w:ascii="宋体" w:hAnsi="宋体"/>
          <w:color w:val="auto"/>
          <w:szCs w:val="21"/>
        </w:rPr>
      </w:pPr>
      <w:r>
        <w:rPr>
          <w:rFonts w:hint="eastAsia" w:ascii="宋体" w:hAnsi="宋体"/>
          <w:b/>
          <w:color w:val="auto"/>
          <w:szCs w:val="21"/>
        </w:rPr>
        <w:t>2、此表格经法定代表人或委托代理人签字或盖章方有效。</w:t>
      </w:r>
    </w:p>
    <w:p w14:paraId="76218142">
      <w:pPr>
        <w:pStyle w:val="12"/>
        <w:spacing w:line="360" w:lineRule="exact"/>
        <w:ind w:left="1105" w:leftChars="257" w:hanging="540"/>
        <w:rPr>
          <w:rFonts w:cs="宋体" w:asciiTheme="minorEastAsia" w:hAnsiTheme="minorEastAsia" w:eastAsiaTheme="minorEastAsia"/>
          <w:color w:val="auto"/>
        </w:rPr>
      </w:pPr>
    </w:p>
    <w:p w14:paraId="308F46D1">
      <w:pPr>
        <w:pStyle w:val="12"/>
        <w:spacing w:line="360" w:lineRule="exact"/>
        <w:ind w:left="1105" w:leftChars="257" w:hanging="540"/>
        <w:rPr>
          <w:rFonts w:cs="宋体" w:asciiTheme="minorEastAsia" w:hAnsiTheme="minorEastAsia" w:eastAsiaTheme="minorEastAsia"/>
          <w:color w:val="auto"/>
        </w:rPr>
      </w:pPr>
    </w:p>
    <w:p w14:paraId="51565EEB">
      <w:pPr>
        <w:pStyle w:val="12"/>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法定代表人或其委托代理人</w:t>
      </w:r>
      <w:r>
        <w:rPr>
          <w:rFonts w:hint="eastAsia" w:cs="宋体" w:asciiTheme="minorEastAsia" w:hAnsiTheme="minorEastAsia" w:eastAsiaTheme="minorEastAsia"/>
          <w:color w:val="auto"/>
          <w:lang w:eastAsia="zh-CN"/>
        </w:rPr>
        <w:t>（</w:t>
      </w:r>
      <w:r>
        <w:rPr>
          <w:rFonts w:hint="eastAsia" w:cs="宋体" w:asciiTheme="minorEastAsia" w:hAnsiTheme="minorEastAsia" w:eastAsiaTheme="minorEastAsia"/>
          <w:color w:val="auto"/>
        </w:rPr>
        <w:t>签字</w:t>
      </w:r>
      <w:r>
        <w:rPr>
          <w:rFonts w:hint="eastAsia" w:cs="宋体" w:asciiTheme="minorEastAsia" w:hAnsiTheme="minorEastAsia" w:eastAsiaTheme="minorEastAsia"/>
          <w:color w:val="auto"/>
          <w:lang w:val="en-US" w:eastAsia="zh-CN"/>
        </w:rPr>
        <w:t>或盖章）</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u w:val="single"/>
        </w:rPr>
        <w:tab/>
      </w:r>
      <w:r>
        <w:rPr>
          <w:rFonts w:hint="eastAsia" w:cs="宋体" w:asciiTheme="minorEastAsia" w:hAnsiTheme="minorEastAsia" w:eastAsiaTheme="minorEastAsia"/>
          <w:color w:val="auto"/>
          <w:u w:val="single"/>
        </w:rPr>
        <w:t xml:space="preserve">                 </w:t>
      </w:r>
    </w:p>
    <w:p w14:paraId="50836079">
      <w:pPr>
        <w:pStyle w:val="12"/>
        <w:tabs>
          <w:tab w:val="left" w:pos="5370"/>
        </w:tabs>
        <w:spacing w:line="360" w:lineRule="exact"/>
        <w:ind w:left="1105" w:leftChars="257" w:hanging="540"/>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供应商(盖单位章):</w:t>
      </w:r>
      <w:r>
        <w:rPr>
          <w:rFonts w:hint="eastAsia" w:cs="宋体" w:asciiTheme="minorEastAsia" w:hAnsiTheme="minorEastAsia" w:eastAsiaTheme="minorEastAsia"/>
          <w:color w:val="auto"/>
          <w:u w:val="single"/>
        </w:rPr>
        <w:tab/>
      </w:r>
    </w:p>
    <w:p w14:paraId="6FA791C4">
      <w:pPr>
        <w:pStyle w:val="12"/>
        <w:spacing w:line="360" w:lineRule="exact"/>
        <w:ind w:left="1105" w:leftChars="257" w:hanging="540"/>
        <w:rPr>
          <w:rFonts w:cs="宋体" w:asciiTheme="minorEastAsia" w:hAnsiTheme="minorEastAsia" w:eastAsiaTheme="minorEastAsia"/>
          <w:color w:val="auto"/>
          <w:lang w:val="en-US"/>
        </w:rPr>
      </w:pPr>
      <w:r>
        <w:rPr>
          <w:rFonts w:hint="eastAsia" w:cs="宋体" w:asciiTheme="minorEastAsia" w:hAnsiTheme="minorEastAsia" w:eastAsiaTheme="minorEastAsia"/>
          <w:color w:val="auto"/>
          <w:lang w:val="en-US"/>
        </w:rPr>
        <w:t>日期：</w:t>
      </w:r>
    </w:p>
    <w:p w14:paraId="4B5D5386">
      <w:pPr>
        <w:pStyle w:val="12"/>
        <w:spacing w:line="360" w:lineRule="exact"/>
        <w:ind w:left="1105" w:leftChars="257" w:hanging="540"/>
        <w:rPr>
          <w:rFonts w:cs="宋体" w:asciiTheme="minorEastAsia" w:hAnsiTheme="minorEastAsia" w:eastAsiaTheme="minorEastAsia"/>
          <w:color w:val="auto"/>
        </w:rPr>
      </w:pPr>
    </w:p>
    <w:p w14:paraId="1F542705">
      <w:pPr>
        <w:pStyle w:val="12"/>
        <w:spacing w:line="360" w:lineRule="exact"/>
        <w:ind w:left="1105" w:leftChars="257" w:hanging="540"/>
        <w:rPr>
          <w:rFonts w:cs="宋体" w:asciiTheme="minorEastAsia" w:hAnsiTheme="minorEastAsia" w:eastAsiaTheme="minorEastAsia"/>
          <w:color w:val="auto"/>
        </w:rPr>
        <w:sectPr>
          <w:headerReference r:id="rId16" w:type="default"/>
          <w:footerReference r:id="rId18" w:type="default"/>
          <w:headerReference r:id="rId17" w:type="even"/>
          <w:footerReference r:id="rId1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612" w:name="_Toc216582818"/>
      <w:bookmarkStart w:id="613" w:name="_Toc1789"/>
      <w:bookmarkStart w:id="614" w:name="_Toc515647821"/>
      <w:bookmarkStart w:id="615" w:name="_Toc21009"/>
      <w:bookmarkStart w:id="616" w:name="_Toc4280"/>
      <w:bookmarkStart w:id="617" w:name="_Toc4342"/>
      <w:bookmarkStart w:id="618" w:name="_Toc23"/>
      <w:bookmarkStart w:id="619" w:name="_Toc1980"/>
    </w:p>
    <w:p w14:paraId="06065646">
      <w:pPr>
        <w:pStyle w:val="4"/>
        <w:spacing w:before="0" w:line="360" w:lineRule="exact"/>
        <w:ind w:left="1105"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  商务条款偏离表</w:t>
      </w:r>
      <w:bookmarkEnd w:id="612"/>
      <w:r>
        <w:rPr>
          <w:rFonts w:hint="eastAsia" w:cs="宋体" w:asciiTheme="minorEastAsia" w:hAnsiTheme="minorEastAsia" w:eastAsiaTheme="minorEastAsia"/>
          <w:color w:val="auto"/>
          <w:sz w:val="24"/>
        </w:rPr>
        <w:t>（响应文件格式</w:t>
      </w:r>
      <w:r>
        <w:rPr>
          <w:rFonts w:hint="eastAsia" w:cs="宋体" w:asciiTheme="minorEastAsia" w:hAnsiTheme="minorEastAsia" w:eastAsiaTheme="minorEastAsia"/>
          <w:color w:val="auto"/>
          <w:sz w:val="24"/>
          <w:lang w:val="en-US" w:eastAsia="zh-CN"/>
        </w:rPr>
        <w:t>六</w:t>
      </w:r>
      <w:r>
        <w:rPr>
          <w:rFonts w:hint="eastAsia" w:cs="宋体" w:asciiTheme="minorEastAsia" w:hAnsiTheme="minorEastAsia" w:eastAsiaTheme="minorEastAsia"/>
          <w:color w:val="auto"/>
          <w:sz w:val="24"/>
        </w:rPr>
        <w:t>）</w:t>
      </w:r>
      <w:bookmarkEnd w:id="613"/>
      <w:bookmarkEnd w:id="614"/>
      <w:bookmarkEnd w:id="615"/>
      <w:bookmarkEnd w:id="616"/>
      <w:bookmarkEnd w:id="617"/>
      <w:bookmarkEnd w:id="618"/>
      <w:bookmarkEnd w:id="619"/>
    </w:p>
    <w:p w14:paraId="3C6F8AEF">
      <w:pPr>
        <w:pStyle w:val="12"/>
        <w:spacing w:line="360" w:lineRule="exact"/>
        <w:ind w:left="1105" w:leftChars="257" w:hanging="540"/>
        <w:rPr>
          <w:rFonts w:cs="宋体" w:asciiTheme="minorEastAsia" w:hAnsiTheme="minorEastAsia" w:eastAsiaTheme="minorEastAsia"/>
          <w:color w:val="auto"/>
        </w:rPr>
      </w:pPr>
    </w:p>
    <w:p w14:paraId="74E759BD">
      <w:pPr>
        <w:pStyle w:val="12"/>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rPr>
        <w:t>项目名称:                      磋商文件编号:             包号:</w:t>
      </w:r>
    </w:p>
    <w:p w14:paraId="560C269A">
      <w:pPr>
        <w:pStyle w:val="12"/>
        <w:spacing w:line="360" w:lineRule="exact"/>
        <w:ind w:left="1105" w:leftChars="257" w:hanging="540"/>
        <w:rPr>
          <w:rFonts w:cs="宋体" w:asciiTheme="minorEastAsia" w:hAnsiTheme="minorEastAsia" w:eastAsiaTheme="minorEastAsia"/>
          <w:color w:val="auto"/>
        </w:rPr>
      </w:pP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4321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1EED0B0">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序号</w:t>
            </w:r>
          </w:p>
        </w:tc>
        <w:tc>
          <w:tcPr>
            <w:tcW w:w="2040" w:type="dxa"/>
          </w:tcPr>
          <w:p w14:paraId="2A45697A">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磋商文件条款号</w:t>
            </w:r>
          </w:p>
        </w:tc>
        <w:tc>
          <w:tcPr>
            <w:tcW w:w="2520" w:type="dxa"/>
          </w:tcPr>
          <w:p w14:paraId="7C955A9B">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磋商文件的商务条款</w:t>
            </w:r>
          </w:p>
        </w:tc>
        <w:tc>
          <w:tcPr>
            <w:tcW w:w="2520" w:type="dxa"/>
          </w:tcPr>
          <w:p w14:paraId="0BF3B9E5">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响应文件的商务条款</w:t>
            </w:r>
          </w:p>
        </w:tc>
        <w:tc>
          <w:tcPr>
            <w:tcW w:w="900" w:type="dxa"/>
          </w:tcPr>
          <w:p w14:paraId="38F28681">
            <w:pPr>
              <w:pStyle w:val="12"/>
              <w:spacing w:line="360" w:lineRule="exact"/>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说明</w:t>
            </w:r>
          </w:p>
        </w:tc>
      </w:tr>
      <w:tr w14:paraId="7CDB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1A77AF">
            <w:pPr>
              <w:pStyle w:val="12"/>
              <w:spacing w:line="360" w:lineRule="exact"/>
              <w:ind w:left="1105" w:leftChars="257" w:hanging="540"/>
              <w:rPr>
                <w:rFonts w:cs="宋体" w:asciiTheme="minorEastAsia" w:hAnsiTheme="minorEastAsia" w:eastAsiaTheme="minorEastAsia"/>
                <w:color w:val="auto"/>
              </w:rPr>
            </w:pPr>
          </w:p>
        </w:tc>
        <w:tc>
          <w:tcPr>
            <w:tcW w:w="2040" w:type="dxa"/>
          </w:tcPr>
          <w:p w14:paraId="2A5F3419">
            <w:pPr>
              <w:pStyle w:val="12"/>
              <w:spacing w:line="360" w:lineRule="exact"/>
              <w:ind w:left="1105" w:leftChars="257" w:hanging="540"/>
              <w:rPr>
                <w:rFonts w:cs="宋体" w:asciiTheme="minorEastAsia" w:hAnsiTheme="minorEastAsia" w:eastAsiaTheme="minorEastAsia"/>
                <w:color w:val="auto"/>
              </w:rPr>
            </w:pPr>
          </w:p>
        </w:tc>
        <w:tc>
          <w:tcPr>
            <w:tcW w:w="2520" w:type="dxa"/>
          </w:tcPr>
          <w:p w14:paraId="61A5B216">
            <w:pPr>
              <w:pStyle w:val="12"/>
              <w:spacing w:line="360" w:lineRule="exact"/>
              <w:ind w:left="1105" w:leftChars="257" w:hanging="540"/>
              <w:jc w:val="center"/>
              <w:rPr>
                <w:rFonts w:cs="宋体" w:asciiTheme="minorEastAsia" w:hAnsiTheme="minorEastAsia" w:eastAsiaTheme="minorEastAsia"/>
                <w:color w:val="auto"/>
              </w:rPr>
            </w:pPr>
          </w:p>
        </w:tc>
        <w:tc>
          <w:tcPr>
            <w:tcW w:w="2520" w:type="dxa"/>
          </w:tcPr>
          <w:p w14:paraId="71C1A3B8">
            <w:pPr>
              <w:pStyle w:val="12"/>
              <w:spacing w:line="360" w:lineRule="exact"/>
              <w:ind w:left="1105" w:leftChars="257" w:hanging="540"/>
              <w:jc w:val="center"/>
              <w:rPr>
                <w:rFonts w:cs="宋体" w:asciiTheme="minorEastAsia" w:hAnsiTheme="minorEastAsia" w:eastAsiaTheme="minorEastAsia"/>
                <w:color w:val="auto"/>
              </w:rPr>
            </w:pPr>
          </w:p>
        </w:tc>
        <w:tc>
          <w:tcPr>
            <w:tcW w:w="900" w:type="dxa"/>
          </w:tcPr>
          <w:p w14:paraId="47B2EE34">
            <w:pPr>
              <w:pStyle w:val="12"/>
              <w:spacing w:line="360" w:lineRule="exact"/>
              <w:ind w:left="1105" w:leftChars="257" w:hanging="540"/>
              <w:rPr>
                <w:rFonts w:cs="宋体" w:asciiTheme="minorEastAsia" w:hAnsiTheme="minorEastAsia" w:eastAsiaTheme="minorEastAsia"/>
                <w:color w:val="auto"/>
              </w:rPr>
            </w:pPr>
          </w:p>
        </w:tc>
      </w:tr>
      <w:tr w14:paraId="14B8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15D77BD">
            <w:pPr>
              <w:pStyle w:val="12"/>
              <w:spacing w:line="360" w:lineRule="exact"/>
              <w:ind w:left="1105" w:leftChars="257" w:hanging="540"/>
              <w:rPr>
                <w:rFonts w:cs="宋体" w:asciiTheme="minorEastAsia" w:hAnsiTheme="minorEastAsia" w:eastAsiaTheme="minorEastAsia"/>
                <w:color w:val="auto"/>
              </w:rPr>
            </w:pPr>
          </w:p>
        </w:tc>
        <w:tc>
          <w:tcPr>
            <w:tcW w:w="2040" w:type="dxa"/>
          </w:tcPr>
          <w:p w14:paraId="290917B9">
            <w:pPr>
              <w:pStyle w:val="12"/>
              <w:spacing w:line="360" w:lineRule="exact"/>
              <w:ind w:left="1105" w:leftChars="257" w:hanging="540"/>
              <w:rPr>
                <w:rFonts w:cs="宋体" w:asciiTheme="minorEastAsia" w:hAnsiTheme="minorEastAsia" w:eastAsiaTheme="minorEastAsia"/>
                <w:color w:val="auto"/>
              </w:rPr>
            </w:pPr>
          </w:p>
        </w:tc>
        <w:tc>
          <w:tcPr>
            <w:tcW w:w="2520" w:type="dxa"/>
          </w:tcPr>
          <w:p w14:paraId="34A57EEF">
            <w:pPr>
              <w:pStyle w:val="12"/>
              <w:spacing w:line="360" w:lineRule="exact"/>
              <w:ind w:left="1105" w:leftChars="257" w:hanging="540"/>
              <w:rPr>
                <w:rFonts w:cs="宋体" w:asciiTheme="minorEastAsia" w:hAnsiTheme="minorEastAsia" w:eastAsiaTheme="minorEastAsia"/>
                <w:color w:val="auto"/>
              </w:rPr>
            </w:pPr>
          </w:p>
        </w:tc>
        <w:tc>
          <w:tcPr>
            <w:tcW w:w="2520" w:type="dxa"/>
          </w:tcPr>
          <w:p w14:paraId="77296542">
            <w:pPr>
              <w:pStyle w:val="12"/>
              <w:spacing w:line="360" w:lineRule="exact"/>
              <w:ind w:left="1105" w:leftChars="257" w:hanging="540"/>
              <w:rPr>
                <w:rFonts w:cs="宋体" w:asciiTheme="minorEastAsia" w:hAnsiTheme="minorEastAsia" w:eastAsiaTheme="minorEastAsia"/>
                <w:color w:val="auto"/>
              </w:rPr>
            </w:pPr>
          </w:p>
        </w:tc>
        <w:tc>
          <w:tcPr>
            <w:tcW w:w="900" w:type="dxa"/>
          </w:tcPr>
          <w:p w14:paraId="6A8FFEB3">
            <w:pPr>
              <w:pStyle w:val="12"/>
              <w:spacing w:line="360" w:lineRule="exact"/>
              <w:ind w:left="1105" w:leftChars="257" w:hanging="540"/>
              <w:rPr>
                <w:rFonts w:cs="宋体" w:asciiTheme="minorEastAsia" w:hAnsiTheme="minorEastAsia" w:eastAsiaTheme="minorEastAsia"/>
                <w:color w:val="auto"/>
              </w:rPr>
            </w:pPr>
          </w:p>
        </w:tc>
      </w:tr>
      <w:tr w14:paraId="3C24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705D20">
            <w:pPr>
              <w:pStyle w:val="12"/>
              <w:spacing w:line="360" w:lineRule="exact"/>
              <w:ind w:left="1105" w:leftChars="257" w:hanging="540"/>
              <w:rPr>
                <w:rFonts w:cs="宋体" w:asciiTheme="minorEastAsia" w:hAnsiTheme="minorEastAsia" w:eastAsiaTheme="minorEastAsia"/>
                <w:color w:val="auto"/>
              </w:rPr>
            </w:pPr>
          </w:p>
        </w:tc>
        <w:tc>
          <w:tcPr>
            <w:tcW w:w="2040" w:type="dxa"/>
          </w:tcPr>
          <w:p w14:paraId="70858AEE">
            <w:pPr>
              <w:pStyle w:val="12"/>
              <w:spacing w:line="360" w:lineRule="exact"/>
              <w:ind w:left="1105" w:leftChars="257" w:hanging="540"/>
              <w:rPr>
                <w:rFonts w:cs="宋体" w:asciiTheme="minorEastAsia" w:hAnsiTheme="minorEastAsia" w:eastAsiaTheme="minorEastAsia"/>
                <w:color w:val="auto"/>
              </w:rPr>
            </w:pPr>
          </w:p>
        </w:tc>
        <w:tc>
          <w:tcPr>
            <w:tcW w:w="2520" w:type="dxa"/>
          </w:tcPr>
          <w:p w14:paraId="69D40A6B">
            <w:pPr>
              <w:pStyle w:val="12"/>
              <w:spacing w:line="360" w:lineRule="exact"/>
              <w:ind w:left="1105" w:leftChars="257" w:hanging="540"/>
              <w:rPr>
                <w:rFonts w:cs="宋体" w:asciiTheme="minorEastAsia" w:hAnsiTheme="minorEastAsia" w:eastAsiaTheme="minorEastAsia"/>
                <w:color w:val="auto"/>
              </w:rPr>
            </w:pPr>
          </w:p>
        </w:tc>
        <w:tc>
          <w:tcPr>
            <w:tcW w:w="2520" w:type="dxa"/>
          </w:tcPr>
          <w:p w14:paraId="564DDF92">
            <w:pPr>
              <w:pStyle w:val="12"/>
              <w:spacing w:line="360" w:lineRule="exact"/>
              <w:ind w:left="1105" w:leftChars="257" w:hanging="540"/>
              <w:rPr>
                <w:rFonts w:cs="宋体" w:asciiTheme="minorEastAsia" w:hAnsiTheme="minorEastAsia" w:eastAsiaTheme="minorEastAsia"/>
                <w:color w:val="auto"/>
              </w:rPr>
            </w:pPr>
          </w:p>
        </w:tc>
        <w:tc>
          <w:tcPr>
            <w:tcW w:w="900" w:type="dxa"/>
          </w:tcPr>
          <w:p w14:paraId="5FC60796">
            <w:pPr>
              <w:pStyle w:val="12"/>
              <w:spacing w:line="360" w:lineRule="exact"/>
              <w:ind w:left="1105" w:leftChars="257" w:hanging="540"/>
              <w:rPr>
                <w:rFonts w:cs="宋体" w:asciiTheme="minorEastAsia" w:hAnsiTheme="minorEastAsia" w:eastAsiaTheme="minorEastAsia"/>
                <w:color w:val="auto"/>
              </w:rPr>
            </w:pPr>
          </w:p>
        </w:tc>
      </w:tr>
      <w:tr w14:paraId="66B9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A795A84">
            <w:pPr>
              <w:pStyle w:val="12"/>
              <w:spacing w:line="360" w:lineRule="exact"/>
              <w:ind w:left="1105" w:leftChars="257" w:hanging="540"/>
              <w:rPr>
                <w:rFonts w:cs="宋体" w:asciiTheme="minorEastAsia" w:hAnsiTheme="minorEastAsia" w:eastAsiaTheme="minorEastAsia"/>
                <w:color w:val="auto"/>
              </w:rPr>
            </w:pPr>
          </w:p>
        </w:tc>
        <w:tc>
          <w:tcPr>
            <w:tcW w:w="2040" w:type="dxa"/>
          </w:tcPr>
          <w:p w14:paraId="153A3E80">
            <w:pPr>
              <w:pStyle w:val="12"/>
              <w:spacing w:line="360" w:lineRule="exact"/>
              <w:ind w:left="1105" w:leftChars="257" w:hanging="540"/>
              <w:rPr>
                <w:rFonts w:cs="宋体" w:asciiTheme="minorEastAsia" w:hAnsiTheme="minorEastAsia" w:eastAsiaTheme="minorEastAsia"/>
                <w:color w:val="auto"/>
              </w:rPr>
            </w:pPr>
          </w:p>
        </w:tc>
        <w:tc>
          <w:tcPr>
            <w:tcW w:w="2520" w:type="dxa"/>
          </w:tcPr>
          <w:p w14:paraId="2E24403D">
            <w:pPr>
              <w:pStyle w:val="12"/>
              <w:spacing w:line="360" w:lineRule="exact"/>
              <w:ind w:left="1105" w:leftChars="257" w:hanging="540"/>
              <w:rPr>
                <w:rFonts w:cs="宋体" w:asciiTheme="minorEastAsia" w:hAnsiTheme="minorEastAsia" w:eastAsiaTheme="minorEastAsia"/>
                <w:color w:val="auto"/>
              </w:rPr>
            </w:pPr>
          </w:p>
        </w:tc>
        <w:tc>
          <w:tcPr>
            <w:tcW w:w="2520" w:type="dxa"/>
          </w:tcPr>
          <w:p w14:paraId="750E6F1E">
            <w:pPr>
              <w:pStyle w:val="12"/>
              <w:spacing w:line="360" w:lineRule="exact"/>
              <w:ind w:left="1105" w:leftChars="257" w:hanging="540"/>
              <w:rPr>
                <w:rFonts w:cs="宋体" w:asciiTheme="minorEastAsia" w:hAnsiTheme="minorEastAsia" w:eastAsiaTheme="minorEastAsia"/>
                <w:color w:val="auto"/>
              </w:rPr>
            </w:pPr>
          </w:p>
        </w:tc>
        <w:tc>
          <w:tcPr>
            <w:tcW w:w="900" w:type="dxa"/>
          </w:tcPr>
          <w:p w14:paraId="538330CC">
            <w:pPr>
              <w:pStyle w:val="12"/>
              <w:spacing w:line="360" w:lineRule="exact"/>
              <w:ind w:left="1105" w:leftChars="257" w:hanging="540"/>
              <w:rPr>
                <w:rFonts w:cs="宋体" w:asciiTheme="minorEastAsia" w:hAnsiTheme="minorEastAsia" w:eastAsiaTheme="minorEastAsia"/>
                <w:color w:val="auto"/>
              </w:rPr>
            </w:pPr>
          </w:p>
        </w:tc>
      </w:tr>
      <w:tr w14:paraId="417C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73908A1">
            <w:pPr>
              <w:pStyle w:val="12"/>
              <w:spacing w:line="360" w:lineRule="exact"/>
              <w:ind w:left="1105" w:leftChars="257" w:hanging="540"/>
              <w:rPr>
                <w:rFonts w:cs="宋体" w:asciiTheme="minorEastAsia" w:hAnsiTheme="minorEastAsia" w:eastAsiaTheme="minorEastAsia"/>
                <w:color w:val="auto"/>
              </w:rPr>
            </w:pPr>
          </w:p>
        </w:tc>
        <w:tc>
          <w:tcPr>
            <w:tcW w:w="2040" w:type="dxa"/>
          </w:tcPr>
          <w:p w14:paraId="536E3598">
            <w:pPr>
              <w:pStyle w:val="12"/>
              <w:spacing w:line="360" w:lineRule="exact"/>
              <w:ind w:left="1105" w:leftChars="257" w:hanging="540"/>
              <w:rPr>
                <w:rFonts w:cs="宋体" w:asciiTheme="minorEastAsia" w:hAnsiTheme="minorEastAsia" w:eastAsiaTheme="minorEastAsia"/>
                <w:color w:val="auto"/>
              </w:rPr>
            </w:pPr>
          </w:p>
        </w:tc>
        <w:tc>
          <w:tcPr>
            <w:tcW w:w="2520" w:type="dxa"/>
          </w:tcPr>
          <w:p w14:paraId="4C70F86C">
            <w:pPr>
              <w:pStyle w:val="12"/>
              <w:spacing w:line="360" w:lineRule="exact"/>
              <w:ind w:left="1105" w:leftChars="257" w:hanging="540"/>
              <w:rPr>
                <w:rFonts w:cs="宋体" w:asciiTheme="minorEastAsia" w:hAnsiTheme="minorEastAsia" w:eastAsiaTheme="minorEastAsia"/>
                <w:color w:val="auto"/>
              </w:rPr>
            </w:pPr>
          </w:p>
        </w:tc>
        <w:tc>
          <w:tcPr>
            <w:tcW w:w="2520" w:type="dxa"/>
          </w:tcPr>
          <w:p w14:paraId="3ED58AAE">
            <w:pPr>
              <w:pStyle w:val="12"/>
              <w:spacing w:line="360" w:lineRule="exact"/>
              <w:ind w:left="1105" w:leftChars="257" w:hanging="540"/>
              <w:rPr>
                <w:rFonts w:cs="宋体" w:asciiTheme="minorEastAsia" w:hAnsiTheme="minorEastAsia" w:eastAsiaTheme="minorEastAsia"/>
                <w:color w:val="auto"/>
              </w:rPr>
            </w:pPr>
          </w:p>
        </w:tc>
        <w:tc>
          <w:tcPr>
            <w:tcW w:w="900" w:type="dxa"/>
          </w:tcPr>
          <w:p w14:paraId="234DA543">
            <w:pPr>
              <w:pStyle w:val="12"/>
              <w:spacing w:line="360" w:lineRule="exact"/>
              <w:ind w:left="1105" w:leftChars="257" w:hanging="540"/>
              <w:rPr>
                <w:rFonts w:cs="宋体" w:asciiTheme="minorEastAsia" w:hAnsiTheme="minorEastAsia" w:eastAsiaTheme="minorEastAsia"/>
                <w:color w:val="auto"/>
              </w:rPr>
            </w:pPr>
          </w:p>
        </w:tc>
      </w:tr>
      <w:tr w14:paraId="1A80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CC2BBB">
            <w:pPr>
              <w:pStyle w:val="12"/>
              <w:spacing w:line="360" w:lineRule="exact"/>
              <w:ind w:left="1105" w:leftChars="257" w:hanging="540"/>
              <w:rPr>
                <w:rFonts w:cs="宋体" w:asciiTheme="minorEastAsia" w:hAnsiTheme="minorEastAsia" w:eastAsiaTheme="minorEastAsia"/>
                <w:color w:val="auto"/>
              </w:rPr>
            </w:pPr>
          </w:p>
        </w:tc>
        <w:tc>
          <w:tcPr>
            <w:tcW w:w="2040" w:type="dxa"/>
          </w:tcPr>
          <w:p w14:paraId="5308063F">
            <w:pPr>
              <w:pStyle w:val="12"/>
              <w:spacing w:line="360" w:lineRule="exact"/>
              <w:ind w:left="1105" w:leftChars="257" w:hanging="540"/>
              <w:rPr>
                <w:rFonts w:cs="宋体" w:asciiTheme="minorEastAsia" w:hAnsiTheme="minorEastAsia" w:eastAsiaTheme="minorEastAsia"/>
                <w:color w:val="auto"/>
              </w:rPr>
            </w:pPr>
          </w:p>
        </w:tc>
        <w:tc>
          <w:tcPr>
            <w:tcW w:w="2520" w:type="dxa"/>
          </w:tcPr>
          <w:p w14:paraId="759BC4D1">
            <w:pPr>
              <w:pStyle w:val="12"/>
              <w:spacing w:line="360" w:lineRule="exact"/>
              <w:ind w:left="1105" w:leftChars="257" w:hanging="540"/>
              <w:rPr>
                <w:rFonts w:cs="宋体" w:asciiTheme="minorEastAsia" w:hAnsiTheme="minorEastAsia" w:eastAsiaTheme="minorEastAsia"/>
                <w:color w:val="auto"/>
              </w:rPr>
            </w:pPr>
          </w:p>
        </w:tc>
        <w:tc>
          <w:tcPr>
            <w:tcW w:w="2520" w:type="dxa"/>
          </w:tcPr>
          <w:p w14:paraId="206B50CB">
            <w:pPr>
              <w:pStyle w:val="12"/>
              <w:spacing w:line="360" w:lineRule="exact"/>
              <w:ind w:left="1105" w:leftChars="257" w:hanging="540"/>
              <w:rPr>
                <w:rFonts w:cs="宋体" w:asciiTheme="minorEastAsia" w:hAnsiTheme="minorEastAsia" w:eastAsiaTheme="minorEastAsia"/>
                <w:color w:val="auto"/>
              </w:rPr>
            </w:pPr>
          </w:p>
        </w:tc>
        <w:tc>
          <w:tcPr>
            <w:tcW w:w="900" w:type="dxa"/>
          </w:tcPr>
          <w:p w14:paraId="2793AFEC">
            <w:pPr>
              <w:pStyle w:val="12"/>
              <w:spacing w:line="360" w:lineRule="exact"/>
              <w:ind w:left="1105" w:leftChars="257" w:hanging="540"/>
              <w:rPr>
                <w:rFonts w:cs="宋体" w:asciiTheme="minorEastAsia" w:hAnsiTheme="minorEastAsia" w:eastAsiaTheme="minorEastAsia"/>
                <w:color w:val="auto"/>
              </w:rPr>
            </w:pPr>
          </w:p>
        </w:tc>
      </w:tr>
      <w:tr w14:paraId="28E6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508BB5C">
            <w:pPr>
              <w:pStyle w:val="12"/>
              <w:spacing w:line="360" w:lineRule="exact"/>
              <w:ind w:left="1105" w:leftChars="257" w:hanging="540"/>
              <w:rPr>
                <w:rFonts w:cs="宋体" w:asciiTheme="minorEastAsia" w:hAnsiTheme="minorEastAsia" w:eastAsiaTheme="minorEastAsia"/>
                <w:color w:val="auto"/>
              </w:rPr>
            </w:pPr>
          </w:p>
        </w:tc>
        <w:tc>
          <w:tcPr>
            <w:tcW w:w="2040" w:type="dxa"/>
          </w:tcPr>
          <w:p w14:paraId="34E61571">
            <w:pPr>
              <w:pStyle w:val="12"/>
              <w:spacing w:line="360" w:lineRule="exact"/>
              <w:ind w:left="1105" w:leftChars="257" w:hanging="540"/>
              <w:rPr>
                <w:rFonts w:cs="宋体" w:asciiTheme="minorEastAsia" w:hAnsiTheme="minorEastAsia" w:eastAsiaTheme="minorEastAsia"/>
                <w:color w:val="auto"/>
              </w:rPr>
            </w:pPr>
          </w:p>
        </w:tc>
        <w:tc>
          <w:tcPr>
            <w:tcW w:w="2520" w:type="dxa"/>
          </w:tcPr>
          <w:p w14:paraId="150EFC2A">
            <w:pPr>
              <w:pStyle w:val="12"/>
              <w:spacing w:line="360" w:lineRule="exact"/>
              <w:ind w:left="1105" w:leftChars="257" w:hanging="540"/>
              <w:rPr>
                <w:rFonts w:cs="宋体" w:asciiTheme="minorEastAsia" w:hAnsiTheme="minorEastAsia" w:eastAsiaTheme="minorEastAsia"/>
                <w:color w:val="auto"/>
              </w:rPr>
            </w:pPr>
          </w:p>
        </w:tc>
        <w:tc>
          <w:tcPr>
            <w:tcW w:w="2520" w:type="dxa"/>
          </w:tcPr>
          <w:p w14:paraId="6EA53DEC">
            <w:pPr>
              <w:pStyle w:val="12"/>
              <w:spacing w:line="360" w:lineRule="exact"/>
              <w:ind w:left="1105" w:leftChars="257" w:hanging="540"/>
              <w:rPr>
                <w:rFonts w:cs="宋体" w:asciiTheme="minorEastAsia" w:hAnsiTheme="minorEastAsia" w:eastAsiaTheme="minorEastAsia"/>
                <w:color w:val="auto"/>
              </w:rPr>
            </w:pPr>
          </w:p>
        </w:tc>
        <w:tc>
          <w:tcPr>
            <w:tcW w:w="900" w:type="dxa"/>
          </w:tcPr>
          <w:p w14:paraId="573C7DF2">
            <w:pPr>
              <w:pStyle w:val="12"/>
              <w:spacing w:line="360" w:lineRule="exact"/>
              <w:ind w:left="1105" w:leftChars="257" w:hanging="540"/>
              <w:rPr>
                <w:rFonts w:cs="宋体" w:asciiTheme="minorEastAsia" w:hAnsiTheme="minorEastAsia" w:eastAsiaTheme="minorEastAsia"/>
                <w:color w:val="auto"/>
              </w:rPr>
            </w:pPr>
          </w:p>
        </w:tc>
      </w:tr>
      <w:tr w14:paraId="4C8B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83E7B1">
            <w:pPr>
              <w:pStyle w:val="12"/>
              <w:spacing w:line="360" w:lineRule="exact"/>
              <w:ind w:left="1105" w:leftChars="257" w:hanging="540"/>
              <w:rPr>
                <w:rFonts w:cs="宋体" w:asciiTheme="minorEastAsia" w:hAnsiTheme="minorEastAsia" w:eastAsiaTheme="minorEastAsia"/>
                <w:color w:val="auto"/>
              </w:rPr>
            </w:pPr>
          </w:p>
        </w:tc>
        <w:tc>
          <w:tcPr>
            <w:tcW w:w="2040" w:type="dxa"/>
          </w:tcPr>
          <w:p w14:paraId="0B04431B">
            <w:pPr>
              <w:pStyle w:val="12"/>
              <w:spacing w:line="360" w:lineRule="exact"/>
              <w:ind w:left="1105" w:leftChars="257" w:hanging="540"/>
              <w:rPr>
                <w:rFonts w:cs="宋体" w:asciiTheme="minorEastAsia" w:hAnsiTheme="minorEastAsia" w:eastAsiaTheme="minorEastAsia"/>
                <w:color w:val="auto"/>
              </w:rPr>
            </w:pPr>
          </w:p>
        </w:tc>
        <w:tc>
          <w:tcPr>
            <w:tcW w:w="2520" w:type="dxa"/>
          </w:tcPr>
          <w:p w14:paraId="4A8A7D21">
            <w:pPr>
              <w:pStyle w:val="12"/>
              <w:spacing w:line="360" w:lineRule="exact"/>
              <w:ind w:left="1105" w:leftChars="257" w:hanging="540"/>
              <w:rPr>
                <w:rFonts w:cs="宋体" w:asciiTheme="minorEastAsia" w:hAnsiTheme="minorEastAsia" w:eastAsiaTheme="minorEastAsia"/>
                <w:color w:val="auto"/>
              </w:rPr>
            </w:pPr>
          </w:p>
        </w:tc>
        <w:tc>
          <w:tcPr>
            <w:tcW w:w="2520" w:type="dxa"/>
          </w:tcPr>
          <w:p w14:paraId="676BDCB3">
            <w:pPr>
              <w:pStyle w:val="12"/>
              <w:spacing w:line="360" w:lineRule="exact"/>
              <w:ind w:left="1105" w:leftChars="257" w:hanging="540"/>
              <w:rPr>
                <w:rFonts w:cs="宋体" w:asciiTheme="minorEastAsia" w:hAnsiTheme="minorEastAsia" w:eastAsiaTheme="minorEastAsia"/>
                <w:color w:val="auto"/>
              </w:rPr>
            </w:pPr>
          </w:p>
        </w:tc>
        <w:tc>
          <w:tcPr>
            <w:tcW w:w="900" w:type="dxa"/>
          </w:tcPr>
          <w:p w14:paraId="38B46A7F">
            <w:pPr>
              <w:pStyle w:val="12"/>
              <w:spacing w:line="360" w:lineRule="exact"/>
              <w:ind w:left="1105" w:leftChars="257" w:hanging="540"/>
              <w:rPr>
                <w:rFonts w:cs="宋体" w:asciiTheme="minorEastAsia" w:hAnsiTheme="minorEastAsia" w:eastAsiaTheme="minorEastAsia"/>
                <w:color w:val="auto"/>
              </w:rPr>
            </w:pPr>
          </w:p>
        </w:tc>
      </w:tr>
      <w:tr w14:paraId="1FFD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A4DDB40">
            <w:pPr>
              <w:pStyle w:val="12"/>
              <w:spacing w:line="360" w:lineRule="exact"/>
              <w:ind w:left="1105" w:leftChars="257" w:hanging="540"/>
              <w:rPr>
                <w:rFonts w:cs="宋体" w:asciiTheme="minorEastAsia" w:hAnsiTheme="minorEastAsia" w:eastAsiaTheme="minorEastAsia"/>
                <w:color w:val="auto"/>
              </w:rPr>
            </w:pPr>
          </w:p>
        </w:tc>
        <w:tc>
          <w:tcPr>
            <w:tcW w:w="2040" w:type="dxa"/>
          </w:tcPr>
          <w:p w14:paraId="2D818170">
            <w:pPr>
              <w:pStyle w:val="12"/>
              <w:spacing w:line="360" w:lineRule="exact"/>
              <w:ind w:left="1105" w:leftChars="257" w:hanging="540"/>
              <w:rPr>
                <w:rFonts w:cs="宋体" w:asciiTheme="minorEastAsia" w:hAnsiTheme="minorEastAsia" w:eastAsiaTheme="minorEastAsia"/>
                <w:color w:val="auto"/>
              </w:rPr>
            </w:pPr>
          </w:p>
        </w:tc>
        <w:tc>
          <w:tcPr>
            <w:tcW w:w="2520" w:type="dxa"/>
          </w:tcPr>
          <w:p w14:paraId="627D2400">
            <w:pPr>
              <w:pStyle w:val="12"/>
              <w:spacing w:line="360" w:lineRule="exact"/>
              <w:ind w:left="1105" w:leftChars="257" w:hanging="540"/>
              <w:rPr>
                <w:rFonts w:cs="宋体" w:asciiTheme="minorEastAsia" w:hAnsiTheme="minorEastAsia" w:eastAsiaTheme="minorEastAsia"/>
                <w:color w:val="auto"/>
              </w:rPr>
            </w:pPr>
          </w:p>
        </w:tc>
        <w:tc>
          <w:tcPr>
            <w:tcW w:w="2520" w:type="dxa"/>
          </w:tcPr>
          <w:p w14:paraId="4C2B229D">
            <w:pPr>
              <w:pStyle w:val="12"/>
              <w:spacing w:line="360" w:lineRule="exact"/>
              <w:ind w:left="1105" w:leftChars="257" w:hanging="540"/>
              <w:rPr>
                <w:rFonts w:cs="宋体" w:asciiTheme="minorEastAsia" w:hAnsiTheme="minorEastAsia" w:eastAsiaTheme="minorEastAsia"/>
                <w:color w:val="auto"/>
              </w:rPr>
            </w:pPr>
          </w:p>
        </w:tc>
        <w:tc>
          <w:tcPr>
            <w:tcW w:w="900" w:type="dxa"/>
          </w:tcPr>
          <w:p w14:paraId="7D2521D2">
            <w:pPr>
              <w:pStyle w:val="12"/>
              <w:spacing w:line="360" w:lineRule="exact"/>
              <w:ind w:left="1105" w:leftChars="257" w:hanging="540"/>
              <w:rPr>
                <w:rFonts w:cs="宋体" w:asciiTheme="minorEastAsia" w:hAnsiTheme="minorEastAsia" w:eastAsiaTheme="minorEastAsia"/>
                <w:color w:val="auto"/>
              </w:rPr>
            </w:pPr>
          </w:p>
        </w:tc>
      </w:tr>
      <w:tr w14:paraId="0834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302C518">
            <w:pPr>
              <w:pStyle w:val="12"/>
              <w:spacing w:line="360" w:lineRule="exact"/>
              <w:ind w:left="1105" w:leftChars="257" w:hanging="540"/>
              <w:rPr>
                <w:rFonts w:cs="宋体" w:asciiTheme="minorEastAsia" w:hAnsiTheme="minorEastAsia" w:eastAsiaTheme="minorEastAsia"/>
                <w:color w:val="auto"/>
              </w:rPr>
            </w:pPr>
          </w:p>
        </w:tc>
        <w:tc>
          <w:tcPr>
            <w:tcW w:w="2040" w:type="dxa"/>
          </w:tcPr>
          <w:p w14:paraId="3890BA20">
            <w:pPr>
              <w:pStyle w:val="12"/>
              <w:spacing w:line="360" w:lineRule="exact"/>
              <w:ind w:left="1105" w:leftChars="257" w:hanging="540"/>
              <w:rPr>
                <w:rFonts w:cs="宋体" w:asciiTheme="minorEastAsia" w:hAnsiTheme="minorEastAsia" w:eastAsiaTheme="minorEastAsia"/>
                <w:color w:val="auto"/>
              </w:rPr>
            </w:pPr>
          </w:p>
        </w:tc>
        <w:tc>
          <w:tcPr>
            <w:tcW w:w="2520" w:type="dxa"/>
          </w:tcPr>
          <w:p w14:paraId="49EEEBEB">
            <w:pPr>
              <w:pStyle w:val="12"/>
              <w:spacing w:line="360" w:lineRule="exact"/>
              <w:ind w:left="1105" w:leftChars="257" w:hanging="540"/>
              <w:rPr>
                <w:rFonts w:cs="宋体" w:asciiTheme="minorEastAsia" w:hAnsiTheme="minorEastAsia" w:eastAsiaTheme="minorEastAsia"/>
                <w:color w:val="auto"/>
              </w:rPr>
            </w:pPr>
          </w:p>
        </w:tc>
        <w:tc>
          <w:tcPr>
            <w:tcW w:w="2520" w:type="dxa"/>
          </w:tcPr>
          <w:p w14:paraId="38120934">
            <w:pPr>
              <w:pStyle w:val="12"/>
              <w:spacing w:line="360" w:lineRule="exact"/>
              <w:ind w:left="1105" w:leftChars="257" w:hanging="540"/>
              <w:rPr>
                <w:rFonts w:cs="宋体" w:asciiTheme="minorEastAsia" w:hAnsiTheme="minorEastAsia" w:eastAsiaTheme="minorEastAsia"/>
                <w:color w:val="auto"/>
              </w:rPr>
            </w:pPr>
          </w:p>
        </w:tc>
        <w:tc>
          <w:tcPr>
            <w:tcW w:w="900" w:type="dxa"/>
          </w:tcPr>
          <w:p w14:paraId="2FAF1C1E">
            <w:pPr>
              <w:pStyle w:val="12"/>
              <w:spacing w:line="360" w:lineRule="exact"/>
              <w:ind w:left="1105" w:leftChars="257" w:hanging="540"/>
              <w:rPr>
                <w:rFonts w:cs="宋体" w:asciiTheme="minorEastAsia" w:hAnsiTheme="minorEastAsia" w:eastAsiaTheme="minorEastAsia"/>
                <w:color w:val="auto"/>
              </w:rPr>
            </w:pPr>
          </w:p>
        </w:tc>
      </w:tr>
      <w:tr w14:paraId="2695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DCEF342">
            <w:pPr>
              <w:pStyle w:val="12"/>
              <w:spacing w:line="360" w:lineRule="exact"/>
              <w:ind w:left="1105" w:leftChars="257" w:hanging="540"/>
              <w:rPr>
                <w:rFonts w:cs="宋体" w:asciiTheme="minorEastAsia" w:hAnsiTheme="minorEastAsia" w:eastAsiaTheme="minorEastAsia"/>
                <w:color w:val="auto"/>
              </w:rPr>
            </w:pPr>
          </w:p>
        </w:tc>
        <w:tc>
          <w:tcPr>
            <w:tcW w:w="2040" w:type="dxa"/>
          </w:tcPr>
          <w:p w14:paraId="7A40437A">
            <w:pPr>
              <w:pStyle w:val="12"/>
              <w:spacing w:line="360" w:lineRule="exact"/>
              <w:ind w:left="1105" w:leftChars="257" w:hanging="540"/>
              <w:rPr>
                <w:rFonts w:cs="宋体" w:asciiTheme="minorEastAsia" w:hAnsiTheme="minorEastAsia" w:eastAsiaTheme="minorEastAsia"/>
                <w:color w:val="auto"/>
              </w:rPr>
            </w:pPr>
          </w:p>
        </w:tc>
        <w:tc>
          <w:tcPr>
            <w:tcW w:w="2520" w:type="dxa"/>
          </w:tcPr>
          <w:p w14:paraId="62F4B7D3">
            <w:pPr>
              <w:pStyle w:val="12"/>
              <w:spacing w:line="360" w:lineRule="exact"/>
              <w:ind w:left="1105" w:leftChars="257" w:hanging="540"/>
              <w:rPr>
                <w:rFonts w:cs="宋体" w:asciiTheme="minorEastAsia" w:hAnsiTheme="minorEastAsia" w:eastAsiaTheme="minorEastAsia"/>
                <w:color w:val="auto"/>
              </w:rPr>
            </w:pPr>
          </w:p>
        </w:tc>
        <w:tc>
          <w:tcPr>
            <w:tcW w:w="2520" w:type="dxa"/>
          </w:tcPr>
          <w:p w14:paraId="72047236">
            <w:pPr>
              <w:pStyle w:val="12"/>
              <w:spacing w:line="360" w:lineRule="exact"/>
              <w:ind w:left="1105" w:leftChars="257" w:hanging="540"/>
              <w:rPr>
                <w:rFonts w:cs="宋体" w:asciiTheme="minorEastAsia" w:hAnsiTheme="minorEastAsia" w:eastAsiaTheme="minorEastAsia"/>
                <w:color w:val="auto"/>
              </w:rPr>
            </w:pPr>
          </w:p>
        </w:tc>
        <w:tc>
          <w:tcPr>
            <w:tcW w:w="900" w:type="dxa"/>
          </w:tcPr>
          <w:p w14:paraId="75A5FEE0">
            <w:pPr>
              <w:pStyle w:val="12"/>
              <w:spacing w:line="360" w:lineRule="exact"/>
              <w:ind w:left="1105" w:leftChars="257" w:hanging="540"/>
              <w:rPr>
                <w:rFonts w:cs="宋体" w:asciiTheme="minorEastAsia" w:hAnsiTheme="minorEastAsia" w:eastAsiaTheme="minorEastAsia"/>
                <w:color w:val="auto"/>
              </w:rPr>
            </w:pPr>
          </w:p>
        </w:tc>
      </w:tr>
      <w:tr w14:paraId="35F9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614EC2D">
            <w:pPr>
              <w:pStyle w:val="12"/>
              <w:spacing w:line="360" w:lineRule="exact"/>
              <w:ind w:left="1105" w:leftChars="257" w:hanging="540"/>
              <w:rPr>
                <w:rFonts w:cs="宋体" w:asciiTheme="minorEastAsia" w:hAnsiTheme="minorEastAsia" w:eastAsiaTheme="minorEastAsia"/>
                <w:color w:val="auto"/>
              </w:rPr>
            </w:pPr>
          </w:p>
        </w:tc>
        <w:tc>
          <w:tcPr>
            <w:tcW w:w="2040" w:type="dxa"/>
          </w:tcPr>
          <w:p w14:paraId="46B7AFE3">
            <w:pPr>
              <w:pStyle w:val="12"/>
              <w:spacing w:line="360" w:lineRule="exact"/>
              <w:ind w:left="1105" w:leftChars="257" w:hanging="540"/>
              <w:rPr>
                <w:rFonts w:cs="宋体" w:asciiTheme="minorEastAsia" w:hAnsiTheme="minorEastAsia" w:eastAsiaTheme="minorEastAsia"/>
                <w:color w:val="auto"/>
              </w:rPr>
            </w:pPr>
          </w:p>
        </w:tc>
        <w:tc>
          <w:tcPr>
            <w:tcW w:w="2520" w:type="dxa"/>
          </w:tcPr>
          <w:p w14:paraId="7FF27367">
            <w:pPr>
              <w:pStyle w:val="12"/>
              <w:spacing w:line="360" w:lineRule="exact"/>
              <w:ind w:left="1105" w:leftChars="257" w:hanging="540"/>
              <w:rPr>
                <w:rFonts w:cs="宋体" w:asciiTheme="minorEastAsia" w:hAnsiTheme="minorEastAsia" w:eastAsiaTheme="minorEastAsia"/>
                <w:color w:val="auto"/>
              </w:rPr>
            </w:pPr>
          </w:p>
        </w:tc>
        <w:tc>
          <w:tcPr>
            <w:tcW w:w="2520" w:type="dxa"/>
          </w:tcPr>
          <w:p w14:paraId="1ADD23EC">
            <w:pPr>
              <w:pStyle w:val="12"/>
              <w:spacing w:line="360" w:lineRule="exact"/>
              <w:ind w:left="1105" w:leftChars="257" w:hanging="540"/>
              <w:rPr>
                <w:rFonts w:cs="宋体" w:asciiTheme="minorEastAsia" w:hAnsiTheme="minorEastAsia" w:eastAsiaTheme="minorEastAsia"/>
                <w:color w:val="auto"/>
              </w:rPr>
            </w:pPr>
          </w:p>
        </w:tc>
        <w:tc>
          <w:tcPr>
            <w:tcW w:w="900" w:type="dxa"/>
          </w:tcPr>
          <w:p w14:paraId="1D1847AC">
            <w:pPr>
              <w:pStyle w:val="12"/>
              <w:spacing w:line="360" w:lineRule="exact"/>
              <w:ind w:left="1105" w:leftChars="257" w:hanging="540"/>
              <w:rPr>
                <w:rFonts w:cs="宋体" w:asciiTheme="minorEastAsia" w:hAnsiTheme="minorEastAsia" w:eastAsiaTheme="minorEastAsia"/>
                <w:color w:val="auto"/>
              </w:rPr>
            </w:pPr>
          </w:p>
        </w:tc>
      </w:tr>
      <w:tr w14:paraId="5321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D9CC0C1">
            <w:pPr>
              <w:pStyle w:val="12"/>
              <w:spacing w:line="360" w:lineRule="exact"/>
              <w:ind w:left="1105" w:leftChars="257" w:hanging="540"/>
              <w:rPr>
                <w:rFonts w:cs="宋体" w:asciiTheme="minorEastAsia" w:hAnsiTheme="minorEastAsia" w:eastAsiaTheme="minorEastAsia"/>
                <w:color w:val="auto"/>
              </w:rPr>
            </w:pPr>
          </w:p>
        </w:tc>
        <w:tc>
          <w:tcPr>
            <w:tcW w:w="2040" w:type="dxa"/>
          </w:tcPr>
          <w:p w14:paraId="721D7ECB">
            <w:pPr>
              <w:pStyle w:val="12"/>
              <w:spacing w:line="360" w:lineRule="exact"/>
              <w:ind w:left="1105" w:leftChars="257" w:hanging="540"/>
              <w:rPr>
                <w:rFonts w:cs="宋体" w:asciiTheme="minorEastAsia" w:hAnsiTheme="minorEastAsia" w:eastAsiaTheme="minorEastAsia"/>
                <w:color w:val="auto"/>
              </w:rPr>
            </w:pPr>
          </w:p>
        </w:tc>
        <w:tc>
          <w:tcPr>
            <w:tcW w:w="2520" w:type="dxa"/>
          </w:tcPr>
          <w:p w14:paraId="3A263F5F">
            <w:pPr>
              <w:pStyle w:val="12"/>
              <w:spacing w:line="360" w:lineRule="exact"/>
              <w:ind w:left="1105" w:leftChars="257" w:hanging="540"/>
              <w:rPr>
                <w:rFonts w:cs="宋体" w:asciiTheme="minorEastAsia" w:hAnsiTheme="minorEastAsia" w:eastAsiaTheme="minorEastAsia"/>
                <w:color w:val="auto"/>
              </w:rPr>
            </w:pPr>
          </w:p>
        </w:tc>
        <w:tc>
          <w:tcPr>
            <w:tcW w:w="2520" w:type="dxa"/>
          </w:tcPr>
          <w:p w14:paraId="5802677D">
            <w:pPr>
              <w:pStyle w:val="12"/>
              <w:spacing w:line="360" w:lineRule="exact"/>
              <w:ind w:left="1105" w:leftChars="257" w:hanging="540"/>
              <w:rPr>
                <w:rFonts w:cs="宋体" w:asciiTheme="minorEastAsia" w:hAnsiTheme="minorEastAsia" w:eastAsiaTheme="minorEastAsia"/>
                <w:color w:val="auto"/>
              </w:rPr>
            </w:pPr>
          </w:p>
        </w:tc>
        <w:tc>
          <w:tcPr>
            <w:tcW w:w="900" w:type="dxa"/>
          </w:tcPr>
          <w:p w14:paraId="2BACFE2C">
            <w:pPr>
              <w:pStyle w:val="12"/>
              <w:spacing w:line="360" w:lineRule="exact"/>
              <w:ind w:left="1105" w:leftChars="257" w:hanging="540"/>
              <w:rPr>
                <w:rFonts w:cs="宋体" w:asciiTheme="minorEastAsia" w:hAnsiTheme="minorEastAsia" w:eastAsiaTheme="minorEastAsia"/>
                <w:color w:val="auto"/>
              </w:rPr>
            </w:pPr>
          </w:p>
        </w:tc>
      </w:tr>
      <w:tr w14:paraId="1EF0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7BF7ED7">
            <w:pPr>
              <w:pStyle w:val="12"/>
              <w:spacing w:line="360" w:lineRule="exact"/>
              <w:ind w:left="1105" w:leftChars="257" w:hanging="540"/>
              <w:rPr>
                <w:rFonts w:cs="宋体" w:asciiTheme="minorEastAsia" w:hAnsiTheme="minorEastAsia" w:eastAsiaTheme="minorEastAsia"/>
                <w:color w:val="auto"/>
              </w:rPr>
            </w:pPr>
          </w:p>
        </w:tc>
        <w:tc>
          <w:tcPr>
            <w:tcW w:w="2040" w:type="dxa"/>
          </w:tcPr>
          <w:p w14:paraId="3314FB83">
            <w:pPr>
              <w:pStyle w:val="12"/>
              <w:spacing w:line="360" w:lineRule="exact"/>
              <w:ind w:left="1105" w:leftChars="257" w:hanging="540"/>
              <w:rPr>
                <w:rFonts w:cs="宋体" w:asciiTheme="minorEastAsia" w:hAnsiTheme="minorEastAsia" w:eastAsiaTheme="minorEastAsia"/>
                <w:color w:val="auto"/>
              </w:rPr>
            </w:pPr>
          </w:p>
        </w:tc>
        <w:tc>
          <w:tcPr>
            <w:tcW w:w="2520" w:type="dxa"/>
          </w:tcPr>
          <w:p w14:paraId="6B6D16E2">
            <w:pPr>
              <w:pStyle w:val="12"/>
              <w:spacing w:line="360" w:lineRule="exact"/>
              <w:ind w:left="1105" w:leftChars="257" w:hanging="540"/>
              <w:rPr>
                <w:rFonts w:cs="宋体" w:asciiTheme="minorEastAsia" w:hAnsiTheme="minorEastAsia" w:eastAsiaTheme="minorEastAsia"/>
                <w:color w:val="auto"/>
              </w:rPr>
            </w:pPr>
          </w:p>
        </w:tc>
        <w:tc>
          <w:tcPr>
            <w:tcW w:w="2520" w:type="dxa"/>
          </w:tcPr>
          <w:p w14:paraId="4CD79FE1">
            <w:pPr>
              <w:pStyle w:val="12"/>
              <w:spacing w:line="360" w:lineRule="exact"/>
              <w:ind w:left="1105" w:leftChars="257" w:hanging="540"/>
              <w:rPr>
                <w:rFonts w:cs="宋体" w:asciiTheme="minorEastAsia" w:hAnsiTheme="minorEastAsia" w:eastAsiaTheme="minorEastAsia"/>
                <w:color w:val="auto"/>
              </w:rPr>
            </w:pPr>
          </w:p>
        </w:tc>
        <w:tc>
          <w:tcPr>
            <w:tcW w:w="900" w:type="dxa"/>
          </w:tcPr>
          <w:p w14:paraId="6592C131">
            <w:pPr>
              <w:pStyle w:val="12"/>
              <w:spacing w:line="360" w:lineRule="exact"/>
              <w:ind w:left="1105" w:leftChars="257" w:hanging="540"/>
              <w:rPr>
                <w:rFonts w:cs="宋体" w:asciiTheme="minorEastAsia" w:hAnsiTheme="minorEastAsia" w:eastAsiaTheme="minorEastAsia"/>
                <w:color w:val="auto"/>
              </w:rPr>
            </w:pPr>
          </w:p>
        </w:tc>
      </w:tr>
      <w:tr w14:paraId="4F4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CA32A1">
            <w:pPr>
              <w:pStyle w:val="12"/>
              <w:spacing w:line="360" w:lineRule="exact"/>
              <w:ind w:left="1105" w:leftChars="257" w:hanging="540"/>
              <w:rPr>
                <w:rFonts w:cs="宋体" w:asciiTheme="minorEastAsia" w:hAnsiTheme="minorEastAsia" w:eastAsiaTheme="minorEastAsia"/>
                <w:color w:val="auto"/>
              </w:rPr>
            </w:pPr>
          </w:p>
        </w:tc>
        <w:tc>
          <w:tcPr>
            <w:tcW w:w="2040" w:type="dxa"/>
          </w:tcPr>
          <w:p w14:paraId="6AA6C2F2">
            <w:pPr>
              <w:pStyle w:val="12"/>
              <w:spacing w:line="360" w:lineRule="exact"/>
              <w:ind w:left="1105" w:leftChars="257" w:hanging="540"/>
              <w:rPr>
                <w:rFonts w:cs="宋体" w:asciiTheme="minorEastAsia" w:hAnsiTheme="minorEastAsia" w:eastAsiaTheme="minorEastAsia"/>
                <w:color w:val="auto"/>
              </w:rPr>
            </w:pPr>
          </w:p>
        </w:tc>
        <w:tc>
          <w:tcPr>
            <w:tcW w:w="2520" w:type="dxa"/>
          </w:tcPr>
          <w:p w14:paraId="5B17D2E4">
            <w:pPr>
              <w:pStyle w:val="12"/>
              <w:spacing w:line="360" w:lineRule="exact"/>
              <w:ind w:left="1105" w:leftChars="257" w:hanging="540"/>
              <w:rPr>
                <w:rFonts w:cs="宋体" w:asciiTheme="minorEastAsia" w:hAnsiTheme="minorEastAsia" w:eastAsiaTheme="minorEastAsia"/>
                <w:color w:val="auto"/>
              </w:rPr>
            </w:pPr>
          </w:p>
        </w:tc>
        <w:tc>
          <w:tcPr>
            <w:tcW w:w="2520" w:type="dxa"/>
          </w:tcPr>
          <w:p w14:paraId="4C9F60CF">
            <w:pPr>
              <w:pStyle w:val="12"/>
              <w:spacing w:line="360" w:lineRule="exact"/>
              <w:ind w:left="1105" w:leftChars="257" w:hanging="540"/>
              <w:rPr>
                <w:rFonts w:cs="宋体" w:asciiTheme="minorEastAsia" w:hAnsiTheme="minorEastAsia" w:eastAsiaTheme="minorEastAsia"/>
                <w:color w:val="auto"/>
              </w:rPr>
            </w:pPr>
          </w:p>
        </w:tc>
        <w:tc>
          <w:tcPr>
            <w:tcW w:w="900" w:type="dxa"/>
          </w:tcPr>
          <w:p w14:paraId="6F73DC28">
            <w:pPr>
              <w:pStyle w:val="12"/>
              <w:spacing w:line="360" w:lineRule="exact"/>
              <w:ind w:left="1105" w:leftChars="257" w:hanging="540"/>
              <w:rPr>
                <w:rFonts w:cs="宋体" w:asciiTheme="minorEastAsia" w:hAnsiTheme="minorEastAsia" w:eastAsiaTheme="minorEastAsia"/>
                <w:color w:val="auto"/>
              </w:rPr>
            </w:pPr>
          </w:p>
        </w:tc>
      </w:tr>
      <w:tr w14:paraId="2678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E826652">
            <w:pPr>
              <w:pStyle w:val="12"/>
              <w:spacing w:line="360" w:lineRule="exact"/>
              <w:ind w:left="1105" w:leftChars="257" w:hanging="540"/>
              <w:rPr>
                <w:rFonts w:cs="宋体" w:asciiTheme="minorEastAsia" w:hAnsiTheme="minorEastAsia" w:eastAsiaTheme="minorEastAsia"/>
                <w:color w:val="auto"/>
              </w:rPr>
            </w:pPr>
          </w:p>
        </w:tc>
        <w:tc>
          <w:tcPr>
            <w:tcW w:w="2040" w:type="dxa"/>
          </w:tcPr>
          <w:p w14:paraId="3CD412F7">
            <w:pPr>
              <w:pStyle w:val="12"/>
              <w:spacing w:line="360" w:lineRule="exact"/>
              <w:ind w:left="1105" w:leftChars="257" w:hanging="540"/>
              <w:rPr>
                <w:rFonts w:cs="宋体" w:asciiTheme="minorEastAsia" w:hAnsiTheme="minorEastAsia" w:eastAsiaTheme="minorEastAsia"/>
                <w:color w:val="auto"/>
              </w:rPr>
            </w:pPr>
          </w:p>
        </w:tc>
        <w:tc>
          <w:tcPr>
            <w:tcW w:w="2520" w:type="dxa"/>
          </w:tcPr>
          <w:p w14:paraId="510DEA9B">
            <w:pPr>
              <w:pStyle w:val="12"/>
              <w:spacing w:line="360" w:lineRule="exact"/>
              <w:ind w:left="1105" w:leftChars="257" w:hanging="540"/>
              <w:rPr>
                <w:rFonts w:cs="宋体" w:asciiTheme="minorEastAsia" w:hAnsiTheme="minorEastAsia" w:eastAsiaTheme="minorEastAsia"/>
                <w:color w:val="auto"/>
              </w:rPr>
            </w:pPr>
          </w:p>
        </w:tc>
        <w:tc>
          <w:tcPr>
            <w:tcW w:w="2520" w:type="dxa"/>
          </w:tcPr>
          <w:p w14:paraId="227C8BC2">
            <w:pPr>
              <w:pStyle w:val="12"/>
              <w:spacing w:line="360" w:lineRule="exact"/>
              <w:ind w:left="1105" w:leftChars="257" w:hanging="540"/>
              <w:rPr>
                <w:rFonts w:cs="宋体" w:asciiTheme="minorEastAsia" w:hAnsiTheme="minorEastAsia" w:eastAsiaTheme="minorEastAsia"/>
                <w:color w:val="auto"/>
              </w:rPr>
            </w:pPr>
          </w:p>
        </w:tc>
        <w:tc>
          <w:tcPr>
            <w:tcW w:w="900" w:type="dxa"/>
          </w:tcPr>
          <w:p w14:paraId="10BC5BF2">
            <w:pPr>
              <w:pStyle w:val="12"/>
              <w:spacing w:line="360" w:lineRule="exact"/>
              <w:ind w:left="1105" w:leftChars="257" w:hanging="540"/>
              <w:rPr>
                <w:rFonts w:cs="宋体" w:asciiTheme="minorEastAsia" w:hAnsiTheme="minorEastAsia" w:eastAsiaTheme="minorEastAsia"/>
                <w:color w:val="auto"/>
              </w:rPr>
            </w:pPr>
          </w:p>
        </w:tc>
      </w:tr>
      <w:tr w14:paraId="1CB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FAE6525">
            <w:pPr>
              <w:pStyle w:val="12"/>
              <w:spacing w:line="360" w:lineRule="exact"/>
              <w:ind w:left="1105" w:leftChars="257" w:hanging="540"/>
              <w:rPr>
                <w:rFonts w:cs="宋体" w:asciiTheme="minorEastAsia" w:hAnsiTheme="minorEastAsia" w:eastAsiaTheme="minorEastAsia"/>
                <w:color w:val="auto"/>
              </w:rPr>
            </w:pPr>
          </w:p>
        </w:tc>
        <w:tc>
          <w:tcPr>
            <w:tcW w:w="2040" w:type="dxa"/>
          </w:tcPr>
          <w:p w14:paraId="3F4B741B">
            <w:pPr>
              <w:pStyle w:val="12"/>
              <w:spacing w:line="360" w:lineRule="exact"/>
              <w:ind w:left="1105" w:leftChars="257" w:hanging="540"/>
              <w:rPr>
                <w:rFonts w:cs="宋体" w:asciiTheme="minorEastAsia" w:hAnsiTheme="minorEastAsia" w:eastAsiaTheme="minorEastAsia"/>
                <w:color w:val="auto"/>
              </w:rPr>
            </w:pPr>
          </w:p>
        </w:tc>
        <w:tc>
          <w:tcPr>
            <w:tcW w:w="2520" w:type="dxa"/>
          </w:tcPr>
          <w:p w14:paraId="79101AAE">
            <w:pPr>
              <w:pStyle w:val="12"/>
              <w:spacing w:line="360" w:lineRule="exact"/>
              <w:ind w:left="1105" w:leftChars="257" w:hanging="540"/>
              <w:rPr>
                <w:rFonts w:cs="宋体" w:asciiTheme="minorEastAsia" w:hAnsiTheme="minorEastAsia" w:eastAsiaTheme="minorEastAsia"/>
                <w:color w:val="auto"/>
              </w:rPr>
            </w:pPr>
          </w:p>
        </w:tc>
        <w:tc>
          <w:tcPr>
            <w:tcW w:w="2520" w:type="dxa"/>
          </w:tcPr>
          <w:p w14:paraId="7265D5D4">
            <w:pPr>
              <w:pStyle w:val="12"/>
              <w:spacing w:line="360" w:lineRule="exact"/>
              <w:ind w:left="1105" w:leftChars="257" w:hanging="540"/>
              <w:rPr>
                <w:rFonts w:cs="宋体" w:asciiTheme="minorEastAsia" w:hAnsiTheme="minorEastAsia" w:eastAsiaTheme="minorEastAsia"/>
                <w:color w:val="auto"/>
              </w:rPr>
            </w:pPr>
          </w:p>
        </w:tc>
        <w:tc>
          <w:tcPr>
            <w:tcW w:w="900" w:type="dxa"/>
          </w:tcPr>
          <w:p w14:paraId="138F3041">
            <w:pPr>
              <w:pStyle w:val="12"/>
              <w:spacing w:line="360" w:lineRule="exact"/>
              <w:ind w:left="1105" w:leftChars="257" w:hanging="540"/>
              <w:rPr>
                <w:rFonts w:cs="宋体" w:asciiTheme="minorEastAsia" w:hAnsiTheme="minorEastAsia" w:eastAsiaTheme="minorEastAsia"/>
                <w:color w:val="auto"/>
              </w:rPr>
            </w:pPr>
          </w:p>
        </w:tc>
      </w:tr>
    </w:tbl>
    <w:p w14:paraId="7D573AB0">
      <w:pPr>
        <w:pStyle w:val="12"/>
        <w:spacing w:line="360" w:lineRule="exact"/>
        <w:rPr>
          <w:rFonts w:hint="eastAsia" w:ascii="宋体" w:hAnsi="宋体"/>
          <w:b/>
          <w:color w:val="auto"/>
          <w:szCs w:val="21"/>
        </w:rPr>
      </w:pPr>
      <w:r>
        <w:rPr>
          <w:rFonts w:hint="eastAsia" w:ascii="宋体" w:hAnsi="宋体"/>
          <w:b/>
          <w:color w:val="auto"/>
          <w:szCs w:val="21"/>
        </w:rPr>
        <w:t>附注：1、对采购文件有任何偏离请在本表中详细填写；如对商务条款没有偏离，请注明“无偏离”。</w:t>
      </w:r>
    </w:p>
    <w:p w14:paraId="1F807B2F">
      <w:pPr>
        <w:pStyle w:val="12"/>
        <w:numPr>
          <w:ilvl w:val="0"/>
          <w:numId w:val="0"/>
        </w:numPr>
        <w:spacing w:line="360" w:lineRule="exact"/>
        <w:ind w:leftChars="228"/>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此表格经法定代表人或委托代理人签字或盖章方有效。</w:t>
      </w:r>
    </w:p>
    <w:p w14:paraId="47EC95CE">
      <w:pPr>
        <w:pStyle w:val="12"/>
        <w:numPr>
          <w:ilvl w:val="0"/>
          <w:numId w:val="0"/>
        </w:numPr>
        <w:spacing w:line="360" w:lineRule="exact"/>
        <w:ind w:leftChars="228"/>
        <w:rPr>
          <w:rFonts w:cs="宋体" w:asciiTheme="minorEastAsia" w:hAnsiTheme="minorEastAsia" w:eastAsiaTheme="minorEastAsia"/>
          <w:color w:val="auto"/>
        </w:rPr>
      </w:pPr>
      <w:r>
        <w:rPr>
          <w:rFonts w:hint="eastAsia" w:cs="宋体" w:asciiTheme="minorEastAsia" w:hAnsiTheme="minorEastAsia" w:eastAsiaTheme="minorEastAsia"/>
          <w:color w:val="auto"/>
        </w:rPr>
        <w:t>法定代表人或其委托代理人</w:t>
      </w:r>
      <w:r>
        <w:rPr>
          <w:rFonts w:hint="eastAsia" w:cs="宋体" w:asciiTheme="minorEastAsia" w:hAnsiTheme="minorEastAsia" w:eastAsiaTheme="minorEastAsia"/>
          <w:color w:val="auto"/>
          <w:lang w:eastAsia="zh-CN"/>
        </w:rPr>
        <w:t>（</w:t>
      </w:r>
      <w:r>
        <w:rPr>
          <w:rFonts w:hint="eastAsia" w:cs="宋体" w:asciiTheme="minorEastAsia" w:hAnsiTheme="minorEastAsia" w:eastAsiaTheme="minorEastAsia"/>
          <w:color w:val="auto"/>
        </w:rPr>
        <w:t>签字或盖章</w:t>
      </w:r>
      <w:r>
        <w:rPr>
          <w:rFonts w:hint="eastAsia" w:cs="宋体" w:asciiTheme="minorEastAsia" w:hAnsiTheme="minorEastAsia" w:eastAsiaTheme="minorEastAsia"/>
          <w:color w:val="auto"/>
          <w:lang w:eastAsia="zh-CN"/>
        </w:rPr>
        <w:t>）</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u w:val="single"/>
        </w:rPr>
        <w:tab/>
      </w:r>
      <w:r>
        <w:rPr>
          <w:rFonts w:hint="eastAsia" w:cs="宋体" w:asciiTheme="minorEastAsia" w:hAnsiTheme="minorEastAsia" w:eastAsiaTheme="minorEastAsia"/>
          <w:color w:val="auto"/>
          <w:u w:val="single"/>
        </w:rPr>
        <w:t xml:space="preserve">                 </w:t>
      </w:r>
    </w:p>
    <w:p w14:paraId="37A3D54D">
      <w:pPr>
        <w:pStyle w:val="12"/>
        <w:tabs>
          <w:tab w:val="left" w:pos="5370"/>
        </w:tabs>
        <w:spacing w:line="360" w:lineRule="exact"/>
        <w:ind w:left="1105" w:leftChars="257" w:hanging="540"/>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供应商(盖单位章):</w:t>
      </w:r>
      <w:r>
        <w:rPr>
          <w:rFonts w:hint="eastAsia" w:cs="宋体" w:asciiTheme="minorEastAsia" w:hAnsiTheme="minorEastAsia" w:eastAsiaTheme="minorEastAsia"/>
          <w:color w:val="auto"/>
          <w:u w:val="single"/>
        </w:rPr>
        <w:tab/>
      </w:r>
    </w:p>
    <w:p w14:paraId="1A9ACBC8">
      <w:pPr>
        <w:pStyle w:val="12"/>
        <w:spacing w:line="360" w:lineRule="exact"/>
        <w:ind w:left="1105" w:leftChars="257" w:hanging="540"/>
        <w:rPr>
          <w:rFonts w:cs="宋体" w:asciiTheme="minorEastAsia" w:hAnsiTheme="minorEastAsia" w:eastAsiaTheme="minorEastAsia"/>
          <w:color w:val="auto"/>
        </w:rPr>
      </w:pPr>
      <w:r>
        <w:rPr>
          <w:rFonts w:hint="eastAsia" w:cs="宋体" w:asciiTheme="minorEastAsia" w:hAnsiTheme="minorEastAsia" w:eastAsiaTheme="minorEastAsia"/>
          <w:color w:val="auto"/>
          <w:lang w:val="en-US"/>
        </w:rPr>
        <w:t>日期：</w:t>
      </w:r>
      <w:r>
        <w:rPr>
          <w:rFonts w:hint="eastAsia" w:cs="宋体" w:asciiTheme="minorEastAsia" w:hAnsiTheme="minorEastAsia" w:eastAsiaTheme="minorEastAsia"/>
          <w:color w:val="auto"/>
          <w:u w:val="single"/>
        </w:rPr>
        <w:br w:type="page"/>
      </w:r>
    </w:p>
    <w:p w14:paraId="0807D36D">
      <w:pPr>
        <w:pStyle w:val="2"/>
        <w:jc w:val="center"/>
        <w:rPr>
          <w:rFonts w:hint="eastAsia" w:cs="宋体" w:asciiTheme="minorEastAsia" w:hAnsiTheme="minorEastAsia" w:eastAsiaTheme="minorEastAsia"/>
          <w:b/>
          <w:bCs/>
          <w:i w:val="0"/>
          <w:iCs w:val="0"/>
          <w:color w:val="auto"/>
          <w:sz w:val="32"/>
          <w:szCs w:val="40"/>
          <w:lang w:val="en-US"/>
        </w:rPr>
      </w:pPr>
      <w:bookmarkStart w:id="620" w:name="_Hlt520273711"/>
      <w:bookmarkEnd w:id="620"/>
      <w:bookmarkStart w:id="621" w:name="_Hlt520350918"/>
      <w:bookmarkEnd w:id="621"/>
      <w:bookmarkStart w:id="622" w:name="_Hlt520274065"/>
      <w:bookmarkEnd w:id="622"/>
      <w:bookmarkStart w:id="623" w:name="_Hlt520274407"/>
      <w:bookmarkEnd w:id="623"/>
      <w:bookmarkStart w:id="624" w:name="_Hlt520343000"/>
      <w:bookmarkEnd w:id="624"/>
      <w:bookmarkStart w:id="625" w:name="_Hlt520271212"/>
      <w:bookmarkEnd w:id="625"/>
      <w:bookmarkStart w:id="626" w:name="_Hlt520343392"/>
      <w:bookmarkEnd w:id="626"/>
      <w:bookmarkStart w:id="627" w:name="_Hlt520274393"/>
      <w:bookmarkEnd w:id="627"/>
      <w:bookmarkStart w:id="628" w:name="_Hlt520350957"/>
      <w:bookmarkEnd w:id="628"/>
      <w:bookmarkStart w:id="629" w:name="_Hlt520274911"/>
      <w:bookmarkEnd w:id="629"/>
      <w:bookmarkStart w:id="630" w:name="_Hlt520273973"/>
      <w:bookmarkEnd w:id="630"/>
      <w:bookmarkStart w:id="631" w:name="_Toc17890"/>
      <w:bookmarkStart w:id="632" w:name="_Toc17036"/>
      <w:bookmarkStart w:id="633" w:name="_Toc515647823"/>
      <w:bookmarkStart w:id="634" w:name="_Toc281"/>
      <w:bookmarkStart w:id="635" w:name="_Toc10725"/>
      <w:bookmarkStart w:id="636" w:name="_Toc26282"/>
      <w:bookmarkStart w:id="637" w:name="_Toc21312"/>
      <w:r>
        <w:rPr>
          <w:rFonts w:hint="eastAsia" w:cs="宋体" w:asciiTheme="minorEastAsia" w:hAnsiTheme="minorEastAsia" w:eastAsiaTheme="minorEastAsia"/>
          <w:b/>
          <w:bCs/>
          <w:i w:val="0"/>
          <w:iCs w:val="0"/>
          <w:color w:val="auto"/>
          <w:sz w:val="32"/>
          <w:szCs w:val="40"/>
          <w:lang w:val="en-US"/>
        </w:rPr>
        <w:t>4-1</w:t>
      </w:r>
      <w:r>
        <w:rPr>
          <w:rFonts w:hint="eastAsia" w:cs="宋体" w:asciiTheme="minorEastAsia" w:hAnsiTheme="minorEastAsia" w:eastAsiaTheme="minorEastAsia"/>
          <w:b/>
          <w:bCs/>
          <w:i w:val="0"/>
          <w:iCs w:val="0"/>
          <w:color w:val="auto"/>
          <w:sz w:val="32"/>
          <w:szCs w:val="40"/>
          <w:lang w:val="en-US" w:eastAsia="zh-CN"/>
        </w:rPr>
        <w:t xml:space="preserve">  </w:t>
      </w:r>
      <w:r>
        <w:rPr>
          <w:rFonts w:hint="eastAsia" w:cs="宋体" w:asciiTheme="minorEastAsia" w:hAnsiTheme="minorEastAsia" w:eastAsiaTheme="minorEastAsia"/>
          <w:b/>
          <w:bCs/>
          <w:i w:val="0"/>
          <w:iCs w:val="0"/>
          <w:color w:val="auto"/>
          <w:sz w:val="32"/>
          <w:szCs w:val="40"/>
          <w:lang w:val="en-US"/>
        </w:rPr>
        <w:t>中小企业声明函（工程、服务）</w:t>
      </w:r>
    </w:p>
    <w:p w14:paraId="7BB46887">
      <w:pPr>
        <w:pStyle w:val="2"/>
        <w:jc w:val="center"/>
        <w:rPr>
          <w:rFonts w:cs="宋体" w:asciiTheme="minorEastAsia" w:hAnsiTheme="minorEastAsia" w:eastAsiaTheme="minorEastAsia"/>
          <w:b/>
          <w:bCs/>
          <w:i w:val="0"/>
          <w:iCs w:val="0"/>
          <w:color w:val="auto"/>
          <w:sz w:val="32"/>
          <w:szCs w:val="40"/>
          <w:lang w:val="en-US"/>
        </w:rPr>
      </w:pPr>
      <w:r>
        <w:rPr>
          <w:rFonts w:hint="eastAsia" w:cs="宋体" w:asciiTheme="minorEastAsia" w:hAnsiTheme="minorEastAsia" w:eastAsiaTheme="minorEastAsia"/>
          <w:b/>
          <w:bCs/>
          <w:i w:val="0"/>
          <w:iCs w:val="0"/>
          <w:color w:val="auto"/>
          <w:sz w:val="32"/>
          <w:szCs w:val="40"/>
          <w:lang w:val="en-US"/>
        </w:rPr>
        <w:t>（响应文件格式</w:t>
      </w:r>
      <w:r>
        <w:rPr>
          <w:rFonts w:hint="eastAsia" w:cs="宋体" w:asciiTheme="minorEastAsia" w:hAnsiTheme="minorEastAsia" w:eastAsiaTheme="minorEastAsia"/>
          <w:b/>
          <w:bCs/>
          <w:i w:val="0"/>
          <w:iCs w:val="0"/>
          <w:color w:val="auto"/>
          <w:sz w:val="32"/>
          <w:szCs w:val="40"/>
          <w:lang w:val="en-US" w:eastAsia="zh-CN"/>
        </w:rPr>
        <w:t>七</w:t>
      </w:r>
      <w:r>
        <w:rPr>
          <w:rFonts w:hint="eastAsia" w:cs="宋体" w:asciiTheme="minorEastAsia" w:hAnsiTheme="minorEastAsia" w:eastAsiaTheme="minorEastAsia"/>
          <w:b/>
          <w:bCs/>
          <w:i w:val="0"/>
          <w:iCs w:val="0"/>
          <w:color w:val="auto"/>
          <w:sz w:val="32"/>
          <w:szCs w:val="40"/>
          <w:lang w:val="en-US"/>
        </w:rPr>
        <w:t>）</w:t>
      </w:r>
    </w:p>
    <w:p w14:paraId="67418832">
      <w:pPr>
        <w:rPr>
          <w:color w:val="auto"/>
          <w:lang w:val="en-US"/>
        </w:rPr>
      </w:pPr>
    </w:p>
    <w:p w14:paraId="0AB0F59B">
      <w:pPr>
        <w:rPr>
          <w:color w:val="auto"/>
          <w:lang w:val="en-US"/>
        </w:rPr>
      </w:pPr>
    </w:p>
    <w:p w14:paraId="0F7849E0">
      <w:pPr>
        <w:pStyle w:val="2"/>
        <w:autoSpaceDE/>
        <w:autoSpaceDN/>
        <w:adjustRightInd w:val="0"/>
        <w:snapToGrid w:val="0"/>
        <w:ind w:left="0" w:firstLine="560" w:firstLineChars="200"/>
        <w:jc w:val="both"/>
        <w:rPr>
          <w:rFonts w:cs="仿宋"/>
          <w:i w:val="0"/>
          <w:iCs w:val="0"/>
          <w:color w:val="auto"/>
          <w:sz w:val="28"/>
          <w:szCs w:val="28"/>
          <w:lang w:val="en-US"/>
        </w:rPr>
      </w:pPr>
      <w:r>
        <w:rPr>
          <w:rFonts w:cs="仿宋"/>
          <w:i w:val="0"/>
          <w:iCs w:val="0"/>
          <w:color w:val="auto"/>
          <w:sz w:val="28"/>
          <w:szCs w:val="28"/>
          <w:lang w:val="en-US"/>
        </w:rPr>
        <w:t>本公司（联合体）郑重声明，根据《政府采购促进中小</w:t>
      </w:r>
      <w:r>
        <w:rPr>
          <w:rFonts w:hint="eastAsia" w:cs="仿宋"/>
          <w:i w:val="0"/>
          <w:iCs w:val="0"/>
          <w:color w:val="auto"/>
          <w:sz w:val="28"/>
          <w:szCs w:val="28"/>
          <w:lang w:val="en-US"/>
        </w:rPr>
        <w:t>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7393D0">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1.</w:t>
      </w:r>
      <w:r>
        <w:rPr>
          <w:rFonts w:hint="eastAsia" w:cs="仿宋"/>
          <w:i w:val="0"/>
          <w:iCs w:val="0"/>
          <w:color w:val="auto"/>
          <w:sz w:val="28"/>
          <w:szCs w:val="28"/>
          <w:u w:val="single"/>
          <w:lang w:val="en-US"/>
        </w:rPr>
        <w:t xml:space="preserve"> （标的名称）</w:t>
      </w:r>
      <w:r>
        <w:rPr>
          <w:rFonts w:hint="eastAsia" w:cs="仿宋"/>
          <w:i w:val="0"/>
          <w:iCs w:val="0"/>
          <w:color w:val="auto"/>
          <w:sz w:val="28"/>
          <w:szCs w:val="28"/>
          <w:lang w:val="en-US"/>
        </w:rPr>
        <w:t xml:space="preserve"> ，属于</w:t>
      </w:r>
      <w:r>
        <w:rPr>
          <w:rFonts w:hint="eastAsia" w:cs="仿宋"/>
          <w:i w:val="0"/>
          <w:iCs w:val="0"/>
          <w:color w:val="auto"/>
          <w:sz w:val="28"/>
          <w:szCs w:val="28"/>
          <w:u w:val="single"/>
          <w:lang w:val="en-US"/>
        </w:rPr>
        <w:t xml:space="preserve">（采购文件中明确的所属行业） </w:t>
      </w:r>
      <w:r>
        <w:rPr>
          <w:rFonts w:hint="eastAsia" w:cs="仿宋"/>
          <w:i w:val="0"/>
          <w:iCs w:val="0"/>
          <w:color w:val="auto"/>
          <w:sz w:val="28"/>
          <w:szCs w:val="28"/>
          <w:lang w:val="en-US"/>
        </w:rPr>
        <w:t xml:space="preserve">行业； </w:t>
      </w:r>
    </w:p>
    <w:p w14:paraId="2B064E05">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承建（承接）企业为</w:t>
      </w:r>
      <w:r>
        <w:rPr>
          <w:rFonts w:hint="eastAsia" w:cs="仿宋"/>
          <w:i w:val="0"/>
          <w:iCs w:val="0"/>
          <w:color w:val="auto"/>
          <w:sz w:val="28"/>
          <w:szCs w:val="28"/>
          <w:u w:val="single"/>
          <w:lang w:val="en-US"/>
        </w:rPr>
        <w:t>（企业名称）</w:t>
      </w:r>
      <w:r>
        <w:rPr>
          <w:rFonts w:hint="eastAsia" w:cs="仿宋"/>
          <w:i w:val="0"/>
          <w:iCs w:val="0"/>
          <w:color w:val="auto"/>
          <w:sz w:val="28"/>
          <w:szCs w:val="28"/>
          <w:lang w:val="en-US"/>
        </w:rPr>
        <w:t>，从业人员</w:t>
      </w:r>
      <w:r>
        <w:rPr>
          <w:rFonts w:hint="eastAsia" w:cs="仿宋"/>
          <w:i w:val="0"/>
          <w:iCs w:val="0"/>
          <w:color w:val="auto"/>
          <w:sz w:val="28"/>
          <w:szCs w:val="28"/>
          <w:u w:val="single"/>
          <w:lang w:val="en-US"/>
        </w:rPr>
        <w:t xml:space="preserve">    </w:t>
      </w:r>
      <w:r>
        <w:rPr>
          <w:rFonts w:hint="eastAsia" w:cs="仿宋"/>
          <w:i w:val="0"/>
          <w:iCs w:val="0"/>
          <w:color w:val="auto"/>
          <w:sz w:val="28"/>
          <w:szCs w:val="28"/>
          <w:lang w:val="en-US"/>
        </w:rPr>
        <w:t>人，营业收入为</w:t>
      </w:r>
      <w:r>
        <w:rPr>
          <w:rFonts w:hint="eastAsia" w:cs="仿宋"/>
          <w:i w:val="0"/>
          <w:iCs w:val="0"/>
          <w:color w:val="auto"/>
          <w:sz w:val="28"/>
          <w:szCs w:val="28"/>
          <w:u w:val="single"/>
          <w:lang w:val="en-US"/>
        </w:rPr>
        <w:t xml:space="preserve">   </w:t>
      </w:r>
      <w:r>
        <w:rPr>
          <w:rFonts w:hint="eastAsia" w:cs="仿宋"/>
          <w:i w:val="0"/>
          <w:iCs w:val="0"/>
          <w:color w:val="auto"/>
          <w:sz w:val="28"/>
          <w:szCs w:val="28"/>
          <w:lang w:val="en-US"/>
        </w:rPr>
        <w:t>万元，资产总额为</w:t>
      </w:r>
      <w:r>
        <w:rPr>
          <w:rFonts w:hint="eastAsia" w:cs="仿宋"/>
          <w:i w:val="0"/>
          <w:iCs w:val="0"/>
          <w:color w:val="auto"/>
          <w:sz w:val="28"/>
          <w:szCs w:val="28"/>
          <w:u w:val="single"/>
          <w:lang w:val="en-US"/>
        </w:rPr>
        <w:t xml:space="preserve">   </w:t>
      </w:r>
      <w:r>
        <w:rPr>
          <w:rFonts w:hint="eastAsia" w:cs="仿宋"/>
          <w:i w:val="0"/>
          <w:iCs w:val="0"/>
          <w:color w:val="auto"/>
          <w:sz w:val="28"/>
          <w:szCs w:val="28"/>
          <w:lang w:val="en-US"/>
        </w:rPr>
        <w:t>万元，属于</w:t>
      </w:r>
      <w:r>
        <w:rPr>
          <w:rFonts w:hint="eastAsia" w:cs="仿宋"/>
          <w:i w:val="0"/>
          <w:iCs w:val="0"/>
          <w:color w:val="auto"/>
          <w:sz w:val="28"/>
          <w:szCs w:val="28"/>
          <w:u w:val="single"/>
          <w:lang w:val="en-US"/>
        </w:rPr>
        <w:t xml:space="preserve">（中型企业、小型企业、微型企业）； </w:t>
      </w:r>
    </w:p>
    <w:p w14:paraId="0A430C4D">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2.</w:t>
      </w:r>
      <w:r>
        <w:rPr>
          <w:rFonts w:hint="eastAsia" w:cs="仿宋"/>
          <w:i w:val="0"/>
          <w:iCs w:val="0"/>
          <w:color w:val="auto"/>
          <w:sz w:val="28"/>
          <w:szCs w:val="28"/>
          <w:u w:val="single"/>
          <w:lang w:val="en-US"/>
        </w:rPr>
        <w:t xml:space="preserve"> （标的名称）</w:t>
      </w:r>
      <w:r>
        <w:rPr>
          <w:rFonts w:hint="eastAsia" w:cs="仿宋"/>
          <w:i w:val="0"/>
          <w:iCs w:val="0"/>
          <w:color w:val="auto"/>
          <w:sz w:val="28"/>
          <w:szCs w:val="28"/>
          <w:lang w:val="en-US"/>
        </w:rPr>
        <w:t xml:space="preserve"> ，属于</w:t>
      </w:r>
      <w:r>
        <w:rPr>
          <w:rFonts w:hint="eastAsia" w:cs="仿宋"/>
          <w:i w:val="0"/>
          <w:iCs w:val="0"/>
          <w:color w:val="auto"/>
          <w:sz w:val="28"/>
          <w:szCs w:val="28"/>
          <w:u w:val="single"/>
          <w:lang w:val="en-US"/>
        </w:rPr>
        <w:t xml:space="preserve">（采购文件中明确的所属行业） </w:t>
      </w:r>
      <w:r>
        <w:rPr>
          <w:rFonts w:hint="eastAsia" w:cs="仿宋"/>
          <w:i w:val="0"/>
          <w:iCs w:val="0"/>
          <w:color w:val="auto"/>
          <w:sz w:val="28"/>
          <w:szCs w:val="28"/>
          <w:lang w:val="en-US"/>
        </w:rPr>
        <w:t xml:space="preserve">行业； </w:t>
      </w:r>
    </w:p>
    <w:p w14:paraId="56BE0E83">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承建（承接）企业为</w:t>
      </w:r>
      <w:r>
        <w:rPr>
          <w:rFonts w:hint="eastAsia" w:cs="仿宋"/>
          <w:i w:val="0"/>
          <w:iCs w:val="0"/>
          <w:color w:val="auto"/>
          <w:sz w:val="28"/>
          <w:szCs w:val="28"/>
          <w:u w:val="single"/>
          <w:lang w:val="en-US"/>
        </w:rPr>
        <w:t>（企业名称）</w:t>
      </w:r>
      <w:r>
        <w:rPr>
          <w:rFonts w:hint="eastAsia" w:cs="仿宋"/>
          <w:i w:val="0"/>
          <w:iCs w:val="0"/>
          <w:color w:val="auto"/>
          <w:sz w:val="28"/>
          <w:szCs w:val="28"/>
          <w:lang w:val="en-US"/>
        </w:rPr>
        <w:t>，从业人员</w:t>
      </w:r>
      <w:r>
        <w:rPr>
          <w:rFonts w:hint="eastAsia" w:cs="仿宋"/>
          <w:i w:val="0"/>
          <w:iCs w:val="0"/>
          <w:color w:val="auto"/>
          <w:sz w:val="28"/>
          <w:szCs w:val="28"/>
          <w:u w:val="single"/>
          <w:lang w:val="en-US"/>
        </w:rPr>
        <w:t xml:space="preserve">    </w:t>
      </w:r>
      <w:r>
        <w:rPr>
          <w:rFonts w:hint="eastAsia" w:cs="仿宋"/>
          <w:i w:val="0"/>
          <w:iCs w:val="0"/>
          <w:color w:val="auto"/>
          <w:sz w:val="28"/>
          <w:szCs w:val="28"/>
          <w:lang w:val="en-US"/>
        </w:rPr>
        <w:t>人，营业收入为</w:t>
      </w:r>
      <w:r>
        <w:rPr>
          <w:rFonts w:hint="eastAsia" w:cs="仿宋"/>
          <w:i w:val="0"/>
          <w:iCs w:val="0"/>
          <w:color w:val="auto"/>
          <w:sz w:val="28"/>
          <w:szCs w:val="28"/>
          <w:u w:val="single"/>
          <w:lang w:val="en-US"/>
        </w:rPr>
        <w:t xml:space="preserve">   </w:t>
      </w:r>
      <w:r>
        <w:rPr>
          <w:rFonts w:hint="eastAsia" w:cs="仿宋"/>
          <w:i w:val="0"/>
          <w:iCs w:val="0"/>
          <w:color w:val="auto"/>
          <w:sz w:val="28"/>
          <w:szCs w:val="28"/>
          <w:lang w:val="en-US"/>
        </w:rPr>
        <w:t>万元，资产总额为</w:t>
      </w:r>
      <w:r>
        <w:rPr>
          <w:rFonts w:hint="eastAsia" w:cs="仿宋"/>
          <w:i w:val="0"/>
          <w:iCs w:val="0"/>
          <w:color w:val="auto"/>
          <w:sz w:val="28"/>
          <w:szCs w:val="28"/>
          <w:u w:val="single"/>
          <w:lang w:val="en-US"/>
        </w:rPr>
        <w:t xml:space="preserve">   </w:t>
      </w:r>
      <w:r>
        <w:rPr>
          <w:rFonts w:hint="eastAsia" w:cs="仿宋"/>
          <w:i w:val="0"/>
          <w:iCs w:val="0"/>
          <w:color w:val="auto"/>
          <w:sz w:val="28"/>
          <w:szCs w:val="28"/>
          <w:lang w:val="en-US"/>
        </w:rPr>
        <w:t>万元，属于</w:t>
      </w:r>
      <w:r>
        <w:rPr>
          <w:rFonts w:hint="eastAsia" w:cs="仿宋"/>
          <w:i w:val="0"/>
          <w:iCs w:val="0"/>
          <w:color w:val="auto"/>
          <w:sz w:val="28"/>
          <w:szCs w:val="28"/>
          <w:u w:val="single"/>
          <w:lang w:val="en-US"/>
        </w:rPr>
        <w:t xml:space="preserve">（中型企业、小型企业、微型企业）； </w:t>
      </w:r>
    </w:p>
    <w:p w14:paraId="5F4A603C">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 </w:t>
      </w:r>
    </w:p>
    <w:p w14:paraId="0E4E6FF0">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w:t>
      </w:r>
    </w:p>
    <w:p w14:paraId="55E5A85C">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以上企业，不属于大企业的分支机构，不存在控股股东 </w:t>
      </w:r>
    </w:p>
    <w:p w14:paraId="397D3D38">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为大企业的情形，也不存在与大企业的负责人为同一人的情 </w:t>
      </w:r>
    </w:p>
    <w:p w14:paraId="4CB64C59">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形。</w:t>
      </w:r>
    </w:p>
    <w:p w14:paraId="7393D7C9">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本企业对上述声明内容的真实性负责。如有虚假，将依 </w:t>
      </w:r>
    </w:p>
    <w:p w14:paraId="6524EAA2">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法承担相应责任。 </w:t>
      </w:r>
    </w:p>
    <w:p w14:paraId="5B18133A">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企业名称（盖章）： </w:t>
      </w:r>
    </w:p>
    <w:p w14:paraId="46D43B4D">
      <w:pPr>
        <w:pStyle w:val="2"/>
        <w:autoSpaceDE/>
        <w:autoSpaceDN/>
        <w:adjustRightInd w:val="0"/>
        <w:snapToGrid w:val="0"/>
        <w:ind w:left="0" w:firstLine="560" w:firstLineChars="200"/>
        <w:jc w:val="both"/>
        <w:rPr>
          <w:rFonts w:cs="仿宋"/>
          <w:i w:val="0"/>
          <w:iCs w:val="0"/>
          <w:color w:val="auto"/>
          <w:sz w:val="28"/>
          <w:szCs w:val="28"/>
          <w:lang w:val="en-US"/>
        </w:rPr>
      </w:pPr>
      <w:r>
        <w:rPr>
          <w:rFonts w:hint="eastAsia" w:cs="仿宋"/>
          <w:i w:val="0"/>
          <w:iCs w:val="0"/>
          <w:color w:val="auto"/>
          <w:sz w:val="28"/>
          <w:szCs w:val="28"/>
          <w:lang w:val="en-US"/>
        </w:rPr>
        <w:t xml:space="preserve">日 期： </w:t>
      </w:r>
    </w:p>
    <w:p w14:paraId="04A3AD00">
      <w:pPr>
        <w:pStyle w:val="2"/>
        <w:rPr>
          <w:color w:val="auto"/>
        </w:rPr>
      </w:pPr>
    </w:p>
    <w:p w14:paraId="47DF5CD3">
      <w:pPr>
        <w:pStyle w:val="2"/>
        <w:rPr>
          <w:rFonts w:ascii="宋体" w:hAnsi="宋体" w:eastAsia="宋体" w:cs="宋体"/>
          <w:i w:val="0"/>
          <w:iCs w:val="0"/>
          <w:color w:val="auto"/>
          <w:kern w:val="2"/>
          <w:sz w:val="21"/>
          <w:szCs w:val="21"/>
          <w:lang w:val="en-US" w:bidi="ar-SA"/>
        </w:rPr>
      </w:pPr>
    </w:p>
    <w:p w14:paraId="3C9092C1">
      <w:pPr>
        <w:rPr>
          <w:rFonts w:ascii="宋体" w:hAnsi="宋体" w:eastAsia="宋体" w:cs="宋体"/>
          <w:color w:val="auto"/>
          <w:kern w:val="2"/>
          <w:sz w:val="21"/>
          <w:szCs w:val="21"/>
          <w:lang w:val="en-US" w:bidi="ar-SA"/>
        </w:rPr>
      </w:pPr>
    </w:p>
    <w:p w14:paraId="5D6BA07B">
      <w:pPr>
        <w:pStyle w:val="2"/>
        <w:rPr>
          <w:rFonts w:ascii="宋体" w:hAnsi="宋体" w:eastAsia="宋体" w:cs="宋体"/>
          <w:i w:val="0"/>
          <w:iCs w:val="0"/>
          <w:color w:val="auto"/>
          <w:kern w:val="2"/>
          <w:sz w:val="21"/>
          <w:szCs w:val="21"/>
          <w:lang w:val="en-US" w:bidi="ar-SA"/>
        </w:rPr>
      </w:pPr>
    </w:p>
    <w:p w14:paraId="2950608F">
      <w:pPr>
        <w:rPr>
          <w:rFonts w:ascii="宋体" w:hAnsi="宋体" w:eastAsia="宋体" w:cs="宋体"/>
          <w:color w:val="auto"/>
          <w:kern w:val="2"/>
          <w:sz w:val="21"/>
          <w:szCs w:val="21"/>
          <w:lang w:val="en-US" w:bidi="ar-SA"/>
        </w:rPr>
      </w:pPr>
    </w:p>
    <w:p w14:paraId="4D6217BB">
      <w:pPr>
        <w:pStyle w:val="2"/>
        <w:rPr>
          <w:rFonts w:ascii="宋体" w:hAnsi="宋体" w:eastAsia="宋体" w:cs="宋体"/>
          <w:i w:val="0"/>
          <w:iCs w:val="0"/>
          <w:color w:val="auto"/>
          <w:kern w:val="2"/>
          <w:sz w:val="21"/>
          <w:szCs w:val="21"/>
          <w:lang w:val="en-US" w:bidi="ar-SA"/>
        </w:rPr>
      </w:pPr>
    </w:p>
    <w:p w14:paraId="4C6C7005">
      <w:pPr>
        <w:rPr>
          <w:rFonts w:ascii="宋体" w:hAnsi="宋体" w:eastAsia="宋体" w:cs="宋体"/>
          <w:color w:val="auto"/>
          <w:kern w:val="2"/>
          <w:sz w:val="21"/>
          <w:szCs w:val="21"/>
          <w:lang w:val="en-US" w:bidi="ar-SA"/>
        </w:rPr>
      </w:pPr>
    </w:p>
    <w:p w14:paraId="2AEF9EC3">
      <w:pPr>
        <w:pStyle w:val="2"/>
        <w:rPr>
          <w:rFonts w:ascii="宋体" w:hAnsi="宋体" w:eastAsia="宋体" w:cs="宋体"/>
          <w:i w:val="0"/>
          <w:iCs w:val="0"/>
          <w:color w:val="auto"/>
          <w:kern w:val="2"/>
          <w:sz w:val="21"/>
          <w:szCs w:val="21"/>
          <w:lang w:val="en-US" w:bidi="ar-SA"/>
        </w:rPr>
      </w:pPr>
    </w:p>
    <w:p w14:paraId="6ECEC397">
      <w:pPr>
        <w:rPr>
          <w:rFonts w:ascii="宋体" w:hAnsi="宋体" w:eastAsia="宋体" w:cs="宋体"/>
          <w:color w:val="auto"/>
          <w:kern w:val="2"/>
          <w:sz w:val="21"/>
          <w:szCs w:val="21"/>
          <w:lang w:val="en-US" w:bidi="ar-SA"/>
        </w:rPr>
      </w:pPr>
    </w:p>
    <w:p w14:paraId="0E82320E">
      <w:pPr>
        <w:pStyle w:val="2"/>
        <w:rPr>
          <w:rFonts w:ascii="宋体" w:hAnsi="宋体" w:eastAsia="宋体" w:cs="宋体"/>
          <w:i w:val="0"/>
          <w:iCs w:val="0"/>
          <w:color w:val="auto"/>
          <w:kern w:val="2"/>
          <w:sz w:val="21"/>
          <w:szCs w:val="21"/>
          <w:lang w:val="en-US" w:bidi="ar-SA"/>
        </w:rPr>
      </w:pPr>
    </w:p>
    <w:p w14:paraId="2BD83876">
      <w:pPr>
        <w:widowControl/>
        <w:jc w:val="center"/>
        <w:rPr>
          <w:rFonts w:hint="eastAsia" w:ascii="宋体" w:hAnsi="宋体" w:eastAsia="宋体" w:cs="宋体"/>
          <w:color w:val="auto"/>
          <w:sz w:val="18"/>
          <w:szCs w:val="18"/>
          <w:lang w:val="en-US"/>
        </w:rPr>
      </w:pPr>
      <w:r>
        <w:rPr>
          <w:rFonts w:hint="eastAsia" w:ascii="宋体" w:hAnsi="宋体" w:eastAsia="宋体" w:cs="宋体"/>
          <w:color w:val="auto"/>
          <w:sz w:val="18"/>
          <w:szCs w:val="18"/>
          <w:lang w:val="en-US"/>
        </w:rPr>
        <w:t>注：从业人员、营业收入、资产总额填报上一年度数据，无上一年度数据的新成立企业可不填报。</w:t>
      </w:r>
    </w:p>
    <w:p w14:paraId="1B3E0373">
      <w:pPr>
        <w:widowControl/>
        <w:jc w:val="center"/>
        <w:rPr>
          <w:rFonts w:hint="eastAsia" w:ascii="宋体" w:hAnsi="宋体" w:eastAsia="宋体" w:cs="宋体"/>
          <w:color w:val="auto"/>
          <w:sz w:val="18"/>
          <w:szCs w:val="18"/>
          <w:lang w:val="en-US"/>
        </w:rPr>
      </w:pPr>
    </w:p>
    <w:p w14:paraId="6E103790">
      <w:pPr>
        <w:widowControl/>
        <w:jc w:val="center"/>
        <w:rPr>
          <w:rFonts w:hint="eastAsia" w:ascii="宋体" w:hAnsi="宋体" w:eastAsia="宋体" w:cs="宋体"/>
          <w:color w:val="auto"/>
          <w:sz w:val="18"/>
          <w:szCs w:val="18"/>
          <w:lang w:val="en-US"/>
        </w:rPr>
      </w:pPr>
    </w:p>
    <w:p w14:paraId="4AEE2F29">
      <w:pPr>
        <w:widowControl/>
        <w:jc w:val="center"/>
        <w:rPr>
          <w:rFonts w:hint="eastAsia" w:ascii="宋体" w:hAnsi="宋体" w:eastAsia="宋体" w:cs="宋体"/>
          <w:color w:val="auto"/>
          <w:sz w:val="18"/>
          <w:szCs w:val="18"/>
          <w:lang w:val="en-US"/>
        </w:rPr>
      </w:pPr>
    </w:p>
    <w:p w14:paraId="782CDCE5">
      <w:pPr>
        <w:widowControl/>
        <w:jc w:val="center"/>
        <w:rPr>
          <w:rFonts w:hint="eastAsia" w:cs="宋体" w:asciiTheme="minorEastAsia" w:hAnsiTheme="minorEastAsia" w:eastAsiaTheme="minorEastAsia"/>
          <w:b/>
          <w:bCs/>
          <w:color w:val="auto"/>
          <w:sz w:val="28"/>
          <w:szCs w:val="36"/>
        </w:rPr>
      </w:pPr>
      <w:r>
        <w:rPr>
          <w:rFonts w:hint="eastAsia" w:cs="宋体" w:asciiTheme="minorEastAsia" w:hAnsiTheme="minorEastAsia" w:eastAsiaTheme="minorEastAsia"/>
          <w:b/>
          <w:bCs/>
          <w:color w:val="auto"/>
          <w:sz w:val="28"/>
          <w:szCs w:val="36"/>
        </w:rPr>
        <w:t xml:space="preserve"> </w:t>
      </w:r>
      <w:r>
        <w:rPr>
          <w:rFonts w:hint="eastAsia" w:cs="宋体" w:asciiTheme="minorEastAsia" w:hAnsiTheme="minorEastAsia" w:eastAsiaTheme="minorEastAsia"/>
          <w:b/>
          <w:bCs/>
          <w:color w:val="auto"/>
          <w:sz w:val="28"/>
          <w:szCs w:val="36"/>
          <w:lang w:val="en-US"/>
        </w:rPr>
        <w:t xml:space="preserve"> </w:t>
      </w:r>
      <w:bookmarkEnd w:id="631"/>
      <w:bookmarkEnd w:id="632"/>
      <w:bookmarkEnd w:id="633"/>
      <w:bookmarkEnd w:id="634"/>
      <w:bookmarkEnd w:id="635"/>
      <w:bookmarkEnd w:id="636"/>
      <w:bookmarkEnd w:id="637"/>
      <w:r>
        <w:rPr>
          <w:rFonts w:hint="eastAsia" w:cs="宋体" w:asciiTheme="minorEastAsia" w:hAnsiTheme="minorEastAsia" w:eastAsiaTheme="minorEastAsia"/>
          <w:b/>
          <w:bCs/>
          <w:color w:val="auto"/>
          <w:sz w:val="28"/>
          <w:szCs w:val="36"/>
          <w:lang w:val="en-US"/>
        </w:rPr>
        <w:t>4-</w:t>
      </w:r>
      <w:r>
        <w:rPr>
          <w:rFonts w:hint="eastAsia" w:cs="宋体" w:asciiTheme="minorEastAsia" w:hAnsiTheme="minorEastAsia" w:eastAsiaTheme="minorEastAsia"/>
          <w:b/>
          <w:bCs/>
          <w:color w:val="auto"/>
          <w:sz w:val="28"/>
          <w:szCs w:val="36"/>
          <w:lang w:val="en-US" w:eastAsia="zh-CN"/>
        </w:rPr>
        <w:t>2</w:t>
      </w:r>
      <w:r>
        <w:rPr>
          <w:rFonts w:hint="eastAsia" w:cs="宋体" w:asciiTheme="minorEastAsia" w:hAnsiTheme="minorEastAsia" w:eastAsiaTheme="minorEastAsia"/>
          <w:b/>
          <w:bCs/>
          <w:i w:val="0"/>
          <w:iCs w:val="0"/>
          <w:color w:val="auto"/>
          <w:sz w:val="32"/>
          <w:szCs w:val="40"/>
          <w:lang w:val="en-US" w:eastAsia="zh-CN"/>
        </w:rPr>
        <w:t xml:space="preserve"> </w:t>
      </w:r>
      <w:r>
        <w:rPr>
          <w:rFonts w:hint="eastAsia" w:cs="宋体" w:asciiTheme="minorEastAsia" w:hAnsiTheme="minorEastAsia" w:eastAsiaTheme="minorEastAsia"/>
          <w:b/>
          <w:bCs/>
          <w:color w:val="auto"/>
          <w:sz w:val="28"/>
          <w:szCs w:val="36"/>
          <w:lang w:val="en-US"/>
        </w:rPr>
        <w:t>中小企业声明函（货物）</w:t>
      </w:r>
      <w:r>
        <w:rPr>
          <w:rFonts w:hint="eastAsia" w:cs="宋体" w:asciiTheme="minorEastAsia" w:hAnsiTheme="minorEastAsia" w:eastAsiaTheme="minorEastAsia"/>
          <w:b/>
          <w:bCs/>
          <w:color w:val="auto"/>
          <w:sz w:val="28"/>
          <w:szCs w:val="36"/>
        </w:rPr>
        <w:t>（响应文件格式</w:t>
      </w:r>
      <w:r>
        <w:rPr>
          <w:rFonts w:hint="eastAsia" w:cs="宋体" w:asciiTheme="minorEastAsia" w:hAnsiTheme="minorEastAsia" w:eastAsiaTheme="minorEastAsia"/>
          <w:b/>
          <w:bCs/>
          <w:color w:val="auto"/>
          <w:sz w:val="28"/>
          <w:szCs w:val="36"/>
          <w:lang w:val="en-US" w:eastAsia="zh-CN"/>
        </w:rPr>
        <w:t>八</w:t>
      </w:r>
      <w:r>
        <w:rPr>
          <w:rFonts w:hint="eastAsia" w:cs="宋体" w:asciiTheme="minorEastAsia" w:hAnsiTheme="minorEastAsia" w:eastAsiaTheme="minorEastAsia"/>
          <w:b/>
          <w:bCs/>
          <w:color w:val="auto"/>
          <w:sz w:val="28"/>
          <w:szCs w:val="36"/>
        </w:rPr>
        <w:t>）</w:t>
      </w:r>
    </w:p>
    <w:p w14:paraId="29FAAF52">
      <w:pPr>
        <w:widowControl/>
        <w:jc w:val="center"/>
        <w:rPr>
          <w:rFonts w:hint="eastAsia" w:cs="宋体" w:asciiTheme="minorEastAsia" w:hAnsiTheme="minorEastAsia" w:eastAsiaTheme="minorEastAsia"/>
          <w:b/>
          <w:bCs/>
          <w:color w:val="auto"/>
          <w:sz w:val="32"/>
          <w:szCs w:val="40"/>
          <w:lang w:val="en-US" w:eastAsia="zh-CN"/>
        </w:rPr>
      </w:pPr>
      <w:r>
        <w:rPr>
          <w:rFonts w:hint="eastAsia" w:cs="宋体" w:asciiTheme="minorEastAsia" w:hAnsiTheme="minorEastAsia" w:eastAsiaTheme="minorEastAsia"/>
          <w:b/>
          <w:bCs/>
          <w:color w:val="auto"/>
          <w:sz w:val="28"/>
          <w:szCs w:val="36"/>
          <w:lang w:eastAsia="zh-CN"/>
        </w:rPr>
        <w:t>（</w:t>
      </w:r>
      <w:r>
        <w:rPr>
          <w:rFonts w:hint="eastAsia" w:cs="宋体" w:asciiTheme="minorEastAsia" w:hAnsiTheme="minorEastAsia" w:eastAsiaTheme="minorEastAsia"/>
          <w:b/>
          <w:bCs/>
          <w:color w:val="auto"/>
          <w:sz w:val="28"/>
          <w:szCs w:val="36"/>
          <w:lang w:val="en-US" w:eastAsia="zh-CN"/>
        </w:rPr>
        <w:t>本项目不适用</w:t>
      </w:r>
      <w:r>
        <w:rPr>
          <w:rFonts w:hint="eastAsia" w:cs="宋体" w:asciiTheme="minorEastAsia" w:hAnsiTheme="minorEastAsia" w:eastAsiaTheme="minorEastAsia"/>
          <w:b/>
          <w:bCs/>
          <w:color w:val="auto"/>
          <w:sz w:val="28"/>
          <w:szCs w:val="36"/>
          <w:lang w:eastAsia="zh-CN"/>
        </w:rPr>
        <w:t>）</w:t>
      </w:r>
    </w:p>
    <w:p w14:paraId="59EA2E88">
      <w:pPr>
        <w:widowControl/>
        <w:jc w:val="center"/>
        <w:rPr>
          <w:rFonts w:cs="宋体" w:asciiTheme="minorEastAsia" w:hAnsiTheme="minorEastAsia" w:eastAsiaTheme="minorEastAsia"/>
          <w:b/>
          <w:bCs/>
          <w:color w:val="auto"/>
          <w:sz w:val="32"/>
          <w:szCs w:val="40"/>
          <w:lang w:val="en-US"/>
        </w:rPr>
      </w:pPr>
    </w:p>
    <w:p w14:paraId="0A792876">
      <w:pPr>
        <w:pStyle w:val="2"/>
        <w:rPr>
          <w:color w:val="auto"/>
          <w:lang w:val="en-US"/>
        </w:rPr>
      </w:pPr>
    </w:p>
    <w:p w14:paraId="7C39A67C">
      <w:pPr>
        <w:pStyle w:val="2"/>
        <w:rPr>
          <w:color w:val="auto"/>
        </w:rPr>
      </w:pPr>
    </w:p>
    <w:p w14:paraId="06D37BC6">
      <w:pPr>
        <w:ind w:firstLine="560" w:firstLineChars="200"/>
        <w:rPr>
          <w:color w:val="auto"/>
          <w:sz w:val="28"/>
          <w:szCs w:val="28"/>
          <w:lang w:val="en-US"/>
        </w:rPr>
      </w:pPr>
      <w:r>
        <w:rPr>
          <w:color w:val="auto"/>
          <w:sz w:val="28"/>
          <w:szCs w:val="28"/>
          <w:lang w:val="en-US"/>
        </w:rPr>
        <w:t>本公司（联合体）郑重声明，根据《政府采购促进中小</w:t>
      </w:r>
      <w:r>
        <w:rPr>
          <w:rFonts w:hint="eastAsia"/>
          <w:color w:val="auto"/>
          <w:sz w:val="28"/>
          <w:szCs w:val="28"/>
          <w:lang w:val="en-US"/>
        </w:rPr>
        <w:t xml:space="preserve">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14:paraId="7D57EF0F">
      <w:pPr>
        <w:ind w:firstLine="560" w:firstLineChars="200"/>
        <w:rPr>
          <w:color w:val="auto"/>
          <w:sz w:val="28"/>
          <w:szCs w:val="28"/>
          <w:u w:val="single"/>
          <w:lang w:val="en-US"/>
        </w:rPr>
      </w:pPr>
      <w:r>
        <w:rPr>
          <w:rFonts w:hint="eastAsia"/>
          <w:color w:val="auto"/>
          <w:sz w:val="28"/>
          <w:szCs w:val="28"/>
          <w:lang w:val="en-US"/>
        </w:rPr>
        <w:t>1.</w:t>
      </w:r>
      <w:r>
        <w:rPr>
          <w:rFonts w:hint="eastAsia"/>
          <w:color w:val="auto"/>
          <w:sz w:val="28"/>
          <w:szCs w:val="28"/>
          <w:u w:val="single"/>
          <w:lang w:val="en-US"/>
        </w:rPr>
        <w:t xml:space="preserve"> （标的名称）</w:t>
      </w:r>
      <w:r>
        <w:rPr>
          <w:rFonts w:hint="eastAsia"/>
          <w:color w:val="auto"/>
          <w:sz w:val="28"/>
          <w:szCs w:val="28"/>
          <w:lang w:val="en-US"/>
        </w:rPr>
        <w:t xml:space="preserve"> ，属于</w:t>
      </w:r>
      <w:r>
        <w:rPr>
          <w:rFonts w:hint="eastAsia"/>
          <w:color w:val="auto"/>
          <w:sz w:val="28"/>
          <w:szCs w:val="28"/>
          <w:u w:val="single"/>
          <w:lang w:val="en-US"/>
        </w:rPr>
        <w:t xml:space="preserve">（采购文件中明确的所属行业） </w:t>
      </w:r>
      <w:r>
        <w:rPr>
          <w:rFonts w:hint="eastAsia"/>
          <w:color w:val="auto"/>
          <w:sz w:val="28"/>
          <w:szCs w:val="28"/>
          <w:lang w:val="en-US"/>
        </w:rPr>
        <w:t>行业；制造商为</w:t>
      </w:r>
      <w:r>
        <w:rPr>
          <w:rFonts w:hint="eastAsia"/>
          <w:color w:val="auto"/>
          <w:sz w:val="28"/>
          <w:szCs w:val="28"/>
          <w:u w:val="single"/>
          <w:lang w:val="en-US"/>
        </w:rPr>
        <w:t>（企业名称）</w:t>
      </w:r>
      <w:r>
        <w:rPr>
          <w:rFonts w:hint="eastAsia"/>
          <w:color w:val="auto"/>
          <w:sz w:val="28"/>
          <w:szCs w:val="28"/>
          <w:lang w:val="en-US"/>
        </w:rPr>
        <w:t>，从业人员</w:t>
      </w:r>
      <w:r>
        <w:rPr>
          <w:rFonts w:hint="eastAsia"/>
          <w:color w:val="auto"/>
          <w:sz w:val="28"/>
          <w:szCs w:val="28"/>
          <w:u w:val="single"/>
          <w:lang w:val="en-US"/>
        </w:rPr>
        <w:t xml:space="preserve">    </w:t>
      </w:r>
      <w:r>
        <w:rPr>
          <w:rFonts w:hint="eastAsia"/>
          <w:color w:val="auto"/>
          <w:sz w:val="28"/>
          <w:szCs w:val="28"/>
          <w:lang w:val="en-US"/>
        </w:rPr>
        <w:t>人，营业收入为</w:t>
      </w:r>
      <w:r>
        <w:rPr>
          <w:rFonts w:hint="eastAsia"/>
          <w:color w:val="auto"/>
          <w:sz w:val="28"/>
          <w:szCs w:val="28"/>
          <w:u w:val="single"/>
          <w:lang w:val="en-US"/>
        </w:rPr>
        <w:t xml:space="preserve">   </w:t>
      </w:r>
      <w:r>
        <w:rPr>
          <w:rFonts w:hint="eastAsia"/>
          <w:color w:val="auto"/>
          <w:sz w:val="28"/>
          <w:szCs w:val="28"/>
          <w:lang w:val="en-US"/>
        </w:rPr>
        <w:t>万元，资产总额为</w:t>
      </w:r>
      <w:r>
        <w:rPr>
          <w:rFonts w:hint="eastAsia"/>
          <w:color w:val="auto"/>
          <w:sz w:val="28"/>
          <w:szCs w:val="28"/>
          <w:u w:val="single"/>
          <w:lang w:val="en-US"/>
        </w:rPr>
        <w:t xml:space="preserve">   </w:t>
      </w:r>
      <w:r>
        <w:rPr>
          <w:rFonts w:hint="eastAsia"/>
          <w:color w:val="auto"/>
          <w:sz w:val="28"/>
          <w:szCs w:val="28"/>
          <w:lang w:val="en-US"/>
        </w:rPr>
        <w:t>万元，属于</w:t>
      </w:r>
      <w:r>
        <w:rPr>
          <w:rFonts w:hint="eastAsia"/>
          <w:color w:val="auto"/>
          <w:sz w:val="28"/>
          <w:szCs w:val="28"/>
          <w:u w:val="single"/>
          <w:lang w:val="en-US"/>
        </w:rPr>
        <w:t xml:space="preserve">（中型企业、小型企业、微型企业）； </w:t>
      </w:r>
    </w:p>
    <w:p w14:paraId="7C445286">
      <w:pPr>
        <w:ind w:firstLine="560" w:firstLineChars="200"/>
        <w:rPr>
          <w:color w:val="auto"/>
          <w:sz w:val="28"/>
          <w:szCs w:val="28"/>
          <w:u w:val="single"/>
          <w:lang w:val="en-US"/>
        </w:rPr>
      </w:pPr>
      <w:r>
        <w:rPr>
          <w:rFonts w:hint="eastAsia"/>
          <w:color w:val="auto"/>
          <w:sz w:val="28"/>
          <w:szCs w:val="28"/>
          <w:lang w:val="en-US"/>
        </w:rPr>
        <w:t>2.</w:t>
      </w:r>
      <w:r>
        <w:rPr>
          <w:rFonts w:hint="eastAsia"/>
          <w:color w:val="auto"/>
          <w:sz w:val="28"/>
          <w:szCs w:val="28"/>
          <w:u w:val="single"/>
          <w:lang w:val="en-US"/>
        </w:rPr>
        <w:t xml:space="preserve"> （标的名称）</w:t>
      </w:r>
      <w:r>
        <w:rPr>
          <w:rFonts w:hint="eastAsia"/>
          <w:color w:val="auto"/>
          <w:sz w:val="28"/>
          <w:szCs w:val="28"/>
          <w:lang w:val="en-US"/>
        </w:rPr>
        <w:t xml:space="preserve"> ，属于</w:t>
      </w:r>
      <w:r>
        <w:rPr>
          <w:rFonts w:hint="eastAsia"/>
          <w:color w:val="auto"/>
          <w:sz w:val="28"/>
          <w:szCs w:val="28"/>
          <w:u w:val="single"/>
          <w:lang w:val="en-US"/>
        </w:rPr>
        <w:t xml:space="preserve">（采购文件中明确的所属行业） </w:t>
      </w:r>
      <w:r>
        <w:rPr>
          <w:rFonts w:hint="eastAsia"/>
          <w:color w:val="auto"/>
          <w:sz w:val="28"/>
          <w:szCs w:val="28"/>
          <w:lang w:val="en-US"/>
        </w:rPr>
        <w:t>行业；制造商为</w:t>
      </w:r>
      <w:r>
        <w:rPr>
          <w:rFonts w:hint="eastAsia"/>
          <w:color w:val="auto"/>
          <w:sz w:val="28"/>
          <w:szCs w:val="28"/>
          <w:u w:val="single"/>
          <w:lang w:val="en-US"/>
        </w:rPr>
        <w:t>（企业名称）</w:t>
      </w:r>
      <w:r>
        <w:rPr>
          <w:rFonts w:hint="eastAsia"/>
          <w:color w:val="auto"/>
          <w:sz w:val="28"/>
          <w:szCs w:val="28"/>
          <w:lang w:val="en-US"/>
        </w:rPr>
        <w:t>，从业人员</w:t>
      </w:r>
      <w:r>
        <w:rPr>
          <w:rFonts w:hint="eastAsia"/>
          <w:color w:val="auto"/>
          <w:sz w:val="28"/>
          <w:szCs w:val="28"/>
          <w:u w:val="single"/>
          <w:lang w:val="en-US"/>
        </w:rPr>
        <w:t xml:space="preserve">    </w:t>
      </w:r>
      <w:r>
        <w:rPr>
          <w:rFonts w:hint="eastAsia"/>
          <w:color w:val="auto"/>
          <w:sz w:val="28"/>
          <w:szCs w:val="28"/>
          <w:lang w:val="en-US"/>
        </w:rPr>
        <w:t>人，营业收入为</w:t>
      </w:r>
      <w:r>
        <w:rPr>
          <w:rFonts w:hint="eastAsia"/>
          <w:color w:val="auto"/>
          <w:sz w:val="28"/>
          <w:szCs w:val="28"/>
          <w:u w:val="single"/>
          <w:lang w:val="en-US"/>
        </w:rPr>
        <w:t xml:space="preserve">   </w:t>
      </w:r>
      <w:r>
        <w:rPr>
          <w:rFonts w:hint="eastAsia"/>
          <w:color w:val="auto"/>
          <w:sz w:val="28"/>
          <w:szCs w:val="28"/>
          <w:lang w:val="en-US"/>
        </w:rPr>
        <w:t>万元，资产总额为</w:t>
      </w:r>
      <w:r>
        <w:rPr>
          <w:rFonts w:hint="eastAsia"/>
          <w:color w:val="auto"/>
          <w:sz w:val="28"/>
          <w:szCs w:val="28"/>
          <w:u w:val="single"/>
          <w:lang w:val="en-US"/>
        </w:rPr>
        <w:t xml:space="preserve">   </w:t>
      </w:r>
      <w:r>
        <w:rPr>
          <w:rFonts w:hint="eastAsia"/>
          <w:color w:val="auto"/>
          <w:sz w:val="28"/>
          <w:szCs w:val="28"/>
          <w:lang w:val="en-US"/>
        </w:rPr>
        <w:t>万元，属于</w:t>
      </w:r>
      <w:r>
        <w:rPr>
          <w:rFonts w:hint="eastAsia"/>
          <w:color w:val="auto"/>
          <w:sz w:val="28"/>
          <w:szCs w:val="28"/>
          <w:u w:val="single"/>
          <w:lang w:val="en-US"/>
        </w:rPr>
        <w:t xml:space="preserve">（中型企业、小型企业、微型企业）； </w:t>
      </w:r>
    </w:p>
    <w:p w14:paraId="09E996C8">
      <w:pPr>
        <w:rPr>
          <w:color w:val="auto"/>
          <w:sz w:val="28"/>
          <w:szCs w:val="28"/>
          <w:lang w:val="en-US"/>
        </w:rPr>
      </w:pPr>
      <w:r>
        <w:rPr>
          <w:rFonts w:hint="eastAsia"/>
          <w:color w:val="auto"/>
          <w:sz w:val="28"/>
          <w:szCs w:val="28"/>
          <w:lang w:val="en-US"/>
        </w:rPr>
        <w:t>……</w:t>
      </w:r>
    </w:p>
    <w:p w14:paraId="719A72A7">
      <w:pPr>
        <w:ind w:firstLine="560" w:firstLineChars="200"/>
        <w:rPr>
          <w:color w:val="auto"/>
          <w:sz w:val="28"/>
          <w:szCs w:val="28"/>
          <w:lang w:val="en-US"/>
        </w:rPr>
      </w:pPr>
      <w:r>
        <w:rPr>
          <w:rFonts w:hint="eastAsia"/>
          <w:color w:val="auto"/>
          <w:sz w:val="28"/>
          <w:szCs w:val="28"/>
          <w:lang w:val="en-US"/>
        </w:rPr>
        <w:t xml:space="preserve">以上企业，不属于大企业的分支机构，不存在控股股东为大企业的情形，也不存在与大企业的负责人为同一人的情 </w:t>
      </w:r>
    </w:p>
    <w:p w14:paraId="765D019E">
      <w:pPr>
        <w:rPr>
          <w:color w:val="auto"/>
          <w:sz w:val="28"/>
          <w:szCs w:val="28"/>
          <w:lang w:val="en-US"/>
        </w:rPr>
      </w:pPr>
      <w:r>
        <w:rPr>
          <w:rFonts w:hint="eastAsia"/>
          <w:color w:val="auto"/>
          <w:sz w:val="28"/>
          <w:szCs w:val="28"/>
          <w:lang w:val="en-US"/>
        </w:rPr>
        <w:t>形。</w:t>
      </w:r>
    </w:p>
    <w:p w14:paraId="0967607C">
      <w:pPr>
        <w:ind w:firstLine="560" w:firstLineChars="200"/>
        <w:rPr>
          <w:color w:val="auto"/>
          <w:sz w:val="28"/>
          <w:szCs w:val="28"/>
          <w:lang w:val="en-US"/>
        </w:rPr>
      </w:pPr>
      <w:r>
        <w:rPr>
          <w:rFonts w:hint="eastAsia"/>
          <w:color w:val="auto"/>
          <w:sz w:val="28"/>
          <w:szCs w:val="28"/>
          <w:lang w:val="en-US"/>
        </w:rPr>
        <w:t xml:space="preserve">本企业对上述声明内容的真实性负责。如有虚假，将依法承担相应责任。 </w:t>
      </w:r>
    </w:p>
    <w:p w14:paraId="4614A297">
      <w:pPr>
        <w:pStyle w:val="2"/>
        <w:rPr>
          <w:rFonts w:cs="仿宋"/>
          <w:color w:val="auto"/>
          <w:sz w:val="28"/>
          <w:szCs w:val="28"/>
          <w:lang w:val="en-US"/>
        </w:rPr>
      </w:pPr>
    </w:p>
    <w:p w14:paraId="4C26979E">
      <w:pPr>
        <w:rPr>
          <w:color w:val="auto"/>
          <w:sz w:val="28"/>
          <w:szCs w:val="28"/>
          <w:lang w:val="en-US"/>
        </w:rPr>
      </w:pPr>
    </w:p>
    <w:p w14:paraId="086D23A3">
      <w:pPr>
        <w:pStyle w:val="2"/>
        <w:rPr>
          <w:color w:val="auto"/>
          <w:lang w:val="en-US"/>
        </w:rPr>
      </w:pPr>
    </w:p>
    <w:p w14:paraId="18501AD3">
      <w:pPr>
        <w:rPr>
          <w:color w:val="auto"/>
          <w:sz w:val="28"/>
          <w:szCs w:val="28"/>
          <w:lang w:val="en-US"/>
        </w:rPr>
      </w:pPr>
      <w:r>
        <w:rPr>
          <w:rFonts w:hint="eastAsia"/>
          <w:color w:val="auto"/>
          <w:sz w:val="28"/>
          <w:szCs w:val="28"/>
          <w:lang w:val="en-US"/>
        </w:rPr>
        <w:t xml:space="preserve">企业名称（盖章）： </w:t>
      </w:r>
    </w:p>
    <w:p w14:paraId="49390E38">
      <w:pPr>
        <w:rPr>
          <w:color w:val="auto"/>
          <w:sz w:val="28"/>
          <w:szCs w:val="28"/>
          <w:lang w:val="en-US"/>
        </w:rPr>
      </w:pPr>
      <w:r>
        <w:rPr>
          <w:rFonts w:hint="eastAsia"/>
          <w:color w:val="auto"/>
          <w:sz w:val="28"/>
          <w:szCs w:val="28"/>
          <w:lang w:val="en-US"/>
        </w:rPr>
        <w:t>日 期</w:t>
      </w:r>
    </w:p>
    <w:p w14:paraId="219C0F73">
      <w:pPr>
        <w:rPr>
          <w:rFonts w:ascii="宋体" w:hAnsi="宋体" w:eastAsia="宋体" w:cs="宋体"/>
          <w:color w:val="auto"/>
          <w:kern w:val="2"/>
          <w:sz w:val="21"/>
          <w:szCs w:val="21"/>
          <w:lang w:val="en-US" w:bidi="ar-SA"/>
        </w:rPr>
      </w:pPr>
    </w:p>
    <w:p w14:paraId="291F81E8">
      <w:pPr>
        <w:pStyle w:val="2"/>
        <w:rPr>
          <w:rFonts w:ascii="宋体" w:hAnsi="宋体" w:eastAsia="宋体" w:cs="宋体"/>
          <w:i w:val="0"/>
          <w:iCs w:val="0"/>
          <w:color w:val="auto"/>
          <w:kern w:val="2"/>
          <w:sz w:val="21"/>
          <w:szCs w:val="21"/>
          <w:lang w:val="en-US" w:bidi="ar-SA"/>
        </w:rPr>
      </w:pPr>
    </w:p>
    <w:p w14:paraId="6F63A09A">
      <w:pPr>
        <w:rPr>
          <w:rFonts w:ascii="宋体" w:hAnsi="宋体" w:eastAsia="宋体" w:cs="宋体"/>
          <w:color w:val="auto"/>
          <w:kern w:val="2"/>
          <w:sz w:val="21"/>
          <w:szCs w:val="21"/>
          <w:lang w:val="en-US" w:bidi="ar-SA"/>
        </w:rPr>
      </w:pPr>
    </w:p>
    <w:p w14:paraId="5A664DEF">
      <w:pPr>
        <w:pStyle w:val="2"/>
        <w:rPr>
          <w:rFonts w:ascii="宋体" w:hAnsi="宋体" w:eastAsia="宋体" w:cs="宋体"/>
          <w:i w:val="0"/>
          <w:iCs w:val="0"/>
          <w:color w:val="auto"/>
          <w:kern w:val="2"/>
          <w:sz w:val="21"/>
          <w:szCs w:val="21"/>
          <w:lang w:val="en-US" w:bidi="ar-SA"/>
        </w:rPr>
      </w:pPr>
    </w:p>
    <w:p w14:paraId="680CABA6">
      <w:pPr>
        <w:rPr>
          <w:rFonts w:ascii="宋体" w:hAnsi="宋体" w:eastAsia="宋体" w:cs="宋体"/>
          <w:color w:val="auto"/>
          <w:kern w:val="2"/>
          <w:sz w:val="21"/>
          <w:szCs w:val="21"/>
          <w:lang w:val="en-US" w:bidi="ar-SA"/>
        </w:rPr>
      </w:pPr>
    </w:p>
    <w:p w14:paraId="79C67157">
      <w:pPr>
        <w:pStyle w:val="2"/>
        <w:rPr>
          <w:rFonts w:ascii="宋体" w:hAnsi="宋体" w:eastAsia="宋体" w:cs="宋体"/>
          <w:i w:val="0"/>
          <w:iCs w:val="0"/>
          <w:color w:val="auto"/>
          <w:kern w:val="2"/>
          <w:sz w:val="21"/>
          <w:szCs w:val="21"/>
          <w:lang w:val="en-US" w:bidi="ar-SA"/>
        </w:rPr>
      </w:pPr>
    </w:p>
    <w:p w14:paraId="0D768044">
      <w:pPr>
        <w:rPr>
          <w:rFonts w:ascii="宋体" w:hAnsi="宋体" w:eastAsia="宋体" w:cs="宋体"/>
          <w:color w:val="auto"/>
          <w:kern w:val="2"/>
          <w:sz w:val="21"/>
          <w:szCs w:val="21"/>
          <w:lang w:val="en-US" w:bidi="ar-SA"/>
        </w:rPr>
      </w:pPr>
    </w:p>
    <w:p w14:paraId="0B08D041">
      <w:pPr>
        <w:pStyle w:val="2"/>
        <w:rPr>
          <w:rFonts w:ascii="宋体" w:hAnsi="宋体" w:eastAsia="宋体" w:cs="宋体"/>
          <w:i w:val="0"/>
          <w:iCs w:val="0"/>
          <w:color w:val="auto"/>
          <w:kern w:val="2"/>
          <w:sz w:val="21"/>
          <w:szCs w:val="21"/>
          <w:lang w:val="en-US" w:bidi="ar-SA"/>
        </w:rPr>
      </w:pPr>
    </w:p>
    <w:p w14:paraId="03545079">
      <w:pPr>
        <w:rPr>
          <w:rFonts w:ascii="宋体" w:hAnsi="宋体" w:eastAsia="宋体" w:cs="宋体"/>
          <w:color w:val="auto"/>
          <w:kern w:val="2"/>
          <w:sz w:val="21"/>
          <w:szCs w:val="21"/>
          <w:lang w:val="en-US" w:bidi="ar-SA"/>
        </w:rPr>
      </w:pPr>
    </w:p>
    <w:p w14:paraId="62F5A91E">
      <w:pPr>
        <w:widowControl/>
        <w:rPr>
          <w:rFonts w:ascii="宋体" w:hAnsi="宋体" w:eastAsia="宋体" w:cs="宋体"/>
          <w:color w:val="auto"/>
          <w:sz w:val="18"/>
          <w:szCs w:val="18"/>
          <w:lang w:val="en-US"/>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18"/>
          <w:szCs w:val="18"/>
          <w:lang w:val="en-US"/>
        </w:rPr>
        <w:t>注：从业人员、营业收入、资产总额填报上一年度数据，无上一年度数据的新成立企业可不填报。</w:t>
      </w:r>
    </w:p>
    <w:p w14:paraId="57DA484C">
      <w:pPr>
        <w:widowControl/>
        <w:spacing w:line="360" w:lineRule="auto"/>
        <w:jc w:val="center"/>
        <w:rPr>
          <w:rFonts w:hint="eastAsia" w:cs="宋体" w:asciiTheme="minorEastAsia" w:hAnsiTheme="minorEastAsia" w:eastAsiaTheme="minorEastAsia"/>
          <w:b/>
          <w:bCs/>
          <w:color w:val="auto"/>
          <w:sz w:val="36"/>
          <w:szCs w:val="44"/>
          <w:lang w:val="en-US"/>
        </w:rPr>
      </w:pPr>
      <w:bookmarkStart w:id="638" w:name="OLE_LINK14"/>
      <w:bookmarkStart w:id="639" w:name="OLE_LINK13"/>
      <w:r>
        <w:rPr>
          <w:rFonts w:hint="eastAsia" w:cs="宋体" w:asciiTheme="minorEastAsia" w:hAnsiTheme="minorEastAsia" w:eastAsiaTheme="minorEastAsia"/>
          <w:b/>
          <w:bCs/>
          <w:color w:val="auto"/>
          <w:sz w:val="36"/>
          <w:szCs w:val="44"/>
        </w:rPr>
        <w:t>4-</w:t>
      </w:r>
      <w:r>
        <w:rPr>
          <w:rFonts w:hint="eastAsia" w:cs="宋体" w:asciiTheme="minorEastAsia" w:hAnsiTheme="minorEastAsia" w:eastAsiaTheme="minorEastAsia"/>
          <w:b/>
          <w:bCs/>
          <w:color w:val="auto"/>
          <w:sz w:val="36"/>
          <w:szCs w:val="44"/>
          <w:lang w:val="en-US"/>
        </w:rPr>
        <w:t>3  残疾人福利性单位声明函（如有）</w:t>
      </w:r>
    </w:p>
    <w:p w14:paraId="319A4BEE">
      <w:pPr>
        <w:pStyle w:val="2"/>
        <w:jc w:val="center"/>
        <w:rPr>
          <w:rFonts w:hint="eastAsia" w:cs="宋体" w:asciiTheme="minorEastAsia" w:hAnsiTheme="minorEastAsia" w:eastAsiaTheme="minorEastAsia"/>
          <w:b/>
          <w:bCs/>
          <w:i w:val="0"/>
          <w:iCs w:val="0"/>
          <w:color w:val="auto"/>
          <w:sz w:val="32"/>
          <w:szCs w:val="40"/>
          <w:lang w:val="en-US" w:eastAsia="zh-CN" w:bidi="zh-CN"/>
        </w:rPr>
      </w:pPr>
      <w:r>
        <w:rPr>
          <w:rFonts w:hint="eastAsia" w:cs="宋体" w:asciiTheme="minorEastAsia" w:hAnsiTheme="minorEastAsia" w:eastAsiaTheme="minorEastAsia"/>
          <w:b/>
          <w:bCs/>
          <w:i w:val="0"/>
          <w:iCs w:val="0"/>
          <w:color w:val="auto"/>
          <w:sz w:val="32"/>
          <w:szCs w:val="40"/>
          <w:lang w:val="en-US" w:eastAsia="zh-CN" w:bidi="zh-CN"/>
        </w:rPr>
        <w:t>（响应文件格式九）</w:t>
      </w:r>
    </w:p>
    <w:bookmarkEnd w:id="638"/>
    <w:bookmarkEnd w:id="639"/>
    <w:p w14:paraId="21B96E89">
      <w:pPr>
        <w:widowControl/>
        <w:autoSpaceDE/>
        <w:autoSpaceDN/>
        <w:spacing w:line="360" w:lineRule="auto"/>
        <w:ind w:firstLine="420" w:firstLineChars="200"/>
        <w:jc w:val="both"/>
        <w:rPr>
          <w:rFonts w:hint="eastAsia" w:ascii="宋体" w:hAnsi="宋体" w:eastAsia="宋体" w:cs="宋体"/>
          <w:color w:val="auto"/>
          <w:kern w:val="2"/>
          <w:sz w:val="21"/>
          <w:szCs w:val="21"/>
          <w:lang w:val="en-US" w:bidi="ar-SA"/>
        </w:rPr>
      </w:pPr>
    </w:p>
    <w:p w14:paraId="36D78E88">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kern w:val="2"/>
          <w:sz w:val="21"/>
          <w:szCs w:val="21"/>
          <w:u w:val="single"/>
          <w:lang w:val="en-US" w:bidi="ar-SA"/>
        </w:rPr>
        <w:t xml:space="preserve">                     </w:t>
      </w:r>
      <w:r>
        <w:rPr>
          <w:rFonts w:hint="eastAsia" w:ascii="宋体" w:hAnsi="宋体" w:eastAsia="宋体" w:cs="宋体"/>
          <w:color w:val="auto"/>
          <w:kern w:val="2"/>
          <w:sz w:val="21"/>
          <w:szCs w:val="21"/>
          <w:lang w:val="en-US" w:bidi="ar-SA"/>
        </w:rPr>
        <w:t>单位的</w:t>
      </w:r>
      <w:r>
        <w:rPr>
          <w:rFonts w:hint="eastAsia" w:ascii="宋体" w:hAnsi="宋体" w:eastAsia="宋体" w:cs="宋体"/>
          <w:color w:val="auto"/>
          <w:kern w:val="2"/>
          <w:sz w:val="21"/>
          <w:szCs w:val="21"/>
          <w:u w:val="single"/>
          <w:lang w:val="en-US" w:bidi="ar-SA"/>
        </w:rPr>
        <w:t xml:space="preserve">                      </w:t>
      </w:r>
      <w:r>
        <w:rPr>
          <w:rFonts w:hint="eastAsia" w:ascii="宋体" w:hAnsi="宋体" w:eastAsia="宋体" w:cs="宋体"/>
          <w:color w:val="auto"/>
          <w:kern w:val="2"/>
          <w:sz w:val="21"/>
          <w:szCs w:val="21"/>
          <w:lang w:val="en-US" w:bidi="ar-SA"/>
        </w:rPr>
        <w:t>（项目名称、项目编号、标段）采购活动提供本单位制造的货物（由本单位承担工程/提供服务），或者提供其他残疾人福利性单位制造的货物（不包括使用非残疾人福利性单位注册商标的货物）。</w:t>
      </w:r>
    </w:p>
    <w:p w14:paraId="226636FD">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本单位对上述声明的真实性负责。如有虚假，将依法承担相应责任。</w:t>
      </w:r>
    </w:p>
    <w:p w14:paraId="0223773E">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p>
    <w:p w14:paraId="55D7F2DA">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p>
    <w:p w14:paraId="19374A15">
      <w:pPr>
        <w:pStyle w:val="2"/>
        <w:rPr>
          <w:rFonts w:ascii="宋体" w:hAnsi="宋体" w:eastAsia="宋体" w:cs="宋体"/>
          <w:color w:val="auto"/>
          <w:kern w:val="2"/>
          <w:sz w:val="21"/>
          <w:szCs w:val="21"/>
          <w:lang w:val="en-US" w:bidi="ar-SA"/>
        </w:rPr>
      </w:pPr>
    </w:p>
    <w:p w14:paraId="7F80040B">
      <w:pPr>
        <w:rPr>
          <w:rFonts w:ascii="宋体" w:hAnsi="宋体" w:eastAsia="宋体" w:cs="宋体"/>
          <w:color w:val="auto"/>
          <w:kern w:val="2"/>
          <w:sz w:val="21"/>
          <w:szCs w:val="21"/>
          <w:lang w:val="en-US" w:bidi="ar-SA"/>
        </w:rPr>
      </w:pPr>
    </w:p>
    <w:p w14:paraId="3832B9FF">
      <w:pPr>
        <w:pStyle w:val="2"/>
        <w:rPr>
          <w:color w:val="auto"/>
          <w:lang w:val="en-US"/>
        </w:rPr>
      </w:pPr>
    </w:p>
    <w:p w14:paraId="2EAC3868">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 xml:space="preserve">                        单位名称（盖章）：</w:t>
      </w:r>
    </w:p>
    <w:p w14:paraId="2B3C9A17">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 xml:space="preserve">                         日  期：</w:t>
      </w:r>
    </w:p>
    <w:p w14:paraId="3A80CCEE">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p>
    <w:p w14:paraId="7D4E5D32">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p>
    <w:p w14:paraId="06098976">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p>
    <w:p w14:paraId="1A8ABAFB">
      <w:pPr>
        <w:rPr>
          <w:rFonts w:hint="eastAsia"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备注：中标供应商为残疾人福利单位的，此声明函将随中标结果同时公告，接受社会监督。</w:t>
      </w:r>
    </w:p>
    <w:p w14:paraId="2094AF61">
      <w:pPr>
        <w:widowControl/>
        <w:jc w:val="center"/>
        <w:rPr>
          <w:rFonts w:hint="eastAsia" w:cs="宋体" w:asciiTheme="minorEastAsia" w:hAnsiTheme="minorEastAsia" w:eastAsiaTheme="minorEastAsia"/>
          <w:b/>
          <w:bCs/>
          <w:color w:val="auto"/>
          <w:sz w:val="36"/>
          <w:szCs w:val="44"/>
          <w:lang w:val="en-US"/>
        </w:rPr>
      </w:pPr>
    </w:p>
    <w:p w14:paraId="54FE7DAD">
      <w:pPr>
        <w:widowControl/>
        <w:jc w:val="center"/>
        <w:rPr>
          <w:rFonts w:hint="eastAsia" w:cs="宋体" w:asciiTheme="minorEastAsia" w:hAnsiTheme="minorEastAsia" w:eastAsiaTheme="minorEastAsia"/>
          <w:b/>
          <w:bCs/>
          <w:color w:val="auto"/>
          <w:sz w:val="36"/>
          <w:szCs w:val="44"/>
          <w:lang w:val="en-US"/>
        </w:rPr>
      </w:pPr>
    </w:p>
    <w:p w14:paraId="7A3956EB">
      <w:pPr>
        <w:widowControl/>
        <w:jc w:val="center"/>
        <w:rPr>
          <w:rFonts w:hint="eastAsia" w:cs="宋体" w:asciiTheme="minorEastAsia" w:hAnsiTheme="minorEastAsia" w:eastAsiaTheme="minorEastAsia"/>
          <w:b/>
          <w:bCs/>
          <w:color w:val="auto"/>
          <w:sz w:val="36"/>
          <w:szCs w:val="44"/>
          <w:lang w:val="en-US"/>
        </w:rPr>
      </w:pPr>
    </w:p>
    <w:p w14:paraId="1A32BACD">
      <w:pPr>
        <w:widowControl/>
        <w:jc w:val="center"/>
        <w:rPr>
          <w:rFonts w:cs="宋体" w:asciiTheme="minorEastAsia" w:hAnsiTheme="minorEastAsia" w:eastAsiaTheme="minorEastAsia"/>
          <w:b/>
          <w:bCs/>
          <w:color w:val="auto"/>
          <w:sz w:val="36"/>
          <w:szCs w:val="44"/>
          <w:lang w:val="en-US"/>
        </w:rPr>
      </w:pPr>
      <w:r>
        <w:rPr>
          <w:rFonts w:hint="eastAsia" w:cs="宋体" w:asciiTheme="minorEastAsia" w:hAnsiTheme="minorEastAsia" w:eastAsiaTheme="minorEastAsia"/>
          <w:b/>
          <w:bCs/>
          <w:color w:val="auto"/>
          <w:sz w:val="36"/>
          <w:szCs w:val="44"/>
          <w:lang w:val="en-US"/>
        </w:rPr>
        <w:t>监狱企业声明函（如有）</w:t>
      </w:r>
    </w:p>
    <w:p w14:paraId="7DBB2047">
      <w:pPr>
        <w:widowControl/>
        <w:jc w:val="center"/>
        <w:rPr>
          <w:rFonts w:ascii="宋体" w:hAnsi="宋体" w:eastAsia="宋体" w:cs="Times New Roman"/>
          <w:bCs/>
          <w:color w:val="auto"/>
          <w:sz w:val="28"/>
          <w:szCs w:val="28"/>
          <w:lang w:val="en-US"/>
        </w:rPr>
      </w:pPr>
      <w:r>
        <w:rPr>
          <w:rFonts w:hint="eastAsia" w:ascii="宋体" w:hAnsi="宋体" w:eastAsia="宋体" w:cs="Times New Roman"/>
          <w:bCs/>
          <w:color w:val="auto"/>
          <w:sz w:val="28"/>
          <w:szCs w:val="28"/>
          <w:lang w:val="en-US"/>
        </w:rPr>
        <w:t>（监狱企业适用）</w:t>
      </w:r>
    </w:p>
    <w:p w14:paraId="6B51A1B3">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本公司郑重声明，根据《关于政府采购支持监狱企业发展有关问题的通知》（财库[2014]68号）的规定，本公司为监狱企业。</w:t>
      </w:r>
    </w:p>
    <w:p w14:paraId="2C8BE731">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本公司参加______单位的______项目采购活动，采购活动提供本企业（填写制造的货物，由本企业承担工程、提供服务）。</w:t>
      </w:r>
    </w:p>
    <w:p w14:paraId="7B4B390D">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本条所称货物不包括使用大型企业注册商标的货物和服务。</w:t>
      </w:r>
    </w:p>
    <w:p w14:paraId="1BBEF9C2">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本公司对上述声明的真实性负责。如有虚假，将依法承担相应责任。</w:t>
      </w:r>
    </w:p>
    <w:p w14:paraId="6481D6BA">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p>
    <w:p w14:paraId="3BF7B0BC">
      <w:pPr>
        <w:widowControl/>
        <w:autoSpaceDE/>
        <w:autoSpaceDN/>
        <w:spacing w:line="360" w:lineRule="auto"/>
        <w:ind w:firstLine="420" w:firstLineChars="200"/>
        <w:jc w:val="both"/>
        <w:rPr>
          <w:rFonts w:ascii="宋体" w:hAnsi="宋体" w:eastAsia="宋体" w:cs="宋体"/>
          <w:color w:val="auto"/>
          <w:kern w:val="2"/>
          <w:sz w:val="21"/>
          <w:szCs w:val="21"/>
          <w:lang w:val="en-US" w:bidi="ar-SA"/>
        </w:rPr>
      </w:pPr>
      <w:r>
        <w:rPr>
          <w:rFonts w:hint="eastAsia" w:ascii="宋体" w:hAnsi="宋体" w:eastAsia="宋体" w:cs="宋体"/>
          <w:color w:val="auto"/>
          <w:kern w:val="2"/>
          <w:sz w:val="21"/>
          <w:szCs w:val="21"/>
          <w:lang w:val="en-US" w:bidi="ar-SA"/>
        </w:rPr>
        <w:t>投标人名称(公章)：____________</w:t>
      </w:r>
      <w:r>
        <w:rPr>
          <w:rFonts w:hint="eastAsia" w:ascii="宋体" w:hAnsi="宋体" w:eastAsia="宋体" w:cs="宋体"/>
          <w:color w:val="auto"/>
          <w:kern w:val="2"/>
          <w:sz w:val="21"/>
          <w:szCs w:val="21"/>
          <w:lang w:val="en-US" w:bidi="ar-SA"/>
        </w:rPr>
        <w:tab/>
      </w:r>
      <w:r>
        <w:rPr>
          <w:rFonts w:hint="eastAsia" w:ascii="宋体" w:hAnsi="宋体" w:eastAsia="宋体" w:cs="宋体"/>
          <w:color w:val="auto"/>
          <w:kern w:val="2"/>
          <w:sz w:val="21"/>
          <w:szCs w:val="21"/>
          <w:lang w:val="en-US" w:bidi="ar-SA"/>
        </w:rPr>
        <w:tab/>
      </w:r>
    </w:p>
    <w:p w14:paraId="54968904">
      <w:pPr>
        <w:pStyle w:val="2"/>
        <w:rPr>
          <w:rFonts w:hint="eastAsia"/>
          <w:color w:val="auto"/>
          <w:lang w:val="en-US"/>
        </w:rPr>
      </w:pPr>
      <w:r>
        <w:rPr>
          <w:rFonts w:hint="eastAsia" w:ascii="宋体" w:hAnsi="宋体" w:eastAsia="宋体" w:cs="宋体"/>
          <w:color w:val="auto"/>
          <w:kern w:val="2"/>
          <w:sz w:val="21"/>
          <w:szCs w:val="21"/>
          <w:lang w:val="en-US" w:bidi="ar-SA"/>
        </w:rPr>
        <w:t>日期：________________________</w:t>
      </w:r>
    </w:p>
    <w:p w14:paraId="199CC2AB">
      <w:pPr>
        <w:rPr>
          <w:color w:val="auto"/>
        </w:rPr>
      </w:pPr>
      <w:r>
        <w:rPr>
          <w:color w:val="auto"/>
        </w:rPr>
        <w:br w:type="page"/>
      </w:r>
    </w:p>
    <w:p w14:paraId="7DCA278E">
      <w:pPr>
        <w:pStyle w:val="4"/>
        <w:spacing w:before="0" w:line="360" w:lineRule="exact"/>
        <w:jc w:val="both"/>
        <w:rPr>
          <w:rFonts w:cs="宋体" w:asciiTheme="minorEastAsia" w:hAnsiTheme="minorEastAsia" w:eastAsiaTheme="minorEastAsia"/>
          <w:color w:val="auto"/>
          <w:sz w:val="24"/>
        </w:rPr>
      </w:pPr>
      <w:bookmarkStart w:id="640" w:name="_Toc5258"/>
      <w:bookmarkStart w:id="641" w:name="_Toc14172"/>
      <w:bookmarkStart w:id="642" w:name="_Toc29422"/>
      <w:bookmarkStart w:id="643" w:name="_Toc12633"/>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 xml:space="preserve">   供应商关联单位的说明</w:t>
      </w:r>
      <w:bookmarkEnd w:id="640"/>
      <w:bookmarkEnd w:id="641"/>
      <w:bookmarkEnd w:id="642"/>
      <w:bookmarkEnd w:id="643"/>
    </w:p>
    <w:p w14:paraId="0166ED35">
      <w:pPr>
        <w:pStyle w:val="7"/>
        <w:spacing w:line="360" w:lineRule="exact"/>
        <w:ind w:firstLine="440"/>
        <w:jc w:val="center"/>
        <w:rPr>
          <w:rFonts w:cs="宋体" w:asciiTheme="minorEastAsia" w:hAnsiTheme="minorEastAsia" w:eastAsiaTheme="minorEastAsia"/>
          <w:color w:val="auto"/>
        </w:rPr>
      </w:pPr>
    </w:p>
    <w:p w14:paraId="748F1AC2">
      <w:pPr>
        <w:pStyle w:val="7"/>
        <w:spacing w:line="360" w:lineRule="exact"/>
        <w:ind w:firstLine="440"/>
        <w:rPr>
          <w:rFonts w:cs="宋体" w:asciiTheme="minorEastAsia" w:hAnsiTheme="minorEastAsia" w:eastAsiaTheme="minorEastAsia"/>
          <w:color w:val="auto"/>
        </w:rPr>
      </w:pPr>
      <w:r>
        <w:rPr>
          <w:rFonts w:hint="eastAsia" w:cs="宋体" w:asciiTheme="minorEastAsia" w:hAnsiTheme="minorEastAsia" w:eastAsiaTheme="minorEastAsia"/>
          <w:color w:val="auto"/>
        </w:rPr>
        <w:t>说明：供应商应当如实披露与本单位存在下列关联关系的单位名称：</w:t>
      </w:r>
    </w:p>
    <w:p w14:paraId="5258AB03">
      <w:pPr>
        <w:pStyle w:val="7"/>
        <w:spacing w:line="360" w:lineRule="exact"/>
        <w:ind w:firstLine="440"/>
        <w:rPr>
          <w:rFonts w:cs="宋体" w:asciiTheme="minorEastAsia" w:hAnsiTheme="minorEastAsia" w:eastAsiaTheme="minorEastAsia"/>
          <w:color w:val="auto"/>
        </w:rPr>
      </w:pPr>
      <w:r>
        <w:rPr>
          <w:rFonts w:hint="eastAsia" w:cs="宋体" w:asciiTheme="minorEastAsia" w:hAnsiTheme="minorEastAsia" w:eastAsiaTheme="minorEastAsia"/>
          <w:color w:val="auto"/>
        </w:rPr>
        <w:t>（1）与供应商单位负责人为同一人的其他单位；</w:t>
      </w:r>
      <w:r>
        <w:rPr>
          <w:rFonts w:hint="eastAsia" w:cs="宋体" w:asciiTheme="minorEastAsia" w:hAnsiTheme="minorEastAsia" w:eastAsiaTheme="minorEastAsia"/>
          <w:color w:val="auto"/>
        </w:rPr>
        <w:br w:type="textWrapping"/>
      </w:r>
      <w:r>
        <w:rPr>
          <w:rFonts w:hint="eastAsia" w:cs="宋体" w:asciiTheme="minorEastAsia" w:hAnsiTheme="minorEastAsia" w:eastAsiaTheme="minorEastAsia"/>
          <w:color w:val="auto"/>
        </w:rPr>
        <w:t xml:space="preserve">    （2）与供应商存在直接控股、管理关系的其他单位。</w:t>
      </w:r>
    </w:p>
    <w:p w14:paraId="1C46943E">
      <w:pPr>
        <w:pStyle w:val="7"/>
        <w:spacing w:line="360" w:lineRule="exact"/>
        <w:ind w:firstLine="440"/>
        <w:rPr>
          <w:rFonts w:cs="宋体" w:asciiTheme="minorEastAsia" w:hAnsiTheme="minorEastAsia" w:eastAsiaTheme="minorEastAsia"/>
          <w:color w:val="auto"/>
        </w:rPr>
      </w:pPr>
    </w:p>
    <w:p w14:paraId="02FC4524">
      <w:pPr>
        <w:pStyle w:val="7"/>
        <w:spacing w:line="360" w:lineRule="exact"/>
        <w:ind w:firstLine="440"/>
        <w:rPr>
          <w:rFonts w:cs="宋体" w:asciiTheme="minorEastAsia" w:hAnsiTheme="minorEastAsia" w:eastAsiaTheme="minorEastAsia"/>
          <w:color w:val="auto"/>
        </w:rPr>
      </w:pPr>
    </w:p>
    <w:p w14:paraId="3D4B5014">
      <w:pPr>
        <w:pStyle w:val="7"/>
        <w:spacing w:line="360" w:lineRule="exact"/>
        <w:ind w:firstLine="440"/>
        <w:rPr>
          <w:rFonts w:cs="宋体" w:asciiTheme="minorEastAsia" w:hAnsiTheme="minorEastAsia" w:eastAsiaTheme="minorEastAsia"/>
          <w:color w:val="auto"/>
        </w:rPr>
      </w:pPr>
    </w:p>
    <w:p w14:paraId="26CC48C8">
      <w:pPr>
        <w:pStyle w:val="4"/>
        <w:spacing w:before="0" w:line="360" w:lineRule="exact"/>
        <w:jc w:val="both"/>
        <w:rPr>
          <w:rFonts w:cs="宋体" w:asciiTheme="minorEastAsia" w:hAnsiTheme="minorEastAsia" w:eastAsiaTheme="minorEastAsia"/>
          <w:color w:val="auto"/>
          <w:sz w:val="24"/>
          <w:highlight w:val="red"/>
        </w:rPr>
      </w:pPr>
      <w:bookmarkStart w:id="644" w:name="_Toc826"/>
      <w:bookmarkStart w:id="645" w:name="_Toc17333"/>
      <w:bookmarkStart w:id="646" w:name="_Toc9517"/>
      <w:bookmarkStart w:id="647" w:name="_Toc9060"/>
      <w:bookmarkStart w:id="648" w:name="_Toc7414"/>
      <w:bookmarkStart w:id="649" w:name="_Toc515647828"/>
      <w:bookmarkStart w:id="650" w:name="_Toc28910"/>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 xml:space="preserve">  响应文件还应包括供应商须知的其他技术文件</w:t>
      </w:r>
      <w:bookmarkEnd w:id="644"/>
      <w:bookmarkEnd w:id="645"/>
      <w:bookmarkEnd w:id="646"/>
      <w:bookmarkEnd w:id="647"/>
      <w:bookmarkEnd w:id="648"/>
      <w:bookmarkEnd w:id="649"/>
      <w:bookmarkEnd w:id="650"/>
    </w:p>
    <w:p w14:paraId="64F9EF72">
      <w:pPr>
        <w:rPr>
          <w:rFonts w:asciiTheme="minorEastAsia" w:hAnsiTheme="minorEastAsia" w:eastAsiaTheme="minorEastAsia"/>
          <w:color w:val="auto"/>
        </w:rPr>
      </w:pPr>
    </w:p>
    <w:p w14:paraId="430A84C7">
      <w:pPr>
        <w:pStyle w:val="17"/>
        <w:rPr>
          <w:rFonts w:asciiTheme="minorEastAsia" w:hAnsiTheme="minorEastAsia" w:eastAsiaTheme="minorEastAsia"/>
          <w:color w:val="auto"/>
        </w:rPr>
      </w:pPr>
    </w:p>
    <w:p w14:paraId="3C071A64">
      <w:pPr>
        <w:pStyle w:val="17"/>
        <w:rPr>
          <w:rFonts w:asciiTheme="minorEastAsia" w:hAnsiTheme="minorEastAsia" w:eastAsiaTheme="minorEastAsia"/>
          <w:color w:val="auto"/>
        </w:rPr>
      </w:pPr>
    </w:p>
    <w:p w14:paraId="37F4AEFF">
      <w:pPr>
        <w:rPr>
          <w:rFonts w:hint="eastAsia" w:cs="宋体" w:asciiTheme="minorEastAsia" w:hAnsiTheme="minorEastAsia" w:eastAsiaTheme="minorEastAsia"/>
          <w:b/>
          <w:bCs/>
          <w:color w:val="auto"/>
          <w:sz w:val="24"/>
          <w:szCs w:val="32"/>
          <w:lang w:val="en-US" w:eastAsia="zh-CN" w:bidi="zh-CN"/>
        </w:rPr>
      </w:pPr>
      <w:bookmarkStart w:id="651" w:name="_Toc30129"/>
      <w:bookmarkStart w:id="652" w:name="_Toc18089"/>
      <w:bookmarkStart w:id="653" w:name="_Toc27604"/>
      <w:bookmarkStart w:id="654" w:name="_Toc21672"/>
      <w:bookmarkStart w:id="655" w:name="_Toc21017"/>
      <w:bookmarkStart w:id="656" w:name="_Toc19460"/>
      <w:r>
        <w:rPr>
          <w:rFonts w:hint="eastAsia" w:cs="宋体" w:asciiTheme="minorEastAsia" w:hAnsiTheme="minorEastAsia" w:eastAsiaTheme="minorEastAsia"/>
          <w:b/>
          <w:bCs/>
          <w:color w:val="auto"/>
          <w:sz w:val="24"/>
          <w:szCs w:val="32"/>
          <w:lang w:val="en-US" w:eastAsia="zh-CN" w:bidi="zh-CN"/>
        </w:rPr>
        <w:t>7</w:t>
      </w:r>
      <w:r>
        <w:rPr>
          <w:rFonts w:hint="eastAsia" w:cs="宋体" w:asciiTheme="minorEastAsia" w:hAnsiTheme="minorEastAsia" w:eastAsiaTheme="minorEastAsia"/>
          <w:b/>
          <w:bCs/>
          <w:color w:val="auto"/>
          <w:sz w:val="24"/>
          <w:szCs w:val="32"/>
          <w:lang w:val="zh-CN" w:eastAsia="zh-CN" w:bidi="zh-CN"/>
        </w:rPr>
        <w:t xml:space="preserve"> 其他有利于磋商的技术条件</w:t>
      </w:r>
      <w:bookmarkEnd w:id="651"/>
      <w:bookmarkEnd w:id="652"/>
      <w:bookmarkEnd w:id="653"/>
      <w:bookmarkEnd w:id="654"/>
      <w:bookmarkEnd w:id="655"/>
      <w:bookmarkEnd w:id="656"/>
      <w:bookmarkStart w:id="657" w:name="_Toc30798"/>
      <w:bookmarkStart w:id="658" w:name="_Toc23729"/>
      <w:bookmarkStart w:id="659" w:name="_Toc13771"/>
      <w:bookmarkStart w:id="660" w:name="_Toc18887"/>
      <w:bookmarkStart w:id="661" w:name="_Toc28994"/>
    </w:p>
    <w:bookmarkEnd w:id="657"/>
    <w:bookmarkEnd w:id="658"/>
    <w:bookmarkEnd w:id="659"/>
    <w:bookmarkEnd w:id="660"/>
    <w:bookmarkEnd w:id="661"/>
    <w:p w14:paraId="2F989122">
      <w:pPr>
        <w:pStyle w:val="10"/>
        <w:adjustRightInd w:val="0"/>
        <w:jc w:val="both"/>
        <w:rPr>
          <w:color w:val="auto"/>
          <w:sz w:val="24"/>
          <w:szCs w:val="24"/>
        </w:rPr>
      </w:pPr>
    </w:p>
    <w:p w14:paraId="5E34BF7E">
      <w:pPr>
        <w:pStyle w:val="10"/>
        <w:adjustRightInd w:val="0"/>
        <w:jc w:val="both"/>
        <w:rPr>
          <w:color w:val="auto"/>
          <w:sz w:val="24"/>
          <w:szCs w:val="24"/>
        </w:rPr>
      </w:pPr>
    </w:p>
    <w:sectPr>
      <w:headerReference r:id="rId20" w:type="default"/>
      <w:footerReference r:id="rId21" w:type="default"/>
      <w:pgSz w:w="11910" w:h="16840"/>
      <w:pgMar w:top="1134" w:right="1134" w:bottom="1134" w:left="1134" w:header="878" w:footer="1052" w:gutter="0"/>
      <w:pgBorders>
        <w:top w:val="none" w:sz="0" w:space="0"/>
        <w:left w:val="none" w:sz="0" w:space="0"/>
        <w:bottom w:val="none" w:sz="0" w:space="0"/>
        <w:right w:val="none" w:sz="0" w:space="0"/>
      </w:pgBorders>
      <w:pgNumType w:fmt="decimal"/>
      <w:cols w:equalWidth="0" w:num="1">
        <w:col w:w="105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06D2">
    <w:pPr>
      <w:pStyle w:val="10"/>
      <w:spacing w:line="14" w:lineRule="auto"/>
      <w:rPr>
        <w:sz w:val="20"/>
      </w:rPr>
    </w:pPr>
    <w:r>
      <w:pict>
        <v:shape id="文本框 9" o:spid="_x0000_s2058" o:spt="202" type="#_x0000_t202" style="position:absolute;left:0pt;margin-left:69.9pt;margin-top:781pt;height:11pt;width:128.5pt;mso-position-horizontal-relative:page;mso-position-vertical-relative:page;z-index:-251656192;mso-width-relative:page;mso-height-relative:page;" filled="f" stroked="f" coordsize="21600,21600" o:gfxdata="UEsDBAoAAAAAAIdO4kAAAAAAAAAAAAAAAAAEAAAAZHJzL1BLAwQUAAAACACHTuJATpSnG9oAAAAN&#10;AQAADwAAAGRycy9kb3ducmV2LnhtbE2PzU7DMBCE70i8g7VI3KjdFqImxKkQghNSRRoOHJ14m0SN&#10;1yF2f3j7bk9w25kdzX6br89uEEecQu9Jw3ymQCA13vbUaviq3h9WIEI0ZM3gCTX8YoB1cXuTm8z6&#10;E5V43MZWcAmFzGjoYhwzKUPToTNh5kck3u385ExkObXSTubE5W6QC6US6UxPfKEzI7522Oy3B6fh&#10;5ZvKt/5nU3+Wu7KvqlTRR7LX+v5urp5BRDzHvzBc8RkdCmaq/YFsEAPrZcrokYenZMFfcWSZJmzV&#10;V2v1qEAWufz/RXEBUEsDBBQAAAAIAIdO4kBrYY5vvAEAAHMDAAAOAAAAZHJzL2Uyb0RvYy54bWyt&#10;U0tu2zAQ3RfoHQjua8oOktaC5QCBkaJA0RZIcgCaIi0C/GFIW/IF2ht01U33PZfP0SFtOWm6ySIb&#10;ajgzfHzvDbW4HqwhOwlRe9fQ6aSiRDrhW+02DX24v333gZKYuGu58U42dC8jvV6+fbPoQy1nvvOm&#10;lUAQxMW6Dw3tUgo1Y1F00vI48UE6LCoPlifcwoa1wHtEt4bNquqK9R7aAF7IGDG7OhbpCRFeAuiV&#10;0kKuvNha6dIRFaThCSXFTodIl4WtUlKkr0pFmYhpKCpNZcVLMF7nlS0XvN4AD50WJwr8JRSeabJc&#10;O7z0DLXiiZMt6P+grBbgo1dpIrxlRyHFEVQxrZ55c9fxIIsWtDqGs+nx9WDFl903ILpt6OySEsct&#10;Tvzw88fh15/D7+9knv3pQ6yx7S5gYxpu/ICvZsxHTGbZgwKbvyiIYB3d3Z/dlUMiIh+6upjOL7Ek&#10;sDa9mL+viv3s8XSAmD5Kb0kOGgo4vWIq332OCZlg69iSL3P+VhtTJmjcPwlszBmWqR8p5igN6+Gk&#10;Z+3bPcoxnxx6md/FGMAYrMdgG0BvOqRTRBdInEUhc3o3edhP9+Xix3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lKcb2gAAAA0BAAAPAAAAAAAAAAEAIAAAACIAAABkcnMvZG93bnJldi54bWxQ&#10;SwECFAAUAAAACACHTuJAa2GOb7wBAABzAwAADgAAAAAAAAABACAAAAApAQAAZHJzL2Uyb0RvYy54&#10;bWxQSwUGAAAAAAYABgBZAQAAVwUAAAAA&#10;">
          <v:path/>
          <v:fill on="f" focussize="0,0"/>
          <v:stroke on="f" joinstyle="miter"/>
          <v:imagedata o:title=""/>
          <o:lock v:ext="edit"/>
          <v:textbox inset="0mm,0mm,0mm,0mm">
            <w:txbxContent>
              <w:p w14:paraId="118A27D4">
                <w:pPr>
                  <w:spacing w:line="220" w:lineRule="exact"/>
                  <w:rPr>
                    <w:b/>
                    <w:sz w:val="18"/>
                  </w:rPr>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CA84">
    <w:pPr>
      <w:pStyle w:val="14"/>
      <w:ind w:right="360" w:firstLine="360"/>
      <w:jc w:val="right"/>
    </w:pPr>
    <w:r>
      <w:pict>
        <v:shape id="_x0000_s2071" o:spid="_x0000_s2071" o:spt="202" type="#_x0000_t202" style="position:absolute;left:0pt;margin-top:0pt;height:11.65pt;width:9.05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8ACA7F2">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CFA0">
    <w:pPr>
      <w:pStyle w:val="14"/>
      <w:ind w:right="360"/>
      <w:jc w:val="center"/>
    </w:pPr>
    <w:r>
      <w:pict>
        <v:shape id="_x0000_s2072" o:spid="_x0000_s2072" o:spt="202" type="#_x0000_t202" style="position:absolute;left:0pt;margin-top:0pt;height:11.65pt;width:9.05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5832E86">
                <w:pPr>
                  <w:pStyle w:val="14"/>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8241">
    <w:pPr>
      <w:pStyle w:val="14"/>
      <w:framePr w:wrap="around" w:vAnchor="text" w:hAnchor="margin" w:xAlign="center" w:y="1"/>
      <w:rPr>
        <w:rStyle w:val="23"/>
      </w:rPr>
    </w:pPr>
    <w:r>
      <w:fldChar w:fldCharType="begin"/>
    </w:r>
    <w:r>
      <w:rPr>
        <w:rStyle w:val="23"/>
      </w:rPr>
      <w:instrText xml:space="preserve">PAGE  </w:instrText>
    </w:r>
    <w:r>
      <w:fldChar w:fldCharType="end"/>
    </w:r>
  </w:p>
  <w:p w14:paraId="5E27203F">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EA6A">
    <w:pPr>
      <w:pStyle w:val="10"/>
      <w:spacing w:line="14" w:lineRule="auto"/>
      <w:rPr>
        <w:sz w:val="20"/>
      </w:rPr>
    </w:pPr>
    <w:r>
      <w:rPr>
        <w:sz w:val="20"/>
      </w:rP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601A43BC">
                <w:pPr>
                  <w:pStyle w:val="14"/>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01A6">
    <w:pPr>
      <w:pStyle w:val="10"/>
      <w:spacing w:line="14" w:lineRule="auto"/>
      <w:rPr>
        <w:sz w:val="20"/>
      </w:rPr>
    </w:pPr>
    <w:r>
      <w:pict>
        <v:shape id="_x0000_s2069" o:spid="_x0000_s2069" o:spt="202" type="#_x0000_t202" style="position:absolute;left:0pt;margin-left:69.9pt;margin-top:781pt;height:11pt;width:128.5pt;mso-position-horizontal-relative:page;mso-position-vertical-relative:page;z-index:-251639808;mso-width-relative:page;mso-height-relative:page;" filled="f" stroked="f" coordsize="21600,21600" o:gfxdata="UEsDBAoAAAAAAIdO4kAAAAAAAAAAAAAAAAAEAAAAZHJzL1BLAwQUAAAACACHTuJATpSnG9oAAAAN&#10;AQAADwAAAGRycy9kb3ducmV2LnhtbE2PzU7DMBCE70i8g7VI3KjdFqImxKkQghNSRRoOHJ14m0SN&#10;1yF2f3j7bk9w25kdzX6br89uEEecQu9Jw3ymQCA13vbUaviq3h9WIEI0ZM3gCTX8YoB1cXuTm8z6&#10;E5V43MZWcAmFzGjoYhwzKUPToTNh5kck3u385ExkObXSTubE5W6QC6US6UxPfKEzI7522Oy3B6fh&#10;5ZvKt/5nU3+Wu7KvqlTRR7LX+v5urp5BRDzHvzBc8RkdCmaq/YFsEAPrZcrokYenZMFfcWSZJmzV&#10;V2v1qEAWufz/RXEBUEsDBBQAAAAIAIdO4kBrYY5vvAEAAHMDAAAOAAAAZHJzL2Uyb0RvYy54bWyt&#10;U0tu2zAQ3RfoHQjua8oOktaC5QCBkaJA0RZIcgCaIi0C/GFIW/IF2ht01U33PZfP0SFtOWm6ySIb&#10;ajgzfHzvDbW4HqwhOwlRe9fQ6aSiRDrhW+02DX24v333gZKYuGu58U42dC8jvV6+fbPoQy1nvvOm&#10;lUAQxMW6Dw3tUgo1Y1F00vI48UE6LCoPlifcwoa1wHtEt4bNquqK9R7aAF7IGDG7OhbpCRFeAuiV&#10;0kKuvNha6dIRFaThCSXFTodIl4WtUlKkr0pFmYhpKCpNZcVLMF7nlS0XvN4AD50WJwr8JRSeabJc&#10;O7z0DLXiiZMt6P+grBbgo1dpIrxlRyHFEVQxrZ55c9fxIIsWtDqGs+nx9WDFl903ILpt6OySEsct&#10;Tvzw88fh15/D7+9knv3pQ6yx7S5gYxpu/ICvZsxHTGbZgwKbvyiIYB3d3Z/dlUMiIh+6upjOL7Ek&#10;sDa9mL+viv3s8XSAmD5Kb0kOGgo4vWIq332OCZlg69iSL3P+VhtTJmjcPwlszBmWqR8p5igN6+Gk&#10;Z+3bPcoxnxx6md/FGMAYrMdgG0BvOqRTRBdInEUhc3o3edhP9+Xix3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lKcb2gAAAA0BAAAPAAAAAAAAAAEAIAAAACIAAABkcnMvZG93bnJldi54bWxQ&#10;SwECFAAUAAAACACHTuJAa2GOb7wBAABzAwAADgAAAAAAAAABACAAAAApAQAAZHJzL2Uyb0RvYy54&#10;bWxQSwUGAAAAAAYABgBZAQAAVwUAAAAA&#10;">
          <v:path/>
          <v:fill on="f" focussize="0,0"/>
          <v:stroke on="f" joinstyle="miter"/>
          <v:imagedata o:title=""/>
          <o:lock v:ext="edit"/>
          <v:textbox inset="0mm,0mm,0mm,0mm">
            <w:txbxContent>
              <w:p w14:paraId="2807C861">
                <w:pPr>
                  <w:spacing w:line="220" w:lineRule="exact"/>
                  <w:rPr>
                    <w:b/>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9185">
    <w:pPr>
      <w:pStyle w:val="14"/>
    </w:pPr>
    <w:r>
      <w:rPr>
        <w:sz w:val="18"/>
      </w:rPr>
      <w:pict>
        <v:shape id="_x0000_s2063" o:spid="_x0000_s2063"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7C6F8136">
                <w:pPr>
                  <w:pStyle w:val="14"/>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8406">
    <w:pPr>
      <w:pStyle w:val="10"/>
      <w:spacing w:line="14" w:lineRule="auto"/>
      <w:rPr>
        <w:sz w:val="20"/>
      </w:rPr>
    </w:pPr>
    <w:r>
      <w:rPr>
        <w:sz w:val="20"/>
      </w:rPr>
      <w:pict>
        <v:shape id="_x0000_s2064" o:spid="_x0000_s2064"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6EA91FD1">
                <w:pPr>
                  <w:pStyle w:val="14"/>
                </w:pPr>
                <w:r>
                  <w:fldChar w:fldCharType="begin"/>
                </w:r>
                <w:r>
                  <w:instrText xml:space="preserve"> PAGE  \* MERGEFORMAT </w:instrText>
                </w:r>
                <w:r>
                  <w:fldChar w:fldCharType="separate"/>
                </w:r>
                <w:r>
                  <w:t>11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BC8F">
    <w:pPr>
      <w:pStyle w:val="14"/>
      <w:ind w:right="360"/>
      <w:jc w:val="center"/>
    </w:pPr>
    <w:r>
      <w:rPr>
        <w:sz w:val="18"/>
      </w:rPr>
      <w:pict>
        <v:shape id="_x0000_s2065" o:spid="_x0000_s2065"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14:paraId="0B4CCBA2">
                <w:pPr>
                  <w:pStyle w:val="14"/>
                </w:pPr>
                <w:r>
                  <w:fldChar w:fldCharType="begin"/>
                </w:r>
                <w:r>
                  <w:instrText xml:space="preserve"> PAGE  \* MERGEFORMAT </w:instrText>
                </w:r>
                <w:r>
                  <w:fldChar w:fldCharType="separate"/>
                </w:r>
                <w:r>
                  <w:t>24</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A071">
    <w:pPr>
      <w:pStyle w:val="10"/>
      <w:spacing w:line="14" w:lineRule="auto"/>
      <w:rPr>
        <w:sz w:val="20"/>
      </w:rPr>
    </w:pPr>
    <w:r>
      <w:rPr>
        <w:sz w:val="20"/>
      </w:rPr>
      <w:pict>
        <v:shape id="_x0000_s2066" o:spid="_x0000_s2066"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14:paraId="2DC4BC41">
                <w:pPr>
                  <w:pStyle w:val="14"/>
                </w:pPr>
                <w:r>
                  <w:fldChar w:fldCharType="begin"/>
                </w:r>
                <w:r>
                  <w:instrText xml:space="preserve"> PAGE  \* MERGEFORMAT </w:instrText>
                </w:r>
                <w:r>
                  <w:fldChar w:fldCharType="separate"/>
                </w:r>
                <w:r>
                  <w:t>28</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BD3F">
    <w:pPr>
      <w:pStyle w:val="14"/>
      <w:jc w:val="center"/>
    </w:pPr>
    <w:r>
      <w:rPr>
        <w:sz w:val="18"/>
      </w:rPr>
      <w:pict>
        <v:shape id="_x0000_s2067" o:spid="_x0000_s2067"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14:paraId="3287466C">
                <w:pPr>
                  <w:pStyle w:val="14"/>
                </w:pPr>
                <w:r>
                  <w:fldChar w:fldCharType="begin"/>
                </w:r>
                <w:r>
                  <w:instrText xml:space="preserve"> PAGE  \* MERGEFORMAT </w:instrText>
                </w:r>
                <w:r>
                  <w:fldChar w:fldCharType="separate"/>
                </w:r>
                <w:r>
                  <w:t>1</w:t>
                </w:r>
                <w:r>
                  <w:fldChar w:fldCharType="end"/>
                </w:r>
              </w:p>
            </w:txbxContent>
          </v:textbox>
        </v:shape>
      </w:pict>
    </w:r>
  </w:p>
  <w:p w14:paraId="76FB6FFA">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A722">
    <w:pPr>
      <w:pStyle w:val="14"/>
      <w:jc w:val="center"/>
    </w:pPr>
    <w:r>
      <w:pict>
        <v:shape id="_x0000_s2060" o:spid="_x0000_s206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141F196D">
                <w:pPr>
                  <w:pStyle w:val="14"/>
                  <w:jc w:val="center"/>
                </w:pPr>
                <w:r>
                  <w:fldChar w:fldCharType="begin"/>
                </w:r>
                <w:r>
                  <w:instrText xml:space="preserve">PAGE   \* MERGEFORMAT</w:instrText>
                </w:r>
                <w:r>
                  <w:fldChar w:fldCharType="separate"/>
                </w:r>
                <w:r>
                  <w:t>2</w:t>
                </w:r>
                <w:r>
                  <w:fldChar w:fldCharType="end"/>
                </w:r>
              </w:p>
            </w:txbxContent>
          </v:textbox>
        </v:shape>
      </w:pict>
    </w:r>
  </w:p>
  <w:p w14:paraId="01E4754E">
    <w:pPr>
      <w:pStyle w:val="14"/>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B8C0">
    <w:pPr>
      <w:pStyle w:val="14"/>
      <w:ind w:right="360" w:firstLine="360"/>
      <w:jc w:val="right"/>
      <w:rPr>
        <w:color w:val="FF0000"/>
      </w:rPr>
    </w:pPr>
    <w:r>
      <w:pict>
        <v:shape id="_x0000_s2070" o:spid="_x0000_s2070" o:spt="202" type="#_x0000_t202" style="position:absolute;left:0pt;margin-top:0pt;height:11.65pt;width:4.5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33E8E7">
                <w:pPr>
                  <w:pStyle w:val="1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E18C0">
    <w:pPr>
      <w:pStyle w:val="10"/>
      <w:spacing w:line="14" w:lineRule="auto"/>
      <w:rPr>
        <w:sz w:val="20"/>
      </w:rPr>
    </w:pPr>
    <w:r>
      <w:pict>
        <v:shape id="文本框 4" o:spid="_x0000_s2059" o:spt="202" type="#_x0000_t202" style="position:absolute;left:0pt;margin-left:69.9pt;margin-top:42.9pt;height:11pt;width:173.6pt;mso-position-horizontal-relative:page;mso-position-vertical-relative:page;z-index:-251657216;mso-width-relative:page;mso-height-relative:page;" filled="f" stroked="f" coordsize="21600,21600" o:gfxdata="UEsDBAoAAAAAAIdO4kAAAAAAAAAAAAAAAAAEAAAAZHJzL1BLAwQUAAAACACHTuJAiPlkZdgAAAAK&#10;AQAADwAAAGRycy9kb3ducmV2LnhtbE2PS0/DMBCE70j8B2uRuFG7PNo0xKkQghMSIg0Hjk68TazG&#10;6xC7D/49y6mcVqMZzX5TrE9+EAecogukYT5TIJDaYB11Gj7r15sMREyGrBkCoYYfjLAuLy8Kk9tw&#10;pAoPm9QJLqGYGw19SmMuZWx79CbOwojE3jZM3iSWUyftZI5c7gd5q9RCeuOIP/RmxOce291m7zU8&#10;fVH14r7fm49qW7m6Xil6W+y0vr6aq0cQCU/pHIY/fEaHkpmasCcbxcD6bsXoSUP2wJcD99mSxzXs&#10;qGUGsizk/wnlL1BLAwQUAAAACACHTuJAVZPR9rsBAABzAwAADgAAAGRycy9lMm9Eb2MueG1srVNL&#10;btswEN0X6B0I7mvKatA0guUAhZEgQNEWSHIAmiItAvyBQ1vyBdobdNVN9z2Xz9EhbTltusmiG2o4&#10;M3rz3htpcT1aQ3YygvaupfNZRYl0wnfabVr6+HDz5j0lkLjruPFOtnQvgV4vX79aDKGRte+96WQk&#10;COKgGUJL+5RCwxiIXloOMx+kw6Ly0fKE17hhXeQDolvD6qp6xwYfuxC9kACYXR2L9IQYXwLoldJC&#10;rrzYWunSETVKwxNKgl4HoMvCVikp0melQCZiWopKUzlxCMbrfLLlgjebyEOvxYkCfwmFZ5os1w6H&#10;nqFWPHGyjfofKKtF9OBVmglv2VFIcQRVzKtn3tz3PMiiBa2GcDYd/h+s+LT7EonuWlqjJY5b3Pjh&#10;+7fDj1+Hn1/JRfZnCNBg233AxjR+8CN+NVMeMJlljyra/ERBBOsItT+7K8dEBCbrurq4zFME1uZv&#10;ry6rYj97ejtESLfSW5KDlkbcXjGV7z5CQibYOrXkYc7faGPKBo37K4GNOcMy9SPFHKVxPZ70rH23&#10;RznmzqGXSClNQZyC9RRsQ9SbHukU0QUSd1HInL6bvOw/72Xw07+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WRl2AAAAAoBAAAPAAAAAAAAAAEAIAAAACIAAABkcnMvZG93bnJldi54bWxQSwEC&#10;FAAUAAAACACHTuJAVZPR9rsBAABzAwAADgAAAAAAAAABACAAAAAnAQAAZHJzL2Uyb0RvYy54bWxQ&#10;SwUGAAAAAAYABgBZAQAAVAUAAAAA&#10;">
          <v:path/>
          <v:fill on="f" focussize="0,0"/>
          <v:stroke on="f" joinstyle="miter"/>
          <v:imagedata o:title=""/>
          <o:lock v:ext="edit"/>
          <v:textbox inset="0mm,0mm,0mm,0mm">
            <w:txbxContent>
              <w:p w14:paraId="5B2D2469">
                <w:pPr>
                  <w:spacing w:line="220" w:lineRule="exact"/>
                  <w:ind w:left="20"/>
                  <w:rPr>
                    <w:b/>
                    <w:sz w:val="18"/>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2029">
    <w:pPr>
      <w:pStyle w:val="15"/>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8E4D">
    <w:pPr>
      <w:pStyle w:val="1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4AA6">
    <w:pPr>
      <w:pStyle w:val="15"/>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139A">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F78F">
    <w:pPr>
      <w:pStyle w:val="1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A7432"/>
    <w:multiLevelType w:val="singleLevel"/>
    <w:tmpl w:val="8D1A7432"/>
    <w:lvl w:ilvl="0" w:tentative="0">
      <w:start w:val="3"/>
      <w:numFmt w:val="chineseCounting"/>
      <w:suff w:val="space"/>
      <w:lvlText w:val="第%1章"/>
      <w:lvlJc w:val="left"/>
      <w:rPr>
        <w:rFonts w:hint="eastAsia"/>
      </w:rPr>
    </w:lvl>
  </w:abstractNum>
  <w:abstractNum w:abstractNumId="1">
    <w:nsid w:val="D7CF8633"/>
    <w:multiLevelType w:val="singleLevel"/>
    <w:tmpl w:val="D7CF8633"/>
    <w:lvl w:ilvl="0" w:tentative="0">
      <w:start w:val="1"/>
      <w:numFmt w:val="decimal"/>
      <w:suff w:val="nothing"/>
      <w:lvlText w:val="%1、"/>
      <w:lvlJc w:val="left"/>
    </w:lvl>
  </w:abstractNum>
  <w:abstractNum w:abstractNumId="2">
    <w:nsid w:val="F4E01879"/>
    <w:multiLevelType w:val="singleLevel"/>
    <w:tmpl w:val="F4E01879"/>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F3C532A"/>
    <w:multiLevelType w:val="singleLevel"/>
    <w:tmpl w:val="1F3C532A"/>
    <w:lvl w:ilvl="0" w:tentative="0">
      <w:start w:val="1"/>
      <w:numFmt w:val="chineseCounting"/>
      <w:suff w:val="space"/>
      <w:lvlText w:val="第%1章"/>
      <w:lvlJc w:val="left"/>
      <w:rPr>
        <w:rFonts w:hint="eastAsia"/>
      </w:rPr>
    </w:lvl>
  </w:abstractNum>
  <w:abstractNum w:abstractNumId="7">
    <w:nsid w:val="24E409BB"/>
    <w:multiLevelType w:val="multilevel"/>
    <w:tmpl w:val="24E409BB"/>
    <w:lvl w:ilvl="0" w:tentative="0">
      <w:start w:val="1"/>
      <w:numFmt w:val="decimal"/>
      <w:pStyle w:val="3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4A453A2"/>
    <w:multiLevelType w:val="singleLevel"/>
    <w:tmpl w:val="34A453A2"/>
    <w:lvl w:ilvl="0" w:tentative="0">
      <w:start w:val="5"/>
      <w:numFmt w:val="chineseCounting"/>
      <w:suff w:val="space"/>
      <w:lvlText w:val="第%1章"/>
      <w:lvlJc w:val="left"/>
      <w:rPr>
        <w:rFonts w:hint="eastAsia"/>
      </w:rPr>
    </w:lvl>
  </w:abstractNum>
  <w:abstractNum w:abstractNumId="9">
    <w:nsid w:val="4AB881BE"/>
    <w:multiLevelType w:val="singleLevel"/>
    <w:tmpl w:val="4AB881BE"/>
    <w:lvl w:ilvl="0" w:tentative="0">
      <w:start w:val="2"/>
      <w:numFmt w:val="decimal"/>
      <w:suff w:val="nothing"/>
      <w:lvlText w:val="%1、"/>
      <w:lvlJc w:val="left"/>
    </w:lvl>
  </w:abstractNum>
  <w:abstractNum w:abstractNumId="10">
    <w:nsid w:val="6ABE0E06"/>
    <w:multiLevelType w:val="singleLevel"/>
    <w:tmpl w:val="6ABE0E06"/>
    <w:lvl w:ilvl="0" w:tentative="0">
      <w:start w:val="1"/>
      <w:numFmt w:val="decimal"/>
      <w:suff w:val="nothing"/>
      <w:lvlText w:val="%1、"/>
      <w:lvlJc w:val="left"/>
    </w:lvl>
  </w:abstractNum>
  <w:num w:numId="1">
    <w:abstractNumId w:val="7"/>
  </w:num>
  <w:num w:numId="2">
    <w:abstractNumId w:val="6"/>
  </w:num>
  <w:num w:numId="3">
    <w:abstractNumId w:val="5"/>
  </w:num>
  <w:num w:numId="4">
    <w:abstractNumId w:val="4"/>
  </w:num>
  <w:num w:numId="5">
    <w:abstractNumId w:val="0"/>
  </w:num>
  <w:num w:numId="6">
    <w:abstractNumId w:val="8"/>
  </w:num>
  <w:num w:numId="7">
    <w:abstractNumId w:val="1"/>
  </w:num>
  <w:num w:numId="8">
    <w:abstractNumId w:val="1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WE5YTZlNjE1NzMyN2Q5ZWFkZTU0NWFjMGRjZDlmYjMifQ=="/>
    <w:docVar w:name="KSO_WPS_MARK_KEY" w:val="3139cb27-71e4-4183-be39-2cf986986c3b"/>
  </w:docVars>
  <w:rsids>
    <w:rsidRoot w:val="00712168"/>
    <w:rsid w:val="00712168"/>
    <w:rsid w:val="00B118C0"/>
    <w:rsid w:val="019F277E"/>
    <w:rsid w:val="06773B1D"/>
    <w:rsid w:val="06B00A75"/>
    <w:rsid w:val="07783292"/>
    <w:rsid w:val="07C10FF4"/>
    <w:rsid w:val="07FC158B"/>
    <w:rsid w:val="08781B6D"/>
    <w:rsid w:val="08E834ED"/>
    <w:rsid w:val="096476DB"/>
    <w:rsid w:val="0B3523A8"/>
    <w:rsid w:val="0B9646A3"/>
    <w:rsid w:val="0C556CE0"/>
    <w:rsid w:val="0CE33335"/>
    <w:rsid w:val="0DC11125"/>
    <w:rsid w:val="0DCE477E"/>
    <w:rsid w:val="0F7D205B"/>
    <w:rsid w:val="0F962BBC"/>
    <w:rsid w:val="10364504"/>
    <w:rsid w:val="10EB1BCD"/>
    <w:rsid w:val="11A80583"/>
    <w:rsid w:val="11C80AD0"/>
    <w:rsid w:val="1265027F"/>
    <w:rsid w:val="130D1EB8"/>
    <w:rsid w:val="13616874"/>
    <w:rsid w:val="139A046E"/>
    <w:rsid w:val="14A544A5"/>
    <w:rsid w:val="15537EAE"/>
    <w:rsid w:val="15C50536"/>
    <w:rsid w:val="15FC1585"/>
    <w:rsid w:val="16BE3BF5"/>
    <w:rsid w:val="175372BF"/>
    <w:rsid w:val="179131C5"/>
    <w:rsid w:val="17E231F8"/>
    <w:rsid w:val="18703550"/>
    <w:rsid w:val="187839EB"/>
    <w:rsid w:val="1A636B94"/>
    <w:rsid w:val="1A7A1A94"/>
    <w:rsid w:val="1A971C69"/>
    <w:rsid w:val="1AE53106"/>
    <w:rsid w:val="1AED43CA"/>
    <w:rsid w:val="1B2304CB"/>
    <w:rsid w:val="1B3F540B"/>
    <w:rsid w:val="1C1A55F4"/>
    <w:rsid w:val="1CE206DF"/>
    <w:rsid w:val="1D3A29CC"/>
    <w:rsid w:val="1E93016C"/>
    <w:rsid w:val="1EF5602A"/>
    <w:rsid w:val="201E7D98"/>
    <w:rsid w:val="20A844A2"/>
    <w:rsid w:val="219A68CD"/>
    <w:rsid w:val="21AC0BD6"/>
    <w:rsid w:val="225A0D63"/>
    <w:rsid w:val="2353135D"/>
    <w:rsid w:val="24A92A92"/>
    <w:rsid w:val="24AD6DD4"/>
    <w:rsid w:val="25A140D8"/>
    <w:rsid w:val="260D669E"/>
    <w:rsid w:val="2715749D"/>
    <w:rsid w:val="27626529"/>
    <w:rsid w:val="28264892"/>
    <w:rsid w:val="28D919B6"/>
    <w:rsid w:val="29186D57"/>
    <w:rsid w:val="29982961"/>
    <w:rsid w:val="29CB5BAD"/>
    <w:rsid w:val="2B6015FF"/>
    <w:rsid w:val="2B830B12"/>
    <w:rsid w:val="2C9A2AA3"/>
    <w:rsid w:val="2D016FB5"/>
    <w:rsid w:val="2D41244A"/>
    <w:rsid w:val="2F8C0F0F"/>
    <w:rsid w:val="2F936161"/>
    <w:rsid w:val="2F9C03F4"/>
    <w:rsid w:val="3023147B"/>
    <w:rsid w:val="30905ED7"/>
    <w:rsid w:val="30C003DF"/>
    <w:rsid w:val="311B3186"/>
    <w:rsid w:val="315006E5"/>
    <w:rsid w:val="315D4729"/>
    <w:rsid w:val="31704C44"/>
    <w:rsid w:val="32683632"/>
    <w:rsid w:val="33F056FB"/>
    <w:rsid w:val="34A007F3"/>
    <w:rsid w:val="355D0B6C"/>
    <w:rsid w:val="3610497D"/>
    <w:rsid w:val="363B5F3E"/>
    <w:rsid w:val="368C5981"/>
    <w:rsid w:val="3708011C"/>
    <w:rsid w:val="37222A3C"/>
    <w:rsid w:val="37701335"/>
    <w:rsid w:val="382C1FA5"/>
    <w:rsid w:val="399043EA"/>
    <w:rsid w:val="39915E4F"/>
    <w:rsid w:val="3A972930"/>
    <w:rsid w:val="3CE11E7D"/>
    <w:rsid w:val="3D225FA3"/>
    <w:rsid w:val="3D8B2021"/>
    <w:rsid w:val="3DB95C09"/>
    <w:rsid w:val="3EB67200"/>
    <w:rsid w:val="3ED52015"/>
    <w:rsid w:val="3EF87308"/>
    <w:rsid w:val="3F2D1C59"/>
    <w:rsid w:val="3FD30AC3"/>
    <w:rsid w:val="3FD831D2"/>
    <w:rsid w:val="404A39B9"/>
    <w:rsid w:val="42DC6BF8"/>
    <w:rsid w:val="42F00946"/>
    <w:rsid w:val="44363B88"/>
    <w:rsid w:val="44CD495A"/>
    <w:rsid w:val="450C44BC"/>
    <w:rsid w:val="451A295C"/>
    <w:rsid w:val="463746CB"/>
    <w:rsid w:val="46404053"/>
    <w:rsid w:val="4720025B"/>
    <w:rsid w:val="488453F9"/>
    <w:rsid w:val="48BB0464"/>
    <w:rsid w:val="4904714C"/>
    <w:rsid w:val="49A647D3"/>
    <w:rsid w:val="4BC717A8"/>
    <w:rsid w:val="4C4905C7"/>
    <w:rsid w:val="4C764DB4"/>
    <w:rsid w:val="4C7C6E03"/>
    <w:rsid w:val="4DBC7DC2"/>
    <w:rsid w:val="4E460B75"/>
    <w:rsid w:val="4F675CDA"/>
    <w:rsid w:val="4F7860BA"/>
    <w:rsid w:val="4F7C19ED"/>
    <w:rsid w:val="50AB6903"/>
    <w:rsid w:val="50DC6C6C"/>
    <w:rsid w:val="511E3193"/>
    <w:rsid w:val="51330A04"/>
    <w:rsid w:val="51C51136"/>
    <w:rsid w:val="51D25A47"/>
    <w:rsid w:val="51DF7C7D"/>
    <w:rsid w:val="52C95E7B"/>
    <w:rsid w:val="5354737A"/>
    <w:rsid w:val="552158D9"/>
    <w:rsid w:val="556403AC"/>
    <w:rsid w:val="56B55909"/>
    <w:rsid w:val="572079E8"/>
    <w:rsid w:val="57B62F30"/>
    <w:rsid w:val="58545945"/>
    <w:rsid w:val="58842523"/>
    <w:rsid w:val="58D424EC"/>
    <w:rsid w:val="598A41A1"/>
    <w:rsid w:val="59EB00E3"/>
    <w:rsid w:val="5A9932D5"/>
    <w:rsid w:val="5C2021D0"/>
    <w:rsid w:val="5CA1645E"/>
    <w:rsid w:val="5CBD0BD4"/>
    <w:rsid w:val="5DE17EEB"/>
    <w:rsid w:val="5F024D59"/>
    <w:rsid w:val="5F0B3C28"/>
    <w:rsid w:val="60262CFB"/>
    <w:rsid w:val="613573EE"/>
    <w:rsid w:val="616B1851"/>
    <w:rsid w:val="61F41B25"/>
    <w:rsid w:val="622A6052"/>
    <w:rsid w:val="62410A43"/>
    <w:rsid w:val="624413B9"/>
    <w:rsid w:val="62BC5F72"/>
    <w:rsid w:val="63462575"/>
    <w:rsid w:val="641B04F3"/>
    <w:rsid w:val="642C07F3"/>
    <w:rsid w:val="64EA0D64"/>
    <w:rsid w:val="65047CA2"/>
    <w:rsid w:val="65130235"/>
    <w:rsid w:val="65B8469F"/>
    <w:rsid w:val="66B01A38"/>
    <w:rsid w:val="66D76F47"/>
    <w:rsid w:val="675D5CF2"/>
    <w:rsid w:val="67E306B9"/>
    <w:rsid w:val="685E3D2F"/>
    <w:rsid w:val="68FC483A"/>
    <w:rsid w:val="69583749"/>
    <w:rsid w:val="698B261A"/>
    <w:rsid w:val="69CE6B15"/>
    <w:rsid w:val="69D66144"/>
    <w:rsid w:val="6A623385"/>
    <w:rsid w:val="6AA71698"/>
    <w:rsid w:val="6AA726FE"/>
    <w:rsid w:val="6AA95B9A"/>
    <w:rsid w:val="6B883F37"/>
    <w:rsid w:val="6BFA2C65"/>
    <w:rsid w:val="6C235C2B"/>
    <w:rsid w:val="6CEE6A25"/>
    <w:rsid w:val="6D59686D"/>
    <w:rsid w:val="6E1F59B6"/>
    <w:rsid w:val="6F081DB4"/>
    <w:rsid w:val="708D73A4"/>
    <w:rsid w:val="709012BD"/>
    <w:rsid w:val="715165CE"/>
    <w:rsid w:val="739E013A"/>
    <w:rsid w:val="7491214F"/>
    <w:rsid w:val="75874327"/>
    <w:rsid w:val="76093718"/>
    <w:rsid w:val="766B2ACC"/>
    <w:rsid w:val="779A76A8"/>
    <w:rsid w:val="77DA4A65"/>
    <w:rsid w:val="7901615B"/>
    <w:rsid w:val="7A557620"/>
    <w:rsid w:val="7A586E73"/>
    <w:rsid w:val="7CE35FBA"/>
    <w:rsid w:val="7DA46A1D"/>
    <w:rsid w:val="7DA8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autoRedefine/>
    <w:qFormat/>
    <w:uiPriority w:val="1"/>
    <w:pPr>
      <w:ind w:left="796" w:right="794"/>
      <w:jc w:val="center"/>
      <w:outlineLvl w:val="0"/>
    </w:pPr>
    <w:rPr>
      <w:rFonts w:ascii="宋体" w:hAnsi="宋体" w:eastAsia="宋体" w:cs="宋体"/>
      <w:b/>
      <w:bCs/>
      <w:sz w:val="56"/>
      <w:szCs w:val="56"/>
    </w:rPr>
  </w:style>
  <w:style w:type="paragraph" w:styleId="4">
    <w:name w:val="heading 2"/>
    <w:basedOn w:val="1"/>
    <w:next w:val="1"/>
    <w:autoRedefine/>
    <w:qFormat/>
    <w:uiPriority w:val="1"/>
    <w:pPr>
      <w:spacing w:before="55"/>
      <w:jc w:val="center"/>
      <w:outlineLvl w:val="1"/>
    </w:pPr>
    <w:rPr>
      <w:b/>
      <w:bCs/>
      <w:sz w:val="32"/>
      <w:szCs w:val="32"/>
    </w:rPr>
  </w:style>
  <w:style w:type="paragraph" w:styleId="5">
    <w:name w:val="heading 3"/>
    <w:basedOn w:val="1"/>
    <w:next w:val="1"/>
    <w:autoRedefine/>
    <w:qFormat/>
    <w:uiPriority w:val="1"/>
    <w:pPr>
      <w:spacing w:before="58"/>
      <w:ind w:left="794" w:right="794"/>
      <w:jc w:val="center"/>
      <w:outlineLvl w:val="2"/>
    </w:pPr>
    <w:rPr>
      <w:b/>
      <w:bCs/>
      <w:sz w:val="30"/>
      <w:szCs w:val="30"/>
    </w:rPr>
  </w:style>
  <w:style w:type="paragraph" w:styleId="6">
    <w:name w:val="heading 4"/>
    <w:basedOn w:val="1"/>
    <w:next w:val="1"/>
    <w:autoRedefine/>
    <w:qFormat/>
    <w:uiPriority w:val="1"/>
    <w:pPr>
      <w:ind w:left="758"/>
      <w:outlineLvl w:val="3"/>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560"/>
    </w:pPr>
    <w:rPr>
      <w:rFonts w:cs="Calibri"/>
      <w:i/>
      <w:iCs/>
      <w:sz w:val="20"/>
      <w:szCs w:val="20"/>
    </w:rPr>
  </w:style>
  <w:style w:type="paragraph" w:styleId="7">
    <w:name w:val="Normal Indent"/>
    <w:basedOn w:val="1"/>
    <w:next w:val="1"/>
    <w:autoRedefine/>
    <w:qFormat/>
    <w:uiPriority w:val="0"/>
    <w:pPr>
      <w:ind w:firstLine="420" w:firstLineChars="200"/>
    </w:pPr>
  </w:style>
  <w:style w:type="paragraph" w:styleId="8">
    <w:name w:val="index 5"/>
    <w:basedOn w:val="1"/>
    <w:next w:val="1"/>
    <w:autoRedefine/>
    <w:unhideWhenUsed/>
    <w:qFormat/>
    <w:uiPriority w:val="99"/>
    <w:pPr>
      <w:ind w:left="1680"/>
    </w:pPr>
  </w:style>
  <w:style w:type="paragraph" w:styleId="9">
    <w:name w:val="toa heading"/>
    <w:basedOn w:val="1"/>
    <w:next w:val="1"/>
    <w:autoRedefine/>
    <w:qFormat/>
    <w:uiPriority w:val="0"/>
    <w:pPr>
      <w:spacing w:before="120"/>
    </w:pPr>
    <w:rPr>
      <w:rFonts w:ascii="Cambria" w:hAnsi="Cambria" w:eastAsia="宋体" w:cs="Times New Roman"/>
      <w:sz w:val="24"/>
      <w:szCs w:val="24"/>
    </w:rPr>
  </w:style>
  <w:style w:type="paragraph" w:styleId="10">
    <w:name w:val="Body Text"/>
    <w:basedOn w:val="1"/>
    <w:next w:val="1"/>
    <w:autoRedefine/>
    <w:qFormat/>
    <w:uiPriority w:val="1"/>
    <w:rPr>
      <w:sz w:val="28"/>
      <w:szCs w:val="28"/>
    </w:rPr>
  </w:style>
  <w:style w:type="paragraph" w:styleId="11">
    <w:name w:val="Body Text Indent"/>
    <w:basedOn w:val="1"/>
    <w:next w:val="1"/>
    <w:autoRedefine/>
    <w:qFormat/>
    <w:uiPriority w:val="0"/>
    <w:pPr>
      <w:ind w:firstLine="560" w:firstLineChars="200"/>
    </w:pPr>
    <w:rPr>
      <w:sz w:val="28"/>
    </w:rPr>
  </w:style>
  <w:style w:type="paragraph" w:styleId="12">
    <w:name w:val="Plain Text"/>
    <w:basedOn w:val="1"/>
    <w:next w:val="1"/>
    <w:autoRedefine/>
    <w:qFormat/>
    <w:uiPriority w:val="0"/>
    <w:rPr>
      <w:sz w:val="24"/>
      <w:szCs w:val="20"/>
    </w:rPr>
  </w:style>
  <w:style w:type="paragraph" w:styleId="13">
    <w:name w:val="Body Text Indent 2"/>
    <w:basedOn w:val="1"/>
    <w:autoRedefine/>
    <w:qFormat/>
    <w:uiPriority w:val="0"/>
    <w:pPr>
      <w:tabs>
        <w:tab w:val="left" w:pos="1260"/>
      </w:tabs>
      <w:spacing w:line="360" w:lineRule="auto"/>
      <w:ind w:firstLine="549" w:firstLineChars="200"/>
    </w:pPr>
    <w:rPr>
      <w:rFonts w:ascii="宋体" w:hAnsi="宋体"/>
      <w:sz w:val="28"/>
    </w:r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0"/>
    <w:pPr>
      <w:tabs>
        <w:tab w:val="right" w:leader="dot" w:pos="9000"/>
      </w:tabs>
      <w:spacing w:line="540" w:lineRule="exact"/>
      <w:jc w:val="center"/>
    </w:pPr>
    <w:rPr>
      <w:rFonts w:ascii="宋体" w:hAnsi="宋体"/>
      <w:sz w:val="28"/>
      <w:szCs w:val="32"/>
    </w:rPr>
  </w:style>
  <w:style w:type="paragraph" w:styleId="17">
    <w:name w:val="footnote text"/>
    <w:basedOn w:val="1"/>
    <w:next w:val="8"/>
    <w:autoRedefine/>
    <w:qFormat/>
    <w:uiPriority w:val="0"/>
    <w:pPr>
      <w:snapToGrid w:val="0"/>
    </w:pPr>
    <w:rPr>
      <w:sz w:val="18"/>
    </w:rPr>
  </w:style>
  <w:style w:type="paragraph" w:styleId="18">
    <w:name w:val="Normal (Web)"/>
    <w:basedOn w:val="1"/>
    <w:autoRedefine/>
    <w:qFormat/>
    <w:uiPriority w:val="0"/>
    <w:pPr>
      <w:widowControl/>
    </w:pPr>
    <w:rPr>
      <w:rFonts w:ascii="宋体" w:hAnsi="宋体" w:cs="宋体"/>
      <w:sz w:val="24"/>
    </w:rPr>
  </w:style>
  <w:style w:type="paragraph" w:styleId="19">
    <w:name w:val="Body Text First Indent 2"/>
    <w:basedOn w:val="11"/>
    <w:next w:val="11"/>
    <w:autoRedefine/>
    <w:qFormat/>
    <w:uiPriority w:val="0"/>
    <w:pPr>
      <w:ind w:firstLine="420"/>
    </w:pPr>
    <w:rPr>
      <w:rFonts w:ascii="Times New Roman" w:hAnsi="Times New Roman" w:eastAsia="宋体" w:cs="Times New Roman"/>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1"/>
    <w:pPr>
      <w:ind w:left="758" w:firstLine="559"/>
    </w:pPr>
  </w:style>
  <w:style w:type="paragraph" w:customStyle="1" w:styleId="26">
    <w:name w:val="Table Paragraph"/>
    <w:basedOn w:val="1"/>
    <w:autoRedefine/>
    <w:qFormat/>
    <w:uiPriority w:val="1"/>
  </w:style>
  <w:style w:type="paragraph" w:customStyle="1" w:styleId="27">
    <w:name w:val="WPS Plain"/>
    <w:autoRedefine/>
    <w:qFormat/>
    <w:uiPriority w:val="0"/>
    <w:rPr>
      <w:rFonts w:ascii="Times New Roman" w:hAnsi="Times New Roman" w:eastAsia="宋体" w:cs="Times New Roman"/>
      <w:lang w:val="en-US" w:eastAsia="zh-CN" w:bidi="ar-SA"/>
    </w:rPr>
  </w:style>
  <w:style w:type="paragraph" w:customStyle="1" w:styleId="28">
    <w:name w:val="样式 正文（首行缩进两字） + 宋体 小四"/>
    <w:basedOn w:val="7"/>
    <w:autoRedefine/>
    <w:qFormat/>
    <w:uiPriority w:val="0"/>
    <w:pPr>
      <w:spacing w:line="100" w:lineRule="atLeast"/>
      <w:ind w:firstLine="614" w:firstLineChars="192"/>
    </w:pPr>
    <w:rPr>
      <w:rFonts w:ascii="仿宋_GB2312" w:hAnsi="宋体" w:eastAsia="仿宋_GB2312"/>
      <w:sz w:val="32"/>
    </w:rPr>
  </w:style>
  <w:style w:type="paragraph" w:styleId="29">
    <w:name w:val="No Spacing"/>
    <w:basedOn w:val="1"/>
    <w:autoRedefine/>
    <w:qFormat/>
    <w:uiPriority w:val="1"/>
    <w:pPr>
      <w:jc w:val="both"/>
    </w:pPr>
    <w:rPr>
      <w:kern w:val="2"/>
      <w:sz w:val="21"/>
      <w:szCs w:val="24"/>
      <w:lang w:val="en-US" w:bidi="ar-SA"/>
    </w:rPr>
  </w:style>
  <w:style w:type="paragraph" w:customStyle="1" w:styleId="30">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1">
    <w:name w:val="正文缩进1"/>
    <w:basedOn w:val="1"/>
    <w:autoRedefine/>
    <w:qFormat/>
    <w:uiPriority w:val="0"/>
    <w:pPr>
      <w:adjustRightInd w:val="0"/>
      <w:ind w:firstLine="420"/>
    </w:pPr>
    <w:rPr>
      <w:rFonts w:ascii="宋体"/>
      <w:sz w:val="24"/>
    </w:rPr>
  </w:style>
  <w:style w:type="paragraph" w:customStyle="1" w:styleId="32">
    <w:name w:val="索引 11"/>
    <w:basedOn w:val="1"/>
    <w:next w:val="1"/>
    <w:autoRedefine/>
    <w:qFormat/>
    <w:uiPriority w:val="0"/>
    <w:pPr>
      <w:spacing w:line="360" w:lineRule="auto"/>
    </w:pPr>
    <w:rPr>
      <w:rFonts w:ascii="仿宋_GB2312" w:eastAsia="仿宋_GB2312"/>
      <w:sz w:val="24"/>
      <w:szCs w:val="20"/>
    </w:rPr>
  </w:style>
  <w:style w:type="paragraph" w:customStyle="1" w:styleId="33">
    <w:name w:val="纯文本1"/>
    <w:basedOn w:val="1"/>
    <w:autoRedefine/>
    <w:qFormat/>
    <w:uiPriority w:val="99"/>
    <w:rPr>
      <w:rFonts w:ascii="宋体" w:hAnsi="Courier New"/>
    </w:rPr>
  </w:style>
  <w:style w:type="paragraph" w:customStyle="1" w:styleId="34">
    <w:name w:val="普通正文"/>
    <w:basedOn w:val="1"/>
    <w:autoRedefine/>
    <w:qFormat/>
    <w:uiPriority w:val="0"/>
    <w:pPr>
      <w:adjustRightInd w:val="0"/>
      <w:spacing w:before="120" w:after="120" w:line="360" w:lineRule="auto"/>
      <w:ind w:firstLine="480"/>
      <w:textAlignment w:val="baseline"/>
    </w:pPr>
    <w:rPr>
      <w:rFonts w:ascii="Arial" w:hAnsi="Arial"/>
      <w:sz w:val="24"/>
      <w:szCs w:val="24"/>
    </w:rPr>
  </w:style>
  <w:style w:type="paragraph" w:customStyle="1" w:styleId="35">
    <w:name w:val="表名称"/>
    <w:basedOn w:val="7"/>
    <w:autoRedefine/>
    <w:qFormat/>
    <w:uiPriority w:val="0"/>
    <w:pPr>
      <w:numPr>
        <w:ilvl w:val="0"/>
        <w:numId w:val="1"/>
      </w:numPr>
      <w:ind w:firstLine="0" w:firstLineChars="0"/>
      <w:jc w:val="center"/>
    </w:pPr>
  </w:style>
  <w:style w:type="paragraph" w:customStyle="1" w:styleId="36">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9"/>
    <customShpInfo spid="_x0000_s2058"/>
    <customShpInfo spid="_x0000_s2069"/>
    <customShpInfo spid="_x0000_s2063" textRotate="1"/>
    <customShpInfo spid="_x0000_s2064" textRotate="1"/>
    <customShpInfo spid="_x0000_s2065" textRotate="1"/>
    <customShpInfo spid="_x0000_s2066" textRotate="1"/>
    <customShpInfo spid="_x0000_s2067" textRotate="1"/>
    <customShpInfo spid="_x0000_s2060"/>
    <customShpInfo spid="_x0000_s2070"/>
    <customShpInfo spid="_x0000_s2071"/>
    <customShpInfo spid="_x0000_s2072"/>
    <customShpInfo spid="_x0000_s2049"/>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7110</Words>
  <Characters>7934</Characters>
  <Lines>276</Lines>
  <Paragraphs>77</Paragraphs>
  <TotalTime>42</TotalTime>
  <ScaleCrop>false</ScaleCrop>
  <LinksUpToDate>false</LinksUpToDate>
  <CharactersWithSpaces>8212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2019-03-09T06:44:00Z</dcterms:created>
  <dc:creator>Lxlong</dc:creator>
  <cp:lastModifiedBy>Administrator</cp:lastModifiedBy>
  <cp:lastPrinted>2024-05-09T08:19:00Z</cp:lastPrinted>
  <dcterms:modified xsi:type="dcterms:W3CDTF">2026-05-21T09:19:58Z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WPS Office</vt:lpwstr>
  </property>
  <property fmtid="{D5CDD505-2E9C-101B-9397-08002B2CF9AE}" pid="4" name="LastSaved">
    <vt:filetime>2019-03-09T00:00:00Z</vt:filetime>
  </property>
  <property fmtid="{D5CDD505-2E9C-101B-9397-08002B2CF9AE}" pid="5" name="KSOProductBuildVer">
    <vt:lpwstr>2052-12.1.0.26375</vt:lpwstr>
  </property>
  <property fmtid="{D5CDD505-2E9C-101B-9397-08002B2CF9AE}" pid="6" name="ICV">
    <vt:lpwstr>706D54606E1D46D4977D4F0AF1F05E71</vt:lpwstr>
  </property>
  <property fmtid="{D5CDD505-2E9C-101B-9397-08002B2CF9AE}" pid="7" name="KSOTemplateDocerSaveRecord">
    <vt:lpwstr>eyJoZGlkIjoiMWE5YTZlNjE1NzMyN2Q5ZWFkZTU0NWFjMGRjZDlmYjMiLCJ1c2VySWQiOiI0ODg5MDU1NjEifQ==</vt:lpwstr>
  </property>
</Properties>
</file>