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180" w:type="dxa"/>
        <w:tblInd w:w="-743" w:type="dxa"/>
        <w:tblLayout w:type="fixed"/>
        <w:tblCellMar>
          <w:top w:w="0" w:type="dxa"/>
          <w:left w:w="108" w:type="dxa"/>
          <w:bottom w:w="0" w:type="dxa"/>
          <w:right w:w="108" w:type="dxa"/>
        </w:tblCellMar>
      </w:tblPr>
      <w:tblGrid>
        <w:gridCol w:w="9923"/>
        <w:gridCol w:w="1257"/>
      </w:tblGrid>
      <w:tr w14:paraId="1E94355B">
        <w:tblPrEx>
          <w:tblCellMar>
            <w:top w:w="0" w:type="dxa"/>
            <w:left w:w="108" w:type="dxa"/>
            <w:bottom w:w="0" w:type="dxa"/>
            <w:right w:w="108" w:type="dxa"/>
          </w:tblCellMar>
        </w:tblPrEx>
        <w:trPr>
          <w:trHeight w:val="643" w:hRule="atLeast"/>
        </w:trPr>
        <w:tc>
          <w:tcPr>
            <w:tcW w:w="9923" w:type="dxa"/>
            <w:tcBorders>
              <w:top w:val="nil"/>
              <w:left w:val="nil"/>
              <w:bottom w:val="nil"/>
              <w:right w:val="nil"/>
            </w:tcBorders>
            <w:shd w:val="clear" w:color="000000" w:fill="FFFFFF"/>
            <w:vAlign w:val="center"/>
          </w:tcPr>
          <w:p w14:paraId="229BF14B">
            <w:pPr>
              <w:widowControl/>
              <w:jc w:val="center"/>
              <w:rPr>
                <w:rFonts w:ascii="仿宋" w:hAnsi="仿宋" w:eastAsia="仿宋" w:cs="宋体"/>
                <w:b/>
                <w:bCs/>
                <w:kern w:val="0"/>
                <w:sz w:val="40"/>
                <w:szCs w:val="40"/>
              </w:rPr>
            </w:pPr>
            <w:bookmarkStart w:id="0" w:name="_GoBack"/>
            <w:bookmarkEnd w:id="0"/>
            <w:r>
              <w:rPr>
                <w:rFonts w:hint="eastAsia" w:ascii="仿宋" w:hAnsi="仿宋" w:eastAsia="仿宋" w:cs="宋体"/>
                <w:b/>
                <w:bCs/>
                <w:kern w:val="0"/>
                <w:sz w:val="36"/>
                <w:szCs w:val="36"/>
                <w:lang w:eastAsia="zh-CN"/>
              </w:rPr>
              <w:t>工程量清单</w:t>
            </w:r>
            <w:r>
              <w:rPr>
                <w:rFonts w:hint="eastAsia" w:ascii="仿宋" w:hAnsi="仿宋" w:eastAsia="仿宋" w:cs="宋体"/>
                <w:b/>
                <w:bCs/>
                <w:kern w:val="0"/>
                <w:sz w:val="36"/>
                <w:szCs w:val="36"/>
              </w:rPr>
              <w:t>总说明</w:t>
            </w:r>
          </w:p>
        </w:tc>
        <w:tc>
          <w:tcPr>
            <w:tcW w:w="1257" w:type="dxa"/>
            <w:tcBorders>
              <w:top w:val="nil"/>
              <w:left w:val="nil"/>
              <w:bottom w:val="nil"/>
              <w:right w:val="nil"/>
            </w:tcBorders>
            <w:shd w:val="clear" w:color="000000" w:fill="FFFFFF"/>
            <w:vAlign w:val="center"/>
          </w:tcPr>
          <w:p w14:paraId="339A3C79">
            <w:pPr>
              <w:widowControl/>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　</w:t>
            </w:r>
          </w:p>
        </w:tc>
      </w:tr>
      <w:tr w14:paraId="05AB9EA1">
        <w:tblPrEx>
          <w:tblCellMar>
            <w:top w:w="0" w:type="dxa"/>
            <w:left w:w="108" w:type="dxa"/>
            <w:bottom w:w="0" w:type="dxa"/>
            <w:right w:w="108" w:type="dxa"/>
          </w:tblCellMar>
        </w:tblPrEx>
        <w:trPr>
          <w:trHeight w:val="308" w:hRule="atLeast"/>
        </w:trPr>
        <w:tc>
          <w:tcPr>
            <w:tcW w:w="9923" w:type="dxa"/>
            <w:tcBorders>
              <w:top w:val="nil"/>
              <w:left w:val="nil"/>
              <w:bottom w:val="nil"/>
              <w:right w:val="nil"/>
            </w:tcBorders>
            <w:shd w:val="clear" w:color="000000" w:fill="FFFFFF"/>
            <w:vAlign w:val="center"/>
          </w:tcPr>
          <w:p w14:paraId="7A885CF2">
            <w:pPr>
              <w:widowControl/>
              <w:jc w:val="left"/>
              <w:rPr>
                <w:rFonts w:hint="default" w:ascii="宋体" w:eastAsia="宋体" w:cs="宋体"/>
                <w:color w:val="auto"/>
                <w:kern w:val="0"/>
                <w:szCs w:val="21"/>
                <w:lang w:val="en-US" w:eastAsia="zh-CN"/>
              </w:rPr>
            </w:pPr>
            <w:r>
              <w:rPr>
                <w:rFonts w:hint="eastAsia" w:ascii="宋体" w:hAnsi="宋体" w:cs="宋体"/>
                <w:color w:val="auto"/>
                <w:kern w:val="0"/>
                <w:sz w:val="24"/>
                <w:szCs w:val="24"/>
              </w:rPr>
              <w:t>工程名称</w:t>
            </w:r>
            <w:r>
              <w:rPr>
                <w:rFonts w:hint="eastAsia" w:ascii="宋体" w:hAnsi="宋体" w:cs="宋体"/>
                <w:color w:val="auto"/>
                <w:kern w:val="0"/>
                <w:szCs w:val="21"/>
              </w:rPr>
              <w:t>：</w:t>
            </w:r>
            <w:r>
              <w:rPr>
                <w:rFonts w:hint="eastAsia"/>
                <w:sz w:val="24"/>
                <w:szCs w:val="24"/>
                <w:lang w:val="en-US" w:eastAsia="zh-CN"/>
              </w:rPr>
              <w:t>新疆维吾尔自治区中医医院雪莲山中药种植与中医文化传播基地大棚及加工车间建设项目</w:t>
            </w:r>
          </w:p>
        </w:tc>
        <w:tc>
          <w:tcPr>
            <w:tcW w:w="1257" w:type="dxa"/>
            <w:tcBorders>
              <w:top w:val="nil"/>
              <w:left w:val="nil"/>
              <w:bottom w:val="nil"/>
              <w:right w:val="nil"/>
            </w:tcBorders>
            <w:shd w:val="clear" w:color="000000" w:fill="FFFFFF"/>
            <w:noWrap/>
            <w:vAlign w:val="bottom"/>
          </w:tcPr>
          <w:p w14:paraId="70699796">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　</w:t>
            </w:r>
          </w:p>
        </w:tc>
      </w:tr>
      <w:tr w14:paraId="03AAE8DB">
        <w:tblPrEx>
          <w:tblCellMar>
            <w:top w:w="0" w:type="dxa"/>
            <w:left w:w="108" w:type="dxa"/>
            <w:bottom w:w="0" w:type="dxa"/>
            <w:right w:w="108" w:type="dxa"/>
          </w:tblCellMar>
        </w:tblPrEx>
        <w:trPr>
          <w:trHeight w:val="12437" w:hRule="atLeast"/>
        </w:trPr>
        <w:tc>
          <w:tcPr>
            <w:tcW w:w="9923" w:type="dxa"/>
            <w:tcBorders>
              <w:top w:val="single" w:color="auto" w:sz="8" w:space="0"/>
              <w:left w:val="single" w:color="auto" w:sz="8" w:space="0"/>
              <w:bottom w:val="single" w:color="auto" w:sz="4" w:space="0"/>
              <w:right w:val="single" w:color="auto" w:sz="8" w:space="0"/>
            </w:tcBorders>
          </w:tcPr>
          <w:p w14:paraId="6B0B5BEB">
            <w:pPr>
              <w:numPr>
                <w:ilvl w:val="0"/>
                <w:numId w:val="0"/>
              </w:numPr>
              <w:adjustRightInd w:val="0"/>
              <w:snapToGrid w:val="0"/>
              <w:spacing w:line="300" w:lineRule="exact"/>
              <w:rPr>
                <w:color w:val="auto"/>
              </w:rPr>
            </w:pPr>
            <w:r>
              <w:rPr>
                <w:rFonts w:hint="eastAsia" w:ascii="Calibri" w:hAnsi="Calibri" w:eastAsia="宋体" w:cs="Times New Roman"/>
                <w:color w:val="auto"/>
                <w:kern w:val="2"/>
                <w:sz w:val="21"/>
                <w:szCs w:val="22"/>
                <w:lang w:val="en-US" w:eastAsia="zh-CN" w:bidi="ar-SA"/>
              </w:rPr>
              <w:t>一、</w:t>
            </w:r>
            <w:r>
              <w:rPr>
                <w:rFonts w:hint="eastAsia"/>
                <w:b/>
                <w:bCs/>
                <w:color w:val="auto"/>
              </w:rPr>
              <w:t>工程概况：</w:t>
            </w:r>
            <w:r>
              <w:rPr>
                <w:color w:val="auto"/>
              </w:rPr>
              <w:t xml:space="preserve"> </w:t>
            </w:r>
          </w:p>
          <w:p w14:paraId="75A721E7">
            <w:pPr>
              <w:bidi w:val="0"/>
              <w:spacing w:line="360" w:lineRule="auto"/>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GB" w:eastAsia="zh-CN"/>
              </w:rPr>
              <w:t>本工程为</w:t>
            </w:r>
            <w:r>
              <w:rPr>
                <w:rFonts w:hint="eastAsia"/>
                <w:sz w:val="24"/>
                <w:szCs w:val="24"/>
                <w:lang w:val="en-US" w:eastAsia="zh-CN"/>
              </w:rPr>
              <w:t>新疆维吾尔自治区中医医院雪莲山中药种植与中医文化传播基地大棚及加工车间建设项目</w:t>
            </w:r>
          </w:p>
          <w:p w14:paraId="0C81BB9A">
            <w:pPr>
              <w:ind w:right="-94" w:rightChars="-45" w:firstLine="420" w:firstLineChars="200"/>
              <w:jc w:val="left"/>
              <w:rPr>
                <w:rFonts w:hint="eastAsia"/>
                <w:color w:val="auto"/>
                <w:szCs w:val="21"/>
                <w:lang w:val="en-US" w:eastAsia="zh-CN"/>
              </w:rPr>
            </w:pPr>
            <w:r>
              <w:rPr>
                <w:rFonts w:hint="eastAsia"/>
                <w:color w:val="auto"/>
                <w:szCs w:val="21"/>
                <w:lang w:val="en-US" w:eastAsia="zh-CN"/>
              </w:rPr>
              <w:t>大棚建筑面积为320㎡，地上一层，桩基础，外墙为玻璃幕墙，安装工程为电气、给排水、采暖、通风空调、管沟土石方工程。</w:t>
            </w:r>
          </w:p>
          <w:p w14:paraId="0C8731A7">
            <w:pPr>
              <w:ind w:right="-94" w:rightChars="-45" w:firstLine="420" w:firstLineChars="200"/>
              <w:jc w:val="left"/>
              <w:rPr>
                <w:rFonts w:hint="eastAsia"/>
                <w:color w:val="auto"/>
                <w:szCs w:val="21"/>
                <w:lang w:val="en-US" w:eastAsia="zh-CN"/>
              </w:rPr>
            </w:pPr>
            <w:r>
              <w:rPr>
                <w:rFonts w:hint="eastAsia"/>
                <w:color w:val="auto"/>
                <w:szCs w:val="21"/>
                <w:lang w:val="en-US" w:eastAsia="zh-CN"/>
              </w:rPr>
              <w:t xml:space="preserve">    加工车间建筑面积为22</w:t>
            </w:r>
            <w:r>
              <w:rPr>
                <w:rFonts w:hint="default"/>
                <w:color w:val="auto"/>
                <w:szCs w:val="21"/>
                <w:lang w:val="en-US" w:eastAsia="zh-CN"/>
              </w:rPr>
              <w:t>6</w:t>
            </w:r>
            <w:r>
              <w:rPr>
                <w:rFonts w:hint="eastAsia"/>
                <w:color w:val="auto"/>
                <w:szCs w:val="21"/>
                <w:lang w:val="en-US" w:eastAsia="zh-CN"/>
              </w:rPr>
              <w:t>㎡，地上一层，桩基础，外墙为钢板外墙，安装工程为电气、综合布线、采暖、给排水、通风空调、消防、室外土石方等工作内容，具体施工内容及技术规格、参数按工程量清单明确的项目特征描述组织实施。</w:t>
            </w:r>
          </w:p>
          <w:p w14:paraId="4FF49FB6">
            <w:pPr>
              <w:numPr>
                <w:ilvl w:val="0"/>
                <w:numId w:val="0"/>
              </w:numPr>
              <w:adjustRightInd w:val="0"/>
              <w:snapToGrid w:val="0"/>
              <w:spacing w:line="300" w:lineRule="exact"/>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b/>
                <w:bCs/>
                <w:color w:val="auto"/>
                <w:kern w:val="2"/>
                <w:sz w:val="21"/>
                <w:szCs w:val="22"/>
                <w:lang w:val="en-US" w:eastAsia="zh-CN" w:bidi="ar-SA"/>
              </w:rPr>
              <w:t>二、工程招标范围</w:t>
            </w:r>
            <w:r>
              <w:rPr>
                <w:rFonts w:hint="eastAsia" w:ascii="Calibri" w:hAnsi="Calibri" w:eastAsia="宋体" w:cs="Times New Roman"/>
                <w:color w:val="auto"/>
                <w:kern w:val="2"/>
                <w:sz w:val="21"/>
                <w:szCs w:val="22"/>
                <w:lang w:val="en-US" w:eastAsia="zh-CN" w:bidi="ar-SA"/>
              </w:rPr>
              <w:t xml:space="preserve"> </w:t>
            </w:r>
          </w:p>
          <w:p w14:paraId="33CD58BD">
            <w:pPr>
              <w:widowControl/>
              <w:numPr>
                <w:ilvl w:val="0"/>
                <w:numId w:val="0"/>
              </w:numPr>
              <w:ind w:leftChars="0" w:firstLine="420" w:firstLineChars="200"/>
              <w:jc w:val="left"/>
              <w:rPr>
                <w:rFonts w:hint="eastAsia"/>
                <w:color w:val="auto"/>
                <w:lang w:eastAsia="zh-CN"/>
              </w:rPr>
            </w:pPr>
            <w:r>
              <w:rPr>
                <w:rFonts w:hint="eastAsia"/>
                <w:color w:val="auto"/>
                <w:lang w:val="en-US" w:eastAsia="zh-CN"/>
              </w:rPr>
              <w:t xml:space="preserve"> 招标文件、设计图纸范围内所有内容(包括工程量清单)及招标文件补充文件的所有工作内容 </w:t>
            </w:r>
            <w:r>
              <w:rPr>
                <w:rFonts w:hint="eastAsia"/>
                <w:color w:val="auto"/>
                <w:lang w:eastAsia="zh-CN"/>
              </w:rPr>
              <w:t>。</w:t>
            </w:r>
          </w:p>
          <w:p w14:paraId="2AF06868">
            <w:pPr>
              <w:widowControl/>
              <w:numPr>
                <w:ilvl w:val="0"/>
                <w:numId w:val="0"/>
              </w:numPr>
              <w:ind w:left="0" w:leftChars="0" w:firstLine="0" w:firstLineChars="0"/>
              <w:jc w:val="left"/>
              <w:rPr>
                <w:b/>
                <w:bCs/>
                <w:color w:val="auto"/>
              </w:rPr>
            </w:pPr>
            <w:r>
              <w:rPr>
                <w:rFonts w:hint="eastAsia" w:cs="Times New Roman"/>
                <w:b/>
                <w:bCs/>
                <w:color w:val="auto"/>
                <w:kern w:val="2"/>
                <w:sz w:val="21"/>
                <w:szCs w:val="22"/>
                <w:lang w:val="en-US" w:eastAsia="zh-CN" w:bidi="ar-SA"/>
              </w:rPr>
              <w:t>三</w:t>
            </w:r>
            <w:r>
              <w:rPr>
                <w:rFonts w:hint="eastAsia" w:ascii="Calibri" w:hAnsi="Calibri" w:eastAsia="宋体" w:cs="Times New Roman"/>
                <w:b/>
                <w:bCs/>
                <w:color w:val="auto"/>
                <w:kern w:val="2"/>
                <w:sz w:val="21"/>
                <w:szCs w:val="22"/>
                <w:lang w:val="en-US" w:eastAsia="zh-CN" w:bidi="ar-SA"/>
              </w:rPr>
              <w:t>、</w:t>
            </w:r>
            <w:r>
              <w:rPr>
                <w:rFonts w:hint="eastAsia"/>
                <w:b/>
                <w:bCs/>
                <w:color w:val="auto"/>
              </w:rPr>
              <w:t>清单编制依据</w:t>
            </w:r>
            <w:r>
              <w:rPr>
                <w:b/>
                <w:bCs/>
                <w:color w:val="auto"/>
              </w:rPr>
              <w:t xml:space="preserve"> </w:t>
            </w:r>
          </w:p>
          <w:p w14:paraId="2D474420">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lang w:val="en-US" w:eastAsia="zh-CN"/>
              </w:rPr>
              <w:t>1、本工程依据建设单位提供的由乌鲁木齐建筑设计研究院有限责任公司设计的图纸及图纸答疑文件</w:t>
            </w:r>
            <w:r>
              <w:rPr>
                <w:rFonts w:hint="eastAsia"/>
                <w:b w:val="0"/>
                <w:bCs w:val="0"/>
                <w:color w:val="auto"/>
                <w:highlight w:val="none"/>
                <w:lang w:val="en-US" w:eastAsia="zh-CN"/>
              </w:rPr>
              <w:t>。</w:t>
            </w:r>
          </w:p>
          <w:p w14:paraId="4E484E9C">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2、《建设工程量清单计价规范》GB50500-2013、《房屋建筑与装饰工程工程量计算规范GB50854-2013》</w:t>
            </w:r>
            <w:r>
              <w:rPr>
                <w:rFonts w:hint="eastAsia"/>
                <w:color w:val="auto"/>
                <w:szCs w:val="21"/>
                <w:highlight w:val="none"/>
              </w:rPr>
              <w:t>《通用安装工程工程量计算规范》GB50856-2013</w:t>
            </w:r>
            <w:r>
              <w:rPr>
                <w:rFonts w:hint="eastAsia"/>
                <w:color w:val="auto"/>
                <w:szCs w:val="21"/>
                <w:highlight w:val="none"/>
                <w:lang w:eastAsia="zh-CN"/>
              </w:rPr>
              <w:t>、</w:t>
            </w:r>
            <w:r>
              <w:rPr>
                <w:rFonts w:hint="eastAsia"/>
                <w:b w:val="0"/>
                <w:bCs w:val="0"/>
                <w:color w:val="auto"/>
                <w:highlight w:val="none"/>
                <w:lang w:val="en-US" w:eastAsia="zh-CN"/>
              </w:rPr>
              <w:t>《市政工程工程量计算规范》GB50857-2013、</w:t>
            </w:r>
            <w:r>
              <w:rPr>
                <w:rFonts w:hint="eastAsia"/>
                <w:b w:val="0"/>
                <w:bCs w:val="0"/>
                <w:color w:val="auto"/>
                <w:highlight w:val="none"/>
              </w:rPr>
              <w:t>《</w:t>
            </w:r>
            <w:r>
              <w:rPr>
                <w:rFonts w:hint="eastAsia"/>
                <w:b w:val="0"/>
                <w:bCs w:val="0"/>
                <w:color w:val="auto"/>
                <w:highlight w:val="none"/>
                <w:lang w:eastAsia="zh-CN"/>
              </w:rPr>
              <w:t>园林绿化工程</w:t>
            </w:r>
            <w:r>
              <w:rPr>
                <w:rFonts w:hint="eastAsia"/>
                <w:b w:val="0"/>
                <w:bCs w:val="0"/>
                <w:color w:val="auto"/>
                <w:highlight w:val="none"/>
              </w:rPr>
              <w:t>工程工程量计算规范》GB508</w:t>
            </w:r>
            <w:r>
              <w:rPr>
                <w:rFonts w:hint="eastAsia"/>
                <w:b w:val="0"/>
                <w:bCs w:val="0"/>
                <w:color w:val="auto"/>
                <w:highlight w:val="none"/>
                <w:lang w:val="en-US" w:eastAsia="zh-CN"/>
              </w:rPr>
              <w:t>58</w:t>
            </w:r>
            <w:r>
              <w:rPr>
                <w:rFonts w:hint="eastAsia"/>
                <w:b w:val="0"/>
                <w:bCs w:val="0"/>
                <w:color w:val="auto"/>
                <w:highlight w:val="none"/>
              </w:rPr>
              <w:t>-2013</w:t>
            </w:r>
            <w:r>
              <w:rPr>
                <w:rFonts w:hint="eastAsia"/>
                <w:b w:val="0"/>
                <w:bCs w:val="0"/>
                <w:color w:val="auto"/>
                <w:highlight w:val="none"/>
                <w:lang w:val="en-US" w:eastAsia="zh-CN"/>
              </w:rPr>
              <w:t>。</w:t>
            </w:r>
          </w:p>
          <w:p w14:paraId="2298F974">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3、新疆维吾尔自治区住房和城乡建设厅发布的新建标[2019]4号文“关于调整我区建设工程计价依据增值税税率的通知”。</w:t>
            </w:r>
          </w:p>
          <w:p w14:paraId="56C7A3D6">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4、 智慧工地基础配置费用执行新疆维吾尔自治区住房和城乡建设厅《关于建设工程 智慧工地基础配置费用计取事项（试行）的通知》新建标函[2021]17 号。</w:t>
            </w:r>
          </w:p>
          <w:p w14:paraId="56A1DA5C">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5、建设工程扬尘污染防治增加费执行新疆维吾尔自治区住房和城乡建设厅公告 2020 年第 120 号《关于新疆建设工程扬尘污染防治增加费计取方法的公告》。扬尘污染防 治增加费列入安全文明施工费作为不可竞争费用。</w:t>
            </w:r>
          </w:p>
          <w:p w14:paraId="7DD1DFEB">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6、招标文件相关条款；</w:t>
            </w:r>
          </w:p>
          <w:p w14:paraId="5EB0BBC9">
            <w:pPr>
              <w:widowControl/>
              <w:numPr>
                <w:ilvl w:val="0"/>
                <w:numId w:val="0"/>
              </w:numPr>
              <w:adjustRightInd w:val="0"/>
              <w:snapToGrid w:val="0"/>
              <w:spacing w:line="300" w:lineRule="exact"/>
              <w:ind w:firstLine="420" w:firstLineChars="200"/>
              <w:jc w:val="both"/>
              <w:rPr>
                <w:rFonts w:hint="eastAsia"/>
                <w:b w:val="0"/>
                <w:bCs w:val="0"/>
                <w:color w:val="auto"/>
                <w:highlight w:val="none"/>
                <w:lang w:val="en-US" w:eastAsia="zh-CN"/>
              </w:rPr>
            </w:pPr>
            <w:r>
              <w:rPr>
                <w:rFonts w:hint="eastAsia"/>
                <w:b w:val="0"/>
                <w:bCs w:val="0"/>
                <w:color w:val="auto"/>
                <w:highlight w:val="none"/>
                <w:lang w:val="en-US" w:eastAsia="zh-CN"/>
              </w:rPr>
              <w:t>7、其他与工程相关的标准、规范及技术资料。</w:t>
            </w:r>
          </w:p>
          <w:p w14:paraId="4F38251A">
            <w:pPr>
              <w:widowControl/>
              <w:numPr>
                <w:ilvl w:val="0"/>
                <w:numId w:val="0"/>
              </w:numPr>
              <w:adjustRightInd w:val="0"/>
              <w:snapToGrid w:val="0"/>
              <w:spacing w:line="300" w:lineRule="exact"/>
              <w:jc w:val="both"/>
              <w:rPr>
                <w:rFonts w:hint="default"/>
                <w:b w:val="0"/>
                <w:bCs w:val="0"/>
                <w:color w:val="auto"/>
                <w:highlight w:val="none"/>
                <w:lang w:val="en-US" w:eastAsia="zh-CN"/>
              </w:rPr>
            </w:pPr>
          </w:p>
          <w:p w14:paraId="67B56203">
            <w:pPr>
              <w:widowControl/>
              <w:numPr>
                <w:ilvl w:val="0"/>
                <w:numId w:val="0"/>
              </w:numPr>
              <w:adjustRightInd w:val="0"/>
              <w:snapToGrid w:val="0"/>
              <w:spacing w:line="300" w:lineRule="exact"/>
              <w:jc w:val="both"/>
              <w:rPr>
                <w:b/>
                <w:bCs/>
                <w:color w:val="auto"/>
              </w:rPr>
            </w:pPr>
            <w:r>
              <w:rPr>
                <w:rFonts w:hint="eastAsia"/>
                <w:b/>
                <w:bCs/>
                <w:color w:val="auto"/>
              </w:rPr>
              <w:t>四、</w:t>
            </w:r>
            <w:r>
              <w:rPr>
                <w:b/>
                <w:bCs/>
                <w:color w:val="auto"/>
              </w:rPr>
              <w:t xml:space="preserve"> </w:t>
            </w:r>
            <w:r>
              <w:rPr>
                <w:rFonts w:hint="eastAsia"/>
                <w:b/>
                <w:bCs/>
                <w:color w:val="auto"/>
              </w:rPr>
              <w:t>其他说明事项</w:t>
            </w:r>
            <w:r>
              <w:rPr>
                <w:b/>
                <w:bCs/>
                <w:color w:val="auto"/>
              </w:rPr>
              <w:t xml:space="preserve"> </w:t>
            </w:r>
          </w:p>
          <w:p w14:paraId="5B5EEAFF">
            <w:pPr>
              <w:widowControl/>
              <w:numPr>
                <w:ilvl w:val="0"/>
                <w:numId w:val="0"/>
              </w:numPr>
              <w:adjustRightInd w:val="0"/>
              <w:snapToGrid w:val="0"/>
              <w:spacing w:line="300" w:lineRule="exact"/>
              <w:ind w:firstLine="420" w:firstLineChars="200"/>
              <w:jc w:val="both"/>
              <w:rPr>
                <w:rFonts w:hint="eastAsia"/>
                <w:color w:val="auto"/>
                <w:szCs w:val="21"/>
              </w:rPr>
            </w:pPr>
            <w:r>
              <w:rPr>
                <w:rFonts w:hint="eastAsia"/>
                <w:color w:val="auto"/>
                <w:szCs w:val="21"/>
              </w:rPr>
              <w:t>1、本工程工程量清单按《建设工程工程量清单计价规范》GB50500-2013、《房屋建筑与装饰工程工程量计算规范》GB50854-2013、《通用安装工程工程量计算规范》GB50856-2013</w:t>
            </w:r>
            <w:r>
              <w:rPr>
                <w:rFonts w:hint="eastAsia"/>
                <w:color w:val="auto"/>
                <w:szCs w:val="21"/>
                <w:lang w:eastAsia="zh-CN"/>
              </w:rPr>
              <w:t>、</w:t>
            </w:r>
            <w:r>
              <w:rPr>
                <w:rFonts w:hint="eastAsia"/>
                <w:b w:val="0"/>
                <w:bCs w:val="0"/>
                <w:color w:val="auto"/>
                <w:highlight w:val="none"/>
                <w:lang w:val="en-US" w:eastAsia="zh-CN"/>
              </w:rPr>
              <w:t>《市政工程工程量计算规范》GB50857-2013、</w:t>
            </w:r>
            <w:r>
              <w:rPr>
                <w:rFonts w:hint="eastAsia"/>
                <w:b w:val="0"/>
                <w:bCs w:val="0"/>
                <w:color w:val="auto"/>
                <w:highlight w:val="none"/>
              </w:rPr>
              <w:t>《</w:t>
            </w:r>
            <w:r>
              <w:rPr>
                <w:rFonts w:hint="eastAsia"/>
                <w:b w:val="0"/>
                <w:bCs w:val="0"/>
                <w:color w:val="auto"/>
                <w:highlight w:val="none"/>
                <w:lang w:eastAsia="zh-CN"/>
              </w:rPr>
              <w:t>园林绿化工程</w:t>
            </w:r>
            <w:r>
              <w:rPr>
                <w:rFonts w:hint="eastAsia"/>
                <w:b w:val="0"/>
                <w:bCs w:val="0"/>
                <w:color w:val="auto"/>
                <w:highlight w:val="none"/>
              </w:rPr>
              <w:t>工程工程量计算规范》GB508</w:t>
            </w:r>
            <w:r>
              <w:rPr>
                <w:rFonts w:hint="eastAsia"/>
                <w:b w:val="0"/>
                <w:bCs w:val="0"/>
                <w:color w:val="auto"/>
                <w:highlight w:val="none"/>
                <w:lang w:val="en-US" w:eastAsia="zh-CN"/>
              </w:rPr>
              <w:t>58</w:t>
            </w:r>
            <w:r>
              <w:rPr>
                <w:rFonts w:hint="eastAsia"/>
                <w:b w:val="0"/>
                <w:bCs w:val="0"/>
                <w:color w:val="auto"/>
                <w:highlight w:val="none"/>
              </w:rPr>
              <w:t>-2013</w:t>
            </w:r>
            <w:r>
              <w:rPr>
                <w:rFonts w:hint="eastAsia"/>
                <w:b w:val="0"/>
                <w:bCs w:val="0"/>
                <w:color w:val="auto"/>
                <w:highlight w:val="none"/>
                <w:lang w:val="en-US" w:eastAsia="zh-CN"/>
              </w:rPr>
              <w:t>。</w:t>
            </w:r>
            <w:r>
              <w:rPr>
                <w:rFonts w:hint="eastAsia"/>
                <w:color w:val="auto"/>
                <w:szCs w:val="21"/>
              </w:rPr>
              <w:t>的规范及要求，使用表格及格式按《建设工程工程量清单计价规范》GB50500-2013要求执行，有更正的以勘误和解释为准；</w:t>
            </w:r>
          </w:p>
          <w:p w14:paraId="70677B13">
            <w:pPr>
              <w:ind w:right="-94" w:rightChars="-45" w:firstLine="420" w:firstLineChars="200"/>
              <w:jc w:val="left"/>
              <w:rPr>
                <w:rFonts w:hint="eastAsia"/>
                <w:color w:val="auto"/>
                <w:szCs w:val="21"/>
              </w:rPr>
            </w:pPr>
            <w:r>
              <w:rPr>
                <w:rFonts w:hint="eastAsia"/>
                <w:color w:val="auto"/>
                <w:szCs w:val="21"/>
              </w:rPr>
              <w:t>2、工程量清单中的每一个项目都需填报综合单价和合价，对于没有填报综合单价和合价的项目，不同单项及单位工程的分部分项工程量清单中相同项目（项目特征及工作内容相同）的报价应统一，如有差异，按最低一个报价结算；</w:t>
            </w:r>
          </w:p>
          <w:p w14:paraId="1562B01C">
            <w:pPr>
              <w:ind w:right="-94" w:rightChars="-45" w:firstLine="420" w:firstLineChars="200"/>
              <w:jc w:val="left"/>
              <w:rPr>
                <w:rFonts w:hint="eastAsia"/>
                <w:color w:val="auto"/>
                <w:szCs w:val="21"/>
              </w:rPr>
            </w:pPr>
            <w:r>
              <w:rPr>
                <w:rFonts w:hint="eastAsia"/>
                <w:color w:val="auto"/>
                <w:szCs w:val="21"/>
              </w:rPr>
              <w:t>3、工程量清单及计价格式中的任何内容不得随意删除和涂改，如有</w:t>
            </w:r>
            <w:r>
              <w:rPr>
                <w:rFonts w:hint="eastAsia"/>
                <w:color w:val="auto"/>
                <w:szCs w:val="21"/>
                <w:lang w:eastAsia="zh-CN"/>
              </w:rPr>
              <w:t>错</w:t>
            </w:r>
            <w:r>
              <w:rPr>
                <w:rFonts w:hint="eastAsia"/>
                <w:color w:val="auto"/>
                <w:szCs w:val="21"/>
              </w:rPr>
              <w:t>误，在招标答疑时及时提出，以补充资料为准；</w:t>
            </w:r>
          </w:p>
          <w:p w14:paraId="4D8CD99B">
            <w:pPr>
              <w:ind w:right="-94" w:rightChars="-45" w:firstLine="420" w:firstLineChars="200"/>
              <w:jc w:val="left"/>
              <w:rPr>
                <w:rFonts w:hint="eastAsia" w:eastAsia="宋体"/>
                <w:color w:val="auto"/>
                <w:szCs w:val="21"/>
                <w:lang w:eastAsia="zh-CN"/>
              </w:rPr>
            </w:pPr>
            <w:r>
              <w:rPr>
                <w:rFonts w:hint="eastAsia"/>
                <w:color w:val="auto"/>
                <w:szCs w:val="21"/>
              </w:rPr>
              <w:t>4、工程量清单叙述不到位的，由投标人根据施工图纸，施工组织设计、招标答疑、图纸答疑及施工规范综合考虑在报价中。工程量清单中项目名称、项目特征所述内容只作为该项目在图纸中的一部分。投标人报价应按照施工图纸、施工组织设计及有关规范完成该项目的全部内容</w:t>
            </w:r>
            <w:r>
              <w:rPr>
                <w:rFonts w:hint="eastAsia"/>
                <w:color w:val="auto"/>
                <w:szCs w:val="21"/>
                <w:lang w:eastAsia="zh-CN"/>
              </w:rPr>
              <w:t>；</w:t>
            </w:r>
          </w:p>
          <w:p w14:paraId="2F5DFFE7">
            <w:pPr>
              <w:ind w:right="-94" w:rightChars="-45" w:firstLine="420" w:firstLineChars="200"/>
              <w:jc w:val="left"/>
              <w:rPr>
                <w:rFonts w:hint="eastAsia"/>
                <w:color w:val="auto"/>
                <w:szCs w:val="21"/>
              </w:rPr>
            </w:pPr>
            <w:r>
              <w:rPr>
                <w:rFonts w:hint="eastAsia"/>
                <w:color w:val="auto"/>
                <w:szCs w:val="21"/>
              </w:rPr>
              <w:t>5、投标人根据施工现场情况、工程特点及投标时拟定的施工组织设计或施工方案，对工程量清单内容报价；</w:t>
            </w:r>
          </w:p>
          <w:p w14:paraId="30E7C732">
            <w:pPr>
              <w:ind w:right="-94" w:rightChars="-45" w:firstLine="420" w:firstLineChars="200"/>
              <w:jc w:val="left"/>
              <w:rPr>
                <w:rFonts w:hint="eastAsia"/>
                <w:color w:val="auto"/>
                <w:szCs w:val="21"/>
              </w:rPr>
            </w:pPr>
            <w:r>
              <w:rPr>
                <w:rFonts w:hint="eastAsia"/>
                <w:color w:val="auto"/>
                <w:szCs w:val="21"/>
                <w:lang w:val="en-US" w:eastAsia="zh-CN"/>
              </w:rPr>
              <w:t>6</w:t>
            </w:r>
            <w:r>
              <w:rPr>
                <w:rFonts w:hint="eastAsia"/>
                <w:color w:val="auto"/>
                <w:szCs w:val="21"/>
              </w:rPr>
              <w:t>、本说明未尽事项，以计价规范、工程量计算规范、计价管理办法、招标文件以及有关的法律、法规、建设行政主管部门颁发的文件为准。</w:t>
            </w:r>
          </w:p>
          <w:p w14:paraId="3EF3BCE2">
            <w:pPr>
              <w:ind w:right="-94" w:rightChars="-45" w:firstLine="420" w:firstLineChars="200"/>
              <w:jc w:val="left"/>
              <w:rPr>
                <w:rFonts w:hint="eastAsia"/>
                <w:color w:val="auto"/>
                <w:szCs w:val="21"/>
              </w:rPr>
            </w:pPr>
            <w:r>
              <w:rPr>
                <w:rFonts w:hint="eastAsia"/>
                <w:color w:val="auto"/>
                <w:szCs w:val="21"/>
                <w:lang w:val="en-US" w:eastAsia="zh-CN"/>
              </w:rPr>
              <w:t>7、</w:t>
            </w:r>
            <w:r>
              <w:rPr>
                <w:rFonts w:hint="eastAsia"/>
                <w:color w:val="auto"/>
                <w:szCs w:val="21"/>
              </w:rPr>
              <w:t>投标人在</w:t>
            </w:r>
            <w:r>
              <w:rPr>
                <w:rFonts w:hint="eastAsia"/>
                <w:color w:val="auto"/>
                <w:szCs w:val="21"/>
                <w:lang w:eastAsia="zh-CN"/>
              </w:rPr>
              <w:t>相应</w:t>
            </w:r>
            <w:r>
              <w:rPr>
                <w:rFonts w:hint="eastAsia"/>
                <w:color w:val="auto"/>
                <w:szCs w:val="21"/>
              </w:rPr>
              <w:t>清单</w:t>
            </w:r>
            <w:r>
              <w:rPr>
                <w:rFonts w:hint="eastAsia"/>
                <w:color w:val="auto"/>
                <w:szCs w:val="21"/>
                <w:lang w:eastAsia="zh-CN"/>
              </w:rPr>
              <w:t>项</w:t>
            </w:r>
            <w:r>
              <w:rPr>
                <w:rFonts w:hint="eastAsia"/>
                <w:color w:val="auto"/>
                <w:szCs w:val="21"/>
              </w:rPr>
              <w:t>的综合单价中应考虑辅材及配件等费用；</w:t>
            </w:r>
          </w:p>
          <w:p w14:paraId="0EB91E11">
            <w:pPr>
              <w:ind w:right="-94" w:rightChars="-45" w:firstLine="420" w:firstLineChars="200"/>
              <w:jc w:val="left"/>
              <w:rPr>
                <w:rFonts w:hint="eastAsia"/>
                <w:color w:val="auto"/>
                <w:szCs w:val="21"/>
              </w:rPr>
            </w:pPr>
            <w:r>
              <w:rPr>
                <w:rFonts w:hint="eastAsia"/>
                <w:color w:val="auto"/>
                <w:szCs w:val="21"/>
              </w:rPr>
              <w:t>本次招标工程项目的脚手架使用费、安全文明施工费、临时设施费、垂直运输机械使用费、环境保护费及其他相关费用，由投标人结合工地现场条件、企业管理水平等相关因素，考虑在措施项目费中；</w:t>
            </w:r>
          </w:p>
          <w:p w14:paraId="3A9F242D">
            <w:pPr>
              <w:ind w:right="-94" w:rightChars="-45" w:firstLine="420" w:firstLineChars="200"/>
              <w:jc w:val="left"/>
              <w:rPr>
                <w:rFonts w:hint="eastAsia"/>
                <w:color w:val="auto"/>
                <w:szCs w:val="21"/>
              </w:rPr>
            </w:pPr>
            <w:r>
              <w:rPr>
                <w:rFonts w:hint="eastAsia"/>
                <w:color w:val="auto"/>
                <w:szCs w:val="21"/>
                <w:lang w:eastAsia="zh-CN"/>
              </w:rPr>
              <w:t>安全文明施工费、</w:t>
            </w:r>
            <w:r>
              <w:rPr>
                <w:rFonts w:hint="eastAsia"/>
                <w:color w:val="auto"/>
                <w:szCs w:val="21"/>
              </w:rPr>
              <w:t>规费、税金为不可竞争费按规定统一填报。</w:t>
            </w:r>
          </w:p>
          <w:p w14:paraId="3C35E914">
            <w:pPr>
              <w:ind w:right="-94" w:rightChars="-45" w:firstLine="420" w:firstLineChars="200"/>
              <w:jc w:val="left"/>
              <w:rPr>
                <w:rFonts w:hint="eastAsia"/>
                <w:color w:val="auto"/>
                <w:szCs w:val="21"/>
              </w:rPr>
            </w:pPr>
            <w:r>
              <w:rPr>
                <w:rFonts w:hint="eastAsia"/>
                <w:color w:val="auto"/>
                <w:szCs w:val="21"/>
              </w:rPr>
              <w:t>其它需要说明：</w:t>
            </w:r>
          </w:p>
          <w:p w14:paraId="4EDBE5DB">
            <w:pPr>
              <w:ind w:right="-94" w:rightChars="-45" w:firstLine="420" w:firstLineChars="200"/>
              <w:jc w:val="left"/>
              <w:rPr>
                <w:rFonts w:hint="eastAsia"/>
                <w:color w:val="auto"/>
                <w:szCs w:val="21"/>
                <w:lang w:val="en-US" w:eastAsia="zh-CN"/>
              </w:rPr>
            </w:pPr>
            <w:r>
              <w:rPr>
                <w:rFonts w:hint="eastAsia"/>
                <w:color w:val="auto"/>
                <w:szCs w:val="21"/>
                <w:lang w:val="en-US" w:eastAsia="zh-CN"/>
              </w:rPr>
              <w:t>①暂列金额：本工程暂列金暂按200000元（不含税）计入，结算时按文件规定按实结算。</w:t>
            </w:r>
          </w:p>
          <w:p w14:paraId="5135ED9E">
            <w:pPr>
              <w:ind w:right="-94" w:rightChars="-45" w:firstLine="420" w:firstLineChars="200"/>
              <w:jc w:val="left"/>
              <w:rPr>
                <w:rFonts w:hint="eastAsia"/>
                <w:color w:val="auto"/>
                <w:szCs w:val="21"/>
                <w:lang w:val="en-US" w:eastAsia="zh-CN"/>
              </w:rPr>
            </w:pPr>
            <w:r>
              <w:rPr>
                <w:rFonts w:hint="eastAsia"/>
                <w:color w:val="auto"/>
                <w:szCs w:val="21"/>
                <w:lang w:val="en-US" w:eastAsia="zh-CN"/>
              </w:rPr>
              <w:t>②经与建设单位沟通智慧工地基础配置费暂按不计入。</w:t>
            </w:r>
          </w:p>
          <w:p w14:paraId="2A767CD7">
            <w:pPr>
              <w:pStyle w:val="4"/>
              <w:keepNext w:val="0"/>
              <w:keepLines w:val="0"/>
              <w:widowControl/>
              <w:suppressLineNumbers w:val="0"/>
              <w:spacing w:before="0" w:beforeAutospacing="0" w:after="0" w:afterAutospacing="0"/>
              <w:ind w:right="0" w:firstLine="480" w:firstLineChars="200"/>
              <w:rPr>
                <w:rFonts w:hint="default"/>
                <w:color w:val="auto"/>
                <w:lang w:val="en-US" w:eastAsia="zh-CN"/>
              </w:rPr>
            </w:pPr>
          </w:p>
        </w:tc>
        <w:tc>
          <w:tcPr>
            <w:tcW w:w="1257" w:type="dxa"/>
            <w:tcBorders>
              <w:top w:val="nil"/>
              <w:left w:val="nil"/>
              <w:bottom w:val="nil"/>
              <w:right w:val="nil"/>
            </w:tcBorders>
            <w:shd w:val="clear" w:color="000000" w:fill="FFFFFF"/>
            <w:noWrap/>
            <w:vAlign w:val="bottom"/>
          </w:tcPr>
          <w:p w14:paraId="462BF0DD">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　</w:t>
            </w:r>
          </w:p>
        </w:tc>
      </w:tr>
    </w:tbl>
    <w:p w14:paraId="49699501">
      <w:pPr>
        <w:rPr>
          <w:color w:val="auto"/>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45F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2F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94CE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C64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5C60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12F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99"/>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customStyle="1" w:styleId="7">
    <w:name w:val="Footer Char_79270c1d-1182-416e-86ac-a135b36c93f6"/>
    <w:basedOn w:val="6"/>
    <w:link w:val="2"/>
    <w:qFormat/>
    <w:uiPriority w:val="99"/>
    <w:rPr>
      <w:rFonts w:cs="Times New Roman"/>
      <w:sz w:val="18"/>
      <w:szCs w:val="18"/>
    </w:rPr>
  </w:style>
  <w:style w:type="character" w:customStyle="1" w:styleId="8">
    <w:name w:val="Header Char_e21008c4-717c-48bb-8e76-a5caeb361de8"/>
    <w:basedOn w:val="6"/>
    <w:link w:val="3"/>
    <w:qFormat/>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1449</Words>
  <Characters>1597</Characters>
  <Paragraphs>50</Paragraphs>
  <TotalTime>6</TotalTime>
  <ScaleCrop>false</ScaleCrop>
  <LinksUpToDate>false</LinksUpToDate>
  <CharactersWithSpaces>1619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2018-04-08T05:06:00Z</dcterms:created>
  <dc:creator>Windows 用户</dc:creator>
  <cp:lastModifiedBy>63121</cp:lastModifiedBy>
  <cp:lastPrinted>2025-05-14T07:08:00Z</cp:lastPrinted>
  <dcterms:modified xsi:type="dcterms:W3CDTF">2026-05-19T02:58:37Z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BE132E9FAD5844F6A2D327B214C7BC92_13</vt:lpwstr>
  </property>
  <property fmtid="{D5CDD505-2E9C-101B-9397-08002B2CF9AE}" pid="4" name="KSOTemplateDocerSaveRecord">
    <vt:lpwstr>eyJoZGlkIjoiZjY2ZTgxYTFjZDFiYzY1ZWZiMGViM2M3Nzk1MzM0ODYiLCJ1c2VySWQiOiIxMDU3MjMzMDA1In0=</vt:lpwstr>
  </property>
</Properties>
</file>