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宋体" w:hAnsi="宋体" w:eastAsia="宋体"/>
          <w:b/>
          <w:bCs/>
          <w:color w:val="auto"/>
          <w:kern w:val="0"/>
          <w:sz w:val="56"/>
          <w:szCs w:val="52"/>
          <w:highlight w:val="none"/>
        </w:rPr>
      </w:pPr>
    </w:p>
    <w:p>
      <w:pPr>
        <w:widowControl/>
        <w:spacing w:line="360" w:lineRule="auto"/>
        <w:jc w:val="center"/>
        <w:rPr>
          <w:rFonts w:hint="eastAsia" w:ascii="宋体" w:hAnsi="宋体" w:eastAsia="宋体"/>
          <w:b/>
          <w:bCs/>
          <w:color w:val="auto"/>
          <w:kern w:val="0"/>
          <w:sz w:val="36"/>
          <w:szCs w:val="36"/>
          <w:highlight w:val="none"/>
          <w:lang w:val="en-US" w:eastAsia="zh-CN"/>
        </w:rPr>
      </w:pPr>
      <w:r>
        <w:rPr>
          <w:rFonts w:hint="eastAsia" w:ascii="宋体" w:hAnsi="宋体"/>
          <w:b/>
          <w:bCs/>
          <w:color w:val="auto"/>
          <w:kern w:val="0"/>
          <w:sz w:val="56"/>
          <w:szCs w:val="56"/>
          <w:highlight w:val="none"/>
          <w:lang w:eastAsia="zh-CN"/>
        </w:rPr>
        <w:t>2026年松江河镇园林绿化管理服务</w:t>
      </w:r>
    </w:p>
    <w:p>
      <w:pPr>
        <w:widowControl/>
        <w:spacing w:line="360" w:lineRule="auto"/>
        <w:jc w:val="both"/>
        <w:rPr>
          <w:rFonts w:hint="eastAsia" w:ascii="宋体" w:hAnsi="宋体" w:eastAsia="宋体"/>
          <w:b/>
          <w:bCs/>
          <w:color w:val="auto"/>
          <w:kern w:val="0"/>
          <w:sz w:val="36"/>
          <w:szCs w:val="36"/>
          <w:highlight w:val="none"/>
          <w:lang w:val="en-US" w:eastAsia="zh-CN"/>
        </w:rPr>
      </w:pPr>
    </w:p>
    <w:p>
      <w:pPr>
        <w:widowControl/>
        <w:spacing w:line="360" w:lineRule="auto"/>
        <w:jc w:val="both"/>
        <w:rPr>
          <w:rFonts w:hint="eastAsia" w:ascii="宋体" w:hAnsi="宋体" w:eastAsia="宋体"/>
          <w:b/>
          <w:bCs/>
          <w:color w:val="auto"/>
          <w:kern w:val="0"/>
          <w:sz w:val="84"/>
          <w:szCs w:val="84"/>
          <w:highlight w:val="none"/>
          <w:lang w:val="en-US" w:eastAsia="zh-CN"/>
        </w:rPr>
      </w:pPr>
    </w:p>
    <w:p>
      <w:pPr>
        <w:widowControl/>
        <w:spacing w:line="360" w:lineRule="auto"/>
        <w:jc w:val="both"/>
        <w:rPr>
          <w:rFonts w:hint="eastAsia" w:ascii="宋体" w:hAnsi="宋体" w:eastAsia="宋体"/>
          <w:b/>
          <w:bCs/>
          <w:color w:val="auto"/>
          <w:kern w:val="0"/>
          <w:sz w:val="56"/>
          <w:szCs w:val="56"/>
          <w:highlight w:val="none"/>
          <w:lang w:val="en-US" w:eastAsia="zh-CN"/>
        </w:rPr>
      </w:pPr>
    </w:p>
    <w:p>
      <w:pPr>
        <w:widowControl/>
        <w:spacing w:line="360" w:lineRule="auto"/>
        <w:jc w:val="center"/>
        <w:rPr>
          <w:rFonts w:ascii="宋体" w:hAnsi="宋体" w:eastAsia="宋体"/>
          <w:b/>
          <w:bCs/>
          <w:color w:val="auto"/>
          <w:kern w:val="0"/>
          <w:sz w:val="84"/>
          <w:szCs w:val="84"/>
          <w:highlight w:val="none"/>
        </w:rPr>
      </w:pPr>
      <w:r>
        <w:rPr>
          <w:rFonts w:hint="eastAsia" w:ascii="宋体" w:hAnsi="宋体" w:eastAsia="宋体"/>
          <w:b/>
          <w:bCs/>
          <w:color w:val="auto"/>
          <w:kern w:val="0"/>
          <w:sz w:val="84"/>
          <w:szCs w:val="84"/>
          <w:highlight w:val="none"/>
          <w:lang w:val="en-US" w:eastAsia="zh-CN"/>
        </w:rPr>
        <w:t>竞争性磋商</w:t>
      </w:r>
      <w:r>
        <w:rPr>
          <w:rFonts w:hint="eastAsia" w:ascii="宋体" w:hAnsi="宋体" w:eastAsia="宋体"/>
          <w:b/>
          <w:bCs/>
          <w:color w:val="auto"/>
          <w:kern w:val="0"/>
          <w:sz w:val="84"/>
          <w:szCs w:val="84"/>
          <w:highlight w:val="none"/>
        </w:rPr>
        <w:t>文件</w:t>
      </w:r>
    </w:p>
    <w:p>
      <w:pPr>
        <w:widowControl/>
        <w:snapToGrid w:val="0"/>
        <w:spacing w:line="360" w:lineRule="auto"/>
        <w:jc w:val="center"/>
        <w:outlineLvl w:val="1"/>
        <w:rPr>
          <w:rFonts w:hint="default" w:ascii="宋体" w:hAnsi="宋体" w:eastAsia="宋体" w:cs="Arial"/>
          <w:b/>
          <w:bCs/>
          <w:color w:val="auto"/>
          <w:kern w:val="0"/>
          <w:sz w:val="32"/>
          <w:szCs w:val="32"/>
          <w:highlight w:val="none"/>
          <w:lang w:val="en-US" w:eastAsia="zh-CN"/>
        </w:rPr>
      </w:pPr>
      <w:bookmarkStart w:id="0" w:name="_Toc504654671"/>
      <w:bookmarkStart w:id="1" w:name="_Toc504479633"/>
      <w:r>
        <w:rPr>
          <w:rFonts w:hint="eastAsia" w:ascii="宋体" w:hAnsi="宋体" w:cs="Arial"/>
          <w:b/>
          <w:bCs/>
          <w:color w:val="auto"/>
          <w:kern w:val="0"/>
          <w:sz w:val="32"/>
          <w:szCs w:val="32"/>
          <w:highlight w:val="none"/>
          <w:lang w:val="en-US" w:eastAsia="zh-CN"/>
        </w:rPr>
        <w:t>项目编号</w:t>
      </w:r>
      <w:r>
        <w:rPr>
          <w:rFonts w:hint="eastAsia" w:ascii="宋体" w:hAnsi="宋体" w:eastAsia="宋体" w:cs="Arial"/>
          <w:b/>
          <w:bCs/>
          <w:color w:val="auto"/>
          <w:kern w:val="0"/>
          <w:sz w:val="32"/>
          <w:szCs w:val="32"/>
          <w:highlight w:val="none"/>
        </w:rPr>
        <w:t>：</w:t>
      </w:r>
      <w:bookmarkEnd w:id="0"/>
      <w:bookmarkEnd w:id="1"/>
      <w:r>
        <w:rPr>
          <w:rFonts w:hint="eastAsia" w:ascii="宋体" w:hAnsi="宋体" w:cs="Arial"/>
          <w:b/>
          <w:bCs/>
          <w:color w:val="auto"/>
          <w:kern w:val="0"/>
          <w:sz w:val="32"/>
          <w:szCs w:val="32"/>
          <w:highlight w:val="none"/>
          <w:lang w:eastAsia="zh-CN"/>
        </w:rPr>
        <w:t>采购计划-[2026]-00060号-026</w:t>
      </w:r>
    </w:p>
    <w:p>
      <w:pPr>
        <w:widowControl/>
        <w:spacing w:line="360" w:lineRule="auto"/>
        <w:rPr>
          <w:rFonts w:ascii="宋体" w:hAnsi="宋体" w:eastAsia="宋体"/>
          <w:color w:val="auto"/>
          <w:kern w:val="0"/>
          <w:sz w:val="52"/>
          <w:szCs w:val="52"/>
          <w:highlight w:val="none"/>
        </w:rPr>
      </w:pPr>
    </w:p>
    <w:p>
      <w:pPr>
        <w:widowControl/>
        <w:spacing w:line="360" w:lineRule="auto"/>
        <w:rPr>
          <w:rFonts w:ascii="宋体" w:hAnsi="宋体" w:eastAsia="宋体"/>
          <w:color w:val="auto"/>
          <w:kern w:val="0"/>
          <w:sz w:val="52"/>
          <w:szCs w:val="52"/>
          <w:highlight w:val="none"/>
        </w:rPr>
      </w:pPr>
    </w:p>
    <w:p>
      <w:pPr>
        <w:pStyle w:val="53"/>
      </w:pPr>
    </w:p>
    <w:p>
      <w:pPr>
        <w:autoSpaceDN w:val="0"/>
        <w:spacing w:line="360" w:lineRule="auto"/>
        <w:ind w:firstLine="480"/>
        <w:jc w:val="left"/>
        <w:rPr>
          <w:rFonts w:ascii="宋体" w:hAnsi="宋体" w:eastAsia="宋体"/>
          <w:b/>
          <w:bCs/>
          <w:color w:val="auto"/>
          <w:kern w:val="0"/>
          <w:sz w:val="32"/>
          <w:szCs w:val="32"/>
          <w:highlight w:val="none"/>
        </w:rPr>
      </w:pPr>
      <w:r>
        <w:rPr>
          <w:rFonts w:hint="eastAsia" w:ascii="宋体" w:hAnsi="宋体" w:eastAsia="宋体"/>
          <w:b/>
          <w:bCs/>
          <w:color w:val="auto"/>
          <w:kern w:val="0"/>
          <w:sz w:val="32"/>
          <w:szCs w:val="32"/>
          <w:highlight w:val="none"/>
        </w:rPr>
        <w:t xml:space="preserve">   采   购   人</w:t>
      </w:r>
      <w:r>
        <w:rPr>
          <w:rFonts w:ascii="宋体" w:hAnsi="宋体" w:eastAsia="宋体"/>
          <w:b/>
          <w:bCs/>
          <w:color w:val="auto"/>
          <w:kern w:val="0"/>
          <w:sz w:val="32"/>
          <w:szCs w:val="32"/>
          <w:highlight w:val="none"/>
        </w:rPr>
        <w:t xml:space="preserve">: </w:t>
      </w:r>
      <w:r>
        <w:rPr>
          <w:rFonts w:hint="eastAsia" w:ascii="宋体" w:hAnsi="宋体" w:cs="宋体"/>
          <w:b/>
          <w:bCs/>
          <w:color w:val="auto"/>
          <w:sz w:val="32"/>
          <w:szCs w:val="32"/>
          <w:highlight w:val="none"/>
          <w:lang w:eastAsia="zh-CN"/>
        </w:rPr>
        <w:t>抚松县松江河镇人民政府</w:t>
      </w:r>
    </w:p>
    <w:p>
      <w:pPr>
        <w:widowControl/>
        <w:spacing w:line="360" w:lineRule="auto"/>
        <w:ind w:firstLine="964" w:firstLineChars="300"/>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采购代理机构</w:t>
      </w:r>
      <w:r>
        <w:rPr>
          <w:rFonts w:ascii="宋体" w:hAnsi="宋体" w:eastAsia="宋体"/>
          <w:b/>
          <w:bCs/>
          <w:color w:val="auto"/>
          <w:kern w:val="0"/>
          <w:sz w:val="32"/>
          <w:szCs w:val="32"/>
          <w:highlight w:val="none"/>
        </w:rPr>
        <w:t>:</w:t>
      </w:r>
      <w:r>
        <w:rPr>
          <w:rFonts w:hint="eastAsia"/>
          <w:color w:val="auto"/>
          <w:highlight w:val="none"/>
        </w:rPr>
        <w:t xml:space="preserve"> </w:t>
      </w:r>
      <w:r>
        <w:rPr>
          <w:rFonts w:hint="eastAsia" w:ascii="宋体" w:hAnsi="宋体"/>
          <w:b/>
          <w:bCs/>
          <w:color w:val="auto"/>
          <w:kern w:val="0"/>
          <w:sz w:val="32"/>
          <w:szCs w:val="32"/>
          <w:highlight w:val="none"/>
          <w:lang w:eastAsia="zh-CN"/>
        </w:rPr>
        <w:t>吉林省鹏诚项目管理咨询有限公司</w:t>
      </w:r>
    </w:p>
    <w:p>
      <w:pPr>
        <w:widowControl/>
        <w:spacing w:line="360" w:lineRule="auto"/>
        <w:jc w:val="center"/>
        <w:rPr>
          <w:rFonts w:ascii="宋体" w:hAnsi="宋体" w:eastAsia="宋体"/>
          <w:b/>
          <w:bCs/>
          <w:color w:val="auto"/>
          <w:kern w:val="0"/>
          <w:sz w:val="32"/>
          <w:szCs w:val="32"/>
          <w:highlight w:val="none"/>
        </w:rPr>
      </w:pPr>
      <w:r>
        <w:rPr>
          <w:rFonts w:hint="eastAsia" w:ascii="宋体" w:hAnsi="宋体" w:eastAsia="宋体"/>
          <w:b/>
          <w:bCs/>
          <w:color w:val="auto"/>
          <w:kern w:val="0"/>
          <w:sz w:val="32"/>
          <w:szCs w:val="32"/>
          <w:highlight w:val="none"/>
        </w:rPr>
        <w:t>二〇</w:t>
      </w:r>
      <w:r>
        <w:rPr>
          <w:rFonts w:hint="eastAsia" w:ascii="宋体" w:hAnsi="宋体"/>
          <w:b/>
          <w:bCs/>
          <w:color w:val="auto"/>
          <w:kern w:val="0"/>
          <w:sz w:val="32"/>
          <w:szCs w:val="32"/>
          <w:highlight w:val="none"/>
          <w:lang w:eastAsia="zh-CN"/>
        </w:rPr>
        <w:t>二</w:t>
      </w:r>
      <w:r>
        <w:rPr>
          <w:rFonts w:hint="eastAsia" w:ascii="宋体" w:hAnsi="宋体"/>
          <w:b/>
          <w:bCs/>
          <w:color w:val="auto"/>
          <w:kern w:val="0"/>
          <w:sz w:val="32"/>
          <w:szCs w:val="32"/>
          <w:highlight w:val="none"/>
          <w:lang w:val="en-US" w:eastAsia="zh-CN"/>
        </w:rPr>
        <w:t>六</w:t>
      </w:r>
      <w:r>
        <w:rPr>
          <w:rFonts w:hint="eastAsia" w:ascii="宋体" w:hAnsi="宋体" w:eastAsia="宋体"/>
          <w:b/>
          <w:bCs/>
          <w:color w:val="auto"/>
          <w:kern w:val="0"/>
          <w:sz w:val="32"/>
          <w:szCs w:val="32"/>
          <w:highlight w:val="none"/>
        </w:rPr>
        <w:t>年</w:t>
      </w:r>
      <w:r>
        <w:rPr>
          <w:rFonts w:hint="eastAsia" w:ascii="宋体" w:hAnsi="宋体"/>
          <w:b/>
          <w:bCs/>
          <w:color w:val="auto"/>
          <w:kern w:val="0"/>
          <w:sz w:val="32"/>
          <w:szCs w:val="32"/>
          <w:highlight w:val="none"/>
          <w:lang w:val="en-US" w:eastAsia="zh-CN"/>
        </w:rPr>
        <w:t>五</w:t>
      </w:r>
      <w:r>
        <w:rPr>
          <w:rFonts w:hint="eastAsia" w:ascii="宋体" w:hAnsi="宋体" w:eastAsia="宋体"/>
          <w:b/>
          <w:bCs/>
          <w:color w:val="auto"/>
          <w:kern w:val="0"/>
          <w:sz w:val="32"/>
          <w:szCs w:val="32"/>
          <w:highlight w:val="none"/>
        </w:rPr>
        <w:t>月</w:t>
      </w:r>
    </w:p>
    <w:p>
      <w:pPr>
        <w:widowControl/>
        <w:spacing w:line="360" w:lineRule="auto"/>
        <w:rPr>
          <w:rFonts w:ascii="宋体" w:hAnsi="宋体" w:eastAsia="宋体"/>
          <w:b/>
          <w:bCs/>
          <w:color w:val="auto"/>
          <w:kern w:val="0"/>
          <w:sz w:val="28"/>
          <w:szCs w:val="28"/>
          <w:highlight w:val="none"/>
        </w:rPr>
      </w:pPr>
    </w:p>
    <w:p>
      <w:pPr>
        <w:widowControl/>
        <w:spacing w:line="480" w:lineRule="exact"/>
        <w:jc w:val="center"/>
        <w:rPr>
          <w:rFonts w:hint="eastAsia" w:ascii="宋体" w:hAnsi="宋体" w:eastAsia="宋体" w:cs="宋体"/>
          <w:color w:val="auto"/>
          <w:kern w:val="0"/>
          <w:sz w:val="32"/>
          <w:szCs w:val="32"/>
          <w:highlight w:val="none"/>
        </w:rPr>
        <w:sectPr>
          <w:pgSz w:w="11907" w:h="16840"/>
          <w:pgMar w:top="1247" w:right="1247" w:bottom="1247" w:left="1020" w:header="851" w:footer="992" w:gutter="397"/>
          <w:cols w:space="720" w:num="1"/>
          <w:docGrid w:linePitch="435" w:charSpace="0"/>
        </w:sectPr>
      </w:pP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b/>
          <w:bCs/>
          <w:color w:val="auto"/>
          <w:sz w:val="44"/>
          <w:szCs w:val="44"/>
          <w:highlight w:val="none"/>
          <w:lang w:eastAsia="zh-CN"/>
        </w:rPr>
      </w:pP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b/>
          <w:bCs/>
          <w:color w:val="auto"/>
          <w:sz w:val="44"/>
          <w:szCs w:val="44"/>
          <w:highlight w:val="none"/>
          <w:lang w:eastAsia="zh-CN"/>
        </w:rPr>
        <w:sectPr>
          <w:footerReference r:id="rId3" w:type="default"/>
          <w:pgSz w:w="11907" w:h="16840"/>
          <w:pgMar w:top="1247" w:right="1247" w:bottom="1247" w:left="1020" w:header="851" w:footer="992" w:gutter="397"/>
          <w:pgNumType w:start="1"/>
          <w:cols w:space="720" w:num="1"/>
          <w:docGrid w:linePitch="435" w:charSpace="0"/>
        </w:sectPr>
      </w:pP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ascii="宋体" w:hAnsi="宋体" w:eastAsia="宋体"/>
          <w:b/>
          <w:bCs/>
          <w:color w:val="auto"/>
          <w:sz w:val="44"/>
          <w:szCs w:val="44"/>
          <w:highlight w:val="none"/>
        </w:rPr>
      </w:pPr>
      <w:r>
        <w:rPr>
          <w:rFonts w:hint="eastAsia" w:ascii="宋体" w:hAnsi="宋体"/>
          <w:b/>
          <w:bCs/>
          <w:color w:val="auto"/>
          <w:sz w:val="44"/>
          <w:szCs w:val="44"/>
          <w:highlight w:val="none"/>
          <w:lang w:eastAsia="zh-CN"/>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pPr>
        <w:spacing w:before="0" w:after="0" w:line="240" w:lineRule="auto"/>
        <w:ind w:left="0" w:leftChars="0" w:right="0" w:firstLine="0" w:firstLineChars="0"/>
        <w:jc w:val="center"/>
        <w:rPr>
          <w:rFonts w:ascii="宋体" w:hAnsi="宋体" w:eastAsia="宋体"/>
          <w:b/>
          <w:bCs/>
          <w:color w:val="auto"/>
          <w:sz w:val="40"/>
          <w:szCs w:val="40"/>
          <w:highlight w:val="none"/>
        </w:rPr>
      </w:pPr>
    </w:p>
    <w:p>
      <w:pPr>
        <w:pStyle w:val="82"/>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_Toc4799_WPSOffice_Level1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 xml:space="preserve">第一章 </w:t>
      </w:r>
      <w:r>
        <w:rPr>
          <w:rFonts w:hint="eastAsia" w:asciiTheme="minorEastAsia" w:hAnsiTheme="minorEastAsia" w:eastAsiaTheme="minorEastAsia" w:cstheme="minorEastAsia"/>
          <w:color w:val="auto"/>
          <w:sz w:val="32"/>
          <w:szCs w:val="32"/>
          <w:highlight w:val="none"/>
          <w:lang w:val="en-US" w:eastAsia="zh-CN"/>
        </w:rPr>
        <w:t>竞争性磋商</w:t>
      </w:r>
      <w:r>
        <w:rPr>
          <w:rFonts w:hint="eastAsia" w:asciiTheme="minorEastAsia" w:hAnsiTheme="minorEastAsia" w:eastAsiaTheme="minorEastAsia" w:cstheme="minorEastAsia"/>
          <w:color w:val="auto"/>
          <w:sz w:val="32"/>
          <w:szCs w:val="32"/>
          <w:highlight w:val="none"/>
        </w:rPr>
        <w:t>公告</w:t>
      </w:r>
      <w:r>
        <w:rPr>
          <w:rFonts w:hint="eastAsia" w:asciiTheme="minorEastAsia" w:hAnsiTheme="minorEastAsia" w:eastAsiaTheme="minorEastAsia" w:cstheme="minorEastAsia"/>
          <w:color w:val="auto"/>
          <w:sz w:val="32"/>
          <w:szCs w:val="32"/>
          <w:highlight w:val="none"/>
        </w:rPr>
        <w:tab/>
      </w:r>
      <w:bookmarkStart w:id="2" w:name="_Toc4799_WPSOffice_Level1Page"/>
      <w:r>
        <w:rPr>
          <w:rFonts w:hint="eastAsia" w:asciiTheme="minorEastAsia" w:hAnsiTheme="minorEastAsia" w:eastAsiaTheme="minorEastAsia" w:cstheme="minorEastAsia"/>
          <w:color w:val="auto"/>
          <w:sz w:val="32"/>
          <w:szCs w:val="32"/>
          <w:highlight w:val="none"/>
        </w:rPr>
        <w:t>1</w:t>
      </w:r>
      <w:bookmarkEnd w:id="2"/>
      <w:r>
        <w:rPr>
          <w:rFonts w:hint="eastAsia" w:asciiTheme="minorEastAsia" w:hAnsiTheme="minorEastAsia" w:eastAsiaTheme="minorEastAsia" w:cstheme="minorEastAsia"/>
          <w:color w:val="auto"/>
          <w:sz w:val="32"/>
          <w:szCs w:val="32"/>
          <w:highlight w:val="none"/>
        </w:rPr>
        <w:fldChar w:fldCharType="end"/>
      </w:r>
    </w:p>
    <w:p>
      <w:pPr>
        <w:pStyle w:val="82"/>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_Toc6865_WPSOffice_Level1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第二章 投标人须知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fldChar w:fldCharType="end"/>
      </w:r>
    </w:p>
    <w:p>
      <w:pPr>
        <w:pStyle w:val="82"/>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_Toc31372_WPSOffice_Level1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第三章 评标办法（综合评</w:t>
      </w:r>
      <w:r>
        <w:rPr>
          <w:rFonts w:hint="eastAsia" w:asciiTheme="minorEastAsia" w:hAnsiTheme="minorEastAsia" w:eastAsiaTheme="minorEastAsia" w:cstheme="minorEastAsia"/>
          <w:color w:val="auto"/>
          <w:sz w:val="32"/>
          <w:szCs w:val="32"/>
          <w:highlight w:val="none"/>
          <w:lang w:eastAsia="zh-CN"/>
        </w:rPr>
        <w:t>分</w:t>
      </w:r>
      <w:r>
        <w:rPr>
          <w:rFonts w:hint="eastAsia" w:asciiTheme="minorEastAsia" w:hAnsiTheme="minorEastAsia" w:eastAsiaTheme="minorEastAsia" w:cstheme="minorEastAsia"/>
          <w:color w:val="auto"/>
          <w:sz w:val="32"/>
          <w:szCs w:val="32"/>
          <w:highlight w:val="none"/>
        </w:rPr>
        <w:t>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22</w:t>
      </w:r>
    </w:p>
    <w:p>
      <w:pPr>
        <w:pStyle w:val="82"/>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_Toc23945_WPSOffice_Level1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第四章 合同条款及格式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31</w:t>
      </w:r>
    </w:p>
    <w:p>
      <w:pPr>
        <w:pStyle w:val="82"/>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_Toc9246_WPSOffice_Level1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eastAsia="zh-CN"/>
        </w:rPr>
        <w:t>五</w:t>
      </w:r>
      <w:r>
        <w:rPr>
          <w:rFonts w:hint="eastAsia" w:asciiTheme="minorEastAsia" w:hAnsiTheme="minorEastAsia" w:eastAsiaTheme="minorEastAsia" w:cstheme="minorEastAsia"/>
          <w:color w:val="auto"/>
          <w:sz w:val="32"/>
          <w:szCs w:val="32"/>
          <w:highlight w:val="none"/>
        </w:rPr>
        <w:t xml:space="preserve">章 </w:t>
      </w:r>
      <w:r>
        <w:rPr>
          <w:rFonts w:hint="eastAsia" w:asciiTheme="minorEastAsia" w:hAnsiTheme="minorEastAsia" w:eastAsiaTheme="minorEastAsia" w:cstheme="minorEastAsia"/>
          <w:color w:val="auto"/>
          <w:sz w:val="32"/>
          <w:szCs w:val="32"/>
          <w:highlight w:val="none"/>
          <w:lang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32</w:t>
      </w:r>
    </w:p>
    <w:p>
      <w:pPr>
        <w:pStyle w:val="82"/>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宋体" w:hAnsi="宋体" w:cs="宋体" w:eastAsiaTheme="minorEastAsia"/>
          <w:color w:val="auto"/>
          <w:kern w:val="0"/>
          <w:sz w:val="22"/>
          <w:szCs w:val="22"/>
          <w:highlight w:val="none"/>
          <w:lang w:val="en-US" w:eastAsia="zh-CN"/>
        </w:rPr>
        <w:sectPr>
          <w:footerReference r:id="rId4" w:type="default"/>
          <w:pgSz w:w="11907" w:h="16840"/>
          <w:pgMar w:top="1247" w:right="1247" w:bottom="1247" w:left="1020" w:header="851" w:footer="992" w:gutter="397"/>
          <w:pgNumType w:start="1"/>
          <w:cols w:space="720" w:num="1"/>
          <w:docGrid w:linePitch="435" w:charSpace="0"/>
        </w:sect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_Toc2784_WPSOffice_Level1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eastAsia="zh-CN"/>
        </w:rPr>
        <w:t>六</w:t>
      </w:r>
      <w:r>
        <w:rPr>
          <w:rFonts w:hint="eastAsia" w:asciiTheme="minorEastAsia" w:hAnsiTheme="minorEastAsia" w:eastAsiaTheme="minorEastAsia" w:cstheme="minorEastAsia"/>
          <w:color w:val="auto"/>
          <w:sz w:val="32"/>
          <w:szCs w:val="32"/>
          <w:highlight w:val="none"/>
        </w:rPr>
        <w:t>章 磋商响应文件格式</w:t>
      </w:r>
      <w:r>
        <w:rPr>
          <w:rFonts w:hint="eastAsia" w:asciiTheme="minorEastAsia" w:hAnsiTheme="minorEastAsia" w:eastAsiaTheme="minorEastAsia" w:cstheme="minorEastAsia"/>
          <w:color w:val="auto"/>
          <w:sz w:val="32"/>
          <w:szCs w:val="32"/>
          <w:highlight w:val="none"/>
        </w:rPr>
        <w:tab/>
      </w:r>
      <w:bookmarkStart w:id="446" w:name="_GoBack"/>
      <w:bookmarkEnd w:id="446"/>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33</w:t>
      </w:r>
    </w:p>
    <w:p>
      <w:pPr>
        <w:widowControl/>
        <w:spacing w:line="480" w:lineRule="exact"/>
        <w:jc w:val="center"/>
        <w:rPr>
          <w:rFonts w:ascii="宋体" w:hAnsi="宋体" w:eastAsia="宋体" w:cs="宋体"/>
          <w:color w:val="auto"/>
          <w:kern w:val="0"/>
          <w:sz w:val="22"/>
          <w:szCs w:val="22"/>
          <w:highlight w:val="none"/>
        </w:rPr>
      </w:pPr>
    </w:p>
    <w:p>
      <w:pPr>
        <w:widowControl/>
        <w:spacing w:line="480" w:lineRule="exact"/>
        <w:jc w:val="center"/>
        <w:rPr>
          <w:rFonts w:ascii="宋体" w:hAnsi="宋体"/>
          <w:b/>
          <w:color w:val="auto"/>
          <w:sz w:val="36"/>
          <w:szCs w:val="20"/>
          <w:highlight w:val="none"/>
        </w:rPr>
        <w:sectPr>
          <w:footerReference r:id="rId5" w:type="default"/>
          <w:pgSz w:w="11907" w:h="16840"/>
          <w:pgMar w:top="1247" w:right="1247" w:bottom="1247" w:left="1020" w:header="851" w:footer="992" w:gutter="397"/>
          <w:cols w:space="720" w:num="1"/>
          <w:docGrid w:linePitch="435" w:charSpace="0"/>
        </w:sectPr>
      </w:pPr>
    </w:p>
    <w:p>
      <w:pPr>
        <w:autoSpaceDN w:val="0"/>
        <w:jc w:val="center"/>
        <w:rPr>
          <w:rFonts w:hint="eastAsia" w:ascii="宋体" w:hAnsi="宋体" w:eastAsia="宋体"/>
          <w:b/>
          <w:color w:val="auto"/>
          <w:sz w:val="44"/>
          <w:szCs w:val="44"/>
          <w:highlight w:val="none"/>
          <w:lang w:eastAsia="zh-CN"/>
        </w:rPr>
      </w:pPr>
      <w:bookmarkStart w:id="3" w:name="_Toc4799_WPSOffice_Level1"/>
      <w:bookmarkStart w:id="4" w:name="_Toc27987_WPSOffice_Level1"/>
      <w:r>
        <w:rPr>
          <w:rFonts w:hint="eastAsia" w:ascii="宋体" w:hAnsi="宋体"/>
          <w:b/>
          <w:color w:val="auto"/>
          <w:sz w:val="44"/>
          <w:szCs w:val="44"/>
          <w:highlight w:val="none"/>
        </w:rPr>
        <w:t xml:space="preserve">第一章  </w:t>
      </w:r>
      <w:r>
        <w:rPr>
          <w:rFonts w:hint="eastAsia" w:ascii="宋体" w:hAnsi="宋体"/>
          <w:b/>
          <w:color w:val="auto"/>
          <w:sz w:val="44"/>
          <w:szCs w:val="44"/>
          <w:highlight w:val="none"/>
          <w:lang w:val="en-US" w:eastAsia="zh-CN"/>
        </w:rPr>
        <w:t>竞争性磋商</w:t>
      </w:r>
      <w:r>
        <w:rPr>
          <w:rFonts w:ascii="宋体" w:hAnsi="宋体"/>
          <w:b/>
          <w:color w:val="auto"/>
          <w:sz w:val="44"/>
          <w:szCs w:val="44"/>
          <w:highlight w:val="none"/>
        </w:rPr>
        <w:t>公告</w:t>
      </w:r>
      <w:bookmarkEnd w:id="3"/>
      <w:bookmarkEnd w:id="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9570"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vertAlign w:val="baseline"/>
                <w:lang w:eastAsia="zh-CN"/>
              </w:rPr>
            </w:pPr>
            <w:r>
              <w:rPr>
                <w:rFonts w:hint="eastAsia" w:ascii="宋体" w:hAnsi="宋体"/>
                <w:color w:val="auto"/>
                <w:sz w:val="24"/>
                <w:highlight w:val="none"/>
                <w:lang w:eastAsia="zh-CN"/>
              </w:rPr>
              <w:t>2026年松江河镇园林绿化管理服务</w:t>
            </w:r>
            <w:r>
              <w:rPr>
                <w:rFonts w:hint="eastAsia" w:ascii="宋体" w:hAnsi="宋体"/>
                <w:color w:val="auto"/>
                <w:sz w:val="24"/>
                <w:szCs w:val="24"/>
                <w:highlight w:val="none"/>
                <w:u w:val="none"/>
                <w:lang w:eastAsia="zh-CN"/>
              </w:rPr>
              <w:t>采购项目</w:t>
            </w:r>
            <w:r>
              <w:rPr>
                <w:rFonts w:hint="eastAsia" w:ascii="宋体" w:hAnsi="宋体"/>
                <w:color w:val="auto"/>
                <w:sz w:val="24"/>
                <w:szCs w:val="24"/>
                <w:highlight w:val="none"/>
                <w:u w:val="none"/>
              </w:rPr>
              <w:t>的</w:t>
            </w:r>
            <w:r>
              <w:rPr>
                <w:rFonts w:hint="eastAsia" w:ascii="宋体" w:hAnsi="宋体"/>
                <w:color w:val="auto"/>
                <w:sz w:val="24"/>
                <w:highlight w:val="none"/>
                <w:u w:val="none"/>
              </w:rPr>
              <w:t>潜在供应商</w:t>
            </w:r>
            <w:r>
              <w:rPr>
                <w:rFonts w:hint="eastAsia" w:ascii="宋体" w:hAnsi="宋体"/>
                <w:color w:val="auto"/>
                <w:sz w:val="24"/>
                <w:highlight w:val="none"/>
                <w:u w:val="none"/>
                <w:lang w:val="en-US" w:eastAsia="zh-CN"/>
              </w:rPr>
              <w:t>应</w:t>
            </w:r>
            <w:r>
              <w:rPr>
                <w:rFonts w:hint="eastAsia" w:ascii="宋体" w:hAnsi="宋体"/>
                <w:color w:val="auto"/>
                <w:sz w:val="24"/>
                <w:highlight w:val="none"/>
                <w:u w:val="none"/>
              </w:rPr>
              <w:t>自行登录政府采购云平台（网址：http://www.zcygov.cn）网上注册并下载</w:t>
            </w:r>
            <w:r>
              <w:rPr>
                <w:rFonts w:hint="eastAsia" w:ascii="宋体" w:hAnsi="宋体"/>
                <w:color w:val="auto"/>
                <w:sz w:val="24"/>
                <w:highlight w:val="none"/>
                <w:u w:val="none"/>
                <w:lang w:val="en-US" w:eastAsia="zh-CN"/>
              </w:rPr>
              <w:t>采购</w:t>
            </w:r>
            <w:r>
              <w:rPr>
                <w:rFonts w:hint="eastAsia" w:ascii="宋体" w:hAnsi="宋体"/>
                <w:color w:val="auto"/>
                <w:sz w:val="24"/>
                <w:highlight w:val="none"/>
                <w:u w:val="none"/>
              </w:rPr>
              <w:t>文件，并于</w:t>
            </w:r>
            <w:r>
              <w:rPr>
                <w:rFonts w:hint="eastAsia" w:ascii="宋体" w:hAnsi="宋体"/>
                <w:color w:val="auto"/>
                <w:sz w:val="24"/>
                <w:highlight w:val="none"/>
                <w:u w:val="none"/>
                <w:lang w:val="en-US" w:eastAsia="zh-CN"/>
              </w:rPr>
              <w:t>2026年05月18日13点00分</w:t>
            </w:r>
            <w:r>
              <w:rPr>
                <w:rFonts w:hint="eastAsia" w:ascii="宋体" w:hAnsi="宋体"/>
                <w:color w:val="auto"/>
                <w:sz w:val="24"/>
                <w:highlight w:val="none"/>
                <w:u w:val="none"/>
              </w:rPr>
              <w:t>（北京时间）</w:t>
            </w:r>
            <w:r>
              <w:rPr>
                <w:rFonts w:hint="eastAsia" w:ascii="宋体" w:hAnsi="宋体"/>
                <w:color w:val="auto"/>
                <w:sz w:val="24"/>
                <w:highlight w:val="none"/>
                <w:u w:val="none"/>
                <w:lang w:eastAsia="zh-CN"/>
              </w:rPr>
              <w:t>前</w:t>
            </w:r>
            <w:r>
              <w:rPr>
                <w:rFonts w:hint="eastAsia" w:ascii="宋体" w:hAnsi="宋体"/>
                <w:color w:val="auto"/>
                <w:sz w:val="24"/>
                <w:highlight w:val="none"/>
                <w:u w:val="none"/>
              </w:rPr>
              <w:t>递交</w:t>
            </w:r>
            <w:r>
              <w:rPr>
                <w:rFonts w:hint="eastAsia" w:ascii="宋体" w:hAnsi="宋体"/>
                <w:color w:val="auto"/>
                <w:sz w:val="24"/>
                <w:highlight w:val="none"/>
                <w:u w:val="none"/>
                <w:lang w:eastAsia="zh-CN"/>
              </w:rPr>
              <w:t>投标文件</w:t>
            </w:r>
            <w:r>
              <w:rPr>
                <w:rFonts w:hint="eastAsia" w:ascii="宋体" w:hAnsi="宋体"/>
                <w:color w:val="auto"/>
                <w:sz w:val="24"/>
                <w:highlight w:val="none"/>
                <w:u w:val="none"/>
              </w:rPr>
              <w:t>。</w:t>
            </w:r>
          </w:p>
        </w:tc>
      </w:tr>
    </w:tbl>
    <w:p>
      <w:pPr>
        <w:autoSpaceDN w:val="0"/>
        <w:spacing w:line="440" w:lineRule="exact"/>
        <w:jc w:val="left"/>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lang w:eastAsia="zh-CN"/>
        </w:rPr>
        <w:t>一</w:t>
      </w:r>
      <w:r>
        <w:rPr>
          <w:rFonts w:ascii="宋体" w:hAnsi="宋体"/>
          <w:b/>
          <w:bCs/>
          <w:color w:val="auto"/>
          <w:sz w:val="28"/>
          <w:szCs w:val="28"/>
          <w:highlight w:val="none"/>
        </w:rPr>
        <w:t>、</w:t>
      </w:r>
      <w:r>
        <w:rPr>
          <w:rFonts w:hint="eastAsia" w:ascii="宋体" w:hAnsi="宋体"/>
          <w:b/>
          <w:bCs/>
          <w:color w:val="auto"/>
          <w:sz w:val="28"/>
          <w:szCs w:val="28"/>
          <w:highlight w:val="none"/>
          <w:lang w:eastAsia="zh-CN"/>
        </w:rPr>
        <w:t>项目基本情况</w:t>
      </w:r>
    </w:p>
    <w:p>
      <w:pPr>
        <w:autoSpaceDN w:val="0"/>
        <w:spacing w:line="440" w:lineRule="exact"/>
        <w:ind w:firstLine="480"/>
        <w:jc w:val="left"/>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lang w:val="en-US" w:eastAsia="zh-CN"/>
        </w:rPr>
        <w:t xml:space="preserve"> 项目编号</w:t>
      </w:r>
      <w:r>
        <w:rPr>
          <w:rFonts w:ascii="宋体" w:hAnsi="宋体"/>
          <w:color w:val="auto"/>
          <w:sz w:val="24"/>
          <w:highlight w:val="none"/>
        </w:rPr>
        <w:t>：</w:t>
      </w:r>
      <w:r>
        <w:rPr>
          <w:rFonts w:hint="eastAsia" w:ascii="宋体" w:hAnsi="宋体"/>
          <w:color w:val="auto"/>
          <w:sz w:val="24"/>
          <w:highlight w:val="none"/>
          <w:lang w:eastAsia="zh-CN"/>
        </w:rPr>
        <w:t>采购计划-[2026]-00060号-026</w:t>
      </w:r>
      <w:r>
        <w:rPr>
          <w:rFonts w:ascii="宋体" w:hAnsi="宋体"/>
          <w:color w:val="auto"/>
          <w:sz w:val="24"/>
          <w:highlight w:val="none"/>
        </w:rPr>
        <w:t xml:space="preserve">  </w:t>
      </w:r>
    </w:p>
    <w:p>
      <w:pPr>
        <w:autoSpaceDN w:val="0"/>
        <w:spacing w:line="440" w:lineRule="exact"/>
        <w:ind w:firstLine="48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ascii="宋体" w:hAnsi="宋体"/>
          <w:color w:val="auto"/>
          <w:sz w:val="24"/>
          <w:highlight w:val="none"/>
        </w:rPr>
        <w:t>.2</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项目名称</w:t>
      </w:r>
      <w:r>
        <w:rPr>
          <w:rFonts w:ascii="宋体" w:hAnsi="宋体"/>
          <w:color w:val="auto"/>
          <w:sz w:val="24"/>
          <w:highlight w:val="none"/>
        </w:rPr>
        <w:t>：</w:t>
      </w:r>
      <w:r>
        <w:rPr>
          <w:rFonts w:hint="eastAsia" w:ascii="宋体" w:hAnsi="宋体"/>
          <w:color w:val="auto"/>
          <w:sz w:val="24"/>
          <w:highlight w:val="none"/>
          <w:lang w:eastAsia="zh-CN"/>
        </w:rPr>
        <w:t>2026年松江河镇园林绿化管理服务</w:t>
      </w:r>
    </w:p>
    <w:p>
      <w:pPr>
        <w:autoSpaceDN w:val="0"/>
        <w:spacing w:line="440" w:lineRule="exact"/>
        <w:ind w:firstLine="48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1.3 采购方式：</w:t>
      </w:r>
      <w:r>
        <w:rPr>
          <w:rFonts w:hint="eastAsia" w:ascii="宋体" w:hAnsi="宋体"/>
          <w:color w:val="auto"/>
          <w:sz w:val="24"/>
          <w:highlight w:val="none"/>
          <w:lang w:eastAsia="zh-CN"/>
        </w:rPr>
        <w:t>□</w:t>
      </w:r>
      <w:r>
        <w:rPr>
          <w:rFonts w:hint="eastAsia" w:ascii="宋体" w:hAnsi="宋体"/>
          <w:color w:val="auto"/>
          <w:sz w:val="24"/>
          <w:highlight w:val="none"/>
        </w:rPr>
        <w:t xml:space="preserve">竞争性谈判 </w:t>
      </w:r>
      <w:r>
        <w:rPr>
          <w:rFonts w:hint="eastAsia" w:ascii="宋体" w:hAnsi="宋体"/>
          <w:color w:val="auto"/>
          <w:sz w:val="24"/>
          <w:highlight w:val="none"/>
          <w:lang w:eastAsia="zh-CN"/>
        </w:rPr>
        <w:t>☑</w:t>
      </w:r>
      <w:r>
        <w:rPr>
          <w:rFonts w:hint="eastAsia" w:ascii="宋体" w:hAnsi="宋体"/>
          <w:color w:val="auto"/>
          <w:sz w:val="24"/>
          <w:highlight w:val="none"/>
        </w:rPr>
        <w:t>竞争性磋商 □询价</w:t>
      </w:r>
    </w:p>
    <w:p>
      <w:pPr>
        <w:autoSpaceDN w:val="0"/>
        <w:spacing w:line="440" w:lineRule="exact"/>
        <w:ind w:firstLine="48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1.4 预算金额：693000.00元</w:t>
      </w:r>
    </w:p>
    <w:p>
      <w:pPr>
        <w:autoSpaceDN w:val="0"/>
        <w:spacing w:line="440" w:lineRule="exact"/>
        <w:ind w:firstLine="48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1.5 最高投标限价：693000.00元</w:t>
      </w:r>
    </w:p>
    <w:p>
      <w:pPr>
        <w:autoSpaceDN w:val="0"/>
        <w:spacing w:line="440" w:lineRule="exact"/>
        <w:ind w:firstLine="48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采购需求</w:t>
      </w:r>
      <w:r>
        <w:rPr>
          <w:rFonts w:ascii="宋体" w:hAnsi="宋体"/>
          <w:color w:val="auto"/>
          <w:sz w:val="24"/>
          <w:highlight w:val="none"/>
        </w:rPr>
        <w:t>：</w:t>
      </w:r>
      <w:r>
        <w:rPr>
          <w:rFonts w:hint="eastAsia" w:ascii="宋体" w:hAnsi="宋体"/>
          <w:color w:val="auto"/>
          <w:sz w:val="24"/>
          <w:highlight w:val="none"/>
          <w:lang w:eastAsia="zh-CN"/>
        </w:rPr>
        <w:t>园林绿化管理服务</w:t>
      </w:r>
    </w:p>
    <w:p>
      <w:pPr>
        <w:autoSpaceDN w:val="0"/>
        <w:spacing w:line="440" w:lineRule="exact"/>
        <w:ind w:firstLine="48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1.7 合同履行期限：2026年05月23日至2027年05月23日，共计365日历天。</w:t>
      </w:r>
    </w:p>
    <w:p>
      <w:pPr>
        <w:autoSpaceDN w:val="0"/>
        <w:spacing w:line="440" w:lineRule="exact"/>
        <w:ind w:firstLine="48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1.8 本项目（是/否）接受联合体投标：否</w:t>
      </w:r>
    </w:p>
    <w:p>
      <w:pPr>
        <w:autoSpaceDN w:val="0"/>
        <w:spacing w:line="440" w:lineRule="exact"/>
        <w:ind w:firstLine="480"/>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1.9 </w:t>
      </w:r>
      <w:r>
        <w:rPr>
          <w:rFonts w:hint="eastAsia" w:ascii="宋体" w:hAnsi="宋体"/>
          <w:color w:val="auto"/>
          <w:sz w:val="24"/>
          <w:szCs w:val="22"/>
          <w:highlight w:val="none"/>
          <w:lang w:val="en-US" w:eastAsia="zh-CN"/>
        </w:rPr>
        <w:t>本项目标的所属行业：农、林、牧、渔业</w:t>
      </w:r>
    </w:p>
    <w:p>
      <w:pPr>
        <w:keepNext w:val="0"/>
        <w:keepLines w:val="0"/>
        <w:pageBreakBefore w:val="0"/>
        <w:widowControl w:val="0"/>
        <w:kinsoku/>
        <w:wordWrap/>
        <w:overflowPunct/>
        <w:topLinePunct w:val="0"/>
        <w:autoSpaceDE/>
        <w:autoSpaceDN w:val="0"/>
        <w:bidi w:val="0"/>
        <w:adjustRightInd/>
        <w:snapToGrid/>
        <w:spacing w:line="440" w:lineRule="exact"/>
        <w:ind w:left="0" w:firstLine="0"/>
        <w:jc w:val="left"/>
        <w:textAlignment w:val="auto"/>
        <w:rPr>
          <w:rFonts w:ascii="宋体" w:hAnsi="宋体"/>
          <w:color w:val="auto"/>
          <w:sz w:val="28"/>
          <w:szCs w:val="28"/>
          <w:highlight w:val="none"/>
        </w:rPr>
      </w:pPr>
      <w:r>
        <w:rPr>
          <w:rFonts w:hint="eastAsia" w:ascii="宋体" w:hAnsi="宋体"/>
          <w:b/>
          <w:bCs/>
          <w:color w:val="auto"/>
          <w:sz w:val="28"/>
          <w:szCs w:val="28"/>
          <w:highlight w:val="none"/>
          <w:lang w:eastAsia="zh-CN"/>
        </w:rPr>
        <w:t>二</w:t>
      </w:r>
      <w:r>
        <w:rPr>
          <w:rFonts w:ascii="宋体" w:hAnsi="宋体"/>
          <w:b/>
          <w:bCs/>
          <w:color w:val="auto"/>
          <w:sz w:val="28"/>
          <w:szCs w:val="28"/>
          <w:highlight w:val="none"/>
        </w:rPr>
        <w:t>、</w:t>
      </w:r>
      <w:r>
        <w:rPr>
          <w:rFonts w:hint="eastAsia" w:ascii="宋体" w:hAnsi="宋体"/>
          <w:b/>
          <w:bCs/>
          <w:color w:val="auto"/>
          <w:sz w:val="28"/>
          <w:szCs w:val="28"/>
          <w:highlight w:val="none"/>
        </w:rPr>
        <w:t>申请人的资格要求</w:t>
      </w:r>
      <w:r>
        <w:rPr>
          <w:rFonts w:ascii="宋体" w:hAnsi="宋体"/>
          <w:b/>
          <w:bCs/>
          <w:color w:val="auto"/>
          <w:sz w:val="28"/>
          <w:szCs w:val="28"/>
          <w:highlight w:val="none"/>
        </w:rPr>
        <w:t>：</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 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 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本项目的特定资格要求：</w:t>
      </w:r>
      <w:r>
        <w:rPr>
          <w:rFonts w:hint="eastAsia" w:ascii="宋体" w:hAnsi="宋体"/>
          <w:color w:val="auto"/>
          <w:sz w:val="24"/>
          <w:highlight w:val="none"/>
          <w:lang w:val="en-US" w:eastAsia="zh-CN"/>
        </w:rPr>
        <w:t>具备有效的营业执照，且经营范围满足本次采购需求</w:t>
      </w:r>
      <w:r>
        <w:rPr>
          <w:rFonts w:hint="eastAsia" w:ascii="宋体" w:hAnsi="宋体"/>
          <w:color w:val="auto"/>
          <w:sz w:val="24"/>
          <w:highlight w:val="none"/>
        </w:rPr>
        <w:t>；有良好的履约信誉；并在人员、设备、技术、资金等方面具有相应的能力</w:t>
      </w:r>
      <w:r>
        <w:rPr>
          <w:rFonts w:hint="eastAsia" w:ascii="宋体" w:hAnsi="宋体"/>
          <w:color w:val="auto"/>
          <w:sz w:val="24"/>
          <w:highlight w:val="none"/>
          <w:lang w:eastAsia="zh-CN"/>
        </w:rPr>
        <w:t>。</w:t>
      </w:r>
      <w:r>
        <w:rPr>
          <w:rFonts w:hint="eastAsia" w:ascii="宋体" w:hAnsi="宋体"/>
          <w:color w:val="auto"/>
          <w:sz w:val="24"/>
          <w:highlight w:val="none"/>
        </w:rPr>
        <w:t>人员要求：</w:t>
      </w:r>
      <w:r>
        <w:rPr>
          <w:rFonts w:hint="eastAsia" w:ascii="宋体" w:hAnsi="宋体"/>
          <w:color w:val="auto"/>
          <w:sz w:val="24"/>
          <w:highlight w:val="none"/>
          <w:lang w:eastAsia="zh-CN"/>
        </w:rPr>
        <w:t>拟派项目负责人具备园林绿化或林业工程中级及以上技术职称</w:t>
      </w:r>
      <w:r>
        <w:rPr>
          <w:rFonts w:hint="eastAsia" w:ascii="宋体" w:hAnsi="宋体"/>
          <w:color w:val="auto"/>
          <w:sz w:val="24"/>
          <w:highlight w:val="none"/>
        </w:rPr>
        <w:t>；</w:t>
      </w:r>
      <w:r>
        <w:rPr>
          <w:rFonts w:hint="eastAsia" w:ascii="宋体" w:hAnsi="宋体"/>
          <w:color w:val="auto"/>
          <w:sz w:val="24"/>
          <w:highlight w:val="none"/>
          <w:lang w:eastAsia="zh-CN"/>
        </w:rPr>
        <w:t>项目负责人</w:t>
      </w:r>
      <w:r>
        <w:rPr>
          <w:rFonts w:hint="eastAsia" w:ascii="宋体" w:hAnsi="宋体"/>
          <w:color w:val="auto"/>
          <w:sz w:val="24"/>
          <w:highlight w:val="none"/>
        </w:rPr>
        <w:t>及施工现场管理人员必须为本单位在籍在册在编人员并缴纳养老保险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如是退休人员须附退休证及劳动聘用合同</w:t>
      </w:r>
      <w:r>
        <w:rPr>
          <w:rFonts w:hint="eastAsia" w:ascii="宋体" w:hAnsi="宋体"/>
          <w:color w:val="auto"/>
          <w:sz w:val="24"/>
          <w:highlight w:val="none"/>
          <w:lang w:eastAsia="zh-CN"/>
        </w:rPr>
        <w:t>）</w:t>
      </w:r>
      <w:r>
        <w:rPr>
          <w:rFonts w:hint="eastAsia" w:ascii="宋体" w:hAnsi="宋体"/>
          <w:color w:val="auto"/>
          <w:sz w:val="24"/>
          <w:highlight w:val="none"/>
        </w:rPr>
        <w:t>，否则取消</w:t>
      </w:r>
      <w:r>
        <w:rPr>
          <w:rFonts w:hint="eastAsia" w:ascii="宋体" w:hAnsi="宋体"/>
          <w:color w:val="auto"/>
          <w:sz w:val="24"/>
          <w:highlight w:val="none"/>
          <w:lang w:eastAsia="zh-CN"/>
        </w:rPr>
        <w:t>成交资格。</w:t>
      </w:r>
    </w:p>
    <w:p>
      <w:pPr>
        <w:autoSpaceDN w:val="0"/>
        <w:spacing w:line="440" w:lineRule="exact"/>
        <w:jc w:val="left"/>
        <w:rPr>
          <w:rFonts w:hint="eastAsia" w:ascii="宋体" w:hAnsi="宋体" w:eastAsia="宋体"/>
          <w:b/>
          <w:bCs/>
          <w:color w:val="auto"/>
          <w:sz w:val="28"/>
          <w:szCs w:val="28"/>
          <w:highlight w:val="none"/>
          <w:u w:val="none"/>
          <w:shd w:val="clear" w:color="auto" w:fill="FFFFFF"/>
          <w:lang w:val="en-US" w:eastAsia="zh-CN"/>
        </w:rPr>
      </w:pPr>
      <w:r>
        <w:rPr>
          <w:rFonts w:hint="eastAsia" w:ascii="宋体" w:hAnsi="宋体"/>
          <w:b/>
          <w:bCs/>
          <w:color w:val="auto"/>
          <w:sz w:val="28"/>
          <w:szCs w:val="28"/>
          <w:highlight w:val="none"/>
          <w:u w:val="none"/>
          <w:shd w:val="clear" w:color="auto" w:fill="FFFFFF"/>
          <w:lang w:eastAsia="zh-CN"/>
        </w:rPr>
        <w:t>三</w:t>
      </w:r>
      <w:r>
        <w:rPr>
          <w:rFonts w:ascii="宋体" w:hAnsi="宋体"/>
          <w:b/>
          <w:bCs/>
          <w:color w:val="auto"/>
          <w:sz w:val="28"/>
          <w:szCs w:val="28"/>
          <w:highlight w:val="none"/>
          <w:u w:val="none"/>
          <w:shd w:val="clear" w:color="auto" w:fill="FFFFFF"/>
        </w:rPr>
        <w:t>、</w:t>
      </w:r>
      <w:r>
        <w:rPr>
          <w:rFonts w:hint="eastAsia" w:ascii="宋体" w:hAnsi="宋体"/>
          <w:b/>
          <w:bCs/>
          <w:color w:val="auto"/>
          <w:sz w:val="28"/>
          <w:szCs w:val="28"/>
          <w:highlight w:val="none"/>
          <w:u w:val="none"/>
          <w:shd w:val="clear" w:color="auto" w:fill="FFFFFF"/>
          <w:lang w:eastAsia="zh-CN"/>
        </w:rPr>
        <w:t>获取采购文件</w:t>
      </w:r>
      <w:r>
        <w:rPr>
          <w:rFonts w:hint="eastAsia" w:ascii="宋体" w:hAnsi="宋体"/>
          <w:b/>
          <w:bCs/>
          <w:color w:val="auto"/>
          <w:sz w:val="28"/>
          <w:szCs w:val="28"/>
          <w:highlight w:val="none"/>
          <w:u w:val="none"/>
          <w:shd w:val="clear" w:color="auto" w:fill="FFFFFF"/>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u w:val="none"/>
          <w:lang w:val="en-US" w:eastAsia="zh-CN"/>
        </w:rPr>
        <w:t xml:space="preserve">3.1 </w:t>
      </w:r>
      <w:r>
        <w:rPr>
          <w:rFonts w:hint="eastAsia" w:ascii="宋体" w:hAnsi="宋体"/>
          <w:color w:val="auto"/>
          <w:sz w:val="24"/>
          <w:highlight w:val="none"/>
          <w:u w:val="none"/>
        </w:rPr>
        <w:t>时间：2026年05月0</w:t>
      </w:r>
      <w:r>
        <w:rPr>
          <w:rFonts w:hint="eastAsia" w:ascii="宋体" w:hAnsi="宋体"/>
          <w:color w:val="auto"/>
          <w:sz w:val="24"/>
          <w:highlight w:val="none"/>
          <w:u w:val="none"/>
          <w:lang w:val="en-US" w:eastAsia="zh-CN"/>
        </w:rPr>
        <w:t>7</w:t>
      </w:r>
      <w:r>
        <w:rPr>
          <w:rFonts w:hint="eastAsia" w:ascii="宋体" w:hAnsi="宋体"/>
          <w:color w:val="auto"/>
          <w:sz w:val="24"/>
          <w:highlight w:val="none"/>
          <w:u w:val="none"/>
        </w:rPr>
        <w:t>日至2026年05月1</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日（北京时间 ）</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eastAsia="zh-CN"/>
        </w:rPr>
      </w:pPr>
      <w:r>
        <w:rPr>
          <w:rFonts w:hint="eastAsia" w:ascii="宋体" w:hAnsi="宋体"/>
          <w:color w:val="auto"/>
          <w:sz w:val="24"/>
          <w:highlight w:val="none"/>
          <w:u w:val="none"/>
          <w:lang w:val="en-US" w:eastAsia="zh-CN"/>
        </w:rPr>
        <w:t xml:space="preserve">3.2 </w:t>
      </w:r>
      <w:r>
        <w:rPr>
          <w:rFonts w:hint="eastAsia" w:ascii="宋体" w:hAnsi="宋体"/>
          <w:color w:val="auto"/>
          <w:sz w:val="24"/>
          <w:highlight w:val="none"/>
          <w:u w:val="none"/>
          <w:lang w:eastAsia="zh-CN"/>
        </w:rPr>
        <w:t>地点：</w:t>
      </w:r>
      <w:r>
        <w:rPr>
          <w:rFonts w:hint="eastAsia" w:ascii="宋体" w:hAnsi="宋体" w:eastAsia="宋体" w:cs="宋体"/>
          <w:color w:val="auto"/>
          <w:kern w:val="2"/>
          <w:sz w:val="24"/>
          <w:szCs w:val="24"/>
          <w:highlight w:val="none"/>
          <w:u w:val="none"/>
          <w:lang w:val="en-US" w:eastAsia="zh-CN" w:bidi="ar-SA"/>
        </w:rPr>
        <w:t>“政采云”平台（http：//www.zcygov.cn）。</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lang w:val="en-US" w:eastAsia="zh-CN"/>
        </w:rPr>
        <w:t xml:space="preserve">3.3 </w:t>
      </w:r>
      <w:r>
        <w:rPr>
          <w:rFonts w:hint="eastAsia" w:ascii="宋体" w:hAnsi="宋体"/>
          <w:color w:val="auto"/>
          <w:sz w:val="24"/>
          <w:highlight w:val="none"/>
          <w:lang w:eastAsia="zh-CN"/>
        </w:rPr>
        <w:t>方式：</w:t>
      </w:r>
      <w:r>
        <w:rPr>
          <w:rFonts w:hint="eastAsia" w:ascii="宋体" w:hAnsi="宋体"/>
          <w:color w:val="auto"/>
          <w:sz w:val="24"/>
          <w:highlight w:val="none"/>
          <w:u w:val="none"/>
        </w:rPr>
        <w:t>网上免费获取，潜在供应商自行登录政府采购云平台（网址：http://www.zcygov.cn）网上注册并下载</w:t>
      </w:r>
      <w:r>
        <w:rPr>
          <w:rFonts w:hint="eastAsia" w:ascii="宋体" w:hAnsi="宋体"/>
          <w:color w:val="auto"/>
          <w:sz w:val="24"/>
          <w:highlight w:val="none"/>
          <w:u w:val="none"/>
          <w:lang w:val="en-US" w:eastAsia="zh-CN"/>
        </w:rPr>
        <w:t>采购</w:t>
      </w:r>
      <w:r>
        <w:rPr>
          <w:rFonts w:hint="eastAsia" w:ascii="宋体" w:hAnsi="宋体"/>
          <w:color w:val="auto"/>
          <w:sz w:val="24"/>
          <w:highlight w:val="none"/>
          <w:u w:val="none"/>
        </w:rPr>
        <w:t>文件（操作路径：登录“政采云”平台-项目采购-获取</w:t>
      </w:r>
      <w:r>
        <w:rPr>
          <w:rFonts w:hint="eastAsia" w:ascii="宋体" w:hAnsi="宋体"/>
          <w:color w:val="auto"/>
          <w:sz w:val="24"/>
          <w:highlight w:val="none"/>
          <w:u w:val="none"/>
          <w:lang w:val="en-US" w:eastAsia="zh-CN"/>
        </w:rPr>
        <w:t>采购</w:t>
      </w:r>
      <w:r>
        <w:rPr>
          <w:rFonts w:hint="eastAsia" w:ascii="宋体" w:hAnsi="宋体"/>
          <w:color w:val="auto"/>
          <w:sz w:val="24"/>
          <w:highlight w:val="none"/>
          <w:u w:val="none"/>
        </w:rPr>
        <w:t>文件-找到本项目-点击“申请获取文件”），其他途径获取的</w:t>
      </w:r>
      <w:r>
        <w:rPr>
          <w:rFonts w:hint="eastAsia" w:ascii="宋体" w:hAnsi="宋体"/>
          <w:color w:val="auto"/>
          <w:sz w:val="24"/>
          <w:highlight w:val="none"/>
          <w:u w:val="none"/>
          <w:lang w:val="en-US" w:eastAsia="zh-CN"/>
        </w:rPr>
        <w:t>采购</w:t>
      </w:r>
      <w:r>
        <w:rPr>
          <w:rFonts w:hint="eastAsia" w:ascii="宋体" w:hAnsi="宋体"/>
          <w:color w:val="auto"/>
          <w:sz w:val="24"/>
          <w:highlight w:val="none"/>
          <w:u w:val="none"/>
        </w:rPr>
        <w:t>文件开启时一律按无效投标处理。</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u w:val="none"/>
          <w:lang w:val="en-US" w:eastAsia="zh-CN"/>
        </w:rPr>
        <w:t xml:space="preserve">3.4 </w:t>
      </w:r>
      <w:r>
        <w:rPr>
          <w:rFonts w:hint="eastAsia" w:ascii="宋体" w:hAnsi="宋体"/>
          <w:color w:val="auto"/>
          <w:sz w:val="24"/>
          <w:highlight w:val="none"/>
        </w:rPr>
        <w:t>售价：0元</w:t>
      </w:r>
    </w:p>
    <w:p>
      <w:pPr>
        <w:shd w:val="solid" w:color="FFFFFF" w:fill="auto"/>
        <w:autoSpaceDN w:val="0"/>
        <w:spacing w:line="440" w:lineRule="exact"/>
        <w:jc w:val="left"/>
        <w:rPr>
          <w:rFonts w:hint="eastAsia" w:ascii="宋体" w:hAnsi="宋体" w:eastAsia="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四</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投标文件提交</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4.1 截止时间：</w:t>
      </w:r>
      <w:r>
        <w:rPr>
          <w:rFonts w:hint="eastAsia" w:ascii="宋体" w:hAnsi="宋体"/>
          <w:color w:val="auto"/>
          <w:sz w:val="24"/>
          <w:highlight w:val="none"/>
          <w:u w:val="none"/>
          <w:lang w:val="en-US" w:eastAsia="zh-CN"/>
        </w:rPr>
        <w:t>2026年05月18日13点00分</w:t>
      </w:r>
      <w:r>
        <w:rPr>
          <w:rFonts w:hint="eastAsia" w:ascii="宋体" w:hAnsi="宋体"/>
          <w:color w:val="auto"/>
          <w:sz w:val="24"/>
          <w:highlight w:val="none"/>
          <w:lang w:val="en-US" w:eastAsia="zh-CN"/>
        </w:rPr>
        <w:t>（北京时间）；</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4.2 地点：在线开标（腾讯</w:t>
      </w:r>
      <w:r>
        <w:rPr>
          <w:rFonts w:hint="eastAsia" w:ascii="宋体" w:hAnsi="宋体"/>
          <w:color w:val="auto"/>
          <w:sz w:val="24"/>
          <w:szCs w:val="24"/>
          <w:highlight w:val="none"/>
          <w:lang w:val="en-US" w:eastAsia="zh-CN"/>
        </w:rPr>
        <w:t>会议：</w:t>
      </w:r>
      <w:r>
        <w:rPr>
          <w:rFonts w:hint="eastAsia" w:ascii="宋体" w:hAnsi="宋体" w:eastAsia="宋体" w:cs="宋体"/>
          <w:color w:val="auto"/>
          <w:kern w:val="0"/>
          <w:sz w:val="24"/>
          <w:szCs w:val="24"/>
          <w:highlight w:val="none"/>
          <w:lang w:val="en-US" w:eastAsia="zh-CN"/>
        </w:rPr>
        <w:t>441-855-8240</w:t>
      </w:r>
      <w:r>
        <w:rPr>
          <w:rFonts w:hint="eastAsia" w:ascii="宋体" w:hAnsi="宋体"/>
          <w:color w:val="auto"/>
          <w:sz w:val="24"/>
          <w:szCs w:val="24"/>
          <w:highlight w:val="none"/>
          <w:lang w:val="en-US" w:eastAsia="zh-CN"/>
        </w:rPr>
        <w:t>）。</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4.3 本项目执行电子化招投标，供应商须通过政府采购云平台（网址：http://www.zcygov.cn）递交电子版投标文件，逾期未上传电子投标文件，将不予受理。</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4.4 供应商在电子化平台参与政府采购项目前，应在电子化平台完成信息注册（如已注册白山市政府采购电子商城则无需重复注册），注册链接：https://middle.zcygov.cn/v-settle-front/registry。政采云投标客户端及CA驱动下载地址：https://customer.zcygov.cn/CA-driver-download?utm=web-login-front.52cebfa2.0.0.04df4040034511edaac705fda12edb43。</w:t>
      </w:r>
    </w:p>
    <w:p>
      <w:pPr>
        <w:keepNext w:val="0"/>
        <w:keepLines w:val="0"/>
        <w:pageBreakBefore w:val="0"/>
        <w:widowControl w:val="0"/>
        <w:shd w:val="solid" w:color="FFFFFF" w:fill="auto"/>
        <w:kinsoku/>
        <w:wordWrap w:val="0"/>
        <w:overflowPunct/>
        <w:topLinePunct w:val="0"/>
        <w:autoSpaceDE/>
        <w:autoSpaceDN w:val="0"/>
        <w:bidi w:val="0"/>
        <w:adjustRightInd/>
        <w:snapToGrid/>
        <w:spacing w:line="440" w:lineRule="exact"/>
        <w:jc w:val="left"/>
        <w:textAlignment w:val="auto"/>
        <w:rPr>
          <w:rFonts w:hint="eastAsia" w:ascii="宋体" w:hAnsi="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五、开启</w:t>
      </w:r>
    </w:p>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lang w:val="en-US" w:eastAsia="zh-CN"/>
        </w:rPr>
        <w:t>5.1 时间：</w:t>
      </w:r>
      <w:r>
        <w:rPr>
          <w:rFonts w:hint="eastAsia" w:ascii="宋体" w:hAnsi="宋体"/>
          <w:color w:val="auto"/>
          <w:sz w:val="24"/>
          <w:highlight w:val="none"/>
          <w:u w:val="none"/>
          <w:lang w:eastAsia="zh-CN"/>
        </w:rPr>
        <w:t>2026年05月18日13点00分</w:t>
      </w:r>
      <w:r>
        <w:rPr>
          <w:rFonts w:hint="eastAsia" w:ascii="宋体" w:hAnsi="宋体"/>
          <w:color w:val="auto"/>
          <w:sz w:val="24"/>
          <w:highlight w:val="none"/>
          <w:u w:val="none"/>
          <w:lang w:val="en-US" w:eastAsia="zh-CN"/>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5.2 地点：</w:t>
      </w:r>
      <w:r>
        <w:rPr>
          <w:rFonts w:hint="eastAsia" w:ascii="宋体" w:hAnsi="宋体"/>
          <w:color w:val="auto"/>
          <w:sz w:val="24"/>
          <w:highlight w:val="none"/>
          <w:u w:val="none"/>
          <w:lang w:eastAsia="zh-CN"/>
        </w:rPr>
        <w:t>白山市浑江区红旗街578号国投大厦</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lang w:eastAsia="zh-CN"/>
        </w:rPr>
      </w:pPr>
      <w:r>
        <w:rPr>
          <w:rFonts w:hint="eastAsia" w:ascii="宋体" w:hAnsi="宋体"/>
          <w:color w:val="auto"/>
          <w:sz w:val="24"/>
          <w:highlight w:val="none"/>
          <w:lang w:val="en-US" w:eastAsia="zh-CN"/>
        </w:rPr>
        <w:t>5.3 投标文件解密：在工作人员开启解密投标文件后，30分钟内对加密的投标文件进行解密，未能按要求进行解密的，由此产生的后果由投标人自行承担。</w:t>
      </w:r>
    </w:p>
    <w:p>
      <w:pPr>
        <w:shd w:val="solid" w:color="FFFFFF" w:fill="auto"/>
        <w:autoSpaceDN w:val="0"/>
        <w:spacing w:line="440" w:lineRule="exact"/>
        <w:jc w:val="left"/>
        <w:rPr>
          <w:rFonts w:hint="eastAsia" w:ascii="宋体" w:hAnsi="宋体"/>
          <w:b/>
          <w:bCs/>
          <w:color w:val="auto"/>
          <w:sz w:val="28"/>
          <w:szCs w:val="28"/>
          <w:highlight w:val="none"/>
          <w:u w:val="none"/>
          <w:shd w:val="clear" w:color="auto" w:fill="FFFFFF"/>
          <w:lang w:eastAsia="zh-CN"/>
        </w:rPr>
      </w:pPr>
      <w:r>
        <w:rPr>
          <w:rFonts w:hint="eastAsia" w:ascii="宋体" w:hAnsi="宋体"/>
          <w:b/>
          <w:bCs/>
          <w:color w:val="auto"/>
          <w:sz w:val="28"/>
          <w:szCs w:val="28"/>
          <w:highlight w:val="none"/>
          <w:u w:val="none"/>
          <w:shd w:val="clear" w:color="auto" w:fill="FFFFFF"/>
          <w:lang w:eastAsia="zh-CN"/>
        </w:rPr>
        <w:t>六、公告期限</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自本公告发布之日起5个工作日。</w:t>
      </w:r>
    </w:p>
    <w:p>
      <w:pPr>
        <w:numPr>
          <w:ilvl w:val="0"/>
          <w:numId w:val="0"/>
        </w:numPr>
        <w:shd w:val="solid" w:color="FFFFFF" w:fill="auto"/>
        <w:autoSpaceDN w:val="0"/>
        <w:spacing w:line="440" w:lineRule="exact"/>
        <w:jc w:val="left"/>
        <w:rPr>
          <w:rFonts w:hint="eastAsia" w:ascii="宋体" w:hAnsi="宋体"/>
          <w:b/>
          <w:bCs/>
          <w:color w:val="auto"/>
          <w:sz w:val="28"/>
          <w:szCs w:val="28"/>
          <w:highlight w:val="none"/>
          <w:u w:val="none"/>
          <w:shd w:val="clear" w:color="auto" w:fill="FFFFFF"/>
          <w:lang w:val="en-US" w:eastAsia="zh-CN"/>
        </w:rPr>
      </w:pPr>
      <w:r>
        <w:rPr>
          <w:rFonts w:hint="eastAsia" w:ascii="宋体" w:hAnsi="宋体"/>
          <w:b/>
          <w:bCs/>
          <w:color w:val="auto"/>
          <w:sz w:val="28"/>
          <w:szCs w:val="28"/>
          <w:highlight w:val="none"/>
          <w:u w:val="none"/>
          <w:shd w:val="clear" w:color="auto" w:fill="FFFFFF"/>
          <w:lang w:val="en-US" w:eastAsia="zh-CN"/>
        </w:rPr>
        <w:t>七、其他补充事宜</w:t>
      </w:r>
    </w:p>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ascii="宋体" w:hAnsi="宋体"/>
          <w:color w:val="auto"/>
          <w:sz w:val="24"/>
          <w:highlight w:val="none"/>
          <w:u w:val="none"/>
          <w:shd w:val="clear" w:color="auto" w:fill="FFFFFF"/>
        </w:rPr>
      </w:pPr>
      <w:r>
        <w:rPr>
          <w:rFonts w:hint="eastAsia" w:ascii="宋体" w:hAnsi="宋体"/>
          <w:color w:val="auto"/>
          <w:sz w:val="24"/>
          <w:highlight w:val="none"/>
          <w:u w:val="none"/>
          <w:shd w:val="clear" w:color="auto" w:fill="FFFFFF"/>
          <w:lang w:val="en-US" w:eastAsia="zh-CN"/>
        </w:rPr>
        <w:t xml:space="preserve">7.1 </w:t>
      </w:r>
      <w:r>
        <w:rPr>
          <w:rFonts w:ascii="宋体" w:hAnsi="宋体"/>
          <w:color w:val="auto"/>
          <w:sz w:val="24"/>
          <w:highlight w:val="none"/>
          <w:u w:val="none"/>
          <w:shd w:val="clear" w:color="auto" w:fill="FFFFFF"/>
        </w:rPr>
        <w:t>本次</w:t>
      </w:r>
      <w:r>
        <w:rPr>
          <w:rFonts w:hint="eastAsia" w:ascii="宋体" w:hAnsi="宋体"/>
          <w:color w:val="auto"/>
          <w:sz w:val="24"/>
          <w:highlight w:val="none"/>
          <w:u w:val="none"/>
          <w:shd w:val="clear" w:color="auto" w:fill="FFFFFF"/>
          <w:lang w:eastAsia="zh-CN"/>
        </w:rPr>
        <w:t>竞争性磋商公告</w:t>
      </w:r>
      <w:r>
        <w:rPr>
          <w:rFonts w:ascii="宋体" w:hAnsi="宋体"/>
          <w:color w:val="auto"/>
          <w:sz w:val="24"/>
          <w:highlight w:val="none"/>
          <w:u w:val="none"/>
          <w:shd w:val="clear" w:color="auto" w:fill="FFFFFF"/>
        </w:rPr>
        <w:t>同时在中国政府采购网、</w:t>
      </w:r>
      <w:r>
        <w:rPr>
          <w:rFonts w:hint="eastAsia" w:ascii="宋体" w:hAnsi="宋体" w:cs="宋体"/>
          <w:color w:val="auto"/>
          <w:sz w:val="24"/>
          <w:szCs w:val="21"/>
          <w:highlight w:val="none"/>
          <w:u w:val="none"/>
          <w:lang w:val="zh-CN"/>
        </w:rPr>
        <w:t>吉林省政府采购云平台（同步推送到吉林省政府采购网）上同时发布。</w:t>
      </w:r>
    </w:p>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val="en-US" w:eastAsia="zh-CN"/>
        </w:rPr>
        <w:t>7.2 逾期</w:t>
      </w:r>
      <w:r>
        <w:rPr>
          <w:rFonts w:ascii="宋体" w:hAnsi="宋体"/>
          <w:color w:val="auto"/>
          <w:sz w:val="24"/>
          <w:highlight w:val="none"/>
          <w:u w:val="none"/>
        </w:rPr>
        <w:t>送达的或者未送达指定地点的</w:t>
      </w:r>
      <w:r>
        <w:rPr>
          <w:rFonts w:hint="eastAsia" w:ascii="宋体" w:hAnsi="宋体"/>
          <w:color w:val="auto"/>
          <w:sz w:val="24"/>
          <w:highlight w:val="none"/>
          <w:u w:val="none"/>
          <w:lang w:eastAsia="zh-CN"/>
        </w:rPr>
        <w:t>磋商响应文件</w:t>
      </w:r>
      <w:r>
        <w:rPr>
          <w:rFonts w:ascii="宋体" w:hAnsi="宋体"/>
          <w:color w:val="auto"/>
          <w:sz w:val="24"/>
          <w:highlight w:val="none"/>
          <w:u w:val="none"/>
        </w:rPr>
        <w:t>，采购人不予受理</w:t>
      </w:r>
      <w:r>
        <w:rPr>
          <w:rFonts w:hint="eastAsia" w:ascii="宋体" w:hAnsi="宋体"/>
          <w:color w:val="auto"/>
          <w:sz w:val="24"/>
          <w:highlight w:val="none"/>
          <w:u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u w:val="none"/>
          <w:shd w:val="clear" w:color="auto" w:fill="FFFFFF"/>
          <w:lang w:val="en-US" w:eastAsia="zh-CN"/>
        </w:rPr>
      </w:pPr>
      <w:r>
        <w:rPr>
          <w:rFonts w:hint="eastAsia" w:ascii="宋体" w:hAnsi="宋体"/>
          <w:color w:val="auto"/>
          <w:sz w:val="24"/>
          <w:highlight w:val="none"/>
          <w:u w:val="none"/>
          <w:lang w:val="en-US" w:eastAsia="zh-CN"/>
        </w:rPr>
        <w:t>7.3</w:t>
      </w:r>
      <w:r>
        <w:rPr>
          <w:rFonts w:hint="eastAsia" w:ascii="宋体" w:hAnsi="宋体"/>
          <w:color w:val="auto"/>
          <w:sz w:val="24"/>
          <w:highlight w:val="none"/>
          <w:u w:val="none"/>
        </w:rPr>
        <w:t xml:space="preserve"> 有效投标人不足三家时，</w:t>
      </w:r>
      <w:r>
        <w:rPr>
          <w:rFonts w:ascii="宋体" w:hAnsi="宋体"/>
          <w:color w:val="auto"/>
          <w:sz w:val="24"/>
          <w:highlight w:val="none"/>
          <w:u w:val="none"/>
        </w:rPr>
        <w:t>采购</w:t>
      </w:r>
      <w:r>
        <w:rPr>
          <w:rFonts w:hint="eastAsia" w:ascii="宋体" w:hAnsi="宋体"/>
          <w:color w:val="auto"/>
          <w:sz w:val="24"/>
          <w:highlight w:val="none"/>
          <w:u w:val="none"/>
        </w:rPr>
        <w:t>人另行组织</w:t>
      </w:r>
      <w:r>
        <w:rPr>
          <w:rFonts w:hint="eastAsia" w:ascii="宋体" w:hAnsi="宋体"/>
          <w:color w:val="auto"/>
          <w:sz w:val="24"/>
          <w:highlight w:val="none"/>
          <w:u w:val="none"/>
          <w:lang w:val="en-US" w:eastAsia="zh-CN"/>
        </w:rPr>
        <w:t>招标</w:t>
      </w:r>
      <w:r>
        <w:rPr>
          <w:rFonts w:hint="eastAsia" w:ascii="宋体" w:hAnsi="宋体"/>
          <w:color w:val="auto"/>
          <w:sz w:val="24"/>
          <w:highlight w:val="none"/>
          <w:u w:val="none"/>
          <w:lang w:eastAsia="zh-CN"/>
        </w:rPr>
        <w:t>。</w:t>
      </w:r>
    </w:p>
    <w:p>
      <w:pPr>
        <w:numPr>
          <w:ilvl w:val="0"/>
          <w:numId w:val="0"/>
        </w:numPr>
        <w:shd w:val="solid" w:color="FFFFFF" w:fill="auto"/>
        <w:autoSpaceDN w:val="0"/>
        <w:spacing w:line="440" w:lineRule="exact"/>
        <w:jc w:val="left"/>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八、对本次招标提出询问，请按以下方式联系</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采购人信息</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 xml:space="preserve">抚松县松江河镇人民政府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地    址：抚松县松江河镇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联 系 人：李文建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联系方式：18643960418                     </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u w:val="none"/>
        </w:rPr>
        <w:t>采购代理机构信息</w:t>
      </w:r>
      <w:r>
        <w:rPr>
          <w:rFonts w:hint="eastAsia" w:ascii="宋体" w:hAnsi="宋体"/>
          <w:color w:val="auto"/>
          <w:sz w:val="24"/>
          <w:highlight w:val="none"/>
          <w:u w:val="none"/>
          <w:lang w:val="en-US" w:eastAsia="zh-CN"/>
        </w:rPr>
        <w:t xml:space="preserve">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吉林省鹏诚项目管理咨询有限公司</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left="718" w:leftChars="342" w:firstLine="120" w:firstLineChars="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地    址：吉林省白山市抚松县抚松镇清华园小区三期5幢103号</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 系 人：徐连雯</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left="718" w:leftChars="342" w:firstLine="120" w:firstLineChars="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联系方式：18004395290                 </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项目联系方式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项目联系人：徐连雯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4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电      话：18004395290                   </w:t>
      </w:r>
    </w:p>
    <w:p>
      <w:pPr>
        <w:pStyle w:val="35"/>
        <w:keepNext w:val="0"/>
        <w:keepLines w:val="0"/>
        <w:pageBreakBefore/>
        <w:widowControl w:val="0"/>
        <w:kinsoku/>
        <w:wordWrap/>
        <w:overflowPunct/>
        <w:topLinePunct w:val="0"/>
        <w:autoSpaceDE/>
        <w:autoSpaceDN/>
        <w:bidi w:val="0"/>
        <w:adjustRightInd/>
        <w:snapToGrid/>
        <w:jc w:val="center"/>
        <w:textAlignment w:val="auto"/>
        <w:rPr>
          <w:rFonts w:ascii="宋体" w:hAnsi="宋体" w:cs="Times New Roman"/>
          <w:bCs w:val="0"/>
          <w:color w:val="auto"/>
          <w:kern w:val="2"/>
          <w:sz w:val="44"/>
          <w:szCs w:val="44"/>
          <w:highlight w:val="none"/>
        </w:rPr>
      </w:pPr>
      <w:bookmarkStart w:id="5" w:name="_Toc6865_WPSOffice_Level1"/>
      <w:bookmarkStart w:id="6" w:name="_Toc13133_WPSOffice_Level1"/>
      <w:bookmarkStart w:id="7" w:name="_Toc504654673"/>
      <w:r>
        <w:rPr>
          <w:rFonts w:hint="eastAsia" w:ascii="宋体" w:hAnsi="宋体" w:cs="Times New Roman"/>
          <w:bCs w:val="0"/>
          <w:color w:val="auto"/>
          <w:kern w:val="2"/>
          <w:sz w:val="44"/>
          <w:szCs w:val="44"/>
          <w:highlight w:val="none"/>
        </w:rPr>
        <w:t>第二章 投标人须知</w:t>
      </w:r>
      <w:bookmarkEnd w:id="5"/>
      <w:bookmarkEnd w:id="6"/>
      <w:bookmarkEnd w:id="7"/>
    </w:p>
    <w:p>
      <w:pPr>
        <w:pStyle w:val="4"/>
        <w:jc w:val="center"/>
        <w:rPr>
          <w:rFonts w:ascii="宋体" w:hAnsi="宋体" w:eastAsia="宋体"/>
          <w:b w:val="0"/>
          <w:bCs w:val="0"/>
          <w:color w:val="auto"/>
          <w:kern w:val="0"/>
          <w:sz w:val="28"/>
          <w:szCs w:val="28"/>
          <w:highlight w:val="none"/>
        </w:rPr>
      </w:pPr>
      <w:bookmarkStart w:id="8" w:name="_Toc504654674"/>
      <w:r>
        <w:rPr>
          <w:rFonts w:hint="eastAsia" w:ascii="宋体" w:hAnsi="宋体" w:eastAsia="宋体"/>
          <w:b w:val="0"/>
          <w:color w:val="auto"/>
          <w:kern w:val="0"/>
          <w:sz w:val="28"/>
          <w:szCs w:val="28"/>
          <w:highlight w:val="none"/>
        </w:rPr>
        <w:t>投标人须知</w:t>
      </w:r>
      <w:r>
        <w:rPr>
          <w:rFonts w:hint="eastAsia" w:ascii="宋体" w:hAnsi="宋体" w:eastAsia="宋体"/>
          <w:b w:val="0"/>
          <w:bCs w:val="0"/>
          <w:color w:val="auto"/>
          <w:kern w:val="0"/>
          <w:sz w:val="28"/>
          <w:szCs w:val="28"/>
          <w:highlight w:val="none"/>
        </w:rPr>
        <w:t>前附表</w:t>
      </w:r>
      <w:bookmarkEnd w:id="8"/>
    </w:p>
    <w:tbl>
      <w:tblPr>
        <w:tblStyle w:val="37"/>
        <w:tblW w:w="10348"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2355"/>
        <w:gridCol w:w="69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76"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抚松县松江河镇人民政府</w:t>
            </w:r>
          </w:p>
          <w:p>
            <w:pPr>
              <w:autoSpaceDN w:val="0"/>
              <w:spacing w:line="276"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抚松县松江河镇</w:t>
            </w:r>
          </w:p>
          <w:p>
            <w:pPr>
              <w:autoSpaceDN w:val="0"/>
              <w:spacing w:line="27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李</w:t>
            </w:r>
            <w:r>
              <w:rPr>
                <w:rFonts w:hint="eastAsia" w:ascii="宋体" w:hAnsi="宋体"/>
                <w:color w:val="auto"/>
                <w:sz w:val="24"/>
                <w:highlight w:val="none"/>
                <w:lang w:val="en-US" w:eastAsia="zh-CN"/>
              </w:rPr>
              <w:t>文建</w:t>
            </w:r>
          </w:p>
          <w:p>
            <w:pPr>
              <w:autoSpaceDN w:val="0"/>
              <w:spacing w:line="276"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18643960418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采购代理机构</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76"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采购代理机构：</w:t>
            </w:r>
            <w:r>
              <w:rPr>
                <w:rFonts w:hint="eastAsia" w:ascii="宋体" w:hAnsi="宋体"/>
                <w:color w:val="auto"/>
                <w:sz w:val="24"/>
                <w:highlight w:val="none"/>
                <w:lang w:eastAsia="zh-CN"/>
              </w:rPr>
              <w:t>吉林省鹏诚项目管理咨询有限公司</w:t>
            </w:r>
          </w:p>
          <w:p>
            <w:pPr>
              <w:autoSpaceDN w:val="0"/>
              <w:spacing w:line="276" w:lineRule="auto"/>
              <w:ind w:left="960" w:hanging="960" w:hangingChars="400"/>
              <w:jc w:val="left"/>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吉林省白山市抚松县抚松镇清华园小区三期5幢103号</w:t>
            </w:r>
          </w:p>
          <w:p>
            <w:pPr>
              <w:autoSpaceDN w:val="0"/>
              <w:spacing w:line="27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徐连雯</w:t>
            </w:r>
          </w:p>
          <w:p>
            <w:pPr>
              <w:autoSpaceDN w:val="0"/>
              <w:spacing w:line="276"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val="en-US" w:eastAsia="zh-CN"/>
              </w:rPr>
              <w:t>18004395290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9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2026</w:t>
            </w:r>
            <w:r>
              <w:rPr>
                <w:rFonts w:hint="eastAsia" w:ascii="宋体" w:hAnsi="宋体"/>
                <w:color w:val="auto"/>
                <w:sz w:val="24"/>
                <w:highlight w:val="none"/>
                <w:lang w:eastAsia="zh-CN"/>
              </w:rPr>
              <w:t>年松江河镇园林绿化管理服务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项目编号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采购计划-[2026]-00060号-026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项目地点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color w:val="auto"/>
                <w:sz w:val="24"/>
                <w:highlight w:val="none"/>
                <w:lang w:eastAsia="zh-CN"/>
              </w:rPr>
              <w:t>抚松县松江河镇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color w:val="auto"/>
                <w:sz w:val="24"/>
                <w:highlight w:val="none"/>
                <w:lang w:val="en-US" w:eastAsia="zh-CN"/>
              </w:rPr>
              <w:t>财政资金</w:t>
            </w:r>
            <w:r>
              <w:rPr>
                <w:rFonts w:hint="eastAsia" w:ascii="宋体" w:hAnsi="宋体"/>
                <w:color w:val="auto"/>
                <w:sz w:val="24"/>
                <w:highlight w:val="none"/>
              </w:rPr>
              <w:t>10</w:t>
            </w:r>
            <w:r>
              <w:rPr>
                <w:rFonts w:hint="eastAsia" w:ascii="宋体" w:hAnsi="宋体" w:eastAsia="宋体" w:cs="宋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项目性质</w:t>
            </w:r>
          </w:p>
        </w:tc>
        <w:tc>
          <w:tcPr>
            <w:tcW w:w="69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本项目</w:t>
            </w:r>
            <w:r>
              <w:rPr>
                <w:rFonts w:hint="eastAsia" w:ascii="宋体" w:hAnsi="宋体"/>
                <w:color w:val="auto"/>
                <w:sz w:val="24"/>
                <w:highlight w:val="none"/>
              </w:rPr>
              <w:t>专门面向中小企业采购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内容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color w:val="auto"/>
                <w:sz w:val="24"/>
                <w:highlight w:val="none"/>
                <w:lang w:eastAsia="zh-CN"/>
              </w:rPr>
              <w:t>园林绿化管理服务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服务周期</w:t>
            </w:r>
          </w:p>
        </w:tc>
        <w:tc>
          <w:tcPr>
            <w:tcW w:w="6964"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2026年05月23日至2027年05月23日，共计365日历天。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投标人资质条件、能力和信誉</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s="宋体"/>
                <w:color w:val="auto"/>
                <w:sz w:val="24"/>
                <w:highlight w:val="none"/>
                <w:lang w:val="en-US" w:eastAsia="zh-CN"/>
              </w:rPr>
              <w:t>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highlight w:val="yellow"/>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本项目的特定资格要求：</w:t>
            </w:r>
            <w:r>
              <w:rPr>
                <w:rFonts w:hint="eastAsia" w:ascii="宋体" w:hAnsi="宋体"/>
                <w:color w:val="auto"/>
                <w:sz w:val="24"/>
                <w:highlight w:val="none"/>
                <w:lang w:val="en-US" w:eastAsia="zh-CN"/>
              </w:rPr>
              <w:t>具备有效的营业执照，且经营范围满足本次采购需求</w:t>
            </w:r>
            <w:r>
              <w:rPr>
                <w:rFonts w:hint="eastAsia" w:ascii="宋体" w:hAnsi="宋体"/>
                <w:color w:val="auto"/>
                <w:sz w:val="24"/>
                <w:highlight w:val="none"/>
              </w:rPr>
              <w:t>；有良好的履约信誉；并在人员、设备、技术、资金等方面具有相应的能力</w:t>
            </w:r>
            <w:r>
              <w:rPr>
                <w:rFonts w:hint="eastAsia" w:ascii="宋体" w:hAnsi="宋体"/>
                <w:color w:val="auto"/>
                <w:sz w:val="24"/>
                <w:highlight w:val="none"/>
                <w:lang w:eastAsia="zh-CN"/>
              </w:rPr>
              <w:t>。</w:t>
            </w:r>
            <w:r>
              <w:rPr>
                <w:rFonts w:hint="eastAsia" w:ascii="宋体" w:hAnsi="宋体"/>
                <w:color w:val="auto"/>
                <w:sz w:val="24"/>
                <w:highlight w:val="none"/>
              </w:rPr>
              <w:t>人员要求：</w:t>
            </w:r>
            <w:r>
              <w:rPr>
                <w:rFonts w:hint="eastAsia" w:ascii="宋体" w:hAnsi="宋体"/>
                <w:color w:val="auto"/>
                <w:sz w:val="24"/>
                <w:highlight w:val="none"/>
                <w:lang w:eastAsia="zh-CN"/>
              </w:rPr>
              <w:t>拟派项目负责人具备园林绿化或林业工程中级及以上技术职称</w:t>
            </w:r>
            <w:r>
              <w:rPr>
                <w:rFonts w:hint="eastAsia" w:ascii="宋体" w:hAnsi="宋体"/>
                <w:color w:val="auto"/>
                <w:sz w:val="24"/>
                <w:highlight w:val="none"/>
              </w:rPr>
              <w:t>；</w:t>
            </w:r>
            <w:r>
              <w:rPr>
                <w:rFonts w:hint="eastAsia" w:ascii="宋体" w:hAnsi="宋体"/>
                <w:color w:val="auto"/>
                <w:sz w:val="24"/>
                <w:highlight w:val="none"/>
                <w:lang w:eastAsia="zh-CN"/>
              </w:rPr>
              <w:t>项目负责人</w:t>
            </w:r>
            <w:r>
              <w:rPr>
                <w:rFonts w:hint="eastAsia" w:ascii="宋体" w:hAnsi="宋体"/>
                <w:color w:val="auto"/>
                <w:sz w:val="24"/>
                <w:highlight w:val="none"/>
              </w:rPr>
              <w:t>及施工现场管理人员必须为本单位在籍在册在编人员并缴纳养老保险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如是退休人员须附退休证及劳动聘用合同</w:t>
            </w:r>
            <w:r>
              <w:rPr>
                <w:rFonts w:hint="eastAsia" w:ascii="宋体" w:hAnsi="宋体"/>
                <w:color w:val="auto"/>
                <w:sz w:val="24"/>
                <w:highlight w:val="none"/>
                <w:lang w:eastAsia="zh-CN"/>
              </w:rPr>
              <w:t>）</w:t>
            </w:r>
            <w:r>
              <w:rPr>
                <w:rFonts w:hint="eastAsia" w:ascii="宋体" w:hAnsi="宋体"/>
                <w:color w:val="auto"/>
                <w:sz w:val="24"/>
                <w:highlight w:val="none"/>
              </w:rPr>
              <w:t>，否则取消</w:t>
            </w:r>
            <w:r>
              <w:rPr>
                <w:rFonts w:hint="eastAsia" w:ascii="宋体" w:hAnsi="宋体"/>
                <w:color w:val="auto"/>
                <w:sz w:val="24"/>
                <w:highlight w:val="none"/>
                <w:lang w:eastAsia="zh-CN"/>
              </w:rPr>
              <w:t>成交资格。</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4、（1）</w:t>
            </w:r>
            <w:r>
              <w:rPr>
                <w:rFonts w:hint="eastAsia" w:ascii="宋体" w:hAnsi="宋体"/>
                <w:color w:val="auto"/>
                <w:sz w:val="24"/>
                <w:highlight w:val="none"/>
              </w:rPr>
              <w:t>能提供公告期内的“信用中国”网站（www.creditchina.gov.cn）未列入①失信被执行人②重大税收违法案件当事人名单③政府采购严重违法失信名单的官网截图并加盖公章；</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）拒绝列入政府取消投标资格记录期间的企业或个人投标，投标人提供由法定代表人或其委托代理人签字并加盖公章的承诺书。</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szCs w:val="22"/>
                <w:highlight w:val="none"/>
                <w:lang w:eastAsia="zh-CN"/>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具有投资参股关系的关联企业，或具有直接管理和被管理关系的母子公司，或同一母子公司的子公司，或法定代表人为同一人的两个及两个以上</w:t>
            </w:r>
            <w:r>
              <w:rPr>
                <w:rFonts w:hint="eastAsia" w:ascii="宋体" w:hAnsi="宋体"/>
                <w:color w:val="auto"/>
                <w:sz w:val="24"/>
                <w:szCs w:val="22"/>
                <w:highlight w:val="none"/>
                <w:lang w:eastAsia="zh-CN"/>
              </w:rPr>
              <w:t>企业</w:t>
            </w:r>
            <w:r>
              <w:rPr>
                <w:rFonts w:hint="eastAsia" w:ascii="宋体" w:hAnsi="宋体"/>
                <w:color w:val="auto"/>
                <w:sz w:val="24"/>
                <w:szCs w:val="22"/>
                <w:highlight w:val="none"/>
              </w:rPr>
              <w:t>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w:t>
            </w:r>
            <w:r>
              <w:rPr>
                <w:rFonts w:hint="eastAsia" w:ascii="宋体" w:hAnsi="宋体"/>
                <w:color w:val="auto"/>
                <w:sz w:val="24"/>
                <w:szCs w:val="22"/>
                <w:highlight w:val="none"/>
                <w:lang w:eastAsia="zh-CN"/>
              </w:rPr>
              <w:t>采购项目</w:t>
            </w:r>
            <w:r>
              <w:rPr>
                <w:rFonts w:hint="eastAsia" w:ascii="宋体" w:hAnsi="宋体"/>
                <w:color w:val="auto"/>
                <w:sz w:val="24"/>
                <w:szCs w:val="22"/>
                <w:highlight w:val="none"/>
              </w:rPr>
              <w:t>投标。违反上述规定的，相关投标均无效</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eastAsia="宋体"/>
                <w:color w:val="auto"/>
                <w:sz w:val="24"/>
                <w:szCs w:val="22"/>
                <w:highlight w:val="none"/>
                <w:lang w:eastAsia="zh-CN"/>
              </w:rPr>
            </w:pPr>
            <w:r>
              <w:rPr>
                <w:rFonts w:hint="eastAsia" w:ascii="宋体" w:hAnsi="宋体"/>
                <w:bCs/>
                <w:color w:val="auto"/>
                <w:sz w:val="24"/>
                <w:szCs w:val="22"/>
                <w:highlight w:val="none"/>
                <w:lang w:val="en-US" w:eastAsia="zh-CN"/>
              </w:rPr>
              <w:t>6、</w:t>
            </w:r>
            <w:r>
              <w:rPr>
                <w:rFonts w:hint="eastAsia" w:ascii="宋体" w:hAnsi="宋体"/>
                <w:bCs/>
                <w:color w:val="auto"/>
                <w:sz w:val="24"/>
                <w:szCs w:val="22"/>
                <w:highlight w:val="none"/>
              </w:rPr>
              <w:t>不接受被列入失信被执行人、重大税收违法案件当事人名单、政府采购严重违法失信行为记录名单的投标人参与投标（详见财库[2016]125号文件）</w:t>
            </w:r>
            <w:r>
              <w:rPr>
                <w:rFonts w:hint="eastAsia" w:ascii="宋体" w:hAnsi="宋体"/>
                <w:bCs/>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eastAsia" w:ascii="宋体" w:hAnsi="宋体"/>
                <w:color w:val="auto"/>
                <w:sz w:val="24"/>
                <w:szCs w:val="22"/>
                <w:highlight w:val="none"/>
                <w:lang w:eastAsia="zh-CN"/>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lang w:eastAsia="zh-CN"/>
              </w:rPr>
              <w:t>、</w:t>
            </w:r>
            <w:r>
              <w:rPr>
                <w:rFonts w:hint="eastAsia" w:ascii="宋体" w:hAnsi="宋体"/>
                <w:color w:val="auto"/>
                <w:sz w:val="24"/>
                <w:szCs w:val="22"/>
                <w:highlight w:val="none"/>
              </w:rPr>
              <w:t>拒绝列入政府不良行为记录期间的企业或个人投标</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jc w:val="left"/>
              <w:textAlignment w:val="auto"/>
              <w:rPr>
                <w:rFonts w:hint="default" w:ascii="宋体" w:hAnsi="宋体" w:eastAsia="宋体" w:cs="宋体"/>
                <w:color w:val="auto"/>
                <w:sz w:val="24"/>
                <w:highlight w:val="none"/>
                <w:lang w:val="en-US"/>
              </w:rPr>
            </w:pPr>
            <w:r>
              <w:rPr>
                <w:rFonts w:hint="eastAsia" w:ascii="宋体" w:hAnsi="宋体"/>
                <w:color w:val="auto"/>
                <w:sz w:val="24"/>
                <w:szCs w:val="22"/>
                <w:highlight w:val="none"/>
                <w:lang w:val="en-US" w:eastAsia="zh-CN"/>
              </w:rPr>
              <w:t>8、本项目标的所属行业：农、林、牧、渔业。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 w:val="24"/>
                <w:highlight w:val="none"/>
                <w:lang w:val="zh-CN"/>
              </w:rPr>
            </w:pPr>
            <w:r>
              <w:rPr>
                <w:rFonts w:hint="eastAsia" w:ascii="宋体" w:hAnsi="宋体"/>
                <w:color w:val="auto"/>
                <w:sz w:val="24"/>
                <w:highlight w:val="none"/>
                <w:lang w:val="en-US" w:eastAsia="zh-CN"/>
              </w:rPr>
              <w:t>本项目（是/否）接受联合体投标</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int="eastAsia" w:ascii="宋体" w:hAnsi="宋体" w:eastAsia="宋体" w:cs="宋体"/>
                <w:color w:val="auto"/>
                <w:kern w:val="0"/>
                <w:sz w:val="24"/>
                <w:highlight w:val="none"/>
                <w:lang w:val="zh-CN" w:eastAsia="zh-CN"/>
              </w:rPr>
            </w:pPr>
            <w:r>
              <w:rPr>
                <w:rFonts w:hint="eastAsia" w:ascii="宋体" w:hAnsi="宋体"/>
                <w:color w:val="auto"/>
                <w:sz w:val="24"/>
                <w:highlight w:val="none"/>
                <w:lang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踏勘现场</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不组织，投标人自行踏勘现场</w:t>
            </w:r>
            <w:r>
              <w:rPr>
                <w:rFonts w:hint="eastAsia" w:ascii="宋体" w:hAnsi="宋体" w:cs="宋体"/>
                <w:color w:val="auto"/>
                <w:kern w:val="0"/>
                <w:sz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标前预备会</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投标人提出问题的</w:t>
            </w:r>
          </w:p>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截止时间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采购人书面澄清的时间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分包、偏离</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的其他材料</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澄清、修改及补充通知等书面材料</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投标人要求澄清</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color w:val="auto"/>
                <w:sz w:val="24"/>
                <w:highlight w:val="none"/>
                <w:lang w:eastAsia="zh-CN"/>
              </w:rPr>
              <w:t>2026年05月18日13点00分</w:t>
            </w:r>
            <w:r>
              <w:rPr>
                <w:rFonts w:hint="eastAsia" w:ascii="宋体" w:hAnsi="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在收到相应澄清文件后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修改的时间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在收到相应修改文件后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2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kern w:val="0"/>
                <w:sz w:val="24"/>
                <w:highlight w:val="none"/>
                <w:lang w:val="zh-CN"/>
              </w:rPr>
              <w:t>磋商保证金</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bCs/>
                <w:color w:val="auto"/>
                <w:sz w:val="24"/>
                <w:highlight w:val="none"/>
                <w:lang w:val="zh-CN"/>
              </w:rPr>
            </w:pPr>
            <w:r>
              <w:rPr>
                <w:rFonts w:hint="eastAsia" w:ascii="宋体" w:hAnsi="宋体" w:cs="宋体"/>
                <w:b w:val="0"/>
                <w:bCs/>
                <w:color w:val="auto"/>
                <w:sz w:val="24"/>
                <w:highlight w:val="none"/>
                <w:lang w:val="zh-CN"/>
              </w:rPr>
              <w:t>磋商保证金</w:t>
            </w:r>
            <w:r>
              <w:rPr>
                <w:rFonts w:hint="eastAsia" w:ascii="宋体" w:hAnsi="宋体" w:eastAsia="宋体" w:cs="宋体"/>
                <w:b w:val="0"/>
                <w:bCs/>
                <w:color w:val="auto"/>
                <w:sz w:val="24"/>
                <w:highlight w:val="none"/>
                <w:lang w:val="zh-CN"/>
              </w:rPr>
              <w:t>的形式</w:t>
            </w:r>
            <w:r>
              <w:rPr>
                <w:rFonts w:hint="eastAsia" w:ascii="宋体" w:hAnsi="宋体" w:eastAsia="宋体" w:cs="宋体"/>
                <w:bCs/>
                <w:color w:val="auto"/>
                <w:sz w:val="24"/>
                <w:highlight w:val="none"/>
                <w:lang w:val="zh-CN"/>
              </w:rPr>
              <w:t>：银行转账、支票、汇票、本票或者金融机构、担保机构出具的保函等非现金形式提交。</w:t>
            </w:r>
          </w:p>
          <w:p>
            <w:pPr>
              <w:spacing w:line="276" w:lineRule="auto"/>
              <w:jc w:val="left"/>
              <w:rPr>
                <w:rFonts w:hint="eastAsia" w:ascii="宋体" w:hAnsi="宋体" w:eastAsia="宋体" w:cs="宋体"/>
                <w:bCs/>
                <w:color w:val="auto"/>
                <w:sz w:val="24"/>
                <w:highlight w:val="yellow"/>
                <w:lang w:val="zh-CN"/>
              </w:rPr>
            </w:pP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的金额：人民币</w:t>
            </w:r>
            <w:r>
              <w:rPr>
                <w:rFonts w:hint="eastAsia" w:ascii="宋体" w:hAnsi="宋体" w:cs="宋体"/>
                <w:bCs/>
                <w:color w:val="auto"/>
                <w:sz w:val="24"/>
                <w:highlight w:val="none"/>
                <w:lang w:val="en-US" w:eastAsia="zh-CN"/>
              </w:rPr>
              <w:t>6000</w:t>
            </w:r>
            <w:r>
              <w:rPr>
                <w:rFonts w:hint="eastAsia" w:ascii="宋体" w:hAnsi="宋体" w:cs="宋体"/>
                <w:bCs/>
                <w:color w:val="auto"/>
                <w:sz w:val="24"/>
                <w:highlight w:val="none"/>
                <w:lang w:val="zh-CN"/>
              </w:rPr>
              <w:t>元整</w:t>
            </w:r>
            <w:r>
              <w:rPr>
                <w:rFonts w:hint="eastAsia" w:ascii="宋体" w:hAnsi="宋体" w:eastAsia="宋体" w:cs="宋体"/>
                <w:bCs/>
                <w:color w:val="auto"/>
                <w:sz w:val="24"/>
                <w:highlight w:val="none"/>
                <w:lang w:val="zh-CN"/>
              </w:rPr>
              <w:t>。</w:t>
            </w:r>
          </w:p>
          <w:p>
            <w:pPr>
              <w:spacing w:line="276" w:lineRule="auto"/>
              <w:jc w:val="left"/>
              <w:rPr>
                <w:rFonts w:hint="default" w:eastAsia="宋体"/>
                <w:highlight w:val="none"/>
                <w:lang w:val="en-US" w:eastAsia="zh-CN"/>
              </w:rPr>
            </w:pPr>
            <w:r>
              <w:rPr>
                <w:rFonts w:hint="eastAsia" w:ascii="宋体" w:hAnsi="宋体" w:cs="宋体"/>
                <w:bCs/>
                <w:color w:val="auto"/>
                <w:sz w:val="24"/>
                <w:highlight w:val="none"/>
                <w:lang w:val="en-US" w:eastAsia="zh-CN"/>
              </w:rPr>
              <w:t>磋商保证金递交截止时间：同投标截止时间。</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银行账号如下：</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收款人名称：</w:t>
            </w:r>
            <w:r>
              <w:rPr>
                <w:rFonts w:hint="eastAsia" w:ascii="宋体" w:hAnsi="宋体" w:cs="宋体"/>
                <w:b w:val="0"/>
                <w:bCs/>
                <w:color w:val="auto"/>
                <w:sz w:val="24"/>
                <w:highlight w:val="none"/>
                <w:lang w:val="zh-CN"/>
              </w:rPr>
              <w:t>吉林省鹏诚项目管理咨询有限公司</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开户银行：中国农业银行股份有限公司抚松县支行</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 w:val="0"/>
                <w:bCs/>
                <w:color w:val="auto"/>
                <w:sz w:val="24"/>
                <w:highlight w:val="none"/>
                <w:lang w:val="zh-CN"/>
              </w:rPr>
              <w:t>银行账号：07911001040012128</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其他要求：</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（1）若采用现金或支票形式的：供应商应在投标截止时间之前，将</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由供应商的基本账户一次性转入并到达采购人指定账户，</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应写明项目名称、投标单位名称，投标单位的</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凭证复印件必须装订在</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商务标中，以备评标时评标专家查验。否则视为</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无效。</w:t>
            </w:r>
          </w:p>
          <w:p>
            <w:pPr>
              <w:spacing w:line="276" w:lineRule="auto"/>
              <w:jc w:val="left"/>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若采用</w:t>
            </w:r>
            <w:r>
              <w:rPr>
                <w:rFonts w:hint="eastAsia" w:ascii="宋体" w:hAnsi="宋体" w:eastAsia="宋体" w:cs="宋体"/>
                <w:bCs/>
                <w:color w:val="auto"/>
                <w:sz w:val="24"/>
                <w:highlight w:val="none"/>
                <w:lang w:val="zh-CN"/>
              </w:rPr>
              <w:t>保函方式递交</w:t>
            </w:r>
            <w:r>
              <w:rPr>
                <w:rFonts w:hint="eastAsia" w:ascii="宋体" w:hAnsi="宋体" w:cs="宋体"/>
                <w:bCs/>
                <w:color w:val="auto"/>
                <w:sz w:val="24"/>
                <w:highlight w:val="none"/>
                <w:lang w:val="zh-CN"/>
              </w:rPr>
              <w:t>的；</w:t>
            </w:r>
            <w:r>
              <w:rPr>
                <w:rFonts w:hint="eastAsia" w:ascii="宋体" w:hAnsi="宋体" w:eastAsia="宋体" w:cs="宋体"/>
                <w:bCs/>
                <w:color w:val="auto"/>
                <w:sz w:val="24"/>
                <w:highlight w:val="none"/>
                <w:lang w:val="zh-CN"/>
              </w:rPr>
              <w:t>保函原件应在2026年0</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zh-CN"/>
              </w:rPr>
              <w:t>月</w:t>
            </w:r>
            <w:r>
              <w:rPr>
                <w:rFonts w:hint="eastAsia" w:ascii="宋体" w:hAnsi="宋体" w:cs="宋体"/>
                <w:bCs/>
                <w:color w:val="auto"/>
                <w:sz w:val="24"/>
                <w:highlight w:val="none"/>
                <w:lang w:val="en-US" w:eastAsia="zh-CN"/>
              </w:rPr>
              <w:t>17</w:t>
            </w:r>
            <w:r>
              <w:rPr>
                <w:rFonts w:hint="eastAsia" w:ascii="宋体" w:hAnsi="宋体" w:eastAsia="宋体" w:cs="宋体"/>
                <w:bCs/>
                <w:color w:val="auto"/>
                <w:sz w:val="24"/>
                <w:highlight w:val="none"/>
                <w:lang w:val="zh-CN"/>
              </w:rPr>
              <w:t>日14点00分之前单独密封递交给采购代理机构，</w:t>
            </w:r>
            <w:r>
              <w:rPr>
                <w:rFonts w:hint="eastAsia" w:ascii="宋体" w:hAnsi="宋体"/>
                <w:b w:val="0"/>
                <w:bCs w:val="0"/>
                <w:sz w:val="24"/>
                <w:highlight w:val="none"/>
                <w:u w:val="none"/>
                <w:lang w:val="en-US" w:eastAsia="zh-CN"/>
              </w:rPr>
              <w:t>并与代理机构确认。</w:t>
            </w:r>
            <w:r>
              <w:rPr>
                <w:rFonts w:hint="eastAsia" w:ascii="宋体" w:hAnsi="宋体" w:eastAsia="宋体" w:cs="宋体"/>
                <w:bCs/>
                <w:color w:val="auto"/>
                <w:sz w:val="24"/>
                <w:highlight w:val="none"/>
                <w:lang w:val="zh-CN"/>
              </w:rPr>
              <w:t>保函复印件装订在</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内</w:t>
            </w:r>
            <w:r>
              <w:rPr>
                <w:rFonts w:hint="eastAsia" w:ascii="宋体" w:hAnsi="宋体" w:cs="宋体"/>
                <w:bCs/>
                <w:color w:val="auto"/>
                <w:sz w:val="24"/>
                <w:highlight w:val="none"/>
                <w:lang w:val="zh-CN"/>
              </w:rPr>
              <w:t>，</w:t>
            </w:r>
            <w:r>
              <w:rPr>
                <w:rFonts w:hint="eastAsia" w:ascii="宋体" w:hAnsi="宋体" w:eastAsia="宋体" w:cs="宋体"/>
                <w:bCs/>
                <w:color w:val="auto"/>
                <w:sz w:val="24"/>
                <w:highlight w:val="none"/>
                <w:lang w:val="zh-CN"/>
              </w:rPr>
              <w:t>否则相关投标均无效。</w:t>
            </w:r>
          </w:p>
          <w:p>
            <w:pPr>
              <w:spacing w:line="276" w:lineRule="auto"/>
              <w:jc w:val="left"/>
              <w:rPr>
                <w:rFonts w:ascii="宋体" w:hAnsi="宋体" w:eastAsia="宋体" w:cs="宋体"/>
                <w:b/>
                <w:bCs/>
                <w:color w:val="auto"/>
                <w:sz w:val="24"/>
                <w:highlight w:val="none"/>
                <w:lang w:val="zh-CN"/>
              </w:rPr>
            </w:pPr>
            <w:r>
              <w:rPr>
                <w:rFonts w:hint="eastAsia" w:ascii="宋体" w:hAnsi="宋体" w:eastAsia="宋体" w:cs="宋体"/>
                <w:b/>
                <w:bCs w:val="0"/>
                <w:color w:val="auto"/>
                <w:sz w:val="24"/>
                <w:highlight w:val="none"/>
                <w:lang w:val="zh-CN"/>
              </w:rPr>
              <w:t>违反上述要求的其</w:t>
            </w:r>
            <w:r>
              <w:rPr>
                <w:rFonts w:hint="eastAsia" w:ascii="宋体" w:hAnsi="宋体" w:cs="宋体"/>
                <w:b/>
                <w:bCs w:val="0"/>
                <w:color w:val="auto"/>
                <w:sz w:val="24"/>
                <w:highlight w:val="none"/>
                <w:lang w:val="zh-CN"/>
              </w:rPr>
              <w:t>响应文件均</w:t>
            </w:r>
            <w:r>
              <w:rPr>
                <w:rFonts w:hint="eastAsia" w:ascii="宋体" w:hAnsi="宋体" w:eastAsia="宋体" w:cs="宋体"/>
                <w:b/>
                <w:bCs w:val="0"/>
                <w:color w:val="auto"/>
                <w:sz w:val="24"/>
                <w:highlight w:val="none"/>
                <w:lang w:val="zh-CN"/>
              </w:rPr>
              <w:t>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w:t>
            </w:r>
          </w:p>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备选投标方案</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签字或盖章要求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（1）所有要求签字的位置都应用不褪色的墨水或签字笔由本人亲笔手写签字（包括姓和名），不得用盖章（如签名章、签字章等）代替，也不得由他人代签。</w:t>
            </w:r>
          </w:p>
          <w:p>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（2）所有要求盖章的位置都应加盖投标单位（法定名称）章（公章），不得使用专用章（如经济合同章、投标专用章等）或下属单位印章代替。</w:t>
            </w:r>
          </w:p>
          <w:p>
            <w:pPr>
              <w:spacing w:line="276" w:lineRule="auto"/>
              <w:jc w:val="lef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3）磋商响应文件格式中要求投标人“法定代表人或其委托代理人”签字的，如法定代表人亲自投标而不委托代理人投标，由法定代表人签字；如法定代表人授权委托代理人投标，由委托代理人签字，也可由法定代表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磋商响应文件份数</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投标人在“政采云”平台（http：//www.zcygov.cn）上制作响应文件（此响应文件须上传至“政采云”平台）。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2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封套上写明</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递交</w:t>
            </w:r>
            <w:r>
              <w:rPr>
                <w:rFonts w:hint="eastAsia" w:ascii="宋体" w:hAnsi="宋体" w:eastAsia="宋体" w:cs="宋体"/>
                <w:color w:val="auto"/>
                <w:sz w:val="24"/>
                <w:highlight w:val="none"/>
                <w:lang w:eastAsia="zh-CN"/>
              </w:rPr>
              <w:t>磋商响应文件</w:t>
            </w:r>
            <w:r>
              <w:rPr>
                <w:rFonts w:hint="eastAsia" w:ascii="宋体" w:hAnsi="宋体" w:eastAsia="宋体" w:cs="宋体"/>
                <w:color w:val="auto"/>
                <w:sz w:val="24"/>
                <w:highlight w:val="none"/>
              </w:rPr>
              <w:t>地点</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地点：供应商须通过政府采购云平台（网址：http://www.zcygov.cn）递交电子版投标文件</w:t>
            </w:r>
          </w:p>
          <w:p>
            <w:pPr>
              <w:spacing w:line="276" w:lineRule="auto"/>
              <w:jc w:val="both"/>
              <w:rPr>
                <w:rFonts w:ascii="宋体" w:hAnsi="宋体" w:eastAsia="宋体" w:cs="宋体"/>
                <w:bCs/>
                <w:color w:val="auto"/>
                <w:sz w:val="24"/>
                <w:highlight w:val="none"/>
              </w:rPr>
            </w:pPr>
            <w:r>
              <w:rPr>
                <w:rFonts w:hint="eastAsia" w:ascii="宋体" w:hAnsi="宋体" w:eastAsia="宋体" w:cs="宋体"/>
                <w:bCs/>
                <w:color w:val="auto"/>
                <w:sz w:val="24"/>
                <w:highlight w:val="none"/>
                <w:u w:val="none"/>
              </w:rPr>
              <w:t>提交截止时间：</w:t>
            </w:r>
            <w:r>
              <w:rPr>
                <w:rFonts w:hint="eastAsia" w:ascii="宋体" w:hAnsi="宋体"/>
                <w:color w:val="auto"/>
                <w:sz w:val="24"/>
                <w:highlight w:val="none"/>
                <w:u w:val="none"/>
                <w:lang w:eastAsia="zh-CN"/>
              </w:rPr>
              <w:t>2026年05月18日13点00分</w:t>
            </w:r>
            <w:r>
              <w:rPr>
                <w:rFonts w:hint="eastAsia" w:ascii="宋体" w:hAnsi="宋体" w:eastAsia="宋体" w:cs="宋体"/>
                <w:bCs/>
                <w:color w:val="auto"/>
                <w:sz w:val="24"/>
                <w:highlight w:val="none"/>
                <w:u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是否退还</w:t>
            </w:r>
            <w:r>
              <w:rPr>
                <w:rFonts w:hint="eastAsia" w:ascii="宋体" w:hAnsi="宋体" w:eastAsia="宋体" w:cs="宋体"/>
                <w:color w:val="auto"/>
                <w:sz w:val="24"/>
                <w:highlight w:val="none"/>
                <w:lang w:eastAsia="zh-CN"/>
              </w:rPr>
              <w:t>磋商响应文件</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91"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olor w:val="auto"/>
                <w:sz w:val="24"/>
                <w:highlight w:val="none"/>
                <w:u w:val="none"/>
              </w:rPr>
            </w:pPr>
            <w:r>
              <w:rPr>
                <w:rFonts w:hint="eastAsia" w:ascii="宋体" w:hAnsi="宋体" w:eastAsia="宋体" w:cs="宋体"/>
                <w:color w:val="auto"/>
                <w:sz w:val="24"/>
                <w:highlight w:val="none"/>
                <w:u w:val="none"/>
              </w:rPr>
              <w:t>开标时间：</w:t>
            </w:r>
            <w:r>
              <w:rPr>
                <w:rFonts w:hint="eastAsia" w:ascii="宋体" w:hAnsi="宋体"/>
                <w:color w:val="auto"/>
                <w:sz w:val="24"/>
                <w:highlight w:val="none"/>
                <w:u w:val="none"/>
                <w:lang w:eastAsia="zh-CN"/>
              </w:rPr>
              <w:t>2026年05月18日13点00分</w:t>
            </w:r>
            <w:r>
              <w:rPr>
                <w:rFonts w:hint="eastAsia" w:ascii="宋体" w:hAnsi="宋体" w:eastAsia="宋体" w:cs="宋体"/>
                <w:bCs/>
                <w:color w:val="auto"/>
                <w:sz w:val="24"/>
                <w:highlight w:val="none"/>
                <w:u w:val="none"/>
              </w:rPr>
              <w:t>（北京时间）</w:t>
            </w:r>
          </w:p>
          <w:p>
            <w:pPr>
              <w:spacing w:line="276"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none"/>
              </w:rPr>
              <w:t>开标地点：</w:t>
            </w:r>
            <w:r>
              <w:rPr>
                <w:rFonts w:hint="eastAsia" w:ascii="宋体" w:hAnsi="宋体"/>
                <w:color w:val="auto"/>
                <w:sz w:val="24"/>
                <w:highlight w:val="none"/>
                <w:u w:val="none"/>
                <w:lang w:eastAsia="zh-CN"/>
              </w:rPr>
              <w:t>白山市浑江区红旗街578号国投大厦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开标顺序：按</w:t>
            </w:r>
            <w:r>
              <w:rPr>
                <w:rFonts w:hint="eastAsia" w:ascii="宋体" w:hAnsi="宋体" w:eastAsia="宋体" w:cs="宋体"/>
                <w:color w:val="auto"/>
                <w:sz w:val="24"/>
                <w:highlight w:val="none"/>
                <w:lang w:eastAsia="zh-CN"/>
              </w:rPr>
              <w:t>磋商响应文件</w:t>
            </w:r>
            <w:r>
              <w:rPr>
                <w:rFonts w:hint="eastAsia" w:ascii="宋体" w:hAnsi="宋体" w:eastAsia="宋体" w:cs="宋体"/>
                <w:color w:val="auto"/>
                <w:sz w:val="24"/>
                <w:highlight w:val="none"/>
              </w:rPr>
              <w:t>递交顺序进行。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磋商小组的组建</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磋商小组构成: 由有关经济、技术方面专家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人组成；</w:t>
            </w:r>
          </w:p>
          <w:p>
            <w:pPr>
              <w:spacing w:line="276" w:lineRule="auto"/>
              <w:rPr>
                <w:rFonts w:ascii="宋体" w:hAnsi="宋体" w:eastAsia="宋体" w:cs="宋体"/>
                <w:color w:val="auto"/>
                <w:sz w:val="24"/>
                <w:highlight w:val="none"/>
              </w:rPr>
            </w:pPr>
            <w:r>
              <w:rPr>
                <w:rFonts w:hint="eastAsia" w:ascii="宋体" w:hAnsi="宋体" w:cs="宋体"/>
                <w:color w:val="auto"/>
                <w:sz w:val="24"/>
                <w:highlight w:val="none"/>
                <w:lang w:eastAsia="zh-CN"/>
              </w:rPr>
              <w:t>磋商小组成员</w:t>
            </w:r>
            <w:r>
              <w:rPr>
                <w:rFonts w:hint="eastAsia" w:ascii="宋体" w:hAnsi="宋体" w:eastAsia="宋体" w:cs="宋体"/>
                <w:color w:val="auto"/>
                <w:sz w:val="24"/>
                <w:highlight w:val="none"/>
              </w:rPr>
              <w:t>确定方式：在有关部门的监督下从</w:t>
            </w:r>
            <w:r>
              <w:rPr>
                <w:rFonts w:hint="eastAsia" w:ascii="宋体" w:hAnsi="宋体" w:cs="宋体"/>
                <w:color w:val="auto"/>
                <w:sz w:val="24"/>
                <w:highlight w:val="none"/>
                <w:lang w:val="en-US" w:eastAsia="zh-CN"/>
              </w:rPr>
              <w:t>政采云系统</w:t>
            </w:r>
            <w:r>
              <w:rPr>
                <w:rFonts w:hint="eastAsia" w:ascii="宋体" w:hAnsi="宋体" w:eastAsia="宋体" w:cs="宋体"/>
                <w:color w:val="auto"/>
                <w:sz w:val="24"/>
                <w:highlight w:val="none"/>
              </w:rPr>
              <w:t>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公示媒介及期限</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公示媒介：</w:t>
            </w:r>
            <w:r>
              <w:rPr>
                <w:rFonts w:hint="eastAsia" w:ascii="宋体" w:hAnsi="宋体"/>
                <w:color w:val="auto"/>
                <w:sz w:val="24"/>
                <w:highlight w:val="none"/>
                <w:shd w:val="clear" w:color="auto" w:fill="FFFFFF"/>
              </w:rPr>
              <w:t>中国政府采购网、吉林省政府采购云平台（同步推送到吉林省政府采购网）上同时发布。</w:t>
            </w:r>
          </w:p>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个工作</w:t>
            </w:r>
            <w:r>
              <w:rPr>
                <w:rFonts w:hint="eastAsia" w:ascii="宋体" w:hAnsi="宋体" w:eastAsia="宋体" w:cs="宋体"/>
                <w:color w:val="auto"/>
                <w:sz w:val="24"/>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是否授权</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 xml:space="preserve"> ：授权</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r>
              <w:rPr>
                <w:rFonts w:hint="eastAsia" w:ascii="宋体" w:hAnsi="宋体" w:eastAsia="宋体" w:cs="宋体"/>
                <w:color w:val="auto"/>
                <w:sz w:val="24"/>
                <w:highlight w:val="none"/>
                <w:lang w:eastAsia="zh-CN"/>
              </w:rPr>
              <w:t>。</w:t>
            </w:r>
          </w:p>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最高投标限价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b w:val="0"/>
                <w:bCs w:val="0"/>
                <w:color w:val="auto"/>
                <w:sz w:val="24"/>
                <w:highlight w:val="none"/>
                <w:lang w:eastAsia="zh-CN"/>
              </w:rPr>
            </w:pPr>
            <w:r>
              <w:rPr>
                <w:rFonts w:hint="eastAsia" w:ascii="宋体" w:hAnsi="宋体"/>
                <w:b w:val="0"/>
                <w:bCs w:val="0"/>
                <w:color w:val="auto"/>
                <w:sz w:val="24"/>
                <w:highlight w:val="none"/>
                <w:lang w:eastAsia="zh-CN"/>
              </w:rPr>
              <w:t>693000.00元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val="0"/>
                <w:bCs/>
                <w:color w:val="auto"/>
                <w:sz w:val="24"/>
                <w:highlight w:val="none"/>
                <w:lang w:val="en-US" w:eastAsia="zh-CN"/>
              </w:rPr>
            </w:pPr>
            <w:r>
              <w:rPr>
                <w:rFonts w:hint="eastAsia" w:ascii="宋体" w:hAnsi="宋体"/>
                <w:b w:val="0"/>
                <w:bCs/>
                <w:color w:val="auto"/>
                <w:sz w:val="24"/>
                <w:highlight w:val="none"/>
                <w:lang w:val="en-US" w:eastAsia="zh-CN"/>
              </w:rPr>
              <w:t>38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b w:val="0"/>
                <w:bCs/>
                <w:color w:val="auto"/>
                <w:sz w:val="24"/>
                <w:highlight w:val="none"/>
                <w:lang w:eastAsia="zh-CN"/>
              </w:rPr>
            </w:pPr>
            <w:r>
              <w:rPr>
                <w:rFonts w:hint="eastAsia" w:ascii="宋体" w:hAnsi="宋体"/>
                <w:b w:val="0"/>
                <w:bCs/>
                <w:color w:val="auto"/>
                <w:sz w:val="24"/>
                <w:highlight w:val="none"/>
                <w:lang w:eastAsia="zh-CN"/>
              </w:rPr>
              <w:t>采购代理服务费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bookmarkStart w:id="9" w:name="OLE_LINK1"/>
            <w:r>
              <w:rPr>
                <w:rFonts w:hint="eastAsia" w:ascii="宋体" w:hAnsi="宋体"/>
                <w:b w:val="0"/>
                <w:bCs/>
                <w:color w:val="auto"/>
                <w:sz w:val="24"/>
                <w:highlight w:val="none"/>
              </w:rPr>
              <w:t>按照国家发展计划委员会计价格[2002]1980号文《招标代理服务费管理暂行办法》、发改办价格[2003]857号文及发改价格〔2015〕299号的取费标准</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向成交供应商收取采购代理服务费。</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1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r>
              <w:rPr>
                <w:rFonts w:hint="eastAsia" w:ascii="宋体" w:hAnsi="宋体"/>
                <w:b w:val="0"/>
                <w:bCs/>
                <w:color w:val="auto"/>
                <w:sz w:val="24"/>
                <w:highlight w:val="none"/>
              </w:rPr>
              <w:t>落实政府采购政策需满足的资格要求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本项目专门面向中小企业采购,供应商应为中小微企业、监狱企业、残疾人福利性单位；</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注：1）中小企业应提供《中小企业声明函》，若非中小企业提供则无效；</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 工业和信息化部关于〈政府采购促进中小企业发展管理办法〉的通知》财库[2020]46号第二十条的规定：供应商按照本办法规定提供声明函内容不实的，属于提供虚假材料谋取中标、成交，依照《中华人民共和国政府采购法》等国家有关规定追究相应责任。</w:t>
            </w:r>
          </w:p>
          <w:p>
            <w:pPr>
              <w:spacing w:line="400" w:lineRule="exact"/>
              <w:jc w:val="left"/>
              <w:rPr>
                <w:rFonts w:hint="eastAsia" w:ascii="宋体" w:hAnsi="宋体"/>
                <w:b w:val="0"/>
                <w:bCs/>
                <w:color w:val="auto"/>
                <w:sz w:val="24"/>
                <w:highlight w:val="none"/>
              </w:rPr>
            </w:pPr>
            <w:r>
              <w:rPr>
                <w:rFonts w:hint="eastAsia" w:ascii="宋体" w:hAnsi="宋体" w:eastAsia="宋体" w:cs="宋体"/>
                <w:color w:val="auto"/>
                <w:sz w:val="24"/>
                <w:highlight w:val="none"/>
              </w:rPr>
              <w:t>2）监狱企业参加政府采购活动时，应当提供由省级以上监狱管理局、戒毒管理局（含新疆生产建设兵团）出具的属于监狱企业的证明文件。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val="0"/>
                <w:bCs/>
                <w:color w:val="auto"/>
                <w:sz w:val="24"/>
                <w:highlight w:val="none"/>
              </w:rPr>
            </w:pPr>
            <w:r>
              <w:rPr>
                <w:rFonts w:hint="eastAsia" w:ascii="宋体" w:hAnsi="宋体" w:cs="宋体"/>
                <w:spacing w:val="9"/>
                <w:sz w:val="24"/>
                <w:szCs w:val="24"/>
                <w:highlight w:val="none"/>
                <w:lang w:val="en-US" w:eastAsia="zh-CN"/>
              </w:rPr>
              <w:t>服务方案</w:t>
            </w:r>
            <w:r>
              <w:rPr>
                <w:rFonts w:hint="eastAsia" w:ascii="宋体" w:hAnsi="宋体" w:eastAsia="宋体" w:cs="宋体"/>
                <w:spacing w:val="9"/>
                <w:sz w:val="24"/>
                <w:szCs w:val="24"/>
                <w:highlight w:val="none"/>
              </w:rPr>
              <w:t>采</w:t>
            </w:r>
            <w:r>
              <w:rPr>
                <w:rFonts w:hint="eastAsia" w:ascii="宋体" w:hAnsi="宋体" w:eastAsia="宋体" w:cs="宋体"/>
                <w:spacing w:val="5"/>
                <w:sz w:val="24"/>
                <w:szCs w:val="24"/>
                <w:highlight w:val="none"/>
              </w:rPr>
              <w:t>用“暗标”评审方式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投标文件技术标必须遵守的统一格式和规范。</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技术标文件（暗标）未按以下“盲评”要求制作的，为无效投标，除下述要求外，不得因暗标格式问题认定为无效投标：</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1.版面要求：A4纸张大小；</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2.颜色要求：所有文字、图表均为黑色；</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3.字体要求：标题及正文部分所用文字均采用“宋体”四号“常规”字；图、表内的字体及字号不作要求；全部使用中文标点符号；所有字体均不得出现加粗、加色、倾斜、下划线等标记；</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val="0"/>
                <w:bCs/>
                <w:color w:val="auto"/>
                <w:sz w:val="24"/>
                <w:highlight w:val="none"/>
              </w:rPr>
            </w:pPr>
            <w:r>
              <w:rPr>
                <w:rFonts w:hint="eastAsia" w:ascii="宋体" w:hAnsi="宋体" w:eastAsia="宋体" w:cs="宋体"/>
                <w:spacing w:val="9"/>
                <w:sz w:val="24"/>
                <w:szCs w:val="24"/>
              </w:rPr>
              <w:t>异常低价审查</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根据《关于推动解决政府采购异常低价问题的通知（ 财库〔2026〕2 号）》文件规定：</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政府采购评审中出现下列情形之一的，评审委员会应当启动异常低价投标（响应）审查程序：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1.投标（响应）报价低于全部通过符合性审查供应商投标（响应）报价平均值50%的，即投标（响应）报价&lt;全部通过符合性审查供应商投标（响应）报价平均值×50%；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2.投标（响应）报价低于通过符合性审查的次低报价供应商投标（响应）报价50%的，即投标（响应）报价&lt;通过符合性审查的次低报价供应商投标（响应）报价×50%；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3.投标（响应）报价低于采购项目最高限价45%的，即投标（响应）报价&lt;采购项目最高限价×45%；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3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val="0"/>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竞争性磋商公告</w:t>
            </w:r>
            <w:r>
              <w:rPr>
                <w:rFonts w:hint="eastAsia" w:ascii="宋体" w:hAnsi="宋体" w:eastAsia="宋体" w:cs="宋体"/>
                <w:b/>
                <w:bCs/>
                <w:color w:val="auto"/>
                <w:sz w:val="24"/>
                <w:highlight w:val="none"/>
              </w:rPr>
              <w:t>与</w:t>
            </w:r>
            <w:r>
              <w:rPr>
                <w:rFonts w:hint="eastAsia" w:ascii="宋体" w:hAnsi="宋体" w:eastAsia="宋体" w:cs="宋体"/>
                <w:b/>
                <w:bCs/>
                <w:color w:val="auto"/>
                <w:sz w:val="24"/>
                <w:highlight w:val="none"/>
                <w:lang w:eastAsia="zh-CN"/>
              </w:rPr>
              <w:t>竞争性磋商文件</w:t>
            </w:r>
            <w:r>
              <w:rPr>
                <w:rFonts w:hint="eastAsia" w:ascii="宋体" w:hAnsi="宋体" w:eastAsia="宋体" w:cs="宋体"/>
                <w:b/>
                <w:bCs/>
                <w:color w:val="auto"/>
                <w:sz w:val="24"/>
                <w:highlight w:val="none"/>
              </w:rPr>
              <w:t>不一致之处，以</w:t>
            </w:r>
            <w:r>
              <w:rPr>
                <w:rFonts w:hint="eastAsia" w:ascii="宋体" w:hAnsi="宋体" w:eastAsia="宋体" w:cs="宋体"/>
                <w:b/>
                <w:bCs/>
                <w:color w:val="auto"/>
                <w:sz w:val="24"/>
                <w:highlight w:val="none"/>
                <w:lang w:eastAsia="zh-CN"/>
              </w:rPr>
              <w:t>竞争性磋商文件</w:t>
            </w:r>
            <w:r>
              <w:rPr>
                <w:rFonts w:hint="eastAsia" w:ascii="宋体" w:hAnsi="宋体" w:eastAsia="宋体" w:cs="宋体"/>
                <w:b/>
                <w:bCs/>
                <w:color w:val="auto"/>
                <w:sz w:val="24"/>
                <w:highlight w:val="none"/>
              </w:rPr>
              <w:t>为准。</w:t>
            </w:r>
          </w:p>
        </w:tc>
      </w:tr>
    </w:tbl>
    <w:p>
      <w:pPr>
        <w:keepNext w:val="0"/>
        <w:keepLines w:val="0"/>
        <w:pageBreakBefore/>
        <w:widowControl w:val="0"/>
        <w:numPr>
          <w:ilvl w:val="0"/>
          <w:numId w:val="0"/>
        </w:numPr>
        <w:kinsoku/>
        <w:wordWrap/>
        <w:overflowPunct/>
        <w:topLinePunct w:val="0"/>
        <w:autoSpaceDE/>
        <w:autoSpaceDN/>
        <w:bidi w:val="0"/>
        <w:adjustRightInd/>
        <w:snapToGrid/>
        <w:textAlignment w:val="auto"/>
        <w:rPr>
          <w:b/>
          <w:bCs/>
          <w:color w:val="auto"/>
          <w:sz w:val="28"/>
          <w:szCs w:val="28"/>
          <w:highlight w:val="none"/>
          <w:lang w:val="zh-CN"/>
        </w:rPr>
      </w:pPr>
      <w:bookmarkStart w:id="10" w:name="_Toc504654675"/>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总则</w:t>
      </w:r>
      <w:bookmarkEnd w:id="10"/>
      <w:bookmarkStart w:id="11" w:name="_Toc445473482"/>
      <w:bookmarkStart w:id="12" w:name="_Toc504479187"/>
      <w:bookmarkStart w:id="13" w:name="_Toc504654676"/>
      <w:bookmarkStart w:id="14" w:name="_Toc50447963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bookmarkEnd w:id="11"/>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rPr>
        <w:t>本次采购采用竞争性磋商的方式。</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5" w:name="_Toc504479639"/>
      <w:bookmarkStart w:id="16" w:name="_Toc504479188"/>
      <w:bookmarkStart w:id="17" w:name="_Toc504654677"/>
      <w:bookmarkStart w:id="18" w:name="_Toc445473483"/>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维护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、投标当事人的合法权益、反对不正当竞争。</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9" w:name="_Toc504479189"/>
      <w:bookmarkStart w:id="20" w:name="_Toc445473484"/>
      <w:bookmarkStart w:id="21" w:name="_Toc504479640"/>
      <w:bookmarkStart w:id="22" w:name="_Toc504654678"/>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参加投标的企业必须符合以下要求：</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1.3.1满足《中华人民共和国政府采购法》第二十二条规定；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1.3.2落实政府采购政策需满足的资格要求：本项目专门面向中小企业采购,供应商应为中小微企业、监狱企业、残疾人福利性单位；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1.3.3</w:t>
      </w:r>
      <w:r>
        <w:rPr>
          <w:rFonts w:hint="eastAsia" w:ascii="宋体" w:hAnsi="宋体"/>
          <w:color w:val="auto"/>
          <w:sz w:val="24"/>
          <w:highlight w:val="none"/>
        </w:rPr>
        <w:t>本项目的特定资格要求：</w:t>
      </w:r>
      <w:r>
        <w:rPr>
          <w:rFonts w:hint="eastAsia" w:ascii="宋体" w:hAnsi="宋体"/>
          <w:color w:val="auto"/>
          <w:sz w:val="24"/>
          <w:highlight w:val="none"/>
          <w:lang w:val="en-US" w:eastAsia="zh-CN"/>
        </w:rPr>
        <w:t>具备有效的营业执照，且经营范围满足本次采购需求</w:t>
      </w:r>
      <w:r>
        <w:rPr>
          <w:rFonts w:hint="eastAsia" w:ascii="宋体" w:hAnsi="宋体"/>
          <w:color w:val="auto"/>
          <w:sz w:val="24"/>
          <w:highlight w:val="none"/>
        </w:rPr>
        <w:t>；有良好的履约信誉；并在人员、设备、技术、资金等方面具有相应的能力</w:t>
      </w:r>
      <w:r>
        <w:rPr>
          <w:rFonts w:hint="eastAsia" w:ascii="宋体" w:hAnsi="宋体"/>
          <w:color w:val="auto"/>
          <w:sz w:val="24"/>
          <w:highlight w:val="none"/>
          <w:lang w:eastAsia="zh-CN"/>
        </w:rPr>
        <w:t>。</w:t>
      </w:r>
      <w:r>
        <w:rPr>
          <w:rFonts w:hint="eastAsia" w:ascii="宋体" w:hAnsi="宋体"/>
          <w:color w:val="auto"/>
          <w:sz w:val="24"/>
          <w:highlight w:val="none"/>
        </w:rPr>
        <w:t>人员要求：</w:t>
      </w:r>
      <w:r>
        <w:rPr>
          <w:rFonts w:hint="eastAsia" w:ascii="宋体" w:hAnsi="宋体"/>
          <w:color w:val="auto"/>
          <w:sz w:val="24"/>
          <w:highlight w:val="none"/>
          <w:lang w:eastAsia="zh-CN"/>
        </w:rPr>
        <w:t>拟派项目负责人具备园林绿化或林业工程中级及以上技术职称</w:t>
      </w:r>
      <w:r>
        <w:rPr>
          <w:rFonts w:hint="eastAsia" w:ascii="宋体" w:hAnsi="宋体"/>
          <w:color w:val="auto"/>
          <w:sz w:val="24"/>
          <w:highlight w:val="none"/>
        </w:rPr>
        <w:t>；</w:t>
      </w:r>
      <w:r>
        <w:rPr>
          <w:rFonts w:hint="eastAsia" w:ascii="宋体" w:hAnsi="宋体"/>
          <w:color w:val="auto"/>
          <w:sz w:val="24"/>
          <w:highlight w:val="none"/>
          <w:lang w:eastAsia="zh-CN"/>
        </w:rPr>
        <w:t>项目负责人</w:t>
      </w:r>
      <w:r>
        <w:rPr>
          <w:rFonts w:hint="eastAsia" w:ascii="宋体" w:hAnsi="宋体"/>
          <w:color w:val="auto"/>
          <w:sz w:val="24"/>
          <w:highlight w:val="none"/>
        </w:rPr>
        <w:t>及施工现场管理人员必须为本单位在籍在册在编人员并缴纳养老保险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如是退休人员须附退休证及劳动聘用合同</w:t>
      </w:r>
      <w:r>
        <w:rPr>
          <w:rFonts w:hint="eastAsia" w:ascii="宋体" w:hAnsi="宋体"/>
          <w:color w:val="auto"/>
          <w:sz w:val="24"/>
          <w:highlight w:val="none"/>
          <w:lang w:eastAsia="zh-CN"/>
        </w:rPr>
        <w:t>）</w:t>
      </w:r>
      <w:r>
        <w:rPr>
          <w:rFonts w:hint="eastAsia" w:ascii="宋体" w:hAnsi="宋体"/>
          <w:color w:val="auto"/>
          <w:sz w:val="24"/>
          <w:highlight w:val="none"/>
        </w:rPr>
        <w:t>，否则取消</w:t>
      </w:r>
      <w:r>
        <w:rPr>
          <w:rFonts w:hint="eastAsia" w:ascii="宋体" w:hAnsi="宋体"/>
          <w:color w:val="auto"/>
          <w:sz w:val="24"/>
          <w:highlight w:val="none"/>
          <w:lang w:eastAsia="zh-CN"/>
        </w:rPr>
        <w:t>成交资格。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1.3.4（1）能提供公告期内的“信用中国”网站（www.creditchina.gov.cn）未列入①失信被执行人②重大税收违法案件当事人名单③政府采购严重违法失信名单的官网截图并加盖公章；</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提供公告期内中国政府采购网（www.ccgp.gov.cn）未列入政府采购严重违法失信行为记录名单的官网截图并加盖公章（以上截图须包括单位名称、查询内容及查询时间）；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（3）拒绝列入政府取消投标资格记录期间的企业或个人投标，投标人提供由法定代表人或其委托代理人签字并加盖公章的承诺书。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具有投资参股关系的关联企业，或具有直接管理和被管理关系的母子公司，或同一母子公司的子公司，或法定代表人为同一人的两个及两个以上企业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采购项目投标。违反上述规定的，相关投标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1.3.6不接受被列入失信被执行人、重大税收违法案件当事人名单、政府采购严重违法失信行为记录名单的投标人参与投标（详见财库[2016]125号文件）。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1.3.7拒绝列入政府不良行为记录期间的企业或个人投标。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1.3.8 </w:t>
      </w:r>
      <w:r>
        <w:rPr>
          <w:rFonts w:hint="eastAsia" w:ascii="宋体" w:hAnsi="宋体"/>
          <w:color w:val="auto"/>
          <w:sz w:val="24"/>
          <w:szCs w:val="22"/>
          <w:highlight w:val="none"/>
          <w:lang w:val="en-US" w:eastAsia="zh-CN"/>
        </w:rPr>
        <w:t>本项目标的所属行业：农、林、牧、渔业。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投标人应承担其编制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与递交文件所涉及的一切费用。不管投标结果如何，采购人及采购代理机构对上述费用不负任何责任。</w:t>
      </w:r>
      <w:bookmarkStart w:id="23" w:name="_Toc504654679"/>
    </w:p>
    <w:p>
      <w:pPr>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概况</w:t>
      </w:r>
      <w:bookmarkEnd w:id="23"/>
      <w:bookmarkStart w:id="24" w:name="_Toc504479642"/>
      <w:bookmarkStart w:id="25" w:name="_Toc504479191"/>
      <w:bookmarkStart w:id="26" w:name="_Toc50465468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内容：</w:t>
      </w:r>
      <w:bookmarkEnd w:id="24"/>
      <w:bookmarkEnd w:id="25"/>
      <w:bookmarkEnd w:id="26"/>
      <w:r>
        <w:rPr>
          <w:rFonts w:hint="eastAsia" w:ascii="宋体" w:hAnsi="宋体"/>
          <w:color w:val="auto"/>
          <w:sz w:val="24"/>
          <w:highlight w:val="none"/>
          <w:lang w:eastAsia="zh-CN"/>
        </w:rPr>
        <w:t>园林绿化管理服务</w:t>
      </w:r>
    </w:p>
    <w:p>
      <w:pPr>
        <w:pStyle w:val="4"/>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8"/>
          <w:szCs w:val="28"/>
          <w:highlight w:val="none"/>
          <w:lang w:eastAsia="zh-CN"/>
        </w:rPr>
      </w:pPr>
      <w:bookmarkStart w:id="27" w:name="_Toc504654681"/>
      <w:r>
        <w:rPr>
          <w:rFonts w:hint="eastAsia" w:ascii="宋体" w:hAnsi="宋体" w:eastAsia="宋体" w:cs="宋体"/>
          <w:color w:val="auto"/>
          <w:sz w:val="28"/>
          <w:szCs w:val="28"/>
          <w:highlight w:val="none"/>
        </w:rPr>
        <w:t>三、</w:t>
      </w:r>
      <w:bookmarkEnd w:id="27"/>
      <w:r>
        <w:rPr>
          <w:rFonts w:hint="eastAsia" w:ascii="宋体" w:hAnsi="宋体" w:eastAsia="宋体" w:cs="宋体"/>
          <w:color w:val="auto"/>
          <w:sz w:val="28"/>
          <w:szCs w:val="28"/>
          <w:highlight w:val="none"/>
          <w:lang w:eastAsia="zh-CN"/>
        </w:rPr>
        <w:t>竞争性磋商文件</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 xml:space="preserve">3.1 </w:t>
      </w:r>
      <w:r>
        <w:rPr>
          <w:rFonts w:hint="eastAsia" w:ascii="宋体" w:hAnsi="宋体" w:eastAsia="宋体" w:cs="宋体"/>
          <w:b w:val="0"/>
          <w:color w:val="auto"/>
          <w:sz w:val="24"/>
          <w:szCs w:val="24"/>
          <w:highlight w:val="none"/>
        </w:rPr>
        <w:t>本</w:t>
      </w:r>
      <w:r>
        <w:rPr>
          <w:rFonts w:hint="eastAsia" w:ascii="宋体" w:hAnsi="宋体" w:eastAsia="宋体" w:cs="宋体"/>
          <w:b w:val="0"/>
          <w:color w:val="auto"/>
          <w:sz w:val="24"/>
          <w:szCs w:val="24"/>
          <w:highlight w:val="none"/>
          <w:lang w:eastAsia="zh-CN"/>
        </w:rPr>
        <w:t>竞争性磋商文件</w:t>
      </w:r>
      <w:r>
        <w:rPr>
          <w:rFonts w:hint="eastAsia" w:ascii="宋体" w:hAnsi="宋体" w:eastAsia="宋体" w:cs="宋体"/>
          <w:b w:val="0"/>
          <w:color w:val="auto"/>
          <w:sz w:val="24"/>
          <w:szCs w:val="24"/>
          <w:highlight w:val="none"/>
        </w:rPr>
        <w:t>包括：</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 竞争性磋商公告；</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 投标人须知；</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(3) 评标办法；</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 合同条款及格式；</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en-US" w:eastAsia="zh-CN"/>
        </w:rPr>
        <w:t xml:space="preserve"> 采购需求；</w:t>
      </w:r>
    </w:p>
    <w:p>
      <w:pPr>
        <w:pStyle w:val="16"/>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磋商响应文件格式。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Cs/>
          <w:color w:val="auto"/>
          <w:sz w:val="24"/>
          <w:highlight w:val="none"/>
          <w:lang w:val="en-US" w:eastAsia="zh-CN"/>
        </w:rPr>
        <w:t xml:space="preserve">3.2 </w:t>
      </w:r>
      <w:r>
        <w:rPr>
          <w:rFonts w:hint="eastAsia" w:ascii="宋体" w:hAnsi="宋体" w:eastAsia="宋体" w:cs="宋体"/>
          <w:bCs/>
          <w:color w:val="auto"/>
          <w:sz w:val="24"/>
          <w:highlight w:val="none"/>
          <w:lang w:val="zh-CN"/>
        </w:rPr>
        <w:t>投标人应认真阅读竞争性磋商文件中所含的投标须知、合同条款、技术规范、规定格式等内容，投标人的磋商响应文件应在实质上响应竞争性磋商文件的要求，否则，投标人的</w:t>
      </w:r>
      <w:r>
        <w:rPr>
          <w:rFonts w:hint="eastAsia" w:ascii="宋体" w:hAnsi="宋体" w:eastAsia="宋体" w:cs="宋体"/>
          <w:b w:val="0"/>
          <w:bCs/>
          <w:color w:val="auto"/>
          <w:sz w:val="24"/>
          <w:highlight w:val="none"/>
          <w:lang w:val="zh-CN"/>
        </w:rPr>
        <w:t>磋商响应文件将被拒绝。</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3.3 </w:t>
      </w:r>
      <w:r>
        <w:rPr>
          <w:rFonts w:hint="eastAsia" w:ascii="宋体" w:hAnsi="宋体" w:cs="宋体"/>
          <w:color w:val="auto"/>
          <w:sz w:val="24"/>
          <w:szCs w:val="24"/>
          <w:highlight w:val="none"/>
        </w:rPr>
        <w:t>磋商文件的澄清及修改</w:t>
      </w:r>
    </w:p>
    <w:p>
      <w:pPr>
        <w:keepNext w:val="0"/>
        <w:keepLines w:val="0"/>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任何要求对磋商文件进行澄清的投标人，磋商截止时间前均应以书面形式通知采购代理机构。采购代理机构应以书面形式予以答复，并将书面答复发给每个</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rPr>
        <w:t>磋商文件的投标人（答复中不包括问题的来源）。</w:t>
      </w:r>
    </w:p>
    <w:p>
      <w:pPr>
        <w:keepNext w:val="0"/>
        <w:keepLines/>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采购单位可主动地或在解答投标人提出的澄清问题时对磋商文件进行修改，磋商文件的修改应以书面形式通知采购代理机构，由采购代理机构通知所有</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rPr>
        <w:t>磋商文件的投标人，并对其具有约束力。投标人在收到上述通知后，应立即向采购代理机构以书面形式回函确认。</w:t>
      </w:r>
    </w:p>
    <w:p>
      <w:pPr>
        <w:keepNext w:val="0"/>
        <w:keepLines w:val="0"/>
        <w:pageBreakBefore w:val="0"/>
        <w:widowControl w:val="0"/>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为使投标人有足够的时间对磋商响应文件的修改部分进行研究，采购单位有权决定是否延长磋商截止期。</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磋商响应文件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4.1 </w:t>
      </w:r>
      <w:r>
        <w:rPr>
          <w:rFonts w:hint="eastAsia" w:ascii="宋体" w:hAnsi="宋体" w:eastAsia="宋体" w:cs="宋体"/>
          <w:b w:val="0"/>
          <w:bCs/>
          <w:color w:val="auto"/>
          <w:sz w:val="24"/>
          <w:highlight w:val="none"/>
          <w:lang w:val="zh-CN"/>
        </w:rPr>
        <w:t>磋商响应文件的语言</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与投标有关的所有文件必须使用中文。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 xml:space="preserve">4.2 </w:t>
      </w:r>
      <w:r>
        <w:rPr>
          <w:rFonts w:hint="eastAsia" w:ascii="宋体" w:hAnsi="宋体" w:eastAsia="宋体" w:cs="宋体"/>
          <w:b w:val="0"/>
          <w:bCs/>
          <w:color w:val="auto"/>
          <w:sz w:val="24"/>
          <w:highlight w:val="none"/>
          <w:lang w:eastAsia="zh-CN"/>
        </w:rPr>
        <w:t>磋商响应文件</w:t>
      </w:r>
      <w:r>
        <w:rPr>
          <w:rFonts w:hint="eastAsia" w:ascii="宋体" w:hAnsi="宋体" w:eastAsia="宋体" w:cs="宋体"/>
          <w:b w:val="0"/>
          <w:bCs/>
          <w:color w:val="auto"/>
          <w:sz w:val="24"/>
          <w:highlight w:val="none"/>
        </w:rPr>
        <w:t>的组成</w:t>
      </w:r>
      <w:bookmarkStart w:id="28" w:name="_Toc504479196"/>
      <w:bookmarkStart w:id="29" w:name="_Toc504479647"/>
      <w:bookmarkStart w:id="30" w:name="_Toc504654683"/>
      <w:bookmarkStart w:id="31" w:name="_Toc44547348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b w:val="0"/>
          <w:bCs/>
          <w:color w:val="auto"/>
          <w:sz w:val="24"/>
          <w:highlight w:val="none"/>
          <w:lang w:val="en-US" w:eastAsia="zh-CN"/>
        </w:rPr>
        <w:t>4.</w:t>
      </w:r>
      <w:r>
        <w:rPr>
          <w:rFonts w:hint="eastAsia" w:ascii="宋体"/>
          <w:b w:val="0"/>
          <w:bCs/>
          <w:color w:val="auto"/>
          <w:sz w:val="24"/>
          <w:highlight w:val="none"/>
        </w:rPr>
        <w:t>2.1</w:t>
      </w:r>
      <w:r>
        <w:rPr>
          <w:rFonts w:hint="eastAsia" w:ascii="宋体"/>
          <w:b w:val="0"/>
          <w:bCs/>
          <w:color w:val="auto"/>
          <w:sz w:val="24"/>
          <w:highlight w:val="none"/>
          <w:lang w:eastAsia="zh-CN"/>
        </w:rPr>
        <w:t>磋商响应文件</w:t>
      </w:r>
      <w:r>
        <w:rPr>
          <w:rFonts w:hint="eastAsia" w:ascii="宋体"/>
          <w:b w:val="0"/>
          <w:bCs/>
          <w:color w:val="auto"/>
          <w:sz w:val="24"/>
          <w:highlight w:val="none"/>
        </w:rPr>
        <w:t>应由价</w:t>
      </w:r>
      <w:r>
        <w:rPr>
          <w:rFonts w:hint="eastAsia" w:ascii="宋体"/>
          <w:color w:val="auto"/>
          <w:sz w:val="24"/>
          <w:highlight w:val="none"/>
        </w:rPr>
        <w:t>格部分、商务部分、技术部分三部分组成。</w:t>
      </w:r>
      <w:r>
        <w:rPr>
          <w:rFonts w:hint="eastAsia" w:ascii="宋体"/>
          <w:color w:val="auto"/>
          <w:sz w:val="24"/>
          <w:highlight w:val="none"/>
          <w:lang w:eastAsia="zh-CN"/>
        </w:rPr>
        <w:t>磋商响应文件</w:t>
      </w:r>
      <w:r>
        <w:rPr>
          <w:rFonts w:hint="eastAsia" w:ascii="宋体"/>
          <w:color w:val="auto"/>
          <w:sz w:val="24"/>
          <w:highlight w:val="none"/>
        </w:rPr>
        <w:t>严格按第</w:t>
      </w:r>
      <w:r>
        <w:rPr>
          <w:rFonts w:hint="eastAsia" w:ascii="宋体"/>
          <w:color w:val="auto"/>
          <w:sz w:val="24"/>
          <w:highlight w:val="none"/>
          <w:lang w:val="en-US" w:eastAsia="zh-CN"/>
        </w:rPr>
        <w:t>六</w:t>
      </w:r>
      <w:r>
        <w:rPr>
          <w:rFonts w:hint="eastAsia" w:ascii="宋体"/>
          <w:color w:val="auto"/>
          <w:sz w:val="24"/>
          <w:highlight w:val="none"/>
        </w:rPr>
        <w:t>章</w:t>
      </w:r>
      <w:r>
        <w:rPr>
          <w:rFonts w:hint="eastAsia" w:ascii="宋体"/>
          <w:color w:val="auto"/>
          <w:sz w:val="24"/>
          <w:highlight w:val="none"/>
          <w:lang w:eastAsia="zh-CN"/>
        </w:rPr>
        <w:t>磋商响应文件</w:t>
      </w:r>
      <w:r>
        <w:rPr>
          <w:rFonts w:hint="eastAsia" w:ascii="宋体"/>
          <w:color w:val="auto"/>
          <w:sz w:val="24"/>
          <w:highlight w:val="none"/>
        </w:rPr>
        <w:t>格式填写。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2.2价格部分应包括：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r>
        <w:rPr>
          <w:rFonts w:hint="eastAsia" w:ascii="宋体"/>
          <w:color w:val="auto"/>
          <w:sz w:val="24"/>
          <w:highlight w:val="none"/>
        </w:rPr>
        <w:t>（1）开标一览表；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2.3商务部分应包括：</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（1）投标函及投标函附录；</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（2）</w:t>
      </w:r>
      <w:r>
        <w:rPr>
          <w:rFonts w:hint="eastAsia" w:ascii="宋体"/>
          <w:color w:val="auto"/>
          <w:sz w:val="24"/>
          <w:highlight w:val="none"/>
          <w:lang w:eastAsia="zh-CN"/>
        </w:rPr>
        <w:t>磋商保证金</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（3）法定代表人身份证明书；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（4）法定代表人授权委托书；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（5）</w:t>
      </w:r>
      <w:r>
        <w:rPr>
          <w:rFonts w:hint="eastAsia" w:ascii="宋体" w:hAnsi="宋体" w:eastAsia="宋体" w:cs="宋体"/>
          <w:bCs/>
          <w:color w:val="auto"/>
          <w:sz w:val="24"/>
          <w:highlight w:val="none"/>
          <w:lang w:val="zh-CN"/>
        </w:rPr>
        <w:t>项目管理机构</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（6）资格审查资料；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（7）</w:t>
      </w:r>
      <w:r>
        <w:rPr>
          <w:rFonts w:hint="eastAsia" w:cs="宋体"/>
          <w:color w:val="auto"/>
          <w:sz w:val="24"/>
          <w:highlight w:val="none"/>
        </w:rPr>
        <w:t>投标人的资格声明</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s="宋体"/>
          <w:color w:val="auto"/>
          <w:sz w:val="24"/>
          <w:highlight w:val="none"/>
        </w:rPr>
      </w:pPr>
      <w:r>
        <w:rPr>
          <w:rFonts w:hint="eastAsia" w:ascii="宋体"/>
          <w:color w:val="auto"/>
          <w:sz w:val="24"/>
          <w:highlight w:val="none"/>
        </w:rPr>
        <w:t>（8）</w:t>
      </w:r>
      <w:r>
        <w:rPr>
          <w:rFonts w:hint="eastAsia" w:ascii="宋体" w:hAnsi="宋体" w:eastAsia="宋体" w:cs="宋体"/>
          <w:bCs/>
          <w:color w:val="auto"/>
          <w:sz w:val="24"/>
          <w:highlight w:val="none"/>
          <w:lang w:val="zh-CN"/>
        </w:rPr>
        <w:t>投标人</w:t>
      </w:r>
      <w:r>
        <w:rPr>
          <w:rFonts w:hint="eastAsia" w:ascii="宋体"/>
          <w:color w:val="auto"/>
          <w:sz w:val="24"/>
          <w:highlight w:val="none"/>
        </w:rPr>
        <w:t>认</w:t>
      </w:r>
      <w:r>
        <w:rPr>
          <w:rFonts w:hint="eastAsia" w:ascii="宋体" w:cs="宋体"/>
          <w:color w:val="auto"/>
          <w:sz w:val="24"/>
          <w:highlight w:val="none"/>
        </w:rPr>
        <w:t>为需要提供的其他商务文件材料，但应注意不要提供与评标无直接关联的文件材料。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2.4技术部分应包括：</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eastAsia="宋体"/>
          <w:color w:val="auto"/>
          <w:sz w:val="24"/>
          <w:highlight w:val="none"/>
          <w:lang w:eastAsia="zh-CN"/>
        </w:rPr>
      </w:pPr>
      <w:r>
        <w:rPr>
          <w:rFonts w:hint="eastAsia" w:ascii="宋体"/>
          <w:color w:val="auto"/>
          <w:sz w:val="24"/>
          <w:highlight w:val="none"/>
        </w:rPr>
        <w:t>（1）服务方案</w:t>
      </w:r>
      <w:r>
        <w:rPr>
          <w:rFonts w:hint="eastAsia" w:ascii="宋体"/>
          <w:color w:val="auto"/>
          <w:sz w:val="24"/>
          <w:highlight w:val="none"/>
          <w:lang w:eastAsia="zh-CN"/>
        </w:rPr>
        <w:t>（</w:t>
      </w:r>
      <w:r>
        <w:rPr>
          <w:rFonts w:hint="eastAsia" w:ascii="宋体"/>
          <w:color w:val="auto"/>
          <w:sz w:val="24"/>
          <w:highlight w:val="none"/>
          <w:lang w:val="en-US" w:eastAsia="zh-CN"/>
        </w:rPr>
        <w:t>暗标</w:t>
      </w:r>
      <w:r>
        <w:rPr>
          <w:rFonts w:hint="eastAsia" w:ascii="宋体"/>
          <w:color w:val="auto"/>
          <w:sz w:val="24"/>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b w:val="0"/>
          <w:bCs w:val="0"/>
          <w:color w:val="auto"/>
          <w:sz w:val="24"/>
          <w:highlight w:val="none"/>
        </w:rPr>
      </w:pPr>
      <w:r>
        <w:rPr>
          <w:rFonts w:hint="eastAsia" w:ascii="宋体"/>
          <w:b w:val="0"/>
          <w:bCs w:val="0"/>
          <w:color w:val="auto"/>
          <w:sz w:val="24"/>
          <w:highlight w:val="none"/>
        </w:rPr>
        <w:t>（</w:t>
      </w:r>
      <w:r>
        <w:rPr>
          <w:rFonts w:hint="eastAsia" w:ascii="宋体"/>
          <w:b w:val="0"/>
          <w:bCs w:val="0"/>
          <w:color w:val="auto"/>
          <w:sz w:val="24"/>
          <w:highlight w:val="none"/>
          <w:lang w:val="en-US" w:eastAsia="zh-CN"/>
        </w:rPr>
        <w:t>12</w:t>
      </w:r>
      <w:r>
        <w:rPr>
          <w:rFonts w:hint="eastAsia" w:ascii="宋体"/>
          <w:b w:val="0"/>
          <w:bCs w:val="0"/>
          <w:color w:val="auto"/>
          <w:sz w:val="24"/>
          <w:highlight w:val="none"/>
        </w:rPr>
        <w:t>）投标人须知前附表规定的其他材料。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 xml:space="preserve">4.3 </w:t>
      </w:r>
      <w:r>
        <w:rPr>
          <w:rFonts w:hint="eastAsia" w:ascii="宋体" w:hAnsi="宋体" w:eastAsia="宋体" w:cs="宋体"/>
          <w:b w:val="0"/>
          <w:bCs w:val="0"/>
          <w:color w:val="auto"/>
          <w:sz w:val="24"/>
          <w:highlight w:val="none"/>
        </w:rPr>
        <w:t>投标报价</w:t>
      </w:r>
      <w:bookmarkEnd w:id="28"/>
      <w:bookmarkEnd w:id="29"/>
      <w:bookmarkEnd w:id="30"/>
      <w:bookmarkEnd w:id="3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2" w:name="_Toc504654684"/>
      <w:bookmarkStart w:id="33" w:name="_Toc445473487"/>
      <w:bookmarkStart w:id="34" w:name="_Toc504479648"/>
      <w:bookmarkStart w:id="35" w:name="_Toc504479197"/>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3.1投标报价根据本次发包项目的范围、答疑纪要、</w:t>
      </w:r>
      <w:r>
        <w:rPr>
          <w:rFonts w:hint="eastAsia" w:ascii="宋体" w:hAnsi="宋体" w:eastAsia="宋体" w:cs="宋体"/>
          <w:b w:val="0"/>
          <w:bCs w:val="0"/>
          <w:color w:val="auto"/>
          <w:kern w:val="2"/>
          <w:sz w:val="24"/>
          <w:szCs w:val="24"/>
          <w:highlight w:val="none"/>
          <w:lang w:eastAsia="zh-CN"/>
        </w:rPr>
        <w:t>竞争性磋商文件</w:t>
      </w:r>
      <w:r>
        <w:rPr>
          <w:rFonts w:hint="eastAsia" w:ascii="宋体" w:hAnsi="宋体" w:eastAsia="宋体" w:cs="宋体"/>
          <w:b w:val="0"/>
          <w:bCs w:val="0"/>
          <w:color w:val="auto"/>
          <w:kern w:val="2"/>
          <w:sz w:val="24"/>
          <w:szCs w:val="24"/>
          <w:highlight w:val="none"/>
        </w:rPr>
        <w:t>的要求，投标人根据现场情况并应结合企业情况自主报价进行编制。</w:t>
      </w:r>
      <w:bookmarkEnd w:id="32"/>
      <w:bookmarkEnd w:id="33"/>
      <w:bookmarkEnd w:id="34"/>
      <w:bookmarkEnd w:id="3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6" w:name="_Toc504479198"/>
      <w:bookmarkStart w:id="37" w:name="_Toc504479649"/>
      <w:bookmarkStart w:id="38" w:name="_Toc445473488"/>
      <w:bookmarkStart w:id="39" w:name="_Toc504654685"/>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3.2投标人在报价时还应充分考虑项目实施期间包括物价变动在内的各种风险因素。</w:t>
      </w:r>
      <w:bookmarkEnd w:id="36"/>
      <w:bookmarkEnd w:id="37"/>
      <w:bookmarkEnd w:id="38"/>
      <w:bookmarkEnd w:id="39"/>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0" w:name="_Toc504654686"/>
      <w:bookmarkStart w:id="41" w:name="_Toc504479650"/>
      <w:bookmarkStart w:id="42" w:name="_Toc504479199"/>
      <w:bookmarkStart w:id="43" w:name="_Toc445473489"/>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3.3投标报价为本项目全部费用，本项目中投标队伍的工作和生活等费用，以及在工作过程中因投标队伍需要第三方配合而产生的相关费用，由投标人自行解决。</w:t>
      </w:r>
      <w:bookmarkEnd w:id="40"/>
      <w:bookmarkEnd w:id="41"/>
      <w:bookmarkEnd w:id="42"/>
      <w:bookmarkEnd w:id="4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4" w:name="_Toc429224645"/>
      <w:bookmarkStart w:id="45" w:name="_Toc435021075"/>
      <w:bookmarkStart w:id="46" w:name="_Toc504479651"/>
      <w:bookmarkStart w:id="47" w:name="_Toc445473490"/>
      <w:bookmarkStart w:id="48" w:name="_Toc504654687"/>
      <w:bookmarkStart w:id="49" w:name="_Toc504479200"/>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3.4投标和支付所使用的货币：</w:t>
      </w:r>
      <w:bookmarkEnd w:id="44"/>
      <w:bookmarkEnd w:id="45"/>
      <w:r>
        <w:rPr>
          <w:rFonts w:hint="eastAsia" w:ascii="宋体" w:hAnsi="宋体" w:eastAsia="宋体" w:cs="宋体"/>
          <w:b w:val="0"/>
          <w:bCs w:val="0"/>
          <w:color w:val="auto"/>
          <w:kern w:val="2"/>
          <w:sz w:val="24"/>
          <w:szCs w:val="24"/>
          <w:highlight w:val="none"/>
        </w:rPr>
        <w:t>投标人填报的投标报价均以人民币为计价依据，合同实施时亦以人民币支付。</w:t>
      </w:r>
      <w:bookmarkEnd w:id="46"/>
      <w:bookmarkEnd w:id="47"/>
      <w:bookmarkEnd w:id="48"/>
      <w:bookmarkEnd w:id="49"/>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Cs/>
          <w:color w:val="auto"/>
          <w:sz w:val="24"/>
          <w:highlight w:val="none"/>
          <w:lang w:val="zh-CN"/>
        </w:rPr>
      </w:pPr>
      <w:bookmarkStart w:id="50" w:name="_Toc504479209"/>
      <w:bookmarkStart w:id="51" w:name="_Toc504479660"/>
      <w:bookmarkStart w:id="52" w:name="_Toc504654695"/>
      <w:bookmarkStart w:id="53" w:name="_Toc445473519"/>
      <w:bookmarkStart w:id="54" w:name="_Toc504654714"/>
      <w:r>
        <w:rPr>
          <w:rFonts w:hint="eastAsia" w:ascii="宋体" w:hAnsi="宋体" w:cs="宋体"/>
          <w:bCs/>
          <w:color w:val="auto"/>
          <w:sz w:val="24"/>
          <w:highlight w:val="none"/>
          <w:lang w:val="zh-CN"/>
        </w:rPr>
        <w:t>4.4</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的递交</w:t>
      </w:r>
      <w:bookmarkEnd w:id="50"/>
      <w:bookmarkEnd w:id="51"/>
      <w:bookmarkEnd w:id="52"/>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5" w:name="_Toc504479210"/>
      <w:bookmarkStart w:id="56" w:name="_Toc504654696"/>
      <w:bookmarkStart w:id="57" w:name="_Toc504479661"/>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.1投标人应在前附表所规定的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递交截止时间之前将</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送达开标地点。</w:t>
      </w:r>
      <w:bookmarkEnd w:id="55"/>
      <w:bookmarkEnd w:id="56"/>
      <w:bookmarkEnd w:id="57"/>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8" w:name="_Toc504654697"/>
      <w:bookmarkStart w:id="59" w:name="_Toc504479211"/>
      <w:bookmarkStart w:id="60" w:name="_Toc504479662"/>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.2在</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递交截止时间以后送达的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为无效的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，采购人不予受理。</w:t>
      </w:r>
      <w:bookmarkEnd w:id="58"/>
      <w:bookmarkEnd w:id="59"/>
      <w:bookmarkEnd w:id="60"/>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 w:val="0"/>
          <w:bCs/>
          <w:color w:val="auto"/>
          <w:sz w:val="24"/>
          <w:highlight w:val="none"/>
          <w:lang w:val="zh-CN"/>
        </w:rPr>
      </w:pPr>
      <w:bookmarkStart w:id="61" w:name="_Toc504479212"/>
      <w:bookmarkStart w:id="62" w:name="_Toc504479663"/>
      <w:bookmarkStart w:id="63" w:name="_Toc504654698"/>
      <w:r>
        <w:rPr>
          <w:rFonts w:hint="eastAsia" w:ascii="宋体" w:hAnsi="宋体" w:cs="宋体"/>
          <w:b w:val="0"/>
          <w:bCs/>
          <w:color w:val="auto"/>
          <w:sz w:val="24"/>
          <w:highlight w:val="none"/>
          <w:lang w:val="en-US" w:eastAsia="zh-CN"/>
        </w:rPr>
        <w:t xml:space="preserve">4.5 </w:t>
      </w:r>
      <w:r>
        <w:rPr>
          <w:rFonts w:hint="eastAsia" w:ascii="宋体" w:hAnsi="宋体" w:eastAsia="宋体" w:cs="宋体"/>
          <w:b w:val="0"/>
          <w:bCs/>
          <w:color w:val="auto"/>
          <w:sz w:val="24"/>
          <w:highlight w:val="none"/>
          <w:lang w:val="zh-CN"/>
        </w:rPr>
        <w:t>投标有效期</w:t>
      </w:r>
      <w:bookmarkEnd w:id="61"/>
      <w:bookmarkEnd w:id="62"/>
      <w:bookmarkEnd w:id="63"/>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4" w:name="_Toc504479213"/>
      <w:bookmarkStart w:id="65" w:name="_Toc504479664"/>
      <w:bookmarkStart w:id="66" w:name="_Toc504654699"/>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rPr>
        <w:t>投标有效期从本须知前附表所规定的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递交截止时间起开始计算。</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在本须知前附表所规定的日历天内保持有效。</w:t>
      </w:r>
      <w:bookmarkEnd w:id="64"/>
      <w:bookmarkEnd w:id="65"/>
      <w:bookmarkEnd w:id="66"/>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7" w:name="_Toc504654700"/>
      <w:bookmarkStart w:id="68" w:name="_Toc504479665"/>
      <w:bookmarkStart w:id="69" w:name="_Toc504479214"/>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rPr>
        <w:t>如果出现特殊情况，采购人可要求投标人将投标有效期延长一段时间。这种要求和投标人的答复均应以书面形式进行。同意延期的投标人不需要也不允许修改其</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w:t>
      </w:r>
      <w:bookmarkEnd w:id="67"/>
      <w:bookmarkEnd w:id="68"/>
      <w:bookmarkEnd w:id="69"/>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4.6 </w:t>
      </w:r>
      <w:r>
        <w:rPr>
          <w:rFonts w:hint="eastAsia" w:ascii="宋体" w:hAnsi="宋体" w:cs="宋体"/>
          <w:b w:val="0"/>
          <w:bCs/>
          <w:color w:val="auto"/>
          <w:sz w:val="24"/>
          <w:highlight w:val="none"/>
          <w:lang w:val="zh-CN"/>
        </w:rPr>
        <w:t>磋商保证金</w:t>
      </w:r>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投标人应确保</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在递交截止时间前划拨到指定的银行账号上，否则，其</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视为无效。</w:t>
      </w:r>
      <w:bookmarkStart w:id="70" w:name="_Toc504654701"/>
      <w:bookmarkStart w:id="71" w:name="_Toc504479215"/>
      <w:bookmarkStart w:id="72" w:name="_Toc504479666"/>
    </w:p>
    <w:bookmarkEnd w:id="70"/>
    <w:bookmarkEnd w:id="71"/>
    <w:bookmarkEnd w:id="72"/>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的金额：</w:t>
      </w:r>
      <w:bookmarkStart w:id="73" w:name="_Toc504479216"/>
      <w:bookmarkStart w:id="74" w:name="_Toc504479667"/>
      <w:bookmarkStart w:id="75" w:name="_Toc504654702"/>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bookmarkEnd w:id="73"/>
    <w:bookmarkEnd w:id="74"/>
    <w:bookmarkEnd w:id="75"/>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.3</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的形式：</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.4</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的递交</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pStyle w:val="35"/>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未按</w:t>
      </w:r>
      <w:r>
        <w:rPr>
          <w:rFonts w:hint="eastAsia" w:ascii="宋体" w:hAnsi="宋体" w:cs="宋体"/>
          <w:b w:val="0"/>
          <w:bCs w:val="0"/>
          <w:color w:val="auto"/>
          <w:kern w:val="2"/>
          <w:sz w:val="24"/>
          <w:szCs w:val="24"/>
          <w:highlight w:val="none"/>
          <w:lang w:val="zh-CN" w:eastAsia="zh-CN"/>
        </w:rPr>
        <w:t>投标人须知前附表规定</w:t>
      </w:r>
      <w:r>
        <w:rPr>
          <w:rFonts w:hint="eastAsia" w:ascii="宋体" w:hAnsi="宋体" w:eastAsia="宋体" w:cs="宋体"/>
          <w:b w:val="0"/>
          <w:bCs w:val="0"/>
          <w:color w:val="auto"/>
          <w:kern w:val="2"/>
          <w:sz w:val="24"/>
          <w:szCs w:val="24"/>
          <w:highlight w:val="none"/>
          <w:lang w:val="zh-CN" w:eastAsia="zh-CN"/>
        </w:rPr>
        <w:t>提交</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，或所提交保证金不完全符合</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各项要求的，将被视为无效投标。</w:t>
      </w:r>
    </w:p>
    <w:p>
      <w:pPr>
        <w:pStyle w:val="35"/>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zh-CN" w:eastAsia="zh-CN"/>
        </w:rPr>
        <w:t>保证金的退还方式：</w:t>
      </w:r>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投标人的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一律釆用电汇方式退还至投标人名称相一致的账号。</w:t>
      </w:r>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.7落标人的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将在</w:t>
      </w:r>
      <w:r>
        <w:rPr>
          <w:rFonts w:hint="eastAsia" w:ascii="宋体" w:hAnsi="宋体" w:cs="宋体"/>
          <w:b w:val="0"/>
          <w:bCs w:val="0"/>
          <w:color w:val="auto"/>
          <w:kern w:val="2"/>
          <w:sz w:val="24"/>
          <w:szCs w:val="24"/>
          <w:highlight w:val="none"/>
          <w:lang w:val="en-US" w:eastAsia="zh-CN"/>
        </w:rPr>
        <w:t>成交通知书</w:t>
      </w:r>
      <w:r>
        <w:rPr>
          <w:rFonts w:hint="eastAsia" w:ascii="宋体" w:hAnsi="宋体" w:eastAsia="宋体" w:cs="宋体"/>
          <w:b w:val="0"/>
          <w:bCs w:val="0"/>
          <w:color w:val="auto"/>
          <w:kern w:val="2"/>
          <w:sz w:val="24"/>
          <w:szCs w:val="24"/>
          <w:highlight w:val="none"/>
          <w:lang w:val="en-US" w:eastAsia="zh-CN"/>
        </w:rPr>
        <w:t>发出后5个工作日内退还，不计利息；</w:t>
      </w:r>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成交商</w:t>
      </w:r>
      <w:r>
        <w:rPr>
          <w:rFonts w:hint="eastAsia" w:ascii="宋体" w:hAnsi="宋体" w:eastAsia="宋体" w:cs="宋体"/>
          <w:b w:val="0"/>
          <w:bCs w:val="0"/>
          <w:color w:val="auto"/>
          <w:kern w:val="2"/>
          <w:sz w:val="24"/>
          <w:szCs w:val="24"/>
          <w:highlight w:val="none"/>
          <w:lang w:val="en-US" w:eastAsia="zh-CN"/>
        </w:rPr>
        <w:t>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成交商</w:t>
      </w:r>
      <w:r>
        <w:rPr>
          <w:rFonts w:hint="eastAsia" w:ascii="宋体" w:hAnsi="宋体" w:eastAsia="宋体" w:cs="宋体"/>
          <w:b w:val="0"/>
          <w:bCs w:val="0"/>
          <w:color w:val="auto"/>
          <w:kern w:val="2"/>
          <w:sz w:val="24"/>
          <w:szCs w:val="24"/>
          <w:highlight w:val="none"/>
          <w:lang w:val="en-US" w:eastAsia="zh-CN"/>
        </w:rPr>
        <w:t>按</w:t>
      </w:r>
      <w:r>
        <w:rPr>
          <w:rFonts w:hint="eastAsia" w:ascii="宋体" w:hAnsi="宋体" w:eastAsia="宋体" w:cs="宋体"/>
          <w:b w:val="0"/>
          <w:bCs w:val="0"/>
          <w:color w:val="auto"/>
          <w:kern w:val="2"/>
          <w:sz w:val="24"/>
          <w:szCs w:val="24"/>
          <w:highlight w:val="none"/>
          <w:lang w:val="zh-CN" w:eastAsia="zh-CN"/>
        </w:rPr>
        <w:t>规定签署合同后5个工日内退还，不计利息。</w:t>
      </w:r>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lang w:val="zh-CN" w:eastAsia="zh-CN"/>
        </w:rPr>
        <w:t>下列情况之一发生时，</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将不予退还：</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76" w:name="_Toc504479217"/>
      <w:bookmarkStart w:id="77" w:name="_Toc504654703"/>
      <w:bookmarkStart w:id="78" w:name="_Toc504479668"/>
      <w:bookmarkStart w:id="79" w:name="_Toc445473508"/>
      <w:r>
        <w:rPr>
          <w:rFonts w:hint="eastAsia" w:ascii="宋体"/>
          <w:color w:val="auto"/>
          <w:sz w:val="24"/>
          <w:highlight w:val="none"/>
        </w:rPr>
        <w:t>（1）投标人在</w:t>
      </w:r>
      <w:r>
        <w:rPr>
          <w:rFonts w:hint="eastAsia" w:ascii="宋体"/>
          <w:color w:val="auto"/>
          <w:sz w:val="24"/>
          <w:highlight w:val="none"/>
          <w:lang w:eastAsia="zh-CN"/>
        </w:rPr>
        <w:t>竞争性磋商文件</w:t>
      </w:r>
      <w:r>
        <w:rPr>
          <w:rFonts w:hint="eastAsia" w:ascii="宋体"/>
          <w:color w:val="auto"/>
          <w:sz w:val="24"/>
          <w:highlight w:val="none"/>
        </w:rPr>
        <w:t>规定的投标有效期内撤回其投标；</w:t>
      </w:r>
      <w:bookmarkEnd w:id="76"/>
      <w:bookmarkEnd w:id="77"/>
      <w:bookmarkEnd w:id="78"/>
      <w:bookmarkEnd w:id="7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0" w:name="_Toc504654704"/>
      <w:bookmarkStart w:id="81" w:name="_Toc504479218"/>
      <w:bookmarkStart w:id="82" w:name="_Toc504479669"/>
      <w:bookmarkStart w:id="83" w:name="_Toc445473509"/>
      <w:r>
        <w:rPr>
          <w:rFonts w:hint="eastAsia" w:ascii="宋体"/>
          <w:color w:val="auto"/>
          <w:sz w:val="24"/>
          <w:highlight w:val="none"/>
        </w:rPr>
        <w:t>（2）投标人恶意串通使招标失去竞争性的；</w:t>
      </w:r>
      <w:bookmarkEnd w:id="80"/>
      <w:bookmarkEnd w:id="81"/>
      <w:bookmarkEnd w:id="82"/>
      <w:bookmarkEnd w:id="83"/>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4" w:name="_Toc504654705"/>
      <w:bookmarkStart w:id="85" w:name="_Toc504479219"/>
      <w:bookmarkStart w:id="86" w:name="_Toc504479670"/>
      <w:bookmarkStart w:id="87" w:name="_Toc445473510"/>
      <w:r>
        <w:rPr>
          <w:rFonts w:hint="eastAsia" w:ascii="宋体"/>
          <w:color w:val="auto"/>
          <w:sz w:val="24"/>
          <w:highlight w:val="none"/>
        </w:rPr>
        <w:t>（3）向政府集中采购机构或</w:t>
      </w:r>
      <w:r>
        <w:rPr>
          <w:rFonts w:hint="eastAsia" w:ascii="宋体"/>
          <w:color w:val="auto"/>
          <w:sz w:val="24"/>
          <w:highlight w:val="none"/>
          <w:lang w:eastAsia="zh-CN"/>
        </w:rPr>
        <w:t>磋商小组</w:t>
      </w:r>
      <w:r>
        <w:rPr>
          <w:rFonts w:hint="eastAsia" w:ascii="宋体"/>
          <w:color w:val="auto"/>
          <w:sz w:val="24"/>
          <w:highlight w:val="none"/>
        </w:rPr>
        <w:t>有意提供虚假材料的；</w:t>
      </w:r>
      <w:bookmarkEnd w:id="84"/>
      <w:bookmarkEnd w:id="85"/>
      <w:bookmarkEnd w:id="86"/>
      <w:bookmarkEnd w:id="8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8" w:name="_Toc504479671"/>
      <w:bookmarkStart w:id="89" w:name="_Toc445473511"/>
      <w:bookmarkStart w:id="90" w:name="_Toc504479220"/>
      <w:bookmarkStart w:id="91" w:name="_Toc504654706"/>
      <w:r>
        <w:rPr>
          <w:rFonts w:hint="eastAsia" w:ascii="宋体"/>
          <w:color w:val="auto"/>
          <w:sz w:val="24"/>
          <w:highlight w:val="none"/>
        </w:rPr>
        <w:t>（4）</w:t>
      </w:r>
      <w:r>
        <w:rPr>
          <w:rFonts w:hint="eastAsia" w:ascii="宋体"/>
          <w:color w:val="auto"/>
          <w:sz w:val="24"/>
          <w:highlight w:val="none"/>
          <w:lang w:eastAsia="zh-CN"/>
        </w:rPr>
        <w:t>响应文件</w:t>
      </w:r>
      <w:r>
        <w:rPr>
          <w:rFonts w:hint="eastAsia" w:ascii="宋体"/>
          <w:color w:val="auto"/>
          <w:sz w:val="24"/>
          <w:highlight w:val="none"/>
        </w:rPr>
        <w:t>出现妨碍公平竞争行为的；</w:t>
      </w:r>
      <w:bookmarkEnd w:id="88"/>
      <w:bookmarkEnd w:id="89"/>
      <w:bookmarkEnd w:id="90"/>
      <w:bookmarkEnd w:id="9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2" w:name="_Toc504654707"/>
      <w:bookmarkStart w:id="93" w:name="_Toc504479221"/>
      <w:bookmarkStart w:id="94" w:name="_Toc504479672"/>
      <w:bookmarkStart w:id="95" w:name="_Toc445473512"/>
      <w:r>
        <w:rPr>
          <w:rFonts w:hint="eastAsia" w:ascii="宋体"/>
          <w:color w:val="auto"/>
          <w:sz w:val="24"/>
          <w:highlight w:val="none"/>
        </w:rPr>
        <w:t>（5）未在规定的期限内领取</w:t>
      </w:r>
      <w:r>
        <w:rPr>
          <w:rFonts w:hint="eastAsia" w:ascii="宋体"/>
          <w:color w:val="auto"/>
          <w:sz w:val="24"/>
          <w:highlight w:val="none"/>
          <w:lang w:eastAsia="zh-CN"/>
        </w:rPr>
        <w:t>成交通知书</w:t>
      </w:r>
      <w:r>
        <w:rPr>
          <w:rFonts w:hint="eastAsia" w:ascii="宋体"/>
          <w:color w:val="auto"/>
          <w:sz w:val="24"/>
          <w:highlight w:val="none"/>
        </w:rPr>
        <w:t>的；</w:t>
      </w:r>
      <w:bookmarkEnd w:id="92"/>
      <w:bookmarkEnd w:id="93"/>
      <w:bookmarkEnd w:id="94"/>
      <w:bookmarkEnd w:id="9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6" w:name="_Toc504479222"/>
      <w:bookmarkStart w:id="97" w:name="_Toc504479673"/>
      <w:bookmarkStart w:id="98" w:name="_Toc445473513"/>
      <w:bookmarkStart w:id="99" w:name="_Toc504654708"/>
      <w:r>
        <w:rPr>
          <w:rFonts w:hint="eastAsia" w:ascii="宋体"/>
          <w:color w:val="auto"/>
          <w:sz w:val="24"/>
          <w:highlight w:val="none"/>
        </w:rPr>
        <w:t>（6）</w:t>
      </w:r>
      <w:r>
        <w:rPr>
          <w:rFonts w:hint="eastAsia" w:ascii="宋体"/>
          <w:color w:val="auto"/>
          <w:sz w:val="24"/>
          <w:highlight w:val="none"/>
          <w:lang w:eastAsia="zh-CN"/>
        </w:rPr>
        <w:t>成交商</w:t>
      </w:r>
      <w:r>
        <w:rPr>
          <w:rFonts w:hint="eastAsia" w:ascii="宋体"/>
          <w:color w:val="auto"/>
          <w:sz w:val="24"/>
          <w:highlight w:val="none"/>
        </w:rPr>
        <w:t>因自身原因在</w:t>
      </w:r>
      <w:r>
        <w:rPr>
          <w:rFonts w:hint="eastAsia" w:ascii="宋体"/>
          <w:color w:val="auto"/>
          <w:sz w:val="24"/>
          <w:highlight w:val="none"/>
          <w:lang w:eastAsia="zh-CN"/>
        </w:rPr>
        <w:t>成交通知书</w:t>
      </w:r>
      <w:r>
        <w:rPr>
          <w:rFonts w:hint="eastAsia" w:ascii="宋体"/>
          <w:color w:val="auto"/>
          <w:sz w:val="24"/>
          <w:highlight w:val="none"/>
        </w:rPr>
        <w:t>规定的时间内未能与采购人签订合同的；</w:t>
      </w:r>
      <w:bookmarkEnd w:id="96"/>
      <w:bookmarkEnd w:id="97"/>
      <w:bookmarkEnd w:id="98"/>
      <w:bookmarkEnd w:id="9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100" w:name="_Toc445473514"/>
      <w:bookmarkStart w:id="101" w:name="_Toc504479674"/>
      <w:bookmarkStart w:id="102" w:name="_Toc504479223"/>
      <w:bookmarkStart w:id="103" w:name="_Toc504654709"/>
      <w:r>
        <w:rPr>
          <w:rFonts w:hint="eastAsia" w:ascii="宋体"/>
          <w:color w:val="auto"/>
          <w:sz w:val="24"/>
          <w:highlight w:val="none"/>
        </w:rPr>
        <w:t>（7）违反政府釆购法及有关法律、法规的。</w:t>
      </w:r>
      <w:bookmarkEnd w:id="100"/>
      <w:bookmarkEnd w:id="101"/>
      <w:bookmarkEnd w:id="102"/>
      <w:bookmarkEnd w:id="103"/>
      <w:bookmarkStart w:id="104" w:name="_Toc504654710"/>
      <w:bookmarkStart w:id="105" w:name="_Toc504479675"/>
      <w:bookmarkStart w:id="106" w:name="_Toc445473515"/>
      <w:bookmarkStart w:id="107" w:name="_Toc504479224"/>
    </w:p>
    <w:p>
      <w:pPr>
        <w:pStyle w:val="35"/>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ascii="宋体" w:hAnsi="宋体" w:eastAsia="宋体" w:cs="宋体"/>
          <w:b w:val="0"/>
          <w:bCs w:val="0"/>
          <w:color w:val="auto"/>
          <w:kern w:val="2"/>
          <w:sz w:val="24"/>
          <w:szCs w:val="24"/>
          <w:highlight w:val="none"/>
        </w:rPr>
      </w:pPr>
      <w:r>
        <w:rPr>
          <w:rFonts w:hint="eastAsia" w:ascii="宋体" w:hAnsi="宋体" w:cs="宋体"/>
          <w:b w:val="0"/>
          <w:bCs w:val="0"/>
          <w:color w:val="auto"/>
          <w:kern w:val="2"/>
          <w:sz w:val="24"/>
          <w:szCs w:val="24"/>
          <w:highlight w:val="none"/>
          <w:lang w:val="en-US" w:eastAsia="zh-CN"/>
        </w:rPr>
        <w:t>4.7</w:t>
      </w:r>
      <w:r>
        <w:rPr>
          <w:rFonts w:hint="eastAsia" w:ascii="宋体" w:hAnsi="宋体" w:cs="宋体"/>
          <w:b w:val="0"/>
          <w:bCs w:val="0"/>
          <w:color w:val="auto"/>
          <w:kern w:val="2"/>
          <w:sz w:val="24"/>
          <w:szCs w:val="24"/>
          <w:highlight w:val="none"/>
          <w:lang w:eastAsia="zh-CN"/>
        </w:rPr>
        <w:t>响应文件</w:t>
      </w:r>
      <w:r>
        <w:rPr>
          <w:rFonts w:hint="eastAsia" w:ascii="宋体" w:hAnsi="宋体" w:eastAsia="宋体" w:cs="宋体"/>
          <w:b w:val="0"/>
          <w:bCs w:val="0"/>
          <w:color w:val="auto"/>
          <w:kern w:val="2"/>
          <w:sz w:val="24"/>
          <w:szCs w:val="24"/>
          <w:highlight w:val="none"/>
        </w:rPr>
        <w:t>的修改、补充与撤回</w:t>
      </w:r>
      <w:bookmarkEnd w:id="104"/>
      <w:bookmarkEnd w:id="105"/>
      <w:bookmarkEnd w:id="106"/>
      <w:bookmarkEnd w:id="107"/>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08" w:name="_Toc429224675"/>
      <w:bookmarkStart w:id="109" w:name="_Toc435021105"/>
      <w:bookmarkStart w:id="110" w:name="_Toc504654711"/>
      <w:bookmarkStart w:id="111" w:name="_Toc445473516"/>
      <w:bookmarkStart w:id="112" w:name="_Toc504479225"/>
      <w:bookmarkStart w:id="113" w:name="_Toc504479676"/>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.1投标人可以在</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递交截止时间之前以书面形式修改、补充或撤回</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08"/>
      <w:bookmarkEnd w:id="109"/>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递交截止时间后不能修改、补充或撤回</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10"/>
      <w:bookmarkEnd w:id="111"/>
      <w:bookmarkEnd w:id="112"/>
      <w:bookmarkEnd w:id="113"/>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14" w:name="_Toc504479677"/>
      <w:bookmarkStart w:id="115" w:name="_Toc504654712"/>
      <w:bookmarkStart w:id="116" w:name="_Toc504479226"/>
      <w:bookmarkStart w:id="117" w:name="_Toc445473517"/>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的修改、补充与撤回，投标人均须按本款的规定密封、</w:t>
      </w:r>
      <w:r>
        <w:rPr>
          <w:rFonts w:hint="eastAsia" w:ascii="宋体" w:hAnsi="宋体" w:cs="宋体"/>
          <w:b w:val="0"/>
          <w:bCs w:val="0"/>
          <w:color w:val="auto"/>
          <w:kern w:val="2"/>
          <w:sz w:val="24"/>
          <w:szCs w:val="24"/>
          <w:highlight w:val="none"/>
          <w:lang w:val="en-US" w:eastAsia="zh-CN"/>
        </w:rPr>
        <w:t>标记</w:t>
      </w:r>
      <w:r>
        <w:rPr>
          <w:rFonts w:hint="eastAsia" w:ascii="宋体" w:hAnsi="宋体" w:eastAsia="宋体" w:cs="宋体"/>
          <w:b w:val="0"/>
          <w:bCs w:val="0"/>
          <w:color w:val="auto"/>
          <w:kern w:val="2"/>
          <w:sz w:val="24"/>
          <w:szCs w:val="24"/>
          <w:highlight w:val="none"/>
          <w:lang w:val="en-US" w:eastAsia="zh-CN"/>
        </w:rPr>
        <w:t>和递交(标明“修改”“补充”或“撤回”字样)。</w:t>
      </w:r>
      <w:bookmarkEnd w:id="114"/>
      <w:bookmarkEnd w:id="115"/>
      <w:bookmarkEnd w:id="116"/>
      <w:bookmarkEnd w:id="117"/>
      <w:bookmarkStart w:id="118" w:name="_Toc504479227"/>
      <w:bookmarkStart w:id="119" w:name="_Toc504479678"/>
      <w:bookmarkStart w:id="120" w:name="_Toc445473518"/>
      <w:bookmarkStart w:id="121" w:name="_Toc504654713"/>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.3在投标有效期内，投标人不能撤回其</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18"/>
      <w:bookmarkEnd w:id="119"/>
      <w:bookmarkEnd w:id="120"/>
      <w:bookmarkEnd w:id="121"/>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五、开标</w:t>
      </w:r>
      <w:bookmarkEnd w:id="53"/>
      <w:bookmarkEnd w:id="54"/>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122" w:name="_Toc445473520"/>
      <w:bookmarkStart w:id="123" w:name="_Toc504479229"/>
      <w:bookmarkStart w:id="124" w:name="_Toc504654715"/>
      <w:bookmarkStart w:id="125" w:name="_Toc504479680"/>
      <w:r>
        <w:rPr>
          <w:rFonts w:hint="eastAsia" w:ascii="宋体" w:hAnsi="宋体" w:cs="宋体"/>
          <w:b w:val="0"/>
          <w:bCs w:val="0"/>
          <w:color w:val="auto"/>
          <w:kern w:val="2"/>
          <w:sz w:val="24"/>
          <w:szCs w:val="24"/>
          <w:highlight w:val="none"/>
          <w:lang w:val="en-US" w:eastAsia="zh-CN"/>
        </w:rPr>
        <w:t xml:space="preserve">5.1 </w:t>
      </w:r>
      <w:r>
        <w:rPr>
          <w:rFonts w:hint="eastAsia" w:ascii="宋体" w:hAnsi="宋体" w:eastAsia="宋体" w:cs="宋体"/>
          <w:b w:val="0"/>
          <w:bCs w:val="0"/>
          <w:color w:val="auto"/>
          <w:kern w:val="2"/>
          <w:sz w:val="24"/>
          <w:szCs w:val="24"/>
          <w:highlight w:val="none"/>
        </w:rPr>
        <w:t>开标要求事项</w:t>
      </w:r>
      <w:bookmarkEnd w:id="122"/>
      <w:bookmarkEnd w:id="123"/>
      <w:bookmarkEnd w:id="124"/>
      <w:bookmarkEnd w:id="125"/>
    </w:p>
    <w:p>
      <w:pPr>
        <w:pStyle w:val="35"/>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26" w:name="_Toc435021110"/>
      <w:bookmarkStart w:id="127" w:name="_Toc429224680"/>
      <w:bookmarkStart w:id="128" w:name="_Toc445473521"/>
      <w:bookmarkStart w:id="129" w:name="_Toc504654716"/>
      <w:bookmarkStart w:id="130" w:name="_Toc504479230"/>
      <w:bookmarkStart w:id="131" w:name="_Toc504479681"/>
      <w:r>
        <w:rPr>
          <w:rFonts w:hint="eastAsia" w:ascii="宋体" w:hAnsi="宋体" w:eastAsia="宋体" w:cs="宋体"/>
          <w:b w:val="0"/>
          <w:bCs w:val="0"/>
          <w:color w:val="auto"/>
          <w:kern w:val="2"/>
          <w:sz w:val="24"/>
          <w:szCs w:val="24"/>
          <w:highlight w:val="none"/>
          <w:lang w:val="en-US" w:eastAsia="zh-CN"/>
        </w:rPr>
        <w:t>5.1.1</w:t>
      </w:r>
      <w:r>
        <w:rPr>
          <w:rFonts w:hint="eastAsia" w:ascii="宋体" w:hAnsi="宋体" w:eastAsia="宋体" w:cs="宋体"/>
          <w:b w:val="0"/>
          <w:bCs w:val="0"/>
          <w:color w:val="auto"/>
          <w:kern w:val="2"/>
          <w:sz w:val="24"/>
          <w:szCs w:val="24"/>
          <w:highlight w:val="none"/>
          <w:lang w:val="zh-CN" w:eastAsia="zh-CN"/>
        </w:rPr>
        <w:t>开标时间：</w:t>
      </w:r>
      <w:bookmarkEnd w:id="126"/>
      <w:bookmarkEnd w:id="127"/>
      <w:r>
        <w:rPr>
          <w:rFonts w:hint="eastAsia" w:ascii="宋体" w:hAnsi="宋体" w:eastAsia="宋体" w:cs="宋体"/>
          <w:b w:val="0"/>
          <w:bCs w:val="0"/>
          <w:color w:val="auto"/>
          <w:kern w:val="2"/>
          <w:sz w:val="24"/>
          <w:szCs w:val="24"/>
          <w:highlight w:val="none"/>
          <w:lang w:val="zh-CN" w:eastAsia="zh-CN"/>
        </w:rPr>
        <w:t>见投标须知前附表。</w:t>
      </w:r>
      <w:bookmarkEnd w:id="128"/>
      <w:bookmarkEnd w:id="129"/>
      <w:bookmarkEnd w:id="130"/>
      <w:bookmarkEnd w:id="131"/>
    </w:p>
    <w:p>
      <w:pPr>
        <w:pStyle w:val="35"/>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32" w:name="_Toc429224681"/>
      <w:bookmarkStart w:id="133" w:name="_Toc435021111"/>
      <w:bookmarkStart w:id="134" w:name="_Toc504479682"/>
      <w:bookmarkStart w:id="135" w:name="_Toc504479231"/>
      <w:bookmarkStart w:id="136" w:name="_Toc504654717"/>
      <w:bookmarkStart w:id="137" w:name="_Toc44547352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1.2开标地点：</w:t>
      </w:r>
      <w:bookmarkEnd w:id="132"/>
      <w:bookmarkEnd w:id="133"/>
      <w:r>
        <w:rPr>
          <w:rFonts w:hint="eastAsia" w:ascii="宋体" w:hAnsi="宋体" w:eastAsia="宋体" w:cs="宋体"/>
          <w:b w:val="0"/>
          <w:bCs w:val="0"/>
          <w:color w:val="auto"/>
          <w:kern w:val="2"/>
          <w:sz w:val="24"/>
          <w:szCs w:val="24"/>
          <w:highlight w:val="none"/>
          <w:lang w:val="zh-CN" w:eastAsia="zh-CN"/>
        </w:rPr>
        <w:t>见投标须知前附表。</w:t>
      </w:r>
      <w:bookmarkEnd w:id="134"/>
      <w:bookmarkEnd w:id="135"/>
      <w:bookmarkEnd w:id="136"/>
      <w:bookmarkEnd w:id="137"/>
    </w:p>
    <w:p>
      <w:pPr>
        <w:pStyle w:val="35"/>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38" w:name="_Toc504654718"/>
      <w:bookmarkStart w:id="139" w:name="_Toc504479683"/>
      <w:bookmarkStart w:id="140" w:name="_Toc445473523"/>
      <w:bookmarkStart w:id="141" w:name="_Toc50447923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1.3采购代理机构主持会议并做好开标记录</w:t>
      </w:r>
      <w:r>
        <w:rPr>
          <w:rFonts w:hint="eastAsia" w:ascii="宋体" w:hAnsi="宋体" w:eastAsia="宋体" w:cs="宋体"/>
          <w:b w:val="0"/>
          <w:bCs w:val="0"/>
          <w:color w:val="auto"/>
          <w:kern w:val="2"/>
          <w:sz w:val="24"/>
          <w:szCs w:val="24"/>
          <w:highlight w:val="none"/>
          <w:lang w:val="en-US" w:eastAsia="zh-CN"/>
        </w:rPr>
        <w:t>。</w:t>
      </w:r>
      <w:bookmarkEnd w:id="138"/>
      <w:bookmarkEnd w:id="139"/>
      <w:bookmarkEnd w:id="140"/>
      <w:bookmarkEnd w:id="14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42" w:name="_Toc429224683"/>
      <w:bookmarkStart w:id="143" w:name="_Toc435021113"/>
      <w:bookmarkStart w:id="144" w:name="_Toc445473524"/>
      <w:bookmarkStart w:id="145" w:name="_Toc504654719"/>
      <w:bookmarkStart w:id="146" w:name="_Toc504479684"/>
      <w:bookmarkStart w:id="147" w:name="_Toc504479233"/>
      <w:r>
        <w:rPr>
          <w:rFonts w:hint="eastAsia" w:ascii="宋体" w:hAnsi="宋体" w:eastAsia="宋体" w:cs="宋体"/>
          <w:b w:val="0"/>
          <w:bCs w:val="0"/>
          <w:color w:val="auto"/>
          <w:kern w:val="2"/>
          <w:sz w:val="24"/>
          <w:szCs w:val="24"/>
          <w:highlight w:val="none"/>
          <w:lang w:val="en-US" w:eastAsia="zh-CN"/>
        </w:rPr>
        <w:t>5.1.</w:t>
      </w:r>
      <w:bookmarkEnd w:id="142"/>
      <w:bookmarkEnd w:id="143"/>
      <w:r>
        <w:rPr>
          <w:rFonts w:hint="eastAsia" w:ascii="宋体" w:hAnsi="宋体" w:eastAsia="宋体" w:cs="宋体"/>
          <w:b w:val="0"/>
          <w:bCs w:val="0"/>
          <w:color w:val="auto"/>
          <w:kern w:val="2"/>
          <w:sz w:val="24"/>
          <w:szCs w:val="24"/>
          <w:highlight w:val="none"/>
          <w:lang w:val="en-US" w:eastAsia="zh-CN"/>
        </w:rPr>
        <w:t>4投标人须派法定代表人或被授权人准时参加开标会议并签名报到，以证明其出席开标会议。</w:t>
      </w:r>
      <w:bookmarkEnd w:id="144"/>
      <w:bookmarkEnd w:id="145"/>
      <w:bookmarkEnd w:id="146"/>
      <w:bookmarkEnd w:id="14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148" w:name="_Toc445473525"/>
      <w:bookmarkStart w:id="149" w:name="_Toc504654720"/>
      <w:bookmarkStart w:id="150" w:name="_Toc504479685"/>
      <w:bookmarkStart w:id="151" w:name="_Toc504479234"/>
      <w:r>
        <w:rPr>
          <w:rFonts w:hint="eastAsia" w:ascii="宋体" w:hAnsi="宋体" w:cs="宋体"/>
          <w:b w:val="0"/>
          <w:bCs w:val="0"/>
          <w:color w:val="auto"/>
          <w:kern w:val="2"/>
          <w:sz w:val="24"/>
          <w:szCs w:val="24"/>
          <w:highlight w:val="none"/>
          <w:lang w:val="en-US" w:eastAsia="zh-CN"/>
        </w:rPr>
        <w:t>5.2 开标会议程序</w:t>
      </w:r>
      <w:bookmarkEnd w:id="148"/>
      <w:bookmarkEnd w:id="149"/>
      <w:bookmarkEnd w:id="150"/>
      <w:bookmarkEnd w:id="15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2" w:name="_Toc435021115"/>
      <w:bookmarkStart w:id="153" w:name="_Toc429224685"/>
      <w:bookmarkStart w:id="154" w:name="_Toc504479235"/>
      <w:bookmarkStart w:id="155" w:name="_Toc504654721"/>
      <w:bookmarkStart w:id="156" w:name="_Toc445473526"/>
      <w:bookmarkStart w:id="157" w:name="_Toc504479686"/>
      <w:r>
        <w:rPr>
          <w:rFonts w:hint="eastAsia" w:ascii="宋体" w:hAnsi="宋体" w:eastAsia="宋体" w:cs="宋体"/>
          <w:b w:val="0"/>
          <w:bCs w:val="0"/>
          <w:color w:val="auto"/>
          <w:kern w:val="2"/>
          <w:sz w:val="24"/>
          <w:szCs w:val="24"/>
          <w:highlight w:val="none"/>
          <w:lang w:val="en-US" w:eastAsia="zh-CN"/>
        </w:rPr>
        <w:t>5.2.</w:t>
      </w:r>
      <w:bookmarkEnd w:id="152"/>
      <w:bookmarkEnd w:id="153"/>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开标由</w:t>
      </w:r>
      <w:r>
        <w:rPr>
          <w:rFonts w:hint="eastAsia" w:ascii="宋体" w:hAnsi="宋体" w:cs="宋体"/>
          <w:b w:val="0"/>
          <w:bCs w:val="0"/>
          <w:color w:val="auto"/>
          <w:kern w:val="2"/>
          <w:sz w:val="24"/>
          <w:szCs w:val="24"/>
          <w:highlight w:val="none"/>
          <w:lang w:val="en-US" w:eastAsia="zh-CN"/>
        </w:rPr>
        <w:t>采购</w:t>
      </w:r>
      <w:r>
        <w:rPr>
          <w:rFonts w:hint="eastAsia" w:ascii="宋体" w:hAnsi="宋体" w:eastAsia="宋体" w:cs="宋体"/>
          <w:b w:val="0"/>
          <w:bCs w:val="0"/>
          <w:color w:val="auto"/>
          <w:kern w:val="2"/>
          <w:sz w:val="24"/>
          <w:szCs w:val="24"/>
          <w:highlight w:val="none"/>
          <w:lang w:val="zh-CN" w:eastAsia="zh-CN"/>
        </w:rPr>
        <w:t>代理</w:t>
      </w:r>
      <w:r>
        <w:rPr>
          <w:rFonts w:hint="eastAsia" w:ascii="宋体" w:hAnsi="宋体" w:cs="宋体"/>
          <w:b w:val="0"/>
          <w:bCs w:val="0"/>
          <w:color w:val="auto"/>
          <w:kern w:val="2"/>
          <w:sz w:val="24"/>
          <w:szCs w:val="24"/>
          <w:highlight w:val="none"/>
          <w:lang w:val="en-US" w:eastAsia="zh-CN"/>
        </w:rPr>
        <w:t>机构</w:t>
      </w:r>
      <w:r>
        <w:rPr>
          <w:rFonts w:hint="eastAsia" w:ascii="宋体" w:hAnsi="宋体" w:eastAsia="宋体" w:cs="宋体"/>
          <w:b w:val="0"/>
          <w:bCs w:val="0"/>
          <w:color w:val="auto"/>
          <w:kern w:val="2"/>
          <w:sz w:val="24"/>
          <w:szCs w:val="24"/>
          <w:highlight w:val="none"/>
          <w:lang w:val="zh-CN" w:eastAsia="zh-CN"/>
        </w:rPr>
        <w:t>主持，邀请所有投标人参加，并在竞争性磋商文件规定的时间、地点公开进行，同时接受</w:t>
      </w:r>
      <w:r>
        <w:rPr>
          <w:rFonts w:hint="eastAsia" w:ascii="宋体" w:hAnsi="宋体" w:cs="宋体"/>
          <w:b w:val="0"/>
          <w:bCs w:val="0"/>
          <w:color w:val="auto"/>
          <w:kern w:val="2"/>
          <w:sz w:val="24"/>
          <w:szCs w:val="24"/>
          <w:highlight w:val="none"/>
          <w:lang w:val="zh-CN" w:eastAsia="zh-CN"/>
        </w:rPr>
        <w:t>行业</w:t>
      </w:r>
      <w:r>
        <w:rPr>
          <w:rFonts w:hint="eastAsia" w:ascii="宋体" w:hAnsi="宋体" w:eastAsia="宋体" w:cs="宋体"/>
          <w:b w:val="0"/>
          <w:bCs w:val="0"/>
          <w:color w:val="auto"/>
          <w:kern w:val="2"/>
          <w:sz w:val="24"/>
          <w:szCs w:val="24"/>
          <w:highlight w:val="none"/>
          <w:lang w:val="zh-CN" w:eastAsia="zh-CN"/>
        </w:rPr>
        <w:t>监督部门的监督。</w:t>
      </w:r>
      <w:bookmarkEnd w:id="154"/>
      <w:bookmarkEnd w:id="155"/>
      <w:bookmarkEnd w:id="156"/>
      <w:bookmarkEnd w:id="15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8" w:name="_Toc504479236"/>
      <w:bookmarkStart w:id="159" w:name="_Toc504479687"/>
      <w:bookmarkStart w:id="160" w:name="_Toc445473527"/>
      <w:bookmarkStart w:id="161" w:name="_Toc50465472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eastAsia="zh-CN"/>
        </w:rPr>
        <w:t>开标时间到后，主持人宣布开标会议正式开始。</w:t>
      </w:r>
      <w:bookmarkEnd w:id="158"/>
      <w:bookmarkEnd w:id="159"/>
      <w:bookmarkEnd w:id="160"/>
      <w:bookmarkEnd w:id="16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62" w:name="_Toc435021117"/>
      <w:bookmarkStart w:id="163" w:name="_Toc429224687"/>
      <w:bookmarkStart w:id="164" w:name="_Toc504654723"/>
      <w:bookmarkStart w:id="165" w:name="_Toc504479237"/>
      <w:bookmarkStart w:id="166" w:name="_Toc504479688"/>
      <w:bookmarkStart w:id="167" w:name="_Toc445473528"/>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bookmarkEnd w:id="162"/>
      <w:bookmarkEnd w:id="163"/>
      <w:r>
        <w:rPr>
          <w:rFonts w:hint="eastAsia" w:ascii="宋体" w:hAnsi="宋体" w:eastAsia="宋体" w:cs="宋体"/>
          <w:b w:val="0"/>
          <w:bCs w:val="0"/>
          <w:color w:val="auto"/>
          <w:kern w:val="2"/>
          <w:sz w:val="24"/>
          <w:szCs w:val="24"/>
          <w:highlight w:val="none"/>
          <w:lang w:val="zh-CN" w:eastAsia="zh-CN"/>
        </w:rPr>
        <w:t>3宣布开标会议纪律。</w:t>
      </w:r>
      <w:bookmarkEnd w:id="164"/>
      <w:bookmarkEnd w:id="165"/>
      <w:bookmarkEnd w:id="166"/>
      <w:bookmarkEnd w:id="16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68" w:name="_Toc504654724"/>
      <w:bookmarkStart w:id="169" w:name="_Toc504479689"/>
      <w:bookmarkStart w:id="170" w:name="_Toc445473529"/>
      <w:bookmarkStart w:id="171" w:name="_Toc504479238"/>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到会人员应自觉维护会场秩序，服从会务人员安排。</w:t>
      </w:r>
      <w:bookmarkEnd w:id="168"/>
      <w:bookmarkEnd w:id="169"/>
      <w:bookmarkEnd w:id="170"/>
      <w:bookmarkEnd w:id="17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2" w:name="_Toc504654725"/>
      <w:bookmarkStart w:id="173" w:name="_Toc504479690"/>
      <w:bookmarkStart w:id="174" w:name="_Toc504479239"/>
      <w:bookmarkStart w:id="175" w:name="_Toc445473530"/>
      <w:r>
        <w:rPr>
          <w:rFonts w:hint="eastAsia" w:ascii="宋体"/>
          <w:color w:val="auto"/>
          <w:sz w:val="24"/>
          <w:highlight w:val="none"/>
        </w:rPr>
        <w:t>（2）</w:t>
      </w:r>
      <w:r>
        <w:rPr>
          <w:rFonts w:hint="eastAsia" w:ascii="宋体"/>
          <w:color w:val="auto"/>
          <w:sz w:val="24"/>
          <w:highlight w:val="none"/>
          <w:lang w:val="zh-CN"/>
        </w:rPr>
        <w:t>所有与会人员的通讯工具暂停使用。</w:t>
      </w:r>
      <w:bookmarkEnd w:id="172"/>
      <w:bookmarkEnd w:id="173"/>
      <w:bookmarkEnd w:id="174"/>
      <w:bookmarkEnd w:id="17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6" w:name="_Toc504479691"/>
      <w:bookmarkStart w:id="177" w:name="_Toc504654726"/>
      <w:bookmarkStart w:id="178" w:name="_Toc504479240"/>
      <w:bookmarkStart w:id="179" w:name="_Toc445473531"/>
      <w:r>
        <w:rPr>
          <w:rFonts w:hint="eastAsia" w:ascii="宋体"/>
          <w:color w:val="auto"/>
          <w:sz w:val="24"/>
          <w:highlight w:val="none"/>
        </w:rPr>
        <w:t>（3）</w:t>
      </w:r>
      <w:r>
        <w:rPr>
          <w:rFonts w:hint="eastAsia" w:ascii="宋体"/>
          <w:color w:val="auto"/>
          <w:sz w:val="24"/>
          <w:highlight w:val="none"/>
          <w:lang w:val="zh-CN"/>
        </w:rPr>
        <w:t>非工作原因，不得来回走动。</w:t>
      </w:r>
      <w:bookmarkEnd w:id="176"/>
      <w:bookmarkEnd w:id="177"/>
      <w:bookmarkEnd w:id="178"/>
      <w:bookmarkEnd w:id="17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80" w:name="_Toc445473532"/>
      <w:bookmarkStart w:id="181" w:name="_Toc504479692"/>
      <w:bookmarkStart w:id="182" w:name="_Toc504479241"/>
      <w:bookmarkStart w:id="183" w:name="_Toc504654727"/>
      <w:r>
        <w:rPr>
          <w:rFonts w:hint="eastAsia" w:ascii="宋体"/>
          <w:color w:val="auto"/>
          <w:sz w:val="24"/>
          <w:highlight w:val="none"/>
        </w:rPr>
        <w:t>（4）</w:t>
      </w:r>
      <w:r>
        <w:rPr>
          <w:rFonts w:hint="eastAsia" w:ascii="宋体"/>
          <w:color w:val="auto"/>
          <w:sz w:val="24"/>
          <w:highlight w:val="none"/>
          <w:lang w:val="zh-CN"/>
        </w:rPr>
        <w:t>投标人如有异议，可向采购人和监督部门书面陈述，不得高声喧哗，妨碍正常开标。</w:t>
      </w:r>
      <w:bookmarkEnd w:id="180"/>
      <w:bookmarkEnd w:id="181"/>
      <w:bookmarkEnd w:id="182"/>
      <w:bookmarkEnd w:id="18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4" w:name="_Toc445473533"/>
      <w:bookmarkStart w:id="185" w:name="_Toc504479693"/>
      <w:bookmarkStart w:id="186" w:name="_Toc504479242"/>
      <w:bookmarkStart w:id="187" w:name="_Toc504654728"/>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2.4介绍到会监督部门代表、采购人代表及投标人。</w:t>
      </w:r>
      <w:bookmarkEnd w:id="184"/>
      <w:bookmarkEnd w:id="185"/>
      <w:bookmarkEnd w:id="186"/>
      <w:bookmarkEnd w:id="18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8" w:name="_Toc504479243"/>
      <w:bookmarkStart w:id="189" w:name="_Toc445473534"/>
      <w:bookmarkStart w:id="190" w:name="_Toc504654729"/>
      <w:bookmarkStart w:id="191" w:name="_Toc504479694"/>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2.5由投标人与监督部门同时检查磋商响应文件密封情况，并宣布检查结果。</w:t>
      </w:r>
      <w:bookmarkEnd w:id="188"/>
      <w:bookmarkEnd w:id="189"/>
      <w:bookmarkEnd w:id="190"/>
      <w:bookmarkEnd w:id="19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2" w:name="_Toc445473535"/>
      <w:bookmarkStart w:id="193" w:name="_Toc504654730"/>
      <w:bookmarkStart w:id="194" w:name="_Toc504479244"/>
      <w:bookmarkStart w:id="195" w:name="_Toc504479695"/>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2.6唱标并制作开标记录表。</w:t>
      </w:r>
      <w:bookmarkEnd w:id="192"/>
      <w:bookmarkEnd w:id="193"/>
      <w:bookmarkEnd w:id="194"/>
      <w:bookmarkEnd w:id="19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6" w:name="_Toc504479696"/>
      <w:bookmarkStart w:id="197" w:name="_Toc504654731"/>
      <w:bookmarkStart w:id="198" w:name="_Toc445473536"/>
      <w:bookmarkStart w:id="199" w:name="_Toc504479245"/>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2.7宣布暂时休会，转入评标程序。</w:t>
      </w:r>
      <w:bookmarkEnd w:id="196"/>
      <w:bookmarkEnd w:id="197"/>
      <w:bookmarkEnd w:id="198"/>
      <w:bookmarkEnd w:id="199"/>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0" w:name="_Toc504479697"/>
      <w:bookmarkStart w:id="201" w:name="_Toc504654732"/>
      <w:bookmarkStart w:id="202" w:name="_Toc504479246"/>
      <w:bookmarkStart w:id="203" w:name="_Toc445473537"/>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2.8开标会议结束。</w:t>
      </w:r>
      <w:bookmarkEnd w:id="200"/>
      <w:bookmarkEnd w:id="201"/>
      <w:bookmarkEnd w:id="202"/>
      <w:bookmarkEnd w:id="20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04" w:name="_Toc445473538"/>
      <w:bookmarkStart w:id="205" w:name="_Toc504479698"/>
      <w:bookmarkStart w:id="206" w:name="_Toc504479247"/>
      <w:bookmarkStart w:id="207" w:name="_Toc504654733"/>
      <w:r>
        <w:rPr>
          <w:rFonts w:hint="eastAsia" w:ascii="宋体" w:hAnsi="宋体" w:cs="宋体"/>
          <w:b w:val="0"/>
          <w:bCs w:val="0"/>
          <w:color w:val="auto"/>
          <w:kern w:val="2"/>
          <w:sz w:val="24"/>
          <w:szCs w:val="24"/>
          <w:highlight w:val="none"/>
          <w:lang w:val="en-US" w:eastAsia="zh-CN"/>
        </w:rPr>
        <w:t>5.</w:t>
      </w:r>
      <w:r>
        <w:rPr>
          <w:rFonts w:hint="eastAsia" w:ascii="宋体" w:hAnsi="宋体" w:cs="宋体"/>
          <w:b w:val="0"/>
          <w:bCs w:val="0"/>
          <w:color w:val="auto"/>
          <w:kern w:val="2"/>
          <w:sz w:val="24"/>
          <w:szCs w:val="24"/>
          <w:highlight w:val="none"/>
          <w:lang w:val="zh-CN" w:eastAsia="zh-CN"/>
        </w:rPr>
        <w:t>3</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不予接收的</w:t>
      </w:r>
      <w:bookmarkEnd w:id="204"/>
      <w:bookmarkEnd w:id="205"/>
      <w:bookmarkEnd w:id="206"/>
      <w:bookmarkEnd w:id="207"/>
      <w:r>
        <w:rPr>
          <w:rFonts w:hint="eastAsia" w:ascii="宋体" w:hAnsi="宋体" w:cs="宋体"/>
          <w:b w:val="0"/>
          <w:bCs w:val="0"/>
          <w:color w:val="auto"/>
          <w:kern w:val="2"/>
          <w:sz w:val="24"/>
          <w:szCs w:val="24"/>
          <w:highlight w:val="none"/>
          <w:lang w:val="zh-CN" w:eastAsia="zh-CN"/>
        </w:rPr>
        <w:t>磋商响应文件</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8" w:name="_Toc504654734"/>
      <w:bookmarkStart w:id="209" w:name="_Toc445473539"/>
      <w:bookmarkStart w:id="210" w:name="_Toc504479248"/>
      <w:bookmarkStart w:id="211" w:name="_Toc504479699"/>
      <w:r>
        <w:rPr>
          <w:rFonts w:hint="eastAsia" w:ascii="宋体" w:hAnsi="宋体" w:eastAsia="宋体" w:cs="宋体"/>
          <w:b w:val="0"/>
          <w:bCs w:val="0"/>
          <w:color w:val="auto"/>
          <w:kern w:val="2"/>
          <w:sz w:val="24"/>
          <w:szCs w:val="24"/>
          <w:highlight w:val="none"/>
          <w:lang w:val="en-US" w:eastAsia="zh-CN"/>
        </w:rPr>
        <w:t>5.3.1</w:t>
      </w:r>
      <w:r>
        <w:rPr>
          <w:rFonts w:hint="eastAsia" w:ascii="宋体" w:hAnsi="宋体" w:eastAsia="宋体" w:cs="宋体"/>
          <w:b w:val="0"/>
          <w:bCs w:val="0"/>
          <w:color w:val="auto"/>
          <w:kern w:val="2"/>
          <w:sz w:val="24"/>
          <w:szCs w:val="24"/>
          <w:highlight w:val="none"/>
          <w:lang w:val="zh-CN" w:eastAsia="zh-CN"/>
        </w:rPr>
        <w:t>磋商响应文件有下列情况之一者将被视为无效：</w:t>
      </w:r>
      <w:bookmarkEnd w:id="208"/>
      <w:bookmarkEnd w:id="209"/>
      <w:bookmarkEnd w:id="210"/>
      <w:bookmarkEnd w:id="211"/>
      <w:bookmarkStart w:id="212" w:name="_Toc504479700"/>
      <w:bookmarkStart w:id="213" w:name="_Toc504479249"/>
      <w:bookmarkStart w:id="214" w:name="_Toc445473540"/>
      <w:bookmarkStart w:id="215" w:name="_Toc50465473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磋商响应文件未按规定密封</w:t>
      </w:r>
      <w:bookmarkEnd w:id="212"/>
      <w:bookmarkEnd w:id="213"/>
      <w:bookmarkEnd w:id="214"/>
      <w:bookmarkEnd w:id="215"/>
      <w:bookmarkStart w:id="216" w:name="_Toc445473541"/>
      <w:bookmarkStart w:id="217" w:name="_Toc504654736"/>
      <w:bookmarkStart w:id="218" w:name="_Toc504479701"/>
      <w:bookmarkStart w:id="219" w:name="_Toc504479250"/>
      <w:r>
        <w:rPr>
          <w:rFonts w:hint="eastAsia" w:ascii="宋体"/>
          <w:color w:val="auto"/>
          <w:sz w:val="24"/>
          <w:highlight w:val="none"/>
          <w:lang w:val="zh-CN"/>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（2）投标截止时间以后送达的</w:t>
      </w:r>
      <w:bookmarkEnd w:id="216"/>
      <w:bookmarkEnd w:id="217"/>
      <w:bookmarkEnd w:id="218"/>
      <w:bookmarkEnd w:id="219"/>
      <w:r>
        <w:rPr>
          <w:rFonts w:hint="eastAsia" w:ascii="宋体"/>
          <w:color w:val="auto"/>
          <w:sz w:val="24"/>
          <w:highlight w:val="none"/>
          <w:lang w:val="zh-CN"/>
        </w:rPr>
        <w:t>磋商响应文件；</w:t>
      </w:r>
      <w:bookmarkStart w:id="220" w:name="_Toc445473542"/>
      <w:bookmarkStart w:id="221" w:name="_Toc504479251"/>
      <w:bookmarkStart w:id="222" w:name="_Toc504654737"/>
      <w:bookmarkStart w:id="223" w:name="_Toc50447970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bCs/>
          <w:color w:val="auto"/>
          <w:sz w:val="28"/>
          <w:szCs w:val="28"/>
          <w:highlight w:val="none"/>
          <w:lang w:val="zh-CN"/>
        </w:rPr>
      </w:pPr>
      <w:r>
        <w:rPr>
          <w:rFonts w:hint="eastAsia" w:ascii="宋体"/>
          <w:color w:val="auto"/>
          <w:sz w:val="24"/>
          <w:highlight w:val="none"/>
          <w:lang w:val="zh-CN"/>
        </w:rPr>
        <w:t>（3）没按规定递交磋商保证金的。</w:t>
      </w:r>
      <w:bookmarkEnd w:id="220"/>
      <w:bookmarkEnd w:id="221"/>
      <w:bookmarkEnd w:id="222"/>
      <w:bookmarkEnd w:id="223"/>
      <w:bookmarkStart w:id="224" w:name="_Toc504654738"/>
      <w:bookmarkStart w:id="225" w:name="_Toc445473543"/>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六、评标机构</w:t>
      </w:r>
      <w:bookmarkEnd w:id="224"/>
      <w:bookmarkEnd w:id="22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26" w:name="_Toc504479253"/>
      <w:bookmarkStart w:id="227" w:name="_Toc445473544"/>
      <w:bookmarkStart w:id="228" w:name="_Toc504654739"/>
      <w:bookmarkStart w:id="229" w:name="_Toc504479704"/>
      <w:r>
        <w:rPr>
          <w:rFonts w:hint="eastAsia" w:ascii="宋体" w:hAnsi="宋体" w:cs="宋体"/>
          <w:b w:val="0"/>
          <w:bCs w:val="0"/>
          <w:color w:val="auto"/>
          <w:kern w:val="2"/>
          <w:sz w:val="24"/>
          <w:szCs w:val="24"/>
          <w:highlight w:val="none"/>
          <w:lang w:val="en-US" w:eastAsia="zh-CN"/>
        </w:rPr>
        <w:t>6.1 磋商小组成员</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6.1.1</w:t>
      </w:r>
      <w:r>
        <w:rPr>
          <w:rFonts w:hint="eastAsia" w:ascii="宋体" w:hAnsi="宋体" w:eastAsia="宋体" w:cs="宋体"/>
          <w:b w:val="0"/>
          <w:bCs w:val="0"/>
          <w:color w:val="auto"/>
          <w:kern w:val="2"/>
          <w:sz w:val="24"/>
          <w:szCs w:val="24"/>
          <w:highlight w:val="none"/>
          <w:lang w:val="zh-CN" w:eastAsia="zh-CN"/>
        </w:rPr>
        <w:t>本项目磋商小组由有关经济、技术方面专家</w:t>
      </w: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zh-CN" w:eastAsia="zh-CN"/>
        </w:rPr>
        <w:t>人组成</w:t>
      </w:r>
      <w:r>
        <w:rPr>
          <w:rFonts w:hint="eastAsia" w:ascii="宋体" w:hAnsi="宋体" w:cs="宋体"/>
          <w:b w:val="0"/>
          <w:bCs w:val="0"/>
          <w:color w:val="auto"/>
          <w:kern w:val="2"/>
          <w:sz w:val="24"/>
          <w:szCs w:val="24"/>
          <w:highlight w:val="none"/>
          <w:lang w:val="zh-CN" w:eastAsia="zh-CN"/>
        </w:rPr>
        <w:t>。</w:t>
      </w:r>
    </w:p>
    <w:bookmarkEnd w:id="226"/>
    <w:bookmarkEnd w:id="227"/>
    <w:bookmarkEnd w:id="228"/>
    <w:bookmarkEnd w:id="229"/>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0" w:name="_Toc504479705"/>
      <w:bookmarkStart w:id="231" w:name="_Toc504479254"/>
      <w:bookmarkStart w:id="232" w:name="_Toc445473545"/>
      <w:bookmarkStart w:id="233" w:name="_Toc504654740"/>
      <w:r>
        <w:rPr>
          <w:rFonts w:hint="eastAsia" w:ascii="宋体" w:hAnsi="宋体" w:eastAsia="宋体" w:cs="宋体"/>
          <w:b w:val="0"/>
          <w:bCs w:val="0"/>
          <w:color w:val="auto"/>
          <w:kern w:val="2"/>
          <w:sz w:val="24"/>
          <w:szCs w:val="24"/>
          <w:highlight w:val="none"/>
          <w:lang w:val="en-US" w:eastAsia="zh-CN"/>
        </w:rPr>
        <w:t>6.1.2</w:t>
      </w:r>
      <w:r>
        <w:rPr>
          <w:rFonts w:hint="eastAsia" w:ascii="宋体" w:hAnsi="宋体" w:eastAsia="宋体" w:cs="宋体"/>
          <w:b w:val="0"/>
          <w:bCs w:val="0"/>
          <w:color w:val="auto"/>
          <w:kern w:val="2"/>
          <w:sz w:val="24"/>
          <w:szCs w:val="24"/>
          <w:highlight w:val="none"/>
          <w:lang w:val="zh-CN" w:eastAsia="zh-CN"/>
        </w:rPr>
        <w:t>磋商小组成员由</w:t>
      </w:r>
      <w:bookmarkEnd w:id="230"/>
      <w:bookmarkEnd w:id="231"/>
      <w:bookmarkEnd w:id="232"/>
      <w:bookmarkEnd w:id="233"/>
      <w:r>
        <w:rPr>
          <w:rFonts w:hint="eastAsia" w:ascii="宋体" w:hAnsi="宋体" w:eastAsia="宋体" w:cs="宋体"/>
          <w:b w:val="0"/>
          <w:bCs w:val="0"/>
          <w:color w:val="auto"/>
          <w:kern w:val="2"/>
          <w:sz w:val="24"/>
          <w:szCs w:val="24"/>
          <w:highlight w:val="none"/>
          <w:lang w:val="zh-CN" w:eastAsia="zh-CN"/>
        </w:rPr>
        <w:t>采购人在有关部门的监督下从政采云系统专家库中随机抽取。</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4" w:name="_Toc445473546"/>
      <w:bookmarkStart w:id="235" w:name="_Toc504479706"/>
      <w:bookmarkStart w:id="236" w:name="_Toc504654741"/>
      <w:bookmarkStart w:id="237" w:name="_Toc504479255"/>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3磋商小组在开标当天组建，其名单在评标结果确定前严格保密。</w:t>
      </w:r>
      <w:bookmarkEnd w:id="234"/>
      <w:bookmarkEnd w:id="235"/>
      <w:bookmarkEnd w:id="236"/>
      <w:bookmarkEnd w:id="23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8" w:name="_Toc504654742"/>
      <w:bookmarkStart w:id="239" w:name="_Toc445473547"/>
      <w:bookmarkStart w:id="240" w:name="_Toc504479256"/>
      <w:bookmarkStart w:id="241" w:name="_Toc504479707"/>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4与投标人有利害关系的人应回避，不得进入磋商小组。</w:t>
      </w:r>
      <w:bookmarkEnd w:id="238"/>
      <w:bookmarkEnd w:id="239"/>
      <w:bookmarkEnd w:id="240"/>
      <w:bookmarkEnd w:id="24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42" w:name="_Toc504654743"/>
      <w:bookmarkStart w:id="243" w:name="_Toc504479708"/>
      <w:bookmarkStart w:id="244" w:name="_Toc445473548"/>
      <w:bookmarkStart w:id="245" w:name="_Toc504479257"/>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5磋商小组成员应当客观、公正地履行职务，遵守职业道德，对所提出的评审意见承担个人责任。</w:t>
      </w:r>
      <w:bookmarkEnd w:id="242"/>
      <w:bookmarkEnd w:id="243"/>
      <w:bookmarkEnd w:id="244"/>
      <w:bookmarkEnd w:id="24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46" w:name="_Toc504654744"/>
      <w:bookmarkStart w:id="247" w:name="_Toc445473549"/>
      <w:bookmarkStart w:id="248" w:name="_Toc504479258"/>
      <w:bookmarkStart w:id="249" w:name="_Toc504479709"/>
      <w:r>
        <w:rPr>
          <w:rFonts w:hint="eastAsia" w:ascii="宋体" w:hAnsi="宋体" w:cs="宋体"/>
          <w:b w:val="0"/>
          <w:bCs w:val="0"/>
          <w:color w:val="auto"/>
          <w:kern w:val="2"/>
          <w:sz w:val="24"/>
          <w:szCs w:val="24"/>
          <w:highlight w:val="none"/>
          <w:lang w:val="en-US" w:eastAsia="zh-CN"/>
        </w:rPr>
        <w:t>6.2 评标</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6.2.1评标原则</w:t>
      </w:r>
      <w:bookmarkEnd w:id="246"/>
      <w:bookmarkEnd w:id="247"/>
      <w:bookmarkEnd w:id="248"/>
      <w:bookmarkEnd w:id="249"/>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color w:val="auto"/>
          <w:sz w:val="24"/>
          <w:szCs w:val="24"/>
          <w:highlight w:val="none"/>
        </w:rPr>
      </w:pPr>
      <w:bookmarkStart w:id="250" w:name="_Toc504654745"/>
      <w:bookmarkStart w:id="251" w:name="_Toc445473550"/>
      <w:bookmarkStart w:id="252" w:name="_Toc504479259"/>
      <w:bookmarkStart w:id="253" w:name="_Toc504479710"/>
      <w:r>
        <w:rPr>
          <w:rFonts w:hint="eastAsia" w:ascii="宋体" w:hAnsi="宋体" w:eastAsia="宋体" w:cs="宋体"/>
          <w:b w:val="0"/>
          <w:color w:val="auto"/>
          <w:sz w:val="24"/>
          <w:szCs w:val="24"/>
          <w:highlight w:val="none"/>
        </w:rPr>
        <w:t>评标活动遵循公平、公正、科学和择优的原则。</w:t>
      </w:r>
      <w:bookmarkEnd w:id="250"/>
      <w:bookmarkEnd w:id="251"/>
      <w:bookmarkEnd w:id="252"/>
      <w:bookmarkEnd w:id="25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254" w:name="_Toc504479260"/>
      <w:bookmarkStart w:id="255" w:name="_Toc504654746"/>
      <w:bookmarkStart w:id="256" w:name="_Toc445473551"/>
      <w:bookmarkStart w:id="257" w:name="_Toc504479711"/>
      <w:r>
        <w:rPr>
          <w:rFonts w:hint="eastAsia" w:ascii="宋体" w:hAnsi="宋体" w:eastAsia="宋体" w:cs="宋体"/>
          <w:b w:val="0"/>
          <w:bCs w:val="0"/>
          <w:color w:val="auto"/>
          <w:kern w:val="2"/>
          <w:sz w:val="24"/>
          <w:szCs w:val="24"/>
          <w:highlight w:val="none"/>
          <w:lang w:val="en-US" w:eastAsia="zh-CN"/>
        </w:rPr>
        <w:t>6.2.2评标</w:t>
      </w:r>
      <w:bookmarkEnd w:id="254"/>
      <w:bookmarkEnd w:id="255"/>
      <w:bookmarkEnd w:id="256"/>
      <w:bookmarkEnd w:id="257"/>
      <w:r>
        <w:rPr>
          <w:rFonts w:hint="eastAsia" w:ascii="宋体" w:hAnsi="宋体" w:eastAsia="宋体" w:cs="宋体"/>
          <w:b w:val="0"/>
          <w:bCs w:val="0"/>
          <w:color w:val="auto"/>
          <w:kern w:val="2"/>
          <w:sz w:val="24"/>
          <w:szCs w:val="24"/>
          <w:highlight w:val="none"/>
          <w:lang w:val="en-US" w:eastAsia="zh-CN"/>
        </w:rPr>
        <w:t>过程</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58" w:name="_Toc435021141"/>
      <w:bookmarkStart w:id="259" w:name="_Toc429224711"/>
      <w:bookmarkStart w:id="260" w:name="_Toc445473552"/>
      <w:bookmarkStart w:id="261" w:name="_Toc504479261"/>
      <w:bookmarkStart w:id="262" w:name="_Toc504479712"/>
      <w:bookmarkStart w:id="263" w:name="_Toc504654747"/>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磋商小组按照“评标办法”规定的方法、评审因素、标准和程序对磋商响应文件进行评审。</w:t>
      </w:r>
      <w:bookmarkEnd w:id="258"/>
      <w:bookmarkEnd w:id="259"/>
      <w:r>
        <w:rPr>
          <w:rFonts w:hint="eastAsia" w:ascii="宋体"/>
          <w:color w:val="auto"/>
          <w:sz w:val="24"/>
          <w:highlight w:val="none"/>
          <w:lang w:val="zh-CN"/>
        </w:rPr>
        <w:t>“评标办法”中没有规定的方法、评审因素和标准，不作为评标依据。</w:t>
      </w:r>
      <w:bookmarkEnd w:id="260"/>
      <w:bookmarkEnd w:id="261"/>
      <w:bookmarkEnd w:id="262"/>
      <w:bookmarkEnd w:id="263"/>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64" w:name="_Toc504479262"/>
      <w:bookmarkStart w:id="265" w:name="_Toc445473553"/>
      <w:bookmarkStart w:id="266" w:name="_Toc504654748"/>
      <w:bookmarkStart w:id="267" w:name="_Toc504479713"/>
      <w:r>
        <w:rPr>
          <w:rFonts w:hint="eastAsia" w:ascii="宋体"/>
          <w:color w:val="auto"/>
          <w:sz w:val="24"/>
          <w:highlight w:val="none"/>
          <w:lang w:eastAsia="zh-CN"/>
        </w:rPr>
        <w:t>（</w:t>
      </w:r>
      <w:r>
        <w:rPr>
          <w:rFonts w:hint="eastAsia" w:ascii="宋体"/>
          <w:color w:val="auto"/>
          <w:sz w:val="24"/>
          <w:highlight w:val="none"/>
          <w:lang w:val="en-US" w:eastAsia="zh-CN"/>
        </w:rPr>
        <w:t>2）</w:t>
      </w:r>
      <w:r>
        <w:rPr>
          <w:rFonts w:hint="eastAsia" w:ascii="宋体"/>
          <w:color w:val="auto"/>
          <w:sz w:val="24"/>
          <w:highlight w:val="none"/>
          <w:lang w:eastAsia="zh-CN"/>
        </w:rPr>
        <w:t>磋商响应文件</w:t>
      </w:r>
      <w:r>
        <w:rPr>
          <w:rFonts w:hint="eastAsia" w:ascii="宋体"/>
          <w:color w:val="auto"/>
          <w:sz w:val="24"/>
          <w:highlight w:val="none"/>
        </w:rPr>
        <w:t>有下列情形之一的，按废标处理：</w:t>
      </w:r>
      <w:bookmarkEnd w:id="264"/>
      <w:bookmarkEnd w:id="265"/>
      <w:bookmarkEnd w:id="266"/>
      <w:bookmarkEnd w:id="26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68" w:name="_Toc504654749"/>
      <w:bookmarkStart w:id="269" w:name="_Toc504479714"/>
      <w:bookmarkStart w:id="270" w:name="_Toc445473554"/>
      <w:bookmarkStart w:id="271" w:name="_Toc504479263"/>
      <w:r>
        <w:rPr>
          <w:rFonts w:hint="eastAsia" w:ascii="宋体"/>
          <w:color w:val="auto"/>
          <w:sz w:val="24"/>
          <w:highlight w:val="none"/>
          <w:lang w:eastAsia="zh-CN"/>
        </w:rPr>
        <w:t>1）磋商响应文件中的投标函未加盖投标人公章和法定代表人或被委托人签字的；</w:t>
      </w:r>
      <w:bookmarkEnd w:id="268"/>
      <w:bookmarkEnd w:id="269"/>
      <w:bookmarkEnd w:id="270"/>
      <w:bookmarkEnd w:id="27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2" w:name="_Toc445473555"/>
      <w:bookmarkStart w:id="273" w:name="_Toc504479264"/>
      <w:bookmarkStart w:id="274" w:name="_Toc504479715"/>
      <w:bookmarkStart w:id="275" w:name="_Toc504654750"/>
      <w:r>
        <w:rPr>
          <w:rFonts w:hint="eastAsia" w:ascii="宋体"/>
          <w:color w:val="auto"/>
          <w:sz w:val="24"/>
          <w:highlight w:val="none"/>
          <w:lang w:eastAsia="zh-CN"/>
        </w:rPr>
        <w:t>2）磋商响应文件中载明的技术标准和资格文件等不符合竞争性磋商文件的要求；</w:t>
      </w:r>
      <w:bookmarkEnd w:id="272"/>
      <w:bookmarkEnd w:id="273"/>
      <w:bookmarkEnd w:id="274"/>
      <w:bookmarkEnd w:id="275"/>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6" w:name="_Toc504479265"/>
      <w:bookmarkStart w:id="277" w:name="_Toc504654751"/>
      <w:bookmarkStart w:id="278" w:name="_Toc445473556"/>
      <w:bookmarkStart w:id="279" w:name="_Toc504479716"/>
      <w:r>
        <w:rPr>
          <w:rFonts w:hint="eastAsia" w:ascii="宋体"/>
          <w:color w:val="auto"/>
          <w:sz w:val="24"/>
          <w:highlight w:val="none"/>
          <w:lang w:eastAsia="zh-CN"/>
        </w:rPr>
        <w:t>3）</w:t>
      </w:r>
      <w:r>
        <w:rPr>
          <w:rFonts w:hint="eastAsia" w:ascii="宋体"/>
          <w:color w:val="auto"/>
          <w:sz w:val="24"/>
          <w:highlight w:val="none"/>
          <w:lang w:val="zh-CN" w:eastAsia="zh-CN"/>
        </w:rPr>
        <w:t>磋商响应文件中有两个或两个以上报价的；</w:t>
      </w:r>
      <w:bookmarkEnd w:id="276"/>
      <w:bookmarkEnd w:id="277"/>
      <w:bookmarkEnd w:id="278"/>
      <w:bookmarkEnd w:id="279"/>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80" w:name="_Toc504479717"/>
      <w:bookmarkStart w:id="281" w:name="_Toc445473557"/>
      <w:bookmarkStart w:id="282" w:name="_Toc504654752"/>
      <w:bookmarkStart w:id="283" w:name="_Toc504479266"/>
      <w:r>
        <w:rPr>
          <w:rFonts w:hint="eastAsia" w:ascii="宋体"/>
          <w:color w:val="auto"/>
          <w:sz w:val="24"/>
          <w:highlight w:val="none"/>
          <w:lang w:eastAsia="zh-CN"/>
        </w:rPr>
        <w:t>4）</w:t>
      </w:r>
      <w:r>
        <w:rPr>
          <w:rFonts w:hint="eastAsia" w:ascii="宋体"/>
          <w:color w:val="auto"/>
          <w:sz w:val="24"/>
          <w:highlight w:val="none"/>
          <w:lang w:val="zh-CN" w:eastAsia="zh-CN"/>
        </w:rPr>
        <w:t>磋商响应文件的关键内容字迹模糊、无法辨认的；</w:t>
      </w:r>
      <w:bookmarkEnd w:id="280"/>
      <w:bookmarkEnd w:id="281"/>
      <w:bookmarkEnd w:id="282"/>
      <w:bookmarkEnd w:id="283"/>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84" w:name="_Toc504479267"/>
      <w:bookmarkStart w:id="285" w:name="_Toc504654753"/>
      <w:bookmarkStart w:id="286" w:name="_Toc445473558"/>
      <w:bookmarkStart w:id="287" w:name="_Toc504479718"/>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磋商响应文件未按投标人须知中“磋商响应文件密封与标志”规定密封、标记的；</w:t>
      </w:r>
      <w:bookmarkEnd w:id="284"/>
      <w:bookmarkEnd w:id="285"/>
      <w:bookmarkEnd w:id="286"/>
      <w:bookmarkEnd w:id="28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88" w:name="_Toc504479268"/>
      <w:bookmarkStart w:id="289" w:name="_Toc445473559"/>
      <w:bookmarkStart w:id="290" w:name="_Toc504479719"/>
      <w:bookmarkStart w:id="291" w:name="_Toc504654754"/>
      <w:r>
        <w:rPr>
          <w:rFonts w:hint="eastAsia" w:ascii="宋体"/>
          <w:color w:val="auto"/>
          <w:sz w:val="24"/>
          <w:highlight w:val="none"/>
          <w:lang w:eastAsia="zh-CN"/>
        </w:rPr>
        <w:t>6）磋商响应文件附有采购人不能接受的条件的；</w:t>
      </w:r>
      <w:bookmarkEnd w:id="288"/>
      <w:bookmarkEnd w:id="289"/>
      <w:bookmarkEnd w:id="290"/>
      <w:bookmarkEnd w:id="291"/>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92" w:name="_Toc504654755"/>
      <w:bookmarkStart w:id="293" w:name="_Toc445473560"/>
      <w:bookmarkStart w:id="294" w:name="_Toc504479720"/>
      <w:bookmarkStart w:id="295" w:name="_Toc504479269"/>
      <w:r>
        <w:rPr>
          <w:rFonts w:hint="eastAsia" w:ascii="宋体"/>
          <w:color w:val="auto"/>
          <w:sz w:val="24"/>
          <w:highlight w:val="none"/>
          <w:lang w:eastAsia="zh-CN"/>
        </w:rPr>
        <w:t>7）</w:t>
      </w:r>
      <w:r>
        <w:rPr>
          <w:rFonts w:hint="eastAsia" w:ascii="宋体"/>
          <w:color w:val="auto"/>
          <w:sz w:val="24"/>
          <w:highlight w:val="none"/>
          <w:lang w:val="zh-CN" w:eastAsia="zh-CN"/>
        </w:rPr>
        <w:t>不符合竞争性磋商文件中规定的其他实质性要求的。</w:t>
      </w:r>
      <w:bookmarkEnd w:id="292"/>
      <w:bookmarkEnd w:id="293"/>
      <w:bookmarkEnd w:id="294"/>
      <w:bookmarkEnd w:id="29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6.3 磋商程序</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6.3.1经审查合格的磋商响应文件，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变动磋商文件中的其他内容。实质性变动的内容，须经采购人代表确认。</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6.3.2对竞争性磋商文件作出的实质性变动是竞争性磋商文件的有效组成部分，磋商小组将及时以书面形式同时通知所有参加磋商的投标人。</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6.3.3磋商结束后，磋商小组将要求所有实质性响应的投标人在规定时间内提交二次报价，提交二次报价的投标人不得少于3家。二次报价是投标人磋商响应文件的有效组成部分。</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6.3.4已提交磋商响应文件的投标人，在提交二次报价之前，可以根据磋商情况退出磋商。采购人、采购代理机构将退还退出磋商的投标人的磋商保证金。</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6.3.5经磋商确定最终采购需求和提交二次报价的投标人后，由磋商小组采用综合评</w:t>
      </w:r>
      <w:r>
        <w:rPr>
          <w:rFonts w:hint="eastAsia" w:ascii="宋体" w:hAnsi="宋体" w:cs="宋体"/>
          <w:b w:val="0"/>
          <w:bCs w:val="0"/>
          <w:color w:val="auto"/>
          <w:kern w:val="2"/>
          <w:sz w:val="24"/>
          <w:szCs w:val="24"/>
          <w:highlight w:val="none"/>
          <w:lang w:val="en-US" w:eastAsia="zh-CN"/>
        </w:rPr>
        <w:t>分</w:t>
      </w:r>
      <w:r>
        <w:rPr>
          <w:rFonts w:hint="eastAsia" w:ascii="宋体" w:hAnsi="宋体" w:eastAsia="宋体" w:cs="宋体"/>
          <w:b w:val="0"/>
          <w:bCs w:val="0"/>
          <w:color w:val="auto"/>
          <w:kern w:val="2"/>
          <w:sz w:val="24"/>
          <w:szCs w:val="24"/>
          <w:highlight w:val="none"/>
          <w:lang w:val="en-US" w:eastAsia="zh-CN"/>
        </w:rPr>
        <w:t>法对提交二次报价的投标人的磋商响应文件和二次报价进行综合评分。</w:t>
      </w:r>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bookmarkStart w:id="296" w:name="_Toc504654756"/>
      <w:bookmarkStart w:id="297" w:name="_Toc445473561"/>
      <w:r>
        <w:rPr>
          <w:rFonts w:hint="eastAsia" w:ascii="宋体" w:hAnsi="宋体" w:eastAsia="宋体" w:cs="宋体"/>
          <w:b/>
          <w:bCs/>
          <w:color w:val="auto"/>
          <w:sz w:val="28"/>
          <w:szCs w:val="28"/>
          <w:highlight w:val="none"/>
          <w:lang w:val="zh-CN"/>
        </w:rPr>
        <w:t>七、合同授予</w:t>
      </w:r>
      <w:bookmarkEnd w:id="296"/>
      <w:bookmarkEnd w:id="29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98" w:name="_Toc504479724"/>
      <w:bookmarkStart w:id="299" w:name="_Toc504479272"/>
      <w:bookmarkStart w:id="300" w:name="_Toc504654757"/>
      <w:r>
        <w:rPr>
          <w:rFonts w:hint="eastAsia" w:ascii="宋体" w:hAnsi="宋体" w:cs="宋体"/>
          <w:b w:val="0"/>
          <w:bCs w:val="0"/>
          <w:color w:val="auto"/>
          <w:kern w:val="2"/>
          <w:sz w:val="24"/>
          <w:szCs w:val="24"/>
          <w:highlight w:val="none"/>
          <w:lang w:val="en-US" w:eastAsia="zh-CN"/>
        </w:rPr>
        <w:t xml:space="preserve">7.1 </w:t>
      </w:r>
      <w:r>
        <w:rPr>
          <w:rFonts w:hint="eastAsia" w:ascii="宋体" w:hAnsi="宋体" w:cs="宋体"/>
          <w:b w:val="0"/>
          <w:bCs w:val="0"/>
          <w:color w:val="auto"/>
          <w:kern w:val="2"/>
          <w:sz w:val="24"/>
          <w:szCs w:val="24"/>
          <w:highlight w:val="none"/>
          <w:lang w:val="zh-CN" w:eastAsia="zh-CN"/>
        </w:rPr>
        <w:t>评标结果异议：</w:t>
      </w:r>
      <w:bookmarkEnd w:id="298"/>
      <w:bookmarkEnd w:id="299"/>
      <w:bookmarkEnd w:id="300"/>
      <w:bookmarkStart w:id="301" w:name="_Toc504654758"/>
      <w:bookmarkStart w:id="302" w:name="_Toc504479725"/>
      <w:bookmarkStart w:id="303" w:name="_Toc50447927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7.1.1</w:t>
      </w:r>
      <w:r>
        <w:rPr>
          <w:rFonts w:hint="eastAsia" w:ascii="宋体" w:hAnsi="宋体" w:eastAsia="宋体" w:cs="宋体"/>
          <w:b w:val="0"/>
          <w:bCs w:val="0"/>
          <w:color w:val="auto"/>
          <w:kern w:val="2"/>
          <w:sz w:val="24"/>
          <w:szCs w:val="24"/>
          <w:highlight w:val="none"/>
          <w:lang w:val="zh-CN" w:eastAsia="zh-CN"/>
        </w:rPr>
        <w:t>投标人或者其他利害关系人对评标结果有异议的，应当在知道或者应知道起</w:t>
      </w:r>
      <w:r>
        <w:rPr>
          <w:rFonts w:hint="eastAsia" w:ascii="宋体" w:hAnsi="宋体" w:eastAsia="宋体" w:cs="宋体"/>
          <w:b w:val="0"/>
          <w:bCs w:val="0"/>
          <w:color w:val="auto"/>
          <w:kern w:val="2"/>
          <w:sz w:val="24"/>
          <w:szCs w:val="24"/>
          <w:highlight w:val="none"/>
          <w:lang w:val="en-US" w:eastAsia="zh-CN"/>
        </w:rPr>
        <w:t>7个工作日内，以书面的形式向采购人、采购代理机构</w:t>
      </w:r>
      <w:r>
        <w:rPr>
          <w:rFonts w:hint="eastAsia" w:ascii="宋体" w:hAnsi="宋体" w:eastAsia="宋体" w:cs="宋体"/>
          <w:b w:val="0"/>
          <w:bCs w:val="0"/>
          <w:color w:val="auto"/>
          <w:kern w:val="2"/>
          <w:sz w:val="24"/>
          <w:szCs w:val="24"/>
          <w:highlight w:val="none"/>
          <w:lang w:val="zh-CN" w:eastAsia="zh-CN"/>
        </w:rPr>
        <w:t>提出。采购人将在收到异议之日起3日内作出答复；作出答复前，将暂停采购活动。</w:t>
      </w:r>
      <w:bookmarkEnd w:id="301"/>
      <w:bookmarkEnd w:id="302"/>
      <w:bookmarkEnd w:id="30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04" w:name="_Toc504479274"/>
      <w:bookmarkStart w:id="305" w:name="_Toc504654759"/>
      <w:bookmarkStart w:id="306" w:name="_Toc504479726"/>
      <w:bookmarkStart w:id="307" w:name="_Toc445473562"/>
      <w:r>
        <w:rPr>
          <w:rFonts w:hint="eastAsia" w:ascii="宋体" w:hAnsi="宋体" w:cs="宋体"/>
          <w:b w:val="0"/>
          <w:bCs w:val="0"/>
          <w:color w:val="auto"/>
          <w:kern w:val="2"/>
          <w:sz w:val="24"/>
          <w:szCs w:val="24"/>
          <w:highlight w:val="none"/>
          <w:lang w:val="en-US" w:eastAsia="zh-CN"/>
        </w:rPr>
        <w:t>7.</w:t>
      </w:r>
      <w:r>
        <w:rPr>
          <w:rFonts w:hint="eastAsia" w:ascii="宋体" w:hAnsi="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定标方式</w:t>
      </w:r>
      <w:bookmarkEnd w:id="304"/>
      <w:bookmarkEnd w:id="305"/>
      <w:bookmarkEnd w:id="306"/>
      <w:bookmarkEnd w:id="30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08" w:name="_Toc504479727"/>
      <w:bookmarkStart w:id="309" w:name="_Toc504654760"/>
      <w:bookmarkStart w:id="310" w:name="_Toc504479275"/>
      <w:bookmarkStart w:id="311" w:name="_Toc445473563"/>
      <w:bookmarkStart w:id="312" w:name="_Toc435021152"/>
      <w:bookmarkStart w:id="313" w:name="_Toc429224722"/>
      <w:r>
        <w:rPr>
          <w:rFonts w:hint="eastAsia" w:ascii="宋体" w:hAnsi="宋体" w:cs="宋体"/>
          <w:b w:val="0"/>
          <w:bCs w:val="0"/>
          <w:color w:val="auto"/>
          <w:kern w:val="2"/>
          <w:sz w:val="24"/>
          <w:szCs w:val="24"/>
          <w:highlight w:val="none"/>
          <w:lang w:val="en-US" w:eastAsia="zh-CN"/>
        </w:rPr>
        <w:t>7.2.1</w:t>
      </w:r>
      <w:r>
        <w:rPr>
          <w:rFonts w:hint="eastAsia" w:ascii="宋体" w:hAnsi="宋体" w:eastAsia="宋体" w:cs="宋体"/>
          <w:b w:val="0"/>
          <w:bCs w:val="0"/>
          <w:color w:val="auto"/>
          <w:kern w:val="2"/>
          <w:sz w:val="24"/>
          <w:szCs w:val="24"/>
          <w:highlight w:val="none"/>
          <w:lang w:val="zh-CN" w:eastAsia="zh-CN"/>
        </w:rPr>
        <w:t>按照投标人须知前附表的规定，授权磋商小组确定成交商。</w:t>
      </w:r>
    </w:p>
    <w:bookmarkEnd w:id="308"/>
    <w:bookmarkEnd w:id="309"/>
    <w:bookmarkEnd w:id="310"/>
    <w:bookmarkEnd w:id="311"/>
    <w:bookmarkEnd w:id="312"/>
    <w:bookmarkEnd w:id="313"/>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14" w:name="_Toc504479728"/>
      <w:bookmarkStart w:id="315" w:name="_Toc504654761"/>
      <w:bookmarkStart w:id="316" w:name="_Toc445473564"/>
      <w:bookmarkStart w:id="317" w:name="_Toc504479276"/>
      <w:r>
        <w:rPr>
          <w:rFonts w:hint="eastAsia" w:ascii="宋体" w:hAnsi="宋体" w:cs="宋体"/>
          <w:b w:val="0"/>
          <w:bCs w:val="0"/>
          <w:color w:val="auto"/>
          <w:kern w:val="2"/>
          <w:sz w:val="24"/>
          <w:szCs w:val="24"/>
          <w:highlight w:val="none"/>
          <w:lang w:val="en-US" w:eastAsia="zh-CN"/>
        </w:rPr>
        <w:t>7.3</w:t>
      </w:r>
      <w:bookmarkEnd w:id="314"/>
      <w:bookmarkEnd w:id="315"/>
      <w:bookmarkEnd w:id="316"/>
      <w:bookmarkEnd w:id="317"/>
      <w:r>
        <w:rPr>
          <w:rFonts w:hint="eastAsia" w:ascii="宋体" w:hAnsi="宋体" w:cs="宋体"/>
          <w:b w:val="0"/>
          <w:bCs w:val="0"/>
          <w:color w:val="auto"/>
          <w:kern w:val="2"/>
          <w:sz w:val="24"/>
          <w:szCs w:val="24"/>
          <w:highlight w:val="none"/>
          <w:lang w:val="en-US" w:eastAsia="zh-CN"/>
        </w:rPr>
        <w:t xml:space="preserve"> 成交通知书</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18" w:name="_Toc445473565"/>
      <w:bookmarkStart w:id="319" w:name="_Toc504654762"/>
      <w:bookmarkStart w:id="320" w:name="_Toc504479277"/>
      <w:bookmarkStart w:id="321" w:name="_Toc504479729"/>
      <w:r>
        <w:rPr>
          <w:rFonts w:hint="eastAsia" w:ascii="宋体" w:hAnsi="宋体" w:cs="宋体"/>
          <w:b w:val="0"/>
          <w:bCs w:val="0"/>
          <w:color w:val="auto"/>
          <w:kern w:val="2"/>
          <w:sz w:val="24"/>
          <w:szCs w:val="24"/>
          <w:highlight w:val="none"/>
          <w:lang w:val="en-US" w:eastAsia="zh-CN"/>
        </w:rPr>
        <w:t>7.3.1</w:t>
      </w:r>
      <w:r>
        <w:rPr>
          <w:rFonts w:hint="eastAsia" w:ascii="宋体" w:hAnsi="宋体" w:eastAsia="宋体" w:cs="宋体"/>
          <w:b w:val="0"/>
          <w:bCs w:val="0"/>
          <w:color w:val="auto"/>
          <w:kern w:val="2"/>
          <w:sz w:val="24"/>
          <w:szCs w:val="24"/>
          <w:highlight w:val="none"/>
          <w:lang w:val="zh-CN" w:eastAsia="zh-CN"/>
        </w:rPr>
        <w:t>在采购人规定的原投标有效期截止前，采购人将以书面形式通知成交商，并写明采购人对</w:t>
      </w:r>
      <w:r>
        <w:rPr>
          <w:rFonts w:hint="eastAsia" w:ascii="宋体" w:hAnsi="宋体" w:cs="宋体"/>
          <w:b w:val="0"/>
          <w:bCs w:val="0"/>
          <w:color w:val="auto"/>
          <w:kern w:val="2"/>
          <w:sz w:val="24"/>
          <w:szCs w:val="24"/>
          <w:highlight w:val="none"/>
          <w:lang w:val="zh-CN" w:eastAsia="zh-CN"/>
        </w:rPr>
        <w:t>成交</w:t>
      </w:r>
      <w:r>
        <w:rPr>
          <w:rFonts w:hint="eastAsia" w:ascii="宋体" w:hAnsi="宋体" w:eastAsia="宋体" w:cs="宋体"/>
          <w:b w:val="0"/>
          <w:bCs w:val="0"/>
          <w:color w:val="auto"/>
          <w:kern w:val="2"/>
          <w:sz w:val="24"/>
          <w:szCs w:val="24"/>
          <w:highlight w:val="none"/>
          <w:lang w:val="zh-CN" w:eastAsia="zh-CN"/>
        </w:rPr>
        <w:t>的支付总额（本竞争性磋商文件中称为“成交价格”）。</w:t>
      </w:r>
      <w:bookmarkEnd w:id="318"/>
      <w:bookmarkEnd w:id="319"/>
      <w:bookmarkEnd w:id="320"/>
      <w:bookmarkEnd w:id="32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22" w:name="_Toc445473569"/>
      <w:bookmarkStart w:id="323" w:name="_Toc504479281"/>
      <w:bookmarkStart w:id="324" w:name="_Toc504654766"/>
      <w:bookmarkStart w:id="325" w:name="_Toc504479733"/>
      <w:r>
        <w:rPr>
          <w:rFonts w:hint="eastAsia" w:ascii="宋体" w:hAnsi="宋体" w:cs="宋体"/>
          <w:b w:val="0"/>
          <w:bCs w:val="0"/>
          <w:color w:val="auto"/>
          <w:kern w:val="2"/>
          <w:sz w:val="24"/>
          <w:szCs w:val="24"/>
          <w:highlight w:val="none"/>
          <w:lang w:val="en-US" w:eastAsia="zh-CN"/>
        </w:rPr>
        <w:t>7.4 签订合同</w:t>
      </w:r>
      <w:bookmarkEnd w:id="322"/>
      <w:bookmarkEnd w:id="323"/>
      <w:bookmarkEnd w:id="324"/>
      <w:bookmarkEnd w:id="32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26" w:name="_Toc435021159"/>
      <w:bookmarkStart w:id="327" w:name="_Toc429224729"/>
      <w:bookmarkStart w:id="328" w:name="_Toc504479734"/>
      <w:bookmarkStart w:id="329" w:name="_Toc504479282"/>
      <w:bookmarkStart w:id="330" w:name="_Toc504654767"/>
      <w:bookmarkStart w:id="331" w:name="_Toc445473570"/>
      <w:r>
        <w:rPr>
          <w:rFonts w:hint="eastAsia" w:ascii="宋体" w:hAnsi="宋体" w:cs="宋体"/>
          <w:b w:val="0"/>
          <w:bCs w:val="0"/>
          <w:color w:val="auto"/>
          <w:kern w:val="2"/>
          <w:sz w:val="24"/>
          <w:szCs w:val="24"/>
          <w:highlight w:val="none"/>
          <w:lang w:val="en-US" w:eastAsia="zh-CN"/>
        </w:rPr>
        <w:t>7.4.1</w:t>
      </w:r>
      <w:r>
        <w:rPr>
          <w:rFonts w:hint="eastAsia" w:ascii="宋体" w:hAnsi="宋体" w:cs="宋体"/>
          <w:b w:val="0"/>
          <w:bCs w:val="0"/>
          <w:color w:val="auto"/>
          <w:kern w:val="2"/>
          <w:sz w:val="24"/>
          <w:szCs w:val="24"/>
          <w:highlight w:val="none"/>
          <w:lang w:val="zh-CN" w:eastAsia="zh-CN"/>
        </w:rPr>
        <w:t>采购人和成交商应当自成交通知书发出之日起30天内，根据竞争性磋商文件和成交商的磋商响应文件订立书面合同。成交商无正当理由拒签合同的，采购人取消其成交资格，其磋商保证金不予退还；</w:t>
      </w:r>
      <w:bookmarkEnd w:id="326"/>
      <w:bookmarkEnd w:id="327"/>
      <w:r>
        <w:rPr>
          <w:rFonts w:hint="eastAsia" w:ascii="宋体" w:hAnsi="宋体" w:cs="宋体"/>
          <w:b w:val="0"/>
          <w:bCs w:val="0"/>
          <w:color w:val="auto"/>
          <w:kern w:val="2"/>
          <w:sz w:val="24"/>
          <w:szCs w:val="24"/>
          <w:highlight w:val="none"/>
          <w:lang w:val="zh-CN" w:eastAsia="zh-CN"/>
        </w:rPr>
        <w:t>给采购人造成的损失超过磋商保证金数额的，成交商还应当对超过部分予以赔偿。</w:t>
      </w:r>
      <w:bookmarkEnd w:id="328"/>
      <w:bookmarkEnd w:id="329"/>
      <w:bookmarkEnd w:id="330"/>
      <w:bookmarkEnd w:id="33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color w:val="auto"/>
          <w:kern w:val="2"/>
          <w:sz w:val="30"/>
          <w:szCs w:val="30"/>
          <w:highlight w:val="none"/>
          <w:lang w:val="zh-CN"/>
        </w:rPr>
      </w:pPr>
      <w:bookmarkStart w:id="332" w:name="_Toc435021160"/>
      <w:bookmarkStart w:id="333" w:name="_Toc429224730"/>
      <w:bookmarkStart w:id="334" w:name="_Toc445473571"/>
      <w:bookmarkStart w:id="335" w:name="_Toc504479283"/>
      <w:bookmarkStart w:id="336" w:name="_Toc504654768"/>
      <w:bookmarkStart w:id="337" w:name="_Toc504479735"/>
      <w:r>
        <w:rPr>
          <w:rFonts w:hint="eastAsia" w:ascii="宋体" w:hAnsi="宋体" w:cs="宋体"/>
          <w:b w:val="0"/>
          <w:bCs w:val="0"/>
          <w:color w:val="auto"/>
          <w:kern w:val="2"/>
          <w:sz w:val="24"/>
          <w:szCs w:val="24"/>
          <w:highlight w:val="none"/>
          <w:lang w:val="en-US" w:eastAsia="zh-CN"/>
        </w:rPr>
        <w:t>7.4</w:t>
      </w:r>
      <w:r>
        <w:rPr>
          <w:rFonts w:hint="eastAsia" w:ascii="宋体" w:hAnsi="宋体" w:cs="宋体"/>
          <w:b w:val="0"/>
          <w:bCs w:val="0"/>
          <w:color w:val="auto"/>
          <w:kern w:val="2"/>
          <w:sz w:val="24"/>
          <w:szCs w:val="24"/>
          <w:highlight w:val="none"/>
          <w:lang w:val="zh-CN" w:eastAsia="zh-CN"/>
        </w:rPr>
        <w:t>.2发出成交通知书后，采购人无正当理由拒签合同的，采购人向成交商退还磋商保证金；</w:t>
      </w:r>
      <w:bookmarkEnd w:id="332"/>
      <w:bookmarkEnd w:id="333"/>
      <w:r>
        <w:rPr>
          <w:rFonts w:hint="eastAsia" w:ascii="宋体" w:hAnsi="宋体" w:cs="宋体"/>
          <w:b w:val="0"/>
          <w:bCs w:val="0"/>
          <w:color w:val="auto"/>
          <w:kern w:val="2"/>
          <w:sz w:val="24"/>
          <w:szCs w:val="24"/>
          <w:highlight w:val="none"/>
          <w:lang w:val="zh-CN" w:eastAsia="zh-CN"/>
        </w:rPr>
        <w:t>给成交商造成损失的，还应当赔偿损失。</w:t>
      </w:r>
      <w:bookmarkEnd w:id="334"/>
      <w:bookmarkEnd w:id="335"/>
      <w:bookmarkEnd w:id="336"/>
      <w:bookmarkEnd w:id="337"/>
      <w:bookmarkStart w:id="338" w:name="_Toc504654769"/>
      <w:bookmarkStart w:id="339" w:name="_Toc445473572"/>
    </w:p>
    <w:p>
      <w:pPr>
        <w:pStyle w:val="35"/>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八、在釆购中出现下列情形之一的，应予废标</w:t>
      </w:r>
      <w:bookmarkEnd w:id="338"/>
      <w:bookmarkEnd w:id="339"/>
      <w:r>
        <w:rPr>
          <w:rFonts w:hint="eastAsia" w:ascii="宋体" w:hAnsi="宋体" w:eastAsia="宋体" w:cs="宋体"/>
          <w:color w:val="auto"/>
          <w:kern w:val="2"/>
          <w:sz w:val="28"/>
          <w:szCs w:val="28"/>
          <w:highlight w:val="none"/>
          <w:lang w:val="zh-CN"/>
        </w:rPr>
        <w:t>：</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0" w:name="_Toc504654770"/>
      <w:bookmarkStart w:id="341" w:name="_Toc504479737"/>
      <w:bookmarkStart w:id="342" w:name="_Toc445473573"/>
      <w:bookmarkStart w:id="343" w:name="_Toc504479285"/>
      <w:r>
        <w:rPr>
          <w:rFonts w:hint="eastAsia" w:ascii="宋体" w:hAnsi="宋体" w:cs="宋体"/>
          <w:b w:val="0"/>
          <w:bCs w:val="0"/>
          <w:color w:val="auto"/>
          <w:kern w:val="2"/>
          <w:sz w:val="24"/>
          <w:szCs w:val="24"/>
          <w:highlight w:val="none"/>
          <w:lang w:val="en-US" w:eastAsia="zh-CN"/>
        </w:rPr>
        <w:t xml:space="preserve">8.1 </w:t>
      </w:r>
      <w:r>
        <w:rPr>
          <w:rFonts w:hint="eastAsia" w:ascii="宋体" w:hAnsi="宋体" w:cs="宋体"/>
          <w:b w:val="0"/>
          <w:bCs w:val="0"/>
          <w:color w:val="auto"/>
          <w:kern w:val="2"/>
          <w:sz w:val="24"/>
          <w:szCs w:val="24"/>
          <w:highlight w:val="none"/>
          <w:lang w:val="zh-CN" w:eastAsia="zh-CN"/>
        </w:rPr>
        <w:t>符合专业条件的投标人或者对竞争性磋商文件作实质响应的供应商不足三家的；</w:t>
      </w:r>
      <w:bookmarkEnd w:id="340"/>
      <w:bookmarkEnd w:id="341"/>
      <w:bookmarkEnd w:id="342"/>
      <w:bookmarkEnd w:id="34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4" w:name="_Toc504479286"/>
      <w:bookmarkStart w:id="345" w:name="_Toc504479738"/>
      <w:bookmarkStart w:id="346" w:name="_Toc504654771"/>
      <w:bookmarkStart w:id="347" w:name="_Toc445473574"/>
      <w:r>
        <w:rPr>
          <w:rFonts w:hint="eastAsia" w:ascii="宋体" w:hAnsi="宋体" w:cs="宋体"/>
          <w:b w:val="0"/>
          <w:bCs w:val="0"/>
          <w:color w:val="auto"/>
          <w:kern w:val="2"/>
          <w:sz w:val="24"/>
          <w:szCs w:val="24"/>
          <w:highlight w:val="none"/>
          <w:lang w:val="en-US" w:eastAsia="zh-CN"/>
        </w:rPr>
        <w:t xml:space="preserve">8.2 </w:t>
      </w:r>
      <w:r>
        <w:rPr>
          <w:rFonts w:hint="eastAsia" w:ascii="宋体" w:hAnsi="宋体" w:cs="宋体"/>
          <w:b w:val="0"/>
          <w:bCs w:val="0"/>
          <w:color w:val="auto"/>
          <w:kern w:val="2"/>
          <w:sz w:val="24"/>
          <w:szCs w:val="24"/>
          <w:highlight w:val="none"/>
          <w:lang w:val="zh-CN" w:eastAsia="zh-CN"/>
        </w:rPr>
        <w:t>出现影响釆购公正的违法、违规行为的；</w:t>
      </w:r>
      <w:bookmarkEnd w:id="344"/>
      <w:bookmarkEnd w:id="345"/>
      <w:bookmarkEnd w:id="346"/>
      <w:bookmarkEnd w:id="34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8" w:name="_Toc504654772"/>
      <w:bookmarkStart w:id="349" w:name="_Toc445473575"/>
      <w:bookmarkStart w:id="350" w:name="_Toc504479739"/>
      <w:bookmarkStart w:id="351" w:name="_Toc504479287"/>
      <w:r>
        <w:rPr>
          <w:rFonts w:hint="eastAsia" w:ascii="宋体" w:hAnsi="宋体" w:cs="宋体"/>
          <w:b w:val="0"/>
          <w:bCs w:val="0"/>
          <w:color w:val="auto"/>
          <w:kern w:val="2"/>
          <w:sz w:val="24"/>
          <w:szCs w:val="24"/>
          <w:highlight w:val="none"/>
          <w:lang w:val="en-US" w:eastAsia="zh-CN"/>
        </w:rPr>
        <w:t xml:space="preserve">8.3 </w:t>
      </w:r>
      <w:r>
        <w:rPr>
          <w:rFonts w:hint="eastAsia" w:ascii="宋体" w:hAnsi="宋体" w:cs="宋体"/>
          <w:b w:val="0"/>
          <w:bCs w:val="0"/>
          <w:color w:val="auto"/>
          <w:kern w:val="2"/>
          <w:sz w:val="24"/>
          <w:szCs w:val="24"/>
          <w:highlight w:val="none"/>
          <w:lang w:val="zh-CN" w:eastAsia="zh-CN"/>
        </w:rPr>
        <w:t>投标人的报价均超过了采购预算，釆购人不能支付的；</w:t>
      </w:r>
      <w:bookmarkEnd w:id="348"/>
      <w:bookmarkEnd w:id="349"/>
      <w:bookmarkEnd w:id="350"/>
      <w:bookmarkEnd w:id="35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52" w:name="_Toc429224735"/>
      <w:bookmarkStart w:id="353" w:name="_Toc435021165"/>
      <w:bookmarkStart w:id="354" w:name="_Toc445473576"/>
      <w:bookmarkStart w:id="355" w:name="_Toc504654773"/>
      <w:bookmarkStart w:id="356" w:name="_Toc504479288"/>
      <w:bookmarkStart w:id="357" w:name="_Toc504479740"/>
      <w:r>
        <w:rPr>
          <w:rFonts w:hint="eastAsia" w:ascii="宋体" w:hAnsi="宋体" w:cs="宋体"/>
          <w:b w:val="0"/>
          <w:bCs w:val="0"/>
          <w:color w:val="auto"/>
          <w:kern w:val="2"/>
          <w:sz w:val="24"/>
          <w:szCs w:val="24"/>
          <w:highlight w:val="none"/>
          <w:lang w:val="en-US" w:eastAsia="zh-CN"/>
        </w:rPr>
        <w:t xml:space="preserve">8.4 </w:t>
      </w:r>
      <w:r>
        <w:rPr>
          <w:rFonts w:hint="eastAsia" w:ascii="宋体" w:hAnsi="宋体" w:cs="宋体"/>
          <w:b w:val="0"/>
          <w:bCs w:val="0"/>
          <w:color w:val="auto"/>
          <w:kern w:val="2"/>
          <w:sz w:val="24"/>
          <w:szCs w:val="24"/>
          <w:highlight w:val="none"/>
          <w:lang w:val="zh-CN" w:eastAsia="zh-CN"/>
        </w:rPr>
        <w:t>因重大变故，釆购任务取消的。</w:t>
      </w:r>
      <w:bookmarkEnd w:id="352"/>
      <w:bookmarkEnd w:id="353"/>
      <w:r>
        <w:rPr>
          <w:rFonts w:hint="eastAsia" w:ascii="宋体" w:hAnsi="宋体" w:cs="宋体"/>
          <w:b w:val="0"/>
          <w:bCs w:val="0"/>
          <w:color w:val="auto"/>
          <w:kern w:val="2"/>
          <w:sz w:val="24"/>
          <w:szCs w:val="24"/>
          <w:highlight w:val="none"/>
          <w:lang w:val="zh-CN" w:eastAsia="zh-CN"/>
        </w:rPr>
        <w:t xml:space="preserve"> </w:t>
      </w:r>
    </w:p>
    <w:p>
      <w:pPr>
        <w:pStyle w:val="35"/>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b w:val="0"/>
          <w:bCs w:val="0"/>
          <w:color w:val="auto"/>
          <w:kern w:val="2"/>
          <w:sz w:val="24"/>
          <w:szCs w:val="24"/>
          <w:highlight w:val="none"/>
          <w:lang w:val="zh-CN"/>
        </w:rPr>
        <w:t>废标后，除釆购任务取消外，采购人应重新组织招标。</w:t>
      </w:r>
      <w:bookmarkEnd w:id="354"/>
      <w:bookmarkEnd w:id="355"/>
      <w:bookmarkEnd w:id="356"/>
      <w:bookmarkEnd w:id="357"/>
      <w:bookmarkStart w:id="358" w:name="_Toc504654774"/>
      <w:bookmarkStart w:id="359" w:name="_Toc445473577"/>
    </w:p>
    <w:p>
      <w:pPr>
        <w:pStyle w:val="35"/>
        <w:keepNext w:val="0"/>
        <w:keepLines w:val="0"/>
        <w:pageBreakBefore w:val="0"/>
        <w:kinsoku/>
        <w:wordWrap/>
        <w:overflowPunct/>
        <w:topLinePunct w:val="0"/>
        <w:bidi w:val="0"/>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九、纪律和监督</w:t>
      </w:r>
      <w:bookmarkEnd w:id="358"/>
      <w:bookmarkEnd w:id="359"/>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0" w:name="_Toc504479290"/>
      <w:bookmarkStart w:id="361" w:name="_Toc504654775"/>
      <w:bookmarkStart w:id="362" w:name="_Toc445473578"/>
      <w:bookmarkStart w:id="363" w:name="_Toc504479742"/>
      <w:r>
        <w:rPr>
          <w:rFonts w:hint="eastAsia" w:ascii="宋体" w:hAnsi="宋体" w:cs="宋体"/>
          <w:b w:val="0"/>
          <w:bCs w:val="0"/>
          <w:color w:val="auto"/>
          <w:kern w:val="2"/>
          <w:sz w:val="24"/>
          <w:szCs w:val="24"/>
          <w:highlight w:val="none"/>
          <w:lang w:val="en-US" w:eastAsia="zh-CN"/>
        </w:rPr>
        <w:t xml:space="preserve">9.1 </w:t>
      </w:r>
      <w:r>
        <w:rPr>
          <w:rFonts w:hint="eastAsia" w:ascii="宋体" w:hAnsi="宋体" w:cs="宋体"/>
          <w:b w:val="0"/>
          <w:bCs w:val="0"/>
          <w:color w:val="auto"/>
          <w:kern w:val="2"/>
          <w:sz w:val="24"/>
          <w:szCs w:val="24"/>
          <w:highlight w:val="none"/>
          <w:lang w:val="zh-CN" w:eastAsia="zh-CN"/>
        </w:rPr>
        <w:t>对采购人的纪律要求</w:t>
      </w:r>
      <w:bookmarkEnd w:id="360"/>
      <w:bookmarkEnd w:id="361"/>
      <w:bookmarkEnd w:id="362"/>
      <w:bookmarkEnd w:id="363"/>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9.1.1</w:t>
      </w:r>
      <w:r>
        <w:rPr>
          <w:rFonts w:hint="eastAsia" w:ascii="宋体" w:hAnsi="宋体" w:eastAsia="宋体" w:cs="宋体"/>
          <w:b w:val="0"/>
          <w:bCs w:val="0"/>
          <w:color w:val="auto"/>
          <w:kern w:val="2"/>
          <w:sz w:val="24"/>
          <w:szCs w:val="24"/>
          <w:highlight w:val="none"/>
          <w:lang w:val="zh-CN" w:eastAsia="zh-CN"/>
        </w:rPr>
        <w:t>采购人不得泄漏采购活动中应当保密的情况和资料，不得与投标人串通损害国家利益、社会公共利益或者他人合法权益。</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4" w:name="_Toc504479743"/>
      <w:bookmarkStart w:id="365" w:name="_Toc504654776"/>
      <w:bookmarkStart w:id="366" w:name="_Toc445473579"/>
      <w:bookmarkStart w:id="367" w:name="_Toc504479291"/>
      <w:r>
        <w:rPr>
          <w:rFonts w:hint="eastAsia" w:ascii="宋体" w:hAnsi="宋体" w:cs="宋体"/>
          <w:b w:val="0"/>
          <w:bCs w:val="0"/>
          <w:color w:val="auto"/>
          <w:kern w:val="2"/>
          <w:sz w:val="24"/>
          <w:szCs w:val="24"/>
          <w:highlight w:val="none"/>
          <w:lang w:val="en-US" w:eastAsia="zh-CN"/>
        </w:rPr>
        <w:t xml:space="preserve">9.2 </w:t>
      </w:r>
      <w:r>
        <w:rPr>
          <w:rFonts w:hint="eastAsia" w:ascii="宋体" w:hAnsi="宋体" w:cs="宋体"/>
          <w:b w:val="0"/>
          <w:bCs w:val="0"/>
          <w:color w:val="auto"/>
          <w:kern w:val="2"/>
          <w:sz w:val="24"/>
          <w:szCs w:val="24"/>
          <w:highlight w:val="none"/>
          <w:lang w:val="zh-CN" w:eastAsia="zh-CN"/>
        </w:rPr>
        <w:t>对投标人的纪律要求</w:t>
      </w:r>
      <w:bookmarkEnd w:id="364"/>
      <w:bookmarkEnd w:id="365"/>
      <w:bookmarkEnd w:id="366"/>
      <w:bookmarkEnd w:id="36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9.2.1</w:t>
      </w:r>
      <w:r>
        <w:rPr>
          <w:rFonts w:hint="eastAsia" w:ascii="宋体" w:hAnsi="宋体" w:eastAsia="宋体" w:cs="宋体"/>
          <w:b w:val="0"/>
          <w:bCs w:val="0"/>
          <w:color w:val="auto"/>
          <w:kern w:val="2"/>
          <w:sz w:val="24"/>
          <w:szCs w:val="24"/>
          <w:highlight w:val="none"/>
          <w:lang w:val="zh-CN" w:eastAsia="zh-CN"/>
        </w:rPr>
        <w:t>投标人不得相互串通投标或者与采购人串通投标，不得向采购人或者磋商小组成员行贿谋取</w:t>
      </w:r>
      <w:r>
        <w:rPr>
          <w:rFonts w:hint="eastAsia" w:ascii="宋体" w:hAnsi="宋体" w:cs="宋体"/>
          <w:b w:val="0"/>
          <w:bCs w:val="0"/>
          <w:color w:val="auto"/>
          <w:kern w:val="2"/>
          <w:sz w:val="24"/>
          <w:szCs w:val="24"/>
          <w:highlight w:val="none"/>
          <w:lang w:val="en-US" w:eastAsia="zh-CN"/>
        </w:rPr>
        <w:t>成交资格</w:t>
      </w:r>
      <w:r>
        <w:rPr>
          <w:rFonts w:hint="eastAsia" w:ascii="宋体" w:hAnsi="宋体" w:eastAsia="宋体" w:cs="宋体"/>
          <w:b w:val="0"/>
          <w:bCs w:val="0"/>
          <w:color w:val="auto"/>
          <w:kern w:val="2"/>
          <w:sz w:val="24"/>
          <w:szCs w:val="24"/>
          <w:highlight w:val="none"/>
          <w:lang w:val="zh-CN" w:eastAsia="zh-CN"/>
        </w:rPr>
        <w:t>，不得以他人名义投标或者以其他方式弄虚作假骗取</w:t>
      </w:r>
      <w:r>
        <w:rPr>
          <w:rFonts w:hint="eastAsia" w:ascii="宋体" w:hAnsi="宋体" w:cs="宋体"/>
          <w:b w:val="0"/>
          <w:bCs w:val="0"/>
          <w:color w:val="auto"/>
          <w:kern w:val="2"/>
          <w:sz w:val="24"/>
          <w:szCs w:val="24"/>
          <w:highlight w:val="none"/>
          <w:lang w:val="en-US" w:eastAsia="zh-CN"/>
        </w:rPr>
        <w:t>成交资格</w:t>
      </w:r>
      <w:r>
        <w:rPr>
          <w:rFonts w:hint="eastAsia" w:ascii="宋体" w:hAnsi="宋体" w:eastAsia="宋体" w:cs="宋体"/>
          <w:b w:val="0"/>
          <w:bCs w:val="0"/>
          <w:color w:val="auto"/>
          <w:kern w:val="2"/>
          <w:sz w:val="24"/>
          <w:szCs w:val="24"/>
          <w:highlight w:val="none"/>
          <w:lang w:val="zh-CN" w:eastAsia="zh-CN"/>
        </w:rPr>
        <w:t>；投标人不得以任何方式干扰、影响评标工作。</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8" w:name="_Toc504479292"/>
      <w:bookmarkStart w:id="369" w:name="_Toc445473580"/>
      <w:bookmarkStart w:id="370" w:name="_Toc504654777"/>
      <w:bookmarkStart w:id="371" w:name="_Toc504479744"/>
      <w:r>
        <w:rPr>
          <w:rFonts w:hint="eastAsia" w:ascii="宋体" w:hAnsi="宋体" w:cs="宋体"/>
          <w:b w:val="0"/>
          <w:bCs w:val="0"/>
          <w:color w:val="auto"/>
          <w:kern w:val="2"/>
          <w:sz w:val="24"/>
          <w:szCs w:val="24"/>
          <w:highlight w:val="none"/>
          <w:lang w:val="en-US" w:eastAsia="zh-CN"/>
        </w:rPr>
        <w:t xml:space="preserve">9.3 </w:t>
      </w:r>
      <w:r>
        <w:rPr>
          <w:rFonts w:hint="eastAsia" w:ascii="宋体" w:hAnsi="宋体" w:cs="宋体"/>
          <w:b w:val="0"/>
          <w:bCs w:val="0"/>
          <w:color w:val="auto"/>
          <w:kern w:val="2"/>
          <w:sz w:val="24"/>
          <w:szCs w:val="24"/>
          <w:highlight w:val="none"/>
          <w:lang w:val="zh-CN" w:eastAsia="zh-CN"/>
        </w:rPr>
        <w:t>对磋商小组成员的纪律要求</w:t>
      </w:r>
      <w:bookmarkEnd w:id="368"/>
      <w:bookmarkEnd w:id="369"/>
      <w:bookmarkEnd w:id="370"/>
      <w:bookmarkEnd w:id="37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9.3.1</w:t>
      </w:r>
      <w:r>
        <w:rPr>
          <w:rFonts w:hint="eastAsia" w:ascii="宋体" w:hAnsi="宋体" w:eastAsia="宋体" w:cs="宋体"/>
          <w:b w:val="0"/>
          <w:bCs w:val="0"/>
          <w:color w:val="auto"/>
          <w:kern w:val="2"/>
          <w:sz w:val="24"/>
          <w:szCs w:val="24"/>
          <w:highlight w:val="none"/>
          <w:lang w:val="zh-CN" w:eastAsia="zh-CN"/>
        </w:rPr>
        <w:t>磋商小组成员不得收受他人的财物或者其他好处，不得向他人透漏对磋商响应文件的评审和比较、成交候选人的推荐情况以及评标有关的其他情况。在评标活动中，磋商小组成员不得擅离职守，影响评标程序正常进行，不得使用第三章“评标办法”</w:t>
      </w:r>
      <w:r>
        <w:rPr>
          <w:rFonts w:hint="eastAsia" w:ascii="宋体" w:hAnsi="宋体" w:cs="宋体"/>
          <w:b w:val="0"/>
          <w:bCs w:val="0"/>
          <w:color w:val="auto"/>
          <w:kern w:val="2"/>
          <w:sz w:val="24"/>
          <w:szCs w:val="24"/>
          <w:highlight w:val="none"/>
          <w:lang w:val="zh-CN" w:eastAsia="zh-CN"/>
        </w:rPr>
        <w:t>中</w:t>
      </w:r>
      <w:r>
        <w:rPr>
          <w:rFonts w:hint="eastAsia" w:ascii="宋体" w:hAnsi="宋体" w:eastAsia="宋体" w:cs="宋体"/>
          <w:b w:val="0"/>
          <w:bCs w:val="0"/>
          <w:color w:val="auto"/>
          <w:kern w:val="2"/>
          <w:sz w:val="24"/>
          <w:szCs w:val="24"/>
          <w:highlight w:val="none"/>
          <w:lang w:val="zh-CN" w:eastAsia="zh-CN"/>
        </w:rPr>
        <w:t>没有规定的评审因素和标准进行评标。</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72" w:name="_Toc504654778"/>
      <w:bookmarkStart w:id="373" w:name="_Toc445473581"/>
      <w:bookmarkStart w:id="374" w:name="_Toc504479293"/>
      <w:bookmarkStart w:id="375" w:name="_Toc504479745"/>
      <w:r>
        <w:rPr>
          <w:rFonts w:hint="eastAsia" w:ascii="宋体" w:hAnsi="宋体" w:cs="宋体"/>
          <w:b w:val="0"/>
          <w:bCs w:val="0"/>
          <w:color w:val="auto"/>
          <w:kern w:val="2"/>
          <w:sz w:val="24"/>
          <w:szCs w:val="24"/>
          <w:highlight w:val="none"/>
          <w:lang w:val="en-US" w:eastAsia="zh-CN"/>
        </w:rPr>
        <w:t xml:space="preserve">9.4 </w:t>
      </w:r>
      <w:r>
        <w:rPr>
          <w:rFonts w:hint="eastAsia" w:ascii="宋体" w:hAnsi="宋体" w:cs="宋体"/>
          <w:b w:val="0"/>
          <w:bCs w:val="0"/>
          <w:color w:val="auto"/>
          <w:kern w:val="2"/>
          <w:sz w:val="24"/>
          <w:szCs w:val="24"/>
          <w:highlight w:val="none"/>
          <w:lang w:val="zh-CN" w:eastAsia="zh-CN"/>
        </w:rPr>
        <w:t>对与评标活动有关的工作人员的纪律要求</w:t>
      </w:r>
      <w:bookmarkEnd w:id="372"/>
      <w:bookmarkEnd w:id="373"/>
      <w:bookmarkEnd w:id="374"/>
      <w:bookmarkEnd w:id="375"/>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9.4.1</w:t>
      </w:r>
      <w:r>
        <w:rPr>
          <w:rFonts w:hint="eastAsia" w:ascii="宋体" w:hAnsi="宋体" w:eastAsia="宋体" w:cs="宋体"/>
          <w:b w:val="0"/>
          <w:bCs w:val="0"/>
          <w:color w:val="auto"/>
          <w:kern w:val="2"/>
          <w:sz w:val="24"/>
          <w:szCs w:val="24"/>
          <w:highlight w:val="none"/>
          <w:lang w:val="zh-CN" w:eastAsia="zh-CN"/>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76" w:name="_Toc504479294"/>
      <w:bookmarkStart w:id="377" w:name="_Toc504479746"/>
      <w:bookmarkStart w:id="378" w:name="_Toc504654779"/>
      <w:bookmarkStart w:id="379" w:name="_Toc445473582"/>
      <w:r>
        <w:rPr>
          <w:rFonts w:hint="eastAsia" w:ascii="宋体" w:hAnsi="宋体" w:cs="宋体"/>
          <w:b w:val="0"/>
          <w:bCs w:val="0"/>
          <w:color w:val="auto"/>
          <w:kern w:val="2"/>
          <w:sz w:val="24"/>
          <w:szCs w:val="24"/>
          <w:highlight w:val="none"/>
          <w:lang w:val="en-US" w:eastAsia="zh-CN"/>
        </w:rPr>
        <w:t xml:space="preserve">9.5 </w:t>
      </w:r>
      <w:bookmarkEnd w:id="376"/>
      <w:bookmarkEnd w:id="377"/>
      <w:bookmarkEnd w:id="378"/>
      <w:bookmarkEnd w:id="379"/>
      <w:r>
        <w:rPr>
          <w:rFonts w:hint="eastAsia" w:ascii="宋体" w:hAnsi="宋体" w:cs="宋体"/>
          <w:b w:val="0"/>
          <w:bCs w:val="0"/>
          <w:color w:val="auto"/>
          <w:kern w:val="2"/>
          <w:sz w:val="24"/>
          <w:szCs w:val="24"/>
          <w:highlight w:val="none"/>
          <w:lang w:val="zh-CN" w:eastAsia="zh-CN"/>
        </w:rPr>
        <w:t>质疑与投诉</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5.1供应商对政府采购活动事项有疑问的，可以向采购人提出询问，采购人应当及时作出答复，但答复的内容不得涉及商业秘密。</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9.5.2</w:t>
      </w:r>
      <w:r>
        <w:rPr>
          <w:rFonts w:hint="eastAsia" w:ascii="宋体" w:hAnsi="宋体" w:eastAsia="宋体" w:cs="宋体"/>
          <w:b w:val="0"/>
          <w:bCs w:val="0"/>
          <w:color w:val="auto"/>
          <w:kern w:val="2"/>
          <w:sz w:val="24"/>
          <w:szCs w:val="24"/>
          <w:highlight w:val="none"/>
          <w:lang w:val="zh-CN" w:eastAsia="zh-CN"/>
        </w:rPr>
        <w:t>供应商认为采购文件、采购过程和中标、成交结果使自己的权益受到损害的，可以在知道或者应知其权益受到损害之日起七个工作日内，以书面形式向采购人提出质疑。</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9.5.3</w:t>
      </w:r>
      <w:r>
        <w:rPr>
          <w:rFonts w:hint="eastAsia" w:ascii="宋体" w:hAnsi="宋体" w:eastAsia="宋体" w:cs="宋体"/>
          <w:b w:val="0"/>
          <w:bCs w:val="0"/>
          <w:color w:val="auto"/>
          <w:kern w:val="2"/>
          <w:sz w:val="24"/>
          <w:szCs w:val="24"/>
          <w:highlight w:val="none"/>
          <w:lang w:val="zh-CN" w:eastAsia="zh-CN"/>
        </w:rPr>
        <w:t>采购人应当在收到供应商的书面质疑后七个工作日内作出答复，并以书面形式通知质疑供应商和其他有关供应商，但答复的内容不得涉及商业秘密。</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9.5.4</w:t>
      </w:r>
      <w:r>
        <w:rPr>
          <w:rFonts w:hint="eastAsia" w:ascii="宋体" w:hAnsi="宋体" w:eastAsia="宋体" w:cs="宋体"/>
          <w:b w:val="0"/>
          <w:bCs w:val="0"/>
          <w:color w:val="auto"/>
          <w:kern w:val="2"/>
          <w:sz w:val="24"/>
          <w:szCs w:val="24"/>
          <w:highlight w:val="none"/>
          <w:lang w:val="zh-CN" w:eastAsia="zh-CN"/>
        </w:rPr>
        <w:t>采购人委托采购代理机构采购的，供应商可以向采购代理机构提出询问或者质疑，采购代理机构应当依照</w:t>
      </w:r>
      <w:r>
        <w:rPr>
          <w:rFonts w:hint="eastAsia" w:ascii="宋体" w:hAnsi="宋体" w:cs="宋体"/>
          <w:b w:val="0"/>
          <w:bCs w:val="0"/>
          <w:color w:val="auto"/>
          <w:kern w:val="2"/>
          <w:sz w:val="24"/>
          <w:szCs w:val="24"/>
          <w:highlight w:val="none"/>
          <w:lang w:val="en-US" w:eastAsia="zh-CN"/>
        </w:rPr>
        <w:t>9.5.1、9.5.3</w:t>
      </w:r>
      <w:r>
        <w:rPr>
          <w:rFonts w:hint="eastAsia" w:ascii="宋体" w:hAnsi="宋体" w:eastAsia="宋体" w:cs="宋体"/>
          <w:b w:val="0"/>
          <w:bCs w:val="0"/>
          <w:color w:val="auto"/>
          <w:kern w:val="2"/>
          <w:sz w:val="24"/>
          <w:szCs w:val="24"/>
          <w:highlight w:val="none"/>
          <w:lang w:val="zh-CN" w:eastAsia="zh-CN"/>
        </w:rPr>
        <w:t>的规定就采购人委托授权范围内的事项作出答复。</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9.5.5</w:t>
      </w:r>
      <w:r>
        <w:rPr>
          <w:rFonts w:hint="eastAsia" w:ascii="宋体" w:hAnsi="宋体" w:eastAsia="宋体" w:cs="宋体"/>
          <w:b w:val="0"/>
          <w:bCs w:val="0"/>
          <w:color w:val="auto"/>
          <w:kern w:val="2"/>
          <w:sz w:val="24"/>
          <w:szCs w:val="24"/>
          <w:highlight w:val="none"/>
          <w:lang w:val="zh-CN" w:eastAsia="zh-CN"/>
        </w:rPr>
        <w:t>质疑供应商对采购人、采购代理机构的答复不满意或者采购人、采购代理机构未在规定的时间内作出答复的，可以在答复期满后十五个工作日内向同级政府采购监督管理部门投诉。</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9.5.6</w:t>
      </w:r>
      <w:r>
        <w:rPr>
          <w:rFonts w:hint="eastAsia" w:ascii="宋体" w:hAnsi="宋体" w:eastAsia="宋体" w:cs="宋体"/>
          <w:b w:val="0"/>
          <w:bCs w:val="0"/>
          <w:color w:val="auto"/>
          <w:kern w:val="2"/>
          <w:sz w:val="24"/>
          <w:szCs w:val="24"/>
          <w:highlight w:val="none"/>
          <w:lang w:val="zh-CN" w:eastAsia="zh-CN"/>
        </w:rPr>
        <w:t>政府采购监督管理部门应当在收到投诉后三十个工作日内，对投诉事项作出处理决定，并以书面形式通知投诉人和与投诉事项有关的当事人。</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9.5.7</w:t>
      </w:r>
      <w:r>
        <w:rPr>
          <w:rFonts w:hint="eastAsia" w:ascii="宋体" w:hAnsi="宋体" w:eastAsia="宋体" w:cs="宋体"/>
          <w:b w:val="0"/>
          <w:bCs w:val="0"/>
          <w:color w:val="auto"/>
          <w:kern w:val="2"/>
          <w:sz w:val="24"/>
          <w:szCs w:val="24"/>
          <w:highlight w:val="none"/>
          <w:lang w:val="zh-CN" w:eastAsia="zh-CN"/>
        </w:rPr>
        <w:t>政府采购监督管理部门在处理投诉事项期间，可以视具体情况书面通知采购人暂停采购活动，但暂停时间最长不得超过三十日。</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9.5.8</w:t>
      </w:r>
      <w:r>
        <w:rPr>
          <w:rFonts w:hint="eastAsia" w:ascii="宋体" w:hAnsi="宋体" w:eastAsia="宋体" w:cs="宋体"/>
          <w:b w:val="0"/>
          <w:bCs w:val="0"/>
          <w:color w:val="auto"/>
          <w:kern w:val="2"/>
          <w:sz w:val="24"/>
          <w:szCs w:val="24"/>
          <w:highlight w:val="none"/>
          <w:lang w:val="zh-CN" w:eastAsia="zh-CN"/>
        </w:rPr>
        <w:t>投诉人对政府采购监督管理部门的投诉处理决定不服或者政府采购监督管理部门逾期未作处理的，可以依法申请行政复议或者向人民法院提起行政诉讼。</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w:t>
      </w:r>
      <w:r>
        <w:rPr>
          <w:rFonts w:hint="eastAsia" w:ascii="宋体" w:hAnsi="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投标人投诉时，应当具备以下法定必备条件：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投诉投标人应具备以下基木条件：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1）</w:t>
      </w:r>
      <w:r>
        <w:rPr>
          <w:rFonts w:hint="eastAsia" w:ascii="宋体"/>
          <w:color w:val="auto"/>
          <w:sz w:val="24"/>
          <w:highlight w:val="none"/>
          <w:lang w:val="zh-CN" w:eastAsia="zh-CN"/>
        </w:rPr>
        <w:t>投诉人是参与所投诉政府采购活动的投标人；</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2）</w:t>
      </w:r>
      <w:r>
        <w:rPr>
          <w:rFonts w:hint="eastAsia" w:ascii="宋体"/>
          <w:color w:val="auto"/>
          <w:sz w:val="24"/>
          <w:highlight w:val="none"/>
          <w:lang w:val="zh-CN" w:eastAsia="zh-CN"/>
        </w:rPr>
        <w:t>提起投诉前已依法进行质疑；</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3）</w:t>
      </w:r>
      <w:r>
        <w:rPr>
          <w:rFonts w:hint="eastAsia" w:ascii="宋体"/>
          <w:color w:val="auto"/>
          <w:sz w:val="24"/>
          <w:highlight w:val="none"/>
          <w:lang w:val="zh-CN" w:eastAsia="zh-CN"/>
        </w:rPr>
        <w:t>投诉有效期限内提起投诉；</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4）</w:t>
      </w:r>
      <w:r>
        <w:rPr>
          <w:rFonts w:hint="eastAsia" w:ascii="宋体"/>
          <w:color w:val="auto"/>
          <w:sz w:val="24"/>
          <w:highlight w:val="none"/>
          <w:lang w:val="zh-CN" w:eastAsia="zh-CN"/>
        </w:rPr>
        <w:t>属于本财政部门管辖；</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rPr>
      </w:pPr>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同一投诉事项未经财政部门投诉处理。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2）</w:t>
      </w:r>
      <w:r>
        <w:rPr>
          <w:rFonts w:hint="eastAsia" w:ascii="宋体"/>
          <w:color w:val="auto"/>
          <w:sz w:val="24"/>
          <w:highlight w:val="none"/>
          <w:lang w:val="zh-CN"/>
        </w:rPr>
        <w:t>投标人投诉时，应当提交投诉书，投诉书应包括以下主要内容：</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1）投诉人和被投诉人的名称、地址、电话等应齐全；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2）具体的投诉事项及事实依据应清晰；</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3）质疑和质疑答复情况及相关证明材料等应齐全；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4）投诉事项应与质疑事项一致，应标注提起投诉的日期；</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val="zh-CN" w:eastAsia="zh-CN"/>
        </w:rPr>
        <w:t>5</w:t>
      </w:r>
      <w:r>
        <w:rPr>
          <w:rFonts w:hint="eastAsia" w:ascii="宋体"/>
          <w:color w:val="auto"/>
          <w:sz w:val="24"/>
          <w:highlight w:val="none"/>
          <w:lang w:eastAsia="zh-CN"/>
        </w:rPr>
        <w:t>）投诉人为自然人的，应由本人签字；</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380" w:name="bookmark29"/>
      <w:r>
        <w:rPr>
          <w:rFonts w:hint="eastAsia" w:ascii="宋体"/>
          <w:color w:val="auto"/>
          <w:sz w:val="24"/>
          <w:highlight w:val="none"/>
          <w:lang w:eastAsia="zh-CN"/>
        </w:rPr>
        <w:t>6）投诉人为法人或者其他组织的，应由法定代表人或者主要负责人签字盖章并加盖公章。</w:t>
      </w:r>
    </w:p>
    <w:bookmarkEnd w:id="380"/>
    <w:p>
      <w:pPr>
        <w:pStyle w:val="4"/>
        <w:pageBreakBefore w:val="0"/>
        <w:widowControl w:val="0"/>
        <w:kinsoku/>
        <w:wordWrap/>
        <w:overflowPunct/>
        <w:topLinePunct w:val="0"/>
        <w:bidi w:val="0"/>
        <w:snapToGrid/>
        <w:spacing w:line="440" w:lineRule="exact"/>
        <w:textAlignment w:val="auto"/>
        <w:rPr>
          <w:rFonts w:ascii="宋体" w:hAnsi="宋体" w:eastAsia="宋体" w:cs="宋体"/>
          <w:color w:val="auto"/>
          <w:sz w:val="28"/>
          <w:szCs w:val="28"/>
          <w:highlight w:val="none"/>
          <w:lang w:val="zh-CN"/>
        </w:rPr>
      </w:pPr>
      <w:bookmarkStart w:id="381" w:name="_Toc504654780"/>
      <w:r>
        <w:rPr>
          <w:rFonts w:hint="eastAsia" w:ascii="宋体" w:hAnsi="宋体" w:eastAsia="宋体" w:cs="宋体"/>
          <w:color w:val="auto"/>
          <w:sz w:val="28"/>
          <w:szCs w:val="28"/>
          <w:highlight w:val="none"/>
          <w:lang w:val="zh-CN"/>
        </w:rPr>
        <w:t>十、其它</w:t>
      </w:r>
      <w:bookmarkEnd w:id="38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10.1 未尽事宜，按国家有关规定执行。</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10.2 本竞争性磋商文件的解释权属采购人。</w:t>
      </w:r>
      <w:bookmarkStart w:id="382" w:name="_Toc460361802"/>
      <w:bookmarkStart w:id="383" w:name="_Toc6742_WPSOffice_Level1"/>
      <w:bookmarkStart w:id="384" w:name="_Toc31372_WPSOffice_Level1"/>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p>
    <w:p>
      <w:pPr>
        <w:pStyle w:val="4"/>
        <w:keepNext/>
        <w:keepLines w:val="0"/>
        <w:pageBreakBefore/>
        <w:widowControl w:val="0"/>
        <w:kinsoku/>
        <w:wordWrap/>
        <w:overflowPunct/>
        <w:topLinePunct w:val="0"/>
        <w:autoSpaceDE/>
        <w:autoSpaceDN/>
        <w:bidi w:val="0"/>
        <w:adjustRightInd/>
        <w:snapToGrid/>
        <w:spacing w:before="0" w:after="0"/>
        <w:jc w:val="center"/>
        <w:textAlignment w:val="auto"/>
        <w:rPr>
          <w:rFonts w:hint="eastAsia"/>
          <w:highlight w:val="none"/>
        </w:rPr>
      </w:pPr>
      <w:r>
        <w:rPr>
          <w:rFonts w:hint="eastAsia"/>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hAnsi="宋体" w:cs="宋体"/>
          <w:szCs w:val="24"/>
          <w:highlight w:val="none"/>
          <w:shd w:val="clear" w:color="auto" w:fill="FFFFFF"/>
        </w:rPr>
        <w:t>　</w:t>
      </w:r>
      <w:r>
        <w:rPr>
          <w:rFonts w:hint="eastAsia" w:ascii="宋体" w:hAnsi="宋体" w:eastAsia="宋体" w:cs="宋体"/>
          <w:sz w:val="24"/>
          <w:szCs w:val="24"/>
          <w:highlight w:val="none"/>
          <w:shd w:val="clear" w:color="auto" w:fill="FFFFFF"/>
        </w:rPr>
        <w:t>　一、根据《中华人民共和国中小企业促进法》和《国务院关于进一步促进中小企业发展的若干意见》(国发〔2009〕36号)，制定本规定。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四、各行业划型标准为：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九、本规定由工业和信息化部、国家统计局会同有关部门负责解释。</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r>
        <w:rPr>
          <w:rFonts w:hint="eastAsia" w:ascii="宋体" w:hAnsi="宋体" w:eastAsia="宋体" w:cs="宋体"/>
          <w:b w:val="0"/>
          <w:bCs w:val="0"/>
          <w:kern w:val="2"/>
          <w:sz w:val="24"/>
          <w:szCs w:val="24"/>
          <w:highlight w:val="none"/>
          <w:shd w:val="clear" w:color="auto" w:fill="FFFFFF"/>
          <w:lang w:val="en-US" w:eastAsia="zh-CN" w:bidi="ar-SA"/>
        </w:rPr>
        <w:t>十、本规定自发布之日起执行，原国家经贸委、原国家计委、财政部和国家统计局2003年颁布的《中小企业标准暂行规定》同时废止。</w:t>
      </w:r>
    </w:p>
    <w:p>
      <w:pPr>
        <w:pStyle w:val="4"/>
        <w:keepNext w:val="0"/>
        <w:keepLines w:val="0"/>
        <w:pageBreakBefore/>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第三章 评标办法（综合评</w:t>
      </w:r>
      <w:r>
        <w:rPr>
          <w:rFonts w:hint="eastAsia" w:ascii="宋体" w:hAnsi="宋体" w:cs="宋体"/>
          <w:color w:val="auto"/>
          <w:sz w:val="44"/>
          <w:szCs w:val="44"/>
          <w:highlight w:val="none"/>
          <w:lang w:val="zh-CN"/>
        </w:rPr>
        <w:t>分</w:t>
      </w:r>
      <w:r>
        <w:rPr>
          <w:rFonts w:hint="eastAsia" w:ascii="宋体" w:hAnsi="宋体" w:eastAsia="宋体" w:cs="宋体"/>
          <w:color w:val="auto"/>
          <w:sz w:val="44"/>
          <w:szCs w:val="44"/>
          <w:highlight w:val="none"/>
          <w:lang w:val="zh-CN"/>
        </w:rPr>
        <w:t>法）</w:t>
      </w:r>
      <w:bookmarkEnd w:id="382"/>
      <w:bookmarkEnd w:id="383"/>
      <w:bookmarkEnd w:id="384"/>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jc w:val="both"/>
        <w:rPr>
          <w:rFonts w:hint="eastAsia" w:ascii="宋体" w:hAnsi="宋体" w:cs="宋体"/>
          <w:b/>
          <w:color w:val="auto"/>
          <w:sz w:val="24"/>
          <w:szCs w:val="22"/>
          <w:highlight w:val="none"/>
        </w:rPr>
      </w:pPr>
    </w:p>
    <w:p>
      <w:pPr>
        <w:ind w:firstLine="560" w:firstLineChars="200"/>
        <w:jc w:val="center"/>
        <w:rPr>
          <w:rFonts w:hint="eastAsia" w:ascii="宋体" w:hAnsi="宋体" w:cs="宋体"/>
          <w:b/>
          <w:color w:val="auto"/>
          <w:sz w:val="24"/>
          <w:szCs w:val="22"/>
          <w:highlight w:val="none"/>
        </w:rPr>
      </w:pPr>
      <w:r>
        <w:rPr>
          <w:rFonts w:hint="eastAsia" w:ascii="宋体" w:hAnsi="宋体" w:cs="宋体"/>
          <w:b/>
          <w:color w:val="auto"/>
          <w:sz w:val="28"/>
          <w:szCs w:val="24"/>
          <w:highlight w:val="none"/>
        </w:rPr>
        <w:t>评标办法前附表</w:t>
      </w:r>
    </w:p>
    <w:p>
      <w:pPr>
        <w:rPr>
          <w:rFonts w:ascii="宋体" w:hAnsi="宋体" w:cs="宋体"/>
          <w:color w:val="auto"/>
          <w:szCs w:val="21"/>
          <w:highlight w:val="none"/>
        </w:rPr>
      </w:pPr>
    </w:p>
    <w:tbl>
      <w:tblPr>
        <w:tblStyle w:val="37"/>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08"/>
        <w:gridCol w:w="2127"/>
        <w:gridCol w:w="6500"/>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57" w:type="dxa"/>
            <w:gridSpan w:val="2"/>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条款号</w:t>
            </w:r>
          </w:p>
        </w:tc>
        <w:tc>
          <w:tcPr>
            <w:tcW w:w="2127" w:type="dxa"/>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评审因素</w:t>
            </w:r>
          </w:p>
        </w:tc>
        <w:tc>
          <w:tcPr>
            <w:tcW w:w="6515" w:type="dxa"/>
            <w:gridSpan w:val="2"/>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44" w:hRule="atLeast"/>
          <w:jc w:val="center"/>
        </w:trPr>
        <w:tc>
          <w:tcPr>
            <w:tcW w:w="849" w:type="dxa"/>
            <w:vMerge w:val="restart"/>
            <w:vAlign w:val="center"/>
          </w:tcPr>
          <w:p>
            <w:pPr>
              <w:jc w:val="center"/>
              <w:rPr>
                <w:rFonts w:ascii="宋体" w:hAnsi="宋体" w:cs="宋体"/>
                <w:color w:val="auto"/>
                <w:sz w:val="24"/>
                <w:szCs w:val="32"/>
                <w:highlight w:val="none"/>
              </w:rPr>
            </w:pPr>
            <w:r>
              <w:rPr>
                <w:rFonts w:hint="eastAsia" w:ascii="宋体" w:hAnsi="宋体" w:cs="宋体"/>
                <w:color w:val="auto"/>
                <w:sz w:val="24"/>
                <w:szCs w:val="32"/>
                <w:highlight w:val="none"/>
              </w:rPr>
              <w:t>2.1.1</w:t>
            </w:r>
          </w:p>
        </w:tc>
        <w:tc>
          <w:tcPr>
            <w:tcW w:w="708" w:type="dxa"/>
            <w:vMerge w:val="restart"/>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资格评审标准</w:t>
            </w:r>
          </w:p>
        </w:tc>
        <w:tc>
          <w:tcPr>
            <w:tcW w:w="2127" w:type="dxa"/>
            <w:vAlign w:val="center"/>
          </w:tcPr>
          <w:p>
            <w:pPr>
              <w:spacing w:line="240" w:lineRule="auto"/>
              <w:jc w:val="center"/>
              <w:rPr>
                <w:rFonts w:ascii="宋体" w:hAnsi="宋体" w:cs="宋体"/>
                <w:color w:val="auto"/>
                <w:sz w:val="24"/>
                <w:szCs w:val="32"/>
                <w:highlight w:val="none"/>
              </w:rPr>
            </w:pPr>
            <w:bookmarkStart w:id="385" w:name="OLE_LINK3"/>
            <w:r>
              <w:rPr>
                <w:rFonts w:hint="eastAsia" w:ascii="宋体" w:hAnsi="宋体" w:cs="宋体"/>
                <w:color w:val="auto"/>
                <w:sz w:val="24"/>
                <w:szCs w:val="24"/>
                <w:highlight w:val="none"/>
                <w:lang w:val="en-US" w:eastAsia="zh-CN"/>
              </w:rPr>
              <w:t>中小企业</w:t>
            </w:r>
            <w:bookmarkEnd w:id="385"/>
          </w:p>
        </w:tc>
        <w:tc>
          <w:tcPr>
            <w:tcW w:w="6500" w:type="dxa"/>
            <w:vAlign w:val="center"/>
          </w:tcPr>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ascii="宋体" w:hAnsi="宋体" w:cs="宋体"/>
                <w:color w:val="auto"/>
                <w:sz w:val="24"/>
                <w:szCs w:val="32"/>
                <w:highlight w:val="none"/>
                <w:lang w:eastAsia="zh-CN"/>
              </w:rPr>
            </w:pPr>
            <w:r>
              <w:rPr>
                <w:rFonts w:hint="eastAsia" w:ascii="宋体" w:hAnsi="宋体" w:eastAsia="宋体" w:cs="宋体"/>
                <w:color w:val="auto"/>
                <w:sz w:val="24"/>
                <w:szCs w:val="32"/>
                <w:highlight w:val="none"/>
                <w:lang w:eastAsia="zh-CN"/>
              </w:rPr>
              <w:t>本项目专门面向中小企业采购,供应商应为中小微企业、监狱企业、残疾人福利性单位</w:t>
            </w:r>
            <w:r>
              <w:rPr>
                <w:rFonts w:hint="eastAsia" w:ascii="宋体" w:hAnsi="宋体" w:cs="宋体"/>
                <w:color w:val="auto"/>
                <w:sz w:val="24"/>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val="en-US" w:eastAsia="zh-CN"/>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spacing w:line="240" w:lineRule="auto"/>
              <w:jc w:val="center"/>
              <w:rPr>
                <w:rFonts w:ascii="宋体" w:hAnsi="宋体" w:cs="宋体"/>
                <w:color w:val="auto"/>
                <w:sz w:val="24"/>
                <w:szCs w:val="32"/>
                <w:highlight w:val="none"/>
              </w:rPr>
            </w:pPr>
            <w:bookmarkStart w:id="386" w:name="OLE_LINK4"/>
            <w:r>
              <w:rPr>
                <w:rFonts w:hint="eastAsia" w:ascii="宋体" w:hAnsi="宋体" w:cs="宋体"/>
                <w:color w:val="auto"/>
                <w:sz w:val="24"/>
                <w:szCs w:val="24"/>
                <w:highlight w:val="none"/>
              </w:rPr>
              <w:t>营业执照</w:t>
            </w:r>
            <w:bookmarkEnd w:id="386"/>
          </w:p>
        </w:tc>
        <w:tc>
          <w:tcPr>
            <w:tcW w:w="6500" w:type="dxa"/>
            <w:vAlign w:val="center"/>
          </w:tcPr>
          <w:p>
            <w:pPr>
              <w:spacing w:line="240" w:lineRule="auto"/>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rPr>
              <w:t>具备有效的企业营业执照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226"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财务状况</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近年财务状况，提供财务审计报告</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rPr>
              <w:t>财务报表（202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年度</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年度）</w:t>
            </w:r>
            <w:r>
              <w:rPr>
                <w:rFonts w:hint="eastAsia" w:ascii="宋体" w:hAnsi="宋体" w:cs="宋体"/>
                <w:sz w:val="24"/>
                <w:szCs w:val="24"/>
                <w:highlight w:val="none"/>
                <w:lang w:val="en-US" w:eastAsia="zh-CN"/>
              </w:rPr>
              <w:t>或</w:t>
            </w:r>
            <w:r>
              <w:rPr>
                <w:rFonts w:hint="eastAsia" w:ascii="宋体" w:hAnsi="宋体"/>
                <w:color w:val="auto"/>
                <w:sz w:val="24"/>
                <w:highlight w:val="none"/>
                <w:lang w:eastAsia="zh-CN"/>
              </w:rPr>
              <w:t>由法定代表人（委托代理人）签字并加盖公章</w:t>
            </w:r>
            <w:r>
              <w:rPr>
                <w:rFonts w:hint="eastAsia" w:ascii="宋体" w:hAnsi="宋体"/>
                <w:color w:val="auto"/>
                <w:sz w:val="24"/>
                <w:highlight w:val="none"/>
                <w:lang w:val="en-US" w:eastAsia="zh-CN"/>
              </w:rPr>
              <w:t>的</w:t>
            </w:r>
            <w:r>
              <w:rPr>
                <w:rFonts w:hint="eastAsia" w:ascii="宋体" w:hAnsi="宋体" w:cs="宋体"/>
                <w:sz w:val="24"/>
                <w:szCs w:val="24"/>
                <w:highlight w:val="none"/>
                <w:lang w:val="en-US" w:eastAsia="zh-CN"/>
              </w:rPr>
              <w:t>财务状况良好声明。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7"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信誉</w:t>
            </w:r>
          </w:p>
        </w:tc>
        <w:tc>
          <w:tcPr>
            <w:tcW w:w="650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提供公告期内的“信用中国”网站（www.creditchina.gov.cn）未列入①失信被执行人②重大税收违法失信主体名单</w:t>
            </w:r>
            <w:r>
              <w:rPr>
                <w:rFonts w:hint="eastAsia" w:ascii="宋体" w:hAnsi="宋体" w:cs="宋体"/>
                <w:color w:val="auto"/>
                <w:sz w:val="24"/>
                <w:szCs w:val="24"/>
                <w:highlight w:val="none"/>
                <w:lang w:eastAsia="zh-CN"/>
              </w:rPr>
              <w:t>③政府采购严重违法失信行为记录名单的官网截图并加盖公章</w:t>
            </w:r>
            <w:r>
              <w:rPr>
                <w:rFonts w:hint="eastAsia" w:ascii="宋体" w:hAnsi="宋体" w:cs="宋体"/>
                <w:color w:val="auto"/>
                <w:sz w:val="24"/>
                <w:szCs w:val="24"/>
                <w:highlight w:val="none"/>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拒绝列入政府取消投标资格记录期间的企业或个人投标，投标人提供由法人签字并加盖公章的承诺书。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eastAsia="zh-CN"/>
              </w:rPr>
              <w:t>负责人</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lang w:eastAsia="zh-CN"/>
              </w:rPr>
              <w:t>拟派项目负责人具备园林绿化或林业工程中级及以上技术职称；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top"/>
          </w:tcPr>
          <w:p>
            <w:pPr>
              <w:widowControl/>
              <w:jc w:val="left"/>
              <w:rPr>
                <w:rFonts w:ascii="宋体" w:hAnsi="宋体" w:cs="宋体"/>
                <w:color w:val="auto"/>
                <w:sz w:val="24"/>
                <w:szCs w:val="32"/>
                <w:highlight w:val="none"/>
              </w:rPr>
            </w:pPr>
          </w:p>
        </w:tc>
        <w:tc>
          <w:tcPr>
            <w:tcW w:w="708" w:type="dxa"/>
            <w:vMerge w:val="continue"/>
            <w:vAlign w:val="top"/>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其他要求</w:t>
            </w:r>
          </w:p>
        </w:tc>
        <w:tc>
          <w:tcPr>
            <w:tcW w:w="6500" w:type="dxa"/>
            <w:vAlign w:val="center"/>
          </w:tcPr>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restart"/>
            <w:vAlign w:val="center"/>
          </w:tcPr>
          <w:p>
            <w:pPr>
              <w:jc w:val="center"/>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2.1.</w:t>
            </w:r>
            <w:r>
              <w:rPr>
                <w:rFonts w:hint="eastAsia" w:ascii="宋体" w:hAnsi="宋体" w:cs="宋体"/>
                <w:color w:val="auto"/>
                <w:sz w:val="24"/>
                <w:szCs w:val="32"/>
                <w:highlight w:val="none"/>
                <w:lang w:val="en-US" w:eastAsia="zh-CN"/>
              </w:rPr>
              <w:t>2</w:t>
            </w:r>
          </w:p>
        </w:tc>
        <w:tc>
          <w:tcPr>
            <w:tcW w:w="708" w:type="dxa"/>
            <w:vMerge w:val="restart"/>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符合性评审标准</w:t>
            </w: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spacing w:val="9"/>
                <w:sz w:val="24"/>
                <w:szCs w:val="24"/>
                <w:lang w:val="en-US" w:eastAsia="zh-CN"/>
              </w:rPr>
              <w:t>服务方案</w:t>
            </w:r>
            <w:r>
              <w:rPr>
                <w:rFonts w:hint="eastAsia" w:ascii="宋体" w:hAnsi="宋体" w:eastAsia="宋体" w:cs="宋体"/>
                <w:spacing w:val="9"/>
                <w:sz w:val="24"/>
                <w:szCs w:val="24"/>
              </w:rPr>
              <w:t>采</w:t>
            </w:r>
            <w:r>
              <w:rPr>
                <w:rFonts w:hint="eastAsia" w:ascii="宋体" w:hAnsi="宋体" w:eastAsia="宋体" w:cs="宋体"/>
                <w:spacing w:val="5"/>
                <w:sz w:val="24"/>
                <w:szCs w:val="24"/>
              </w:rPr>
              <w:t>用“暗标”评审方式</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投标文件技术标必须遵守的统一格式和规范。</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技术标文件（暗标）未按以下“盲评”要求制作的，为无效投标，除下述要求外，不得因暗标格式问题认定为无效投标：</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1.版面要求：A4纸张大小；</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2.颜色要求：所有文字、图表均为黑色；</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rPr>
                <w:rFonts w:hint="eastAsia" w:ascii="宋体" w:hAnsi="宋体" w:cs="宋体"/>
                <w:color w:val="auto"/>
                <w:sz w:val="24"/>
                <w:szCs w:val="24"/>
                <w:highlight w:val="none"/>
              </w:rPr>
            </w:pPr>
            <w:r>
              <w:rPr>
                <w:rFonts w:hint="eastAsia" w:ascii="宋体" w:hAnsi="宋体" w:eastAsia="宋体" w:cs="宋体"/>
                <w:color w:val="auto"/>
                <w:sz w:val="24"/>
                <w:szCs w:val="32"/>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技术标页码</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技术标文件不得超过</w:t>
            </w:r>
            <w:r>
              <w:rPr>
                <w:rFonts w:hint="eastAsia" w:ascii="宋体" w:hAnsi="宋体" w:cs="宋体"/>
                <w:color w:val="auto"/>
                <w:sz w:val="24"/>
                <w:szCs w:val="24"/>
                <w:highlight w:val="none"/>
                <w:lang w:val="en-US" w:eastAsia="zh-CN"/>
              </w:rPr>
              <w:t>200</w:t>
            </w:r>
            <w:r>
              <w:rPr>
                <w:rFonts w:hint="eastAsia" w:ascii="宋体" w:hAnsi="宋体" w:cs="宋体"/>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与营业执照、</w:t>
            </w:r>
            <w:r>
              <w:rPr>
                <w:rFonts w:hint="eastAsia" w:ascii="宋体" w:hAnsi="宋体" w:cs="宋体"/>
                <w:color w:val="auto"/>
                <w:sz w:val="24"/>
                <w:szCs w:val="24"/>
                <w:highlight w:val="none"/>
                <w:lang w:val="en-US" w:eastAsia="zh-CN"/>
              </w:rPr>
              <w:t>开户许可证</w:t>
            </w:r>
            <w:r>
              <w:rPr>
                <w:rFonts w:hint="eastAsia" w:ascii="宋体" w:hAnsi="宋体" w:cs="宋体"/>
                <w:color w:val="auto"/>
                <w:sz w:val="24"/>
                <w:szCs w:val="24"/>
                <w:highlight w:val="none"/>
              </w:rPr>
              <w:t>一致</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投标函签字盖章</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有法定代表人或其委托代理人签字或加盖单位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磋商响应文件格式</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ascii="宋体" w:hAnsi="宋体" w:cs="宋体"/>
                <w:color w:val="auto"/>
                <w:sz w:val="24"/>
                <w:szCs w:val="32"/>
                <w:highlight w:val="none"/>
              </w:rPr>
            </w:pPr>
          </w:p>
        </w:tc>
        <w:tc>
          <w:tcPr>
            <w:tcW w:w="708" w:type="dxa"/>
            <w:vMerge w:val="continue"/>
            <w:vAlign w:val="center"/>
          </w:tcPr>
          <w:p>
            <w:pPr>
              <w:jc w:val="center"/>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投标内容</w:t>
            </w:r>
          </w:p>
        </w:tc>
        <w:tc>
          <w:tcPr>
            <w:tcW w:w="6500" w:type="dxa"/>
            <w:vAlign w:val="center"/>
          </w:tcPr>
          <w:p>
            <w:pPr>
              <w:rPr>
                <w:rFonts w:ascii="宋体" w:hAnsi="宋体" w:cs="宋体"/>
                <w:color w:val="auto"/>
                <w:sz w:val="24"/>
                <w:szCs w:val="32"/>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24"/>
                <w:highlight w:val="none"/>
                <w:lang w:val="en-US" w:eastAsia="zh-CN"/>
              </w:rPr>
              <w:t>服务周期</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2026年05月23日至2027年05月23日，共计365日历天。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质量要求</w:t>
            </w:r>
          </w:p>
        </w:tc>
        <w:tc>
          <w:tcPr>
            <w:tcW w:w="6500" w:type="dxa"/>
            <w:vAlign w:val="center"/>
          </w:tcPr>
          <w:p>
            <w:pPr>
              <w:rPr>
                <w:rFonts w:ascii="宋体" w:hAnsi="宋体" w:cs="宋体"/>
                <w:color w:val="auto"/>
                <w:sz w:val="24"/>
                <w:szCs w:val="24"/>
                <w:highlight w:val="none"/>
              </w:rPr>
            </w:pPr>
            <w:r>
              <w:rPr>
                <w:rFonts w:hint="eastAsia" w:ascii="宋体" w:hAnsi="宋体" w:cs="宋体"/>
                <w:sz w:val="24"/>
                <w:szCs w:val="24"/>
                <w:highlight w:val="none"/>
              </w:rPr>
              <w:t>符合国家及现行行业相关标准并满足采购人要求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投标有效期</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90天（日历天）</w:t>
            </w:r>
            <w:r>
              <w:rPr>
                <w:rFonts w:hint="eastAsia" w:ascii="宋体" w:hAnsi="宋体" w:cs="宋体"/>
                <w:color w:val="auto"/>
                <w:sz w:val="24"/>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磋商保证金</w:t>
            </w:r>
          </w:p>
        </w:tc>
        <w:tc>
          <w:tcPr>
            <w:tcW w:w="6500" w:type="dxa"/>
            <w:vAlign w:val="center"/>
          </w:tcPr>
          <w:p>
            <w:pPr>
              <w:rPr>
                <w:rFonts w:ascii="宋体" w:hAnsi="宋体" w:cs="宋体"/>
                <w:color w:val="auto"/>
                <w:sz w:val="24"/>
                <w:szCs w:val="32"/>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16"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pStyle w:val="24"/>
              <w:tabs>
                <w:tab w:val="clear" w:pos="4153"/>
                <w:tab w:val="clear" w:pos="8306"/>
              </w:tabs>
              <w:autoSpaceDE w:val="0"/>
              <w:autoSpaceDN w:val="0"/>
              <w:adjustRightInd w:val="0"/>
              <w:snapToGrid/>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投标价格</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低于（含等于）投标人须知前附表第</w:t>
            </w: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rPr>
              <w:t>项载明的招标控制价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最高投标限价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bl>
    <w:p>
      <w:pPr>
        <w:pStyle w:val="53"/>
      </w:pPr>
    </w:p>
    <w:p>
      <w:pPr>
        <w:pStyle w:val="53"/>
      </w:pPr>
    </w:p>
    <w:p>
      <w:pPr>
        <w:pStyle w:val="53"/>
      </w:pPr>
    </w:p>
    <w:p>
      <w:pPr>
        <w:pStyle w:val="53"/>
      </w:pPr>
    </w:p>
    <w:p>
      <w:pPr>
        <w:pStyle w:val="53"/>
      </w:pPr>
    </w:p>
    <w:p>
      <w:pPr>
        <w:pStyle w:val="53"/>
      </w:pPr>
    </w:p>
    <w:p>
      <w:pPr>
        <w:pStyle w:val="53"/>
      </w:pPr>
    </w:p>
    <w:p>
      <w:pPr>
        <w:pStyle w:val="53"/>
      </w:pPr>
    </w:p>
    <w:p>
      <w:pPr>
        <w:pStyle w:val="53"/>
      </w:pPr>
    </w:p>
    <w:p>
      <w:pPr>
        <w:pStyle w:val="53"/>
      </w:pPr>
    </w:p>
    <w:p>
      <w:pPr>
        <w:pStyle w:val="53"/>
      </w:pPr>
    </w:p>
    <w:p>
      <w:pPr>
        <w:pStyle w:val="53"/>
      </w:pPr>
    </w:p>
    <w:tbl>
      <w:tblPr>
        <w:tblStyle w:val="37"/>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127"/>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55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212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条款内容</w:t>
            </w:r>
          </w:p>
        </w:tc>
        <w:tc>
          <w:tcPr>
            <w:tcW w:w="6515"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6515" w:type="dxa"/>
            <w:vAlign w:val="center"/>
          </w:tcPr>
          <w:p>
            <w:pPr>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val="en-US" w:eastAsia="zh-CN"/>
              </w:rPr>
              <w:t>服务方案</w:t>
            </w:r>
            <w:r>
              <w:rPr>
                <w:rFonts w:hint="eastAsia" w:asciiTheme="minorEastAsia" w:hAnsiTheme="minorEastAsia" w:eastAsiaTheme="minorEastAsia" w:cstheme="minorEastAsia"/>
                <w:color w:val="auto"/>
                <w:sz w:val="24"/>
                <w:szCs w:val="32"/>
                <w:highlight w:val="none"/>
              </w:rPr>
              <w:t>：</w:t>
            </w:r>
            <w:r>
              <w:rPr>
                <w:rFonts w:hint="eastAsia" w:asciiTheme="minorEastAsia" w:hAnsiTheme="minorEastAsia" w:eastAsiaTheme="minorEastAsia" w:cstheme="minorEastAsia"/>
                <w:color w:val="auto"/>
                <w:sz w:val="24"/>
                <w:szCs w:val="32"/>
                <w:highlight w:val="none"/>
                <w:lang w:val="en-US" w:eastAsia="zh-CN"/>
              </w:rPr>
              <w:t>70</w:t>
            </w:r>
            <w:r>
              <w:rPr>
                <w:rFonts w:hint="eastAsia" w:asciiTheme="minorEastAsia" w:hAnsiTheme="minorEastAsia" w:eastAsiaTheme="minorEastAsia" w:cstheme="minorEastAsia"/>
                <w:color w:val="auto"/>
                <w:sz w:val="24"/>
                <w:szCs w:val="32"/>
                <w:highlight w:val="none"/>
              </w:rPr>
              <w:t xml:space="preserve">分         </w:t>
            </w:r>
            <w:r>
              <w:rPr>
                <w:rFonts w:hint="eastAsia" w:asciiTheme="minorEastAsia" w:hAnsiTheme="minorEastAsia" w:eastAsiaTheme="minorEastAsia" w:cstheme="minorEastAsia"/>
                <w:color w:val="auto"/>
                <w:sz w:val="24"/>
                <w:szCs w:val="32"/>
                <w:highlight w:val="none"/>
                <w:lang w:val="en-US" w:eastAsia="zh-CN"/>
              </w:rPr>
              <w:t xml:space="preserve">       </w:t>
            </w:r>
            <w:r>
              <w:rPr>
                <w:rFonts w:hint="eastAsia" w:asciiTheme="minorEastAsia" w:hAnsiTheme="minorEastAsia" w:eastAsiaTheme="minorEastAsia" w:cstheme="minorEastAsia"/>
                <w:color w:val="auto"/>
                <w:sz w:val="24"/>
                <w:szCs w:val="32"/>
                <w:highlight w:val="none"/>
                <w:lang w:eastAsia="zh-CN"/>
              </w:rPr>
              <w:t>商务部分</w:t>
            </w:r>
            <w:r>
              <w:rPr>
                <w:rFonts w:hint="eastAsia" w:asciiTheme="minorEastAsia" w:hAnsiTheme="minorEastAsia" w:eastAsiaTheme="minorEastAsia" w:cstheme="minorEastAsia"/>
                <w:color w:val="auto"/>
                <w:sz w:val="24"/>
                <w:szCs w:val="32"/>
                <w:highlight w:val="none"/>
              </w:rPr>
              <w:t>：</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分</w:t>
            </w:r>
          </w:p>
          <w:p>
            <w:pPr>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32"/>
                <w:highlight w:val="none"/>
              </w:rPr>
              <w:t>投标报价：</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 xml:space="preserve">分           </w:t>
            </w:r>
            <w:r>
              <w:rPr>
                <w:rFonts w:hint="eastAsia" w:asciiTheme="minorEastAsia" w:hAnsiTheme="minorEastAsia" w:eastAsiaTheme="minorEastAsia" w:cstheme="minorEastAsia"/>
                <w:color w:val="auto"/>
                <w:sz w:val="24"/>
                <w:szCs w:val="32"/>
                <w:highlight w:val="none"/>
                <w:lang w:val="en-US" w:eastAsia="zh-CN"/>
              </w:rPr>
              <w:t xml:space="preserve">     其他因素：10分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价格因素</w:t>
            </w:r>
          </w:p>
        </w:tc>
        <w:tc>
          <w:tcPr>
            <w:tcW w:w="6515" w:type="dxa"/>
            <w:vAlign w:val="center"/>
          </w:tcPr>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基准价分值为</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分</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w:t>
            </w:r>
            <w:r>
              <w:rPr>
                <w:rFonts w:hint="eastAsia" w:asciiTheme="minorEastAsia" w:hAnsiTheme="minorEastAsia" w:eastAsiaTheme="minorEastAsia" w:cstheme="minorEastAsia"/>
                <w:color w:val="auto"/>
                <w:sz w:val="24"/>
                <w:szCs w:val="32"/>
                <w:highlight w:val="none"/>
                <w:lang w:eastAsia="zh-CN"/>
              </w:rPr>
              <w:t>投标人</w:t>
            </w:r>
            <w:r>
              <w:rPr>
                <w:rFonts w:hint="eastAsia" w:asciiTheme="minorEastAsia" w:hAnsiTheme="minorEastAsia" w:eastAsiaTheme="minorEastAsia" w:cstheme="minorEastAsia"/>
                <w:color w:val="auto"/>
                <w:sz w:val="24"/>
                <w:szCs w:val="32"/>
                <w:highlight w:val="none"/>
              </w:rPr>
              <w:t>最后报价最低价格</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当投标人的</w:t>
            </w:r>
            <w:r>
              <w:rPr>
                <w:rFonts w:hint="eastAsia" w:asciiTheme="minorEastAsia" w:hAnsiTheme="minorEastAsia" w:eastAsiaTheme="minorEastAsia" w:cstheme="minorEastAsia"/>
                <w:color w:val="auto"/>
                <w:sz w:val="24"/>
                <w:szCs w:val="32"/>
                <w:highlight w:val="none"/>
                <w:lang w:eastAsia="zh-CN"/>
              </w:rPr>
              <w:t>最后</w:t>
            </w:r>
            <w:r>
              <w:rPr>
                <w:rFonts w:hint="eastAsia" w:asciiTheme="minorEastAsia" w:hAnsiTheme="minorEastAsia" w:eastAsiaTheme="minorEastAsia" w:cstheme="minorEastAsia"/>
                <w:color w:val="auto"/>
                <w:sz w:val="24"/>
                <w:szCs w:val="32"/>
                <w:highlight w:val="none"/>
              </w:rPr>
              <w:t>报价等于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基准价时，得满分</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分；</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投标人的价格分按下列公式计算：</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报价得分=（</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基准价/最后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×100%</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项目评审过程中，不得去掉最后报价中的最高报价和最低报价。</w:t>
            </w:r>
          </w:p>
        </w:tc>
      </w:tr>
    </w:tbl>
    <w:p>
      <w:pPr>
        <w:pStyle w:val="53"/>
        <w:sectPr>
          <w:footerReference r:id="rId6" w:type="default"/>
          <w:pgSz w:w="11906" w:h="16838"/>
          <w:pgMar w:top="1418" w:right="1134" w:bottom="1418" w:left="1418" w:header="851" w:footer="992" w:gutter="0"/>
          <w:pgNumType w:fmt="decimal" w:start="1"/>
          <w:cols w:space="720" w:num="1"/>
          <w:docGrid w:type="linesAndChars" w:linePitch="312" w:charSpace="0"/>
        </w:sectPr>
      </w:pPr>
    </w:p>
    <w:tbl>
      <w:tblPr>
        <w:tblStyle w:val="37"/>
        <w:tblpPr w:leftFromText="180" w:rightFromText="180" w:vertAnchor="text" w:horzAnchor="page" w:tblpX="1116" w:tblpY="72"/>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109"/>
        <w:gridCol w:w="1920"/>
        <w:gridCol w:w="4926"/>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410" w:type="dxa"/>
            <w:tcBorders>
              <w:top w:val="single" w:color="auto" w:sz="4" w:space="0"/>
              <w:left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b/>
                <w:bCs/>
                <w:color w:val="auto"/>
                <w:sz w:val="22"/>
                <w:szCs w:val="22"/>
                <w:highlight w:val="none"/>
                <w:lang w:val="zh-CN"/>
              </w:rPr>
            </w:pPr>
            <w:bookmarkStart w:id="387" w:name="_Toc460361805"/>
            <w:r>
              <w:rPr>
                <w:rFonts w:hint="eastAsia" w:asciiTheme="minorEastAsia" w:hAnsiTheme="minorEastAsia" w:eastAsiaTheme="minorEastAsia" w:cstheme="minorEastAsia"/>
                <w:b/>
                <w:bCs/>
                <w:color w:val="auto"/>
                <w:sz w:val="22"/>
                <w:szCs w:val="22"/>
                <w:highlight w:val="none"/>
              </w:rPr>
              <w:t>条款号</w:t>
            </w:r>
          </w:p>
        </w:tc>
        <w:tc>
          <w:tcPr>
            <w:tcW w:w="1109" w:type="dxa"/>
            <w:tcBorders>
              <w:top w:val="single" w:color="auto" w:sz="4" w:space="0"/>
              <w:left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评分</w:t>
            </w:r>
          </w:p>
          <w:p>
            <w:pPr>
              <w:spacing w:line="300" w:lineRule="exact"/>
              <w:jc w:val="center"/>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因素</w:t>
            </w:r>
          </w:p>
        </w:tc>
        <w:tc>
          <w:tcPr>
            <w:tcW w:w="684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评分标准</w:t>
            </w:r>
          </w:p>
        </w:tc>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1410" w:type="dxa"/>
            <w:vMerge w:val="restart"/>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2.2.</w:t>
            </w: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val="zh-CN"/>
              </w:rPr>
              <w:t>(l)</w:t>
            </w:r>
          </w:p>
        </w:tc>
        <w:tc>
          <w:tcPr>
            <w:tcW w:w="1109" w:type="dxa"/>
            <w:vMerge w:val="restart"/>
            <w:tcBorders>
              <w:left w:val="single" w:color="auto" w:sz="4" w:space="0"/>
              <w:right w:val="single" w:color="auto" w:sz="4" w:space="0"/>
            </w:tcBorders>
            <w:vAlign w:val="center"/>
          </w:tcPr>
          <w:p>
            <w:pPr>
              <w:autoSpaceDE w:val="0"/>
              <w:autoSpaceDN w:val="0"/>
              <w:adjustRightInd w:val="0"/>
              <w:spacing w:line="26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服务方案</w:t>
            </w: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绿化养护方案</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绿化养护方案及工作措施具体包含：浇水、修剪、病虫害防治、施肥、除草等方案，且方案有针对性。</w:t>
            </w:r>
          </w:p>
          <w:p>
            <w:pPr>
              <w:widowControl/>
              <w:numPr>
                <w:ilvl w:val="0"/>
                <w:numId w:val="0"/>
              </w:numPr>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val="zh-CN"/>
              </w:rPr>
              <w:t>绿化养护方案</w:t>
            </w:r>
            <w:r>
              <w:rPr>
                <w:rFonts w:hint="eastAsia" w:asciiTheme="minorEastAsia" w:hAnsiTheme="minorEastAsia" w:eastAsiaTheme="minorEastAsia" w:cstheme="minorEastAsia"/>
                <w:sz w:val="22"/>
                <w:szCs w:val="22"/>
                <w:lang w:val="en-US" w:eastAsia="zh-CN"/>
              </w:rPr>
              <w:t>措施详细、完善、合理并完全满足采购需求，得8分；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val="zh-CN"/>
              </w:rPr>
              <w:t>绿化养护方案</w:t>
            </w:r>
            <w:r>
              <w:rPr>
                <w:rFonts w:hint="eastAsia" w:asciiTheme="minorEastAsia" w:hAnsiTheme="minorEastAsia" w:eastAsiaTheme="minorEastAsia" w:cstheme="minorEastAsia"/>
                <w:sz w:val="22"/>
                <w:szCs w:val="22"/>
                <w:lang w:val="en-US" w:eastAsia="zh-CN"/>
              </w:rPr>
              <w:t>措施较详细、完善、合理并基本满足采购需求，得5分；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val="zh-CN"/>
              </w:rPr>
              <w:t>绿化养护方案</w:t>
            </w:r>
            <w:r>
              <w:rPr>
                <w:rFonts w:hint="eastAsia" w:asciiTheme="minorEastAsia" w:hAnsiTheme="minorEastAsia" w:eastAsiaTheme="minorEastAsia" w:cstheme="minorEastAsia"/>
                <w:sz w:val="22"/>
                <w:szCs w:val="22"/>
                <w:lang w:val="en-US" w:eastAsia="zh-CN"/>
              </w:rPr>
              <w:t>措施不详细、基本不满足采购需求，得2分；</w:t>
            </w:r>
          </w:p>
          <w:p>
            <w:pPr>
              <w:pStyle w:val="53"/>
              <w:ind w:left="0" w:leftChars="0" w:firstLine="0" w:firstLineChars="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en-US" w:eastAsia="zh-CN"/>
              </w:rPr>
              <w:t>4、未提供或完全不满足采购需求，不得分。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7"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季节性养护服务措施（冬、雨、风沙）</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季节性养护服务措施（冬、雨、风沙）:投标企业针对季节性养护措施具有完整、可行性。</w:t>
            </w:r>
          </w:p>
          <w:p>
            <w:pPr>
              <w:widowControl/>
              <w:numPr>
                <w:ilvl w:val="0"/>
                <w:numId w:val="0"/>
              </w:numPr>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bCs/>
                <w:color w:val="auto"/>
                <w:sz w:val="22"/>
                <w:szCs w:val="22"/>
                <w:highlight w:val="none"/>
                <w:lang w:val="zh-CN"/>
              </w:rPr>
              <w:t>季节性养护服务措施</w:t>
            </w:r>
            <w:r>
              <w:rPr>
                <w:rFonts w:hint="eastAsia" w:asciiTheme="minorEastAsia" w:hAnsiTheme="minorEastAsia" w:eastAsiaTheme="minorEastAsia" w:cstheme="minorEastAsia"/>
                <w:sz w:val="22"/>
                <w:szCs w:val="22"/>
                <w:lang w:val="en-US" w:eastAsia="zh-CN"/>
              </w:rPr>
              <w:t>详细、完善、合理并完全满足采购需求，得8分；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bCs/>
                <w:color w:val="auto"/>
                <w:sz w:val="22"/>
                <w:szCs w:val="22"/>
                <w:highlight w:val="none"/>
                <w:lang w:val="zh-CN"/>
              </w:rPr>
              <w:t>季节性养护服务措施</w:t>
            </w:r>
            <w:r>
              <w:rPr>
                <w:rFonts w:hint="eastAsia" w:asciiTheme="minorEastAsia" w:hAnsiTheme="minorEastAsia" w:eastAsiaTheme="minorEastAsia" w:cstheme="minorEastAsia"/>
                <w:sz w:val="22"/>
                <w:szCs w:val="22"/>
                <w:lang w:val="en-US" w:eastAsia="zh-CN"/>
              </w:rPr>
              <w:t>较详细、完善、合理并基本满足采购需求，得5分；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bCs/>
                <w:color w:val="auto"/>
                <w:sz w:val="22"/>
                <w:szCs w:val="22"/>
                <w:highlight w:val="none"/>
                <w:lang w:val="zh-CN"/>
              </w:rPr>
              <w:t>季节性养护服务措施</w:t>
            </w:r>
            <w:r>
              <w:rPr>
                <w:rFonts w:hint="eastAsia" w:asciiTheme="minorEastAsia" w:hAnsiTheme="minorEastAsia" w:eastAsiaTheme="minorEastAsia" w:cstheme="minorEastAsia"/>
                <w:sz w:val="22"/>
                <w:szCs w:val="22"/>
                <w:lang w:val="en-US" w:eastAsia="zh-CN"/>
              </w:rPr>
              <w:t>不详细、基本不满足采购需求，得2分；</w:t>
            </w:r>
          </w:p>
          <w:p>
            <w:pPr>
              <w:pStyle w:val="53"/>
              <w:ind w:left="0" w:leftChars="0" w:firstLine="0" w:firstLineChars="0"/>
              <w:jc w:val="left"/>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en-US" w:eastAsia="zh-CN"/>
              </w:rPr>
              <w:t>4、未提供或完全不满足采购需求，不得分。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绿地卫生、</w:t>
            </w:r>
          </w:p>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基础设施卫生及维护方案</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绿地卫生、基础设施卫生及基础设施维护方案详细、可行。</w:t>
            </w:r>
          </w:p>
          <w:p>
            <w:pPr>
              <w:widowControl/>
              <w:numPr>
                <w:ilvl w:val="0"/>
                <w:numId w:val="0"/>
              </w:numPr>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bCs/>
                <w:color w:val="auto"/>
                <w:sz w:val="22"/>
                <w:szCs w:val="22"/>
                <w:highlight w:val="none"/>
                <w:lang w:val="en-US" w:eastAsia="zh-CN"/>
              </w:rPr>
              <w:t>方案</w:t>
            </w:r>
            <w:r>
              <w:rPr>
                <w:rFonts w:hint="eastAsia" w:asciiTheme="minorEastAsia" w:hAnsiTheme="minorEastAsia" w:eastAsiaTheme="minorEastAsia" w:cstheme="minorEastAsia"/>
                <w:bCs/>
                <w:color w:val="auto"/>
                <w:sz w:val="22"/>
                <w:szCs w:val="22"/>
                <w:highlight w:val="none"/>
                <w:lang w:val="zh-CN"/>
              </w:rPr>
              <w:t>措施</w:t>
            </w:r>
            <w:r>
              <w:rPr>
                <w:rFonts w:hint="eastAsia" w:asciiTheme="minorEastAsia" w:hAnsiTheme="minorEastAsia" w:eastAsiaTheme="minorEastAsia" w:cstheme="minorEastAsia"/>
                <w:sz w:val="22"/>
                <w:szCs w:val="22"/>
                <w:lang w:val="en-US" w:eastAsia="zh-CN"/>
              </w:rPr>
              <w:t>详细、完善、合理并完全满足采购需求，得8分；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bCs/>
                <w:color w:val="auto"/>
                <w:sz w:val="22"/>
                <w:szCs w:val="22"/>
                <w:highlight w:val="none"/>
                <w:lang w:val="en-US" w:eastAsia="zh-CN"/>
              </w:rPr>
              <w:t>方案</w:t>
            </w:r>
            <w:r>
              <w:rPr>
                <w:rFonts w:hint="eastAsia" w:asciiTheme="minorEastAsia" w:hAnsiTheme="minorEastAsia" w:eastAsiaTheme="minorEastAsia" w:cstheme="minorEastAsia"/>
                <w:bCs/>
                <w:color w:val="auto"/>
                <w:sz w:val="22"/>
                <w:szCs w:val="22"/>
                <w:highlight w:val="none"/>
                <w:lang w:val="zh-CN"/>
              </w:rPr>
              <w:t>措施</w:t>
            </w:r>
            <w:r>
              <w:rPr>
                <w:rFonts w:hint="eastAsia" w:asciiTheme="minorEastAsia" w:hAnsiTheme="minorEastAsia" w:eastAsiaTheme="minorEastAsia" w:cstheme="minorEastAsia"/>
                <w:sz w:val="22"/>
                <w:szCs w:val="22"/>
                <w:lang w:val="en-US" w:eastAsia="zh-CN"/>
              </w:rPr>
              <w:t>较详细、完善、合理并基本满足采购需求，得5分；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bCs/>
                <w:color w:val="auto"/>
                <w:sz w:val="22"/>
                <w:szCs w:val="22"/>
                <w:highlight w:val="none"/>
                <w:lang w:val="en-US" w:eastAsia="zh-CN"/>
              </w:rPr>
              <w:t>方案</w:t>
            </w:r>
            <w:r>
              <w:rPr>
                <w:rFonts w:hint="eastAsia" w:asciiTheme="minorEastAsia" w:hAnsiTheme="minorEastAsia" w:eastAsiaTheme="minorEastAsia" w:cstheme="minorEastAsia"/>
                <w:bCs/>
                <w:color w:val="auto"/>
                <w:sz w:val="22"/>
                <w:szCs w:val="22"/>
                <w:highlight w:val="none"/>
                <w:lang w:val="zh-CN"/>
              </w:rPr>
              <w:t>措施</w:t>
            </w:r>
            <w:r>
              <w:rPr>
                <w:rFonts w:hint="eastAsia" w:asciiTheme="minorEastAsia" w:hAnsiTheme="minorEastAsia" w:eastAsiaTheme="minorEastAsia" w:cstheme="minorEastAsia"/>
                <w:sz w:val="22"/>
                <w:szCs w:val="22"/>
                <w:lang w:val="en-US" w:eastAsia="zh-CN"/>
              </w:rPr>
              <w:t>不详细、基本不满足采购需求，得2分；</w:t>
            </w:r>
          </w:p>
          <w:p>
            <w:pPr>
              <w:pStyle w:val="53"/>
              <w:ind w:left="0" w:leftChars="0" w:firstLine="0" w:firstLineChars="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en-US" w:eastAsia="zh-CN"/>
              </w:rPr>
              <w:t>4、未提供或完全不满足采购需求，不得分。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color w:val="000000"/>
                <w:kern w:val="0"/>
                <w:sz w:val="22"/>
                <w:szCs w:val="22"/>
                <w:highlight w:val="none"/>
                <w:lang w:val="en-US" w:eastAsia="zh-CN"/>
              </w:rPr>
              <w:t>应急预案</w:t>
            </w:r>
          </w:p>
        </w:tc>
        <w:tc>
          <w:tcPr>
            <w:tcW w:w="492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1、应急预案措施详细、完善、合理并完全满足采购需求，得8分；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2、应急预案措施较详细、完善、合理并基本满足采购需求，得5分；</w:t>
            </w:r>
          </w:p>
          <w:p>
            <w:pPr>
              <w:widowControl/>
              <w:numPr>
                <w:ilvl w:val="0"/>
                <w:numId w:val="0"/>
              </w:numPr>
              <w:spacing w:line="360" w:lineRule="exact"/>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3、应急预案措施不详细、基本不满足采购需求，得2分；</w:t>
            </w:r>
          </w:p>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sz w:val="22"/>
                <w:szCs w:val="22"/>
                <w:lang w:val="en-US" w:eastAsia="zh-CN"/>
              </w:rPr>
              <w:t>4、未提供或完全不满足采购需求，不得分。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color w:val="000000"/>
                <w:kern w:val="0"/>
                <w:sz w:val="22"/>
                <w:szCs w:val="22"/>
                <w:highlight w:val="none"/>
                <w:lang w:val="en-US" w:eastAsia="zh-CN"/>
              </w:rPr>
              <w:t>管理制度措施</w:t>
            </w:r>
          </w:p>
        </w:tc>
        <w:tc>
          <w:tcPr>
            <w:tcW w:w="49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根据投标人提供的管理制度措施进行打分：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1、管理制度措施全面、具体、针对性强，在服务期间出现任何情况能够及时、高效解决，满足采购人需要得8分；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2、管理制度措施比较全面、具体、具有一定针对性，在服务期间出现任何情况能够解决，满足采购人需要得5分；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3、管理制度措施一般，在服务期间出现任何情况能够解决，基本满足采购人需要得2分；</w:t>
            </w:r>
          </w:p>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sz w:val="22"/>
                <w:szCs w:val="22"/>
                <w:lang w:val="en-US" w:eastAsia="zh-CN"/>
              </w:rPr>
              <w:t>4、不提供不得分。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color w:val="000000"/>
                <w:kern w:val="0"/>
                <w:sz w:val="22"/>
                <w:szCs w:val="22"/>
                <w:lang w:val="en-US" w:eastAsia="zh-CN"/>
              </w:rPr>
              <w:t>人员培训措施</w:t>
            </w:r>
          </w:p>
        </w:tc>
        <w:tc>
          <w:tcPr>
            <w:tcW w:w="49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根据投标投标人提供的人员培训措施进行打分：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1、人员培训措施全面、具体、针对性强，在服务期间出现任何情况能够及时、高效解决，满足采购人需要得8分；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2、人员培训措施比较全面、具体、具有一定针对性，在服务期间出现任何情况能够解决，满足采购人需要得5分；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3、人员培训措施一般，在服务期间出现任何情况能够解决，基本满足采购人需要得2分；</w:t>
            </w:r>
          </w:p>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sz w:val="22"/>
                <w:szCs w:val="22"/>
                <w:lang w:val="en-US" w:eastAsia="zh-CN"/>
              </w:rPr>
              <w:t>4、不提供不得分。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bCs/>
                <w:color w:val="auto"/>
                <w:sz w:val="22"/>
                <w:szCs w:val="22"/>
                <w:highlight w:val="yellow"/>
                <w:lang w:val="zh-CN"/>
              </w:rPr>
            </w:pPr>
            <w:r>
              <w:rPr>
                <w:rFonts w:hint="eastAsia" w:asciiTheme="minorEastAsia" w:hAnsiTheme="minorEastAsia" w:eastAsiaTheme="minorEastAsia" w:cstheme="minorEastAsia"/>
                <w:color w:val="000000"/>
                <w:kern w:val="0"/>
                <w:sz w:val="22"/>
                <w:szCs w:val="22"/>
                <w:lang w:val="en-US" w:eastAsia="zh-CN"/>
              </w:rPr>
              <w:t>工作进度保证措施</w:t>
            </w:r>
          </w:p>
        </w:tc>
        <w:tc>
          <w:tcPr>
            <w:tcW w:w="49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1、有具体的工作进度保证措施，主要方法合理、可行，方案内容全面、针对性强，满足采购需求得6分；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2、有具体的工作进度保证措施，内容较全面、具有可操作性，符合采购需求得4分；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3、有基本的工作进度保证措施，方案内容一般，符合采购需求得2分；</w:t>
            </w:r>
          </w:p>
          <w:p>
            <w:pPr>
              <w:widowControl/>
              <w:spacing w:line="36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4、有工作进度保证措施，符合采购需求得1分；</w:t>
            </w:r>
          </w:p>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yellow"/>
                <w:lang w:val="zh-CN"/>
              </w:rPr>
            </w:pPr>
            <w:r>
              <w:rPr>
                <w:rFonts w:hint="eastAsia" w:asciiTheme="minorEastAsia" w:hAnsiTheme="minorEastAsia" w:eastAsiaTheme="minorEastAsia" w:cstheme="minorEastAsia"/>
                <w:sz w:val="22"/>
                <w:szCs w:val="22"/>
                <w:lang w:val="en-US" w:eastAsia="zh-CN"/>
              </w:rPr>
              <w:t>5、不提供不得分。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heme="minorEastAsia" w:hAnsiTheme="minorEastAsia" w:eastAsiaTheme="minorEastAsia" w:cstheme="minorEastAsia"/>
                <w:bCs/>
                <w:color w:val="auto"/>
                <w:sz w:val="22"/>
                <w:szCs w:val="22"/>
                <w:highlight w:val="yellow"/>
                <w:lang w:val="en-US" w:eastAsia="zh-CN"/>
              </w:rPr>
            </w:pPr>
            <w:r>
              <w:rPr>
                <w:rFonts w:hint="eastAsia" w:asciiTheme="minorEastAsia" w:hAnsiTheme="minorEastAsia" w:eastAsiaTheme="minorEastAsia" w:cstheme="minorEastAsia"/>
                <w:bCs/>
                <w:color w:val="auto"/>
                <w:sz w:val="22"/>
                <w:szCs w:val="22"/>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color w:val="000000"/>
                <w:kern w:val="0"/>
                <w:sz w:val="22"/>
                <w:szCs w:val="22"/>
                <w:highlight w:val="none"/>
              </w:rPr>
              <w:t>工作重点、难点及其解决措施</w:t>
            </w:r>
          </w:p>
        </w:tc>
        <w:tc>
          <w:tcPr>
            <w:tcW w:w="49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1、有具体的工作重点、难点及其解决措施，主要方法合理、可行，方案内容全面、针对性强，满足采购需求得6分；</w:t>
            </w:r>
          </w:p>
          <w:p>
            <w:pPr>
              <w:widowControl/>
              <w:spacing w:line="36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2、有具体的工作重点、难点及其解决措施，内容较全面、具有可操作性，符合采购需求得4分；</w:t>
            </w:r>
          </w:p>
          <w:p>
            <w:pPr>
              <w:widowControl/>
              <w:spacing w:line="36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3、有基本的工作重点、难点及其解决措施，方案内容一般，符合采购需求得2分；</w:t>
            </w:r>
          </w:p>
          <w:p>
            <w:pPr>
              <w:widowControl/>
              <w:spacing w:line="360" w:lineRule="exact"/>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4、有工作重点、难点及其解决措施，符合采购需求得1分；</w:t>
            </w:r>
          </w:p>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sz w:val="22"/>
                <w:szCs w:val="22"/>
                <w:highlight w:val="none"/>
                <w:lang w:val="en-US" w:eastAsia="zh-CN"/>
              </w:rPr>
              <w:t>5、不提供不得分。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kern w:val="2"/>
                <w:sz w:val="22"/>
                <w:szCs w:val="22"/>
                <w:highlight w:val="none"/>
                <w:lang w:val="zh-CN" w:eastAsia="zh-CN" w:bidi="ar-SA"/>
              </w:rPr>
            </w:pPr>
            <w:r>
              <w:rPr>
                <w:rFonts w:hint="eastAsia" w:asciiTheme="minorEastAsia" w:hAnsiTheme="minorEastAsia" w:eastAsiaTheme="minorEastAsia" w:cstheme="minorEastAsia"/>
                <w:bCs/>
                <w:color w:val="auto"/>
                <w:sz w:val="22"/>
                <w:szCs w:val="22"/>
                <w:highlight w:val="none"/>
                <w:lang w:val="zh-CN"/>
              </w:rPr>
              <w:t>劳动力和机械使用计划</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kern w:val="2"/>
                <w:sz w:val="22"/>
                <w:szCs w:val="22"/>
                <w:highlight w:val="none"/>
                <w:lang w:val="zh-CN" w:eastAsia="zh-CN" w:bidi="ar-SA"/>
              </w:rPr>
            </w:pPr>
            <w:r>
              <w:rPr>
                <w:rFonts w:hint="eastAsia" w:asciiTheme="minorEastAsia" w:hAnsiTheme="minorEastAsia" w:eastAsiaTheme="minorEastAsia" w:cstheme="minorEastAsia"/>
                <w:bCs/>
                <w:color w:val="auto"/>
                <w:sz w:val="22"/>
                <w:szCs w:val="22"/>
                <w:highlight w:val="none"/>
                <w:lang w:val="zh-CN"/>
              </w:rPr>
              <w:t>配备合理、有效、满足</w:t>
            </w:r>
            <w:r>
              <w:rPr>
                <w:rFonts w:hint="eastAsia" w:asciiTheme="minorEastAsia" w:hAnsiTheme="minorEastAsia" w:eastAsiaTheme="minorEastAsia" w:cstheme="minorEastAsia"/>
                <w:bCs/>
                <w:color w:val="auto"/>
                <w:sz w:val="22"/>
                <w:szCs w:val="22"/>
                <w:highlight w:val="none"/>
                <w:lang w:val="en-US" w:eastAsia="zh-CN"/>
              </w:rPr>
              <w:t>绿化</w:t>
            </w:r>
            <w:r>
              <w:rPr>
                <w:rFonts w:hint="eastAsia" w:asciiTheme="minorEastAsia" w:hAnsiTheme="minorEastAsia" w:eastAsiaTheme="minorEastAsia" w:cstheme="minorEastAsia"/>
                <w:bCs/>
                <w:color w:val="auto"/>
                <w:sz w:val="22"/>
                <w:szCs w:val="22"/>
                <w:highlight w:val="none"/>
                <w:lang w:val="zh-CN"/>
              </w:rPr>
              <w:t>工程要求的可得5分，</w:t>
            </w:r>
            <w:r>
              <w:rPr>
                <w:rFonts w:hint="eastAsia" w:asciiTheme="minorEastAsia" w:hAnsiTheme="minorEastAsia" w:eastAsiaTheme="minorEastAsia" w:cstheme="minorEastAsia"/>
                <w:bCs/>
                <w:color w:val="auto"/>
                <w:sz w:val="22"/>
                <w:szCs w:val="22"/>
                <w:highlight w:val="none"/>
                <w:lang w:val="en-US" w:eastAsia="zh-CN"/>
              </w:rPr>
              <w:t>基本满足得3分，</w:t>
            </w:r>
            <w:r>
              <w:rPr>
                <w:rFonts w:hint="eastAsia" w:asciiTheme="minorEastAsia" w:hAnsiTheme="minorEastAsia" w:eastAsiaTheme="minorEastAsia" w:cstheme="minorEastAsia"/>
                <w:sz w:val="22"/>
                <w:szCs w:val="22"/>
                <w:highlight w:val="none"/>
                <w:lang w:val="en-US" w:eastAsia="zh-CN"/>
              </w:rPr>
              <w:t>不提供不得分</w:t>
            </w:r>
            <w:r>
              <w:rPr>
                <w:rFonts w:hint="eastAsia" w:asciiTheme="minorEastAsia" w:hAnsiTheme="minorEastAsia" w:eastAsiaTheme="minorEastAsia" w:cstheme="minorEastAsia"/>
                <w:bCs/>
                <w:color w:val="auto"/>
                <w:sz w:val="22"/>
                <w:szCs w:val="22"/>
                <w:highlight w:val="none"/>
                <w:lang w:val="zh-CN"/>
              </w:rPr>
              <w:t>。</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kern w:val="2"/>
                <w:sz w:val="22"/>
                <w:szCs w:val="22"/>
                <w:highlight w:val="none"/>
                <w:lang w:val="zh-CN" w:eastAsia="zh-CN" w:bidi="ar-SA"/>
              </w:rPr>
            </w:pPr>
            <w:r>
              <w:rPr>
                <w:rFonts w:hint="eastAsia" w:asciiTheme="minorEastAsia" w:hAnsiTheme="minorEastAsia" w:eastAsiaTheme="minorEastAsia" w:cstheme="minorEastAsia"/>
                <w:bCs/>
                <w:color w:val="auto"/>
                <w:sz w:val="22"/>
                <w:szCs w:val="22"/>
                <w:highlight w:val="none"/>
                <w:lang w:val="zh-CN"/>
              </w:rPr>
              <w:t>园林用具投入</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kern w:val="2"/>
                <w:sz w:val="22"/>
                <w:szCs w:val="22"/>
                <w:highlight w:val="none"/>
                <w:lang w:val="zh-CN" w:eastAsia="zh-CN" w:bidi="ar-SA"/>
              </w:rPr>
            </w:pPr>
            <w:r>
              <w:rPr>
                <w:rFonts w:hint="eastAsia" w:asciiTheme="minorEastAsia" w:hAnsiTheme="minorEastAsia" w:eastAsiaTheme="minorEastAsia" w:cstheme="minorEastAsia"/>
                <w:bCs/>
                <w:color w:val="auto"/>
                <w:sz w:val="22"/>
                <w:szCs w:val="22"/>
                <w:highlight w:val="none"/>
                <w:lang w:val="zh-CN"/>
              </w:rPr>
              <w:t>园林生产用具投入使用方案，具体、满足项目要求的可得5分，</w:t>
            </w:r>
            <w:r>
              <w:rPr>
                <w:rFonts w:hint="eastAsia" w:asciiTheme="minorEastAsia" w:hAnsiTheme="minorEastAsia" w:eastAsiaTheme="minorEastAsia" w:cstheme="minorEastAsia"/>
                <w:bCs/>
                <w:color w:val="auto"/>
                <w:sz w:val="22"/>
                <w:szCs w:val="22"/>
                <w:highlight w:val="none"/>
                <w:lang w:val="en-US" w:eastAsia="zh-CN"/>
              </w:rPr>
              <w:t>基本满足得3分，</w:t>
            </w:r>
            <w:r>
              <w:rPr>
                <w:rFonts w:hint="eastAsia" w:asciiTheme="minorEastAsia" w:hAnsiTheme="minorEastAsia" w:eastAsiaTheme="minorEastAsia" w:cstheme="minorEastAsia"/>
                <w:sz w:val="22"/>
                <w:szCs w:val="22"/>
                <w:highlight w:val="none"/>
                <w:lang w:val="en-US" w:eastAsia="zh-CN"/>
              </w:rPr>
              <w:t>不提供不得分</w:t>
            </w:r>
            <w:r>
              <w:rPr>
                <w:rFonts w:hint="eastAsia" w:asciiTheme="minorEastAsia" w:hAnsiTheme="minorEastAsia" w:eastAsiaTheme="minorEastAsia" w:cstheme="minorEastAsia"/>
                <w:bCs/>
                <w:color w:val="auto"/>
                <w:sz w:val="22"/>
                <w:szCs w:val="22"/>
                <w:highlight w:val="none"/>
                <w:lang w:val="zh-CN"/>
              </w:rPr>
              <w:t>。</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1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2.2.</w:t>
            </w: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val="zh-CN"/>
              </w:rPr>
              <w:t>(</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val="zh-CN"/>
              </w:rPr>
              <w:t>)</w:t>
            </w:r>
          </w:p>
        </w:tc>
        <w:tc>
          <w:tcPr>
            <w:tcW w:w="11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投标报价</w:t>
            </w: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zh-CN"/>
              </w:rPr>
              <w:t>投标报价得分</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zh-CN"/>
              </w:rPr>
              <w:t>参照本表</w:t>
            </w:r>
            <w:r>
              <w:rPr>
                <w:rFonts w:hint="eastAsia" w:asciiTheme="minorEastAsia" w:hAnsiTheme="minorEastAsia" w:eastAsiaTheme="minorEastAsia" w:cstheme="minorEastAsia"/>
                <w:bCs/>
                <w:color w:val="auto"/>
                <w:sz w:val="22"/>
                <w:szCs w:val="22"/>
                <w:highlight w:val="none"/>
                <w:lang w:val="en-US" w:eastAsia="zh-CN"/>
              </w:rPr>
              <w:t>2.2.2计算</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1410"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2.2.</w:t>
            </w: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val="zh-CN"/>
              </w:rPr>
              <w:t>(</w:t>
            </w: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val="zh-CN"/>
              </w:rPr>
              <w:t>)</w:t>
            </w:r>
          </w:p>
        </w:tc>
        <w:tc>
          <w:tcPr>
            <w:tcW w:w="110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商务部分</w:t>
            </w: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企业业绩</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提供</w:t>
            </w:r>
            <w:r>
              <w:rPr>
                <w:rFonts w:hint="eastAsia" w:asciiTheme="minorEastAsia" w:hAnsiTheme="minorEastAsia" w:eastAsiaTheme="minorEastAsia" w:cstheme="minorEastAsia"/>
                <w:bCs/>
                <w:color w:val="auto"/>
                <w:sz w:val="22"/>
                <w:szCs w:val="22"/>
                <w:highlight w:val="none"/>
                <w:lang w:val="en-US" w:eastAsia="zh-CN"/>
              </w:rPr>
              <w:t>2023</w:t>
            </w:r>
            <w:r>
              <w:rPr>
                <w:rFonts w:hint="eastAsia" w:asciiTheme="minorEastAsia" w:hAnsiTheme="minorEastAsia" w:eastAsiaTheme="minorEastAsia" w:cstheme="minorEastAsia"/>
                <w:bCs/>
                <w:color w:val="auto"/>
                <w:sz w:val="22"/>
                <w:szCs w:val="22"/>
                <w:highlight w:val="none"/>
                <w:lang w:val="zh-CN"/>
              </w:rPr>
              <w:t>年1月1日至投标截止日，企业承担过的园林绿化服务类项目包含园 林（绿化）养管/养护类业绩，有一项可得</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lang w:val="zh-CN"/>
              </w:rPr>
              <w:t>分，本项最多可得</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lang w:val="zh-CN"/>
              </w:rPr>
              <w:t>分。（须提供合同</w:t>
            </w:r>
            <w:r>
              <w:rPr>
                <w:rFonts w:hint="eastAsia" w:asciiTheme="minorEastAsia" w:hAnsiTheme="minorEastAsia" w:eastAsiaTheme="minorEastAsia" w:cstheme="minorEastAsia"/>
                <w:bCs/>
                <w:color w:val="auto"/>
                <w:sz w:val="22"/>
                <w:szCs w:val="22"/>
                <w:highlight w:val="none"/>
                <w:lang w:val="en-US" w:eastAsia="zh-CN"/>
              </w:rPr>
              <w:t>复印</w:t>
            </w:r>
            <w:r>
              <w:rPr>
                <w:rFonts w:hint="eastAsia" w:asciiTheme="minorEastAsia" w:hAnsiTheme="minorEastAsia" w:eastAsiaTheme="minorEastAsia" w:cstheme="minorEastAsia"/>
                <w:bCs/>
                <w:color w:val="auto"/>
                <w:sz w:val="22"/>
                <w:szCs w:val="22"/>
                <w:highlight w:val="none"/>
                <w:lang w:val="zh-CN"/>
              </w:rPr>
              <w:t>件或中标通知书</w:t>
            </w:r>
            <w:r>
              <w:rPr>
                <w:rFonts w:hint="eastAsia" w:asciiTheme="minorEastAsia" w:hAnsiTheme="minorEastAsia" w:eastAsiaTheme="minorEastAsia" w:cstheme="minorEastAsia"/>
                <w:bCs/>
                <w:color w:val="auto"/>
                <w:sz w:val="22"/>
                <w:szCs w:val="22"/>
                <w:highlight w:val="none"/>
                <w:lang w:val="en-US" w:eastAsia="zh-CN"/>
              </w:rPr>
              <w:t>复印</w:t>
            </w:r>
            <w:r>
              <w:rPr>
                <w:rFonts w:hint="eastAsia" w:asciiTheme="minorEastAsia" w:hAnsiTheme="minorEastAsia" w:eastAsiaTheme="minorEastAsia" w:cstheme="minorEastAsia"/>
                <w:bCs/>
                <w:color w:val="auto"/>
                <w:sz w:val="22"/>
                <w:szCs w:val="22"/>
                <w:highlight w:val="none"/>
                <w:lang w:val="zh-CN"/>
              </w:rPr>
              <w:t>件）</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141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项目管理机构配置</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本项目配备的管理人员具备类似专业中级或以上职称的，</w:t>
            </w:r>
            <w:r>
              <w:rPr>
                <w:rFonts w:hint="eastAsia" w:asciiTheme="minorEastAsia" w:hAnsiTheme="minorEastAsia" w:eastAsiaTheme="minorEastAsia" w:cstheme="minorEastAsia"/>
                <w:bCs/>
                <w:color w:val="auto"/>
                <w:sz w:val="22"/>
                <w:szCs w:val="22"/>
                <w:highlight w:val="none"/>
                <w:lang w:val="en-US" w:eastAsia="zh-CN"/>
              </w:rPr>
              <w:t>或与本项目相关的证书，</w:t>
            </w:r>
            <w:r>
              <w:rPr>
                <w:rFonts w:hint="eastAsia" w:asciiTheme="minorEastAsia" w:hAnsiTheme="minorEastAsia" w:eastAsiaTheme="minorEastAsia" w:cstheme="minorEastAsia"/>
                <w:bCs/>
                <w:color w:val="auto"/>
                <w:sz w:val="22"/>
                <w:szCs w:val="22"/>
                <w:highlight w:val="none"/>
                <w:lang w:val="zh-CN"/>
              </w:rPr>
              <w:t>在</w:t>
            </w:r>
            <w:r>
              <w:rPr>
                <w:rFonts w:hint="eastAsia" w:asciiTheme="minorEastAsia" w:hAnsiTheme="minorEastAsia" w:eastAsiaTheme="minorEastAsia" w:cstheme="minorEastAsia"/>
                <w:bCs/>
                <w:color w:val="auto"/>
                <w:sz w:val="22"/>
                <w:szCs w:val="22"/>
                <w:highlight w:val="none"/>
                <w:lang w:val="en-US" w:eastAsia="zh-CN"/>
              </w:rPr>
              <w:t>有</w:t>
            </w:r>
            <w:r>
              <w:rPr>
                <w:rFonts w:hint="eastAsia" w:asciiTheme="minorEastAsia" w:hAnsiTheme="minorEastAsia" w:eastAsiaTheme="minorEastAsia" w:cstheme="minorEastAsia"/>
                <w:bCs/>
                <w:color w:val="auto"/>
                <w:sz w:val="22"/>
                <w:szCs w:val="22"/>
                <w:highlight w:val="none"/>
                <w:lang w:val="zh-CN"/>
              </w:rPr>
              <w:t>一</w:t>
            </w:r>
            <w:r>
              <w:rPr>
                <w:rFonts w:hint="eastAsia" w:asciiTheme="minorEastAsia" w:hAnsiTheme="minorEastAsia" w:eastAsiaTheme="minorEastAsia" w:cstheme="minorEastAsia"/>
                <w:bCs/>
                <w:color w:val="auto"/>
                <w:sz w:val="22"/>
                <w:szCs w:val="22"/>
                <w:highlight w:val="none"/>
                <w:lang w:val="en-US" w:eastAsia="zh-CN"/>
              </w:rPr>
              <w:t>人</w:t>
            </w:r>
            <w:r>
              <w:rPr>
                <w:rFonts w:hint="eastAsia" w:asciiTheme="minorEastAsia" w:hAnsiTheme="minorEastAsia" w:eastAsiaTheme="minorEastAsia" w:cstheme="minorEastAsia"/>
                <w:bCs/>
                <w:color w:val="auto"/>
                <w:sz w:val="22"/>
                <w:szCs w:val="22"/>
                <w:highlight w:val="none"/>
                <w:lang w:val="zh-CN"/>
              </w:rPr>
              <w:t>的基础上，每有一个</w:t>
            </w:r>
            <w:r>
              <w:rPr>
                <w:rFonts w:hint="eastAsia" w:asciiTheme="minorEastAsia" w:hAnsiTheme="minorEastAsia" w:eastAsiaTheme="minorEastAsia" w:cstheme="minorEastAsia"/>
                <w:bCs/>
                <w:color w:val="auto"/>
                <w:sz w:val="22"/>
                <w:szCs w:val="22"/>
                <w:highlight w:val="none"/>
                <w:lang w:val="en-US" w:eastAsia="zh-CN"/>
              </w:rPr>
              <w:t>职称证书</w:t>
            </w:r>
            <w:r>
              <w:rPr>
                <w:rFonts w:hint="eastAsia" w:asciiTheme="minorEastAsia" w:hAnsiTheme="minorEastAsia" w:eastAsiaTheme="minorEastAsia" w:cstheme="minorEastAsia"/>
                <w:bCs/>
                <w:color w:val="auto"/>
                <w:sz w:val="22"/>
                <w:szCs w:val="22"/>
                <w:highlight w:val="none"/>
                <w:lang w:val="zh-CN"/>
              </w:rPr>
              <w:t>得2分，最多得6分。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1410"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2.2.</w:t>
            </w:r>
            <w:r>
              <w:rPr>
                <w:rFonts w:hint="eastAsia" w:asciiTheme="minorEastAsia" w:hAnsiTheme="minorEastAsia" w:eastAsiaTheme="minorEastAsia" w:cstheme="minorEastAsia"/>
                <w:bCs/>
                <w:color w:val="auto"/>
                <w:sz w:val="22"/>
                <w:szCs w:val="22"/>
                <w:highlight w:val="none"/>
                <w:lang w:val="en-US" w:eastAsia="zh-CN"/>
              </w:rPr>
              <w:t>3</w:t>
            </w:r>
            <w:r>
              <w:rPr>
                <w:rFonts w:hint="eastAsia" w:asciiTheme="minorEastAsia" w:hAnsiTheme="minorEastAsia" w:eastAsiaTheme="minorEastAsia" w:cstheme="minorEastAsia"/>
                <w:bCs/>
                <w:color w:val="auto"/>
                <w:sz w:val="22"/>
                <w:szCs w:val="22"/>
                <w:highlight w:val="none"/>
                <w:lang w:val="zh-CN"/>
              </w:rPr>
              <w:t>(</w:t>
            </w:r>
            <w:r>
              <w:rPr>
                <w:rFonts w:hint="eastAsia" w:asciiTheme="minorEastAsia" w:hAnsiTheme="minorEastAsia" w:eastAsiaTheme="minorEastAsia" w:cstheme="minorEastAsia"/>
                <w:bCs/>
                <w:color w:val="auto"/>
                <w:sz w:val="22"/>
                <w:szCs w:val="22"/>
                <w:highlight w:val="none"/>
                <w:lang w:val="en-US" w:eastAsia="zh-CN"/>
              </w:rPr>
              <w:t>4</w:t>
            </w:r>
            <w:r>
              <w:rPr>
                <w:rFonts w:hint="eastAsia" w:asciiTheme="minorEastAsia" w:hAnsiTheme="minorEastAsia" w:eastAsiaTheme="minorEastAsia" w:cstheme="minorEastAsia"/>
                <w:bCs/>
                <w:color w:val="auto"/>
                <w:sz w:val="22"/>
                <w:szCs w:val="22"/>
                <w:highlight w:val="none"/>
                <w:lang w:val="zh-CN"/>
              </w:rPr>
              <w:t>)</w:t>
            </w:r>
          </w:p>
        </w:tc>
        <w:tc>
          <w:tcPr>
            <w:tcW w:w="110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其他因素</w:t>
            </w: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kern w:val="2"/>
                <w:sz w:val="22"/>
                <w:szCs w:val="22"/>
                <w:highlight w:val="none"/>
                <w:lang w:val="zh-CN" w:eastAsia="zh-CN" w:bidi="ar-SA"/>
              </w:rPr>
            </w:pPr>
            <w:r>
              <w:rPr>
                <w:rFonts w:hint="eastAsia" w:asciiTheme="minorEastAsia" w:hAnsiTheme="minorEastAsia" w:eastAsiaTheme="minorEastAsia" w:cstheme="minorEastAsia"/>
                <w:bCs/>
                <w:color w:val="auto"/>
                <w:sz w:val="22"/>
                <w:szCs w:val="22"/>
                <w:highlight w:val="none"/>
                <w:lang w:val="zh-CN"/>
              </w:rPr>
              <w:t>优惠条件</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kern w:val="2"/>
                <w:sz w:val="22"/>
                <w:szCs w:val="22"/>
                <w:highlight w:val="yellow"/>
                <w:lang w:val="zh-CN" w:eastAsia="zh-CN" w:bidi="ar-SA"/>
              </w:rPr>
            </w:pPr>
            <w:r>
              <w:rPr>
                <w:rFonts w:hint="eastAsia" w:asciiTheme="minorEastAsia" w:hAnsiTheme="minorEastAsia" w:eastAsiaTheme="minorEastAsia" w:cstheme="minorEastAsia"/>
                <w:bCs/>
                <w:color w:val="auto"/>
                <w:sz w:val="22"/>
                <w:szCs w:val="22"/>
                <w:highlight w:val="none"/>
                <w:lang w:val="zh-CN"/>
              </w:rPr>
              <w:t>横向比较各供应商的优惠条件，对供应商提出的采购人可以接受的合理优惠条件进行综合评价，每有一条实质内容得</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val="zh-CN"/>
              </w:rPr>
              <w:t>分，满分</w:t>
            </w:r>
            <w:r>
              <w:rPr>
                <w:rFonts w:hint="eastAsia" w:asciiTheme="minorEastAsia" w:hAnsiTheme="minorEastAsia" w:eastAsiaTheme="minorEastAsia" w:cstheme="minorEastAsia"/>
                <w:bCs/>
                <w:color w:val="auto"/>
                <w:sz w:val="22"/>
                <w:szCs w:val="22"/>
                <w:highlight w:val="none"/>
                <w:lang w:val="en-US" w:eastAsia="zh-CN"/>
              </w:rPr>
              <w:t>5</w:t>
            </w:r>
            <w:r>
              <w:rPr>
                <w:rFonts w:hint="eastAsia" w:asciiTheme="minorEastAsia" w:hAnsiTheme="minorEastAsia" w:eastAsiaTheme="minorEastAsia" w:cstheme="minorEastAsia"/>
                <w:bCs/>
                <w:color w:val="auto"/>
                <w:sz w:val="22"/>
                <w:szCs w:val="22"/>
                <w:highlight w:val="none"/>
                <w:lang w:val="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1410" w:type="dxa"/>
            <w:vMerge w:val="continue"/>
            <w:tcBorders>
              <w:left w:val="single" w:color="auto" w:sz="4" w:space="0"/>
              <w:right w:val="single" w:color="auto" w:sz="4" w:space="0"/>
            </w:tcBorders>
            <w:vAlign w:val="center"/>
          </w:tcPr>
          <w:p>
            <w:pPr>
              <w:spacing w:line="260" w:lineRule="exact"/>
              <w:jc w:val="center"/>
              <w:rPr>
                <w:rFonts w:hint="eastAsia" w:asciiTheme="minorEastAsia" w:hAnsiTheme="minorEastAsia" w:eastAsiaTheme="minorEastAsia" w:cstheme="minorEastAsia"/>
                <w:bCs/>
                <w:color w:val="auto"/>
                <w:sz w:val="22"/>
                <w:szCs w:val="22"/>
                <w:highlight w:val="none"/>
                <w:lang w:val="zh-CN"/>
              </w:rPr>
            </w:pPr>
          </w:p>
        </w:tc>
        <w:tc>
          <w:tcPr>
            <w:tcW w:w="1109"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服务承诺</w:t>
            </w:r>
          </w:p>
        </w:tc>
        <w:tc>
          <w:tcPr>
            <w:tcW w:w="49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Theme="minorEastAsia" w:hAnsiTheme="minorEastAsia" w:eastAsiaTheme="minorEastAsia" w:cstheme="minorEastAsia"/>
                <w:bCs/>
                <w:color w:val="auto"/>
                <w:sz w:val="22"/>
                <w:szCs w:val="22"/>
                <w:highlight w:val="yellow"/>
                <w:lang w:val="zh-CN"/>
              </w:rPr>
            </w:pPr>
            <w:r>
              <w:rPr>
                <w:rFonts w:hint="eastAsia" w:asciiTheme="minorEastAsia" w:hAnsiTheme="minorEastAsia" w:eastAsiaTheme="minorEastAsia" w:cstheme="minorEastAsia"/>
                <w:bCs/>
                <w:color w:val="auto"/>
                <w:sz w:val="22"/>
                <w:szCs w:val="22"/>
                <w:highlight w:val="none"/>
                <w:lang w:val="zh-CN"/>
              </w:rPr>
              <w:t>横向比较各供应商的服务承诺，对供应商提出的采购人可以接受的合理服务承诺进行综合评价，每有一条实质内容得</w:t>
            </w:r>
            <w:r>
              <w:rPr>
                <w:rFonts w:hint="eastAsia" w:asciiTheme="minorEastAsia" w:hAnsiTheme="minorEastAsia" w:eastAsiaTheme="minorEastAsia" w:cstheme="minorEastAsia"/>
                <w:bCs/>
                <w:color w:val="auto"/>
                <w:sz w:val="22"/>
                <w:szCs w:val="22"/>
                <w:highlight w:val="none"/>
                <w:lang w:val="en-US" w:eastAsia="zh-CN"/>
              </w:rPr>
              <w:t>1</w:t>
            </w:r>
            <w:r>
              <w:rPr>
                <w:rFonts w:hint="eastAsia" w:asciiTheme="minorEastAsia" w:hAnsiTheme="minorEastAsia" w:eastAsiaTheme="minorEastAsia" w:cstheme="minorEastAsia"/>
                <w:bCs/>
                <w:color w:val="auto"/>
                <w:sz w:val="22"/>
                <w:szCs w:val="22"/>
                <w:highlight w:val="none"/>
                <w:lang w:val="zh-CN"/>
              </w:rPr>
              <w:t>分，满分</w:t>
            </w:r>
            <w:r>
              <w:rPr>
                <w:rFonts w:hint="eastAsia" w:asciiTheme="minorEastAsia" w:hAnsiTheme="minorEastAsia" w:eastAsiaTheme="minorEastAsia" w:cstheme="minorEastAsia"/>
                <w:bCs/>
                <w:color w:val="auto"/>
                <w:sz w:val="22"/>
                <w:szCs w:val="22"/>
                <w:highlight w:val="none"/>
                <w:lang w:val="en-US" w:eastAsia="zh-CN"/>
              </w:rPr>
              <w:t>5</w:t>
            </w:r>
            <w:r>
              <w:rPr>
                <w:rFonts w:hint="eastAsia" w:asciiTheme="minorEastAsia" w:hAnsiTheme="minorEastAsia" w:eastAsiaTheme="minorEastAsia" w:cstheme="minorEastAsia"/>
                <w:bCs/>
                <w:color w:val="auto"/>
                <w:sz w:val="22"/>
                <w:szCs w:val="22"/>
                <w:highlight w:val="none"/>
                <w:lang w:val="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36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Theme="minorEastAsia" w:hAnsiTheme="minorEastAsia" w:eastAsiaTheme="minorEastAsia" w:cstheme="minorEastAsia"/>
                <w:bCs/>
                <w:color w:val="auto"/>
                <w:sz w:val="22"/>
                <w:szCs w:val="22"/>
                <w:highlight w:val="none"/>
                <w:lang w:val="zh-CN"/>
              </w:rPr>
            </w:pPr>
            <w:r>
              <w:rPr>
                <w:rFonts w:hint="eastAsia" w:asciiTheme="minorEastAsia" w:hAnsiTheme="minorEastAsia" w:eastAsiaTheme="minorEastAsia" w:cstheme="minorEastAsia"/>
                <w:bCs/>
                <w:color w:val="auto"/>
                <w:sz w:val="22"/>
                <w:szCs w:val="22"/>
                <w:highlight w:val="none"/>
                <w:lang w:val="zh-CN"/>
              </w:rPr>
              <w:t>得分合计</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Theme="minorEastAsia" w:hAnsiTheme="minorEastAsia" w:eastAsiaTheme="minorEastAsia" w:cstheme="minorEastAsia"/>
                <w:bCs/>
                <w:color w:val="auto"/>
                <w:sz w:val="22"/>
                <w:szCs w:val="22"/>
                <w:highlight w:val="none"/>
                <w:lang w:val="zh-CN"/>
              </w:rPr>
            </w:pPr>
          </w:p>
        </w:tc>
      </w:tr>
    </w:tbl>
    <w:p>
      <w:pPr>
        <w:pStyle w:val="35"/>
        <w:keepNext w:val="0"/>
        <w:keepLines w:val="0"/>
        <w:pageBreakBefore/>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一、</w:t>
      </w:r>
      <w:r>
        <w:rPr>
          <w:rFonts w:hint="eastAsia" w:ascii="宋体" w:hAnsi="宋体" w:eastAsia="宋体" w:cs="宋体"/>
          <w:color w:val="auto"/>
          <w:kern w:val="2"/>
          <w:sz w:val="28"/>
          <w:szCs w:val="28"/>
          <w:highlight w:val="none"/>
          <w:lang w:val="zh-CN"/>
        </w:rPr>
        <w:t>评标方法</w:t>
      </w:r>
      <w:bookmarkEnd w:id="387"/>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本次评标采用综合评估法。磋商小组对满足竞争性磋商文件实质性要求的磋商响应文件，按照本章第2.2款规定的评分标准进行打分，并按得分由高到低顺序推荐成交候选人，或根据采购人授权直接确定成交商，但投标报价低于其成本的除外。综合评分相等时，以投标报价低的优先；投标报价也相等的，由采购人自行确定。</w:t>
      </w:r>
    </w:p>
    <w:p>
      <w:pPr>
        <w:pStyle w:val="35"/>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en-US" w:eastAsia="zh-CN"/>
        </w:rPr>
      </w:pPr>
      <w:bookmarkStart w:id="388" w:name="_Toc460361806"/>
      <w:r>
        <w:rPr>
          <w:rFonts w:hint="eastAsia" w:ascii="宋体" w:hAnsi="宋体" w:cs="宋体"/>
          <w:color w:val="auto"/>
          <w:kern w:val="2"/>
          <w:sz w:val="28"/>
          <w:szCs w:val="28"/>
          <w:highlight w:val="none"/>
          <w:lang w:val="en-US" w:eastAsia="zh-CN"/>
        </w:rPr>
        <w:t>二、</w:t>
      </w:r>
      <w:r>
        <w:rPr>
          <w:rFonts w:hint="eastAsia" w:ascii="宋体" w:hAnsi="宋体" w:eastAsia="宋体" w:cs="宋体"/>
          <w:color w:val="auto"/>
          <w:kern w:val="2"/>
          <w:sz w:val="28"/>
          <w:szCs w:val="28"/>
          <w:highlight w:val="none"/>
          <w:lang w:val="en-US" w:eastAsia="zh-CN"/>
        </w:rPr>
        <w:t>评审标准</w:t>
      </w:r>
      <w:bookmarkEnd w:id="388"/>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2.1 初步评审标准</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2.1.1</w:t>
      </w:r>
      <w:r>
        <w:rPr>
          <w:rFonts w:hint="eastAsia" w:ascii="宋体" w:hAnsi="宋体" w:cs="宋体"/>
          <w:b w:val="0"/>
          <w:bCs w:val="0"/>
          <w:color w:val="auto"/>
          <w:kern w:val="2"/>
          <w:sz w:val="24"/>
          <w:szCs w:val="24"/>
          <w:highlight w:val="none"/>
          <w:lang w:val="en-US" w:eastAsia="zh-CN"/>
        </w:rPr>
        <w:t>资格</w:t>
      </w:r>
      <w:r>
        <w:rPr>
          <w:rFonts w:hint="eastAsia" w:ascii="宋体" w:hAnsi="宋体" w:eastAsia="宋体" w:cs="宋体"/>
          <w:b w:val="0"/>
          <w:bCs w:val="0"/>
          <w:color w:val="auto"/>
          <w:kern w:val="2"/>
          <w:sz w:val="24"/>
          <w:szCs w:val="24"/>
          <w:highlight w:val="none"/>
          <w:lang w:val="en-US" w:eastAsia="zh-CN"/>
        </w:rPr>
        <w:t>评审标准：见评标办法前附表。</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2.1.2</w:t>
      </w:r>
      <w:r>
        <w:rPr>
          <w:rFonts w:hint="eastAsia" w:ascii="宋体" w:hAnsi="宋体" w:cs="宋体"/>
          <w:b w:val="0"/>
          <w:bCs w:val="0"/>
          <w:color w:val="auto"/>
          <w:kern w:val="2"/>
          <w:sz w:val="24"/>
          <w:szCs w:val="24"/>
          <w:highlight w:val="none"/>
          <w:lang w:val="en-US" w:eastAsia="zh-CN"/>
        </w:rPr>
        <w:t>符合性评审标准</w:t>
      </w:r>
      <w:r>
        <w:rPr>
          <w:rFonts w:hint="eastAsia" w:ascii="宋体" w:hAnsi="宋体" w:eastAsia="宋体" w:cs="宋体"/>
          <w:b w:val="0"/>
          <w:bCs w:val="0"/>
          <w:color w:val="auto"/>
          <w:kern w:val="2"/>
          <w:sz w:val="24"/>
          <w:szCs w:val="24"/>
          <w:highlight w:val="none"/>
          <w:lang w:val="en-US" w:eastAsia="zh-CN"/>
        </w:rPr>
        <w:t>：见评标办法前附表</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2.2 分值构成与评分标准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2.2.1 分值构成</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(l）技术部分：见评标办法前附表；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(2）投标报价：见评标办法前附表；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(3）商务部分：见评标办法前附表；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(4）其他因素：见评标办法前附表。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2.2.2</w:t>
      </w:r>
      <w:r>
        <w:rPr>
          <w:rFonts w:hint="eastAsia" w:ascii="宋体" w:hAnsi="宋体" w:cs="宋体"/>
          <w:b w:val="0"/>
          <w:bCs w:val="0"/>
          <w:color w:val="auto"/>
          <w:kern w:val="2"/>
          <w:sz w:val="24"/>
          <w:szCs w:val="24"/>
          <w:highlight w:val="none"/>
          <w:lang w:val="en-US" w:eastAsia="zh-CN"/>
        </w:rPr>
        <w:t>价格因素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技术部分</w:t>
      </w:r>
      <w:r>
        <w:rPr>
          <w:rFonts w:hint="eastAsia" w:ascii="宋体" w:hAnsi="宋体" w:cs="宋体"/>
          <w:color w:val="auto"/>
          <w:sz w:val="24"/>
          <w:szCs w:val="24"/>
          <w:highlight w:val="none"/>
        </w:rPr>
        <w:t>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(2）投标报价评分标准：见评标办法前附表；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商务部分评分标准</w:t>
      </w:r>
      <w:r>
        <w:rPr>
          <w:rFonts w:hint="eastAsia" w:ascii="宋体" w:hAnsi="宋体" w:cs="宋体"/>
          <w:color w:val="auto"/>
          <w:sz w:val="24"/>
          <w:szCs w:val="24"/>
          <w:highlight w:val="none"/>
        </w:rPr>
        <w:t>：见评标办法前附表；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(4）其他评分标准：见评标办法前附表。</w:t>
      </w:r>
    </w:p>
    <w:p>
      <w:pPr>
        <w:pStyle w:val="35"/>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389" w:name="_Toc460361807"/>
      <w:r>
        <w:rPr>
          <w:rFonts w:hint="eastAsia" w:ascii="宋体" w:hAnsi="宋体" w:cs="宋体"/>
          <w:color w:val="auto"/>
          <w:kern w:val="2"/>
          <w:sz w:val="28"/>
          <w:szCs w:val="28"/>
          <w:highlight w:val="none"/>
          <w:lang w:val="en-US" w:eastAsia="zh-CN"/>
        </w:rPr>
        <w:t>三、评标程序</w:t>
      </w:r>
      <w:bookmarkEnd w:id="389"/>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 初步评审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依据本章第2.1款规定的标准对</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3.1.2投标人有以下情形之一的，其投标作废标处理：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(l）第二章“投标人须知”第</w:t>
      </w:r>
      <w:r>
        <w:rPr>
          <w:rFonts w:hint="eastAsia" w:ascii="宋体"/>
          <w:color w:val="auto"/>
          <w:sz w:val="24"/>
          <w:highlight w:val="none"/>
          <w:lang w:val="en-US" w:eastAsia="zh-CN"/>
        </w:rPr>
        <w:t>9.2</w:t>
      </w:r>
      <w:r>
        <w:rPr>
          <w:rFonts w:hint="eastAsia" w:ascii="宋体"/>
          <w:color w:val="auto"/>
          <w:sz w:val="24"/>
          <w:highlight w:val="none"/>
          <w:lang w:val="zh-CN"/>
        </w:rPr>
        <w:t>项规定的任何一种情形的：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(2）串通投标或弄虚作假或有其他违法行为的；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(3）不按</w:t>
      </w:r>
      <w:r>
        <w:rPr>
          <w:rFonts w:hint="eastAsia" w:ascii="宋体"/>
          <w:color w:val="auto"/>
          <w:sz w:val="24"/>
          <w:highlight w:val="none"/>
          <w:lang w:val="zh-CN" w:eastAsia="zh-CN"/>
        </w:rPr>
        <w:t>磋商小组</w:t>
      </w:r>
      <w:r>
        <w:rPr>
          <w:rFonts w:hint="eastAsia" w:ascii="宋体"/>
          <w:color w:val="auto"/>
          <w:sz w:val="24"/>
          <w:highlight w:val="none"/>
          <w:lang w:val="zh-CN"/>
        </w:rPr>
        <w:t>要求澄清、说明或补正的。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按以下原则对投标报价进行修正，修正的价格经投标人书面确认后具有约束力。投标人不接受修正价格的，其投标作废标处理。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w:t>
      </w:r>
      <w:r>
        <w:rPr>
          <w:rFonts w:hint="eastAsia" w:ascii="宋体"/>
          <w:color w:val="auto"/>
          <w:sz w:val="24"/>
          <w:highlight w:val="none"/>
          <w:lang w:val="zh-CN" w:eastAsia="zh-CN"/>
        </w:rPr>
        <w:t>磋商响应文件</w:t>
      </w:r>
      <w:r>
        <w:rPr>
          <w:rFonts w:hint="eastAsia" w:ascii="宋体"/>
          <w:color w:val="auto"/>
          <w:sz w:val="24"/>
          <w:highlight w:val="none"/>
          <w:lang w:val="zh-CN"/>
        </w:rPr>
        <w:t>中的大写金额与小写金额不一致的，以大写金额为准；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(2）总价金额与依据单价计算出的结果不一致的，以单价金额为准修正总价，但单价金额小数点有明显错误的除外。</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3.2 详细评审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按本章第2.2 款规定的量化因素和分值进行打分，并计算出综合评估得分。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(1）按本章第2.2.</w:t>
      </w:r>
      <w:r>
        <w:rPr>
          <w:rFonts w:hint="eastAsia" w:ascii="宋体"/>
          <w:color w:val="auto"/>
          <w:sz w:val="24"/>
          <w:highlight w:val="none"/>
          <w:lang w:val="en-US" w:eastAsia="zh-CN"/>
        </w:rPr>
        <w:t>3</w:t>
      </w:r>
      <w:r>
        <w:rPr>
          <w:rFonts w:hint="eastAsia" w:ascii="宋体"/>
          <w:color w:val="auto"/>
          <w:sz w:val="24"/>
          <w:highlight w:val="none"/>
          <w:lang w:val="zh-CN"/>
        </w:rPr>
        <w:t>(1）目规定的评审因素和分值对技术部分计算出得分A ；</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(2）按本章第2.2.</w:t>
      </w:r>
      <w:r>
        <w:rPr>
          <w:rFonts w:hint="eastAsia" w:ascii="宋体"/>
          <w:color w:val="auto"/>
          <w:sz w:val="24"/>
          <w:highlight w:val="none"/>
          <w:lang w:val="en-US" w:eastAsia="zh-CN"/>
        </w:rPr>
        <w:t>3</w:t>
      </w:r>
      <w:r>
        <w:rPr>
          <w:rFonts w:hint="eastAsia" w:ascii="宋体"/>
          <w:color w:val="auto"/>
          <w:sz w:val="24"/>
          <w:highlight w:val="none"/>
          <w:lang w:val="zh-CN"/>
        </w:rPr>
        <w:t>(2）目规定的评审因素和分值对投标报价计算出得分B；</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(3）按本章第2.2.</w:t>
      </w:r>
      <w:r>
        <w:rPr>
          <w:rFonts w:hint="eastAsia" w:ascii="宋体"/>
          <w:color w:val="auto"/>
          <w:sz w:val="24"/>
          <w:highlight w:val="none"/>
          <w:lang w:val="en-US" w:eastAsia="zh-CN"/>
        </w:rPr>
        <w:t>3</w:t>
      </w:r>
      <w:r>
        <w:rPr>
          <w:rFonts w:hint="eastAsia" w:ascii="宋体"/>
          <w:color w:val="auto"/>
          <w:sz w:val="24"/>
          <w:highlight w:val="none"/>
          <w:lang w:val="zh-CN"/>
        </w:rPr>
        <w:t>(3）目规定的评审因素和分值对商务部分计算出得分C；</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(4）按本章第2.2.</w:t>
      </w:r>
      <w:r>
        <w:rPr>
          <w:rFonts w:hint="eastAsia" w:ascii="宋体"/>
          <w:color w:val="auto"/>
          <w:sz w:val="24"/>
          <w:highlight w:val="none"/>
          <w:lang w:val="en-US" w:eastAsia="zh-CN"/>
        </w:rPr>
        <w:t>3</w:t>
      </w:r>
      <w:r>
        <w:rPr>
          <w:rFonts w:hint="eastAsia" w:ascii="宋体"/>
          <w:color w:val="auto"/>
          <w:sz w:val="24"/>
          <w:highlight w:val="none"/>
          <w:lang w:val="zh-CN"/>
        </w:rPr>
        <w:t>(4）目规定的评审因素和分值对其他部分计算出得分D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3.2.3投标人得分＝A 十B 十C 十D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3.2.4</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认定该投标人以低于成本报价竞标，其投标作废标处理。</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3.3 磋商响应文件的澄清和补正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可以书面形式要求投标人对所提交</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3.3.2澄清、说明和补正不得改变</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的实质性内容（算术性错误修正的除外）。投标人的书面澄清、说明和补正属于</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3.3.3</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对投标人提交的澄清、说明或补正有疑问的，可以要求投标人进一步澄清、说明或补正，直至满足</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的要求。</w:t>
      </w:r>
    </w:p>
    <w:p>
      <w:pPr>
        <w:pStyle w:val="35"/>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3.4 评标结果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3.4.1除第二章“投标人须知”前附表授权直接确定</w:t>
      </w:r>
      <w:r>
        <w:rPr>
          <w:rFonts w:hint="eastAsia" w:ascii="宋体" w:hAnsi="宋体" w:cs="宋体"/>
          <w:color w:val="auto"/>
          <w:sz w:val="24"/>
          <w:szCs w:val="24"/>
          <w:highlight w:val="none"/>
          <w:lang w:eastAsia="zh-CN"/>
        </w:rPr>
        <w:t>成交商</w:t>
      </w:r>
      <w:r>
        <w:rPr>
          <w:rFonts w:hint="eastAsia" w:ascii="宋体" w:hAnsi="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按照得分高到低的顺序推荐</w:t>
      </w:r>
      <w:r>
        <w:rPr>
          <w:rFonts w:hint="eastAsia" w:ascii="宋体" w:hAnsi="宋体" w:cs="宋体"/>
          <w:color w:val="auto"/>
          <w:sz w:val="24"/>
          <w:szCs w:val="24"/>
          <w:highlight w:val="none"/>
          <w:lang w:eastAsia="zh-CN"/>
        </w:rPr>
        <w:t>成交候选人</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44"/>
          <w:szCs w:val="44"/>
          <w:highlight w:val="none"/>
        </w:rPr>
      </w:pPr>
      <w:r>
        <w:rPr>
          <w:rFonts w:hint="eastAsia" w:ascii="宋体" w:hAnsi="宋体" w:cs="宋体"/>
          <w:color w:val="auto"/>
          <w:sz w:val="24"/>
          <w:szCs w:val="24"/>
          <w:highlight w:val="none"/>
        </w:rPr>
        <w:t>3.4.2</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完成评标后，应当向采购人提交书面评标报告。</w:t>
      </w:r>
      <w:bookmarkStart w:id="390" w:name="_Toc460361808"/>
      <w:bookmarkStart w:id="391" w:name="_Toc23945_WPSOffice_Level1"/>
      <w:bookmarkStart w:id="392" w:name="_Toc9630_WPSOffice_Level1"/>
    </w:p>
    <w:p>
      <w:pPr>
        <w:pStyle w:val="3"/>
        <w:keepNext w:val="0"/>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44"/>
          <w:szCs w:val="44"/>
          <w:highlight w:val="none"/>
        </w:rPr>
      </w:pPr>
      <w:r>
        <w:rPr>
          <w:rFonts w:hint="eastAsia" w:ascii="宋体" w:hAnsi="宋体" w:cs="宋体"/>
          <w:color w:val="auto"/>
          <w:sz w:val="44"/>
          <w:szCs w:val="44"/>
          <w:highlight w:val="none"/>
        </w:rPr>
        <w:t>第四章 合同条款及格式</w:t>
      </w:r>
      <w:bookmarkEnd w:id="390"/>
      <w:bookmarkEnd w:id="391"/>
      <w:bookmarkEnd w:id="392"/>
    </w:p>
    <w:p>
      <w:pPr>
        <w:rPr>
          <w:rFonts w:ascii="宋体" w:hAnsi="宋体" w:cs="宋体"/>
          <w:color w:val="auto"/>
          <w:highlight w:val="none"/>
        </w:rPr>
      </w:pPr>
    </w:p>
    <w:p>
      <w:pPr>
        <w:jc w:val="center"/>
        <w:rPr>
          <w:rFonts w:ascii="宋体" w:hAnsi="宋体" w:cs="宋体"/>
          <w:highlight w:val="none"/>
        </w:rPr>
      </w:pPr>
      <w:r>
        <w:rPr>
          <w:rFonts w:hint="eastAsia"/>
          <w:b/>
          <w:bCs/>
          <w:sz w:val="28"/>
          <w:szCs w:val="36"/>
          <w:lang w:eastAsia="zh-CN"/>
        </w:rPr>
        <w:t>（注：具体内容以甲乙双方签订合同为准）</w:t>
      </w:r>
    </w:p>
    <w:p>
      <w:pPr>
        <w:rPr>
          <w:rFonts w:ascii="宋体" w:hAnsi="宋体" w:cs="宋体"/>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cs="宋体"/>
          <w:b/>
          <w:bCs/>
          <w:color w:val="auto"/>
          <w:sz w:val="28"/>
          <w:szCs w:val="28"/>
          <w:highlight w:val="none"/>
          <w:lang w:val="en-US" w:eastAsia="zh-CN"/>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spacing w:line="400" w:lineRule="exac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bookmarkStart w:id="393" w:name="_Toc206839563"/>
    </w:p>
    <w:bookmarkEnd w:id="393"/>
    <w:p>
      <w:pPr>
        <w:pStyle w:val="3"/>
        <w:keepNext/>
        <w:keepLines/>
        <w:pageBreakBefore/>
        <w:widowControl w:val="0"/>
        <w:numPr>
          <w:ilvl w:val="0"/>
          <w:numId w:val="4"/>
        </w:numPr>
        <w:kinsoku/>
        <w:wordWrap/>
        <w:overflowPunct/>
        <w:topLinePunct w:val="0"/>
        <w:autoSpaceDE/>
        <w:autoSpaceDN/>
        <w:bidi w:val="0"/>
        <w:adjustRightInd/>
        <w:snapToGrid/>
        <w:spacing w:line="240" w:lineRule="auto"/>
        <w:jc w:val="center"/>
        <w:textAlignment w:val="auto"/>
        <w:rPr>
          <w:rFonts w:hint="eastAsia" w:ascii="宋体" w:hAnsi="宋体" w:cs="宋体"/>
          <w:color w:val="auto"/>
          <w:sz w:val="44"/>
          <w:szCs w:val="44"/>
          <w:highlight w:val="none"/>
          <w:lang w:val="en-US" w:eastAsia="zh-CN"/>
        </w:rPr>
      </w:pPr>
      <w:bookmarkStart w:id="394" w:name="_Toc2784_WPSOffice_Level1"/>
      <w:bookmarkStart w:id="395" w:name="_Toc7315_WPSOffice_Level1"/>
      <w:bookmarkStart w:id="396" w:name="_Toc460361831"/>
      <w:r>
        <w:rPr>
          <w:rFonts w:hint="eastAsia" w:ascii="宋体" w:hAnsi="宋体" w:cs="宋体"/>
          <w:color w:val="auto"/>
          <w:sz w:val="44"/>
          <w:szCs w:val="44"/>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仿宋" w:hAnsi="仿宋" w:eastAsia="仿宋" w:cs="仿宋"/>
          <w:sz w:val="32"/>
          <w:szCs w:val="32"/>
          <w:highlight w:val="none"/>
          <w:lang w:val="en-US" w:eastAsia="zh-CN"/>
        </w:rPr>
      </w:pPr>
      <w:r>
        <w:rPr>
          <w:rFonts w:hint="eastAsia" w:ascii="宋体" w:hAnsi="宋体" w:eastAsia="宋体" w:cs="宋体"/>
          <w:sz w:val="24"/>
          <w:szCs w:val="24"/>
          <w:lang w:val="en-US" w:eastAsia="zh-CN"/>
        </w:rPr>
        <w:t>绿化维护服务内容：镇域内树木保护和管理、草坪维护管理、鲜花维护管理、其他绿化维护管理等。具体包括：镇域内绿化植物浇水、排涝、病虫害防治、修剪、割灌、施肥、中</w:t>
      </w:r>
      <w:r>
        <w:rPr>
          <w:rFonts w:hint="eastAsia" w:ascii="宋体" w:hAnsi="宋体" w:eastAsia="宋体" w:cs="宋体"/>
          <w:sz w:val="24"/>
          <w:szCs w:val="24"/>
          <w:highlight w:val="none"/>
          <w:lang w:val="en-US" w:eastAsia="zh-CN"/>
        </w:rPr>
        <w:t>耕除草、防寒、防风雪、垃圾杂物清理、枯树砍伐、绿植移栽补植等。（维护服务期限为</w:t>
      </w:r>
      <w:r>
        <w:rPr>
          <w:rFonts w:hint="eastAsia" w:ascii="宋体" w:hAnsi="宋体" w:cs="宋体"/>
          <w:sz w:val="24"/>
          <w:szCs w:val="24"/>
          <w:highlight w:val="none"/>
          <w:lang w:val="en-US" w:eastAsia="zh-CN"/>
        </w:rPr>
        <w:t>2026年05月23日至2027年05月23日，共计365日历天。</w:t>
      </w:r>
      <w:r>
        <w:rPr>
          <w:rFonts w:hint="eastAsia" w:ascii="宋体" w:hAnsi="宋体" w:eastAsia="宋体" w:cs="宋体"/>
          <w:sz w:val="24"/>
          <w:szCs w:val="24"/>
          <w:highlight w:val="none"/>
          <w:lang w:val="en-US" w:eastAsia="zh-CN"/>
        </w:rPr>
        <w:t>）</w:t>
      </w:r>
      <w:r>
        <w:rPr>
          <w:rFonts w:hint="eastAsia" w:ascii="仿宋" w:hAnsi="仿宋" w:eastAsia="仿宋" w:cs="仿宋"/>
          <w:sz w:val="32"/>
          <w:szCs w:val="32"/>
          <w:highlight w:val="none"/>
          <w:lang w:val="en-US" w:eastAsia="zh-CN"/>
        </w:rPr>
        <w:t xml:space="preserve"> </w:t>
      </w:r>
    </w:p>
    <w:p>
      <w:pPr>
        <w:numPr>
          <w:ilvl w:val="0"/>
          <w:numId w:val="0"/>
        </w:numPr>
        <w:rPr>
          <w:rFonts w:hint="default"/>
          <w:lang w:val="en-US" w:eastAsia="zh-CN"/>
        </w:rPr>
      </w:pPr>
    </w:p>
    <w:p>
      <w:pPr>
        <w:pStyle w:val="3"/>
        <w:keepNext/>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44"/>
          <w:szCs w:val="44"/>
          <w:highlight w:val="none"/>
        </w:rPr>
      </w:pPr>
      <w:r>
        <w:rPr>
          <w:rFonts w:hint="eastAsia" w:ascii="宋体" w:hAnsi="宋体" w:cs="宋体"/>
          <w:color w:val="auto"/>
          <w:sz w:val="44"/>
          <w:szCs w:val="44"/>
          <w:highlight w:val="none"/>
          <w:lang w:val="en-US" w:eastAsia="zh-CN"/>
        </w:rPr>
        <w:t xml:space="preserve">第六章  </w:t>
      </w:r>
      <w:r>
        <w:rPr>
          <w:rFonts w:hint="eastAsia" w:ascii="宋体" w:hAnsi="宋体" w:cs="宋体"/>
          <w:color w:val="auto"/>
          <w:sz w:val="44"/>
          <w:szCs w:val="44"/>
          <w:highlight w:val="none"/>
          <w:lang w:eastAsia="zh-CN"/>
        </w:rPr>
        <w:t>磋商响应文件</w:t>
      </w:r>
      <w:r>
        <w:rPr>
          <w:rFonts w:hint="eastAsia" w:ascii="宋体" w:hAnsi="宋体" w:cs="宋体"/>
          <w:color w:val="auto"/>
          <w:sz w:val="44"/>
          <w:szCs w:val="44"/>
          <w:highlight w:val="none"/>
        </w:rPr>
        <w:t>格式</w:t>
      </w:r>
      <w:bookmarkEnd w:id="394"/>
      <w:bookmarkEnd w:id="395"/>
      <w:bookmarkEnd w:id="396"/>
    </w:p>
    <w:p>
      <w:pPr>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keepNext w:val="0"/>
        <w:keepLines w:val="0"/>
        <w:pageBreakBefore/>
        <w:widowControl w:val="0"/>
        <w:kinsoku/>
        <w:wordWrap/>
        <w:overflowPunct/>
        <w:topLinePunct w:val="0"/>
        <w:autoSpaceDE/>
        <w:autoSpaceDN/>
        <w:bidi w:val="0"/>
        <w:adjustRightInd/>
        <w:snapToGrid/>
        <w:ind w:firstLine="420" w:firstLineChars="200"/>
        <w:textAlignment w:val="auto"/>
        <w:rPr>
          <w:rFonts w:ascii="宋体" w:hAnsi="宋体" w:cs="宋体"/>
          <w:color w:val="auto"/>
          <w:szCs w:val="21"/>
          <w:highlight w:val="none"/>
        </w:rPr>
      </w:pPr>
    </w:p>
    <w:p>
      <w:pPr>
        <w:ind w:firstLine="640" w:firstLineChars="200"/>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bookmarkStart w:id="397" w:name="_Toc2763_WPSOffice_Level1"/>
      <w:bookmarkStart w:id="398" w:name="_Toc25307_WPSOffice_Level1"/>
      <w:r>
        <w:rPr>
          <w:rFonts w:hint="eastAsia" w:ascii="宋体" w:hAnsi="宋体" w:cs="宋体"/>
          <w:b/>
          <w:color w:val="auto"/>
          <w:sz w:val="32"/>
          <w:szCs w:val="32"/>
          <w:highlight w:val="none"/>
        </w:rPr>
        <w:t>（项目名称）</w:t>
      </w:r>
      <w:bookmarkEnd w:id="397"/>
      <w:bookmarkEnd w:id="398"/>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72"/>
          <w:szCs w:val="72"/>
          <w:highlight w:val="none"/>
        </w:rPr>
      </w:pPr>
      <w:bookmarkStart w:id="399" w:name="_Toc20586_WPSOffice_Level1"/>
      <w:bookmarkStart w:id="400" w:name="_Toc5230_WPSOffice_Level1"/>
      <w:r>
        <w:rPr>
          <w:rFonts w:hint="eastAsia" w:ascii="宋体" w:hAnsi="宋体" w:cs="宋体"/>
          <w:color w:val="auto"/>
          <w:sz w:val="72"/>
          <w:szCs w:val="72"/>
          <w:highlight w:val="none"/>
          <w:lang w:eastAsia="zh-CN"/>
        </w:rPr>
        <w:t>磋</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商</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响</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应</w:t>
      </w:r>
      <w:r>
        <w:rPr>
          <w:rFonts w:hint="eastAsia" w:ascii="宋体" w:hAnsi="宋体" w:cs="宋体"/>
          <w:color w:val="auto"/>
          <w:sz w:val="72"/>
          <w:szCs w:val="72"/>
          <w:highlight w:val="none"/>
        </w:rPr>
        <w:t xml:space="preserve"> 文 件</w:t>
      </w:r>
      <w:bookmarkEnd w:id="399"/>
      <w:bookmarkEnd w:id="400"/>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jc w:val="center"/>
        <w:rPr>
          <w:rFonts w:ascii="宋体" w:hAnsi="宋体" w:cs="宋体"/>
          <w:color w:val="auto"/>
          <w:szCs w:val="21"/>
          <w:highlight w:val="none"/>
        </w:rPr>
      </w:pPr>
      <w:bookmarkStart w:id="401" w:name="_Toc18843_WPSOffice_Level1"/>
      <w:bookmarkStart w:id="402" w:name="_Toc32226_WPSOffice_Level1"/>
      <w:r>
        <w:rPr>
          <w:rFonts w:hint="eastAsia" w:ascii="宋体" w:hAnsi="宋体" w:cs="宋体"/>
          <w:color w:val="auto"/>
          <w:szCs w:val="21"/>
          <w:highlight w:val="none"/>
        </w:rPr>
        <w:t>项目编号：</w:t>
      </w:r>
      <w:bookmarkEnd w:id="401"/>
      <w:bookmarkEnd w:id="402"/>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firstLine="1680" w:firstLineChars="600"/>
        <w:rPr>
          <w:rFonts w:ascii="宋体" w:hAnsi="宋体" w:cs="宋体"/>
          <w:color w:val="auto"/>
          <w:sz w:val="28"/>
          <w:szCs w:val="28"/>
          <w:highlight w:val="none"/>
        </w:rPr>
      </w:pPr>
    </w:p>
    <w:p>
      <w:pPr>
        <w:ind w:firstLine="1820" w:firstLineChars="650"/>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5"/>
        <w:keepNext w:val="0"/>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44"/>
          <w:highlight w:val="none"/>
        </w:rPr>
      </w:pPr>
      <w:bookmarkStart w:id="403" w:name="_Toc460361774"/>
      <w:bookmarkStart w:id="404" w:name="_Toc460361832"/>
      <w:r>
        <w:rPr>
          <w:rFonts w:hint="eastAsia" w:ascii="宋体" w:hAnsi="宋体" w:cs="宋体"/>
          <w:color w:val="auto"/>
          <w:sz w:val="44"/>
          <w:highlight w:val="none"/>
        </w:rPr>
        <w:t>目    录</w:t>
      </w:r>
      <w:bookmarkEnd w:id="403"/>
      <w:bookmarkEnd w:id="404"/>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ascii="宋体" w:hAnsi="宋体"/>
          <w:color w:val="auto"/>
          <w:sz w:val="24"/>
          <w:highlight w:val="none"/>
        </w:rPr>
      </w:pPr>
      <w:bookmarkStart w:id="405" w:name="_Toc29005_WPSOffice_Level1"/>
      <w:bookmarkStart w:id="406" w:name="_Toc25777_WPSOffice_Level1"/>
      <w:r>
        <w:rPr>
          <w:rFonts w:hint="eastAsia" w:ascii="宋体" w:hAnsi="宋体"/>
          <w:color w:val="auto"/>
          <w:sz w:val="24"/>
          <w:highlight w:val="none"/>
        </w:rPr>
        <w:t>一、价格部分</w:t>
      </w:r>
      <w:bookmarkEnd w:id="405"/>
      <w:bookmarkEnd w:id="406"/>
    </w:p>
    <w:p>
      <w:pPr>
        <w:keepNext w:val="0"/>
        <w:keepLines w:val="0"/>
        <w:pageBreakBefore w:val="0"/>
        <w:widowControl w:val="0"/>
        <w:kinsoku/>
        <w:wordWrap/>
        <w:overflowPunct/>
        <w:topLinePunct w:val="0"/>
        <w:autoSpaceDE/>
        <w:autoSpaceDN/>
        <w:bidi w:val="0"/>
        <w:adjustRightInd/>
        <w:snapToGrid/>
        <w:spacing w:line="440" w:lineRule="exact"/>
        <w:ind w:firstLine="426"/>
        <w:textAlignment w:val="auto"/>
        <w:rPr>
          <w:rFonts w:ascii="宋体" w:hAnsi="宋体"/>
          <w:color w:val="auto"/>
          <w:sz w:val="24"/>
          <w:highlight w:val="none"/>
        </w:rPr>
      </w:pPr>
      <w:r>
        <w:rPr>
          <w:rFonts w:hint="eastAsia" w:ascii="宋体" w:hAnsi="宋体"/>
          <w:color w:val="auto"/>
          <w:sz w:val="24"/>
          <w:highlight w:val="none"/>
        </w:rPr>
        <w:t>（1）开标一览表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textAlignment w:val="auto"/>
        <w:rPr>
          <w:rFonts w:ascii="宋体" w:hAnsi="宋体"/>
          <w:color w:val="auto"/>
          <w:sz w:val="24"/>
          <w:highlight w:val="none"/>
        </w:rPr>
      </w:pPr>
      <w:bookmarkStart w:id="407" w:name="_Toc11692_WPSOffice_Level1"/>
      <w:bookmarkStart w:id="408" w:name="_Toc11283_WPSOffice_Level1"/>
      <w:r>
        <w:rPr>
          <w:rFonts w:hint="eastAsia" w:ascii="宋体" w:hAnsi="宋体"/>
          <w:color w:val="auto"/>
          <w:sz w:val="24"/>
          <w:highlight w:val="none"/>
        </w:rPr>
        <w:t>二、商务部分</w:t>
      </w:r>
      <w:bookmarkEnd w:id="407"/>
      <w:bookmarkEnd w:id="40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（1）投标函及投标函附录</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磋商保证金</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（3）法定代表人身份证明书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（4）被授权人身份证明书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（5）项目管理机构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（6）资格审查材料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（7）投标人的资格声明</w:t>
      </w:r>
    </w:p>
    <w:p>
      <w:pPr>
        <w:pStyle w:val="2"/>
        <w:ind w:firstLine="480" w:firstLineChars="200"/>
        <w:jc w:val="both"/>
        <w:rPr>
          <w:rFonts w:hint="eastAsia" w:ascii="宋体" w:hAnsi="宋体" w:eastAsia="宋体" w:cs="宋体"/>
          <w:sz w:val="24"/>
          <w:szCs w:val="24"/>
          <w:lang w:eastAsia="zh-CN"/>
        </w:rPr>
      </w:pPr>
      <w:r>
        <w:rPr>
          <w:rFonts w:hint="eastAsia" w:ascii="宋体" w:hAnsi="宋体" w:eastAsia="宋体" w:cs="宋体"/>
          <w:color w:val="auto"/>
          <w:spacing w:val="0"/>
          <w:kern w:val="2"/>
          <w:sz w:val="24"/>
          <w:szCs w:val="24"/>
          <w:highlight w:val="none"/>
          <w:lang w:val="en-US" w:eastAsia="zh-CN" w:bidi="ar-SA"/>
        </w:rPr>
        <w:t>（8）投标人须知</w:t>
      </w:r>
      <w:r>
        <w:rPr>
          <w:rFonts w:hint="eastAsia" w:ascii="宋体" w:eastAsia="宋体" w:cs="宋体"/>
          <w:color w:val="auto"/>
          <w:spacing w:val="0"/>
          <w:kern w:val="2"/>
          <w:sz w:val="24"/>
          <w:szCs w:val="24"/>
          <w:highlight w:val="none"/>
          <w:lang w:val="en-US" w:eastAsia="zh-CN" w:bidi="ar-SA"/>
        </w:rPr>
        <w:t>前</w:t>
      </w:r>
      <w:r>
        <w:rPr>
          <w:rFonts w:hint="eastAsia" w:ascii="宋体" w:hAnsi="宋体" w:eastAsia="宋体" w:cs="宋体"/>
          <w:color w:val="auto"/>
          <w:spacing w:val="0"/>
          <w:kern w:val="2"/>
          <w:sz w:val="24"/>
          <w:szCs w:val="24"/>
          <w:highlight w:val="none"/>
          <w:lang w:val="en-US" w:eastAsia="zh-CN" w:bidi="ar-SA"/>
        </w:rPr>
        <w:t>附表规定的其他材料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textAlignment w:val="auto"/>
        <w:rPr>
          <w:rFonts w:ascii="宋体" w:hAnsi="宋体"/>
          <w:color w:val="auto"/>
          <w:sz w:val="24"/>
          <w:highlight w:val="none"/>
        </w:rPr>
      </w:pPr>
      <w:bookmarkStart w:id="409" w:name="_Toc26032_WPSOffice_Level1"/>
      <w:bookmarkStart w:id="410" w:name="_Toc25377_WPSOffice_Level1"/>
      <w:r>
        <w:rPr>
          <w:rFonts w:hint="eastAsia" w:ascii="宋体" w:hAnsi="宋体"/>
          <w:color w:val="auto"/>
          <w:sz w:val="24"/>
          <w:highlight w:val="none"/>
        </w:rPr>
        <w:t>三、技术部分</w:t>
      </w:r>
      <w:bookmarkEnd w:id="409"/>
      <w:bookmarkEnd w:id="41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服务方案（</w:t>
      </w:r>
      <w:r>
        <w:rPr>
          <w:rFonts w:hint="eastAsia" w:ascii="宋体" w:hAnsi="宋体"/>
          <w:color w:val="auto"/>
          <w:sz w:val="24"/>
          <w:highlight w:val="none"/>
          <w:lang w:val="en-US" w:eastAsia="zh-CN"/>
        </w:rPr>
        <w:t>暗标</w:t>
      </w:r>
      <w:r>
        <w:rPr>
          <w:rFonts w:hint="eastAsia" w:ascii="宋体" w:hAnsi="宋体"/>
          <w:color w:val="auto"/>
          <w:sz w:val="24"/>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四、其他因素</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（1）优惠条件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（2）服务承诺</w:t>
      </w:r>
    </w:p>
    <w:p>
      <w:pPr>
        <w:pStyle w:val="53"/>
        <w:rPr>
          <w:rFonts w:hint="default"/>
          <w:lang w:val="en-US" w:eastAsia="zh-CN"/>
        </w:rPr>
      </w:pP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eastAsia="zh-CN"/>
        </w:rPr>
      </w:pP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eastAsia="zh-CN"/>
        </w:rPr>
      </w:pP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eastAsia="zh-CN"/>
        </w:rPr>
      </w:pP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pPr>
    </w:p>
    <w:p>
      <w:pPr>
        <w:pStyle w:val="2"/>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tbl>
      <w:tblPr>
        <w:tblStyle w:val="37"/>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0"/>
        <w:gridCol w:w="2860"/>
        <w:gridCol w:w="1720"/>
        <w:gridCol w:w="641"/>
        <w:gridCol w:w="2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9338" w:type="dxa"/>
            <w:gridSpan w:val="5"/>
            <w:tcBorders>
              <w:top w:val="nil"/>
              <w:left w:val="nil"/>
              <w:bottom w:val="nil"/>
              <w:right w:val="nil"/>
            </w:tcBorders>
            <w:tcMar>
              <w:top w:w="38" w:type="dxa"/>
              <w:left w:w="38" w:type="dxa"/>
              <w:bottom w:w="0" w:type="dxa"/>
              <w:right w:w="38" w:type="dxa"/>
            </w:tcMar>
            <w:vAlign w:val="center"/>
          </w:tcPr>
          <w:p>
            <w:pPr>
              <w:jc w:val="center"/>
              <w:rPr>
                <w:rFonts w:ascii="宋体" w:hAnsi="宋体" w:cs="宋体"/>
                <w:b/>
                <w:bCs/>
                <w:color w:val="auto"/>
                <w:sz w:val="28"/>
                <w:szCs w:val="28"/>
                <w:highlight w:val="none"/>
              </w:rPr>
            </w:pPr>
            <w:r>
              <w:rPr>
                <w:rFonts w:hint="eastAsia" w:ascii="宋体" w:hAnsi="宋体" w:cs="宋体"/>
                <w:b/>
                <w:bCs/>
                <w:color w:val="auto"/>
                <w:sz w:val="32"/>
                <w:szCs w:val="32"/>
                <w:highlight w:val="none"/>
              </w:rPr>
              <w:t>一、开标一览表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338" w:type="dxa"/>
            <w:gridSpan w:val="5"/>
            <w:tcBorders>
              <w:top w:val="nil"/>
              <w:left w:val="nil"/>
              <w:bottom w:val="nil"/>
              <w:right w:val="nil"/>
            </w:tcBorders>
            <w:tcMar>
              <w:top w:w="38" w:type="dxa"/>
              <w:left w:w="38" w:type="dxa"/>
              <w:bottom w:w="0" w:type="dxa"/>
              <w:right w:w="38" w:type="dxa"/>
            </w:tcMar>
            <w:vAlign w:val="center"/>
          </w:tcPr>
          <w:p>
            <w:pPr>
              <w:pStyle w:val="15"/>
              <w:widowControl/>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2026年松江河镇园林绿化管理服务</w:t>
            </w:r>
          </w:p>
          <w:p>
            <w:pPr>
              <w:rPr>
                <w:rFonts w:hint="eastAsia" w:ascii="宋体" w:hAnsi="宋体" w:eastAsia="宋体" w:cs="宋体"/>
                <w:color w:val="auto"/>
                <w:highlight w:val="none"/>
                <w:lang w:eastAsia="zh-CN"/>
              </w:rPr>
            </w:pPr>
            <w:r>
              <w:rPr>
                <w:rFonts w:hint="eastAsia" w:ascii="宋体" w:hAnsi="宋体"/>
                <w:color w:val="auto"/>
                <w:szCs w:val="21"/>
                <w:highlight w:val="none"/>
                <w:lang w:val="en-US" w:eastAsia="zh-CN"/>
              </w:rPr>
              <w:t>项目编号</w:t>
            </w:r>
            <w:r>
              <w:rPr>
                <w:rFonts w:hint="eastAsia" w:ascii="宋体" w:hAnsi="宋体"/>
                <w:color w:val="auto"/>
                <w:szCs w:val="21"/>
                <w:highlight w:val="none"/>
              </w:rPr>
              <w:t>：</w:t>
            </w:r>
            <w:r>
              <w:rPr>
                <w:rFonts w:hint="eastAsia" w:ascii="宋体" w:hAnsi="宋体"/>
                <w:color w:val="auto"/>
                <w:szCs w:val="21"/>
                <w:highlight w:val="none"/>
                <w:lang w:eastAsia="zh-CN"/>
              </w:rPr>
              <w:t>采购计划-[2026]-00060号-026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940" w:type="dxa"/>
            <w:tcBorders>
              <w:top w:val="single" w:color="auto" w:sz="12"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投标单位</w:t>
            </w:r>
          </w:p>
        </w:tc>
        <w:tc>
          <w:tcPr>
            <w:tcW w:w="7398" w:type="dxa"/>
            <w:gridSpan w:val="4"/>
            <w:tcBorders>
              <w:top w:val="single" w:color="auto" w:sz="12"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hint="default" w:ascii="宋体" w:hAnsi="宋体" w:eastAsia="宋体" w:cs="宋体"/>
                <w:color w:val="auto"/>
                <w:highlight w:val="yellow"/>
                <w:lang w:val="en-US" w:eastAsia="zh-CN"/>
              </w:rPr>
            </w:pPr>
            <w:r>
              <w:rPr>
                <w:rFonts w:hint="eastAsia" w:ascii="宋体" w:hAnsi="宋体" w:cs="宋体"/>
                <w:color w:val="auto"/>
                <w:highlight w:val="none"/>
              </w:rPr>
              <w:t>投标报价</w:t>
            </w:r>
          </w:p>
        </w:tc>
        <w:tc>
          <w:tcPr>
            <w:tcW w:w="286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sz w:val="21"/>
                <w:szCs w:val="20"/>
                <w:highlight w:val="none"/>
              </w:rPr>
            </w:pPr>
            <w:r>
              <w:rPr>
                <w:rFonts w:hint="eastAsia" w:ascii="宋体" w:hAnsi="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元</w:t>
            </w:r>
          </w:p>
        </w:tc>
        <w:tc>
          <w:tcPr>
            <w:tcW w:w="2361" w:type="dxa"/>
            <w:gridSpan w:val="2"/>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磋商保证金</w:t>
            </w:r>
          </w:p>
          <w:p>
            <w:pPr>
              <w:jc w:val="center"/>
              <w:rPr>
                <w:rFonts w:ascii="宋体" w:hAnsi="宋体" w:cs="宋体"/>
                <w:color w:val="auto"/>
                <w:highlight w:val="none"/>
              </w:rPr>
            </w:pPr>
            <w:r>
              <w:rPr>
                <w:rFonts w:hint="eastAsia" w:ascii="宋体" w:hAnsi="宋体" w:cs="宋体"/>
                <w:color w:val="auto"/>
                <w:highlight w:val="none"/>
              </w:rPr>
              <w:t>（有/无）</w:t>
            </w:r>
          </w:p>
        </w:tc>
        <w:tc>
          <w:tcPr>
            <w:tcW w:w="2177" w:type="dxa"/>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16"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rPr>
              <w:t>质量</w:t>
            </w:r>
            <w:r>
              <w:rPr>
                <w:rFonts w:hint="eastAsia" w:ascii="宋体" w:hAnsi="宋体" w:cs="宋体"/>
                <w:color w:val="auto"/>
                <w:highlight w:val="none"/>
                <w:lang w:val="en-US" w:eastAsia="zh-CN"/>
              </w:rPr>
              <w:t>要求</w:t>
            </w:r>
          </w:p>
        </w:tc>
        <w:tc>
          <w:tcPr>
            <w:tcW w:w="286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p>
        </w:tc>
        <w:tc>
          <w:tcPr>
            <w:tcW w:w="1720" w:type="dxa"/>
            <w:tcBorders>
              <w:top w:val="single" w:color="auto" w:sz="6" w:space="0"/>
              <w:left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服务周期</w:t>
            </w:r>
          </w:p>
        </w:tc>
        <w:tc>
          <w:tcPr>
            <w:tcW w:w="2818" w:type="dxa"/>
            <w:gridSpan w:val="2"/>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hint="eastAsia" w:ascii="宋体" w:hAnsi="宋体" w:cs="宋体"/>
                <w:color w:val="auto"/>
                <w:highlight w:val="none"/>
                <w:lang w:eastAsia="zh-CN"/>
              </w:rPr>
            </w:pPr>
            <w:r>
              <w:rPr>
                <w:rFonts w:hint="eastAsia" w:ascii="宋体" w:hAnsi="宋体" w:cs="宋体"/>
                <w:color w:val="auto"/>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优惠条件</w:t>
            </w:r>
          </w:p>
        </w:tc>
        <w:tc>
          <w:tcPr>
            <w:tcW w:w="7398" w:type="dxa"/>
            <w:gridSpan w:val="4"/>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lang w:eastAsia="zh-CN"/>
              </w:rPr>
              <w:t>服务</w:t>
            </w:r>
            <w:r>
              <w:rPr>
                <w:rFonts w:hint="eastAsia" w:ascii="宋体" w:hAnsi="宋体" w:cs="宋体"/>
                <w:color w:val="auto"/>
                <w:highlight w:val="none"/>
              </w:rPr>
              <w:t>承诺</w:t>
            </w:r>
          </w:p>
        </w:tc>
        <w:tc>
          <w:tcPr>
            <w:tcW w:w="7398" w:type="dxa"/>
            <w:gridSpan w:val="4"/>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2" w:hRule="atLeast"/>
        </w:trPr>
        <w:tc>
          <w:tcPr>
            <w:tcW w:w="1940" w:type="dxa"/>
            <w:vMerge w:val="restart"/>
            <w:tcBorders>
              <w:top w:val="single" w:color="auto" w:sz="6" w:space="0"/>
              <w:left w:val="single" w:color="auto" w:sz="12"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备注</w:t>
            </w:r>
          </w:p>
        </w:tc>
        <w:tc>
          <w:tcPr>
            <w:tcW w:w="7398" w:type="dxa"/>
            <w:gridSpan w:val="4"/>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1、本表只做唱标时使用，但本表的一切内容具有法律效力，不得更改。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1940" w:type="dxa"/>
            <w:vMerge w:val="continue"/>
            <w:tcBorders>
              <w:left w:val="single" w:color="auto" w:sz="12" w:space="0"/>
              <w:right w:val="single" w:color="auto" w:sz="6" w:space="0"/>
            </w:tcBorders>
            <w:vAlign w:val="center"/>
          </w:tcPr>
          <w:p>
            <w:pPr>
              <w:rPr>
                <w:rFonts w:ascii="宋体" w:hAnsi="宋体" w:cs="宋体"/>
                <w:color w:val="auto"/>
                <w:highlight w:val="none"/>
              </w:rPr>
            </w:pPr>
          </w:p>
        </w:tc>
        <w:tc>
          <w:tcPr>
            <w:tcW w:w="7398" w:type="dxa"/>
            <w:gridSpan w:val="4"/>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2、本表的内容必须与</w:t>
            </w:r>
            <w:r>
              <w:rPr>
                <w:rFonts w:hint="eastAsia" w:ascii="宋体" w:hAnsi="宋体" w:cs="宋体"/>
                <w:color w:val="auto"/>
                <w:highlight w:val="none"/>
                <w:lang w:eastAsia="zh-CN"/>
              </w:rPr>
              <w:t>磋商响应文件</w:t>
            </w:r>
            <w:r>
              <w:rPr>
                <w:rFonts w:hint="eastAsia" w:ascii="宋体" w:hAnsi="宋体" w:cs="宋体"/>
                <w:color w:val="auto"/>
                <w:highlight w:val="none"/>
              </w:rPr>
              <w:t>中的正本内容一致，否则投标作废。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27" w:hRule="atLeast"/>
        </w:trPr>
        <w:tc>
          <w:tcPr>
            <w:tcW w:w="1940" w:type="dxa"/>
            <w:vMerge w:val="continue"/>
            <w:tcBorders>
              <w:left w:val="single" w:color="auto" w:sz="12" w:space="0"/>
              <w:right w:val="single" w:color="auto" w:sz="6" w:space="0"/>
            </w:tcBorders>
            <w:vAlign w:val="center"/>
          </w:tcPr>
          <w:p>
            <w:pPr>
              <w:rPr>
                <w:rFonts w:ascii="宋体" w:hAnsi="宋体" w:cs="宋体"/>
                <w:color w:val="auto"/>
                <w:highlight w:val="none"/>
              </w:rPr>
            </w:pPr>
          </w:p>
        </w:tc>
        <w:tc>
          <w:tcPr>
            <w:tcW w:w="7398" w:type="dxa"/>
            <w:gridSpan w:val="4"/>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、优惠条件、</w:t>
            </w:r>
            <w:r>
              <w:rPr>
                <w:rFonts w:hint="eastAsia" w:ascii="宋体" w:hAnsi="宋体" w:cs="宋体"/>
                <w:color w:val="auto"/>
                <w:highlight w:val="none"/>
                <w:lang w:eastAsia="zh-CN"/>
              </w:rPr>
              <w:t>服务</w:t>
            </w:r>
            <w:r>
              <w:rPr>
                <w:rFonts w:hint="eastAsia" w:ascii="宋体" w:hAnsi="宋体" w:cs="宋体"/>
                <w:color w:val="auto"/>
                <w:highlight w:val="none"/>
              </w:rPr>
              <w:t>承诺两项，详细内容必须在投标书中载明，如内容较多，本表只填写“有”“无”即可。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30" w:hRule="atLeast"/>
        </w:trPr>
        <w:tc>
          <w:tcPr>
            <w:tcW w:w="1940" w:type="dxa"/>
            <w:vMerge w:val="continue"/>
            <w:tcBorders>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4"/>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hint="default" w:ascii="宋体" w:hAnsi="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投标报价以元为单位，小数点后保留</w:t>
            </w:r>
            <w:r>
              <w:rPr>
                <w:rFonts w:hint="eastAsia" w:ascii="宋体" w:hAnsi="宋体" w:cs="宋体"/>
                <w:color w:val="auto"/>
                <w:highlight w:val="none"/>
                <w:lang w:val="en-US" w:eastAsia="zh-CN"/>
              </w:rPr>
              <w:t>2</w:t>
            </w:r>
            <w:r>
              <w:rPr>
                <w:rFonts w:hint="eastAsia" w:ascii="宋体" w:hAnsi="宋体" w:cs="宋体"/>
                <w:color w:val="auto"/>
                <w:highlight w:val="none"/>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7" w:hRule="atLeast"/>
        </w:trPr>
        <w:tc>
          <w:tcPr>
            <w:tcW w:w="9338" w:type="dxa"/>
            <w:gridSpan w:val="5"/>
            <w:tcBorders>
              <w:top w:val="single" w:color="auto" w:sz="6" w:space="0"/>
              <w:left w:val="single" w:color="auto" w:sz="12" w:space="0"/>
              <w:bottom w:val="single" w:color="auto" w:sz="12" w:space="0"/>
              <w:right w:val="single" w:color="auto" w:sz="12" w:space="0"/>
            </w:tcBorders>
            <w:tcMar>
              <w:top w:w="38" w:type="dxa"/>
              <w:left w:w="38" w:type="dxa"/>
              <w:bottom w:w="0" w:type="dxa"/>
              <w:right w:w="38" w:type="dxa"/>
            </w:tcMar>
            <w:vAlign w:val="center"/>
          </w:tcPr>
          <w:p>
            <w:pPr>
              <w:ind w:firstLine="630" w:firstLineChars="300"/>
              <w:rPr>
                <w:rFonts w:ascii="宋体" w:hAnsi="宋体" w:cs="宋体"/>
                <w:color w:val="auto"/>
                <w:highlight w:val="none"/>
              </w:rPr>
            </w:pPr>
            <w:r>
              <w:rPr>
                <w:rFonts w:hint="eastAsia" w:ascii="宋体" w:hAnsi="宋体" w:cs="宋体"/>
                <w:color w:val="auto"/>
                <w:highlight w:val="none"/>
              </w:rPr>
              <w:t>投标人：           (盖章)      被授权人：         （签字或盖章）</w:t>
            </w:r>
          </w:p>
        </w:tc>
      </w:tr>
    </w:tbl>
    <w:p>
      <w:pPr>
        <w:spacing w:afterLines="50" w:line="480" w:lineRule="exact"/>
        <w:rPr>
          <w:rFonts w:ascii="宋体" w:hAnsi="宋体" w:cs="宋体"/>
          <w:color w:val="auto"/>
          <w:highlight w:val="none"/>
        </w:rPr>
      </w:pPr>
    </w:p>
    <w:p>
      <w:pPr>
        <w:spacing w:afterLines="50" w:line="480" w:lineRule="exact"/>
        <w:rPr>
          <w:rFonts w:ascii="宋体" w:hAnsi="宋体" w:cs="宋体"/>
          <w:color w:val="auto"/>
          <w:highlight w:val="none"/>
        </w:rPr>
      </w:pPr>
    </w:p>
    <w:p>
      <w:pPr>
        <w:spacing w:afterLines="50" w:line="480" w:lineRule="exact"/>
        <w:ind w:firstLine="6405" w:firstLineChars="305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u w:val="single"/>
        </w:rPr>
        <w:t xml:space="preserve">      </w:t>
      </w:r>
      <w:bookmarkStart w:id="411" w:name="_Toc460361775"/>
      <w:bookmarkStart w:id="412" w:name="_Toc460361833"/>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bookmarkEnd w:id="411"/>
      <w:bookmarkEnd w:id="412"/>
    </w:p>
    <w:p>
      <w:pPr>
        <w:rPr>
          <w:rFonts w:ascii="宋体" w:hAnsi="宋体" w:cs="宋体"/>
          <w:color w:val="auto"/>
          <w:highlight w:val="none"/>
        </w:rPr>
      </w:pPr>
    </w:p>
    <w:p>
      <w:pPr>
        <w:rPr>
          <w:rFonts w:ascii="宋体" w:hAnsi="宋体" w:cs="宋体"/>
          <w:color w:val="auto"/>
          <w:highlight w:val="none"/>
        </w:rPr>
      </w:pPr>
    </w:p>
    <w:p>
      <w:pPr>
        <w:spacing w:line="315" w:lineRule="auto"/>
        <w:jc w:val="center"/>
        <w:rPr>
          <w:rFonts w:hint="eastAsia" w:ascii="宋体" w:hAnsi="宋体" w:cs="宋体"/>
          <w:b/>
          <w:bCs/>
          <w:color w:val="auto"/>
          <w:sz w:val="32"/>
          <w:szCs w:val="32"/>
          <w:highlight w:val="none"/>
          <w:lang w:eastAsia="zh-CN"/>
        </w:rPr>
      </w:pPr>
      <w:bookmarkStart w:id="413" w:name="_Toc20743_WPSOffice_Level1"/>
      <w:bookmarkStart w:id="414" w:name="_Toc9015_WPSOffice_Level1"/>
      <w:bookmarkStart w:id="415" w:name="_Toc460361776"/>
      <w:bookmarkStart w:id="416" w:name="_Toc460361834"/>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二次报价表</w:t>
      </w: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（以“政采云”系统填报为准）</w:t>
      </w:r>
    </w:p>
    <w:bookmarkEnd w:id="413"/>
    <w:p>
      <w:pPr>
        <w:snapToGrid w:val="0"/>
        <w:spacing w:line="360" w:lineRule="auto"/>
        <w:rPr>
          <w:rFonts w:hint="eastAsia" w:ascii="宋体" w:hAnsi="宋体"/>
          <w:color w:val="auto"/>
          <w:szCs w:val="21"/>
          <w:highlight w:val="non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both"/>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bookmarkEnd w:id="414"/>
    <w:p>
      <w:pPr>
        <w:pStyle w:val="5"/>
        <w:keepNext/>
        <w:keepLines/>
        <w:pageBreakBefore/>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 w:val="32"/>
          <w:szCs w:val="32"/>
          <w:highlight w:val="none"/>
        </w:rPr>
      </w:pPr>
      <w:bookmarkStart w:id="417" w:name="_Toc7876_WPSOffice_Level1"/>
      <w:bookmarkStart w:id="418" w:name="_Toc7838_WPSOffice_Level1"/>
      <w:r>
        <w:rPr>
          <w:rFonts w:hint="eastAsia" w:ascii="宋体" w:hAnsi="宋体" w:cs="宋体"/>
          <w:color w:val="auto"/>
          <w:sz w:val="32"/>
          <w:szCs w:val="32"/>
          <w:highlight w:val="none"/>
          <w:lang w:eastAsia="zh-CN"/>
        </w:rPr>
        <w:t>二</w:t>
      </w:r>
      <w:r>
        <w:rPr>
          <w:rFonts w:hint="eastAsia" w:ascii="宋体" w:hAnsi="宋体" w:cs="宋体"/>
          <w:color w:val="auto"/>
          <w:sz w:val="32"/>
          <w:szCs w:val="32"/>
          <w:highlight w:val="none"/>
        </w:rPr>
        <w:t>、投标函及投标函附录</w:t>
      </w:r>
      <w:bookmarkEnd w:id="415"/>
      <w:bookmarkEnd w:id="416"/>
      <w:bookmarkEnd w:id="417"/>
      <w:bookmarkEnd w:id="418"/>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（一）投标函</w:t>
      </w:r>
    </w:p>
    <w:p>
      <w:pPr>
        <w:ind w:firstLine="420" w:firstLineChars="200"/>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textAlignment w:val="auto"/>
        <w:outlineLvl w:val="0"/>
        <w:rPr>
          <w:rFonts w:ascii="宋体" w:hAnsi="宋体" w:cs="宋体"/>
          <w:szCs w:val="21"/>
          <w:highlight w:val="none"/>
        </w:rPr>
      </w:pPr>
      <w:r>
        <w:rPr>
          <w:rFonts w:hint="eastAsia" w:ascii="宋体" w:hAnsi="宋体" w:cs="宋体"/>
          <w:szCs w:val="21"/>
          <w:highlight w:val="none"/>
          <w:u w:val="single"/>
        </w:rPr>
        <w:t xml:space="preserve">                     </w:t>
      </w:r>
      <w:bookmarkStart w:id="419" w:name="_Toc3468"/>
      <w:r>
        <w:rPr>
          <w:rFonts w:hint="eastAsia" w:ascii="宋体" w:hAnsi="宋体" w:cs="宋体"/>
          <w:szCs w:val="21"/>
          <w:highlight w:val="none"/>
        </w:rPr>
        <w:t>（采购人名称）:</w:t>
      </w:r>
      <w:bookmarkEnd w:id="419"/>
      <w:r>
        <w:rPr>
          <w:rFonts w:hint="eastAsia" w:ascii="宋体" w:hAnsi="宋体" w:cs="宋体"/>
          <w:szCs w:val="21"/>
          <w:highlight w:val="none"/>
        </w:rPr>
        <w:t xml:space="preserve"> </w:t>
      </w:r>
    </w:p>
    <w:p>
      <w:pPr>
        <w:keepNext w:val="0"/>
        <w:keepLines w:val="0"/>
        <w:pageBreakBefore w:val="0"/>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cs="宋体"/>
          <w:szCs w:val="21"/>
          <w:highlight w:val="none"/>
        </w:rPr>
        <w:t>1．我方己仔细研究了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标段</w:t>
      </w:r>
      <w:r>
        <w:rPr>
          <w:rFonts w:hint="eastAsia" w:ascii="宋体" w:hAnsi="宋体" w:cs="宋体"/>
          <w:szCs w:val="21"/>
          <w:highlight w:val="none"/>
          <w:lang w:eastAsia="zh-CN"/>
        </w:rPr>
        <w:t>竞争性磋商文件</w:t>
      </w:r>
      <w:r>
        <w:rPr>
          <w:rFonts w:hint="eastAsia" w:ascii="宋体" w:hAnsi="宋体" w:cs="宋体"/>
          <w:szCs w:val="21"/>
          <w:highlight w:val="none"/>
        </w:rPr>
        <w:t>的全部内容，愿意</w:t>
      </w:r>
      <w:r>
        <w:rPr>
          <w:rFonts w:hint="eastAsia" w:ascii="宋体" w:hAnsi="宋体" w:cs="宋体"/>
          <w:szCs w:val="21"/>
          <w:highlight w:val="none"/>
          <w:lang w:eastAsia="zh-CN"/>
        </w:rPr>
        <w:t>人民币</w:t>
      </w:r>
      <w:r>
        <w:rPr>
          <w:rFonts w:hint="eastAsia" w:ascii="宋体" w:hAnsi="宋体" w:cs="宋体"/>
          <w:szCs w:val="21"/>
          <w:highlight w:val="none"/>
          <w:u w:val="single"/>
        </w:rPr>
        <w:t xml:space="preserve">                 </w:t>
      </w:r>
      <w:r>
        <w:rPr>
          <w:rFonts w:hint="eastAsia" w:ascii="宋体" w:hAnsi="宋体" w:eastAsia="宋体" w:cs="宋体"/>
          <w:szCs w:val="21"/>
          <w:highlight w:val="none"/>
          <w:u w:val="none"/>
        </w:rPr>
        <w:t>￥</w:t>
      </w:r>
      <w:r>
        <w:rPr>
          <w:rFonts w:hint="eastAsia" w:ascii="宋体" w:hAnsi="宋体" w:cs="宋体"/>
          <w:szCs w:val="21"/>
          <w:highlight w:val="none"/>
        </w:rPr>
        <w:t>，</w:t>
      </w:r>
      <w:r>
        <w:rPr>
          <w:rFonts w:hint="eastAsia" w:ascii="宋体" w:hAnsi="宋体" w:cs="宋体"/>
          <w:szCs w:val="21"/>
          <w:highlight w:val="none"/>
          <w:lang w:eastAsia="zh-CN"/>
        </w:rPr>
        <w:t>服务周期</w:t>
      </w:r>
      <w:r>
        <w:rPr>
          <w:rFonts w:hint="eastAsia" w:ascii="宋体" w:hAnsi="宋体" w:cs="宋体"/>
          <w:szCs w:val="21"/>
          <w:highlight w:val="none"/>
          <w:u w:val="single"/>
          <w:lang w:eastAsia="zh-CN"/>
        </w:rPr>
        <w:t>2026年05月23日至2027年05月23日，共计365日历天。</w:t>
      </w:r>
      <w:r>
        <w:rPr>
          <w:rFonts w:hint="eastAsia" w:ascii="宋体" w:hAnsi="宋体" w:cs="宋体"/>
          <w:szCs w:val="21"/>
          <w:highlight w:val="none"/>
        </w:rPr>
        <w:t>按合同约定实施，</w:t>
      </w:r>
      <w:r>
        <w:rPr>
          <w:rFonts w:hint="eastAsia" w:ascii="宋体" w:hAnsi="宋体" w:cs="宋体"/>
          <w:szCs w:val="21"/>
          <w:highlight w:val="none"/>
          <w:lang w:eastAsia="zh-CN"/>
        </w:rPr>
        <w:t>服务</w:t>
      </w:r>
      <w:r>
        <w:rPr>
          <w:rFonts w:hint="eastAsia" w:ascii="宋体" w:hAnsi="宋体" w:cs="宋体"/>
          <w:szCs w:val="21"/>
          <w:highlight w:val="none"/>
        </w:rPr>
        <w:t>质量</w:t>
      </w:r>
      <w:r>
        <w:rPr>
          <w:rFonts w:hint="eastAsia" w:ascii="宋体" w:hAnsi="宋体" w:cs="宋体"/>
          <w:szCs w:val="21"/>
          <w:highlight w:val="none"/>
          <w:lang w:eastAsia="zh-CN"/>
        </w:rPr>
        <w:t>达</w:t>
      </w:r>
      <w:r>
        <w:rPr>
          <w:rFonts w:hint="eastAsia" w:ascii="宋体" w:hAnsi="宋体" w:cs="宋体"/>
          <w:szCs w:val="21"/>
          <w:highlight w:val="none"/>
        </w:rPr>
        <w:t>到国家及现行行业相关标准并满足采购人要求</w:t>
      </w:r>
      <w:r>
        <w:rPr>
          <w:rFonts w:hint="eastAsia" w:ascii="宋体" w:hAnsi="宋体" w:cs="宋体"/>
          <w:szCs w:val="21"/>
          <w:highlight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2．我方承诺在投标有效期</w:t>
      </w:r>
      <w:r>
        <w:rPr>
          <w:rFonts w:hint="eastAsia" w:ascii="宋体" w:hAnsi="宋体" w:cs="宋体"/>
          <w:szCs w:val="21"/>
          <w:highlight w:val="none"/>
          <w:u w:val="none"/>
          <w:lang w:val="en-US" w:eastAsia="zh-CN"/>
        </w:rPr>
        <w:t>90天</w:t>
      </w:r>
      <w:r>
        <w:rPr>
          <w:rFonts w:hint="eastAsia" w:ascii="宋体" w:hAnsi="宋体" w:cs="宋体"/>
          <w:szCs w:val="21"/>
          <w:highlight w:val="none"/>
          <w:u w:val="none"/>
        </w:rPr>
        <w:t>内</w:t>
      </w:r>
      <w:r>
        <w:rPr>
          <w:rFonts w:hint="eastAsia" w:ascii="宋体" w:hAnsi="宋体" w:cs="宋体"/>
          <w:szCs w:val="21"/>
          <w:highlight w:val="none"/>
        </w:rPr>
        <w:t>不修改、撤销</w:t>
      </w:r>
      <w:r>
        <w:rPr>
          <w:rFonts w:hint="eastAsia" w:ascii="宋体" w:hAnsi="宋体" w:cs="宋体"/>
          <w:szCs w:val="21"/>
          <w:highlight w:val="none"/>
          <w:lang w:eastAsia="zh-CN"/>
        </w:rPr>
        <w:t>磋商响应文件</w:t>
      </w:r>
      <w:r>
        <w:rPr>
          <w:rFonts w:hint="eastAsia" w:ascii="宋体" w:hAnsi="宋体" w:cs="宋体"/>
          <w:szCs w:val="21"/>
          <w:highlight w:val="none"/>
        </w:rPr>
        <w:t>。</w:t>
      </w:r>
    </w:p>
    <w:p>
      <w:pPr>
        <w:keepNext w:val="0"/>
        <w:keepLines w:val="0"/>
        <w:pageBreakBefore w:val="0"/>
        <w:widowControl/>
        <w:kinsoku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3．随同本投标函提交</w:t>
      </w:r>
      <w:r>
        <w:rPr>
          <w:rFonts w:hint="eastAsia" w:ascii="宋体" w:hAnsi="宋体" w:cs="宋体"/>
          <w:szCs w:val="21"/>
          <w:highlight w:val="none"/>
          <w:lang w:eastAsia="zh-CN"/>
        </w:rPr>
        <w:t>磋商保证金</w:t>
      </w:r>
      <w:r>
        <w:rPr>
          <w:rFonts w:hint="eastAsia" w:ascii="宋体" w:hAnsi="宋体" w:cs="宋体"/>
          <w:szCs w:val="21"/>
          <w:highlight w:val="none"/>
        </w:rPr>
        <w:t>一份，金额为人民币（大写）</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4．如我方</w:t>
      </w:r>
      <w:r>
        <w:rPr>
          <w:rFonts w:hint="eastAsia" w:ascii="宋体" w:hAnsi="宋体" w:cs="宋体"/>
          <w:szCs w:val="21"/>
          <w:highlight w:val="none"/>
          <w:lang w:eastAsia="zh-CN"/>
        </w:rPr>
        <w:t>成为最终成交商</w:t>
      </w:r>
      <w:r>
        <w:rPr>
          <w:rFonts w:hint="eastAsia" w:ascii="宋体" w:hAnsi="宋体" w:cs="宋体"/>
          <w:szCs w:val="21"/>
          <w:highlight w:val="none"/>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(l）我方承诺在收到</w:t>
      </w:r>
      <w:r>
        <w:rPr>
          <w:rFonts w:hint="eastAsia" w:ascii="宋体" w:hAnsi="宋体" w:cs="宋体"/>
          <w:szCs w:val="21"/>
          <w:highlight w:val="none"/>
          <w:lang w:eastAsia="zh-CN"/>
        </w:rPr>
        <w:t>成交通知书</w:t>
      </w:r>
      <w:r>
        <w:rPr>
          <w:rFonts w:hint="eastAsia" w:ascii="宋体" w:hAnsi="宋体" w:cs="宋体"/>
          <w:szCs w:val="21"/>
          <w:highlight w:val="none"/>
        </w:rPr>
        <w:t>后，在</w:t>
      </w:r>
      <w:r>
        <w:rPr>
          <w:rFonts w:hint="eastAsia" w:ascii="宋体" w:hAnsi="宋体" w:cs="宋体"/>
          <w:szCs w:val="21"/>
          <w:highlight w:val="none"/>
          <w:lang w:eastAsia="zh-CN"/>
        </w:rPr>
        <w:t>成交通知书</w:t>
      </w:r>
      <w:r>
        <w:rPr>
          <w:rFonts w:hint="eastAsia" w:ascii="宋体" w:hAnsi="宋体" w:cs="宋体"/>
          <w:szCs w:val="21"/>
          <w:highlight w:val="none"/>
        </w:rPr>
        <w:t>规定的期限内与你方签订合同。</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outlineLvl w:val="0"/>
        <w:rPr>
          <w:rFonts w:ascii="宋体" w:hAnsi="宋体" w:cs="宋体"/>
          <w:szCs w:val="21"/>
          <w:highlight w:val="none"/>
        </w:rPr>
      </w:pPr>
      <w:bookmarkStart w:id="420" w:name="_Toc5162"/>
      <w:r>
        <w:rPr>
          <w:rFonts w:hint="eastAsia" w:ascii="宋体" w:hAnsi="宋体" w:cs="宋体"/>
          <w:szCs w:val="21"/>
          <w:highlight w:val="none"/>
        </w:rPr>
        <w:t>(2）随同本投标函递交的投标函附录属于合同文件的组成部分。</w:t>
      </w:r>
      <w:bookmarkEnd w:id="420"/>
    </w:p>
    <w:p>
      <w:pPr>
        <w:keepNext w:val="0"/>
        <w:keepLines w:val="0"/>
        <w:pageBreakBefore w:val="0"/>
        <w:wordWrap/>
        <w:overflowPunct/>
        <w:topLinePunct w:val="0"/>
        <w:autoSpaceDE/>
        <w:autoSpaceDN/>
        <w:bidi w:val="0"/>
        <w:adjustRightInd/>
        <w:snapToGrid/>
        <w:spacing w:line="440" w:lineRule="exact"/>
        <w:ind w:firstLine="420" w:firstLineChars="200"/>
        <w:textAlignment w:val="auto"/>
        <w:outlineLvl w:val="0"/>
        <w:rPr>
          <w:rFonts w:hint="eastAsia" w:ascii="宋体" w:hAnsi="宋体" w:eastAsia="宋体" w:cs="宋体"/>
          <w:szCs w:val="21"/>
          <w:highlight w:val="none"/>
          <w:lang w:eastAsia="zh-CN"/>
        </w:rPr>
      </w:pPr>
      <w:bookmarkStart w:id="421" w:name="_Toc16859"/>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）我方承诺在合同约定的期限内</w:t>
      </w:r>
      <w:r>
        <w:rPr>
          <w:rFonts w:hint="eastAsia" w:ascii="宋体" w:hAnsi="宋体" w:cs="宋体"/>
          <w:szCs w:val="21"/>
          <w:highlight w:val="none"/>
          <w:lang w:eastAsia="zh-CN"/>
        </w:rPr>
        <w:t>为采购人提供优质服务。</w:t>
      </w:r>
      <w:bookmarkEnd w:id="421"/>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5．我方在此声明，所递交的</w:t>
      </w:r>
      <w:r>
        <w:rPr>
          <w:rFonts w:hint="eastAsia" w:ascii="宋体" w:hAnsi="宋体" w:cs="宋体"/>
          <w:szCs w:val="21"/>
          <w:highlight w:val="none"/>
          <w:lang w:eastAsia="zh-CN"/>
        </w:rPr>
        <w:t>磋商响应文件</w:t>
      </w:r>
      <w:r>
        <w:rPr>
          <w:rFonts w:hint="eastAsia" w:ascii="宋体" w:hAnsi="宋体" w:cs="宋体"/>
          <w:szCs w:val="21"/>
          <w:highlight w:val="none"/>
        </w:rPr>
        <w:t>及有关资料内容完整、真实和准确。</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6. 其他内容。</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2" w:name="_Toc1879"/>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22"/>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3" w:name="_Toc20905"/>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23"/>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4" w:name="_Toc20248"/>
      <w:r>
        <w:rPr>
          <w:rFonts w:hint="eastAsia" w:ascii="宋体" w:hAnsi="宋体" w:cs="宋体"/>
          <w:szCs w:val="21"/>
          <w:highlight w:val="none"/>
        </w:rPr>
        <w:t>地址：</w:t>
      </w:r>
      <w:bookmarkEnd w:id="424"/>
      <w:r>
        <w:rPr>
          <w:rFonts w:hint="eastAsia" w:ascii="宋体" w:hAnsi="宋体" w:cs="宋体"/>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5" w:name="_Toc31624"/>
      <w:r>
        <w:rPr>
          <w:rFonts w:hint="eastAsia" w:ascii="宋体" w:hAnsi="宋体" w:cs="宋体"/>
          <w:szCs w:val="21"/>
          <w:highlight w:val="none"/>
        </w:rPr>
        <w:t>网址：</w:t>
      </w:r>
      <w:bookmarkEnd w:id="425"/>
      <w:r>
        <w:rPr>
          <w:rFonts w:hint="eastAsia" w:ascii="宋体" w:hAnsi="宋体" w:cs="宋体"/>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6" w:name="_Toc6700"/>
      <w:r>
        <w:rPr>
          <w:rFonts w:hint="eastAsia" w:ascii="宋体" w:hAnsi="宋体" w:cs="宋体"/>
          <w:szCs w:val="21"/>
          <w:highlight w:val="none"/>
        </w:rPr>
        <w:t>电话：</w:t>
      </w:r>
      <w:bookmarkEnd w:id="426"/>
      <w:r>
        <w:rPr>
          <w:rFonts w:hint="eastAsia" w:ascii="宋体" w:hAnsi="宋体" w:cs="宋体"/>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7" w:name="_Toc23509"/>
      <w:r>
        <w:rPr>
          <w:rFonts w:hint="eastAsia" w:ascii="宋体" w:hAnsi="宋体" w:cs="宋体"/>
          <w:szCs w:val="21"/>
          <w:highlight w:val="none"/>
        </w:rPr>
        <w:t>传真：</w:t>
      </w:r>
      <w:bookmarkEnd w:id="427"/>
      <w:r>
        <w:rPr>
          <w:rFonts w:hint="eastAsia" w:ascii="宋体" w:hAnsi="宋体" w:cs="宋体"/>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outlineLvl w:val="0"/>
        <w:rPr>
          <w:rFonts w:ascii="宋体" w:hAnsi="宋体" w:cs="宋体"/>
          <w:szCs w:val="21"/>
          <w:highlight w:val="none"/>
        </w:rPr>
      </w:pPr>
      <w:bookmarkStart w:id="428" w:name="_Toc25035"/>
      <w:r>
        <w:rPr>
          <w:rFonts w:hint="eastAsia" w:ascii="宋体" w:hAnsi="宋体" w:cs="宋体"/>
          <w:szCs w:val="21"/>
          <w:highlight w:val="none"/>
        </w:rPr>
        <w:t>邮政编码：</w:t>
      </w:r>
      <w:bookmarkEnd w:id="428"/>
      <w:r>
        <w:rPr>
          <w:rFonts w:hint="eastAsia" w:ascii="宋体" w:hAnsi="宋体" w:cs="宋体"/>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6195" w:firstLineChars="2950"/>
        <w:textAlignment w:val="auto"/>
        <w:rPr>
          <w:rFonts w:ascii="宋体" w:hAnsi="宋体" w:cs="宋体"/>
          <w:color w:val="auto"/>
          <w:szCs w:val="21"/>
          <w:highlight w:val="none"/>
        </w:rPr>
      </w:pPr>
      <w:r>
        <w:rPr>
          <w:rFonts w:hint="eastAsia" w:ascii="宋体" w:hAnsi="宋体" w:cs="宋体"/>
          <w:szCs w:val="21"/>
          <w:highlight w:val="none"/>
          <w:u w:val="single"/>
        </w:rPr>
        <w:t xml:space="preserve">        </w:t>
      </w:r>
      <w:bookmarkStart w:id="429" w:name="_Toc17414"/>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429"/>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260" w:after="260"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（二）投标函附录</w:t>
      </w:r>
    </w:p>
    <w:p>
      <w:pPr>
        <w:ind w:firstLine="420" w:firstLineChars="200"/>
        <w:rPr>
          <w:rFonts w:ascii="宋体" w:hAnsi="宋体" w:cs="宋体"/>
          <w:color w:val="auto"/>
          <w:szCs w:val="21"/>
          <w:highlight w:val="none"/>
        </w:rPr>
      </w:pPr>
    </w:p>
    <w:tbl>
      <w:tblPr>
        <w:tblStyle w:val="37"/>
        <w:tblW w:w="93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659"/>
        <w:gridCol w:w="3610"/>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约定内容</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jc w:val="left"/>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服务期限</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jc w:val="left"/>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26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分包</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jc w:val="left"/>
              <w:rPr>
                <w:rFonts w:ascii="宋体" w:hAnsi="宋体" w:cs="宋体"/>
                <w:color w:val="auto"/>
                <w:szCs w:val="21"/>
                <w:highlight w:val="none"/>
              </w:rPr>
            </w:pPr>
            <w:r>
              <w:rPr>
                <w:rFonts w:hint="eastAsia" w:ascii="宋体" w:hAnsi="宋体" w:cs="宋体"/>
                <w:color w:val="auto"/>
                <w:szCs w:val="21"/>
                <w:highlight w:val="none"/>
              </w:rPr>
              <w:t>不允许分包</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265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eastAsia="zh-CN"/>
              </w:rPr>
              <w:t>质量</w:t>
            </w:r>
            <w:r>
              <w:rPr>
                <w:rFonts w:hint="eastAsia" w:ascii="宋体" w:hAnsi="宋体" w:cs="宋体"/>
                <w:color w:val="auto"/>
                <w:highlight w:val="none"/>
                <w:lang w:val="en-US" w:eastAsia="zh-CN"/>
              </w:rPr>
              <w:t>要求</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jc w:val="left"/>
              <w:rPr>
                <w:rFonts w:hint="default" w:ascii="宋体" w:hAnsi="宋体" w:cs="宋体"/>
                <w:color w:val="auto"/>
                <w:szCs w:val="21"/>
                <w:highlight w:val="none"/>
                <w:lang w:val="en-US"/>
              </w:rPr>
            </w:pPr>
            <w:r>
              <w:rPr>
                <w:rFonts w:hint="eastAsia" w:ascii="宋体" w:hAnsi="宋体" w:cs="宋体"/>
                <w:color w:val="auto"/>
                <w:highlight w:val="none"/>
                <w:lang w:eastAsia="zh-CN"/>
              </w:rPr>
              <w:t>符合国家及现行行业相关标准并满足采购人要求</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2659" w:type="dxa"/>
            <w:tcBorders>
              <w:top w:val="single" w:color="auto" w:sz="4" w:space="0"/>
              <w:left w:val="single" w:color="auto" w:sz="4" w:space="0"/>
              <w:bottom w:val="single" w:color="auto" w:sz="4" w:space="0"/>
              <w:right w:val="single" w:color="auto" w:sz="4" w:space="0"/>
            </w:tcBorders>
            <w:vAlign w:val="center"/>
          </w:tcPr>
          <w:p>
            <w:pPr>
              <w:jc w:val="both"/>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投标有效期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single"/>
                <w:lang w:val="en-US" w:eastAsia="zh-CN"/>
              </w:rPr>
              <w:t xml:space="preserve">   90   </w:t>
            </w:r>
            <w:r>
              <w:rPr>
                <w:rFonts w:hint="eastAsia" w:ascii="宋体" w:hAnsi="宋体" w:cs="宋体"/>
                <w:color w:val="auto"/>
                <w:szCs w:val="21"/>
                <w:highlight w:val="none"/>
                <w:u w:val="none"/>
                <w:lang w:val="en-US" w:eastAsia="zh-CN"/>
              </w:rPr>
              <w:t>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610"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392"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备注：投标人在响应</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中规定的实质性要求和条件的基础上，可做出其他有利于采购人的承诺。此类承诺可在本表中予以补充填写。</w:t>
            </w:r>
          </w:p>
        </w:tc>
      </w:tr>
    </w:tbl>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投标人</w:t>
      </w:r>
      <w:r>
        <w:rPr>
          <w:rFonts w:hint="eastAsia" w:ascii="宋体" w:hAnsi="宋体" w:cs="宋体"/>
          <w:color w:val="auto"/>
          <w:szCs w:val="21"/>
          <w:highlight w:val="none"/>
        </w:rPr>
        <w:t>（盖章）：</w:t>
      </w:r>
    </w:p>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法人代表或委托代理人</w:t>
      </w:r>
      <w:r>
        <w:rPr>
          <w:rFonts w:hint="eastAsia" w:ascii="宋体" w:hAnsi="宋体" w:cs="宋体"/>
          <w:color w:val="auto"/>
          <w:szCs w:val="21"/>
          <w:highlight w:val="none"/>
        </w:rPr>
        <w:t>（签字或盖章）：</w:t>
      </w:r>
    </w:p>
    <w:p>
      <w:pPr>
        <w:spacing w:line="480" w:lineRule="exact"/>
        <w:ind w:firstLine="420" w:firstLineChars="200"/>
        <w:jc w:val="righ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pPr>
        <w:pStyle w:val="5"/>
        <w:spacing w:line="240" w:lineRule="auto"/>
        <w:jc w:val="center"/>
        <w:rPr>
          <w:rFonts w:hint="eastAsia" w:ascii="宋体" w:hAnsi="宋体" w:eastAsia="宋体" w:cs="宋体"/>
          <w:color w:val="auto"/>
          <w:sz w:val="32"/>
          <w:szCs w:val="32"/>
          <w:highlight w:val="none"/>
          <w:lang w:eastAsia="zh-CN"/>
        </w:rPr>
      </w:pPr>
      <w:bookmarkStart w:id="430" w:name="_Toc8806_WPSOffice_Level1"/>
      <w:bookmarkStart w:id="431" w:name="_Toc12174_WPSOffice_Level1"/>
      <w:bookmarkStart w:id="432" w:name="_Toc460361777"/>
      <w:bookmarkStart w:id="433" w:name="_Toc460361835"/>
      <w:r>
        <w:rPr>
          <w:rFonts w:hint="eastAsia" w:ascii="宋体" w:hAnsi="宋体" w:cs="宋体"/>
          <w:color w:val="auto"/>
          <w:sz w:val="32"/>
          <w:szCs w:val="32"/>
          <w:highlight w:val="none"/>
          <w:lang w:eastAsia="zh-CN"/>
        </w:rPr>
        <w:t>三</w:t>
      </w:r>
      <w:r>
        <w:rPr>
          <w:rFonts w:hint="eastAsia" w:ascii="宋体" w:hAnsi="宋体" w:cs="宋体"/>
          <w:color w:val="auto"/>
          <w:sz w:val="32"/>
          <w:szCs w:val="32"/>
          <w:highlight w:val="none"/>
        </w:rPr>
        <w:t>、</w:t>
      </w:r>
      <w:bookmarkEnd w:id="430"/>
      <w:bookmarkEnd w:id="431"/>
      <w:r>
        <w:rPr>
          <w:rFonts w:hint="eastAsia" w:ascii="宋体" w:hAnsi="宋体" w:cs="宋体"/>
          <w:color w:val="auto"/>
          <w:sz w:val="32"/>
          <w:szCs w:val="32"/>
          <w:highlight w:val="none"/>
          <w:lang w:eastAsia="zh-CN"/>
        </w:rPr>
        <w:t>磋商保证金</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01"/>
        <w:jc w:val="left"/>
        <w:textAlignment w:val="auto"/>
        <w:rPr>
          <w:rFonts w:ascii="宋体" w:hAnsi="宋体" w:cs="宋体"/>
          <w:color w:val="auto"/>
          <w:sz w:val="24"/>
          <w:highlight w:val="none"/>
          <w:lang w:val="zh-CN"/>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[投标人名称]（以下称“投标人”）于</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日递交了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[项目名称]的磋商响应文件。并附有人民币</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万元做为磋商保证金。</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1"/>
        <w:jc w:val="left"/>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我方同意竞争性磋商文件中有关磋商保证金的规定，并对我方有约束力。</w:t>
      </w:r>
    </w:p>
    <w:p>
      <w:pPr>
        <w:autoSpaceDE w:val="0"/>
        <w:autoSpaceDN w:val="0"/>
        <w:adjustRightInd w:val="0"/>
        <w:spacing w:line="360" w:lineRule="auto"/>
        <w:ind w:firstLine="601"/>
        <w:jc w:val="left"/>
        <w:rPr>
          <w:rFonts w:ascii="宋体" w:hAnsi="宋体" w:cs="宋体"/>
          <w:color w:val="auto"/>
          <w:sz w:val="24"/>
          <w:highlight w:val="none"/>
          <w:lang w:val="zh-CN"/>
        </w:rPr>
      </w:pPr>
    </w:p>
    <w:p>
      <w:pPr>
        <w:jc w:val="center"/>
        <w:rPr>
          <w:rFonts w:ascii="宋体" w:hAnsi="宋体"/>
          <w:b/>
          <w:color w:val="auto"/>
          <w:sz w:val="36"/>
          <w:szCs w:val="30"/>
          <w:highlight w:val="none"/>
        </w:rPr>
      </w:pPr>
    </w:p>
    <w:tbl>
      <w:tblPr>
        <w:tblStyle w:val="3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9180" w:type="dxa"/>
            <w:vAlign w:val="center"/>
          </w:tcPr>
          <w:p>
            <w:pPr>
              <w:jc w:val="center"/>
              <w:rPr>
                <w:rFonts w:ascii="宋体" w:hAnsi="宋体"/>
                <w:color w:val="auto"/>
                <w:highlight w:val="none"/>
              </w:rPr>
            </w:pPr>
            <w:r>
              <w:rPr>
                <w:rFonts w:hint="eastAsia" w:ascii="宋体" w:hAnsi="宋体"/>
                <w:b/>
                <w:color w:val="auto"/>
                <w:sz w:val="32"/>
                <w:highlight w:val="none"/>
              </w:rPr>
              <w:t>（附</w:t>
            </w:r>
            <w:r>
              <w:rPr>
                <w:rFonts w:hint="eastAsia" w:ascii="宋体" w:hAnsi="宋体"/>
                <w:b/>
                <w:color w:val="auto"/>
                <w:sz w:val="32"/>
                <w:highlight w:val="none"/>
                <w:lang w:eastAsia="zh-CN"/>
              </w:rPr>
              <w:t>磋商保证金</w:t>
            </w:r>
            <w:r>
              <w:rPr>
                <w:rFonts w:hint="eastAsia" w:ascii="宋体" w:hAnsi="宋体"/>
                <w:b/>
                <w:color w:val="auto"/>
                <w:sz w:val="32"/>
                <w:highlight w:val="none"/>
              </w:rPr>
              <w:t>电子回执凭证）</w:t>
            </w:r>
          </w:p>
        </w:tc>
      </w:tr>
    </w:tbl>
    <w:p>
      <w:pPr>
        <w:rPr>
          <w:rFonts w:ascii="宋体" w:hAnsi="宋体"/>
          <w:b/>
          <w:color w:val="auto"/>
          <w:highlight w:val="none"/>
        </w:rPr>
      </w:pPr>
      <w:r>
        <w:rPr>
          <w:rFonts w:hint="eastAsia" w:ascii="宋体" w:hAnsi="宋体"/>
          <w:b/>
          <w:color w:val="auto"/>
          <w:highlight w:val="none"/>
        </w:rPr>
        <w:t>注：附开户许可证复印件</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5"/>
        <w:spacing w:line="240" w:lineRule="auto"/>
        <w:jc w:val="center"/>
        <w:rPr>
          <w:rFonts w:hint="eastAsia" w:ascii="宋体" w:hAnsi="宋体" w:cs="宋体"/>
          <w:color w:val="auto"/>
          <w:sz w:val="32"/>
          <w:szCs w:val="32"/>
          <w:highlight w:val="none"/>
        </w:rPr>
      </w:pPr>
      <w:bookmarkStart w:id="434" w:name="_Toc9595_WPSOffice_Level1"/>
      <w:bookmarkStart w:id="435" w:name="_Toc16199_WPSOffice_Level1"/>
      <w:r>
        <w:rPr>
          <w:rFonts w:hint="eastAsia" w:ascii="宋体" w:hAnsi="宋体" w:cs="宋体"/>
          <w:color w:val="auto"/>
          <w:sz w:val="32"/>
          <w:szCs w:val="32"/>
          <w:highlight w:val="none"/>
          <w:lang w:eastAsia="zh-CN"/>
        </w:rPr>
        <w:t>四</w:t>
      </w:r>
      <w:r>
        <w:rPr>
          <w:rFonts w:hint="eastAsia" w:ascii="宋体" w:hAnsi="宋体" w:cs="宋体"/>
          <w:color w:val="auto"/>
          <w:sz w:val="32"/>
          <w:szCs w:val="32"/>
          <w:highlight w:val="none"/>
        </w:rPr>
        <w:t>、法定代表人身份证明</w:t>
      </w:r>
      <w:bookmarkEnd w:id="432"/>
      <w:bookmarkEnd w:id="433"/>
      <w:r>
        <w:rPr>
          <w:rFonts w:hint="eastAsia" w:ascii="宋体" w:hAnsi="宋体" w:cs="宋体"/>
          <w:color w:val="auto"/>
          <w:sz w:val="32"/>
          <w:szCs w:val="32"/>
          <w:highlight w:val="none"/>
        </w:rPr>
        <w:t>书</w:t>
      </w:r>
      <w:bookmarkEnd w:id="434"/>
      <w:bookmarkEnd w:id="435"/>
    </w:p>
    <w:p>
      <w:pPr>
        <w:spacing w:line="480" w:lineRule="auto"/>
        <w:rPr>
          <w:rFonts w:ascii="宋体" w:hAnsi="宋体"/>
          <w:b/>
          <w:color w:val="auto"/>
          <w:sz w:val="36"/>
          <w:szCs w:val="30"/>
          <w:highlight w:val="none"/>
        </w:rPr>
      </w:pPr>
    </w:p>
    <w:p>
      <w:pPr>
        <w:spacing w:line="480" w:lineRule="auto"/>
        <w:ind w:firstLine="612"/>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地</w:t>
      </w:r>
      <w:r>
        <w:rPr>
          <w:rFonts w:ascii="宋体" w:hAnsi="宋体"/>
          <w:color w:val="auto"/>
          <w:sz w:val="24"/>
          <w:szCs w:val="24"/>
          <w:highlight w:val="none"/>
        </w:rPr>
        <w:t xml:space="preserve">    址：</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p>
    <w:p>
      <w:pPr>
        <w:spacing w:line="480" w:lineRule="auto"/>
        <w:ind w:firstLine="610"/>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rPr>
        <w:t>姓</w:t>
      </w:r>
      <w:r>
        <w:rPr>
          <w:rFonts w:ascii="宋体" w:hAnsi="宋体"/>
          <w:color w:val="auto"/>
          <w:sz w:val="24"/>
          <w:szCs w:val="24"/>
          <w:highlight w:val="none"/>
        </w:rPr>
        <w:t xml:space="preserve">    名：</w:t>
      </w:r>
      <w:r>
        <w:rPr>
          <w:rFonts w:hint="eastAsia" w:ascii="宋体" w:hAnsi="宋体"/>
          <w:color w:val="auto"/>
          <w:sz w:val="24"/>
          <w:szCs w:val="24"/>
          <w:highlight w:val="none"/>
          <w:u w:val="single"/>
          <w:lang w:val="en-US" w:eastAsia="zh-CN"/>
        </w:rPr>
        <w:t xml:space="preserve">                               </w:t>
      </w:r>
    </w:p>
    <w:p>
      <w:pPr>
        <w:spacing w:line="480" w:lineRule="auto"/>
        <w:ind w:firstLine="61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职</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务：</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lang w:val="en-US" w:eastAsia="zh-CN"/>
        </w:rPr>
        <w:t xml:space="preserve">                        </w:t>
      </w: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系的法定代表人。</w:t>
      </w:r>
    </w:p>
    <w:p>
      <w:pPr>
        <w:spacing w:line="480" w:lineRule="auto"/>
        <w:ind w:firstLine="610"/>
        <w:rPr>
          <w:rFonts w:ascii="宋体" w:hAnsi="宋体"/>
          <w:color w:val="auto"/>
          <w:sz w:val="24"/>
          <w:szCs w:val="24"/>
          <w:highlight w:val="none"/>
        </w:rPr>
      </w:pP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特此证明</w:t>
      </w:r>
    </w:p>
    <w:p>
      <w:pPr>
        <w:tabs>
          <w:tab w:val="left" w:pos="720"/>
          <w:tab w:val="left" w:pos="900"/>
        </w:tabs>
        <w:spacing w:line="480" w:lineRule="auto"/>
        <w:rPr>
          <w:rFonts w:ascii="宋体" w:hAnsi="宋体"/>
          <w:color w:val="auto"/>
          <w:sz w:val="24"/>
          <w:szCs w:val="24"/>
          <w:highlight w:val="none"/>
        </w:rPr>
      </w:pPr>
    </w:p>
    <w:p>
      <w:pPr>
        <w:tabs>
          <w:tab w:val="left" w:pos="720"/>
          <w:tab w:val="left" w:pos="900"/>
        </w:tabs>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（附法人身份证正、反面）</w:t>
      </w:r>
    </w:p>
    <w:p>
      <w:pPr>
        <w:tabs>
          <w:tab w:val="left" w:pos="720"/>
          <w:tab w:val="left" w:pos="900"/>
        </w:tabs>
        <w:spacing w:line="480" w:lineRule="auto"/>
        <w:ind w:firstLine="4320" w:firstLineChars="1800"/>
        <w:rPr>
          <w:rFonts w:ascii="宋体" w:hAnsi="宋体"/>
          <w:color w:val="auto"/>
          <w:sz w:val="24"/>
          <w:szCs w:val="24"/>
          <w:highlight w:val="none"/>
        </w:rPr>
      </w:pPr>
    </w:p>
    <w:p>
      <w:pPr>
        <w:tabs>
          <w:tab w:val="left" w:pos="720"/>
          <w:tab w:val="left" w:pos="900"/>
        </w:tabs>
        <w:spacing w:line="480" w:lineRule="auto"/>
        <w:ind w:firstLine="5760" w:firstLineChars="2400"/>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rPr>
        <w:t>（盖</w:t>
      </w:r>
      <w:r>
        <w:rPr>
          <w:rFonts w:hint="eastAsia" w:ascii="宋体" w:hAnsi="宋体"/>
          <w:color w:val="auto"/>
          <w:sz w:val="24"/>
          <w:szCs w:val="24"/>
          <w:highlight w:val="none"/>
        </w:rPr>
        <w:t>单位</w:t>
      </w:r>
      <w:r>
        <w:rPr>
          <w:rFonts w:ascii="宋体" w:hAnsi="宋体"/>
          <w:color w:val="auto"/>
          <w:sz w:val="24"/>
          <w:szCs w:val="24"/>
          <w:highlight w:val="none"/>
        </w:rPr>
        <w:t>章）</w:t>
      </w:r>
    </w:p>
    <w:p>
      <w:pPr>
        <w:spacing w:line="480" w:lineRule="auto"/>
        <w:ind w:firstLine="6120" w:firstLineChars="2550"/>
        <w:jc w:val="left"/>
        <w:rPr>
          <w:rFonts w:ascii="宋体" w:hAnsi="宋体" w:cs="宋体"/>
          <w:color w:val="auto"/>
          <w:sz w:val="24"/>
          <w:szCs w:val="24"/>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bCs/>
          <w:color w:val="auto"/>
          <w:sz w:val="24"/>
          <w:szCs w:val="24"/>
          <w:highlight w:val="none"/>
        </w:rPr>
        <w:t xml:space="preserve">年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日</w:t>
      </w:r>
    </w:p>
    <w:p>
      <w:pPr>
        <w:pStyle w:val="5"/>
        <w:spacing w:line="240" w:lineRule="auto"/>
        <w:jc w:val="center"/>
        <w:rPr>
          <w:rFonts w:ascii="宋体" w:hAnsi="宋体" w:cs="宋体"/>
          <w:color w:val="auto"/>
          <w:sz w:val="32"/>
          <w:szCs w:val="32"/>
          <w:highlight w:val="none"/>
        </w:rPr>
      </w:pPr>
      <w:bookmarkStart w:id="436" w:name="_Toc4675_WPSOffice_Level1"/>
      <w:bookmarkStart w:id="437" w:name="_Toc4455_WPSOffice_Level1"/>
      <w:r>
        <w:rPr>
          <w:rFonts w:hint="eastAsia" w:ascii="宋体" w:hAnsi="宋体" w:cs="宋体"/>
          <w:color w:val="auto"/>
          <w:sz w:val="32"/>
          <w:szCs w:val="32"/>
          <w:highlight w:val="none"/>
          <w:lang w:eastAsia="zh-CN"/>
        </w:rPr>
        <w:t>五</w:t>
      </w:r>
      <w:r>
        <w:rPr>
          <w:rFonts w:hint="eastAsia" w:ascii="宋体" w:hAnsi="宋体" w:cs="宋体"/>
          <w:color w:val="auto"/>
          <w:sz w:val="32"/>
          <w:szCs w:val="32"/>
          <w:highlight w:val="none"/>
        </w:rPr>
        <w:t>、被授权人身份证明书</w:t>
      </w:r>
      <w:bookmarkEnd w:id="436"/>
      <w:bookmarkEnd w:id="437"/>
    </w:p>
    <w:p>
      <w:pPr>
        <w:spacing w:line="400" w:lineRule="exact"/>
        <w:ind w:firstLine="420" w:firstLineChars="20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、签订合同和处理有关事宜，其法律后果由我方承担。</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附：法定代表人身份证及被授权人身份证</w:t>
      </w:r>
    </w:p>
    <w:p>
      <w:pPr>
        <w:spacing w:line="400" w:lineRule="exact"/>
        <w:ind w:firstLine="480" w:firstLineChars="200"/>
        <w:rPr>
          <w:rFonts w:ascii="宋体" w:hAnsi="宋体" w:cs="宋体"/>
          <w:color w:val="auto"/>
          <w:sz w:val="24"/>
          <w:szCs w:val="24"/>
          <w:highlight w:val="none"/>
        </w:rPr>
      </w:pPr>
    </w:p>
    <w:p>
      <w:pPr>
        <w:spacing w:line="400" w:lineRule="exact"/>
        <w:ind w:firstLine="480" w:firstLineChars="200"/>
        <w:rPr>
          <w:rFonts w:ascii="宋体" w:hAnsi="宋体" w:cs="宋体"/>
          <w:color w:val="auto"/>
          <w:sz w:val="24"/>
          <w:szCs w:val="24"/>
          <w:highlight w:val="none"/>
        </w:rPr>
      </w:pP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投</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400" w:lineRule="exact"/>
        <w:rPr>
          <w:rFonts w:ascii="宋体" w:hAnsi="宋体" w:cs="宋体"/>
          <w:color w:val="auto"/>
          <w:sz w:val="24"/>
          <w:szCs w:val="24"/>
          <w:highlight w:val="none"/>
          <w:u w:val="single"/>
        </w:rPr>
      </w:pPr>
    </w:p>
    <w:p>
      <w:pPr>
        <w:spacing w:line="400" w:lineRule="exact"/>
        <w:ind w:firstLine="6000" w:firstLineChars="2500"/>
        <w:jc w:val="both"/>
        <w:rPr>
          <w:rFonts w:ascii="宋体" w:hAnsi="宋体" w:cs="宋体"/>
          <w:color w:val="auto"/>
          <w:sz w:val="24"/>
          <w:szCs w:val="24"/>
          <w:highlight w:val="none"/>
        </w:rPr>
        <w:sectPr>
          <w:headerReference r:id="rId7" w:type="default"/>
          <w:footerReference r:id="rId8" w:type="default"/>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
        <w:spacing w:line="240" w:lineRule="auto"/>
        <w:jc w:val="center"/>
        <w:rPr>
          <w:rFonts w:ascii="宋体" w:hAnsi="宋体" w:cs="宋体"/>
          <w:color w:val="auto"/>
          <w:sz w:val="32"/>
          <w:szCs w:val="32"/>
          <w:highlight w:val="none"/>
        </w:rPr>
      </w:pPr>
      <w:r>
        <w:rPr>
          <w:rFonts w:hint="eastAsia" w:ascii="宋体" w:hAnsi="宋体" w:cs="宋体"/>
          <w:color w:val="auto"/>
          <w:sz w:val="32"/>
          <w:szCs w:val="32"/>
          <w:highlight w:val="none"/>
          <w:lang w:val="zh-CN"/>
        </w:rPr>
        <w:t xml:space="preserve">  </w:t>
      </w:r>
      <w:bookmarkStart w:id="438" w:name="_Toc31854_WPSOffice_Level1"/>
      <w:bookmarkStart w:id="439" w:name="_Toc18929_WPSOffice_Level1"/>
      <w:r>
        <w:rPr>
          <w:rFonts w:hint="eastAsia" w:ascii="宋体" w:hAnsi="宋体" w:cs="宋体"/>
          <w:color w:val="auto"/>
          <w:sz w:val="32"/>
          <w:szCs w:val="32"/>
          <w:highlight w:val="none"/>
          <w:lang w:val="zh-CN"/>
        </w:rPr>
        <w:t>六</w:t>
      </w:r>
      <w:r>
        <w:rPr>
          <w:rFonts w:hint="eastAsia" w:ascii="宋体" w:hAnsi="宋体" w:cs="宋体"/>
          <w:color w:val="auto"/>
          <w:sz w:val="32"/>
          <w:szCs w:val="32"/>
          <w:highlight w:val="none"/>
        </w:rPr>
        <w:t>、项目管理机构</w:t>
      </w:r>
      <w:bookmarkEnd w:id="438"/>
      <w:bookmarkEnd w:id="439"/>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（一）项目管理机构组成表</w:t>
      </w:r>
    </w:p>
    <w:p>
      <w:pPr>
        <w:rPr>
          <w:rFonts w:ascii="宋体" w:hAnsi="宋体" w:cs="宋体"/>
          <w:color w:val="auto"/>
          <w:szCs w:val="21"/>
          <w:highlight w:val="none"/>
        </w:rPr>
      </w:pPr>
    </w:p>
    <w:tbl>
      <w:tblPr>
        <w:tblStyle w:val="37"/>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60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养老保险</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（二）主要人员简历表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“主要人员简历表”中的</w:t>
      </w:r>
      <w:r>
        <w:rPr>
          <w:rFonts w:hint="eastAsia" w:ascii="宋体" w:hAnsi="宋体" w:cs="宋体"/>
          <w:color w:val="auto"/>
          <w:sz w:val="24"/>
          <w:szCs w:val="24"/>
          <w:highlight w:val="none"/>
          <w:lang w:eastAsia="zh-CN"/>
        </w:rPr>
        <w:t>项目负责人</w:t>
      </w:r>
      <w:r>
        <w:rPr>
          <w:rFonts w:hint="eastAsia" w:ascii="宋体" w:hAnsi="宋体" w:cs="宋体"/>
          <w:color w:val="auto"/>
          <w:sz w:val="24"/>
          <w:szCs w:val="24"/>
          <w:highlight w:val="none"/>
        </w:rPr>
        <w:t>应附身份证、职称证、学历证、养老保险</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复印件，管理过的项目业绩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须附</w:t>
      </w:r>
      <w:r>
        <w:rPr>
          <w:rFonts w:hint="eastAsia" w:ascii="宋体" w:hAnsi="宋体" w:cs="宋体"/>
          <w:color w:val="auto"/>
          <w:sz w:val="24"/>
          <w:szCs w:val="24"/>
          <w:highlight w:val="none"/>
          <w:lang w:val="zh-CN"/>
        </w:rPr>
        <w:t>成交通知书或合同协议书或工程接收证书（工程竣工验收证书）</w:t>
      </w:r>
      <w:r>
        <w:rPr>
          <w:rFonts w:hint="eastAsia" w:ascii="宋体" w:hAnsi="宋体" w:cs="宋体"/>
          <w:color w:val="auto"/>
          <w:sz w:val="24"/>
          <w:szCs w:val="24"/>
          <w:highlight w:val="none"/>
        </w:rPr>
        <w:t>复印件；其他主要人员应附</w:t>
      </w:r>
      <w:r>
        <w:rPr>
          <w:rFonts w:hint="eastAsia" w:ascii="宋体" w:hAnsi="宋体" w:cs="宋体"/>
          <w:color w:val="auto"/>
          <w:sz w:val="24"/>
          <w:szCs w:val="24"/>
          <w:highlight w:val="none"/>
          <w:lang w:val="en-US" w:eastAsia="zh-CN"/>
        </w:rPr>
        <w:t>身份证、</w:t>
      </w:r>
      <w:r>
        <w:rPr>
          <w:rFonts w:hint="eastAsia" w:ascii="宋体" w:hAnsi="宋体" w:cs="宋体"/>
          <w:color w:val="auto"/>
          <w:sz w:val="24"/>
          <w:szCs w:val="24"/>
          <w:highlight w:val="none"/>
        </w:rPr>
        <w:t>职称证（执业证或上岗证书）、</w:t>
      </w:r>
      <w:r>
        <w:rPr>
          <w:rFonts w:hint="eastAsia" w:ascii="宋体" w:hAnsi="宋体" w:cs="宋体"/>
          <w:color w:val="auto"/>
          <w:sz w:val="24"/>
          <w:szCs w:val="24"/>
          <w:highlight w:val="none"/>
          <w:lang w:val="en-US" w:eastAsia="zh-CN"/>
        </w:rPr>
        <w:t>学历证、</w:t>
      </w:r>
      <w:r>
        <w:rPr>
          <w:rFonts w:hint="eastAsia" w:ascii="宋体" w:hAnsi="宋体" w:cs="宋体"/>
          <w:color w:val="auto"/>
          <w:sz w:val="24"/>
          <w:szCs w:val="24"/>
          <w:highlight w:val="none"/>
        </w:rPr>
        <w:t>养老保险</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以上如有退休人员应附退休证明材料。</w:t>
      </w:r>
    </w:p>
    <w:tbl>
      <w:tblPr>
        <w:tblStyle w:val="37"/>
        <w:tblpPr w:leftFromText="180" w:rightFromText="180" w:vertAnchor="text" w:horzAnchor="page" w:tblpX="1525" w:tblpY="302"/>
        <w:tblOverlap w:val="never"/>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429"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77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29"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177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857" w:type="dxa"/>
            <w:gridSpan w:val="7"/>
            <w:tcBorders>
              <w:top w:val="single" w:color="auto" w:sz="4" w:space="0"/>
              <w:left w:val="single" w:color="auto" w:sz="4" w:space="0"/>
              <w:bottom w:val="single" w:color="auto" w:sz="4" w:space="0"/>
              <w:right w:val="single" w:color="auto" w:sz="4" w:space="0"/>
            </w:tcBorders>
            <w:vAlign w:val="center"/>
          </w:tcPr>
          <w:p>
            <w:pPr>
              <w:ind w:firstLine="945" w:firstLineChars="450"/>
              <w:jc w:val="both"/>
              <w:rPr>
                <w:rFonts w:ascii="宋体" w:hAnsi="宋体" w:cs="宋体"/>
                <w:color w:val="auto"/>
                <w:szCs w:val="21"/>
                <w:highlight w:val="none"/>
              </w:rPr>
            </w:pPr>
            <w:r>
              <w:rPr>
                <w:rFonts w:hint="eastAsia" w:ascii="宋体" w:hAnsi="宋体" w:cs="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62" w:type="dxa"/>
            <w:gridSpan w:val="9"/>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4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p>
      <w:pPr>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p>
    <w:p>
      <w:pPr>
        <w:keepNext w:val="0"/>
        <w:keepLines w:val="0"/>
        <w:pageBreakBefore/>
        <w:widowControl/>
        <w:kinsoku/>
        <w:wordWrap/>
        <w:overflowPunct/>
        <w:topLinePunct w:val="0"/>
        <w:autoSpaceDE/>
        <w:autoSpaceDN/>
        <w:bidi w:val="0"/>
        <w:adjustRightInd/>
        <w:snapToGrid/>
        <w:jc w:val="center"/>
        <w:textAlignment w:val="auto"/>
        <w:rPr>
          <w:rFonts w:ascii="宋体" w:hAnsi="宋体" w:cs="宋体"/>
          <w:b/>
          <w:color w:val="auto"/>
          <w:sz w:val="32"/>
          <w:szCs w:val="32"/>
          <w:highlight w:val="none"/>
        </w:rPr>
      </w:pPr>
      <w:bookmarkStart w:id="440" w:name="_Toc17429_WPSOffice_Level1"/>
      <w:bookmarkStart w:id="441" w:name="_Toc11211_WPSOffice_Level1"/>
      <w:r>
        <w:rPr>
          <w:rFonts w:hint="eastAsia" w:ascii="宋体" w:hAnsi="宋体" w:cs="宋体"/>
          <w:b/>
          <w:color w:val="auto"/>
          <w:sz w:val="32"/>
          <w:szCs w:val="32"/>
          <w:highlight w:val="none"/>
          <w:lang w:eastAsia="zh-CN"/>
        </w:rPr>
        <w:t>七</w:t>
      </w:r>
      <w:r>
        <w:rPr>
          <w:rFonts w:hint="eastAsia" w:ascii="宋体" w:hAnsi="宋体" w:cs="宋体"/>
          <w:b/>
          <w:color w:val="auto"/>
          <w:sz w:val="32"/>
          <w:szCs w:val="32"/>
          <w:highlight w:val="none"/>
        </w:rPr>
        <w:t>、资格审查资料</w:t>
      </w:r>
      <w:bookmarkEnd w:id="440"/>
      <w:bookmarkEnd w:id="441"/>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（一）投标人基本情况表</w:t>
      </w:r>
    </w:p>
    <w:p>
      <w:pPr>
        <w:rPr>
          <w:rFonts w:ascii="宋体" w:hAnsi="宋体" w:cs="宋体"/>
          <w:color w:val="auto"/>
          <w:szCs w:val="21"/>
          <w:highlight w:val="none"/>
        </w:rPr>
      </w:pPr>
    </w:p>
    <w:tbl>
      <w:tblPr>
        <w:tblStyle w:val="37"/>
        <w:tblW w:w="95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076"/>
        <w:gridCol w:w="1797"/>
        <w:gridCol w:w="714"/>
        <w:gridCol w:w="536"/>
        <w:gridCol w:w="1087"/>
        <w:gridCol w:w="175"/>
        <w:gridCol w:w="723"/>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53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412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3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3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7533" w:type="dxa"/>
            <w:gridSpan w:val="8"/>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4660" w:type="dxa"/>
            <w:gridSpan w:val="6"/>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w:t>
            </w:r>
            <w:r>
              <w:rPr>
                <w:rFonts w:hint="eastAsia" w:ascii="宋体" w:hAnsi="宋体" w:cs="宋体"/>
                <w:color w:val="auto"/>
                <w:szCs w:val="21"/>
                <w:highlight w:val="none"/>
                <w:lang w:val="en-US" w:eastAsia="zh-CN"/>
              </w:rPr>
              <w:t>经营范围</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技工</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经营范围备注</w:t>
            </w:r>
          </w:p>
        </w:tc>
        <w:tc>
          <w:tcPr>
            <w:tcW w:w="7533" w:type="dxa"/>
            <w:gridSpan w:val="8"/>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r>
    </w:tbl>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备注：本表后应附企业法人营业执照副本材料的复印件。</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（二）近年财务状况表</w:t>
      </w:r>
    </w:p>
    <w:p>
      <w:pPr>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rPr>
        <w:t>近年财务状况，提供财务审计报告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财务报表（202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年度或202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年度）或由法定代表人（委托代理人）签字并加盖公章的财务状况良好声明</w:t>
      </w:r>
      <w:r>
        <w:rPr>
          <w:rFonts w:hint="eastAsia" w:ascii="宋体" w:hAnsi="宋体" w:cs="宋体"/>
          <w:color w:val="auto"/>
          <w:sz w:val="24"/>
          <w:szCs w:val="24"/>
          <w:highlight w:val="none"/>
          <w:lang w:eastAsia="zh-CN"/>
        </w:rPr>
        <w:t>。</w:t>
      </w:r>
    </w:p>
    <w:p>
      <w:pPr>
        <w:pStyle w:val="6"/>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（三）近三年（</w:t>
      </w:r>
      <w:r>
        <w:rPr>
          <w:rFonts w:hint="eastAsia" w:ascii="宋体" w:hAnsi="宋体" w:cs="宋体"/>
          <w:color w:val="auto"/>
          <w:sz w:val="24"/>
          <w:szCs w:val="24"/>
          <w:highlight w:val="none"/>
          <w:lang w:val="en-US"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至今</w:t>
      </w:r>
      <w:r>
        <w:rPr>
          <w:rFonts w:hint="eastAsia" w:ascii="宋体" w:hAnsi="宋体" w:cs="宋体"/>
          <w:color w:val="auto"/>
          <w:sz w:val="24"/>
          <w:szCs w:val="24"/>
          <w:highlight w:val="none"/>
        </w:rPr>
        <w:t>）完成的类似项目情况表</w:t>
      </w:r>
    </w:p>
    <w:tbl>
      <w:tblPr>
        <w:tblStyle w:val="37"/>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项目名称</w:t>
            </w:r>
          </w:p>
        </w:tc>
        <w:tc>
          <w:tcPr>
            <w:tcW w:w="712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项目所在地</w:t>
            </w:r>
          </w:p>
        </w:tc>
        <w:tc>
          <w:tcPr>
            <w:tcW w:w="712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发包人名称</w:t>
            </w:r>
          </w:p>
        </w:tc>
        <w:tc>
          <w:tcPr>
            <w:tcW w:w="712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发包人地址</w:t>
            </w:r>
          </w:p>
        </w:tc>
        <w:tc>
          <w:tcPr>
            <w:tcW w:w="712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发包人电话</w:t>
            </w:r>
          </w:p>
        </w:tc>
        <w:tc>
          <w:tcPr>
            <w:tcW w:w="712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合同价格</w:t>
            </w:r>
          </w:p>
        </w:tc>
        <w:tc>
          <w:tcPr>
            <w:tcW w:w="712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承担的工作</w:t>
            </w:r>
          </w:p>
        </w:tc>
        <w:tc>
          <w:tcPr>
            <w:tcW w:w="712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lang w:eastAsia="zh-CN"/>
              </w:rPr>
              <w:t>项目完成</w:t>
            </w:r>
            <w:r>
              <w:rPr>
                <w:rFonts w:hint="eastAsia" w:ascii="宋体" w:hAnsi="宋体" w:cs="宋体"/>
                <w:szCs w:val="21"/>
                <w:highlight w:val="none"/>
              </w:rPr>
              <w:t>质量</w:t>
            </w:r>
          </w:p>
        </w:tc>
        <w:tc>
          <w:tcPr>
            <w:tcW w:w="712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项目负责人</w:t>
            </w:r>
          </w:p>
        </w:tc>
        <w:tc>
          <w:tcPr>
            <w:tcW w:w="712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项目描述</w:t>
            </w:r>
          </w:p>
        </w:tc>
        <w:tc>
          <w:tcPr>
            <w:tcW w:w="712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273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712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szCs w:val="21"/>
                <w:highlight w:val="none"/>
              </w:rPr>
            </w:pPr>
          </w:p>
        </w:tc>
      </w:tr>
    </w:tbl>
    <w:p>
      <w:pPr>
        <w:ind w:firstLine="420" w:firstLineChars="200"/>
        <w:rPr>
          <w:rFonts w:ascii="宋体" w:hAnsi="宋体" w:cs="宋体"/>
          <w:color w:val="auto"/>
          <w:szCs w:val="21"/>
          <w:highlight w:val="none"/>
        </w:rPr>
      </w:pPr>
    </w:p>
    <w:p>
      <w:pPr>
        <w:spacing w:line="440" w:lineRule="exact"/>
        <w:ind w:left="630" w:hanging="630" w:hangingChars="300"/>
        <w:rPr>
          <w:rFonts w:ascii="宋体" w:hAnsi="宋体" w:cs="宋体"/>
          <w:b/>
          <w:bCs/>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szCs w:val="21"/>
          <w:highlight w:val="none"/>
        </w:rPr>
        <w:t>备注：本表后附</w:t>
      </w:r>
      <w:r>
        <w:rPr>
          <w:rFonts w:hint="eastAsia" w:ascii="宋体" w:hAnsi="宋体" w:cs="宋体"/>
          <w:b/>
          <w:bCs/>
          <w:szCs w:val="21"/>
          <w:highlight w:val="none"/>
          <w:lang w:eastAsia="zh-CN"/>
        </w:rPr>
        <w:t>成交通知书</w:t>
      </w:r>
      <w:r>
        <w:rPr>
          <w:rFonts w:hint="eastAsia" w:ascii="宋体" w:hAnsi="宋体" w:cs="宋体"/>
          <w:b/>
          <w:bCs/>
          <w:szCs w:val="21"/>
          <w:highlight w:val="none"/>
        </w:rPr>
        <w:t>或合同协议书的复印件</w:t>
      </w:r>
      <w:r>
        <w:rPr>
          <w:rFonts w:hint="eastAsia" w:ascii="宋体" w:hAnsi="宋体" w:cs="宋体"/>
          <w:b/>
          <w:bCs/>
          <w:szCs w:val="21"/>
          <w:highlight w:val="none"/>
          <w:lang w:eastAsia="zh-CN"/>
        </w:rPr>
        <w:t>，</w:t>
      </w:r>
      <w:r>
        <w:rPr>
          <w:rFonts w:hint="eastAsia" w:ascii="宋体" w:hAnsi="宋体" w:cs="宋体"/>
          <w:b/>
          <w:bCs/>
          <w:szCs w:val="21"/>
          <w:highlight w:val="none"/>
        </w:rPr>
        <w:t>每张表格只填写一个项目，并标明序号。</w:t>
      </w:r>
    </w:p>
    <w:p>
      <w:pPr>
        <w:pStyle w:val="6"/>
        <w:keepNext/>
        <w:keepLines/>
        <w:pageBreakBefore w:val="0"/>
        <w:widowControl w:val="0"/>
        <w:kinsoku/>
        <w:wordWrap/>
        <w:overflowPunct/>
        <w:topLinePunct w:val="0"/>
        <w:autoSpaceDE/>
        <w:autoSpaceDN/>
        <w:bidi w:val="0"/>
        <w:adjustRightInd/>
        <w:snapToGrid/>
        <w:spacing w:line="4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）近三年</w:t>
      </w:r>
      <w:r>
        <w:rPr>
          <w:rFonts w:hint="eastAsia" w:ascii="宋体" w:hAnsi="宋体"/>
          <w:color w:val="auto"/>
          <w:sz w:val="24"/>
          <w:highlight w:val="none"/>
        </w:rPr>
        <w:t>（</w:t>
      </w: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eastAsia="zh-CN"/>
        </w:rPr>
        <w:t>至今</w:t>
      </w:r>
      <w:r>
        <w:rPr>
          <w:rFonts w:hint="eastAsia" w:ascii="宋体" w:hAnsi="宋体"/>
          <w:color w:val="auto"/>
          <w:sz w:val="24"/>
          <w:highlight w:val="none"/>
        </w:rPr>
        <w:t>）</w:t>
      </w:r>
      <w:r>
        <w:rPr>
          <w:rFonts w:hint="eastAsia" w:ascii="宋体" w:hAnsi="宋体" w:cs="宋体"/>
          <w:color w:val="auto"/>
          <w:sz w:val="24"/>
          <w:szCs w:val="24"/>
          <w:highlight w:val="none"/>
        </w:rPr>
        <w:t xml:space="preserve">发生的诉讼及仲裁情况 </w:t>
      </w:r>
    </w:p>
    <w:p>
      <w:pPr>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近三年发生的诉讼和仲裁情况仅限于投标人败诉的，且与履行施工承包合同有关的案件，不包括调解结案以及未裁决的仲裁或未终审判决的诉讼。</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50" w:afterLines="50"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b/>
          <w:bCs/>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rPr>
          <w:rFonts w:ascii="宋体" w:hAnsi="宋体" w:cs="宋体"/>
          <w:color w:val="auto"/>
          <w:szCs w:val="21"/>
          <w:highlight w:val="none"/>
        </w:rPr>
      </w:pPr>
    </w:p>
    <w:p>
      <w:pPr>
        <w:pStyle w:val="6"/>
        <w:keepNext/>
        <w:keepLines/>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）企业其他信誉情况表（年份要求同诉讼及仲裁情况年份要求）</w:t>
      </w:r>
    </w:p>
    <w:p>
      <w:pPr>
        <w:rPr>
          <w:color w:val="auto"/>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1、近年企业不良行为记录情况</w:t>
      </w:r>
    </w:p>
    <w:p>
      <w:pPr>
        <w:spacing w:line="440" w:lineRule="exact"/>
        <w:ind w:left="630" w:hanging="720" w:hangingChars="3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  他</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beforeLines="50" w:afterLines="50" w:line="440" w:lineRule="exact"/>
        <w:ind w:left="2"/>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line="440" w:lineRule="exact"/>
        <w:ind w:left="630" w:hanging="630" w:hangingChars="300"/>
        <w:rPr>
          <w:rFonts w:ascii="宋体" w:hAnsi="宋体" w:cs="宋体"/>
          <w:color w:val="auto"/>
          <w:szCs w:val="21"/>
          <w:highlight w:val="none"/>
        </w:rPr>
      </w:pPr>
    </w:p>
    <w:p>
      <w:pPr>
        <w:spacing w:line="440" w:lineRule="exact"/>
        <w:ind w:left="630" w:hanging="630" w:hangingChars="300"/>
        <w:rPr>
          <w:rFonts w:ascii="宋体" w:hAnsi="宋体" w:cs="宋体"/>
          <w:color w:val="auto"/>
          <w:szCs w:val="21"/>
          <w:highlight w:val="none"/>
        </w:rPr>
      </w:pPr>
    </w:p>
    <w:p>
      <w:pPr>
        <w:spacing w:beforeLines="100" w:line="440" w:lineRule="exact"/>
        <w:jc w:val="center"/>
        <w:rPr>
          <w:rFonts w:ascii="宋体" w:hAnsi="宋体" w:cs="宋体"/>
          <w:color w:val="auto"/>
          <w:szCs w:val="21"/>
          <w:highlight w:val="none"/>
        </w:rPr>
      </w:pPr>
    </w:p>
    <w:p>
      <w:pPr>
        <w:pStyle w:val="6"/>
        <w:spacing w:line="240" w:lineRule="auto"/>
        <w:jc w:val="both"/>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auto"/>
          <w:sz w:val="32"/>
          <w:szCs w:val="32"/>
          <w:highlight w:val="none"/>
        </w:rPr>
      </w:pPr>
      <w:bookmarkStart w:id="442" w:name="_Toc3098_WPSOffice_Level1"/>
      <w:bookmarkStart w:id="443" w:name="_Toc8896_WPSOffice_Level1"/>
      <w:r>
        <w:rPr>
          <w:rFonts w:hint="eastAsia" w:ascii="宋体" w:hAnsi="宋体" w:cs="宋体"/>
          <w:b/>
          <w:color w:val="auto"/>
          <w:sz w:val="32"/>
          <w:szCs w:val="32"/>
          <w:highlight w:val="none"/>
          <w:lang w:eastAsia="zh-CN"/>
        </w:rPr>
        <w:t>八</w:t>
      </w:r>
      <w:r>
        <w:rPr>
          <w:rFonts w:hint="eastAsia" w:ascii="宋体" w:hAnsi="宋体" w:cs="宋体"/>
          <w:b/>
          <w:color w:val="auto"/>
          <w:sz w:val="32"/>
          <w:szCs w:val="32"/>
          <w:highlight w:val="none"/>
        </w:rPr>
        <w:t>、投标人的资格声明</w:t>
      </w:r>
      <w:bookmarkEnd w:id="442"/>
      <w:bookmarkEnd w:id="443"/>
    </w:p>
    <w:p>
      <w:pPr>
        <w:keepNext w:val="0"/>
        <w:keepLines w:val="0"/>
        <w:pageBreakBefore w:val="0"/>
        <w:widowControl w:val="0"/>
        <w:kinsoku/>
        <w:overflowPunct/>
        <w:topLinePunct w:val="0"/>
        <w:bidi w:val="0"/>
        <w:snapToGrid/>
        <w:spacing w:line="440" w:lineRule="exact"/>
        <w:jc w:val="lef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1．投标人概况：</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）投标人名称：</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）注册地址：</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）成立或注册日期</w:t>
      </w:r>
      <w:r>
        <w:rPr>
          <w:rFonts w:hint="eastAsia" w:ascii="宋体" w:hAnsi="宋体"/>
          <w:color w:val="auto"/>
          <w:sz w:val="24"/>
          <w:highlight w:val="none"/>
          <w:lang w:val="zh-CN"/>
        </w:rPr>
        <w:t>：</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val="zh-CN"/>
        </w:rPr>
        <w:t>）法定代表人</w:t>
      </w:r>
      <w:r>
        <w:rPr>
          <w:rFonts w:hint="eastAsia" w:ascii="宋体" w:hAnsi="宋体"/>
          <w:color w:val="auto"/>
          <w:sz w:val="24"/>
          <w:highlight w:val="none"/>
        </w:rPr>
        <w:t xml:space="preserve">：                   </w:t>
      </w:r>
      <w:r>
        <w:rPr>
          <w:rFonts w:hint="eastAsia" w:ascii="宋体" w:hAnsi="宋体" w:cs="宋体"/>
          <w:bCs/>
          <w:color w:val="auto"/>
          <w:sz w:val="24"/>
          <w:highlight w:val="none"/>
          <w:lang w:val="zh-CN"/>
        </w:rPr>
        <w:t>（姓名、职务）</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val="zh-CN"/>
        </w:rPr>
        <w:t>）注册资金</w:t>
      </w:r>
      <w:r>
        <w:rPr>
          <w:rFonts w:hint="eastAsia" w:ascii="宋体" w:hAnsi="宋体"/>
          <w:color w:val="auto"/>
          <w:sz w:val="24"/>
          <w:highlight w:val="none"/>
        </w:rPr>
        <w:t xml:space="preserve">：                    </w:t>
      </w:r>
    </w:p>
    <w:p>
      <w:pPr>
        <w:keepNext w:val="0"/>
        <w:keepLines w:val="0"/>
        <w:pageBreakBefore w:val="0"/>
        <w:widowControl w:val="0"/>
        <w:kinsoku/>
        <w:overflowPunct/>
        <w:topLinePunct w:val="0"/>
        <w:bidi w:val="0"/>
        <w:snapToGrid/>
        <w:spacing w:line="440" w:lineRule="exac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2．我方在此声明，我方具备并满足下列各项条款的规定。本声明如有虚假或不实之处，我方将失去合格投标人资格且我方的磋商保证金将不予退还。</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（1）具有独立承担民事责任的能力；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（2）具有良好的商业信誉和健全的财务会计制度；</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（3）具有履行合同所必需的设备和专业技术能力；</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（4）有依法缴纳税收和社会保障资金的良好记录；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（5）近三年内，在经营活动中没有重大违法记录；</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r>
        <w:rPr>
          <w:rFonts w:hint="eastAsia" w:ascii="宋体" w:hAnsi="宋体"/>
          <w:color w:val="auto"/>
          <w:sz w:val="24"/>
          <w:highlight w:val="none"/>
        </w:rPr>
        <w:t>3.投标人其年检合格营业执照、税务登记证、组织机构代码证、开户许可证等材料的复印件附后。</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就我方全部所知，兹证明上述声明是真实、正确的，并已提供了全部现有资料和数据，我方同意根据贵方要求出示文件予以证实。</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overflowPunct/>
        <w:topLinePunct w:val="0"/>
        <w:autoSpaceDE w:val="0"/>
        <w:autoSpaceDN w:val="0"/>
        <w:bidi w:val="0"/>
        <w:adjustRightInd w:val="0"/>
        <w:snapToGrid/>
        <w:spacing w:line="440" w:lineRule="exact"/>
        <w:ind w:firstLine="2160" w:firstLineChars="900"/>
        <w:jc w:val="left"/>
        <w:textAlignment w:val="auto"/>
        <w:rPr>
          <w:rFonts w:ascii="宋体" w:hAnsi="宋体" w:cs="宋体"/>
          <w:bCs/>
          <w:color w:val="auto"/>
          <w:sz w:val="24"/>
          <w:highlight w:val="none"/>
          <w:lang w:val="zh-CN"/>
        </w:rPr>
      </w:pP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投标人（印刷体及公章）：</w:t>
      </w: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法定代表人或其授权代表人（签字）：</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wordWrap w:val="0"/>
        <w:overflowPunct/>
        <w:topLinePunct w:val="0"/>
        <w:bidi w:val="0"/>
        <w:snapToGrid/>
        <w:spacing w:line="440" w:lineRule="exact"/>
        <w:jc w:val="right"/>
        <w:textAlignment w:val="auto"/>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  月  日</w:t>
      </w: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keepNext w:val="0"/>
        <w:keepLines w:val="0"/>
        <w:pageBreakBefore/>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中小企业声明函</w:t>
      </w:r>
      <w:r>
        <w:rPr>
          <w:rFonts w:hint="eastAsia" w:ascii="宋体" w:hAnsi="宋体" w:cs="宋体"/>
          <w:b/>
          <w:bCs/>
          <w:color w:val="auto"/>
          <w:sz w:val="32"/>
          <w:szCs w:val="32"/>
          <w:highlight w:val="none"/>
          <w:lang w:eastAsia="zh-CN"/>
        </w:rPr>
        <w:t>（工程、服务）</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62"/>
        <w:jc w:val="left"/>
        <w:textAlignment w:val="auto"/>
        <w:rPr>
          <w:rFonts w:hint="default" w:ascii="宋体" w:hAnsi="宋体" w:cs="宋体"/>
          <w:b w:val="0"/>
          <w:bCs w:val="0"/>
          <w:i w:val="0"/>
          <w:iCs w:val="0"/>
          <w:color w:val="auto"/>
          <w:sz w:val="24"/>
          <w:szCs w:val="24"/>
          <w:highlight w:val="none"/>
          <w:u w:val="none"/>
          <w:lang w:val="en-US" w:eastAsia="zh-CN"/>
        </w:rPr>
      </w:pPr>
      <w:r>
        <w:rPr>
          <w:rFonts w:hint="eastAsia" w:ascii="宋体" w:hAnsi="宋体" w:cs="宋体"/>
          <w:b w:val="0"/>
          <w:bCs w:val="0"/>
          <w:color w:val="auto"/>
          <w:sz w:val="24"/>
          <w:szCs w:val="24"/>
          <w:highlight w:val="none"/>
        </w:rPr>
        <w:t>本公司</w:t>
      </w:r>
      <w:r>
        <w:rPr>
          <w:rFonts w:hint="eastAsia" w:ascii="宋体" w:hAnsi="宋体" w:cs="宋体"/>
          <w:b w:val="0"/>
          <w:bCs w:val="0"/>
          <w:color w:val="auto"/>
          <w:sz w:val="24"/>
          <w:szCs w:val="24"/>
          <w:highlight w:val="none"/>
          <w:lang w:eastAsia="zh-CN"/>
        </w:rPr>
        <w:t>（联合体）</w:t>
      </w:r>
      <w:r>
        <w:rPr>
          <w:rFonts w:hint="eastAsia" w:ascii="宋体" w:hAnsi="宋体" w:cs="宋体"/>
          <w:b w:val="0"/>
          <w:bCs w:val="0"/>
          <w:color w:val="auto"/>
          <w:sz w:val="24"/>
          <w:szCs w:val="24"/>
          <w:highlight w:val="none"/>
        </w:rPr>
        <w:t>郑重声明，根据《政府采购促进中小企业发展</w:t>
      </w:r>
      <w:r>
        <w:rPr>
          <w:rFonts w:hint="eastAsia" w:ascii="宋体" w:hAnsi="宋体" w:cs="宋体"/>
          <w:b w:val="0"/>
          <w:bCs w:val="0"/>
          <w:color w:val="auto"/>
          <w:sz w:val="24"/>
          <w:szCs w:val="24"/>
          <w:highlight w:val="none"/>
          <w:lang w:eastAsia="zh-CN"/>
        </w:rPr>
        <w:t>管理</w:t>
      </w:r>
      <w:r>
        <w:rPr>
          <w:rFonts w:hint="eastAsia" w:ascii="宋体" w:hAnsi="宋体" w:cs="宋体"/>
          <w:b w:val="0"/>
          <w:bCs w:val="0"/>
          <w:color w:val="auto"/>
          <w:sz w:val="24"/>
          <w:szCs w:val="24"/>
          <w:highlight w:val="none"/>
        </w:rPr>
        <w:t>办法》（财库[20</w:t>
      </w:r>
      <w:r>
        <w:rPr>
          <w:rFonts w:hint="eastAsia" w:ascii="宋体" w:hAnsi="宋体" w:cs="宋体"/>
          <w:b w:val="0"/>
          <w:bCs w:val="0"/>
          <w:color w:val="auto"/>
          <w:sz w:val="24"/>
          <w:szCs w:val="24"/>
          <w:highlight w:val="none"/>
          <w:lang w:val="en-US" w:eastAsia="zh-CN"/>
        </w:rPr>
        <w:t>20</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46</w:t>
      </w:r>
      <w:r>
        <w:rPr>
          <w:rFonts w:hint="eastAsia" w:ascii="宋体" w:hAnsi="宋体" w:cs="宋体"/>
          <w:b w:val="0"/>
          <w:bCs w:val="0"/>
          <w:color w:val="auto"/>
          <w:sz w:val="24"/>
          <w:szCs w:val="24"/>
          <w:highlight w:val="none"/>
        </w:rPr>
        <w:t>号）的规定，本公司</w:t>
      </w:r>
      <w:r>
        <w:rPr>
          <w:rFonts w:hint="eastAsia" w:ascii="宋体" w:hAnsi="宋体" w:cs="宋体"/>
          <w:b w:val="0"/>
          <w:bCs w:val="0"/>
          <w:color w:val="auto"/>
          <w:sz w:val="24"/>
          <w:szCs w:val="24"/>
          <w:highlight w:val="none"/>
          <w:lang w:eastAsia="zh-CN"/>
        </w:rPr>
        <w:t>（联合体）参加</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（单位名称</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eastAsia="zh-CN"/>
        </w:rPr>
        <w:t>的</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（项目名称）</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color w:val="auto"/>
          <w:sz w:val="24"/>
          <w:szCs w:val="24"/>
          <w:highlight w:val="none"/>
        </w:rPr>
        <w:t>　　</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（标的名称）</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（采购文件中明确的所属行业）</w:t>
      </w:r>
      <w:r>
        <w:rPr>
          <w:rFonts w:hint="eastAsia" w:ascii="宋体" w:hAnsi="宋体" w:cs="宋体"/>
          <w:b w:val="0"/>
          <w:bCs w:val="0"/>
          <w:i w:val="0"/>
          <w:iCs w:val="0"/>
          <w:color w:val="auto"/>
          <w:sz w:val="24"/>
          <w:szCs w:val="24"/>
          <w:highlight w:val="none"/>
          <w:u w:val="none"/>
          <w:lang w:val="en-US" w:eastAsia="zh-CN"/>
        </w:rPr>
        <w:t>；承建（承接）企业为</w:t>
      </w:r>
      <w:r>
        <w:rPr>
          <w:rFonts w:hint="eastAsia" w:ascii="宋体" w:hAnsi="宋体" w:cs="宋体"/>
          <w:b w:val="0"/>
          <w:bCs w:val="0"/>
          <w:i/>
          <w:iCs/>
          <w:color w:val="auto"/>
          <w:sz w:val="24"/>
          <w:szCs w:val="24"/>
          <w:highlight w:val="none"/>
          <w:u w:val="single"/>
          <w:lang w:val="en-US" w:eastAsia="zh-CN"/>
        </w:rPr>
        <w:t>（企业名称）</w:t>
      </w:r>
      <w:r>
        <w:rPr>
          <w:rFonts w:hint="eastAsia" w:ascii="宋体" w:hAnsi="宋体" w:cs="宋体"/>
          <w:b w:val="0"/>
          <w:bCs w:val="0"/>
          <w:i w:val="0"/>
          <w:iCs w:val="0"/>
          <w:color w:val="auto"/>
          <w:sz w:val="24"/>
          <w:szCs w:val="24"/>
          <w:highlight w:val="none"/>
          <w:u w:val="none"/>
          <w:lang w:val="en-US" w:eastAsia="zh-CN"/>
        </w:rPr>
        <w:t>，从业人员</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人，营业收入为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万元，资产总额为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w:t>
      </w:r>
      <w:r>
        <w:rPr>
          <w:rFonts w:hint="eastAsia" w:ascii="宋体" w:hAnsi="宋体" w:cs="宋体"/>
          <w:b w:val="0"/>
          <w:bCs w:val="0"/>
          <w:i w:val="0"/>
          <w:iCs w:val="0"/>
          <w:color w:val="auto"/>
          <w:sz w:val="32"/>
          <w:szCs w:val="32"/>
          <w:highlight w:val="none"/>
          <w:u w:val="none"/>
          <w:vertAlign w:val="superscript"/>
          <w:lang w:val="en-US" w:eastAsia="zh-CN"/>
        </w:rPr>
        <w:t>1</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（中型企业、小型企业、微型企业）</w:t>
      </w: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2.</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 xml:space="preserve">（标的名称）  </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（采购文件中明确的所属行业）</w:t>
      </w:r>
      <w:r>
        <w:rPr>
          <w:rFonts w:hint="eastAsia" w:ascii="宋体" w:hAnsi="宋体" w:cs="宋体"/>
          <w:b w:val="0"/>
          <w:bCs w:val="0"/>
          <w:i w:val="0"/>
          <w:iCs w:val="0"/>
          <w:color w:val="auto"/>
          <w:sz w:val="24"/>
          <w:szCs w:val="24"/>
          <w:highlight w:val="none"/>
          <w:u w:val="none"/>
          <w:lang w:val="en-US" w:eastAsia="zh-CN"/>
        </w:rPr>
        <w:t>；承建（承接）企业为</w:t>
      </w:r>
      <w:r>
        <w:rPr>
          <w:rFonts w:hint="eastAsia" w:ascii="宋体" w:hAnsi="宋体" w:cs="宋体"/>
          <w:b w:val="0"/>
          <w:bCs w:val="0"/>
          <w:i/>
          <w:iCs/>
          <w:color w:val="auto"/>
          <w:sz w:val="24"/>
          <w:szCs w:val="24"/>
          <w:highlight w:val="none"/>
          <w:u w:val="single"/>
          <w:lang w:val="en-US" w:eastAsia="zh-CN"/>
        </w:rPr>
        <w:t>（企业名称）</w:t>
      </w:r>
      <w:r>
        <w:rPr>
          <w:rFonts w:hint="eastAsia" w:ascii="宋体" w:hAnsi="宋体" w:cs="宋体"/>
          <w:b w:val="0"/>
          <w:bCs w:val="0"/>
          <w:i w:val="0"/>
          <w:iCs w:val="0"/>
          <w:color w:val="auto"/>
          <w:sz w:val="24"/>
          <w:szCs w:val="24"/>
          <w:highlight w:val="none"/>
          <w:u w:val="none"/>
          <w:lang w:val="en-US" w:eastAsia="zh-CN"/>
        </w:rPr>
        <w:t>，从业人员</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人，营业收入为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万元，资产总额为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万元，属于</w:t>
      </w:r>
      <w:r>
        <w:rPr>
          <w:rFonts w:hint="eastAsia" w:ascii="宋体" w:hAnsi="宋体" w:cs="宋体"/>
          <w:b w:val="0"/>
          <w:bCs w:val="0"/>
          <w:i/>
          <w:iCs/>
          <w:color w:val="auto"/>
          <w:sz w:val="24"/>
          <w:szCs w:val="24"/>
          <w:highlight w:val="none"/>
          <w:u w:val="single"/>
          <w:lang w:val="en-US" w:eastAsia="zh-CN"/>
        </w:rPr>
        <w:t>（中型企业、小型企业、微型企业）</w:t>
      </w: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企业名称（盖章）：　　　　　　　　　</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　　　　</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　期：</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cs="宋体"/>
          <w:b/>
          <w:bCs/>
          <w:color w:val="auto"/>
          <w:sz w:val="21"/>
          <w:szCs w:val="21"/>
          <w:highlight w:val="none"/>
          <w:vertAlign w:val="superscript"/>
          <w:lang w:val="en-US" w:eastAsia="zh-CN"/>
        </w:rPr>
        <w:t>1</w:t>
      </w:r>
      <w:r>
        <w:rPr>
          <w:rFonts w:hint="eastAsia" w:ascii="宋体" w:hAnsi="宋体" w:cs="宋体"/>
          <w:b/>
          <w:bCs/>
          <w:color w:val="auto"/>
          <w:sz w:val="21"/>
          <w:szCs w:val="21"/>
          <w:highlight w:val="none"/>
          <w:vertAlign w:val="baseline"/>
          <w:lang w:val="en-US"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2、本项目标的所属行业：农、林、牧、渔业</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b w:val="0"/>
          <w:bCs w:val="0"/>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省级以上监狱管理局、戒毒管理局（含新疆生产建设兵团）出具的</w:t>
      </w: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属于监狱企业的证明材料</w:t>
      </w: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如果是，提供</w:t>
      </w:r>
      <w:r>
        <w:rPr>
          <w:rFonts w:hint="eastAsia" w:ascii="宋体" w:hAnsi="宋体" w:cs="宋体"/>
          <w:color w:val="auto"/>
          <w:sz w:val="24"/>
          <w:szCs w:val="24"/>
          <w:highlight w:val="none"/>
          <w:lang w:eastAsia="zh-CN"/>
        </w:rPr>
        <w:t>）</w:t>
      </w:r>
    </w:p>
    <w:p>
      <w:pPr>
        <w:pStyle w:val="53"/>
        <w:rPr>
          <w:rFonts w:hint="eastAsia"/>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keepNext w:val="0"/>
        <w:keepLines w:val="0"/>
        <w:pageBreakBefore/>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 w:hAnsi="??" w:eastAsia="宋体" w:cs="宋体"/>
          <w:b/>
          <w:bCs/>
          <w:color w:val="auto"/>
          <w:kern w:val="2"/>
          <w:sz w:val="28"/>
          <w:szCs w:val="28"/>
          <w:highlight w:val="none"/>
          <w:lang w:val="zh-CN" w:eastAsia="zh-CN" w:bidi="ar-SA"/>
        </w:rPr>
      </w:pPr>
      <w:r>
        <w:rPr>
          <w:rFonts w:hint="eastAsia" w:ascii="宋体" w:hAnsi="宋体" w:eastAsia="宋体" w:cs="宋体"/>
          <w:b/>
          <w:bCs/>
          <w:color w:val="auto"/>
          <w:sz w:val="28"/>
          <w:szCs w:val="28"/>
          <w:highlight w:val="none"/>
          <w:lang w:val="zh-CN" w:eastAsia="zh-CN"/>
        </w:rPr>
        <w:t>残疾人福利性单位声明函</w:t>
      </w:r>
    </w:p>
    <w:p>
      <w:pPr>
        <w:pStyle w:val="31"/>
        <w:keepNext w:val="0"/>
        <w:keepLines w:val="0"/>
        <w:widowControl w:val="0"/>
        <w:kinsoku/>
        <w:wordWrap/>
        <w:overflowPunct/>
        <w:topLinePunct w:val="0"/>
        <w:autoSpaceDE/>
        <w:autoSpaceDN/>
        <w:bidi w:val="0"/>
        <w:spacing w:after="0" w:line="360" w:lineRule="auto"/>
        <w:ind w:left="0" w:leftChars="0" w:firstLine="0" w:firstLineChars="0"/>
        <w:textAlignment w:val="auto"/>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（如果是，提供）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 xml:space="preserve">企业名称（盖章）： </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日 期：</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 w:val="0"/>
          <w:bCs w:val="0"/>
          <w:color w:val="auto"/>
          <w:sz w:val="24"/>
          <w:szCs w:val="24"/>
          <w:highlight w:val="none"/>
        </w:rPr>
      </w:pPr>
    </w:p>
    <w:p>
      <w:pPr>
        <w:widowControl/>
        <w:jc w:val="left"/>
        <w:rPr>
          <w:rFonts w:ascii="宋体" w:hAnsi="宋体" w:cs="宋体"/>
          <w:b/>
          <w:bCs/>
          <w:color w:val="auto"/>
          <w:sz w:val="28"/>
          <w:szCs w:val="28"/>
          <w:highlight w:val="none"/>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b/>
          <w:bCs/>
          <w:sz w:val="28"/>
          <w:szCs w:val="36"/>
          <w:lang w:eastAsia="zh-CN"/>
        </w:rPr>
      </w:pPr>
      <w:r>
        <w:rPr>
          <w:rFonts w:hint="eastAsia" w:ascii="宋体" w:hAnsi="宋体" w:cs="宋体"/>
          <w:color w:val="auto"/>
          <w:sz w:val="32"/>
          <w:szCs w:val="32"/>
          <w:highlight w:val="none"/>
          <w:lang w:eastAsia="zh-CN"/>
        </w:rPr>
        <w:t>九、服务方案</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投标人编制</w:t>
      </w:r>
      <w:r>
        <w:rPr>
          <w:rFonts w:hint="eastAsia" w:ascii="宋体" w:hAnsi="宋体" w:cs="宋体"/>
          <w:color w:val="auto"/>
          <w:sz w:val="24"/>
          <w:szCs w:val="24"/>
          <w:highlight w:val="none"/>
          <w:lang w:val="en-US" w:eastAsia="zh-CN"/>
        </w:rPr>
        <w:t>服务方案</w:t>
      </w:r>
      <w:r>
        <w:rPr>
          <w:rFonts w:hint="eastAsia" w:ascii="宋体" w:hAnsi="宋体" w:cs="宋体"/>
          <w:color w:val="auto"/>
          <w:sz w:val="24"/>
          <w:szCs w:val="24"/>
          <w:highlight w:val="none"/>
        </w:rPr>
        <w:t>的要求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编制时应采用文字并结合图表形式</w:t>
      </w:r>
      <w:r>
        <w:rPr>
          <w:rFonts w:hint="eastAsia" w:ascii="宋体" w:hAnsi="宋体" w:cs="宋体"/>
          <w:color w:val="auto"/>
          <w:sz w:val="24"/>
          <w:szCs w:val="24"/>
          <w:highlight w:val="none"/>
          <w:lang w:val="en-US" w:eastAsia="zh-CN"/>
        </w:rPr>
        <w:t>的方法；服务方案应包括但不限于；绿化养护方案；季节性养护服务措施（冬、雨、风沙）；绿地卫生、基础设施卫生级维护方案；应急预案；管理制度措施；人员培训措施；工作进度保证措施；工作重点、难点及其解决措施；劳动力计划表；机械使用计划表；园林用具使用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2.服务方案</w:t>
      </w:r>
      <w:r>
        <w:rPr>
          <w:rFonts w:hint="eastAsia" w:ascii="宋体" w:hAnsi="宋体" w:cs="宋体"/>
          <w:color w:val="auto"/>
          <w:sz w:val="24"/>
          <w:szCs w:val="24"/>
          <w:highlight w:val="none"/>
        </w:rPr>
        <w:t>除采用文字表述外可附下列图表，图表及格式要求附后。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附表一</w:t>
      </w:r>
      <w:r>
        <w:rPr>
          <w:rFonts w:hint="eastAsia" w:ascii="宋体" w:hAnsi="宋体" w:cs="宋体"/>
          <w:color w:val="auto"/>
          <w:sz w:val="24"/>
          <w:szCs w:val="24"/>
          <w:highlight w:val="none"/>
          <w:lang w:eastAsia="zh-CN"/>
        </w:rPr>
        <w:t>、劳动力计划表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机械使用计划表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附表三</w:t>
      </w:r>
      <w:r>
        <w:rPr>
          <w:rFonts w:hint="eastAsia" w:ascii="宋体" w:hAnsi="宋体" w:cs="宋体"/>
          <w:color w:val="auto"/>
          <w:sz w:val="24"/>
          <w:szCs w:val="24"/>
          <w:highlight w:val="none"/>
          <w:lang w:eastAsia="zh-CN"/>
        </w:rPr>
        <w:t>、园林用具使用表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3.投标文件技术标必须遵守的统一格式和规范。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技术标文件（暗标）未按以下“盲评”要求制作的，为无效投标，除下述要求外，不得因暗标格式问题认定为无效投标：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1.版面要求：A4纸张大小；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2.颜色要求：所有文字、图表均为黑色；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6.页数：技术标文件不得超过200页。</w:t>
      </w:r>
    </w:p>
    <w:p>
      <w:pPr>
        <w:keepNext w:val="0"/>
        <w:pageBreakBefore w:val="0"/>
        <w:widowControl w:val="0"/>
        <w:kinsoku/>
        <w:wordWrap/>
        <w:overflowPunct/>
        <w:topLinePunct w:val="0"/>
        <w:autoSpaceDE/>
        <w:autoSpaceDN/>
        <w:bidi w:val="0"/>
        <w:adjustRightInd/>
        <w:snapToGrid/>
        <w:spacing w:line="440" w:lineRule="exact"/>
        <w:textAlignment w:val="auto"/>
        <w:rPr>
          <w:rFonts w:hint="eastAsia"/>
          <w:b/>
          <w:bCs/>
          <w:sz w:val="28"/>
          <w:szCs w:val="36"/>
          <w:lang w:eastAsia="zh-CN"/>
        </w:rPr>
      </w:pPr>
      <w:r>
        <w:rPr>
          <w:rFonts w:hint="eastAsia" w:ascii="宋体" w:hAnsi="宋体" w:cs="宋体"/>
          <w:b/>
          <w:color w:val="auto"/>
          <w:sz w:val="22"/>
          <w:szCs w:val="22"/>
        </w:rPr>
        <w:t>注：本节所述均为供应商编制技术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文件的要求及提示内容，编制技术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文件时无须提供此节内容。</w:t>
      </w:r>
    </w:p>
    <w:p>
      <w:pPr>
        <w:pStyle w:val="2"/>
        <w:keepNext w:val="0"/>
        <w:pageBreakBefore w:val="0"/>
        <w:widowControl w:val="0"/>
        <w:kinsoku/>
        <w:wordWrap/>
        <w:overflowPunct/>
        <w:topLinePunct w:val="0"/>
        <w:autoSpaceDE/>
        <w:autoSpaceDN/>
        <w:bidi w:val="0"/>
        <w:adjustRightInd/>
        <w:snapToGrid/>
        <w:spacing w:line="440" w:lineRule="exact"/>
        <w:textAlignment w:val="auto"/>
        <w:rPr>
          <w:rFonts w:hint="eastAsia"/>
          <w:b/>
          <w:bCs/>
          <w:sz w:val="28"/>
          <w:szCs w:val="36"/>
          <w:lang w:eastAsia="zh-CN"/>
        </w:rPr>
      </w:pPr>
    </w:p>
    <w:p>
      <w:pPr>
        <w:pStyle w:val="6"/>
        <w:keepNext/>
        <w:keepLines/>
        <w:pageBreakBefore/>
        <w:widowControl w:val="0"/>
        <w:kinsoku/>
        <w:wordWrap/>
        <w:overflowPunct/>
        <w:topLinePunct w:val="0"/>
        <w:autoSpaceDE/>
        <w:autoSpaceDN/>
        <w:bidi w:val="0"/>
        <w:adjustRightInd/>
        <w:snapToGrid/>
        <w:spacing w:before="0" w:after="0" w:line="240" w:lineRule="auto"/>
        <w:textAlignment w:val="auto"/>
        <w:rPr>
          <w:rFonts w:hint="eastAsia" w:ascii="宋体" w:hAnsi="宋体" w:cs="宋体"/>
          <w:color w:val="auto"/>
          <w:highlight w:val="none"/>
        </w:rPr>
      </w:pPr>
      <w:r>
        <w:rPr>
          <w:rFonts w:hint="eastAsia" w:ascii="宋体" w:hAnsi="宋体" w:cs="宋体"/>
          <w:color w:val="auto"/>
          <w:highlight w:val="none"/>
        </w:rPr>
        <w:t>附表</w:t>
      </w:r>
      <w:r>
        <w:rPr>
          <w:rFonts w:hint="eastAsia" w:ascii="宋体" w:hAnsi="宋体" w:cs="宋体"/>
          <w:color w:val="auto"/>
          <w:highlight w:val="none"/>
          <w:lang w:val="en-US" w:eastAsia="zh-CN"/>
        </w:rPr>
        <w:t>一、</w:t>
      </w:r>
      <w:r>
        <w:rPr>
          <w:rFonts w:hint="eastAsia" w:ascii="宋体" w:hAnsi="宋体" w:cs="宋体"/>
          <w:color w:val="auto"/>
          <w:highlight w:val="none"/>
        </w:rPr>
        <w:t>劳动力计划表</w:t>
      </w:r>
    </w:p>
    <w:p>
      <w:pPr>
        <w:jc w:val="left"/>
      </w:pPr>
      <w:r>
        <w:rPr>
          <w:rFonts w:hint="eastAsia" w:ascii="宋体" w:hAnsi="宋体" w:cs="宋体"/>
          <w:color w:val="auto"/>
          <w:szCs w:val="21"/>
          <w:highlight w:val="none"/>
        </w:rPr>
        <w:t>单位：人</w:t>
      </w:r>
    </w:p>
    <w:tbl>
      <w:tblPr>
        <w:tblStyle w:val="3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90"/>
        <w:gridCol w:w="1290"/>
        <w:gridCol w:w="1290"/>
        <w:gridCol w:w="1289"/>
        <w:gridCol w:w="1290"/>
        <w:gridCol w:w="128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9028" w:type="dxa"/>
            <w:gridSpan w:val="7"/>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bl>
    <w:p>
      <w:pPr>
        <w:pStyle w:val="2"/>
        <w:keepNext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32"/>
          <w:szCs w:val="32"/>
          <w:highlight w:val="none"/>
          <w:lang w:eastAsia="zh-CN"/>
        </w:rPr>
      </w:pPr>
    </w:p>
    <w:p>
      <w:pPr>
        <w:pStyle w:val="2"/>
        <w:keepNext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32"/>
          <w:szCs w:val="32"/>
          <w:highlight w:val="none"/>
          <w:lang w:eastAsia="zh-CN"/>
        </w:rPr>
      </w:pPr>
    </w:p>
    <w:p>
      <w:pPr>
        <w:pStyle w:val="2"/>
        <w:keepNext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outlineLvl w:val="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val="en-US" w:eastAsia="zh-CN"/>
        </w:rPr>
        <w:t>附表二、</w:t>
      </w:r>
      <w:r>
        <w:rPr>
          <w:rFonts w:hint="eastAsia" w:ascii="宋体" w:hAnsi="宋体" w:cs="宋体"/>
          <w:color w:val="auto"/>
          <w:sz w:val="32"/>
          <w:szCs w:val="32"/>
          <w:highlight w:val="none"/>
          <w:lang w:eastAsia="zh-CN"/>
        </w:rPr>
        <w:t>机械使用计划表</w:t>
      </w:r>
    </w:p>
    <w:tbl>
      <w:tblPr>
        <w:tblStyle w:val="37"/>
        <w:tblpPr w:leftFromText="180" w:rightFromText="180" w:vertAnchor="text" w:horzAnchor="page" w:tblpX="1515" w:tblpY="50"/>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型号</w:t>
            </w:r>
          </w:p>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国别</w:t>
            </w:r>
          </w:p>
          <w:p>
            <w:pPr>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制造</w:t>
            </w:r>
          </w:p>
          <w:p>
            <w:pPr>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额定功率</w:t>
            </w:r>
          </w:p>
          <w:p>
            <w:pPr>
              <w:jc w:val="center"/>
              <w:rPr>
                <w:rFonts w:ascii="宋体" w:hAnsi="宋体" w:cs="宋体"/>
                <w:color w:val="auto"/>
                <w:szCs w:val="21"/>
                <w:highlight w:val="none"/>
              </w:rPr>
            </w:pPr>
            <w:r>
              <w:rPr>
                <w:rFonts w:hint="eastAsia" w:ascii="宋体" w:hAnsi="宋体" w:cs="宋体"/>
                <w:color w:val="auto"/>
                <w:szCs w:val="21"/>
                <w:highlight w:val="none"/>
              </w:rPr>
              <w:t>( KW )</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生产</w:t>
            </w:r>
          </w:p>
          <w:p>
            <w:pPr>
              <w:jc w:val="center"/>
              <w:rPr>
                <w:rFonts w:ascii="宋体" w:hAnsi="宋体" w:cs="宋体"/>
                <w:color w:val="auto"/>
                <w:szCs w:val="21"/>
                <w:highlight w:val="none"/>
              </w:rPr>
            </w:pPr>
            <w:r>
              <w:rPr>
                <w:rFonts w:hint="eastAsia" w:ascii="宋体" w:hAnsi="宋体" w:cs="宋体"/>
                <w:color w:val="auto"/>
                <w:szCs w:val="21"/>
                <w:highlight w:val="none"/>
              </w:rPr>
              <w:t>能力</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用于施</w:t>
            </w:r>
          </w:p>
          <w:p>
            <w:pPr>
              <w:rPr>
                <w:rFonts w:ascii="宋体" w:hAnsi="宋体" w:cs="宋体"/>
                <w:color w:val="auto"/>
                <w:szCs w:val="21"/>
                <w:highlight w:val="none"/>
              </w:rPr>
            </w:pPr>
            <w:r>
              <w:rPr>
                <w:rFonts w:hint="eastAsia" w:ascii="宋体" w:hAnsi="宋体" w:cs="宋体"/>
                <w:color w:val="auto"/>
                <w:szCs w:val="21"/>
                <w:highlight w:val="none"/>
              </w:rPr>
              <w:t>工部位</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pStyle w:val="2"/>
        <w:keepNext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center"/>
        <w:textAlignment w:val="auto"/>
        <w:outlineLvl w:val="0"/>
        <w:rPr>
          <w:rFonts w:hint="eastAsia" w:ascii="宋体" w:hAnsi="宋体" w:cs="宋体"/>
          <w:color w:val="auto"/>
          <w:sz w:val="32"/>
          <w:szCs w:val="32"/>
          <w:highlight w:val="none"/>
          <w:lang w:eastAsia="zh-CN"/>
        </w:rPr>
      </w:pPr>
    </w:p>
    <w:p>
      <w:pPr>
        <w:pStyle w:val="5"/>
        <w:keepNext w:val="0"/>
        <w:keepLines/>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outlineLvl w:val="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val="en-US" w:eastAsia="zh-CN"/>
        </w:rPr>
        <w:t>附表三、</w:t>
      </w:r>
      <w:r>
        <w:rPr>
          <w:rFonts w:hint="eastAsia" w:ascii="宋体" w:hAnsi="宋体" w:cs="宋体"/>
          <w:color w:val="auto"/>
          <w:sz w:val="32"/>
          <w:szCs w:val="32"/>
          <w:highlight w:val="none"/>
          <w:lang w:eastAsia="zh-CN"/>
        </w:rPr>
        <w:t>园林用具使用表</w:t>
      </w:r>
    </w:p>
    <w:tbl>
      <w:tblPr>
        <w:tblStyle w:val="37"/>
        <w:tblpPr w:leftFromText="180" w:rightFromText="180" w:vertAnchor="text" w:horzAnchor="page" w:tblpX="1412" w:tblpY="210"/>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68"/>
        <w:gridCol w:w="1125"/>
        <w:gridCol w:w="709"/>
        <w:gridCol w:w="1275"/>
        <w:gridCol w:w="1134"/>
        <w:gridCol w:w="1560"/>
        <w:gridCol w:w="70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156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仪器设备名称</w:t>
            </w:r>
          </w:p>
        </w:tc>
        <w:tc>
          <w:tcPr>
            <w:tcW w:w="112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型号规格</w:t>
            </w:r>
          </w:p>
        </w:tc>
        <w:tc>
          <w:tcPr>
            <w:tcW w:w="709"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国别产地</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制造年份</w:t>
            </w:r>
          </w:p>
        </w:tc>
        <w:tc>
          <w:tcPr>
            <w:tcW w:w="156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己使用台时数</w:t>
            </w:r>
          </w:p>
        </w:tc>
        <w:tc>
          <w:tcPr>
            <w:tcW w:w="70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用途</w:t>
            </w:r>
          </w:p>
        </w:tc>
        <w:tc>
          <w:tcPr>
            <w:tcW w:w="727"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bl>
    <w:p>
      <w:pPr>
        <w:pStyle w:val="2"/>
        <w:numPr>
          <w:ilvl w:val="0"/>
          <w:numId w:val="0"/>
        </w:numPr>
        <w:ind w:leftChars="0"/>
        <w:jc w:val="both"/>
        <w:rPr>
          <w:rFonts w:hint="eastAsia"/>
          <w:lang w:eastAsia="zh-CN"/>
        </w:rPr>
      </w:pPr>
    </w:p>
    <w:p>
      <w:pPr>
        <w:pStyle w:val="2"/>
        <w:jc w:val="both"/>
        <w:rPr>
          <w:rFonts w:hint="eastAsia" w:ascii="宋体" w:hAnsi="宋体" w:cs="宋体"/>
          <w:color w:val="auto"/>
          <w:sz w:val="32"/>
          <w:szCs w:val="32"/>
          <w:highlight w:val="none"/>
          <w:lang w:eastAsia="zh-CN"/>
        </w:rPr>
      </w:pPr>
    </w:p>
    <w:p>
      <w:pPr>
        <w:pStyle w:val="2"/>
        <w:jc w:val="both"/>
        <w:rPr>
          <w:rFonts w:hint="eastAsia" w:ascii="宋体" w:hAnsi="宋体" w:cs="宋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十、</w:t>
      </w:r>
      <w:r>
        <w:rPr>
          <w:rFonts w:hint="eastAsia" w:ascii="宋体" w:hAnsi="宋体" w:cs="宋体"/>
          <w:b/>
          <w:bCs/>
          <w:color w:val="auto"/>
          <w:sz w:val="32"/>
          <w:szCs w:val="32"/>
          <w:highlight w:val="none"/>
        </w:rPr>
        <w:t>优惠条件</w:t>
      </w:r>
    </w:p>
    <w:p>
      <w:pPr>
        <w:spacing w:line="480" w:lineRule="auto"/>
        <w:jc w:val="center"/>
        <w:rPr>
          <w:rFonts w:ascii="宋体" w:hAnsi="宋体" w:cs="宋体"/>
          <w:b/>
          <w:bCs/>
          <w:color w:val="auto"/>
          <w:sz w:val="24"/>
          <w:szCs w:val="32"/>
          <w:highlight w:val="none"/>
        </w:rPr>
      </w:pPr>
    </w:p>
    <w:p>
      <w:pPr>
        <w:spacing w:beforeLines="100" w:afterLines="50"/>
        <w:jc w:val="center"/>
        <w:rPr>
          <w:rFonts w:hint="eastAsia" w:ascii="宋体" w:hAnsi="宋体" w:cs="宋体"/>
          <w:b/>
          <w:bCs/>
          <w:color w:val="auto"/>
          <w:sz w:val="28"/>
          <w:szCs w:val="28"/>
          <w:highlight w:val="none"/>
        </w:rPr>
      </w:pPr>
      <w:bookmarkStart w:id="444" w:name="_Toc1732_WPSOffice_Level1"/>
      <w:bookmarkStart w:id="445" w:name="_Toc4950_WPSOffice_Level1"/>
      <w:r>
        <w:rPr>
          <w:rFonts w:hint="eastAsia" w:ascii="宋体" w:hAnsi="宋体" w:cs="宋体"/>
          <w:b/>
          <w:bCs/>
          <w:color w:val="auto"/>
          <w:sz w:val="28"/>
          <w:szCs w:val="28"/>
          <w:highlight w:val="none"/>
        </w:rPr>
        <w:t>（格式自拟）</w:t>
      </w:r>
      <w:bookmarkEnd w:id="444"/>
      <w:bookmarkEnd w:id="445"/>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一</w:t>
      </w:r>
      <w:r>
        <w:rPr>
          <w:rFonts w:hint="eastAsia" w:ascii="宋体" w:hAnsi="宋体" w:cs="宋体"/>
          <w:b/>
          <w:bCs/>
          <w:color w:val="auto"/>
          <w:sz w:val="32"/>
          <w:szCs w:val="32"/>
          <w:highlight w:val="none"/>
        </w:rPr>
        <w:t>、服务</w:t>
      </w:r>
      <w:r>
        <w:rPr>
          <w:rFonts w:hint="eastAsia" w:ascii="宋体" w:hAnsi="宋体" w:cs="宋体"/>
          <w:b/>
          <w:bCs/>
          <w:color w:val="auto"/>
          <w:sz w:val="32"/>
          <w:szCs w:val="32"/>
          <w:highlight w:val="none"/>
          <w:lang w:val="en-US" w:eastAsia="zh-CN"/>
        </w:rPr>
        <w:t>承诺</w:t>
      </w:r>
    </w:p>
    <w:p>
      <w:pPr>
        <w:spacing w:line="480" w:lineRule="auto"/>
        <w:jc w:val="center"/>
        <w:rPr>
          <w:rFonts w:ascii="宋体" w:hAnsi="宋体" w:cs="宋体"/>
          <w:b/>
          <w:bCs/>
          <w:color w:val="auto"/>
          <w:sz w:val="24"/>
          <w:szCs w:val="32"/>
          <w:highlight w:val="none"/>
        </w:rPr>
      </w:pPr>
    </w:p>
    <w:p>
      <w:pPr>
        <w:spacing w:beforeLines="100" w:afterLines="5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（格式自拟）</w:t>
      </w:r>
    </w:p>
    <w:p>
      <w:pPr>
        <w:pStyle w:val="53"/>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十二、其他材料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1.拒绝列入政府取消投标资格记录期间的企业或个人投标，投标人提供由法人签字并加盖公章的承诺书；</w:t>
      </w:r>
    </w:p>
    <w:p>
      <w:pPr>
        <w:pStyle w:val="2"/>
        <w:ind w:firstLine="400"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2.投标人须知前附表规定的其他材料。</w:t>
      </w:r>
    </w:p>
    <w:sectPr>
      <w:headerReference r:id="rId9" w:type="default"/>
      <w:footerReference r:id="rId10" w:type="default"/>
      <w:pgSz w:w="11906" w:h="16838"/>
      <w:pgMar w:top="1418" w:right="1134"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1" w:csb1="00000000"/>
  </w:font>
  <w:font w:name="BatangChe">
    <w:altName w:val="Malgun Gothic"/>
    <w:panose1 w:val="02030609000101010101"/>
    <w:charset w:val="81"/>
    <w:family w:val="auto"/>
    <w:pitch w:val="default"/>
    <w:sig w:usb0="00000000" w:usb1="00000000" w:usb2="00000030" w:usb3="00000000" w:csb0="4008009F" w:csb1="DFD70000"/>
  </w:font>
  <w:font w:name="??">
    <w:altName w:val="Times New Roman"/>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21"/>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21"/>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621"/>
        <w:tab w:val="clear" w:pos="4153"/>
        <w:tab w:val="clear" w:pos="8306"/>
      </w:tabs>
    </w:pP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ascii="Times New Roman" w:hAnsi="Times New Roman" w:eastAsia="宋体" w:cs="Times New Roman"/>
        <w:kern w:val="2"/>
        <w:sz w:val="18"/>
        <w:szCs w:val="18"/>
        <w:lang w:val="en-US" w:eastAsia="zh-CN" w:bidi="ar-SA"/>
      </w:rPr>
      <w:pict>
        <v:rect id="文本框 3"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ascii="Times New Roman" w:hAnsi="Times New Roman" w:eastAsia="宋体" w:cs="Times New Roman"/>
        <w:kern w:val="2"/>
        <w:sz w:val="18"/>
        <w:szCs w:val="18"/>
        <w:lang w:val="en-US" w:eastAsia="zh-CN" w:bidi="ar-SA"/>
      </w:rPr>
      <w:pict>
        <v:rect id="文本框 4" o:spid="_x0000_s4098"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ascii="Times New Roman" w:hAnsi="Times New Roman" w:eastAsia="宋体" w:cs="Times New Roman"/>
        <w:kern w:val="2"/>
        <w:sz w:val="18"/>
        <w:szCs w:val="18"/>
        <w:lang w:val="en-US" w:eastAsia="zh-CN" w:bidi="ar-SA"/>
      </w:rPr>
      <w:pict>
        <v:rect id="文本框 5" o:spid="_x0000_s4099" o:spt="1"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44BEA"/>
    <w:multiLevelType w:val="singleLevel"/>
    <w:tmpl w:val="9E144BEA"/>
    <w:lvl w:ilvl="0" w:tentative="0">
      <w:start w:val="2"/>
      <w:numFmt w:val="decimal"/>
      <w:suff w:val="nothing"/>
      <w:lvlText w:val="（%1）"/>
      <w:lvlJc w:val="left"/>
    </w:lvl>
  </w:abstractNum>
  <w:abstractNum w:abstractNumId="1">
    <w:nsid w:val="9FDB3F0B"/>
    <w:multiLevelType w:val="singleLevel"/>
    <w:tmpl w:val="9FDB3F0B"/>
    <w:lvl w:ilvl="0" w:tentative="0">
      <w:start w:val="5"/>
      <w:numFmt w:val="chineseCounting"/>
      <w:suff w:val="space"/>
      <w:lvlText w:val="第%1章"/>
      <w:lvlJc w:val="left"/>
      <w:rPr>
        <w:rFonts w:hint="eastAsia"/>
      </w:rPr>
    </w:lvl>
  </w:abstractNum>
  <w:abstractNum w:abstractNumId="2">
    <w:nsid w:val="00000001"/>
    <w:multiLevelType w:val="singleLevel"/>
    <w:tmpl w:val="00000001"/>
    <w:lvl w:ilvl="0" w:tentative="0">
      <w:start w:val="1"/>
      <w:numFmt w:val="decimal"/>
      <w:pStyle w:val="80"/>
      <w:suff w:val="nothing"/>
      <w:lvlText w:val="%1、"/>
      <w:lvlJc w:val="left"/>
    </w:lvl>
  </w:abstractNum>
  <w:abstractNum w:abstractNumId="3">
    <w:nsid w:val="54326D73"/>
    <w:multiLevelType w:val="singleLevel"/>
    <w:tmpl w:val="54326D73"/>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1OTYzM2JmOGQ2NTZkODkwOWY2Mjc5MTkwMmIzNjMifQ=="/>
    <w:docVar w:name="KSO_WPS_MARK_KEY" w:val="85022b53-1131-410e-b399-9bfe5759e12f"/>
  </w:docVars>
  <w:rsids>
    <w:rsidRoot w:val="00000000"/>
    <w:rsid w:val="00215F7D"/>
    <w:rsid w:val="002B0096"/>
    <w:rsid w:val="003C5E55"/>
    <w:rsid w:val="009832AA"/>
    <w:rsid w:val="00C1697C"/>
    <w:rsid w:val="00D16BAF"/>
    <w:rsid w:val="01020292"/>
    <w:rsid w:val="01242BEC"/>
    <w:rsid w:val="012B1E08"/>
    <w:rsid w:val="01504CEC"/>
    <w:rsid w:val="019B4D77"/>
    <w:rsid w:val="019F3810"/>
    <w:rsid w:val="01E1139B"/>
    <w:rsid w:val="01E71EBB"/>
    <w:rsid w:val="01F0355E"/>
    <w:rsid w:val="02430006"/>
    <w:rsid w:val="028A3138"/>
    <w:rsid w:val="02AD49EA"/>
    <w:rsid w:val="02DA018C"/>
    <w:rsid w:val="02E3314E"/>
    <w:rsid w:val="02F7260F"/>
    <w:rsid w:val="02F86CE7"/>
    <w:rsid w:val="030157D3"/>
    <w:rsid w:val="033B697F"/>
    <w:rsid w:val="036B7036"/>
    <w:rsid w:val="037E78DB"/>
    <w:rsid w:val="039F47C6"/>
    <w:rsid w:val="03B91B2D"/>
    <w:rsid w:val="03B9676F"/>
    <w:rsid w:val="03D41282"/>
    <w:rsid w:val="03FB4F40"/>
    <w:rsid w:val="040D2D87"/>
    <w:rsid w:val="041147DF"/>
    <w:rsid w:val="0452229F"/>
    <w:rsid w:val="045B28E7"/>
    <w:rsid w:val="04780CBD"/>
    <w:rsid w:val="049031F8"/>
    <w:rsid w:val="04A66578"/>
    <w:rsid w:val="04C10E1A"/>
    <w:rsid w:val="04C22487"/>
    <w:rsid w:val="04D62B8A"/>
    <w:rsid w:val="04DE1B42"/>
    <w:rsid w:val="050A0688"/>
    <w:rsid w:val="050C0AD0"/>
    <w:rsid w:val="05183DDF"/>
    <w:rsid w:val="053251AE"/>
    <w:rsid w:val="053B4F8F"/>
    <w:rsid w:val="05511F36"/>
    <w:rsid w:val="05A14F91"/>
    <w:rsid w:val="05B9052D"/>
    <w:rsid w:val="05EF6895"/>
    <w:rsid w:val="061F4F79"/>
    <w:rsid w:val="062C6593"/>
    <w:rsid w:val="068154EF"/>
    <w:rsid w:val="06D002D6"/>
    <w:rsid w:val="06DC3C87"/>
    <w:rsid w:val="06EC66E0"/>
    <w:rsid w:val="0713651D"/>
    <w:rsid w:val="07170777"/>
    <w:rsid w:val="074F3F31"/>
    <w:rsid w:val="075C6911"/>
    <w:rsid w:val="07884585"/>
    <w:rsid w:val="078E31EE"/>
    <w:rsid w:val="07C52B6D"/>
    <w:rsid w:val="07F41631"/>
    <w:rsid w:val="081A5A75"/>
    <w:rsid w:val="08221ECB"/>
    <w:rsid w:val="08390D48"/>
    <w:rsid w:val="08541086"/>
    <w:rsid w:val="08A77D68"/>
    <w:rsid w:val="08A84AB0"/>
    <w:rsid w:val="08B1665F"/>
    <w:rsid w:val="08E7715F"/>
    <w:rsid w:val="08F05A07"/>
    <w:rsid w:val="08F50717"/>
    <w:rsid w:val="090B0DD5"/>
    <w:rsid w:val="09415C71"/>
    <w:rsid w:val="095956B0"/>
    <w:rsid w:val="0962483A"/>
    <w:rsid w:val="09BE45FC"/>
    <w:rsid w:val="09C93776"/>
    <w:rsid w:val="09D108DF"/>
    <w:rsid w:val="09E463B3"/>
    <w:rsid w:val="09F92ABD"/>
    <w:rsid w:val="09FB0B85"/>
    <w:rsid w:val="0A0442A1"/>
    <w:rsid w:val="0A095CAD"/>
    <w:rsid w:val="0A0E360B"/>
    <w:rsid w:val="0A2224DE"/>
    <w:rsid w:val="0A231B1F"/>
    <w:rsid w:val="0A291010"/>
    <w:rsid w:val="0A3A624C"/>
    <w:rsid w:val="0A685824"/>
    <w:rsid w:val="0A7E1708"/>
    <w:rsid w:val="0A804192"/>
    <w:rsid w:val="0ADA341F"/>
    <w:rsid w:val="0B0C0C98"/>
    <w:rsid w:val="0B187319"/>
    <w:rsid w:val="0B215C03"/>
    <w:rsid w:val="0B795B2B"/>
    <w:rsid w:val="0B8D72C9"/>
    <w:rsid w:val="0BA662DF"/>
    <w:rsid w:val="0BAB44B6"/>
    <w:rsid w:val="0BB27EF8"/>
    <w:rsid w:val="0BB84F4E"/>
    <w:rsid w:val="0BC656E9"/>
    <w:rsid w:val="0BEA7953"/>
    <w:rsid w:val="0BFD6F1B"/>
    <w:rsid w:val="0C550884"/>
    <w:rsid w:val="0C74048D"/>
    <w:rsid w:val="0C85646A"/>
    <w:rsid w:val="0C9C56BA"/>
    <w:rsid w:val="0CAA279E"/>
    <w:rsid w:val="0CB57D80"/>
    <w:rsid w:val="0CEC1B44"/>
    <w:rsid w:val="0CF3287E"/>
    <w:rsid w:val="0D233443"/>
    <w:rsid w:val="0D283C71"/>
    <w:rsid w:val="0D5D14E7"/>
    <w:rsid w:val="0D6224F9"/>
    <w:rsid w:val="0D68796A"/>
    <w:rsid w:val="0DF04D08"/>
    <w:rsid w:val="0E086F0F"/>
    <w:rsid w:val="0E185582"/>
    <w:rsid w:val="0EA44668"/>
    <w:rsid w:val="0EBE7BE3"/>
    <w:rsid w:val="0ED43A8A"/>
    <w:rsid w:val="0EDE2764"/>
    <w:rsid w:val="0F2D691B"/>
    <w:rsid w:val="0F3634C6"/>
    <w:rsid w:val="0F442A89"/>
    <w:rsid w:val="0F4E04FA"/>
    <w:rsid w:val="0F505079"/>
    <w:rsid w:val="0F5B39EA"/>
    <w:rsid w:val="100F6A5E"/>
    <w:rsid w:val="10245DFE"/>
    <w:rsid w:val="10246EEB"/>
    <w:rsid w:val="107D7170"/>
    <w:rsid w:val="108E614A"/>
    <w:rsid w:val="1094736E"/>
    <w:rsid w:val="10DB3584"/>
    <w:rsid w:val="10EA3E7A"/>
    <w:rsid w:val="10EC6CE2"/>
    <w:rsid w:val="10F90377"/>
    <w:rsid w:val="110123AA"/>
    <w:rsid w:val="1108269E"/>
    <w:rsid w:val="111F7DDE"/>
    <w:rsid w:val="1140082C"/>
    <w:rsid w:val="114934D7"/>
    <w:rsid w:val="117F2C69"/>
    <w:rsid w:val="11CE38D9"/>
    <w:rsid w:val="11D92A0A"/>
    <w:rsid w:val="11E6133E"/>
    <w:rsid w:val="121054B2"/>
    <w:rsid w:val="126F6D0F"/>
    <w:rsid w:val="12822C52"/>
    <w:rsid w:val="128329C9"/>
    <w:rsid w:val="128503FB"/>
    <w:rsid w:val="12922304"/>
    <w:rsid w:val="1299771C"/>
    <w:rsid w:val="12C143D8"/>
    <w:rsid w:val="12D271B9"/>
    <w:rsid w:val="12DE7825"/>
    <w:rsid w:val="12FD7310"/>
    <w:rsid w:val="13120B96"/>
    <w:rsid w:val="134B5D03"/>
    <w:rsid w:val="1371541B"/>
    <w:rsid w:val="13735315"/>
    <w:rsid w:val="13842E7F"/>
    <w:rsid w:val="13880DDB"/>
    <w:rsid w:val="13984E25"/>
    <w:rsid w:val="13C03415"/>
    <w:rsid w:val="13E83022"/>
    <w:rsid w:val="13F35CA8"/>
    <w:rsid w:val="140212AC"/>
    <w:rsid w:val="141915F0"/>
    <w:rsid w:val="14294BBD"/>
    <w:rsid w:val="143F42F3"/>
    <w:rsid w:val="14453177"/>
    <w:rsid w:val="145B4441"/>
    <w:rsid w:val="14740738"/>
    <w:rsid w:val="147A30CB"/>
    <w:rsid w:val="147F41FD"/>
    <w:rsid w:val="149504D8"/>
    <w:rsid w:val="14BF4060"/>
    <w:rsid w:val="14D638E6"/>
    <w:rsid w:val="151555DF"/>
    <w:rsid w:val="15205A68"/>
    <w:rsid w:val="152C18F0"/>
    <w:rsid w:val="15344DEA"/>
    <w:rsid w:val="1535138F"/>
    <w:rsid w:val="15517ACD"/>
    <w:rsid w:val="158F2E59"/>
    <w:rsid w:val="15CA1CEF"/>
    <w:rsid w:val="162E185C"/>
    <w:rsid w:val="163568FE"/>
    <w:rsid w:val="166F5CC7"/>
    <w:rsid w:val="168626AD"/>
    <w:rsid w:val="168D5A01"/>
    <w:rsid w:val="169D4E3C"/>
    <w:rsid w:val="16A51615"/>
    <w:rsid w:val="16B23ACF"/>
    <w:rsid w:val="16BD7918"/>
    <w:rsid w:val="16C15361"/>
    <w:rsid w:val="171E2F66"/>
    <w:rsid w:val="173F2C2F"/>
    <w:rsid w:val="175C3297"/>
    <w:rsid w:val="1784599F"/>
    <w:rsid w:val="17943644"/>
    <w:rsid w:val="17A410DD"/>
    <w:rsid w:val="17AB5634"/>
    <w:rsid w:val="182A458E"/>
    <w:rsid w:val="1849306D"/>
    <w:rsid w:val="184D38D6"/>
    <w:rsid w:val="188106E0"/>
    <w:rsid w:val="18E7387E"/>
    <w:rsid w:val="190E3653"/>
    <w:rsid w:val="192D4CAB"/>
    <w:rsid w:val="193F7DA5"/>
    <w:rsid w:val="19636D60"/>
    <w:rsid w:val="19A073B7"/>
    <w:rsid w:val="19AD5394"/>
    <w:rsid w:val="1A055CE3"/>
    <w:rsid w:val="1A0A6060"/>
    <w:rsid w:val="1A447D52"/>
    <w:rsid w:val="1A776272"/>
    <w:rsid w:val="1A840D33"/>
    <w:rsid w:val="1A9B54C3"/>
    <w:rsid w:val="1AE04B30"/>
    <w:rsid w:val="1AED105B"/>
    <w:rsid w:val="1B1E59C2"/>
    <w:rsid w:val="1B2B1A1F"/>
    <w:rsid w:val="1B4137BB"/>
    <w:rsid w:val="1B41399F"/>
    <w:rsid w:val="1B4C65F7"/>
    <w:rsid w:val="1B9C3FBB"/>
    <w:rsid w:val="1BC01966"/>
    <w:rsid w:val="1BCD17F2"/>
    <w:rsid w:val="1C2F390D"/>
    <w:rsid w:val="1C8F541D"/>
    <w:rsid w:val="1C9378D2"/>
    <w:rsid w:val="1CAD27EA"/>
    <w:rsid w:val="1CB33B4F"/>
    <w:rsid w:val="1CC87442"/>
    <w:rsid w:val="1CFB25BD"/>
    <w:rsid w:val="1D067946"/>
    <w:rsid w:val="1D202CFD"/>
    <w:rsid w:val="1D21326B"/>
    <w:rsid w:val="1D27172A"/>
    <w:rsid w:val="1D337A49"/>
    <w:rsid w:val="1D3757CA"/>
    <w:rsid w:val="1DC82D8B"/>
    <w:rsid w:val="1DD26DCC"/>
    <w:rsid w:val="1E012646"/>
    <w:rsid w:val="1E171A78"/>
    <w:rsid w:val="1E433C95"/>
    <w:rsid w:val="1E6E463B"/>
    <w:rsid w:val="1E77592F"/>
    <w:rsid w:val="1E94726E"/>
    <w:rsid w:val="1EAE0268"/>
    <w:rsid w:val="1EE46998"/>
    <w:rsid w:val="1EFC2B9C"/>
    <w:rsid w:val="1F1E4BE0"/>
    <w:rsid w:val="1F34016A"/>
    <w:rsid w:val="1F3B0C44"/>
    <w:rsid w:val="1F5F2BF4"/>
    <w:rsid w:val="1F8E3399"/>
    <w:rsid w:val="1F9C6714"/>
    <w:rsid w:val="1FA87832"/>
    <w:rsid w:val="1FAD6B2F"/>
    <w:rsid w:val="20342D59"/>
    <w:rsid w:val="204F4AC8"/>
    <w:rsid w:val="205F5538"/>
    <w:rsid w:val="206F2287"/>
    <w:rsid w:val="207539FE"/>
    <w:rsid w:val="20755B5E"/>
    <w:rsid w:val="211F4783"/>
    <w:rsid w:val="212B5071"/>
    <w:rsid w:val="212E5FED"/>
    <w:rsid w:val="21720EE3"/>
    <w:rsid w:val="218D357A"/>
    <w:rsid w:val="21B26787"/>
    <w:rsid w:val="21B52474"/>
    <w:rsid w:val="21BA28AF"/>
    <w:rsid w:val="21C455E9"/>
    <w:rsid w:val="21F83CDD"/>
    <w:rsid w:val="221D4119"/>
    <w:rsid w:val="22661CA8"/>
    <w:rsid w:val="228B472E"/>
    <w:rsid w:val="228E5036"/>
    <w:rsid w:val="22B968F5"/>
    <w:rsid w:val="231E1C7D"/>
    <w:rsid w:val="233E38A0"/>
    <w:rsid w:val="2365169B"/>
    <w:rsid w:val="236D6760"/>
    <w:rsid w:val="238B794B"/>
    <w:rsid w:val="238D2923"/>
    <w:rsid w:val="2396154B"/>
    <w:rsid w:val="239D57E6"/>
    <w:rsid w:val="23C42174"/>
    <w:rsid w:val="23D7071D"/>
    <w:rsid w:val="24112857"/>
    <w:rsid w:val="241C1A37"/>
    <w:rsid w:val="24320724"/>
    <w:rsid w:val="248F0FFF"/>
    <w:rsid w:val="24E6131E"/>
    <w:rsid w:val="24FD2C70"/>
    <w:rsid w:val="25097AA2"/>
    <w:rsid w:val="251B01BA"/>
    <w:rsid w:val="253A67B5"/>
    <w:rsid w:val="25463DB6"/>
    <w:rsid w:val="25482797"/>
    <w:rsid w:val="257A77C6"/>
    <w:rsid w:val="259816B2"/>
    <w:rsid w:val="259A59C5"/>
    <w:rsid w:val="25B4475A"/>
    <w:rsid w:val="25BF4AA5"/>
    <w:rsid w:val="25E02577"/>
    <w:rsid w:val="26253DC4"/>
    <w:rsid w:val="262865A5"/>
    <w:rsid w:val="26467763"/>
    <w:rsid w:val="26613111"/>
    <w:rsid w:val="26995DB6"/>
    <w:rsid w:val="26F10379"/>
    <w:rsid w:val="27065399"/>
    <w:rsid w:val="27071F8D"/>
    <w:rsid w:val="27076AAF"/>
    <w:rsid w:val="272D0F38"/>
    <w:rsid w:val="274426F8"/>
    <w:rsid w:val="2759280A"/>
    <w:rsid w:val="275A1987"/>
    <w:rsid w:val="275C7131"/>
    <w:rsid w:val="27D77155"/>
    <w:rsid w:val="27FC69D4"/>
    <w:rsid w:val="28046899"/>
    <w:rsid w:val="28303D5C"/>
    <w:rsid w:val="2831395F"/>
    <w:rsid w:val="28445BD1"/>
    <w:rsid w:val="284B0E9E"/>
    <w:rsid w:val="284E504F"/>
    <w:rsid w:val="287B2CC6"/>
    <w:rsid w:val="289B64B7"/>
    <w:rsid w:val="2925720D"/>
    <w:rsid w:val="2929003F"/>
    <w:rsid w:val="293C560D"/>
    <w:rsid w:val="295F112E"/>
    <w:rsid w:val="295F1B95"/>
    <w:rsid w:val="29B40B50"/>
    <w:rsid w:val="29C83207"/>
    <w:rsid w:val="2A1C0F07"/>
    <w:rsid w:val="2A43753D"/>
    <w:rsid w:val="2A5F4797"/>
    <w:rsid w:val="2A8B0493"/>
    <w:rsid w:val="2AC04A77"/>
    <w:rsid w:val="2AC910E7"/>
    <w:rsid w:val="2AE87869"/>
    <w:rsid w:val="2AF80CBD"/>
    <w:rsid w:val="2B0D3331"/>
    <w:rsid w:val="2B474649"/>
    <w:rsid w:val="2B7F3BE2"/>
    <w:rsid w:val="2BAC6CEB"/>
    <w:rsid w:val="2BBB68E9"/>
    <w:rsid w:val="2BE5280E"/>
    <w:rsid w:val="2C195672"/>
    <w:rsid w:val="2C2271AA"/>
    <w:rsid w:val="2C343D86"/>
    <w:rsid w:val="2C507252"/>
    <w:rsid w:val="2C78716F"/>
    <w:rsid w:val="2C90107E"/>
    <w:rsid w:val="2CA9534D"/>
    <w:rsid w:val="2CC516D8"/>
    <w:rsid w:val="2CDE1510"/>
    <w:rsid w:val="2CFB0987"/>
    <w:rsid w:val="2CFD5433"/>
    <w:rsid w:val="2D0D45D8"/>
    <w:rsid w:val="2DA430A8"/>
    <w:rsid w:val="2DAA2654"/>
    <w:rsid w:val="2DAC5BF8"/>
    <w:rsid w:val="2DCD08FD"/>
    <w:rsid w:val="2DD578CA"/>
    <w:rsid w:val="2E2E0028"/>
    <w:rsid w:val="2E2F2D17"/>
    <w:rsid w:val="2E366A7F"/>
    <w:rsid w:val="2E456412"/>
    <w:rsid w:val="2E5639AB"/>
    <w:rsid w:val="2E6079F0"/>
    <w:rsid w:val="2EEF6FE2"/>
    <w:rsid w:val="2F0D2F5E"/>
    <w:rsid w:val="2F125728"/>
    <w:rsid w:val="2F2122DD"/>
    <w:rsid w:val="2F3C6D7D"/>
    <w:rsid w:val="2F68703E"/>
    <w:rsid w:val="2F814B25"/>
    <w:rsid w:val="2F9037FD"/>
    <w:rsid w:val="302169F9"/>
    <w:rsid w:val="30674654"/>
    <w:rsid w:val="30823231"/>
    <w:rsid w:val="30A83B2E"/>
    <w:rsid w:val="30AB2F01"/>
    <w:rsid w:val="30F110F8"/>
    <w:rsid w:val="31193D53"/>
    <w:rsid w:val="313C3C3D"/>
    <w:rsid w:val="316764A9"/>
    <w:rsid w:val="31863107"/>
    <w:rsid w:val="319855D6"/>
    <w:rsid w:val="31F84F28"/>
    <w:rsid w:val="32041E3D"/>
    <w:rsid w:val="3252452B"/>
    <w:rsid w:val="326276D3"/>
    <w:rsid w:val="3273368E"/>
    <w:rsid w:val="327D7498"/>
    <w:rsid w:val="328270AE"/>
    <w:rsid w:val="32953FBF"/>
    <w:rsid w:val="331D4AFC"/>
    <w:rsid w:val="33464345"/>
    <w:rsid w:val="336C3A64"/>
    <w:rsid w:val="33777714"/>
    <w:rsid w:val="337B35C1"/>
    <w:rsid w:val="33A204A1"/>
    <w:rsid w:val="33A75459"/>
    <w:rsid w:val="33C54F89"/>
    <w:rsid w:val="33D2537A"/>
    <w:rsid w:val="33D53ED4"/>
    <w:rsid w:val="33DF5C30"/>
    <w:rsid w:val="33ED2351"/>
    <w:rsid w:val="3440276D"/>
    <w:rsid w:val="34586FDF"/>
    <w:rsid w:val="347F3EA1"/>
    <w:rsid w:val="34A331A7"/>
    <w:rsid w:val="34B45682"/>
    <w:rsid w:val="34BD14B3"/>
    <w:rsid w:val="34C220CC"/>
    <w:rsid w:val="34EE524E"/>
    <w:rsid w:val="3506121B"/>
    <w:rsid w:val="352C39E1"/>
    <w:rsid w:val="354107EC"/>
    <w:rsid w:val="354457B6"/>
    <w:rsid w:val="354A5A81"/>
    <w:rsid w:val="354E7ED7"/>
    <w:rsid w:val="359F49C9"/>
    <w:rsid w:val="35A859E5"/>
    <w:rsid w:val="35B56250"/>
    <w:rsid w:val="35F1275D"/>
    <w:rsid w:val="36054158"/>
    <w:rsid w:val="363B1EBF"/>
    <w:rsid w:val="363C2365"/>
    <w:rsid w:val="369D74F6"/>
    <w:rsid w:val="36A20F36"/>
    <w:rsid w:val="36A35128"/>
    <w:rsid w:val="36B4597E"/>
    <w:rsid w:val="36ED6316"/>
    <w:rsid w:val="37307BB2"/>
    <w:rsid w:val="375241BA"/>
    <w:rsid w:val="37597A3E"/>
    <w:rsid w:val="37697E92"/>
    <w:rsid w:val="377554E6"/>
    <w:rsid w:val="379119D9"/>
    <w:rsid w:val="37A614C6"/>
    <w:rsid w:val="37A63BC6"/>
    <w:rsid w:val="37A92245"/>
    <w:rsid w:val="37EF778A"/>
    <w:rsid w:val="37FA5CA2"/>
    <w:rsid w:val="38004198"/>
    <w:rsid w:val="382E6DD1"/>
    <w:rsid w:val="3832209A"/>
    <w:rsid w:val="383F0A46"/>
    <w:rsid w:val="389D73F6"/>
    <w:rsid w:val="38AF2B68"/>
    <w:rsid w:val="38F64AC0"/>
    <w:rsid w:val="38F75CBF"/>
    <w:rsid w:val="390F073F"/>
    <w:rsid w:val="39164A77"/>
    <w:rsid w:val="392B23DF"/>
    <w:rsid w:val="394A00E8"/>
    <w:rsid w:val="39810025"/>
    <w:rsid w:val="39845606"/>
    <w:rsid w:val="39B00F8B"/>
    <w:rsid w:val="39BA501D"/>
    <w:rsid w:val="39BA5820"/>
    <w:rsid w:val="39C77348"/>
    <w:rsid w:val="39FE1632"/>
    <w:rsid w:val="3A00555A"/>
    <w:rsid w:val="3A340360"/>
    <w:rsid w:val="3A6B1003"/>
    <w:rsid w:val="3A790A97"/>
    <w:rsid w:val="3A7A4E2F"/>
    <w:rsid w:val="3ABC7B9C"/>
    <w:rsid w:val="3ACE5259"/>
    <w:rsid w:val="3AEA2EBD"/>
    <w:rsid w:val="3B8B5ECC"/>
    <w:rsid w:val="3B946552"/>
    <w:rsid w:val="3B994EA0"/>
    <w:rsid w:val="3BA12C37"/>
    <w:rsid w:val="3BC50E6A"/>
    <w:rsid w:val="3BC918A1"/>
    <w:rsid w:val="3BCF4C04"/>
    <w:rsid w:val="3BD9641A"/>
    <w:rsid w:val="3C0C1247"/>
    <w:rsid w:val="3C113F13"/>
    <w:rsid w:val="3C1961E5"/>
    <w:rsid w:val="3C1D585F"/>
    <w:rsid w:val="3C273218"/>
    <w:rsid w:val="3C52023F"/>
    <w:rsid w:val="3C5B5DB5"/>
    <w:rsid w:val="3C815A0E"/>
    <w:rsid w:val="3CA00B00"/>
    <w:rsid w:val="3CD27D32"/>
    <w:rsid w:val="3CD37E67"/>
    <w:rsid w:val="3CD4773D"/>
    <w:rsid w:val="3CE546AE"/>
    <w:rsid w:val="3D227F00"/>
    <w:rsid w:val="3D357B33"/>
    <w:rsid w:val="3D390C03"/>
    <w:rsid w:val="3D424938"/>
    <w:rsid w:val="3D45031D"/>
    <w:rsid w:val="3D4974D9"/>
    <w:rsid w:val="3D7F647E"/>
    <w:rsid w:val="3DA66112"/>
    <w:rsid w:val="3DC96858"/>
    <w:rsid w:val="3DDE2B0E"/>
    <w:rsid w:val="3DF23817"/>
    <w:rsid w:val="3E15343D"/>
    <w:rsid w:val="3E1A7C25"/>
    <w:rsid w:val="3E2231EC"/>
    <w:rsid w:val="3E2D650C"/>
    <w:rsid w:val="3E391B71"/>
    <w:rsid w:val="3EC36A11"/>
    <w:rsid w:val="3ED57128"/>
    <w:rsid w:val="3EF86EFC"/>
    <w:rsid w:val="3F4B7882"/>
    <w:rsid w:val="3F5A7EDE"/>
    <w:rsid w:val="3F9742F6"/>
    <w:rsid w:val="3FA847A5"/>
    <w:rsid w:val="3FEA136F"/>
    <w:rsid w:val="402F7339"/>
    <w:rsid w:val="403B5B6A"/>
    <w:rsid w:val="40482952"/>
    <w:rsid w:val="40AA5894"/>
    <w:rsid w:val="410E42B7"/>
    <w:rsid w:val="4161647D"/>
    <w:rsid w:val="418F6912"/>
    <w:rsid w:val="41AD0068"/>
    <w:rsid w:val="41BB6B23"/>
    <w:rsid w:val="41D111E7"/>
    <w:rsid w:val="41E14569"/>
    <w:rsid w:val="42066FFE"/>
    <w:rsid w:val="421672F5"/>
    <w:rsid w:val="426A5FFD"/>
    <w:rsid w:val="426A7F92"/>
    <w:rsid w:val="427F321C"/>
    <w:rsid w:val="42AB6E74"/>
    <w:rsid w:val="42C6157A"/>
    <w:rsid w:val="42ED7C30"/>
    <w:rsid w:val="431972B5"/>
    <w:rsid w:val="4347472C"/>
    <w:rsid w:val="43525542"/>
    <w:rsid w:val="435A7497"/>
    <w:rsid w:val="43D26304"/>
    <w:rsid w:val="43D9356D"/>
    <w:rsid w:val="43EF2C46"/>
    <w:rsid w:val="442B1E4E"/>
    <w:rsid w:val="44370390"/>
    <w:rsid w:val="445B68F0"/>
    <w:rsid w:val="44632262"/>
    <w:rsid w:val="44AC6317"/>
    <w:rsid w:val="44AE3540"/>
    <w:rsid w:val="44BA6EFA"/>
    <w:rsid w:val="44D264EB"/>
    <w:rsid w:val="44E96513"/>
    <w:rsid w:val="450D62F4"/>
    <w:rsid w:val="45140198"/>
    <w:rsid w:val="45366CF2"/>
    <w:rsid w:val="456652D4"/>
    <w:rsid w:val="4574280F"/>
    <w:rsid w:val="45C920D3"/>
    <w:rsid w:val="45E82A59"/>
    <w:rsid w:val="45EC1BA4"/>
    <w:rsid w:val="46121146"/>
    <w:rsid w:val="46242262"/>
    <w:rsid w:val="46797F2F"/>
    <w:rsid w:val="467F6D94"/>
    <w:rsid w:val="46857368"/>
    <w:rsid w:val="46932F3D"/>
    <w:rsid w:val="46AB2BA1"/>
    <w:rsid w:val="46F82E19"/>
    <w:rsid w:val="47065582"/>
    <w:rsid w:val="472745EF"/>
    <w:rsid w:val="47532D4C"/>
    <w:rsid w:val="476F01EE"/>
    <w:rsid w:val="47833F1C"/>
    <w:rsid w:val="47855C1F"/>
    <w:rsid w:val="47AD3A10"/>
    <w:rsid w:val="47C350E9"/>
    <w:rsid w:val="47D136C4"/>
    <w:rsid w:val="47D5364B"/>
    <w:rsid w:val="47F113C4"/>
    <w:rsid w:val="48111527"/>
    <w:rsid w:val="481974C3"/>
    <w:rsid w:val="481B6082"/>
    <w:rsid w:val="481F400B"/>
    <w:rsid w:val="484216E1"/>
    <w:rsid w:val="488A2D20"/>
    <w:rsid w:val="48992C75"/>
    <w:rsid w:val="48BF45E9"/>
    <w:rsid w:val="48E84D79"/>
    <w:rsid w:val="48EA1D63"/>
    <w:rsid w:val="48F048A7"/>
    <w:rsid w:val="4902047F"/>
    <w:rsid w:val="490B145F"/>
    <w:rsid w:val="491674C7"/>
    <w:rsid w:val="493059DD"/>
    <w:rsid w:val="49335B6B"/>
    <w:rsid w:val="494C240A"/>
    <w:rsid w:val="49711B37"/>
    <w:rsid w:val="49A138E6"/>
    <w:rsid w:val="49F54D5A"/>
    <w:rsid w:val="4A77350A"/>
    <w:rsid w:val="4A804618"/>
    <w:rsid w:val="4A8C69E1"/>
    <w:rsid w:val="4AB5778C"/>
    <w:rsid w:val="4AB87EDF"/>
    <w:rsid w:val="4AC149B6"/>
    <w:rsid w:val="4AD97087"/>
    <w:rsid w:val="4AF16E81"/>
    <w:rsid w:val="4B061AF2"/>
    <w:rsid w:val="4B087C2A"/>
    <w:rsid w:val="4B0C1C9D"/>
    <w:rsid w:val="4B355173"/>
    <w:rsid w:val="4B3F63AB"/>
    <w:rsid w:val="4B553763"/>
    <w:rsid w:val="4B5C3C5F"/>
    <w:rsid w:val="4B810772"/>
    <w:rsid w:val="4BB35DAE"/>
    <w:rsid w:val="4BB6280F"/>
    <w:rsid w:val="4BCB7C3F"/>
    <w:rsid w:val="4BD917EC"/>
    <w:rsid w:val="4BE20621"/>
    <w:rsid w:val="4BF65DDA"/>
    <w:rsid w:val="4C031409"/>
    <w:rsid w:val="4CAF64AF"/>
    <w:rsid w:val="4D001A21"/>
    <w:rsid w:val="4D1A3418"/>
    <w:rsid w:val="4D2344FC"/>
    <w:rsid w:val="4D294A97"/>
    <w:rsid w:val="4D3569C2"/>
    <w:rsid w:val="4D43717E"/>
    <w:rsid w:val="4D4573DD"/>
    <w:rsid w:val="4D481548"/>
    <w:rsid w:val="4D522188"/>
    <w:rsid w:val="4D6E27A4"/>
    <w:rsid w:val="4D8D03A1"/>
    <w:rsid w:val="4DCD2039"/>
    <w:rsid w:val="4DD51516"/>
    <w:rsid w:val="4DE43429"/>
    <w:rsid w:val="4DE9351B"/>
    <w:rsid w:val="4DEA4BBC"/>
    <w:rsid w:val="4DFF56D8"/>
    <w:rsid w:val="4E373DC8"/>
    <w:rsid w:val="4E54572D"/>
    <w:rsid w:val="4E5D7B0C"/>
    <w:rsid w:val="4E5E1B20"/>
    <w:rsid w:val="4E651A09"/>
    <w:rsid w:val="4E656129"/>
    <w:rsid w:val="4E7766B2"/>
    <w:rsid w:val="4E912FEE"/>
    <w:rsid w:val="4E98790F"/>
    <w:rsid w:val="4E9D0580"/>
    <w:rsid w:val="4EAC5312"/>
    <w:rsid w:val="4F0F6D21"/>
    <w:rsid w:val="4F572882"/>
    <w:rsid w:val="4F6C2C52"/>
    <w:rsid w:val="4FA976A8"/>
    <w:rsid w:val="4FAB0BD5"/>
    <w:rsid w:val="4FE26A18"/>
    <w:rsid w:val="501527C8"/>
    <w:rsid w:val="502B6CCA"/>
    <w:rsid w:val="503C55AF"/>
    <w:rsid w:val="504B6B77"/>
    <w:rsid w:val="50720FC8"/>
    <w:rsid w:val="508D49E3"/>
    <w:rsid w:val="50B829F8"/>
    <w:rsid w:val="51112F5E"/>
    <w:rsid w:val="51D62273"/>
    <w:rsid w:val="522C27ED"/>
    <w:rsid w:val="523956D4"/>
    <w:rsid w:val="524664AC"/>
    <w:rsid w:val="524D4C64"/>
    <w:rsid w:val="528C6B90"/>
    <w:rsid w:val="529E42FF"/>
    <w:rsid w:val="52CA50F4"/>
    <w:rsid w:val="52D26F07"/>
    <w:rsid w:val="52EF3C4D"/>
    <w:rsid w:val="52F56717"/>
    <w:rsid w:val="530D4FE1"/>
    <w:rsid w:val="535F79C8"/>
    <w:rsid w:val="53692F40"/>
    <w:rsid w:val="536F66F8"/>
    <w:rsid w:val="53781CFF"/>
    <w:rsid w:val="53A62900"/>
    <w:rsid w:val="53C52A0C"/>
    <w:rsid w:val="53C57602"/>
    <w:rsid w:val="53EA24F3"/>
    <w:rsid w:val="543D5452"/>
    <w:rsid w:val="543F65B5"/>
    <w:rsid w:val="54AD7784"/>
    <w:rsid w:val="54B5099F"/>
    <w:rsid w:val="54B8088D"/>
    <w:rsid w:val="55314FB7"/>
    <w:rsid w:val="558A2257"/>
    <w:rsid w:val="55AE0C4A"/>
    <w:rsid w:val="55EB6D0E"/>
    <w:rsid w:val="55ED27DE"/>
    <w:rsid w:val="55FF28B2"/>
    <w:rsid w:val="562803B5"/>
    <w:rsid w:val="5628650F"/>
    <w:rsid w:val="5636452B"/>
    <w:rsid w:val="565C1769"/>
    <w:rsid w:val="56846CF5"/>
    <w:rsid w:val="56BB0900"/>
    <w:rsid w:val="56CC35F9"/>
    <w:rsid w:val="56FD3690"/>
    <w:rsid w:val="570F09A3"/>
    <w:rsid w:val="571B05DD"/>
    <w:rsid w:val="572C3160"/>
    <w:rsid w:val="573614F6"/>
    <w:rsid w:val="57495747"/>
    <w:rsid w:val="57743FAF"/>
    <w:rsid w:val="57AB7F08"/>
    <w:rsid w:val="57C531A8"/>
    <w:rsid w:val="57FD30D6"/>
    <w:rsid w:val="580F24DE"/>
    <w:rsid w:val="58312A08"/>
    <w:rsid w:val="584109BF"/>
    <w:rsid w:val="585C5D9D"/>
    <w:rsid w:val="58614B6C"/>
    <w:rsid w:val="58987A05"/>
    <w:rsid w:val="592227B9"/>
    <w:rsid w:val="593D5426"/>
    <w:rsid w:val="59773A20"/>
    <w:rsid w:val="5983475A"/>
    <w:rsid w:val="5986462F"/>
    <w:rsid w:val="599D7038"/>
    <w:rsid w:val="5A4362FA"/>
    <w:rsid w:val="5A692A60"/>
    <w:rsid w:val="5A843080"/>
    <w:rsid w:val="5A9B1124"/>
    <w:rsid w:val="5AD02006"/>
    <w:rsid w:val="5AE9690B"/>
    <w:rsid w:val="5AEF57FE"/>
    <w:rsid w:val="5AF06E07"/>
    <w:rsid w:val="5B8F56D5"/>
    <w:rsid w:val="5BAA17D9"/>
    <w:rsid w:val="5BBC138A"/>
    <w:rsid w:val="5C302A12"/>
    <w:rsid w:val="5C3D5CC0"/>
    <w:rsid w:val="5C405F84"/>
    <w:rsid w:val="5C6043D4"/>
    <w:rsid w:val="5C646B8E"/>
    <w:rsid w:val="5CB373AD"/>
    <w:rsid w:val="5CB91E4F"/>
    <w:rsid w:val="5CCB2F36"/>
    <w:rsid w:val="5CD252D1"/>
    <w:rsid w:val="5D22721B"/>
    <w:rsid w:val="5D267AA7"/>
    <w:rsid w:val="5D36040C"/>
    <w:rsid w:val="5D5D0C48"/>
    <w:rsid w:val="5D7F6870"/>
    <w:rsid w:val="5D9F2AEF"/>
    <w:rsid w:val="5DC00F91"/>
    <w:rsid w:val="5E190E5C"/>
    <w:rsid w:val="5E5553B2"/>
    <w:rsid w:val="5E7E41DB"/>
    <w:rsid w:val="5E995616"/>
    <w:rsid w:val="5EB33396"/>
    <w:rsid w:val="5EB90CD0"/>
    <w:rsid w:val="5EE95525"/>
    <w:rsid w:val="5EF57D8A"/>
    <w:rsid w:val="5F0B2604"/>
    <w:rsid w:val="5F306D05"/>
    <w:rsid w:val="5F691CCA"/>
    <w:rsid w:val="5F7907D7"/>
    <w:rsid w:val="5F8848B3"/>
    <w:rsid w:val="5F9939C9"/>
    <w:rsid w:val="5FDE62E0"/>
    <w:rsid w:val="60416AE7"/>
    <w:rsid w:val="604503AF"/>
    <w:rsid w:val="60727500"/>
    <w:rsid w:val="60792D97"/>
    <w:rsid w:val="607A16BF"/>
    <w:rsid w:val="60845A85"/>
    <w:rsid w:val="608D4713"/>
    <w:rsid w:val="60BA7D0F"/>
    <w:rsid w:val="60EE6EDB"/>
    <w:rsid w:val="60F244AB"/>
    <w:rsid w:val="610E1F44"/>
    <w:rsid w:val="613960B8"/>
    <w:rsid w:val="61CB6AEC"/>
    <w:rsid w:val="61D0136D"/>
    <w:rsid w:val="62190A12"/>
    <w:rsid w:val="621A567D"/>
    <w:rsid w:val="623A24D6"/>
    <w:rsid w:val="6253493F"/>
    <w:rsid w:val="628B190F"/>
    <w:rsid w:val="62E0477B"/>
    <w:rsid w:val="630125DB"/>
    <w:rsid w:val="63524851"/>
    <w:rsid w:val="637F3E60"/>
    <w:rsid w:val="63856CAD"/>
    <w:rsid w:val="63A02C34"/>
    <w:rsid w:val="63A96660"/>
    <w:rsid w:val="63D051DD"/>
    <w:rsid w:val="640546EE"/>
    <w:rsid w:val="64300C74"/>
    <w:rsid w:val="64357AE0"/>
    <w:rsid w:val="644A51B9"/>
    <w:rsid w:val="646B57FE"/>
    <w:rsid w:val="646E1229"/>
    <w:rsid w:val="646F31FC"/>
    <w:rsid w:val="648752FD"/>
    <w:rsid w:val="64C64FF0"/>
    <w:rsid w:val="64D44BC2"/>
    <w:rsid w:val="64DD1438"/>
    <w:rsid w:val="65306DC1"/>
    <w:rsid w:val="656427B6"/>
    <w:rsid w:val="657139C9"/>
    <w:rsid w:val="65861B4D"/>
    <w:rsid w:val="658C04C8"/>
    <w:rsid w:val="65951D7C"/>
    <w:rsid w:val="65A92FAC"/>
    <w:rsid w:val="65D64E22"/>
    <w:rsid w:val="65EE7148"/>
    <w:rsid w:val="660F3C8E"/>
    <w:rsid w:val="66112AFD"/>
    <w:rsid w:val="663012BB"/>
    <w:rsid w:val="665B1A75"/>
    <w:rsid w:val="668547DB"/>
    <w:rsid w:val="66A67B10"/>
    <w:rsid w:val="66AB3BFE"/>
    <w:rsid w:val="66CC4B69"/>
    <w:rsid w:val="66DC39BD"/>
    <w:rsid w:val="67113B88"/>
    <w:rsid w:val="671464E6"/>
    <w:rsid w:val="67285C7D"/>
    <w:rsid w:val="676D4252"/>
    <w:rsid w:val="676D685E"/>
    <w:rsid w:val="67905077"/>
    <w:rsid w:val="679954C7"/>
    <w:rsid w:val="679C0DC3"/>
    <w:rsid w:val="67B37A84"/>
    <w:rsid w:val="67BE70B0"/>
    <w:rsid w:val="67ED565C"/>
    <w:rsid w:val="680D0399"/>
    <w:rsid w:val="68736270"/>
    <w:rsid w:val="68AF2EEF"/>
    <w:rsid w:val="68C87139"/>
    <w:rsid w:val="69093C73"/>
    <w:rsid w:val="691D7812"/>
    <w:rsid w:val="69217564"/>
    <w:rsid w:val="69761C77"/>
    <w:rsid w:val="69925ECF"/>
    <w:rsid w:val="69936A84"/>
    <w:rsid w:val="699D2ADD"/>
    <w:rsid w:val="69B71D9A"/>
    <w:rsid w:val="6A4357D2"/>
    <w:rsid w:val="6A9B3042"/>
    <w:rsid w:val="6AB24A94"/>
    <w:rsid w:val="6ACB70CF"/>
    <w:rsid w:val="6AD62EA5"/>
    <w:rsid w:val="6ADD060C"/>
    <w:rsid w:val="6AED5DB3"/>
    <w:rsid w:val="6B1650C2"/>
    <w:rsid w:val="6B351EE2"/>
    <w:rsid w:val="6B5128DF"/>
    <w:rsid w:val="6B9956E7"/>
    <w:rsid w:val="6BA65845"/>
    <w:rsid w:val="6BD05A09"/>
    <w:rsid w:val="6BDA42E1"/>
    <w:rsid w:val="6BFF4B79"/>
    <w:rsid w:val="6C913EE7"/>
    <w:rsid w:val="6CA81E84"/>
    <w:rsid w:val="6CB26A67"/>
    <w:rsid w:val="6CBF04E1"/>
    <w:rsid w:val="6CC171B7"/>
    <w:rsid w:val="6CD36687"/>
    <w:rsid w:val="6CEF435A"/>
    <w:rsid w:val="6CF96069"/>
    <w:rsid w:val="6CFB2694"/>
    <w:rsid w:val="6D1B05CF"/>
    <w:rsid w:val="6D2C3CB4"/>
    <w:rsid w:val="6D480C98"/>
    <w:rsid w:val="6D566BFA"/>
    <w:rsid w:val="6D593A22"/>
    <w:rsid w:val="6D6858F4"/>
    <w:rsid w:val="6D881C3C"/>
    <w:rsid w:val="6D8968C5"/>
    <w:rsid w:val="6D8A6F2C"/>
    <w:rsid w:val="6DAB4D5D"/>
    <w:rsid w:val="6DCC274C"/>
    <w:rsid w:val="6E080427"/>
    <w:rsid w:val="6E1E1BDE"/>
    <w:rsid w:val="6E386D8C"/>
    <w:rsid w:val="6E5829DB"/>
    <w:rsid w:val="6E682916"/>
    <w:rsid w:val="6EBA6698"/>
    <w:rsid w:val="6EC149E7"/>
    <w:rsid w:val="6ED57005"/>
    <w:rsid w:val="6EE45F51"/>
    <w:rsid w:val="6EF36075"/>
    <w:rsid w:val="6F091E32"/>
    <w:rsid w:val="6F4436E1"/>
    <w:rsid w:val="6F7B35A7"/>
    <w:rsid w:val="6F8E24A0"/>
    <w:rsid w:val="6FDD60D1"/>
    <w:rsid w:val="700A0B94"/>
    <w:rsid w:val="70125015"/>
    <w:rsid w:val="705C586C"/>
    <w:rsid w:val="7065529F"/>
    <w:rsid w:val="706B50AE"/>
    <w:rsid w:val="706F66D2"/>
    <w:rsid w:val="706F783E"/>
    <w:rsid w:val="709854DE"/>
    <w:rsid w:val="70D474D2"/>
    <w:rsid w:val="713146A0"/>
    <w:rsid w:val="715253C1"/>
    <w:rsid w:val="71574A83"/>
    <w:rsid w:val="716F4BCB"/>
    <w:rsid w:val="71790C87"/>
    <w:rsid w:val="71A02F5F"/>
    <w:rsid w:val="71A55A8D"/>
    <w:rsid w:val="71CD3660"/>
    <w:rsid w:val="71CD3B75"/>
    <w:rsid w:val="71CE133B"/>
    <w:rsid w:val="71F118FE"/>
    <w:rsid w:val="721630E1"/>
    <w:rsid w:val="72295234"/>
    <w:rsid w:val="72350191"/>
    <w:rsid w:val="724D3FB9"/>
    <w:rsid w:val="72820B9E"/>
    <w:rsid w:val="728C58E0"/>
    <w:rsid w:val="72926FBA"/>
    <w:rsid w:val="7294623C"/>
    <w:rsid w:val="72F77B3D"/>
    <w:rsid w:val="72FD42D3"/>
    <w:rsid w:val="7304000F"/>
    <w:rsid w:val="733158DF"/>
    <w:rsid w:val="735C1F2E"/>
    <w:rsid w:val="736E6C33"/>
    <w:rsid w:val="7398738B"/>
    <w:rsid w:val="73BE1D12"/>
    <w:rsid w:val="73C5602B"/>
    <w:rsid w:val="73E83071"/>
    <w:rsid w:val="73EA389C"/>
    <w:rsid w:val="73F80DA0"/>
    <w:rsid w:val="742474B1"/>
    <w:rsid w:val="744228E5"/>
    <w:rsid w:val="74453F98"/>
    <w:rsid w:val="745352BE"/>
    <w:rsid w:val="746D236E"/>
    <w:rsid w:val="74704FAE"/>
    <w:rsid w:val="748A12D0"/>
    <w:rsid w:val="74AE7BD5"/>
    <w:rsid w:val="74C56974"/>
    <w:rsid w:val="74F8483E"/>
    <w:rsid w:val="75261CB4"/>
    <w:rsid w:val="7551456C"/>
    <w:rsid w:val="755C11AE"/>
    <w:rsid w:val="755D62AC"/>
    <w:rsid w:val="757C2E60"/>
    <w:rsid w:val="757D0CEB"/>
    <w:rsid w:val="758259ED"/>
    <w:rsid w:val="75BB42A9"/>
    <w:rsid w:val="75C36D42"/>
    <w:rsid w:val="75D13309"/>
    <w:rsid w:val="7610503B"/>
    <w:rsid w:val="763B25BF"/>
    <w:rsid w:val="767B1F72"/>
    <w:rsid w:val="768E10AA"/>
    <w:rsid w:val="76E27E63"/>
    <w:rsid w:val="76E40D9D"/>
    <w:rsid w:val="76ED3180"/>
    <w:rsid w:val="76FD33DE"/>
    <w:rsid w:val="77074096"/>
    <w:rsid w:val="770F6661"/>
    <w:rsid w:val="771A7177"/>
    <w:rsid w:val="772F00A5"/>
    <w:rsid w:val="774A385E"/>
    <w:rsid w:val="77543537"/>
    <w:rsid w:val="77587F61"/>
    <w:rsid w:val="77607680"/>
    <w:rsid w:val="77740C04"/>
    <w:rsid w:val="779517D4"/>
    <w:rsid w:val="779768D0"/>
    <w:rsid w:val="77A75C20"/>
    <w:rsid w:val="77A92C7B"/>
    <w:rsid w:val="77B5480F"/>
    <w:rsid w:val="77C40C3B"/>
    <w:rsid w:val="77CA3F70"/>
    <w:rsid w:val="784D0B0A"/>
    <w:rsid w:val="786D798B"/>
    <w:rsid w:val="78956130"/>
    <w:rsid w:val="789B6166"/>
    <w:rsid w:val="78AB0AE1"/>
    <w:rsid w:val="7931117A"/>
    <w:rsid w:val="793F0B24"/>
    <w:rsid w:val="794F1912"/>
    <w:rsid w:val="79610929"/>
    <w:rsid w:val="796D69D3"/>
    <w:rsid w:val="798E037A"/>
    <w:rsid w:val="79B56BDD"/>
    <w:rsid w:val="79CD0EA3"/>
    <w:rsid w:val="79F64118"/>
    <w:rsid w:val="7A3B7913"/>
    <w:rsid w:val="7A6027F5"/>
    <w:rsid w:val="7A780D18"/>
    <w:rsid w:val="7A99244D"/>
    <w:rsid w:val="7A9D633A"/>
    <w:rsid w:val="7AA162B2"/>
    <w:rsid w:val="7AB378AC"/>
    <w:rsid w:val="7AB64BAD"/>
    <w:rsid w:val="7AB71A09"/>
    <w:rsid w:val="7ABC6978"/>
    <w:rsid w:val="7AF430E1"/>
    <w:rsid w:val="7B085AFE"/>
    <w:rsid w:val="7B4A2114"/>
    <w:rsid w:val="7B60432E"/>
    <w:rsid w:val="7B753DB8"/>
    <w:rsid w:val="7B7D3E14"/>
    <w:rsid w:val="7B8C28C3"/>
    <w:rsid w:val="7BA13956"/>
    <w:rsid w:val="7BDB6862"/>
    <w:rsid w:val="7BF01496"/>
    <w:rsid w:val="7BF71BDE"/>
    <w:rsid w:val="7C096E3E"/>
    <w:rsid w:val="7CA22220"/>
    <w:rsid w:val="7CF75F9A"/>
    <w:rsid w:val="7D120AB3"/>
    <w:rsid w:val="7D8413F6"/>
    <w:rsid w:val="7D910BD1"/>
    <w:rsid w:val="7DC53465"/>
    <w:rsid w:val="7DC56649"/>
    <w:rsid w:val="7DD44C7A"/>
    <w:rsid w:val="7E007062"/>
    <w:rsid w:val="7E0F0B95"/>
    <w:rsid w:val="7E115BBF"/>
    <w:rsid w:val="7E315672"/>
    <w:rsid w:val="7E503EE2"/>
    <w:rsid w:val="7EB113CF"/>
    <w:rsid w:val="7ECA4241"/>
    <w:rsid w:val="7ECC664D"/>
    <w:rsid w:val="7ED72DAA"/>
    <w:rsid w:val="7EE837F5"/>
    <w:rsid w:val="7EF85A53"/>
    <w:rsid w:val="7F00043A"/>
    <w:rsid w:val="7F050B0D"/>
    <w:rsid w:val="7F0E6BA1"/>
    <w:rsid w:val="7F692E22"/>
    <w:rsid w:val="7F941AFD"/>
    <w:rsid w:val="7FB35E5A"/>
    <w:rsid w:val="7FBF34B4"/>
    <w:rsid w:val="7FDC36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3"/>
    <w:unhideWhenUsed/>
    <w:qFormat/>
    <w:uiPriority w:val="0"/>
    <w:pPr>
      <w:keepNext/>
      <w:keepLines/>
      <w:outlineLvl w:val="1"/>
    </w:pPr>
    <w:rPr>
      <w:rFonts w:ascii="Cambria" w:hAnsi="Cambria"/>
      <w:b/>
      <w:bCs/>
      <w:sz w:val="30"/>
      <w:szCs w:val="32"/>
    </w:rPr>
  </w:style>
  <w:style w:type="paragraph" w:styleId="5">
    <w:name w:val="heading 3"/>
    <w:basedOn w:val="1"/>
    <w:next w:val="1"/>
    <w:link w:val="84"/>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86"/>
    <w:unhideWhenUsed/>
    <w:qFormat/>
    <w:uiPriority w:val="0"/>
    <w:pPr>
      <w:keepNext/>
      <w:keepLines/>
      <w:spacing w:before="280" w:after="290" w:line="376" w:lineRule="auto"/>
      <w:outlineLvl w:val="3"/>
    </w:pPr>
    <w:rPr>
      <w:rFonts w:ascii="Cambria" w:hAnsi="Cambria" w:eastAsia="宋体" w:cs="黑体"/>
      <w:b/>
      <w:bCs/>
      <w:sz w:val="28"/>
      <w:szCs w:val="28"/>
    </w:rPr>
  </w:style>
  <w:style w:type="paragraph" w:styleId="7">
    <w:name w:val="heading 5"/>
    <w:basedOn w:val="1"/>
    <w:next w:val="1"/>
    <w:link w:val="8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09"/>
    <w:qFormat/>
    <w:uiPriority w:val="0"/>
    <w:pPr>
      <w:keepNext/>
      <w:keepLines/>
      <w:widowControl/>
      <w:tabs>
        <w:tab w:val="left" w:pos="1440"/>
      </w:tabs>
      <w:spacing w:before="240" w:after="64" w:line="320" w:lineRule="auto"/>
      <w:jc w:val="center"/>
      <w:outlineLvl w:val="5"/>
    </w:pPr>
    <w:rPr>
      <w:rFonts w:ascii="Arial" w:hAnsi="Arial" w:eastAsia="黑体"/>
      <w:bCs/>
      <w:kern w:val="0"/>
      <w:sz w:val="24"/>
    </w:rPr>
  </w:style>
  <w:style w:type="paragraph" w:styleId="9">
    <w:name w:val="heading 7"/>
    <w:basedOn w:val="1"/>
    <w:next w:val="1"/>
    <w:link w:val="110"/>
    <w:qFormat/>
    <w:uiPriority w:val="0"/>
    <w:pPr>
      <w:keepNext/>
      <w:keepLines/>
      <w:widowControl/>
      <w:tabs>
        <w:tab w:val="left" w:pos="2520"/>
      </w:tabs>
      <w:spacing w:before="240" w:after="64" w:line="320" w:lineRule="auto"/>
      <w:jc w:val="center"/>
      <w:outlineLvl w:val="6"/>
    </w:pPr>
    <w:rPr>
      <w:bCs/>
      <w:kern w:val="0"/>
      <w:sz w:val="24"/>
    </w:rPr>
  </w:style>
  <w:style w:type="paragraph" w:styleId="10">
    <w:name w:val="heading 8"/>
    <w:basedOn w:val="1"/>
    <w:next w:val="1"/>
    <w:link w:val="111"/>
    <w:qFormat/>
    <w:uiPriority w:val="0"/>
    <w:pPr>
      <w:keepNext/>
      <w:keepLines/>
      <w:widowControl/>
      <w:tabs>
        <w:tab w:val="left" w:pos="1440"/>
      </w:tabs>
      <w:spacing w:before="240" w:after="64" w:line="320" w:lineRule="auto"/>
      <w:jc w:val="center"/>
      <w:outlineLvl w:val="7"/>
    </w:pPr>
    <w:rPr>
      <w:rFonts w:ascii="Arial" w:hAnsi="Arial" w:eastAsia="黑体"/>
      <w:b/>
      <w:kern w:val="0"/>
      <w:sz w:val="24"/>
    </w:rPr>
  </w:style>
  <w:style w:type="paragraph" w:styleId="11">
    <w:name w:val="heading 9"/>
    <w:basedOn w:val="1"/>
    <w:next w:val="1"/>
    <w:link w:val="112"/>
    <w:qFormat/>
    <w:uiPriority w:val="0"/>
    <w:pPr>
      <w:keepNext/>
      <w:keepLines/>
      <w:widowControl/>
      <w:tabs>
        <w:tab w:val="left" w:pos="1584"/>
      </w:tabs>
      <w:spacing w:before="240" w:after="64" w:line="320" w:lineRule="auto"/>
      <w:jc w:val="center"/>
      <w:outlineLvl w:val="8"/>
    </w:pPr>
    <w:rPr>
      <w:rFonts w:ascii="Arial" w:hAnsi="Arial" w:eastAsia="黑体"/>
      <w:b/>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500" w:lineRule="exact"/>
      <w:jc w:val="center"/>
    </w:pPr>
    <w:rPr>
      <w:rFonts w:ascii="Times New Roman" w:hAnsi="宋体" w:eastAsia="方正小标宋_GBK"/>
      <w:spacing w:val="-20"/>
      <w:sz w:val="44"/>
      <w:szCs w:val="32"/>
    </w:rPr>
  </w:style>
  <w:style w:type="paragraph" w:styleId="12">
    <w:name w:val="toc 7"/>
    <w:basedOn w:val="1"/>
    <w:next w:val="1"/>
    <w:unhideWhenUsed/>
    <w:qFormat/>
    <w:uiPriority w:val="39"/>
    <w:pPr>
      <w:ind w:left="2520" w:leftChars="1200"/>
    </w:pPr>
    <w:rPr>
      <w:rFonts w:ascii="Calibri" w:hAnsi="Calibri" w:eastAsia="宋体" w:cs="黑体"/>
      <w:szCs w:val="22"/>
    </w:rPr>
  </w:style>
  <w:style w:type="paragraph" w:styleId="13">
    <w:name w:val="Normal Indent"/>
    <w:basedOn w:val="1"/>
    <w:link w:val="108"/>
    <w:unhideWhenUsed/>
    <w:qFormat/>
    <w:uiPriority w:val="0"/>
    <w:pPr>
      <w:adjustRightInd w:val="0"/>
      <w:spacing w:line="315" w:lineRule="atLeast"/>
      <w:ind w:firstLine="420"/>
      <w:jc w:val="left"/>
    </w:pPr>
    <w:rPr>
      <w:rFonts w:ascii="宋体"/>
      <w:kern w:val="0"/>
    </w:rPr>
  </w:style>
  <w:style w:type="paragraph" w:styleId="14">
    <w:name w:val="Document Map"/>
    <w:basedOn w:val="1"/>
    <w:link w:val="119"/>
    <w:qFormat/>
    <w:uiPriority w:val="0"/>
    <w:pPr>
      <w:shd w:val="clear" w:color="auto" w:fill="000080"/>
    </w:pPr>
  </w:style>
  <w:style w:type="paragraph" w:styleId="15">
    <w:name w:val="annotation text"/>
    <w:basedOn w:val="1"/>
    <w:link w:val="118"/>
    <w:qFormat/>
    <w:uiPriority w:val="0"/>
    <w:pPr>
      <w:jc w:val="left"/>
    </w:pPr>
  </w:style>
  <w:style w:type="paragraph" w:styleId="16">
    <w:name w:val="Body Text"/>
    <w:basedOn w:val="1"/>
    <w:link w:val="106"/>
    <w:qFormat/>
    <w:uiPriority w:val="0"/>
    <w:pPr>
      <w:spacing w:line="0" w:lineRule="atLeast"/>
    </w:pPr>
    <w:rPr>
      <w:rFonts w:ascii="Times New Roman" w:hAnsi="Times New Roman" w:eastAsia="宋体" w:cs="Times New Roman"/>
      <w:szCs w:val="24"/>
    </w:rPr>
  </w:style>
  <w:style w:type="paragraph" w:styleId="17">
    <w:name w:val="toc 5"/>
    <w:basedOn w:val="1"/>
    <w:next w:val="1"/>
    <w:unhideWhenUsed/>
    <w:qFormat/>
    <w:uiPriority w:val="39"/>
    <w:pPr>
      <w:ind w:left="1680" w:leftChars="800"/>
    </w:pPr>
    <w:rPr>
      <w:rFonts w:ascii="Calibri" w:hAnsi="Calibri" w:eastAsia="宋体" w:cs="黑体"/>
      <w:szCs w:val="22"/>
    </w:rPr>
  </w:style>
  <w:style w:type="paragraph" w:styleId="18">
    <w:name w:val="toc 3"/>
    <w:basedOn w:val="1"/>
    <w:next w:val="1"/>
    <w:unhideWhenUsed/>
    <w:qFormat/>
    <w:uiPriority w:val="0"/>
    <w:pPr>
      <w:ind w:left="840" w:leftChars="400"/>
    </w:pPr>
  </w:style>
  <w:style w:type="paragraph" w:styleId="19">
    <w:name w:val="Plain Text"/>
    <w:basedOn w:val="1"/>
    <w:link w:val="88"/>
    <w:qFormat/>
    <w:uiPriority w:val="0"/>
    <w:rPr>
      <w:rFonts w:ascii="宋体" w:hAnsi="Courier New"/>
      <w:szCs w:val="21"/>
    </w:rPr>
  </w:style>
  <w:style w:type="paragraph" w:styleId="20">
    <w:name w:val="toc 8"/>
    <w:basedOn w:val="1"/>
    <w:next w:val="1"/>
    <w:unhideWhenUsed/>
    <w:qFormat/>
    <w:uiPriority w:val="39"/>
    <w:pPr>
      <w:ind w:left="2940" w:leftChars="1400"/>
    </w:pPr>
    <w:rPr>
      <w:rFonts w:ascii="Calibri" w:hAnsi="Calibri" w:eastAsia="宋体" w:cs="黑体"/>
      <w:szCs w:val="22"/>
    </w:rPr>
  </w:style>
  <w:style w:type="paragraph" w:styleId="21">
    <w:name w:val="Date"/>
    <w:basedOn w:val="1"/>
    <w:next w:val="1"/>
    <w:link w:val="107"/>
    <w:qFormat/>
    <w:uiPriority w:val="0"/>
    <w:rPr>
      <w:rFonts w:ascii="Times New Roman" w:hAnsi="Times New Roman" w:eastAsia="宋体" w:cs="Times New Roman"/>
      <w:szCs w:val="24"/>
    </w:rPr>
  </w:style>
  <w:style w:type="paragraph" w:styleId="22">
    <w:name w:val="Body Text Indent 2"/>
    <w:basedOn w:val="1"/>
    <w:link w:val="89"/>
    <w:semiHidden/>
    <w:unhideWhenUsed/>
    <w:qFormat/>
    <w:uiPriority w:val="99"/>
    <w:pPr>
      <w:spacing w:after="120" w:line="480" w:lineRule="auto"/>
      <w:ind w:left="420" w:leftChars="200"/>
    </w:pPr>
  </w:style>
  <w:style w:type="paragraph" w:styleId="23">
    <w:name w:val="Balloon Text"/>
    <w:basedOn w:val="1"/>
    <w:link w:val="90"/>
    <w:unhideWhenUsed/>
    <w:qFormat/>
    <w:uiPriority w:val="0"/>
    <w:rPr>
      <w:sz w:val="18"/>
      <w:szCs w:val="18"/>
    </w:rPr>
  </w:style>
  <w:style w:type="paragraph" w:styleId="24">
    <w:name w:val="footer"/>
    <w:basedOn w:val="1"/>
    <w:link w:val="91"/>
    <w:qFormat/>
    <w:uiPriority w:val="0"/>
    <w:pPr>
      <w:tabs>
        <w:tab w:val="center" w:pos="4153"/>
        <w:tab w:val="right" w:pos="8306"/>
      </w:tabs>
      <w:snapToGrid w:val="0"/>
      <w:jc w:val="left"/>
    </w:pPr>
    <w:rPr>
      <w:sz w:val="18"/>
      <w:szCs w:val="18"/>
    </w:rPr>
  </w:style>
  <w:style w:type="paragraph" w:styleId="2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widowControl/>
      <w:autoSpaceDE w:val="0"/>
      <w:autoSpaceDN w:val="0"/>
      <w:adjustRightInd w:val="0"/>
      <w:spacing w:line="400" w:lineRule="exact"/>
      <w:jc w:val="left"/>
    </w:pPr>
    <w:rPr>
      <w:b/>
      <w:bCs/>
      <w:caps/>
      <w:kern w:val="0"/>
      <w:sz w:val="28"/>
      <w:lang w:val="zh-CN"/>
    </w:rPr>
  </w:style>
  <w:style w:type="paragraph" w:styleId="27">
    <w:name w:val="toc 4"/>
    <w:basedOn w:val="1"/>
    <w:next w:val="1"/>
    <w:unhideWhenUsed/>
    <w:qFormat/>
    <w:uiPriority w:val="39"/>
    <w:pPr>
      <w:ind w:left="1260" w:leftChars="600"/>
    </w:pPr>
    <w:rPr>
      <w:rFonts w:ascii="Calibri" w:hAnsi="Calibri" w:eastAsia="宋体" w:cs="黑体"/>
      <w:szCs w:val="22"/>
    </w:rPr>
  </w:style>
  <w:style w:type="paragraph" w:styleId="28">
    <w:name w:val="Subtitle"/>
    <w:basedOn w:val="1"/>
    <w:next w:val="1"/>
    <w:link w:val="93"/>
    <w:qFormat/>
    <w:uiPriority w:val="11"/>
    <w:pPr>
      <w:spacing w:before="240" w:after="60" w:line="312" w:lineRule="auto"/>
      <w:jc w:val="center"/>
      <w:outlineLvl w:val="1"/>
    </w:pPr>
    <w:rPr>
      <w:rFonts w:ascii="Cambria" w:hAnsi="Cambria"/>
      <w:b/>
      <w:bCs/>
      <w:kern w:val="28"/>
      <w:sz w:val="32"/>
      <w:szCs w:val="32"/>
    </w:rPr>
  </w:style>
  <w:style w:type="paragraph" w:styleId="29">
    <w:name w:val="List"/>
    <w:basedOn w:val="1"/>
    <w:qFormat/>
    <w:uiPriority w:val="0"/>
    <w:pPr>
      <w:ind w:left="420" w:hanging="420"/>
    </w:pPr>
    <w:rPr>
      <w:rFonts w:ascii="Arial" w:hAnsi="Arial" w:eastAsia="楷体_GB2312"/>
      <w:sz w:val="28"/>
      <w:szCs w:val="20"/>
    </w:rPr>
  </w:style>
  <w:style w:type="paragraph" w:styleId="30">
    <w:name w:val="toc 6"/>
    <w:basedOn w:val="1"/>
    <w:next w:val="1"/>
    <w:unhideWhenUsed/>
    <w:qFormat/>
    <w:uiPriority w:val="39"/>
    <w:pPr>
      <w:ind w:left="2100" w:leftChars="1000"/>
    </w:pPr>
    <w:rPr>
      <w:rFonts w:ascii="Calibri" w:hAnsi="Calibri" w:eastAsia="宋体" w:cs="黑体"/>
      <w:szCs w:val="22"/>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unhideWhenUsed/>
    <w:qFormat/>
    <w:uiPriority w:val="0"/>
    <w:pPr>
      <w:ind w:left="420" w:leftChars="200"/>
    </w:pPr>
  </w:style>
  <w:style w:type="paragraph" w:styleId="33">
    <w:name w:val="toc 9"/>
    <w:basedOn w:val="1"/>
    <w:next w:val="1"/>
    <w:unhideWhenUsed/>
    <w:qFormat/>
    <w:uiPriority w:val="39"/>
    <w:pPr>
      <w:ind w:left="3360" w:leftChars="1600"/>
    </w:pPr>
    <w:rPr>
      <w:rFonts w:ascii="Calibri" w:hAnsi="Calibri" w:eastAsia="宋体" w:cs="黑体"/>
      <w:szCs w:val="22"/>
    </w:rPr>
  </w:style>
  <w:style w:type="paragraph" w:styleId="34">
    <w:name w:val="Normal (Web)"/>
    <w:basedOn w:val="1"/>
    <w:unhideWhenUsed/>
    <w:qFormat/>
    <w:uiPriority w:val="0"/>
    <w:pPr>
      <w:spacing w:beforeAutospacing="1" w:afterAutospacing="1"/>
      <w:jc w:val="left"/>
    </w:pPr>
    <w:rPr>
      <w:kern w:val="0"/>
      <w:sz w:val="24"/>
    </w:rPr>
  </w:style>
  <w:style w:type="paragraph" w:styleId="35">
    <w:name w:val="Title"/>
    <w:basedOn w:val="1"/>
    <w:link w:val="105"/>
    <w:qFormat/>
    <w:uiPriority w:val="0"/>
    <w:pPr>
      <w:widowControl/>
      <w:spacing w:before="240" w:after="60"/>
      <w:jc w:val="center"/>
      <w:outlineLvl w:val="0"/>
    </w:pPr>
    <w:rPr>
      <w:rFonts w:ascii="Cambria" w:hAnsi="Cambria" w:eastAsia="宋体" w:cs="黑体"/>
      <w:b/>
      <w:bCs/>
      <w:sz w:val="32"/>
      <w:szCs w:val="32"/>
    </w:rPr>
  </w:style>
  <w:style w:type="paragraph" w:styleId="36">
    <w:name w:val="Body Text First Indent"/>
    <w:basedOn w:val="16"/>
    <w:link w:val="117"/>
    <w:qFormat/>
    <w:uiPriority w:val="0"/>
    <w:pPr>
      <w:spacing w:after="120" w:line="240" w:lineRule="auto"/>
      <w:ind w:firstLine="420" w:firstLineChars="100"/>
    </w:pPr>
    <w:rPr>
      <w:sz w:val="21"/>
      <w:szCs w:val="24"/>
    </w:rPr>
  </w:style>
  <w:style w:type="table" w:styleId="38">
    <w:name w:val="Table Grid"/>
    <w:basedOn w:val="3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rPr>
      <w:rFonts w:cs="Times New Roman"/>
    </w:rPr>
  </w:style>
  <w:style w:type="character" w:styleId="42">
    <w:name w:val="FollowedHyperlink"/>
    <w:qFormat/>
    <w:uiPriority w:val="0"/>
    <w:rPr>
      <w:rFonts w:ascii="Times New Roman" w:hAnsi="Times New Roman" w:eastAsia="宋体" w:cs="Times New Roman"/>
      <w:color w:val="800080"/>
      <w:u w:val="single"/>
    </w:rPr>
  </w:style>
  <w:style w:type="character" w:styleId="43">
    <w:name w:val="Emphasis"/>
    <w:qFormat/>
    <w:uiPriority w:val="0"/>
    <w:rPr>
      <w:rFonts w:ascii="Times New Roman" w:hAnsi="Times New Roman" w:eastAsia="宋体" w:cs="Times New Roman"/>
      <w:szCs w:val="20"/>
    </w:rPr>
  </w:style>
  <w:style w:type="character" w:styleId="44">
    <w:name w:val="HTML Definition"/>
    <w:qFormat/>
    <w:uiPriority w:val="0"/>
    <w:rPr>
      <w:rFonts w:ascii="Times New Roman" w:hAnsi="Times New Roman" w:eastAsia="宋体" w:cs="Times New Roman"/>
      <w:szCs w:val="20"/>
    </w:rPr>
  </w:style>
  <w:style w:type="character" w:styleId="45">
    <w:name w:val="HTML Typewriter"/>
    <w:qFormat/>
    <w:uiPriority w:val="0"/>
    <w:rPr>
      <w:rFonts w:hint="default" w:ascii="monospace" w:hAnsi="monospace" w:eastAsia="monospace" w:cs="monospace"/>
      <w:sz w:val="20"/>
      <w:szCs w:val="20"/>
    </w:rPr>
  </w:style>
  <w:style w:type="character" w:styleId="46">
    <w:name w:val="HTML Acronym"/>
    <w:basedOn w:val="39"/>
    <w:qFormat/>
    <w:uiPriority w:val="0"/>
    <w:rPr>
      <w:rFonts w:ascii="Times New Roman" w:hAnsi="Times New Roman" w:eastAsia="宋体" w:cs="Times New Roman"/>
      <w:szCs w:val="20"/>
    </w:rPr>
  </w:style>
  <w:style w:type="character" w:styleId="47">
    <w:name w:val="HTML Variable"/>
    <w:qFormat/>
    <w:uiPriority w:val="0"/>
    <w:rPr>
      <w:rFonts w:ascii="Times New Roman" w:hAnsi="Times New Roman" w:eastAsia="宋体" w:cs="Times New Roman"/>
      <w:szCs w:val="20"/>
    </w:rPr>
  </w:style>
  <w:style w:type="character" w:styleId="48">
    <w:name w:val="Hyperlink"/>
    <w:basedOn w:val="39"/>
    <w:unhideWhenUsed/>
    <w:qFormat/>
    <w:uiPriority w:val="0"/>
    <w:rPr>
      <w:color w:val="0000FF"/>
      <w:u w:val="single"/>
    </w:rPr>
  </w:style>
  <w:style w:type="character" w:styleId="49">
    <w:name w:val="HTML Code"/>
    <w:qFormat/>
    <w:uiPriority w:val="0"/>
    <w:rPr>
      <w:rFonts w:hint="default" w:ascii="monospace" w:hAnsi="monospace" w:eastAsia="monospace" w:cs="monospace"/>
      <w:sz w:val="20"/>
      <w:szCs w:val="20"/>
    </w:rPr>
  </w:style>
  <w:style w:type="character" w:styleId="50">
    <w:name w:val="HTML Cite"/>
    <w:qFormat/>
    <w:uiPriority w:val="0"/>
    <w:rPr>
      <w:rFonts w:ascii="Times New Roman" w:hAnsi="Times New Roman" w:eastAsia="宋体" w:cs="Times New Roman"/>
      <w:szCs w:val="20"/>
    </w:rPr>
  </w:style>
  <w:style w:type="character" w:styleId="51">
    <w:name w:val="HTML Keyboard"/>
    <w:qFormat/>
    <w:uiPriority w:val="0"/>
    <w:rPr>
      <w:rFonts w:ascii="monospace" w:hAnsi="monospace" w:eastAsia="monospace" w:cs="monospace"/>
      <w:sz w:val="20"/>
      <w:szCs w:val="20"/>
    </w:rPr>
  </w:style>
  <w:style w:type="character" w:styleId="52">
    <w:name w:val="HTML Sample"/>
    <w:qFormat/>
    <w:uiPriority w:val="0"/>
    <w:rPr>
      <w:rFonts w:hint="default" w:ascii="monospace" w:hAnsi="monospace" w:eastAsia="monospace" w:cs="monospace"/>
      <w:szCs w:val="20"/>
    </w:rPr>
  </w:style>
  <w:style w:type="paragraph" w:customStyle="1" w:styleId="53">
    <w:name w:val="样式 样式 左侧:  2 字符 + 左侧:  0.85 厘米 首行缩进:  2 字符1"/>
    <w:basedOn w:val="1"/>
    <w:qFormat/>
    <w:uiPriority w:val="0"/>
    <w:pPr>
      <w:ind w:left="482" w:firstLine="200" w:firstLineChars="200"/>
    </w:pPr>
    <w:rPr>
      <w:rFonts w:cs="宋体"/>
    </w:rPr>
  </w:style>
  <w:style w:type="character" w:customStyle="1" w:styleId="54">
    <w:name w:val="正文文本 Char"/>
    <w:basedOn w:val="39"/>
    <w:qFormat/>
    <w:uiPriority w:val="0"/>
    <w:rPr>
      <w:rFonts w:ascii="Times New Roman" w:hAnsi="Times New Roman" w:eastAsia="宋体" w:cs="Times New Roman"/>
      <w:szCs w:val="24"/>
    </w:rPr>
  </w:style>
  <w:style w:type="character" w:customStyle="1" w:styleId="55">
    <w:name w:val="日期 Char"/>
    <w:basedOn w:val="39"/>
    <w:qFormat/>
    <w:uiPriority w:val="0"/>
    <w:rPr>
      <w:rFonts w:ascii="Times New Roman" w:hAnsi="Times New Roman" w:eastAsia="宋体" w:cs="Times New Roman"/>
      <w:szCs w:val="24"/>
    </w:rPr>
  </w:style>
  <w:style w:type="character" w:customStyle="1" w:styleId="56">
    <w:name w:val="标题 Char"/>
    <w:basedOn w:val="39"/>
    <w:qFormat/>
    <w:uiPriority w:val="0"/>
    <w:rPr>
      <w:rFonts w:ascii="Cambria" w:hAnsi="Cambria" w:eastAsia="宋体" w:cs="黑体"/>
      <w:b/>
      <w:bCs/>
      <w:sz w:val="32"/>
      <w:szCs w:val="32"/>
    </w:rPr>
  </w:style>
  <w:style w:type="paragraph" w:customStyle="1" w:styleId="57">
    <w:name w:val="p16"/>
    <w:basedOn w:val="1"/>
    <w:qFormat/>
    <w:uiPriority w:val="99"/>
    <w:pPr>
      <w:widowControl/>
    </w:pPr>
    <w:rPr>
      <w:rFonts w:ascii="宋体" w:hAnsi="宋体" w:cs="宋体"/>
      <w:kern w:val="0"/>
      <w:szCs w:val="21"/>
    </w:rPr>
  </w:style>
  <w:style w:type="paragraph" w:customStyle="1" w:styleId="58">
    <w:name w:val="p15"/>
    <w:basedOn w:val="1"/>
    <w:qFormat/>
    <w:uiPriority w:val="99"/>
    <w:pPr>
      <w:widowControl/>
    </w:pPr>
    <w:rPr>
      <w:rFonts w:ascii="宋体" w:hAnsi="宋体" w:cs="宋体"/>
      <w:kern w:val="0"/>
      <w:szCs w:val="21"/>
    </w:rPr>
  </w:style>
  <w:style w:type="paragraph" w:customStyle="1" w:styleId="59">
    <w:name w:val="p17"/>
    <w:basedOn w:val="1"/>
    <w:qFormat/>
    <w:uiPriority w:val="99"/>
    <w:pPr>
      <w:widowControl/>
    </w:pPr>
    <w:rPr>
      <w:kern w:val="0"/>
      <w:szCs w:val="21"/>
    </w:rPr>
  </w:style>
  <w:style w:type="paragraph" w:customStyle="1" w:styleId="60">
    <w:name w:val="p0"/>
    <w:basedOn w:val="1"/>
    <w:qFormat/>
    <w:uiPriority w:val="0"/>
    <w:pPr>
      <w:widowControl/>
    </w:pPr>
  </w:style>
  <w:style w:type="paragraph" w:customStyle="1" w:styleId="61">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列出段落1"/>
    <w:basedOn w:val="1"/>
    <w:qFormat/>
    <w:uiPriority w:val="99"/>
    <w:pPr>
      <w:ind w:firstLine="420" w:firstLineChars="200"/>
    </w:pPr>
    <w:rPr>
      <w:rFonts w:ascii="Calibri" w:hAnsi="Calibri"/>
      <w:szCs w:val="22"/>
    </w:rPr>
  </w:style>
  <w:style w:type="paragraph" w:customStyle="1" w:styleId="63">
    <w:name w:val="List Paragraph"/>
    <w:basedOn w:val="1"/>
    <w:qFormat/>
    <w:uiPriority w:val="0"/>
    <w:pPr>
      <w:ind w:firstLine="420" w:firstLineChars="200"/>
    </w:pPr>
    <w:rPr>
      <w:rFonts w:ascii="Calibri" w:hAnsi="Calibri"/>
      <w:szCs w:val="22"/>
    </w:rPr>
  </w:style>
  <w:style w:type="paragraph" w:customStyle="1" w:styleId="64">
    <w:name w:val="_Style 2"/>
    <w:basedOn w:val="1"/>
    <w:qFormat/>
    <w:uiPriority w:val="34"/>
    <w:pPr>
      <w:ind w:firstLine="420" w:firstLineChars="200"/>
    </w:pPr>
    <w:rPr>
      <w:szCs w:val="20"/>
    </w:rPr>
  </w:style>
  <w:style w:type="paragraph" w:customStyle="1" w:styleId="65">
    <w:name w:val="列出段落2"/>
    <w:basedOn w:val="1"/>
    <w:qFormat/>
    <w:uiPriority w:val="34"/>
    <w:pPr>
      <w:ind w:firstLine="420" w:firstLineChars="200"/>
    </w:pPr>
    <w:rPr>
      <w:rFonts w:ascii="Calibri" w:hAnsi="Calibri"/>
      <w:szCs w:val="22"/>
    </w:rPr>
  </w:style>
  <w:style w:type="paragraph" w:customStyle="1" w:styleId="66">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67">
    <w:name w:val="样式 标题 3 + (中文) 黑体 小四 非加粗 段前: 7.8 磅 段后: 0 磅 行距: 固定值 20 磅"/>
    <w:basedOn w:val="5"/>
    <w:qFormat/>
    <w:uiPriority w:val="0"/>
    <w:pPr>
      <w:tabs>
        <w:tab w:val="left" w:pos="720"/>
      </w:tabs>
      <w:spacing w:before="0" w:after="0" w:line="400" w:lineRule="exact"/>
    </w:pPr>
    <w:rPr>
      <w:rFonts w:eastAsia="黑体" w:cs="宋体"/>
      <w:b w:val="0"/>
      <w:bCs w:val="0"/>
      <w:sz w:val="24"/>
      <w:szCs w:val="20"/>
    </w:rPr>
  </w:style>
  <w:style w:type="paragraph" w:customStyle="1" w:styleId="68">
    <w:name w:val="表格"/>
    <w:basedOn w:val="1"/>
    <w:qFormat/>
    <w:uiPriority w:val="0"/>
    <w:pPr>
      <w:jc w:val="center"/>
    </w:pPr>
    <w:rPr>
      <w:rFonts w:cs="仿宋"/>
      <w:szCs w:val="3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0">
    <w:name w:val="reader-word-layer reader-word-s14-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样式1"/>
    <w:basedOn w:val="1"/>
    <w:next w:val="6"/>
    <w:qFormat/>
    <w:uiPriority w:val="0"/>
    <w:pPr>
      <w:spacing w:line="360" w:lineRule="auto"/>
      <w:ind w:firstLine="420" w:firstLineChars="200"/>
    </w:pPr>
    <w:rPr>
      <w:rFonts w:ascii="宋体" w:hAnsi="宋体"/>
      <w:szCs w:val="21"/>
    </w:rPr>
  </w:style>
  <w:style w:type="paragraph" w:customStyle="1" w:styleId="72">
    <w:name w:val="Char"/>
    <w:basedOn w:val="14"/>
    <w:qFormat/>
    <w:uiPriority w:val="0"/>
    <w:rPr>
      <w:kern w:val="0"/>
      <w:sz w:val="20"/>
      <w:szCs w:val="20"/>
    </w:rPr>
  </w:style>
  <w:style w:type="paragraph" w:customStyle="1" w:styleId="73">
    <w:name w:val="_Style 5"/>
    <w:basedOn w:val="1"/>
    <w:qFormat/>
    <w:uiPriority w:val="0"/>
    <w:pPr>
      <w:spacing w:line="360" w:lineRule="auto"/>
      <w:ind w:firstLine="200" w:firstLineChars="200"/>
    </w:pPr>
  </w:style>
  <w:style w:type="paragraph" w:customStyle="1" w:styleId="74">
    <w:name w:val="Char1"/>
    <w:basedOn w:val="1"/>
    <w:qFormat/>
    <w:uiPriority w:val="0"/>
    <w:pPr>
      <w:adjustRightInd w:val="0"/>
      <w:spacing w:line="360" w:lineRule="auto"/>
    </w:pPr>
    <w:rPr>
      <w:kern w:val="0"/>
      <w:sz w:val="24"/>
      <w:szCs w:val="20"/>
    </w:rPr>
  </w:style>
  <w:style w:type="paragraph" w:customStyle="1" w:styleId="75">
    <w:name w:val="Char Char1"/>
    <w:basedOn w:val="1"/>
    <w:qFormat/>
    <w:uiPriority w:val="0"/>
    <w:pPr>
      <w:widowControl/>
      <w:jc w:val="center"/>
    </w:pPr>
    <w:rPr>
      <w:rFonts w:ascii="Tahoma" w:hAnsi="Tahoma"/>
      <w:b/>
      <w:kern w:val="0"/>
      <w:sz w:val="24"/>
      <w:szCs w:val="20"/>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7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78">
    <w:name w:val="Char Char Char Char"/>
    <w:basedOn w:val="1"/>
    <w:qFormat/>
    <w:uiPriority w:val="0"/>
    <w:pPr>
      <w:spacing w:line="360" w:lineRule="auto"/>
      <w:ind w:firstLine="200" w:firstLineChars="200"/>
    </w:pPr>
    <w:rPr>
      <w:rFonts w:ascii="宋体" w:hAnsi="宋体" w:cs="宋体"/>
      <w:sz w:val="24"/>
    </w:rPr>
  </w:style>
  <w:style w:type="paragraph" w:customStyle="1" w:styleId="79">
    <w:name w:val="目录"/>
    <w:basedOn w:val="1"/>
    <w:qFormat/>
    <w:uiPriority w:val="0"/>
    <w:pPr>
      <w:widowControl/>
      <w:jc w:val="center"/>
    </w:pPr>
    <w:rPr>
      <w:rFonts w:ascii="宋体"/>
      <w:kern w:val="0"/>
      <w:sz w:val="36"/>
      <w:szCs w:val="20"/>
    </w:rPr>
  </w:style>
  <w:style w:type="paragraph" w:customStyle="1" w:styleId="80">
    <w:name w:val="Char Char Char Char Char Char"/>
    <w:basedOn w:val="3"/>
    <w:qFormat/>
    <w:uiPriority w:val="0"/>
    <w:pPr>
      <w:numPr>
        <w:ilvl w:val="0"/>
        <w:numId w:val="1"/>
      </w:numPr>
      <w:tabs>
        <w:tab w:val="left" w:pos="887"/>
      </w:tabs>
      <w:snapToGrid w:val="0"/>
      <w:spacing w:before="0" w:after="0" w:line="360" w:lineRule="auto"/>
      <w:ind w:left="887" w:firstLine="200" w:firstLineChars="200"/>
      <w:jc w:val="center"/>
    </w:pPr>
    <w:rPr>
      <w:rFonts w:ascii="黑体" w:hAnsi="BatangChe" w:eastAsia="黑体"/>
      <w:b w:val="0"/>
      <w:bCs w:val="0"/>
      <w:kern w:val="2"/>
      <w:sz w:val="32"/>
      <w:szCs w:val="32"/>
    </w:rPr>
  </w:style>
  <w:style w:type="paragraph" w:customStyle="1" w:styleId="81">
    <w:name w:val="默认段落字体 Para Char Char Char Char"/>
    <w:basedOn w:val="1"/>
    <w:qFormat/>
    <w:uiPriority w:val="0"/>
    <w:rPr>
      <w:szCs w:val="20"/>
    </w:rPr>
  </w:style>
  <w:style w:type="paragraph" w:customStyle="1" w:styleId="82">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83">
    <w:name w:val="标题 2 Char Char"/>
    <w:basedOn w:val="39"/>
    <w:link w:val="4"/>
    <w:qFormat/>
    <w:uiPriority w:val="0"/>
    <w:rPr>
      <w:rFonts w:ascii="Cambria" w:hAnsi="Cambria" w:eastAsia="宋体" w:cs="Times New Roman"/>
      <w:b/>
      <w:bCs/>
      <w:sz w:val="30"/>
      <w:szCs w:val="32"/>
    </w:rPr>
  </w:style>
  <w:style w:type="character" w:customStyle="1" w:styleId="84">
    <w:name w:val="标题 3 Char Char"/>
    <w:basedOn w:val="39"/>
    <w:link w:val="5"/>
    <w:qFormat/>
    <w:uiPriority w:val="0"/>
    <w:rPr>
      <w:rFonts w:ascii="Times New Roman" w:hAnsi="Times New Roman" w:eastAsia="宋体" w:cs="Times New Roman"/>
      <w:b/>
      <w:bCs/>
      <w:sz w:val="32"/>
      <w:szCs w:val="32"/>
    </w:rPr>
  </w:style>
  <w:style w:type="character" w:customStyle="1" w:styleId="85">
    <w:name w:val="标题 1 Char Char"/>
    <w:basedOn w:val="39"/>
    <w:link w:val="3"/>
    <w:qFormat/>
    <w:uiPriority w:val="0"/>
    <w:rPr>
      <w:rFonts w:ascii="Times New Roman" w:hAnsi="Times New Roman" w:eastAsia="宋体" w:cs="Times New Roman"/>
      <w:b/>
      <w:bCs/>
      <w:kern w:val="44"/>
      <w:sz w:val="44"/>
      <w:szCs w:val="44"/>
    </w:rPr>
  </w:style>
  <w:style w:type="character" w:customStyle="1" w:styleId="86">
    <w:name w:val="标题 4 Char Char"/>
    <w:basedOn w:val="39"/>
    <w:link w:val="6"/>
    <w:qFormat/>
    <w:uiPriority w:val="0"/>
    <w:rPr>
      <w:rFonts w:ascii="Cambria" w:hAnsi="Cambria" w:eastAsia="宋体" w:cs="黑体"/>
      <w:b/>
      <w:bCs/>
      <w:sz w:val="28"/>
      <w:szCs w:val="28"/>
    </w:rPr>
  </w:style>
  <w:style w:type="character" w:customStyle="1" w:styleId="87">
    <w:name w:val="标题 5 Char Char"/>
    <w:basedOn w:val="39"/>
    <w:link w:val="7"/>
    <w:qFormat/>
    <w:uiPriority w:val="0"/>
    <w:rPr>
      <w:rFonts w:ascii="Times New Roman" w:hAnsi="Times New Roman" w:eastAsia="宋体" w:cs="Times New Roman"/>
      <w:b/>
      <w:bCs/>
      <w:sz w:val="28"/>
      <w:szCs w:val="28"/>
    </w:rPr>
  </w:style>
  <w:style w:type="character" w:customStyle="1" w:styleId="88">
    <w:name w:val="纯文本 Char Char"/>
    <w:basedOn w:val="39"/>
    <w:link w:val="19"/>
    <w:qFormat/>
    <w:uiPriority w:val="99"/>
    <w:rPr>
      <w:rFonts w:ascii="宋体" w:hAnsi="Courier New" w:eastAsia="宋体" w:cs="Times New Roman"/>
      <w:szCs w:val="21"/>
    </w:rPr>
  </w:style>
  <w:style w:type="character" w:customStyle="1" w:styleId="89">
    <w:name w:val="正文文本缩进 2 Char Char"/>
    <w:basedOn w:val="39"/>
    <w:link w:val="22"/>
    <w:qFormat/>
    <w:uiPriority w:val="99"/>
    <w:rPr>
      <w:rFonts w:ascii="Times New Roman" w:hAnsi="Times New Roman" w:eastAsia="宋体" w:cs="Times New Roman"/>
      <w:szCs w:val="24"/>
    </w:rPr>
  </w:style>
  <w:style w:type="character" w:customStyle="1" w:styleId="90">
    <w:name w:val="批注框文本 Char Char"/>
    <w:basedOn w:val="39"/>
    <w:link w:val="23"/>
    <w:qFormat/>
    <w:uiPriority w:val="99"/>
    <w:rPr>
      <w:rFonts w:ascii="Times New Roman" w:hAnsi="Times New Roman" w:eastAsia="宋体" w:cs="Times New Roman"/>
      <w:sz w:val="18"/>
      <w:szCs w:val="18"/>
    </w:rPr>
  </w:style>
  <w:style w:type="character" w:customStyle="1" w:styleId="91">
    <w:name w:val="页脚 Char Char"/>
    <w:basedOn w:val="39"/>
    <w:link w:val="24"/>
    <w:qFormat/>
    <w:uiPriority w:val="0"/>
    <w:rPr>
      <w:rFonts w:ascii="Times New Roman" w:hAnsi="Times New Roman" w:eastAsia="宋体" w:cs="Times New Roman"/>
      <w:sz w:val="18"/>
      <w:szCs w:val="18"/>
    </w:rPr>
  </w:style>
  <w:style w:type="character" w:customStyle="1" w:styleId="92">
    <w:name w:val="页眉 Char Char"/>
    <w:basedOn w:val="39"/>
    <w:link w:val="25"/>
    <w:qFormat/>
    <w:uiPriority w:val="99"/>
    <w:rPr>
      <w:rFonts w:ascii="Times New Roman" w:hAnsi="Times New Roman" w:eastAsia="宋体" w:cs="Times New Roman"/>
      <w:sz w:val="18"/>
      <w:szCs w:val="18"/>
    </w:rPr>
  </w:style>
  <w:style w:type="character" w:customStyle="1" w:styleId="93">
    <w:name w:val="副标题 Char Char"/>
    <w:basedOn w:val="39"/>
    <w:link w:val="28"/>
    <w:qFormat/>
    <w:uiPriority w:val="11"/>
    <w:rPr>
      <w:rFonts w:ascii="Cambria" w:hAnsi="Cambria" w:eastAsia="宋体" w:cs="Times New Roman"/>
      <w:b/>
      <w:bCs/>
      <w:kern w:val="28"/>
      <w:sz w:val="32"/>
      <w:szCs w:val="32"/>
    </w:rPr>
  </w:style>
  <w:style w:type="character" w:customStyle="1" w:styleId="94">
    <w:name w:val="Footer Char1"/>
    <w:semiHidden/>
    <w:qFormat/>
    <w:locked/>
    <w:uiPriority w:val="99"/>
    <w:rPr>
      <w:rFonts w:cs="Times New Roman"/>
      <w:kern w:val="2"/>
      <w:sz w:val="18"/>
      <w:szCs w:val="18"/>
    </w:rPr>
  </w:style>
  <w:style w:type="character" w:customStyle="1" w:styleId="95">
    <w:name w:val="Header Char1"/>
    <w:semiHidden/>
    <w:qFormat/>
    <w:locked/>
    <w:uiPriority w:val="99"/>
    <w:rPr>
      <w:rFonts w:cs="Times New Roman"/>
      <w:kern w:val="2"/>
      <w:sz w:val="18"/>
      <w:szCs w:val="18"/>
    </w:rPr>
  </w:style>
  <w:style w:type="character" w:customStyle="1" w:styleId="96">
    <w:name w:val="Plain Text Char1"/>
    <w:semiHidden/>
    <w:qFormat/>
    <w:locked/>
    <w:uiPriority w:val="99"/>
    <w:rPr>
      <w:rFonts w:ascii="宋体" w:hAnsi="Courier New" w:cs="Courier New"/>
      <w:kern w:val="2"/>
      <w:sz w:val="21"/>
      <w:szCs w:val="21"/>
    </w:rPr>
  </w:style>
  <w:style w:type="character" w:customStyle="1" w:styleId="97">
    <w:name w:val="ca-01"/>
    <w:qFormat/>
    <w:uiPriority w:val="99"/>
    <w:rPr>
      <w:rFonts w:ascii="宋体" w:hAnsi="宋体" w:eastAsia="宋体" w:cs="Times New Roman"/>
      <w:sz w:val="21"/>
      <w:szCs w:val="21"/>
    </w:rPr>
  </w:style>
  <w:style w:type="character" w:customStyle="1" w:styleId="98">
    <w:name w:val="font41"/>
    <w:basedOn w:val="39"/>
    <w:qFormat/>
    <w:uiPriority w:val="0"/>
    <w:rPr>
      <w:rFonts w:hint="eastAsia" w:ascii="宋体" w:hAnsi="宋体" w:eastAsia="宋体" w:cs="宋体"/>
      <w:b/>
      <w:color w:val="000000"/>
      <w:sz w:val="24"/>
      <w:szCs w:val="24"/>
      <w:u w:val="none"/>
    </w:rPr>
  </w:style>
  <w:style w:type="character" w:customStyle="1" w:styleId="99">
    <w:name w:val="font21"/>
    <w:basedOn w:val="39"/>
    <w:qFormat/>
    <w:uiPriority w:val="0"/>
    <w:rPr>
      <w:rFonts w:hint="eastAsia" w:ascii="宋体" w:hAnsi="宋体" w:eastAsia="宋体" w:cs="宋体"/>
      <w:color w:val="000000"/>
      <w:sz w:val="21"/>
      <w:szCs w:val="21"/>
      <w:u w:val="none"/>
    </w:rPr>
  </w:style>
  <w:style w:type="character" w:customStyle="1" w:styleId="100">
    <w:name w:val="font81"/>
    <w:basedOn w:val="39"/>
    <w:qFormat/>
    <w:uiPriority w:val="0"/>
    <w:rPr>
      <w:rFonts w:hint="default" w:ascii="Times New Roman" w:hAnsi="Times New Roman" w:cs="Times New Roman"/>
      <w:color w:val="000000"/>
      <w:sz w:val="21"/>
      <w:szCs w:val="21"/>
      <w:u w:val="none"/>
    </w:rPr>
  </w:style>
  <w:style w:type="character" w:customStyle="1" w:styleId="101">
    <w:name w:val="font11"/>
    <w:basedOn w:val="39"/>
    <w:qFormat/>
    <w:uiPriority w:val="0"/>
    <w:rPr>
      <w:rFonts w:hint="eastAsia" w:ascii="宋体" w:hAnsi="宋体" w:eastAsia="宋体" w:cs="宋体"/>
      <w:b/>
      <w:color w:val="000000"/>
      <w:sz w:val="21"/>
      <w:szCs w:val="21"/>
      <w:u w:val="none"/>
    </w:rPr>
  </w:style>
  <w:style w:type="character" w:customStyle="1" w:styleId="102">
    <w:name w:val="font91"/>
    <w:basedOn w:val="39"/>
    <w:qFormat/>
    <w:uiPriority w:val="0"/>
    <w:rPr>
      <w:rFonts w:hint="default" w:ascii="Calibri" w:hAnsi="Calibri" w:cs="Calibri"/>
      <w:color w:val="000000"/>
      <w:sz w:val="21"/>
      <w:szCs w:val="21"/>
      <w:u w:val="none"/>
    </w:rPr>
  </w:style>
  <w:style w:type="character" w:customStyle="1" w:styleId="103">
    <w:name w:val="font31"/>
    <w:basedOn w:val="39"/>
    <w:qFormat/>
    <w:uiPriority w:val="0"/>
    <w:rPr>
      <w:rFonts w:hint="eastAsia" w:ascii="宋体" w:hAnsi="宋体" w:eastAsia="宋体" w:cs="宋体"/>
      <w:color w:val="000000"/>
      <w:sz w:val="21"/>
      <w:szCs w:val="21"/>
      <w:u w:val="none"/>
    </w:rPr>
  </w:style>
  <w:style w:type="character" w:customStyle="1" w:styleId="104">
    <w:name w:val="font71"/>
    <w:basedOn w:val="39"/>
    <w:qFormat/>
    <w:uiPriority w:val="0"/>
    <w:rPr>
      <w:rFonts w:hint="default" w:ascii="Times New Roman" w:hAnsi="Times New Roman" w:cs="Times New Roman"/>
      <w:color w:val="000000"/>
      <w:sz w:val="21"/>
      <w:szCs w:val="21"/>
      <w:u w:val="none"/>
    </w:rPr>
  </w:style>
  <w:style w:type="character" w:customStyle="1" w:styleId="105">
    <w:name w:val="标题 Char1"/>
    <w:basedOn w:val="39"/>
    <w:link w:val="35"/>
    <w:qFormat/>
    <w:uiPriority w:val="0"/>
    <w:rPr>
      <w:rFonts w:ascii="Arial" w:hAnsi="Arial" w:eastAsia="宋体" w:cs="Arial"/>
      <w:b/>
      <w:bCs/>
      <w:kern w:val="0"/>
      <w:sz w:val="44"/>
      <w:szCs w:val="32"/>
    </w:rPr>
  </w:style>
  <w:style w:type="character" w:customStyle="1" w:styleId="106">
    <w:name w:val="正文文本 Char1"/>
    <w:basedOn w:val="39"/>
    <w:link w:val="16"/>
    <w:qFormat/>
    <w:uiPriority w:val="0"/>
    <w:rPr>
      <w:rFonts w:ascii="Times New Roman" w:hAnsi="Times New Roman" w:eastAsia="宋体" w:cs="Times New Roman"/>
      <w:b/>
      <w:sz w:val="30"/>
      <w:szCs w:val="20"/>
    </w:rPr>
  </w:style>
  <w:style w:type="character" w:customStyle="1" w:styleId="107">
    <w:name w:val="日期 Char1"/>
    <w:basedOn w:val="39"/>
    <w:link w:val="21"/>
    <w:qFormat/>
    <w:uiPriority w:val="0"/>
    <w:rPr>
      <w:rFonts w:ascii="Times New Roman" w:hAnsi="Times New Roman" w:eastAsia="宋体" w:cs="Times New Roman"/>
      <w:b/>
      <w:sz w:val="24"/>
      <w:szCs w:val="20"/>
    </w:rPr>
  </w:style>
  <w:style w:type="character" w:customStyle="1" w:styleId="108">
    <w:name w:val="正文缩进 Char Char"/>
    <w:link w:val="13"/>
    <w:qFormat/>
    <w:uiPriority w:val="99"/>
    <w:rPr>
      <w:rFonts w:ascii="宋体" w:hAnsi="Times New Roman" w:eastAsia="宋体" w:cs="Times New Roman"/>
      <w:kern w:val="0"/>
      <w:szCs w:val="24"/>
    </w:rPr>
  </w:style>
  <w:style w:type="character" w:customStyle="1" w:styleId="109">
    <w:name w:val="标题 6 Char Char"/>
    <w:basedOn w:val="39"/>
    <w:link w:val="8"/>
    <w:qFormat/>
    <w:uiPriority w:val="0"/>
    <w:rPr>
      <w:rFonts w:ascii="Arial" w:hAnsi="Arial" w:eastAsia="黑体"/>
      <w:bCs/>
      <w:sz w:val="24"/>
      <w:szCs w:val="24"/>
    </w:rPr>
  </w:style>
  <w:style w:type="character" w:customStyle="1" w:styleId="110">
    <w:name w:val="标题 7 Char Char"/>
    <w:basedOn w:val="39"/>
    <w:link w:val="9"/>
    <w:qFormat/>
    <w:uiPriority w:val="0"/>
    <w:rPr>
      <w:rFonts w:ascii="Times New Roman" w:hAnsi="Times New Roman"/>
      <w:bCs/>
      <w:sz w:val="24"/>
      <w:szCs w:val="24"/>
    </w:rPr>
  </w:style>
  <w:style w:type="character" w:customStyle="1" w:styleId="111">
    <w:name w:val="标题 8 Char Char"/>
    <w:basedOn w:val="39"/>
    <w:link w:val="10"/>
    <w:qFormat/>
    <w:uiPriority w:val="0"/>
    <w:rPr>
      <w:rFonts w:ascii="Arial" w:hAnsi="Arial" w:eastAsia="黑体"/>
      <w:b/>
      <w:sz w:val="24"/>
      <w:szCs w:val="24"/>
    </w:rPr>
  </w:style>
  <w:style w:type="character" w:customStyle="1" w:styleId="112">
    <w:name w:val="标题 9 Char Char"/>
    <w:basedOn w:val="39"/>
    <w:link w:val="11"/>
    <w:qFormat/>
    <w:uiPriority w:val="0"/>
    <w:rPr>
      <w:rFonts w:ascii="Arial" w:hAnsi="Arial" w:eastAsia="黑体"/>
      <w:b/>
      <w:sz w:val="21"/>
      <w:szCs w:val="21"/>
    </w:rPr>
  </w:style>
  <w:style w:type="character" w:customStyle="1" w:styleId="113">
    <w:name w:val="disabled"/>
    <w:qFormat/>
    <w:uiPriority w:val="0"/>
    <w:rPr>
      <w:rFonts w:ascii="Times New Roman" w:hAnsi="Times New Roman" w:eastAsia="宋体" w:cs="Times New Roman"/>
      <w:color w:val="FFE3C6"/>
      <w:szCs w:val="20"/>
      <w:bdr w:val="single" w:color="FFE3C6" w:sz="4" w:space="0"/>
    </w:rPr>
  </w:style>
  <w:style w:type="character" w:customStyle="1" w:styleId="114">
    <w:name w:val="页码1"/>
    <w:qFormat/>
    <w:uiPriority w:val="0"/>
    <w:rPr>
      <w:rFonts w:ascii="Times New Roman" w:hAnsi="Times New Roman" w:eastAsia="宋体" w:cs="Times New Roman"/>
      <w:szCs w:val="20"/>
    </w:rPr>
  </w:style>
  <w:style w:type="character" w:customStyle="1" w:styleId="115">
    <w:name w:val="Char Char Char"/>
    <w:qFormat/>
    <w:uiPriority w:val="0"/>
    <w:rPr>
      <w:rFonts w:ascii="宋体" w:hAnsi="Courier New" w:eastAsia="宋体" w:cs="Times New Roman"/>
      <w:b/>
      <w:kern w:val="2"/>
      <w:sz w:val="21"/>
      <w:szCs w:val="20"/>
      <w:lang w:val="en-US" w:eastAsia="zh-CN" w:bidi="ar-SA"/>
    </w:rPr>
  </w:style>
  <w:style w:type="character" w:customStyle="1" w:styleId="116">
    <w:name w:val="current"/>
    <w:qFormat/>
    <w:uiPriority w:val="0"/>
    <w:rPr>
      <w:rFonts w:ascii="Times New Roman" w:hAnsi="Times New Roman" w:eastAsia="宋体" w:cs="Times New Roman"/>
      <w:b/>
      <w:color w:val="FF6500"/>
      <w:szCs w:val="20"/>
      <w:bdr w:val="single" w:color="FF6500" w:sz="4" w:space="0"/>
      <w:shd w:val="clear" w:color="auto" w:fill="FFBE94"/>
    </w:rPr>
  </w:style>
  <w:style w:type="character" w:customStyle="1" w:styleId="117">
    <w:name w:val="正文首行缩进 Char Char"/>
    <w:basedOn w:val="106"/>
    <w:link w:val="36"/>
    <w:qFormat/>
    <w:uiPriority w:val="0"/>
    <w:rPr>
      <w:rFonts w:ascii="Times New Roman" w:hAnsi="Times New Roman" w:eastAsia="宋体" w:cs="Times New Roman"/>
      <w:b w:val="0"/>
      <w:kern w:val="2"/>
      <w:sz w:val="21"/>
      <w:szCs w:val="24"/>
    </w:rPr>
  </w:style>
  <w:style w:type="character" w:customStyle="1" w:styleId="118">
    <w:name w:val="批注文字 Char Char"/>
    <w:basedOn w:val="39"/>
    <w:link w:val="15"/>
    <w:qFormat/>
    <w:uiPriority w:val="0"/>
    <w:rPr>
      <w:rFonts w:ascii="Times New Roman" w:hAnsi="Times New Roman"/>
      <w:kern w:val="2"/>
      <w:sz w:val="21"/>
      <w:szCs w:val="24"/>
    </w:rPr>
  </w:style>
  <w:style w:type="character" w:customStyle="1" w:styleId="119">
    <w:name w:val="文档结构图 Char Char"/>
    <w:basedOn w:val="39"/>
    <w:link w:val="14"/>
    <w:qFormat/>
    <w:uiPriority w:val="0"/>
    <w:rPr>
      <w:rFonts w:ascii="Times New Roman" w:hAnsi="Times New Roman"/>
      <w:kern w:val="2"/>
      <w:sz w:val="21"/>
      <w:szCs w:val="24"/>
      <w:shd w:val="clear" w:color="auto" w:fill="00008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64</Pages>
  <Words>22459</Words>
  <Characters>24289</Characters>
  <Lines>580</Lines>
  <Paragraphs>163</Paragraphs>
  <TotalTime>103</TotalTime>
  <ScaleCrop>false</ScaleCrop>
  <LinksUpToDate>false</LinksUpToDate>
  <CharactersWithSpaces>25969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2018-06-17T08:07:00Z</dcterms:created>
  <dc:creator>xb21cn</dc:creator>
  <cp:lastModifiedBy>Windows</cp:lastModifiedBy>
  <cp:lastPrinted>2026-05-07T01:14:34Z</cp:lastPrinted>
  <dcterms:modified xsi:type="dcterms:W3CDTF">2026-05-07T01:35:05Z</dcterms:modified>
  <dc:title>沿江乡贝水滩村农民饮用水维修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99BA047C015C4CDF84D46D415D59DB7F</vt:lpwstr>
  </property>
</Properties>
</file>