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46D52">
      <w:pPr>
        <w:widowControl w:val="0"/>
        <w:autoSpaceDE w:val="0"/>
        <w:autoSpaceDN w:val="0"/>
        <w:adjustRightInd w:val="0"/>
        <w:jc w:val="right"/>
        <w:rPr>
          <w:rFonts w:hint="default" w:ascii="宋体" w:hAnsi="宋体" w:eastAsia="宋体" w:cs="宋体"/>
          <w:color w:val="FF0000"/>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项目编号：DLTBJZCG202602-1</w:t>
      </w:r>
    </w:p>
    <w:p w14:paraId="6E69EDD4">
      <w:pPr>
        <w:widowControl w:val="0"/>
        <w:autoSpaceDE w:val="0"/>
        <w:autoSpaceDN w:val="0"/>
        <w:adjustRightInd w:val="0"/>
        <w:jc w:val="center"/>
        <w:rPr>
          <w:rFonts w:hint="eastAsia" w:ascii="方正仿宋_GB2312" w:hAnsi="方正仿宋_GB2312" w:eastAsia="方正仿宋_GB2312" w:cs="方正仿宋_GB2312"/>
          <w:color w:val="auto"/>
          <w:sz w:val="28"/>
          <w:szCs w:val="28"/>
          <w:highlight w:val="none"/>
          <w:lang w:val="en-US" w:eastAsia="zh-CN" w:bidi="ar-SA"/>
        </w:rPr>
      </w:pPr>
    </w:p>
    <w:p w14:paraId="5362395E">
      <w:pPr>
        <w:widowControl w:val="0"/>
        <w:autoSpaceDE w:val="0"/>
        <w:autoSpaceDN w:val="0"/>
        <w:adjustRightInd w:val="0"/>
        <w:jc w:val="center"/>
        <w:rPr>
          <w:rFonts w:hint="eastAsia" w:ascii="方正仿宋_GB2312" w:hAnsi="方正仿宋_GB2312" w:eastAsia="方正仿宋_GB2312" w:cs="方正仿宋_GB2312"/>
          <w:color w:val="auto"/>
          <w:sz w:val="28"/>
          <w:szCs w:val="28"/>
          <w:highlight w:val="none"/>
          <w:lang w:val="en-US" w:eastAsia="zh-CN" w:bidi="ar-SA"/>
        </w:rPr>
      </w:pPr>
    </w:p>
    <w:p w14:paraId="6EBF7903">
      <w:pPr>
        <w:widowControl w:val="0"/>
        <w:autoSpaceDE w:val="0"/>
        <w:autoSpaceDN w:val="0"/>
        <w:adjustRightInd w:val="0"/>
        <w:jc w:val="center"/>
        <w:rPr>
          <w:rFonts w:hint="eastAsia" w:ascii="方正仿宋_GB2312" w:hAnsi="方正仿宋_GB2312" w:eastAsia="方正仿宋_GB2312" w:cs="方正仿宋_GB2312"/>
          <w:b/>
          <w:bCs/>
          <w:color w:val="auto"/>
          <w:kern w:val="2"/>
          <w:sz w:val="44"/>
          <w:szCs w:val="44"/>
          <w:highlight w:val="none"/>
          <w:lang w:val="en-US" w:eastAsia="zh-CN" w:bidi="ar-SA"/>
        </w:rPr>
      </w:pPr>
      <w:r>
        <w:rPr>
          <w:rFonts w:hint="eastAsia" w:ascii="方正仿宋_GB2312" w:hAnsi="方正仿宋_GB2312" w:eastAsia="方正仿宋_GB2312" w:cs="方正仿宋_GB2312"/>
          <w:b/>
          <w:bCs/>
          <w:color w:val="auto"/>
          <w:kern w:val="2"/>
          <w:sz w:val="44"/>
          <w:szCs w:val="44"/>
          <w:highlight w:val="none"/>
          <w:lang w:val="en-US" w:eastAsia="zh-CN" w:bidi="ar-SA"/>
        </w:rPr>
        <w:t xml:space="preserve"> 中华人民共和国都拉塔出入境边防检查站</w:t>
      </w:r>
    </w:p>
    <w:p w14:paraId="1F1BE9D9">
      <w:pPr>
        <w:widowControl w:val="0"/>
        <w:autoSpaceDE w:val="0"/>
        <w:autoSpaceDN w:val="0"/>
        <w:adjustRightInd w:val="0"/>
        <w:jc w:val="center"/>
        <w:rPr>
          <w:rFonts w:hint="eastAsia" w:ascii="方正仿宋_GB2312" w:hAnsi="方正仿宋_GB2312" w:eastAsia="方正仿宋_GB2312" w:cs="方正仿宋_GB2312"/>
          <w:color w:val="auto"/>
          <w:sz w:val="28"/>
          <w:szCs w:val="28"/>
          <w:highlight w:val="none"/>
          <w:lang w:val="en-US" w:eastAsia="zh-CN" w:bidi="ar-SA"/>
        </w:rPr>
      </w:pPr>
      <w:r>
        <w:rPr>
          <w:rFonts w:hint="eastAsia" w:ascii="方正仿宋_GB2312" w:hAnsi="方正仿宋_GB2312" w:eastAsia="方正仿宋_GB2312" w:cs="方正仿宋_GB2312"/>
          <w:b/>
          <w:bCs/>
          <w:color w:val="auto"/>
          <w:kern w:val="2"/>
          <w:sz w:val="44"/>
          <w:szCs w:val="44"/>
          <w:highlight w:val="none"/>
          <w:lang w:val="en-US" w:eastAsia="zh-CN" w:bidi="ar-SA"/>
        </w:rPr>
        <w:t>主副食品集中配送服务项目（二次）</w:t>
      </w:r>
    </w:p>
    <w:p w14:paraId="0415B6FA">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22437F93">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6B1F4099">
      <w:pPr>
        <w:jc w:val="center"/>
        <w:rPr>
          <w:rFonts w:hint="eastAsia" w:ascii="方正仿宋_GB2312" w:hAnsi="方正仿宋_GB2312" w:eastAsia="方正仿宋_GB2312" w:cs="方正仿宋_GB2312"/>
          <w:b/>
          <w:bCs/>
          <w:color w:val="auto"/>
          <w:sz w:val="84"/>
          <w:szCs w:val="84"/>
          <w:highlight w:val="none"/>
        </w:rPr>
      </w:pPr>
      <w:r>
        <w:rPr>
          <w:rFonts w:hint="eastAsia" w:ascii="方正仿宋_GB2312" w:hAnsi="方正仿宋_GB2312" w:eastAsia="方正仿宋_GB2312" w:cs="方正仿宋_GB2312"/>
          <w:b/>
          <w:bCs/>
          <w:color w:val="auto"/>
          <w:sz w:val="84"/>
          <w:szCs w:val="84"/>
          <w:highlight w:val="none"/>
          <w:lang w:val="en-US" w:eastAsia="zh-CN"/>
        </w:rPr>
        <w:t>竞 争 性 磋 商 文 件</w:t>
      </w:r>
    </w:p>
    <w:p w14:paraId="274E754C">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1DA01721">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739100F7">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1829DCDF">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2159A11F">
      <w:pPr>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采购人：</w:t>
      </w:r>
      <w:r>
        <w:rPr>
          <w:rFonts w:hint="eastAsia" w:ascii="方正仿宋_GB2312" w:hAnsi="方正仿宋_GB2312" w:eastAsia="方正仿宋_GB2312" w:cs="方正仿宋_GB2312"/>
          <w:color w:val="auto"/>
          <w:sz w:val="32"/>
          <w:szCs w:val="32"/>
          <w:highlight w:val="none"/>
          <w:lang w:val="en-US" w:eastAsia="zh-CN"/>
        </w:rPr>
        <w:t>中华人民共和国都拉塔出入境边防检查站</w:t>
      </w:r>
      <w:r>
        <w:rPr>
          <w:rFonts w:hint="eastAsia" w:ascii="方正仿宋_GB2312" w:hAnsi="方正仿宋_GB2312" w:eastAsia="方正仿宋_GB2312" w:cs="方正仿宋_GB2312"/>
          <w:color w:val="auto"/>
          <w:sz w:val="32"/>
          <w:szCs w:val="32"/>
          <w:highlight w:val="none"/>
        </w:rPr>
        <w:t>（盖章）</w:t>
      </w:r>
    </w:p>
    <w:p w14:paraId="20FDE0CF">
      <w:pPr>
        <w:ind w:firstLine="1920" w:firstLineChars="600"/>
        <w:rPr>
          <w:rFonts w:hint="eastAsia" w:ascii="方正仿宋_GB2312" w:hAnsi="方正仿宋_GB2312" w:eastAsia="方正仿宋_GB2312" w:cs="方正仿宋_GB2312"/>
          <w:color w:val="auto"/>
          <w:sz w:val="32"/>
          <w:szCs w:val="32"/>
          <w:highlight w:val="none"/>
        </w:rPr>
      </w:pPr>
    </w:p>
    <w:p w14:paraId="1905BFBC">
      <w:pPr>
        <w:widowControl w:val="0"/>
        <w:autoSpaceDE w:val="0"/>
        <w:autoSpaceDN w:val="0"/>
        <w:adjustRightInd w:val="0"/>
        <w:rPr>
          <w:rFonts w:hint="eastAsia" w:ascii="方正仿宋_GB2312" w:hAnsi="方正仿宋_GB2312" w:eastAsia="方正仿宋_GB2312" w:cs="方正仿宋_GB2312"/>
          <w:color w:val="auto"/>
          <w:sz w:val="32"/>
          <w:szCs w:val="24"/>
          <w:highlight w:val="none"/>
          <w:lang w:val="en-US" w:eastAsia="zh-CN" w:bidi="ar-SA"/>
        </w:rPr>
      </w:pPr>
    </w:p>
    <w:p w14:paraId="53390D99">
      <w:pPr>
        <w:widowControl w:val="0"/>
        <w:autoSpaceDE w:val="0"/>
        <w:autoSpaceDN w:val="0"/>
        <w:adjustRightInd w:val="0"/>
        <w:rPr>
          <w:rFonts w:hint="eastAsia" w:ascii="方正仿宋_GB2312" w:hAnsi="方正仿宋_GB2312" w:eastAsia="方正仿宋_GB2312" w:cs="方正仿宋_GB2312"/>
          <w:color w:val="auto"/>
          <w:sz w:val="32"/>
          <w:szCs w:val="24"/>
          <w:highlight w:val="none"/>
          <w:u w:val="single"/>
          <w:lang w:val="en-US" w:eastAsia="zh-CN" w:bidi="ar-SA"/>
        </w:rPr>
      </w:pPr>
      <w:r>
        <w:rPr>
          <w:rFonts w:hint="eastAsia" w:ascii="方正仿宋_GB2312" w:hAnsi="方正仿宋_GB2312" w:eastAsia="方正仿宋_GB2312" w:cs="方正仿宋_GB2312"/>
          <w:color w:val="auto"/>
          <w:sz w:val="32"/>
          <w:szCs w:val="24"/>
          <w:highlight w:val="none"/>
          <w:lang w:val="en-US" w:eastAsia="zh-CN" w:bidi="ar-SA"/>
        </w:rPr>
        <w:t>采购代理机构：新疆兴立众工程咨询有限责任公司（盖章）</w:t>
      </w:r>
    </w:p>
    <w:p w14:paraId="4613A523">
      <w:pPr>
        <w:ind w:firstLine="1280" w:firstLineChars="400"/>
        <w:rPr>
          <w:rFonts w:hint="eastAsia" w:ascii="方正仿宋_GB2312" w:hAnsi="方正仿宋_GB2312" w:eastAsia="方正仿宋_GB2312" w:cs="方正仿宋_GB2312"/>
          <w:color w:val="auto"/>
          <w:sz w:val="30"/>
          <w:highlight w:val="none"/>
        </w:rPr>
      </w:pPr>
      <w:r>
        <w:rPr>
          <w:rFonts w:hint="eastAsia" w:ascii="方正仿宋_GB2312" w:hAnsi="方正仿宋_GB2312" w:eastAsia="方正仿宋_GB2312" w:cs="方正仿宋_GB2312"/>
          <w:color w:val="auto"/>
          <w:sz w:val="32"/>
          <w:szCs w:val="32"/>
          <w:highlight w:val="none"/>
        </w:rPr>
        <w:t xml:space="preserve"> </w:t>
      </w:r>
    </w:p>
    <w:p w14:paraId="0559A415">
      <w:pPr>
        <w:widowControl w:val="0"/>
        <w:autoSpaceDE w:val="0"/>
        <w:autoSpaceDN w:val="0"/>
        <w:adjustRightInd w:val="0"/>
        <w:jc w:val="center"/>
        <w:rPr>
          <w:rFonts w:hint="eastAsia" w:ascii="方正仿宋_GB2312" w:hAnsi="方正仿宋_GB2312" w:eastAsia="方正仿宋_GB2312" w:cs="方正仿宋_GB2312"/>
          <w:color w:val="auto"/>
          <w:sz w:val="30"/>
          <w:szCs w:val="24"/>
          <w:highlight w:val="none"/>
          <w:lang w:val="en-US" w:eastAsia="zh-CN" w:bidi="ar-SA"/>
        </w:rPr>
      </w:pPr>
      <w:r>
        <w:rPr>
          <w:rFonts w:hint="eastAsia" w:ascii="方正仿宋_GB2312" w:hAnsi="方正仿宋_GB2312" w:eastAsia="方正仿宋_GB2312" w:cs="方正仿宋_GB2312"/>
          <w:color w:val="auto"/>
          <w:sz w:val="30"/>
          <w:szCs w:val="30"/>
          <w:highlight w:val="none"/>
          <w:lang w:val="en-US" w:eastAsia="zh-CN" w:bidi="ar-SA"/>
        </w:rPr>
        <w:t>二零二六年五月</w:t>
      </w:r>
    </w:p>
    <w:p w14:paraId="30C74C40">
      <w:pPr>
        <w:ind w:firstLine="3520" w:firstLineChars="800"/>
        <w:outlineLvl w:val="0"/>
        <w:rPr>
          <w:rFonts w:hint="eastAsia" w:ascii="方正仿宋_GB2312" w:hAnsi="方正仿宋_GB2312" w:eastAsia="方正仿宋_GB2312" w:cs="方正仿宋_GB2312"/>
          <w:color w:val="auto"/>
          <w:sz w:val="44"/>
          <w:szCs w:val="44"/>
          <w:highlight w:val="none"/>
        </w:rPr>
        <w:sectPr>
          <w:headerReference r:id="rId3" w:type="default"/>
          <w:footerReference r:id="rId4" w:type="default"/>
          <w:footerReference r:id="rId5" w:type="even"/>
          <w:pgSz w:w="11906" w:h="16838"/>
          <w:pgMar w:top="1474" w:right="1531" w:bottom="1474" w:left="1531" w:header="851" w:footer="992" w:gutter="0"/>
          <w:pgBorders>
            <w:top w:val="none" w:sz="0" w:space="0"/>
            <w:left w:val="none" w:sz="0" w:space="0"/>
            <w:bottom w:val="none" w:sz="0" w:space="0"/>
            <w:right w:val="none" w:sz="0" w:space="0"/>
          </w:pgBorders>
          <w:cols w:space="720" w:num="1"/>
          <w:docGrid w:type="lines" w:linePitch="312" w:charSpace="0"/>
        </w:sectPr>
      </w:pPr>
    </w:p>
    <w:p w14:paraId="660DF601">
      <w:pPr>
        <w:jc w:val="both"/>
        <w:rPr>
          <w:rFonts w:hint="eastAsia" w:ascii="宋体" w:hAnsi="宋体" w:eastAsia="宋体" w:cs="宋体"/>
          <w:b/>
          <w:bCs/>
          <w:color w:val="auto"/>
          <w:sz w:val="44"/>
          <w:szCs w:val="44"/>
          <w:highlight w:val="none"/>
        </w:rPr>
      </w:pPr>
    </w:p>
    <w:p w14:paraId="1EBFB5D6">
      <w:pPr>
        <w:jc w:val="center"/>
        <w:rPr>
          <w:rFonts w:hint="eastAsia" w:ascii="宋体" w:hAnsi="宋体" w:eastAsia="宋体" w:cs="宋体"/>
          <w:b/>
          <w:bCs/>
          <w:color w:val="auto"/>
          <w:sz w:val="44"/>
          <w:szCs w:val="44"/>
          <w:highlight w:val="none"/>
        </w:rPr>
      </w:pPr>
    </w:p>
    <w:p w14:paraId="2FAAF76E">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目  录</w:t>
      </w:r>
    </w:p>
    <w:p w14:paraId="24FC16F3">
      <w:pPr>
        <w:spacing w:line="480" w:lineRule="auto"/>
        <w:jc w:val="center"/>
        <w:outlineLvl w:val="0"/>
        <w:rPr>
          <w:rFonts w:ascii="宋体" w:hAnsi="宋体" w:cs="宋体"/>
          <w:color w:val="auto"/>
          <w:sz w:val="44"/>
          <w:szCs w:val="44"/>
          <w:highlight w:val="none"/>
        </w:rPr>
      </w:pPr>
    </w:p>
    <w:p w14:paraId="1C99A73A">
      <w:pPr>
        <w:pStyle w:val="16"/>
        <w:tabs>
          <w:tab w:val="right" w:leader="dot" w:pos="8306"/>
        </w:tabs>
        <w:spacing w:line="600" w:lineRule="auto"/>
        <w:jc w:val="lef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 xml:space="preserve">第一章 </w:t>
      </w:r>
      <w:r>
        <w:rPr>
          <w:rFonts w:hint="eastAsia" w:ascii="宋体" w:hAnsi="宋体" w:cs="宋体"/>
          <w:b/>
          <w:bCs/>
          <w:color w:val="auto"/>
          <w:sz w:val="24"/>
          <w:szCs w:val="32"/>
          <w:highlight w:val="none"/>
          <w:lang w:eastAsia="zh-CN"/>
        </w:rPr>
        <w:t>采购公告</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·························01</w:t>
      </w: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TOC \o "1-1" \h \u </w:instrText>
      </w:r>
      <w:r>
        <w:rPr>
          <w:rFonts w:hint="eastAsia" w:ascii="宋体" w:hAnsi="宋体" w:eastAsia="宋体" w:cs="宋体"/>
          <w:b/>
          <w:bCs/>
          <w:color w:val="auto"/>
          <w:sz w:val="24"/>
          <w:szCs w:val="32"/>
          <w:highlight w:val="none"/>
        </w:rPr>
        <w:fldChar w:fldCharType="separate"/>
      </w:r>
    </w:p>
    <w:p w14:paraId="0577C2A4">
      <w:pPr>
        <w:pStyle w:val="16"/>
        <w:tabs>
          <w:tab w:val="right" w:leader="dot" w:pos="8306"/>
        </w:tabs>
        <w:spacing w:line="600" w:lineRule="auto"/>
        <w:jc w:val="left"/>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"_Toc4261"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第二章 投标须知</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·························0</w:t>
      </w:r>
      <w:r>
        <w:rPr>
          <w:rFonts w:hint="eastAsia" w:ascii="宋体" w:hAnsi="宋体" w:cs="宋体"/>
          <w:b/>
          <w:bCs/>
          <w:color w:val="auto"/>
          <w:sz w:val="24"/>
          <w:szCs w:val="32"/>
          <w:highlight w:val="none"/>
          <w:lang w:val="en-US" w:eastAsia="zh-CN"/>
        </w:rPr>
        <w:t>6</w:t>
      </w:r>
    </w:p>
    <w:p w14:paraId="1C660B60">
      <w:pPr>
        <w:pStyle w:val="16"/>
        <w:tabs>
          <w:tab w:val="right" w:leader="dot" w:pos="8306"/>
        </w:tabs>
        <w:spacing w:line="600" w:lineRule="auto"/>
        <w:jc w:val="left"/>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"_Toc22711"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第三章 评标方法及标准</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32</w:t>
      </w:r>
    </w:p>
    <w:p w14:paraId="024E61C7">
      <w:pPr>
        <w:pStyle w:val="16"/>
        <w:tabs>
          <w:tab w:val="right" w:leader="dot" w:pos="8306"/>
        </w:tabs>
        <w:spacing w:line="600" w:lineRule="auto"/>
        <w:jc w:val="left"/>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"_Toc20620"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第四章 合同格式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38</w:t>
      </w:r>
    </w:p>
    <w:p w14:paraId="16C7A15C">
      <w:pPr>
        <w:pStyle w:val="16"/>
        <w:tabs>
          <w:tab w:val="right" w:leader="dot" w:pos="8306"/>
        </w:tabs>
        <w:spacing w:line="600" w:lineRule="auto"/>
        <w:jc w:val="left"/>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"_Toc29854"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 xml:space="preserve">第五章 </w:t>
      </w:r>
      <w:r>
        <w:rPr>
          <w:rFonts w:hint="eastAsia" w:ascii="宋体" w:hAnsi="宋体" w:eastAsia="宋体" w:cs="宋体"/>
          <w:b/>
          <w:bCs/>
          <w:color w:val="auto"/>
          <w:sz w:val="24"/>
          <w:szCs w:val="32"/>
          <w:highlight w:val="none"/>
          <w:lang w:eastAsia="zh-CN"/>
        </w:rPr>
        <w:t>响应</w:t>
      </w:r>
      <w:r>
        <w:rPr>
          <w:rFonts w:hint="eastAsia" w:ascii="宋体" w:hAnsi="宋体" w:eastAsia="宋体" w:cs="宋体"/>
          <w:b/>
          <w:bCs/>
          <w:color w:val="auto"/>
          <w:sz w:val="24"/>
          <w:szCs w:val="32"/>
          <w:highlight w:val="none"/>
        </w:rPr>
        <w:t>文件格式</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rPr>
        <w:t>·······················</w:t>
      </w:r>
      <w:r>
        <w:rPr>
          <w:rFonts w:hint="eastAsia" w:ascii="宋体" w:hAnsi="宋体" w:cs="宋体"/>
          <w:b/>
          <w:bCs/>
          <w:color w:val="auto"/>
          <w:sz w:val="24"/>
          <w:szCs w:val="32"/>
          <w:highlight w:val="none"/>
          <w:lang w:val="en-US" w:eastAsia="zh-CN"/>
        </w:rPr>
        <w:t>50</w:t>
      </w:r>
    </w:p>
    <w:p w14:paraId="02C79EF1">
      <w:pPr>
        <w:pStyle w:val="16"/>
        <w:tabs>
          <w:tab w:val="right" w:leader="dot" w:pos="8306"/>
        </w:tabs>
        <w:spacing w:line="600" w:lineRule="auto"/>
        <w:jc w:val="left"/>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t>第六章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采购人需求························</w:t>
      </w:r>
      <w:r>
        <w:rPr>
          <w:rFonts w:hint="eastAsia" w:ascii="宋体" w:hAnsi="宋体" w:cs="宋体"/>
          <w:b/>
          <w:bCs/>
          <w:color w:val="auto"/>
          <w:sz w:val="24"/>
          <w:szCs w:val="32"/>
          <w:highlight w:val="none"/>
          <w:lang w:val="en-US" w:eastAsia="zh-CN"/>
        </w:rPr>
        <w:t>63</w:t>
      </w:r>
    </w:p>
    <w:p w14:paraId="0672A7BB">
      <w:pPr>
        <w:pStyle w:val="16"/>
        <w:tabs>
          <w:tab w:val="right" w:leader="dot" w:pos="8306"/>
        </w:tabs>
        <w:spacing w:line="600" w:lineRule="auto"/>
        <w:jc w:val="left"/>
        <w:rPr>
          <w:rFonts w:hint="eastAsia" w:ascii="宋体" w:hAnsi="宋体" w:eastAsia="宋体" w:cs="宋体"/>
          <w:b/>
          <w:bCs/>
          <w:color w:val="auto"/>
          <w:sz w:val="24"/>
          <w:szCs w:val="32"/>
          <w:highlight w:val="none"/>
        </w:rPr>
      </w:pPr>
    </w:p>
    <w:p w14:paraId="0FA44A57">
      <w:pPr>
        <w:pStyle w:val="16"/>
        <w:tabs>
          <w:tab w:val="right" w:leader="dot" w:pos="8306"/>
        </w:tabs>
        <w:spacing w:line="600" w:lineRule="auto"/>
        <w:jc w:val="left"/>
        <w:rPr>
          <w:rFonts w:hint="eastAsia" w:ascii="宋体" w:hAnsi="宋体" w:eastAsia="宋体" w:cs="宋体"/>
          <w:b/>
          <w:bCs/>
          <w:color w:val="auto"/>
          <w:sz w:val="24"/>
          <w:szCs w:val="32"/>
          <w:highlight w:val="none"/>
        </w:rPr>
      </w:pPr>
    </w:p>
    <w:p w14:paraId="3D0A38F2">
      <w:pPr>
        <w:pStyle w:val="16"/>
        <w:tabs>
          <w:tab w:val="right" w:leader="dot" w:pos="8306"/>
        </w:tabs>
        <w:spacing w:line="600" w:lineRule="auto"/>
        <w:jc w:val="left"/>
        <w:rPr>
          <w:rFonts w:hint="eastAsia" w:ascii="宋体" w:hAnsi="宋体" w:eastAsia="宋体" w:cs="宋体"/>
          <w:b/>
          <w:bCs/>
          <w:color w:val="auto"/>
          <w:szCs w:val="24"/>
          <w:highlight w:val="none"/>
        </w:rPr>
      </w:pPr>
      <w:r>
        <w:rPr>
          <w:rFonts w:hint="eastAsia" w:ascii="宋体" w:hAnsi="宋体" w:eastAsia="宋体" w:cs="宋体"/>
          <w:b/>
          <w:bCs/>
          <w:color w:val="auto"/>
          <w:sz w:val="24"/>
          <w:szCs w:val="32"/>
          <w:highlight w:val="none"/>
        </w:rPr>
        <w:fldChar w:fldCharType="end"/>
      </w:r>
    </w:p>
    <w:p w14:paraId="708E92CE">
      <w:pPr>
        <w:jc w:val="center"/>
        <w:rPr>
          <w:rFonts w:ascii="宋体" w:hAnsi="宋体" w:cs="宋体"/>
          <w:b/>
          <w:color w:val="auto"/>
          <w:sz w:val="36"/>
          <w:highlight w:val="none"/>
        </w:rPr>
      </w:pPr>
    </w:p>
    <w:p w14:paraId="4B13910D">
      <w:pPr>
        <w:rPr>
          <w:rFonts w:ascii="宋体" w:hAnsi="宋体" w:cs="宋体"/>
          <w:b/>
          <w:color w:val="auto"/>
          <w:sz w:val="36"/>
          <w:highlight w:val="none"/>
        </w:rPr>
      </w:pPr>
    </w:p>
    <w:p w14:paraId="612A96AA">
      <w:pPr>
        <w:spacing w:line="360" w:lineRule="exact"/>
        <w:ind w:firstLine="2692" w:firstLineChars="745"/>
        <w:rPr>
          <w:rFonts w:ascii="宋体" w:hAnsi="宋体" w:cs="宋体"/>
          <w:b/>
          <w:color w:val="auto"/>
          <w:sz w:val="36"/>
          <w:highlight w:val="none"/>
        </w:rPr>
      </w:pPr>
    </w:p>
    <w:p w14:paraId="13B9FE0F">
      <w:pPr>
        <w:spacing w:line="360" w:lineRule="exact"/>
        <w:ind w:firstLine="2692" w:firstLineChars="745"/>
        <w:rPr>
          <w:rFonts w:ascii="宋体" w:hAnsi="宋体" w:cs="宋体"/>
          <w:b/>
          <w:color w:val="auto"/>
          <w:sz w:val="36"/>
          <w:highlight w:val="none"/>
        </w:rPr>
      </w:pPr>
    </w:p>
    <w:p w14:paraId="18A6FAE5">
      <w:pPr>
        <w:spacing w:line="360" w:lineRule="exact"/>
        <w:ind w:firstLine="2692" w:firstLineChars="745"/>
        <w:rPr>
          <w:rFonts w:ascii="宋体" w:hAnsi="宋体" w:cs="宋体"/>
          <w:b/>
          <w:color w:val="auto"/>
          <w:sz w:val="36"/>
          <w:highlight w:val="none"/>
        </w:rPr>
      </w:pPr>
    </w:p>
    <w:p w14:paraId="52A8BC4D">
      <w:pPr>
        <w:spacing w:line="360" w:lineRule="exact"/>
        <w:ind w:firstLine="2692" w:firstLineChars="745"/>
        <w:rPr>
          <w:rFonts w:ascii="宋体" w:hAnsi="宋体" w:cs="宋体"/>
          <w:b/>
          <w:color w:val="auto"/>
          <w:sz w:val="36"/>
          <w:highlight w:val="none"/>
        </w:rPr>
      </w:pPr>
    </w:p>
    <w:p w14:paraId="77ECE495">
      <w:pPr>
        <w:spacing w:line="360" w:lineRule="exact"/>
        <w:ind w:firstLine="2692" w:firstLineChars="745"/>
        <w:rPr>
          <w:rFonts w:ascii="宋体" w:hAnsi="宋体" w:cs="宋体"/>
          <w:b/>
          <w:color w:val="auto"/>
          <w:sz w:val="36"/>
          <w:highlight w:val="none"/>
        </w:rPr>
      </w:pPr>
    </w:p>
    <w:p w14:paraId="25A65A04">
      <w:pPr>
        <w:spacing w:line="360" w:lineRule="exact"/>
        <w:ind w:firstLine="2692" w:firstLineChars="745"/>
        <w:rPr>
          <w:rFonts w:ascii="宋体" w:hAnsi="宋体" w:cs="宋体"/>
          <w:b/>
          <w:color w:val="auto"/>
          <w:sz w:val="36"/>
          <w:highlight w:val="none"/>
        </w:rPr>
      </w:pPr>
    </w:p>
    <w:p w14:paraId="6614E7E4">
      <w:pPr>
        <w:spacing w:line="360" w:lineRule="exact"/>
        <w:ind w:firstLine="2692" w:firstLineChars="745"/>
        <w:rPr>
          <w:rFonts w:ascii="宋体" w:hAnsi="宋体" w:cs="宋体"/>
          <w:b/>
          <w:color w:val="auto"/>
          <w:sz w:val="36"/>
          <w:highlight w:val="none"/>
        </w:rPr>
      </w:pPr>
    </w:p>
    <w:p w14:paraId="2B1D7A8C">
      <w:pPr>
        <w:spacing w:line="360" w:lineRule="exact"/>
        <w:ind w:firstLine="2692" w:firstLineChars="745"/>
        <w:rPr>
          <w:rFonts w:ascii="宋体" w:hAnsi="宋体" w:cs="宋体"/>
          <w:b/>
          <w:color w:val="auto"/>
          <w:sz w:val="36"/>
          <w:highlight w:val="none"/>
        </w:rPr>
      </w:pPr>
    </w:p>
    <w:p w14:paraId="11E071F1">
      <w:pPr>
        <w:spacing w:line="360" w:lineRule="exact"/>
        <w:jc w:val="both"/>
        <w:rPr>
          <w:rFonts w:hint="eastAsia" w:ascii="宋体" w:hAnsi="宋体" w:cs="宋体"/>
          <w:b/>
          <w:color w:val="auto"/>
          <w:sz w:val="32"/>
          <w:szCs w:val="24"/>
          <w:highlight w:val="none"/>
        </w:rPr>
        <w:sectPr>
          <w:headerReference r:id="rId6" w:type="default"/>
          <w:footerReference r:id="rId7" w:type="default"/>
          <w:pgSz w:w="11906" w:h="16838"/>
          <w:pgMar w:top="1474" w:right="1531" w:bottom="1474" w:left="153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390D1F4">
      <w:pPr>
        <w:pStyle w:val="9"/>
        <w:jc w:val="center"/>
        <w:rPr>
          <w:rFonts w:hint="eastAsia" w:ascii="Calibri" w:hAnsi="宋体"/>
          <w:b/>
          <w:color w:val="auto"/>
          <w:sz w:val="36"/>
          <w:szCs w:val="36"/>
          <w:highlight w:val="none"/>
        </w:rPr>
      </w:pPr>
    </w:p>
    <w:p w14:paraId="027326CB">
      <w:pPr>
        <w:pStyle w:val="9"/>
        <w:jc w:val="center"/>
        <w:rPr>
          <w:rFonts w:ascii="Calibri" w:hAnsi="宋体"/>
          <w:b/>
          <w:color w:val="auto"/>
          <w:sz w:val="36"/>
          <w:szCs w:val="36"/>
          <w:highlight w:val="none"/>
        </w:rPr>
      </w:pPr>
      <w:r>
        <w:rPr>
          <w:rFonts w:hint="eastAsia" w:ascii="Calibri" w:hAnsi="宋体"/>
          <w:b/>
          <w:color w:val="auto"/>
          <w:sz w:val="36"/>
          <w:szCs w:val="36"/>
          <w:highlight w:val="none"/>
        </w:rPr>
        <w:t>电子交易须知</w:t>
      </w:r>
    </w:p>
    <w:p w14:paraId="19D24061">
      <w:pPr>
        <w:spacing w:before="120" w:after="120" w:line="360" w:lineRule="auto"/>
        <w:ind w:firstLine="480" w:firstLineChars="200"/>
        <w:rPr>
          <w:rFonts w:ascii="Calibri" w:hAnsi="宋体"/>
          <w:b/>
          <w:color w:val="auto"/>
          <w:sz w:val="24"/>
          <w:highlight w:val="none"/>
        </w:rPr>
      </w:pPr>
      <w:r>
        <w:rPr>
          <w:rFonts w:hint="eastAsia" w:ascii="Calibri" w:hAnsi="宋体"/>
          <w:b/>
          <w:color w:val="auto"/>
          <w:sz w:val="24"/>
          <w:highlight w:val="none"/>
        </w:rPr>
        <w:t>1、本次采购采用电子交易方式，电子交易平台为“政府采购云平台（www.zcygov.cn）”。供应商参与本项目电子交易活动前，应注册成为政府采购云平台供应商。编制电子</w:t>
      </w:r>
      <w:r>
        <w:rPr>
          <w:rFonts w:hint="eastAsia" w:ascii="Calibri" w:hAnsi="宋体"/>
          <w:b/>
          <w:color w:val="auto"/>
          <w:sz w:val="24"/>
          <w:highlight w:val="none"/>
          <w:lang w:eastAsia="zh-CN"/>
        </w:rPr>
        <w:t>响应文件</w:t>
      </w:r>
      <w:r>
        <w:rPr>
          <w:rFonts w:hint="eastAsia" w:ascii="Calibri" w:hAnsi="宋体"/>
          <w:b/>
          <w:color w:val="auto"/>
          <w:sz w:val="24"/>
          <w:highlight w:val="none"/>
        </w:rPr>
        <w:t>前还需申领CA证书并绑定帐号，CA获取地址请查看</w:t>
      </w:r>
      <w:r>
        <w:rPr>
          <w:rFonts w:hint="eastAsia" w:ascii="Calibri" w:hAnsi="宋体"/>
          <w:b/>
          <w:color w:val="auto"/>
          <w:sz w:val="24"/>
          <w:highlight w:val="none"/>
          <w:lang w:eastAsia="zh-CN"/>
        </w:rPr>
        <w:t>采购公告</w:t>
      </w:r>
      <w:r>
        <w:rPr>
          <w:rFonts w:hint="eastAsia" w:ascii="Calibri" w:hAnsi="宋体"/>
          <w:b/>
          <w:color w:val="auto"/>
          <w:sz w:val="24"/>
          <w:highlight w:val="none"/>
        </w:rPr>
        <w:t>下方附件《</w:t>
      </w:r>
      <w:r>
        <w:rPr>
          <w:rFonts w:hint="eastAsia" w:ascii="Calibri" w:hAnsi="宋体"/>
          <w:b/>
          <w:color w:val="auto"/>
          <w:sz w:val="24"/>
          <w:highlight w:val="none"/>
          <w:u w:val="single"/>
        </w:rPr>
        <w:t>全疆服务机构联系表》</w:t>
      </w:r>
      <w:r>
        <w:rPr>
          <w:rFonts w:hint="eastAsia" w:ascii="Calibri" w:hAnsi="宋体"/>
          <w:b/>
          <w:color w:val="auto"/>
          <w:sz w:val="24"/>
          <w:highlight w:val="none"/>
        </w:rPr>
        <w:t>。</w:t>
      </w:r>
    </w:p>
    <w:p w14:paraId="6B703013">
      <w:pPr>
        <w:spacing w:before="120" w:after="120" w:line="360" w:lineRule="auto"/>
        <w:ind w:firstLine="480" w:firstLineChars="200"/>
        <w:rPr>
          <w:rFonts w:ascii="Calibri" w:hAnsi="宋体"/>
          <w:b/>
          <w:color w:val="auto"/>
          <w:sz w:val="24"/>
          <w:highlight w:val="none"/>
        </w:rPr>
      </w:pPr>
      <w:r>
        <w:rPr>
          <w:rFonts w:hint="eastAsia" w:ascii="Calibri" w:hAnsi="宋体"/>
          <w:b/>
          <w:color w:val="auto"/>
          <w:sz w:val="24"/>
          <w:highlight w:val="none"/>
        </w:rPr>
        <w:t>2、供应商编制电子</w:t>
      </w:r>
      <w:r>
        <w:rPr>
          <w:rFonts w:hint="eastAsia" w:ascii="Calibri" w:hAnsi="宋体"/>
          <w:b/>
          <w:color w:val="auto"/>
          <w:sz w:val="24"/>
          <w:highlight w:val="none"/>
          <w:lang w:eastAsia="zh-CN"/>
        </w:rPr>
        <w:t>响应文件</w:t>
      </w:r>
      <w:r>
        <w:rPr>
          <w:rFonts w:hint="eastAsia" w:ascii="Calibri" w:hAnsi="宋体"/>
          <w:b/>
          <w:color w:val="auto"/>
          <w:sz w:val="24"/>
          <w:highlight w:val="none"/>
        </w:rPr>
        <w:t>应安装“电子招投标供应商客户端”软件，并按照本</w:t>
      </w:r>
      <w:r>
        <w:rPr>
          <w:rFonts w:hint="eastAsia" w:ascii="Calibri" w:hAnsi="宋体"/>
          <w:b/>
          <w:color w:val="auto"/>
          <w:sz w:val="24"/>
          <w:highlight w:val="none"/>
          <w:lang w:eastAsia="zh-CN"/>
        </w:rPr>
        <w:t>采购文件</w:t>
      </w:r>
      <w:r>
        <w:rPr>
          <w:rFonts w:hint="eastAsia" w:ascii="Calibri" w:hAnsi="宋体"/>
          <w:b/>
          <w:color w:val="auto"/>
          <w:sz w:val="24"/>
          <w:highlight w:val="none"/>
        </w:rPr>
        <w:t>和电子招投标供应商客户端的要求编制并加密</w:t>
      </w:r>
      <w:r>
        <w:rPr>
          <w:rFonts w:hint="eastAsia" w:ascii="Calibri" w:hAnsi="宋体"/>
          <w:b/>
          <w:color w:val="auto"/>
          <w:sz w:val="24"/>
          <w:highlight w:val="none"/>
          <w:lang w:eastAsia="zh-CN"/>
        </w:rPr>
        <w:t>响应文件</w:t>
      </w:r>
      <w:r>
        <w:rPr>
          <w:rFonts w:hint="eastAsia" w:ascii="Calibri" w:hAnsi="宋体"/>
          <w:b/>
          <w:color w:val="auto"/>
          <w:sz w:val="24"/>
          <w:highlight w:val="none"/>
        </w:rPr>
        <w:t>。未按规定加密的</w:t>
      </w:r>
      <w:r>
        <w:rPr>
          <w:rFonts w:hint="eastAsia" w:ascii="Calibri" w:hAnsi="宋体"/>
          <w:b/>
          <w:color w:val="auto"/>
          <w:sz w:val="24"/>
          <w:highlight w:val="none"/>
          <w:lang w:eastAsia="zh-CN"/>
        </w:rPr>
        <w:t>响应文件</w:t>
      </w:r>
      <w:r>
        <w:rPr>
          <w:rFonts w:hint="eastAsia" w:ascii="Calibri" w:hAnsi="宋体"/>
          <w:b/>
          <w:color w:val="auto"/>
          <w:sz w:val="24"/>
          <w:highlight w:val="none"/>
        </w:rPr>
        <w:t>，将被电子招投标供应商客户端拒收。“电子招投标供应商客户端”请供应商自行前往“新疆政府采购网—下载专区—新疆维吾尔自治区全流程电子招投标项目管理系统--电子招投标供应商客户端”版块获取。</w:t>
      </w:r>
    </w:p>
    <w:p w14:paraId="5C29A4BF">
      <w:pPr>
        <w:spacing w:before="120" w:after="120" w:line="360" w:lineRule="auto"/>
        <w:ind w:firstLine="480" w:firstLineChars="200"/>
        <w:rPr>
          <w:rFonts w:ascii="Calibri" w:hAnsi="宋体"/>
          <w:b/>
          <w:color w:val="auto"/>
          <w:sz w:val="24"/>
          <w:highlight w:val="none"/>
        </w:rPr>
      </w:pPr>
      <w:r>
        <w:rPr>
          <w:rFonts w:hint="eastAsia" w:ascii="Calibri" w:hAnsi="宋体"/>
          <w:b/>
          <w:color w:val="auto"/>
          <w:sz w:val="24"/>
          <w:highlight w:val="none"/>
        </w:rPr>
        <w:t>3、供应商应当在投标截止时间前，将“电子招投标供应商客户端”生成的“电子加密</w:t>
      </w:r>
      <w:r>
        <w:rPr>
          <w:rFonts w:hint="eastAsia" w:ascii="Calibri" w:hAnsi="宋体"/>
          <w:b/>
          <w:color w:val="auto"/>
          <w:sz w:val="24"/>
          <w:highlight w:val="none"/>
          <w:lang w:eastAsia="zh-CN"/>
        </w:rPr>
        <w:t>响应文件</w:t>
      </w:r>
      <w:r>
        <w:rPr>
          <w:rFonts w:hint="eastAsia" w:ascii="Calibri" w:hAnsi="宋体"/>
          <w:b/>
          <w:color w:val="auto"/>
          <w:sz w:val="24"/>
          <w:highlight w:val="none"/>
        </w:rPr>
        <w:t>”上传电子交易平台。</w:t>
      </w:r>
    </w:p>
    <w:p w14:paraId="47CE94A2">
      <w:pPr>
        <w:spacing w:before="120" w:after="120" w:line="360" w:lineRule="auto"/>
        <w:ind w:firstLine="480" w:firstLineChars="200"/>
        <w:jc w:val="left"/>
        <w:rPr>
          <w:rFonts w:ascii="Calibri" w:hAnsi="宋体"/>
          <w:b/>
          <w:color w:val="auto"/>
          <w:sz w:val="24"/>
          <w:highlight w:val="none"/>
        </w:rPr>
      </w:pPr>
      <w:r>
        <w:rPr>
          <w:rFonts w:hint="eastAsia" w:ascii="Calibri" w:hAnsi="宋体"/>
          <w:b/>
          <w:color w:val="auto"/>
          <w:sz w:val="24"/>
          <w:highlight w:val="none"/>
        </w:rPr>
        <w:t>4、服务与支持。各政府采购代理机构（含集采机构）及供应商对不见面开评标系统的技术操作咨询，可通过</w:t>
      </w:r>
      <w:r>
        <w:rPr>
          <w:rFonts w:ascii="Calibri" w:hAnsi="Calibri"/>
          <w:color w:val="auto"/>
          <w:sz w:val="24"/>
          <w:szCs w:val="20"/>
          <w:highlight w:val="none"/>
        </w:rPr>
        <w:fldChar w:fldCharType="begin"/>
      </w:r>
      <w:r>
        <w:rPr>
          <w:rFonts w:ascii="Calibri" w:hAnsi="Calibri"/>
          <w:color w:val="auto"/>
          <w:sz w:val="24"/>
          <w:szCs w:val="20"/>
          <w:highlight w:val="none"/>
        </w:rPr>
        <w:instrText xml:space="preserve"> HYPERLINK "https://edu.zcygov.cn/luban/xinjiang-e-biding" </w:instrText>
      </w:r>
      <w:r>
        <w:rPr>
          <w:rFonts w:ascii="Calibri" w:hAnsi="Calibri"/>
          <w:color w:val="auto"/>
          <w:sz w:val="24"/>
          <w:szCs w:val="20"/>
          <w:highlight w:val="none"/>
        </w:rPr>
        <w:fldChar w:fldCharType="separate"/>
      </w:r>
      <w:r>
        <w:rPr>
          <w:rFonts w:ascii="Calibri" w:hAnsi="宋体"/>
          <w:b/>
          <w:color w:val="auto"/>
          <w:sz w:val="24"/>
          <w:highlight w:val="none"/>
          <w:u w:val="single"/>
        </w:rPr>
        <w:t>https://edu.zcygov.cn/luban/xinjiang-e-biding</w:t>
      </w:r>
      <w:r>
        <w:rPr>
          <w:rFonts w:ascii="Calibri" w:hAnsi="宋体"/>
          <w:b/>
          <w:color w:val="auto"/>
          <w:sz w:val="24"/>
          <w:highlight w:val="none"/>
          <w:u w:val="single"/>
        </w:rPr>
        <w:fldChar w:fldCharType="end"/>
      </w:r>
      <w:r>
        <w:rPr>
          <w:rFonts w:hint="eastAsia" w:ascii="Calibri" w:hAnsi="宋体"/>
          <w:b/>
          <w:color w:val="auto"/>
          <w:sz w:val="24"/>
          <w:highlight w:val="none"/>
        </w:rPr>
        <w:t>自助查询，也</w:t>
      </w:r>
      <w:r>
        <w:rPr>
          <w:rFonts w:ascii="Calibri" w:hAnsi="宋体"/>
          <w:b/>
          <w:color w:val="auto"/>
          <w:sz w:val="24"/>
          <w:highlight w:val="none"/>
        </w:rPr>
        <w:t>可在政采云帮助中心常见问题解答和操作流程讲解视频中自助查询，网址为：</w:t>
      </w:r>
      <w:r>
        <w:rPr>
          <w:rFonts w:hint="eastAsia" w:ascii="Calibri" w:hAnsi="Calibri"/>
          <w:color w:val="auto"/>
          <w:sz w:val="24"/>
          <w:szCs w:val="20"/>
          <w:highlight w:val="none"/>
        </w:rPr>
        <w:fldChar w:fldCharType="begin"/>
      </w:r>
      <w:r>
        <w:rPr>
          <w:rFonts w:ascii="Calibri" w:hAnsi="Calibri"/>
          <w:color w:val="auto"/>
          <w:sz w:val="24"/>
          <w:szCs w:val="20"/>
          <w:highlight w:val="none"/>
        </w:rPr>
        <w:instrText xml:space="preserve"> HYPERLINK "https://service.zcygov.cn/" \l "/help" </w:instrText>
      </w:r>
      <w:r>
        <w:rPr>
          <w:rFonts w:hint="eastAsia" w:ascii="Calibri" w:hAnsi="Calibri"/>
          <w:color w:val="auto"/>
          <w:sz w:val="24"/>
          <w:szCs w:val="20"/>
          <w:highlight w:val="none"/>
        </w:rPr>
        <w:fldChar w:fldCharType="separate"/>
      </w:r>
      <w:r>
        <w:rPr>
          <w:rFonts w:hint="eastAsia" w:ascii="Calibri" w:hAnsi="宋体"/>
          <w:b/>
          <w:color w:val="auto"/>
          <w:sz w:val="24"/>
          <w:highlight w:val="none"/>
          <w:u w:val="single"/>
        </w:rPr>
        <w:t>https://service.zcygov.cn/#/help</w:t>
      </w:r>
      <w:r>
        <w:rPr>
          <w:rFonts w:hint="eastAsia" w:ascii="Calibri" w:hAnsi="宋体"/>
          <w:b/>
          <w:color w:val="auto"/>
          <w:sz w:val="24"/>
          <w:highlight w:val="none"/>
          <w:u w:val="single"/>
        </w:rPr>
        <w:fldChar w:fldCharType="end"/>
      </w:r>
      <w:r>
        <w:rPr>
          <w:rFonts w:ascii="Calibri" w:hAnsi="宋体"/>
          <w:b/>
          <w:color w:val="auto"/>
          <w:sz w:val="24"/>
          <w:highlight w:val="none"/>
        </w:rPr>
        <w:t>，“项目采购”—“操作流程-电子招投</w:t>
      </w:r>
      <w:r>
        <w:rPr>
          <w:rFonts w:hint="eastAsia" w:ascii="Calibri" w:hAnsi="宋体"/>
          <w:b/>
          <w:color w:val="auto"/>
          <w:sz w:val="24"/>
          <w:highlight w:val="none"/>
        </w:rPr>
        <w:t>标”—</w:t>
      </w:r>
      <w:r>
        <w:rPr>
          <w:rFonts w:ascii="Calibri" w:hAnsi="宋体"/>
          <w:b/>
          <w:color w:val="auto"/>
          <w:sz w:val="24"/>
          <w:highlight w:val="none"/>
        </w:rPr>
        <w:t>“</w:t>
      </w:r>
      <w:r>
        <w:rPr>
          <w:rFonts w:hint="eastAsia" w:ascii="Calibri" w:hAnsi="宋体"/>
          <w:b/>
          <w:color w:val="auto"/>
          <w:sz w:val="24"/>
          <w:highlight w:val="none"/>
        </w:rPr>
        <w:t>政府采购项目电子交易管理操作指南-供应商</w:t>
      </w:r>
      <w:r>
        <w:rPr>
          <w:rFonts w:ascii="Calibri" w:hAnsi="宋体"/>
          <w:b/>
          <w:color w:val="auto"/>
          <w:sz w:val="24"/>
          <w:highlight w:val="none"/>
        </w:rPr>
        <w:t>”</w:t>
      </w:r>
      <w:r>
        <w:rPr>
          <w:rFonts w:hint="eastAsia" w:ascii="Calibri" w:hAnsi="宋体"/>
          <w:b/>
          <w:color w:val="auto"/>
          <w:sz w:val="24"/>
          <w:highlight w:val="none"/>
        </w:rPr>
        <w:t>版面获取操作指南，</w:t>
      </w:r>
      <w:r>
        <w:rPr>
          <w:rFonts w:ascii="Calibri" w:hAnsi="宋体"/>
          <w:b/>
          <w:color w:val="auto"/>
          <w:sz w:val="24"/>
          <w:highlight w:val="none"/>
        </w:rPr>
        <w:t>同时对自助查询无法解决的问题可通过钉钉群及政采云在线客服获取服务支持。</w:t>
      </w:r>
    </w:p>
    <w:p w14:paraId="5273F3C1">
      <w:pPr>
        <w:pStyle w:val="11"/>
        <w:rPr>
          <w:rFonts w:hint="eastAsia"/>
          <w:color w:val="auto"/>
          <w:highlight w:val="none"/>
        </w:rPr>
      </w:pPr>
    </w:p>
    <w:p w14:paraId="66A5EA40">
      <w:pPr>
        <w:pStyle w:val="7"/>
        <w:rPr>
          <w:rFonts w:hint="eastAsia"/>
          <w:color w:val="auto"/>
          <w:highlight w:val="none"/>
        </w:rPr>
      </w:pPr>
    </w:p>
    <w:p w14:paraId="50EC4CB6">
      <w:pPr>
        <w:rPr>
          <w:rFonts w:hint="eastAsia"/>
          <w:color w:val="auto"/>
          <w:highlight w:val="none"/>
        </w:rPr>
      </w:pPr>
    </w:p>
    <w:p w14:paraId="762488B0">
      <w:pPr>
        <w:pStyle w:val="6"/>
        <w:rPr>
          <w:rFonts w:hint="eastAsia"/>
          <w:color w:val="auto"/>
          <w:highlight w:val="none"/>
        </w:rPr>
      </w:pPr>
    </w:p>
    <w:p w14:paraId="27B63C61">
      <w:pPr>
        <w:rPr>
          <w:rFonts w:hint="eastAsia"/>
          <w:color w:val="auto"/>
          <w:highlight w:val="none"/>
        </w:rPr>
      </w:pPr>
    </w:p>
    <w:p w14:paraId="3142469A">
      <w:pPr>
        <w:pStyle w:val="6"/>
        <w:rPr>
          <w:rFonts w:hint="eastAsia"/>
          <w:color w:val="auto"/>
          <w:highlight w:val="none"/>
        </w:rPr>
      </w:pPr>
    </w:p>
    <w:p w14:paraId="079AB00C">
      <w:pPr>
        <w:pStyle w:val="11"/>
        <w:rPr>
          <w:rFonts w:hint="eastAsia"/>
          <w:color w:val="auto"/>
          <w:highlight w:val="none"/>
        </w:rPr>
      </w:pPr>
    </w:p>
    <w:p w14:paraId="616E67DD">
      <w:pPr>
        <w:spacing w:line="360" w:lineRule="exact"/>
        <w:jc w:val="center"/>
        <w:rPr>
          <w:rFonts w:hint="eastAsia" w:ascii="宋体" w:hAnsi="宋体" w:cs="宋体"/>
          <w:b/>
          <w:color w:val="auto"/>
          <w:sz w:val="32"/>
          <w:szCs w:val="24"/>
          <w:highlight w:val="none"/>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514C552F">
      <w:pPr>
        <w:spacing w:line="360" w:lineRule="exact"/>
        <w:jc w:val="center"/>
        <w:rPr>
          <w:rFonts w:hint="eastAsia" w:ascii="宋体" w:hAnsi="宋体" w:eastAsia="宋体" w:cs="宋体"/>
          <w:b/>
          <w:color w:val="auto"/>
          <w:sz w:val="32"/>
          <w:szCs w:val="24"/>
          <w:highlight w:val="none"/>
          <w:lang w:eastAsia="zh-CN"/>
        </w:rPr>
      </w:pPr>
      <w:r>
        <w:rPr>
          <w:rFonts w:hint="eastAsia" w:ascii="宋体" w:hAnsi="宋体" w:cs="宋体"/>
          <w:b/>
          <w:color w:val="auto"/>
          <w:sz w:val="32"/>
          <w:szCs w:val="24"/>
          <w:highlight w:val="none"/>
        </w:rPr>
        <w:t xml:space="preserve">第一章   </w:t>
      </w:r>
      <w:r>
        <w:rPr>
          <w:rFonts w:hint="eastAsia" w:ascii="宋体" w:hAnsi="宋体" w:cs="宋体"/>
          <w:b/>
          <w:color w:val="auto"/>
          <w:sz w:val="32"/>
          <w:szCs w:val="24"/>
          <w:highlight w:val="none"/>
          <w:lang w:eastAsia="zh-CN"/>
        </w:rPr>
        <w:t>采购公告</w:t>
      </w:r>
    </w:p>
    <w:p w14:paraId="00A84341">
      <w:pPr>
        <w:keepNext/>
        <w:keepLines/>
        <w:pageBreakBefore w:val="0"/>
        <w:widowControl w:val="0"/>
        <w:kinsoku/>
        <w:wordWrap/>
        <w:overflowPunct/>
        <w:topLinePunct w:val="0"/>
        <w:autoSpaceDE/>
        <w:autoSpaceDN/>
        <w:bidi w:val="0"/>
        <w:adjustRightInd/>
        <w:snapToGrid/>
        <w:spacing w:before="0" w:after="0" w:line="580" w:lineRule="exact"/>
        <w:jc w:val="center"/>
        <w:textAlignment w:val="auto"/>
        <w:outlineLvl w:val="1"/>
        <w:rPr>
          <w:rFonts w:hint="eastAsia" w:ascii="新宋体" w:hAnsi="新宋体" w:eastAsia="新宋体" w:cs="新宋体"/>
          <w:b/>
          <w:bCs/>
          <w:color w:val="auto"/>
          <w:kern w:val="2"/>
          <w:sz w:val="32"/>
          <w:szCs w:val="32"/>
          <w:highlight w:val="none"/>
          <w:lang w:val="en-US" w:eastAsia="zh-CN" w:bidi="ar-SA"/>
        </w:rPr>
      </w:pPr>
      <w:r>
        <w:rPr>
          <w:rFonts w:hint="eastAsia" w:ascii="新宋体" w:hAnsi="新宋体" w:eastAsia="新宋体" w:cs="新宋体"/>
          <w:b/>
          <w:bCs/>
          <w:color w:val="auto"/>
          <w:kern w:val="2"/>
          <w:sz w:val="32"/>
          <w:szCs w:val="32"/>
          <w:highlight w:val="none"/>
          <w:lang w:val="en-US" w:eastAsia="zh-CN" w:bidi="ar-SA"/>
        </w:rPr>
        <w:t>中华人民共和国都拉塔出入境边防检查站主副食品集中配送服务项目（二次）竞争性磋商公告</w:t>
      </w:r>
    </w:p>
    <w:p w14:paraId="2EF06DF7">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left="0" w:right="0"/>
        <w:jc w:val="left"/>
        <w:textAlignment w:val="auto"/>
        <w:rPr>
          <w:rFonts w:hint="eastAsia" w:ascii="新宋体" w:hAnsi="新宋体" w:eastAsia="新宋体" w:cs="新宋体"/>
          <w:color w:val="auto"/>
          <w:kern w:val="0"/>
          <w:sz w:val="24"/>
          <w:szCs w:val="24"/>
          <w:highlight w:val="none"/>
          <w:lang w:val="en-US" w:eastAsia="zh-CN" w:bidi="ar-SA"/>
        </w:rPr>
      </w:pPr>
      <w:r>
        <w:rPr>
          <w:rFonts w:hint="eastAsia" w:ascii="新宋体" w:hAnsi="新宋体" w:eastAsia="新宋体" w:cs="新宋体"/>
          <w:color w:val="auto"/>
          <w:kern w:val="0"/>
          <w:sz w:val="24"/>
          <w:szCs w:val="24"/>
          <w:highlight w:val="none"/>
          <w:lang w:val="en-US" w:eastAsia="zh-CN" w:bidi="ar-SA"/>
        </w:rPr>
        <w:t>   项目概况</w:t>
      </w:r>
    </w:p>
    <w:p w14:paraId="3C06C679">
      <w:pPr>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60" w:beforeAutospacing="0" w:after="60" w:afterAutospacing="0" w:line="480" w:lineRule="exact"/>
        <w:ind w:right="0" w:firstLine="480" w:firstLineChars="200"/>
        <w:jc w:val="left"/>
        <w:textAlignment w:val="auto"/>
        <w:rPr>
          <w:rFonts w:hint="eastAsia" w:ascii="新宋体" w:hAnsi="新宋体" w:eastAsia="新宋体" w:cs="新宋体"/>
          <w:color w:val="auto"/>
          <w:kern w:val="0"/>
          <w:sz w:val="24"/>
          <w:szCs w:val="24"/>
          <w:highlight w:val="none"/>
          <w:lang w:val="en-US" w:eastAsia="zh-CN" w:bidi="ar-SA"/>
        </w:rPr>
      </w:pPr>
      <w:r>
        <w:rPr>
          <w:rFonts w:hint="eastAsia" w:ascii="新宋体" w:hAnsi="新宋体" w:eastAsia="新宋体" w:cs="新宋体"/>
          <w:color w:val="auto"/>
          <w:kern w:val="0"/>
          <w:sz w:val="24"/>
          <w:szCs w:val="24"/>
          <w:highlight w:val="none"/>
          <w:lang w:val="en-US" w:eastAsia="zh-CN" w:bidi="ar-SA"/>
        </w:rPr>
        <w:t>中华人民共和国都拉塔出入境边防检查站主副食品集中配送服务项目（二次）采购项目的潜在供应商应在政采云平台线上获取采购文件，并于2026年06月10日 10:00（北京时间）前提交响应文件。                   </w:t>
      </w:r>
    </w:p>
    <w:p w14:paraId="3844DB47">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一、项目基本情况</w:t>
      </w:r>
    </w:p>
    <w:p w14:paraId="29007F3D">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项目编号：DLTBJZCG20260</w:t>
      </w:r>
      <w:r>
        <w:rPr>
          <w:rFonts w:hint="eastAsia" w:ascii="新宋体" w:hAnsi="新宋体" w:eastAsia="新宋体" w:cs="新宋体"/>
          <w:color w:val="auto"/>
          <w:sz w:val="24"/>
          <w:szCs w:val="32"/>
          <w:highlight w:val="none"/>
          <w:lang w:val="en-US" w:eastAsia="zh-CN"/>
        </w:rPr>
        <w:t>2-1</w:t>
      </w:r>
      <w:r>
        <w:rPr>
          <w:rFonts w:hint="eastAsia" w:ascii="新宋体" w:hAnsi="新宋体" w:eastAsia="新宋体" w:cs="新宋体"/>
          <w:color w:val="auto"/>
          <w:sz w:val="24"/>
          <w:szCs w:val="32"/>
          <w:highlight w:val="none"/>
        </w:rPr>
        <w:t> </w:t>
      </w:r>
    </w:p>
    <w:p w14:paraId="668A997F">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项目名称：</w:t>
      </w:r>
      <w:r>
        <w:rPr>
          <w:rFonts w:hint="eastAsia" w:ascii="新宋体" w:hAnsi="新宋体" w:eastAsia="新宋体" w:cs="新宋体"/>
          <w:color w:val="auto"/>
          <w:sz w:val="24"/>
          <w:szCs w:val="24"/>
          <w:highlight w:val="none"/>
          <w:lang w:val="en-US" w:eastAsia="zh-CN"/>
        </w:rPr>
        <w:t>中华人民共和国都拉塔出入境边防检查站主副食品集中配送服务项目（二次）</w:t>
      </w:r>
    </w:p>
    <w:p w14:paraId="4A30FE09">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采购方式：竞争性磋商 </w:t>
      </w:r>
    </w:p>
    <w:p w14:paraId="62A56A6A">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预算金额（元）：</w:t>
      </w:r>
      <w:r>
        <w:rPr>
          <w:rFonts w:hint="eastAsia" w:ascii="新宋体" w:hAnsi="新宋体" w:eastAsia="新宋体" w:cs="新宋体"/>
          <w:color w:val="auto"/>
          <w:sz w:val="24"/>
          <w:szCs w:val="32"/>
          <w:highlight w:val="none"/>
          <w:lang w:val="en-US" w:eastAsia="zh-CN"/>
        </w:rPr>
        <w:t>1176000 </w:t>
      </w:r>
    </w:p>
    <w:p w14:paraId="303EC3CA">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最高限价（元）：</w:t>
      </w:r>
      <w:r>
        <w:rPr>
          <w:rFonts w:hint="eastAsia" w:ascii="新宋体" w:hAnsi="新宋体" w:eastAsia="新宋体" w:cs="新宋体"/>
          <w:color w:val="auto"/>
          <w:sz w:val="24"/>
          <w:szCs w:val="32"/>
          <w:highlight w:val="none"/>
          <w:lang w:val="en-US" w:eastAsia="zh-CN"/>
        </w:rPr>
        <w:t>1176000</w:t>
      </w:r>
    </w:p>
    <w:p w14:paraId="7E2C69FA">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采购需求：</w:t>
      </w:r>
    </w:p>
    <w:p w14:paraId="1DB6CC41">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标项名称:</w:t>
      </w:r>
      <w:r>
        <w:rPr>
          <w:rFonts w:hint="eastAsia" w:ascii="新宋体" w:hAnsi="新宋体" w:eastAsia="新宋体" w:cs="新宋体"/>
          <w:color w:val="auto"/>
          <w:sz w:val="24"/>
          <w:szCs w:val="24"/>
          <w:highlight w:val="none"/>
          <w:lang w:val="en-US" w:eastAsia="zh-CN"/>
        </w:rPr>
        <w:t>中华人民共和国都拉塔出入境边防检查站主副食品集中配送服务项目</w:t>
      </w:r>
      <w:r>
        <w:rPr>
          <w:rFonts w:hint="eastAsia" w:ascii="新宋体" w:hAnsi="新宋体" w:eastAsia="新宋体" w:cs="新宋体"/>
          <w:color w:val="auto"/>
          <w:kern w:val="0"/>
          <w:sz w:val="24"/>
          <w:szCs w:val="24"/>
          <w:highlight w:val="none"/>
          <w:lang w:val="en-US" w:eastAsia="zh-CN" w:bidi="ar-SA"/>
        </w:rPr>
        <w:t>（二次）</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数量:</w:t>
      </w:r>
      <w:r>
        <w:rPr>
          <w:rFonts w:hint="eastAsia" w:ascii="新宋体" w:hAnsi="新宋体" w:eastAsia="新宋体" w:cs="新宋体"/>
          <w:color w:val="auto"/>
          <w:sz w:val="24"/>
          <w:szCs w:val="32"/>
          <w:highlight w:val="none"/>
          <w:lang w:val="en-US" w:eastAsia="zh-CN"/>
        </w:rPr>
        <w:t>1</w:t>
      </w:r>
      <w:r>
        <w:rPr>
          <w:rFonts w:hint="eastAsia" w:ascii="新宋体" w:hAnsi="新宋体" w:eastAsia="新宋体" w:cs="新宋体"/>
          <w:color w:val="auto"/>
          <w:sz w:val="24"/>
          <w:szCs w:val="32"/>
          <w:highlight w:val="none"/>
        </w:rPr>
        <w:br w:type="textWrapping"/>
      </w:r>
      <w:r>
        <w:rPr>
          <w:rFonts w:hint="eastAsia" w:ascii="新宋体" w:hAnsi="新宋体" w:eastAsia="新宋体" w:cs="新宋体"/>
          <w:color w:val="auto"/>
          <w:sz w:val="24"/>
          <w:szCs w:val="32"/>
          <w:highlight w:val="none"/>
        </w:rPr>
        <w:t>预算金额（元）:</w:t>
      </w:r>
      <w:r>
        <w:rPr>
          <w:rFonts w:hint="eastAsia" w:ascii="新宋体" w:hAnsi="新宋体" w:eastAsia="新宋体" w:cs="新宋体"/>
          <w:color w:val="auto"/>
          <w:sz w:val="24"/>
          <w:szCs w:val="32"/>
          <w:highlight w:val="none"/>
          <w:lang w:val="en-US" w:eastAsia="zh-CN"/>
        </w:rPr>
        <w:t>1176000</w:t>
      </w:r>
    </w:p>
    <w:p w14:paraId="217E5DAF">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单位：项</w:t>
      </w:r>
    </w:p>
    <w:p w14:paraId="7B0E845A">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简要规格描述：为都拉塔出入境边防检查站提供主副食品配送服务，供货地点新疆伊犁州都拉塔口岸，配送种类包括但不限于蔬菜、水果、肉类、鱼、禽类、禽蛋、大米、面粉、清油及调料等主副食品。</w:t>
      </w:r>
    </w:p>
    <w:p w14:paraId="6E6EF031">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备注： </w:t>
      </w:r>
    </w:p>
    <w:p w14:paraId="5F665B8E">
      <w:pPr>
        <w:bidi w:val="0"/>
        <w:spacing w:line="360" w:lineRule="auto"/>
        <w:rPr>
          <w:rFonts w:hint="eastAsia" w:ascii="新宋体" w:hAnsi="新宋体" w:eastAsia="新宋体" w:cs="新宋体"/>
          <w:color w:val="0000FF"/>
          <w:sz w:val="24"/>
          <w:szCs w:val="32"/>
          <w:highlight w:val="none"/>
        </w:rPr>
      </w:pPr>
      <w:r>
        <w:rPr>
          <w:rFonts w:hint="eastAsia" w:ascii="新宋体" w:hAnsi="新宋体" w:eastAsia="新宋体" w:cs="新宋体"/>
          <w:color w:val="auto"/>
          <w:sz w:val="24"/>
          <w:szCs w:val="32"/>
          <w:highlight w:val="none"/>
        </w:rPr>
        <w:t>合同履约期限：</w:t>
      </w:r>
      <w:r>
        <w:rPr>
          <w:rFonts w:hint="eastAsia" w:ascii="新宋体" w:hAnsi="新宋体" w:eastAsia="新宋体" w:cs="新宋体"/>
          <w:color w:val="auto"/>
          <w:sz w:val="24"/>
          <w:szCs w:val="32"/>
          <w:highlight w:val="none"/>
          <w:lang w:val="en-US" w:eastAsia="zh-CN"/>
        </w:rPr>
        <w:t>自合同签订之日起壹年</w:t>
      </w:r>
      <w:r>
        <w:rPr>
          <w:rFonts w:hint="eastAsia" w:ascii="新宋体" w:hAnsi="新宋体" w:eastAsia="新宋体" w:cs="新宋体"/>
          <w:color w:val="auto"/>
          <w:sz w:val="24"/>
          <w:szCs w:val="32"/>
          <w:highlight w:val="none"/>
        </w:rPr>
        <w:t>。</w:t>
      </w:r>
      <w:r>
        <w:rPr>
          <w:rFonts w:hint="eastAsia" w:ascii="新宋体" w:hAnsi="新宋体" w:eastAsia="新宋体" w:cs="新宋体"/>
          <w:color w:val="0000FF"/>
          <w:sz w:val="24"/>
          <w:szCs w:val="32"/>
          <w:highlight w:val="none"/>
        </w:rPr>
        <w:t> </w:t>
      </w:r>
    </w:p>
    <w:p w14:paraId="5BDFB341">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本项目（否）接受联合体投标。  </w:t>
      </w:r>
    </w:p>
    <w:p w14:paraId="40DEEDCE">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二、申请人的资格要求：</w:t>
      </w:r>
    </w:p>
    <w:p w14:paraId="74C69687">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1.满足《中华人民共和国政府采购法》第二十二条规定；</w:t>
      </w:r>
    </w:p>
    <w:p w14:paraId="50BC46ED">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2.落实政府采购政策需满足的资格要求：本项目专门面向中小企业采购</w:t>
      </w:r>
    </w:p>
    <w:p w14:paraId="2A7FE194">
      <w:pPr>
        <w:bidi w:val="0"/>
        <w:spacing w:line="360" w:lineRule="auto"/>
        <w:rPr>
          <w:rFonts w:hint="eastAsia" w:ascii="新宋体" w:hAnsi="新宋体" w:eastAsia="新宋体" w:cs="新宋体"/>
          <w:color w:val="auto"/>
          <w:sz w:val="24"/>
          <w:szCs w:val="32"/>
          <w:highlight w:val="none"/>
          <w:lang w:eastAsia="zh-CN"/>
        </w:rPr>
      </w:pPr>
      <w:r>
        <w:rPr>
          <w:rFonts w:hint="eastAsia" w:ascii="新宋体" w:hAnsi="新宋体" w:eastAsia="新宋体" w:cs="新宋体"/>
          <w:color w:val="auto"/>
          <w:sz w:val="24"/>
          <w:szCs w:val="32"/>
          <w:highlight w:val="none"/>
        </w:rPr>
        <w:t>3.本项目的特定资格要求：具有有效期内的《食品经营许可证》或《食品生产许可证》</w:t>
      </w:r>
      <w:r>
        <w:rPr>
          <w:rFonts w:hint="eastAsia" w:ascii="新宋体" w:hAnsi="新宋体" w:eastAsia="新宋体" w:cs="新宋体"/>
          <w:color w:val="auto"/>
          <w:sz w:val="24"/>
          <w:szCs w:val="32"/>
          <w:highlight w:val="none"/>
          <w:lang w:eastAsia="zh-CN"/>
        </w:rPr>
        <w:t>。</w:t>
      </w:r>
    </w:p>
    <w:p w14:paraId="47546E43">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三、获取采购文件</w:t>
      </w:r>
    </w:p>
    <w:p w14:paraId="4F6E0965">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时间：202</w:t>
      </w:r>
      <w:r>
        <w:rPr>
          <w:rFonts w:hint="eastAsia" w:ascii="新宋体" w:hAnsi="新宋体" w:eastAsia="新宋体" w:cs="新宋体"/>
          <w:color w:val="auto"/>
          <w:sz w:val="24"/>
          <w:szCs w:val="32"/>
          <w:highlight w:val="none"/>
          <w:lang w:val="en-US" w:eastAsia="zh-CN"/>
        </w:rPr>
        <w:t>6</w:t>
      </w:r>
      <w:r>
        <w:rPr>
          <w:rFonts w:hint="eastAsia" w:ascii="新宋体" w:hAnsi="新宋体" w:eastAsia="新宋体" w:cs="新宋体"/>
          <w:color w:val="auto"/>
          <w:sz w:val="24"/>
          <w:szCs w:val="32"/>
          <w:highlight w:val="none"/>
        </w:rPr>
        <w:t>年</w:t>
      </w:r>
      <w:r>
        <w:rPr>
          <w:rFonts w:hint="eastAsia" w:ascii="新宋体" w:hAnsi="新宋体" w:eastAsia="新宋体" w:cs="新宋体"/>
          <w:color w:val="auto"/>
          <w:sz w:val="24"/>
          <w:szCs w:val="32"/>
          <w:highlight w:val="none"/>
          <w:lang w:val="en-US" w:eastAsia="zh-CN"/>
        </w:rPr>
        <w:t>05</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26</w:t>
      </w:r>
      <w:r>
        <w:rPr>
          <w:rFonts w:hint="eastAsia" w:ascii="新宋体" w:hAnsi="新宋体" w:eastAsia="新宋体" w:cs="新宋体"/>
          <w:color w:val="auto"/>
          <w:sz w:val="24"/>
          <w:szCs w:val="32"/>
          <w:highlight w:val="none"/>
        </w:rPr>
        <w:t>日至202</w:t>
      </w:r>
      <w:r>
        <w:rPr>
          <w:rFonts w:hint="eastAsia" w:ascii="新宋体" w:hAnsi="新宋体" w:eastAsia="新宋体" w:cs="新宋体"/>
          <w:color w:val="auto"/>
          <w:sz w:val="24"/>
          <w:szCs w:val="32"/>
          <w:highlight w:val="none"/>
          <w:lang w:val="en-US" w:eastAsia="zh-CN"/>
        </w:rPr>
        <w:t>6</w:t>
      </w:r>
      <w:r>
        <w:rPr>
          <w:rFonts w:hint="eastAsia" w:ascii="新宋体" w:hAnsi="新宋体" w:eastAsia="新宋体" w:cs="新宋体"/>
          <w:color w:val="auto"/>
          <w:sz w:val="24"/>
          <w:szCs w:val="32"/>
          <w:highlight w:val="none"/>
        </w:rPr>
        <w:t>年</w:t>
      </w:r>
      <w:r>
        <w:rPr>
          <w:rFonts w:hint="eastAsia" w:ascii="新宋体" w:hAnsi="新宋体" w:eastAsia="新宋体" w:cs="新宋体"/>
          <w:color w:val="auto"/>
          <w:sz w:val="24"/>
          <w:szCs w:val="32"/>
          <w:highlight w:val="none"/>
          <w:lang w:val="en-US" w:eastAsia="zh-CN"/>
        </w:rPr>
        <w:t>06</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05</w:t>
      </w:r>
      <w:r>
        <w:rPr>
          <w:rFonts w:hint="eastAsia" w:ascii="新宋体" w:hAnsi="新宋体" w:eastAsia="新宋体" w:cs="新宋体"/>
          <w:color w:val="auto"/>
          <w:sz w:val="24"/>
          <w:szCs w:val="32"/>
          <w:highlight w:val="none"/>
        </w:rPr>
        <w:t>日，每天上午</w:t>
      </w:r>
      <w:r>
        <w:rPr>
          <w:rFonts w:hint="eastAsia" w:ascii="新宋体" w:hAnsi="新宋体" w:eastAsia="新宋体" w:cs="新宋体"/>
          <w:color w:val="auto"/>
          <w:sz w:val="24"/>
          <w:szCs w:val="32"/>
          <w:highlight w:val="none"/>
          <w:lang w:val="en-US" w:eastAsia="zh-CN"/>
        </w:rPr>
        <w:t>00</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0至1</w:t>
      </w:r>
      <w:r>
        <w:rPr>
          <w:rFonts w:hint="eastAsia" w:ascii="新宋体" w:hAnsi="新宋体" w:eastAsia="新宋体" w:cs="新宋体"/>
          <w:color w:val="auto"/>
          <w:sz w:val="24"/>
          <w:szCs w:val="32"/>
          <w:highlight w:val="none"/>
          <w:lang w:val="en-US" w:eastAsia="zh-CN"/>
        </w:rPr>
        <w:t>4</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0，下午1</w:t>
      </w:r>
      <w:r>
        <w:rPr>
          <w:rFonts w:hint="eastAsia" w:ascii="新宋体" w:hAnsi="新宋体" w:eastAsia="新宋体" w:cs="新宋体"/>
          <w:color w:val="auto"/>
          <w:sz w:val="24"/>
          <w:szCs w:val="32"/>
          <w:highlight w:val="none"/>
          <w:lang w:val="en-US" w:eastAsia="zh-CN"/>
        </w:rPr>
        <w:t>4</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00</w:t>
      </w:r>
      <w:r>
        <w:rPr>
          <w:rFonts w:hint="eastAsia" w:ascii="新宋体" w:hAnsi="新宋体" w:eastAsia="新宋体" w:cs="新宋体"/>
          <w:color w:val="auto"/>
          <w:sz w:val="24"/>
          <w:szCs w:val="32"/>
          <w:highlight w:val="none"/>
        </w:rPr>
        <w:t>至</w:t>
      </w:r>
      <w:r>
        <w:rPr>
          <w:rFonts w:hint="eastAsia" w:ascii="新宋体" w:hAnsi="新宋体" w:eastAsia="新宋体" w:cs="新宋体"/>
          <w:color w:val="auto"/>
          <w:sz w:val="24"/>
          <w:szCs w:val="32"/>
          <w:highlight w:val="none"/>
          <w:lang w:val="en-US" w:eastAsia="zh-CN"/>
        </w:rPr>
        <w:t>23</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59</w:t>
      </w:r>
      <w:r>
        <w:rPr>
          <w:rFonts w:hint="eastAsia" w:ascii="新宋体" w:hAnsi="新宋体" w:eastAsia="新宋体" w:cs="新宋体"/>
          <w:color w:val="auto"/>
          <w:sz w:val="24"/>
          <w:szCs w:val="32"/>
          <w:highlight w:val="none"/>
        </w:rPr>
        <w:t>（北京时间，法定节假日除外）</w:t>
      </w:r>
    </w:p>
    <w:p w14:paraId="0EC8F4C0">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地点：政采云平台线上获取 </w:t>
      </w:r>
    </w:p>
    <w:p w14:paraId="1A34BC1F">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20ABFF56">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售价（元）：0 </w:t>
      </w:r>
    </w:p>
    <w:p w14:paraId="33A75233">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四、响应文件提交 </w:t>
      </w:r>
    </w:p>
    <w:p w14:paraId="19E1C0F3">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截止时间：202</w:t>
      </w:r>
      <w:r>
        <w:rPr>
          <w:rFonts w:hint="eastAsia" w:ascii="新宋体" w:hAnsi="新宋体" w:eastAsia="新宋体" w:cs="新宋体"/>
          <w:color w:val="auto"/>
          <w:sz w:val="24"/>
          <w:szCs w:val="32"/>
          <w:highlight w:val="none"/>
          <w:lang w:val="en-US" w:eastAsia="zh-CN"/>
        </w:rPr>
        <w:t>6</w:t>
      </w:r>
      <w:r>
        <w:rPr>
          <w:rFonts w:hint="eastAsia" w:ascii="新宋体" w:hAnsi="新宋体" w:eastAsia="新宋体" w:cs="新宋体"/>
          <w:color w:val="auto"/>
          <w:sz w:val="24"/>
          <w:szCs w:val="32"/>
          <w:highlight w:val="none"/>
        </w:rPr>
        <w:t>年</w:t>
      </w:r>
      <w:r>
        <w:rPr>
          <w:rFonts w:hint="eastAsia" w:ascii="新宋体" w:hAnsi="新宋体" w:eastAsia="新宋体" w:cs="新宋体"/>
          <w:color w:val="auto"/>
          <w:sz w:val="24"/>
          <w:szCs w:val="32"/>
          <w:highlight w:val="none"/>
          <w:lang w:val="en-US" w:eastAsia="zh-CN"/>
        </w:rPr>
        <w:t>06</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10</w:t>
      </w:r>
      <w:r>
        <w:rPr>
          <w:rFonts w:hint="eastAsia" w:ascii="新宋体" w:hAnsi="新宋体" w:eastAsia="新宋体" w:cs="新宋体"/>
          <w:color w:val="auto"/>
          <w:sz w:val="24"/>
          <w:szCs w:val="32"/>
          <w:highlight w:val="none"/>
        </w:rPr>
        <w:t>日 1</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0（北京时间）</w:t>
      </w:r>
    </w:p>
    <w:p w14:paraId="2C326212">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地点：请登录政采云投标客户端投标</w:t>
      </w:r>
    </w:p>
    <w:p w14:paraId="117C7D6B">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b/>
          <w:bCs/>
          <w:color w:val="auto"/>
          <w:sz w:val="24"/>
          <w:szCs w:val="32"/>
          <w:highlight w:val="none"/>
        </w:rPr>
        <w:t>五、响应文件开启</w:t>
      </w:r>
      <w:r>
        <w:rPr>
          <w:rFonts w:hint="eastAsia" w:ascii="新宋体" w:hAnsi="新宋体" w:eastAsia="新宋体" w:cs="新宋体"/>
          <w:color w:val="auto"/>
          <w:sz w:val="24"/>
          <w:szCs w:val="32"/>
          <w:highlight w:val="none"/>
        </w:rPr>
        <w:t> </w:t>
      </w:r>
    </w:p>
    <w:p w14:paraId="5167FB44">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开启时间：202</w:t>
      </w:r>
      <w:r>
        <w:rPr>
          <w:rFonts w:hint="eastAsia" w:ascii="新宋体" w:hAnsi="新宋体" w:eastAsia="新宋体" w:cs="新宋体"/>
          <w:color w:val="auto"/>
          <w:sz w:val="24"/>
          <w:szCs w:val="32"/>
          <w:highlight w:val="none"/>
          <w:lang w:val="en-US" w:eastAsia="zh-CN"/>
        </w:rPr>
        <w:t>6</w:t>
      </w:r>
      <w:r>
        <w:rPr>
          <w:rFonts w:hint="eastAsia" w:ascii="新宋体" w:hAnsi="新宋体" w:eastAsia="新宋体" w:cs="新宋体"/>
          <w:color w:val="auto"/>
          <w:sz w:val="24"/>
          <w:szCs w:val="32"/>
          <w:highlight w:val="none"/>
        </w:rPr>
        <w:t>年</w:t>
      </w:r>
      <w:r>
        <w:rPr>
          <w:rFonts w:hint="eastAsia" w:ascii="新宋体" w:hAnsi="新宋体" w:eastAsia="新宋体" w:cs="新宋体"/>
          <w:color w:val="auto"/>
          <w:sz w:val="24"/>
          <w:szCs w:val="32"/>
          <w:highlight w:val="none"/>
          <w:lang w:val="en-US" w:eastAsia="zh-CN"/>
        </w:rPr>
        <w:t>06</w:t>
      </w:r>
      <w:r>
        <w:rPr>
          <w:rFonts w:hint="eastAsia" w:ascii="新宋体" w:hAnsi="新宋体" w:eastAsia="新宋体" w:cs="新宋体"/>
          <w:color w:val="auto"/>
          <w:sz w:val="24"/>
          <w:szCs w:val="32"/>
          <w:highlight w:val="none"/>
        </w:rPr>
        <w:t>月</w:t>
      </w:r>
      <w:r>
        <w:rPr>
          <w:rFonts w:hint="eastAsia" w:ascii="新宋体" w:hAnsi="新宋体" w:eastAsia="新宋体" w:cs="新宋体"/>
          <w:color w:val="auto"/>
          <w:sz w:val="24"/>
          <w:szCs w:val="32"/>
          <w:highlight w:val="none"/>
          <w:lang w:val="en-US" w:eastAsia="zh-CN"/>
        </w:rPr>
        <w:t>10</w:t>
      </w:r>
      <w:r>
        <w:rPr>
          <w:rFonts w:hint="eastAsia" w:ascii="新宋体" w:hAnsi="新宋体" w:eastAsia="新宋体" w:cs="新宋体"/>
          <w:color w:val="auto"/>
          <w:sz w:val="24"/>
          <w:szCs w:val="32"/>
          <w:highlight w:val="none"/>
        </w:rPr>
        <w:t>日 1</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w:t>
      </w:r>
      <w:r>
        <w:rPr>
          <w:rFonts w:hint="eastAsia" w:ascii="新宋体" w:hAnsi="新宋体" w:eastAsia="新宋体" w:cs="新宋体"/>
          <w:color w:val="auto"/>
          <w:sz w:val="24"/>
          <w:szCs w:val="32"/>
          <w:highlight w:val="none"/>
          <w:lang w:val="en-US" w:eastAsia="zh-CN"/>
        </w:rPr>
        <w:t>0</w:t>
      </w:r>
      <w:r>
        <w:rPr>
          <w:rFonts w:hint="eastAsia" w:ascii="新宋体" w:hAnsi="新宋体" w:eastAsia="新宋体" w:cs="新宋体"/>
          <w:color w:val="auto"/>
          <w:sz w:val="24"/>
          <w:szCs w:val="32"/>
          <w:highlight w:val="none"/>
        </w:rPr>
        <w:t>0（北京时间）</w:t>
      </w:r>
    </w:p>
    <w:p w14:paraId="342AE392">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地点：投标人登录政采云平台https://www.zcygov.cn/，进入“项目采购-开标评标-右边选择对应项目点击“进入项目”进入开标大厅。</w:t>
      </w:r>
    </w:p>
    <w:p w14:paraId="2D77595C">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六、公告期限</w:t>
      </w:r>
    </w:p>
    <w:p w14:paraId="7B3A9F6D">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自本公告发布之日起</w:t>
      </w:r>
      <w:r>
        <w:rPr>
          <w:rFonts w:hint="eastAsia" w:ascii="新宋体" w:hAnsi="新宋体" w:eastAsia="新宋体" w:cs="新宋体"/>
          <w:color w:val="auto"/>
          <w:sz w:val="24"/>
          <w:szCs w:val="32"/>
          <w:highlight w:val="none"/>
          <w:lang w:val="en-US" w:eastAsia="zh-CN"/>
        </w:rPr>
        <w:t>5</w:t>
      </w:r>
      <w:r>
        <w:rPr>
          <w:rFonts w:hint="eastAsia" w:ascii="新宋体" w:hAnsi="新宋体" w:eastAsia="新宋体" w:cs="新宋体"/>
          <w:color w:val="auto"/>
          <w:sz w:val="24"/>
          <w:szCs w:val="32"/>
          <w:highlight w:val="none"/>
        </w:rPr>
        <w:t>个工作日。</w:t>
      </w:r>
    </w:p>
    <w:p w14:paraId="040776C4">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七、其他补充事宜 </w:t>
      </w:r>
    </w:p>
    <w:p w14:paraId="32552226">
      <w:pPr>
        <w:bidi w:val="0"/>
        <w:spacing w:line="360" w:lineRule="auto"/>
        <w:rPr>
          <w:rFonts w:hint="eastAsia" w:ascii="新宋体" w:hAnsi="新宋体" w:eastAsia="新宋体" w:cs="新宋体"/>
          <w:b w:val="0"/>
          <w:bCs w:val="0"/>
          <w:color w:val="auto"/>
          <w:sz w:val="24"/>
          <w:szCs w:val="32"/>
          <w:highlight w:val="none"/>
        </w:rPr>
      </w:pPr>
      <w:r>
        <w:rPr>
          <w:rFonts w:hint="eastAsia" w:ascii="新宋体" w:hAnsi="新宋体" w:eastAsia="新宋体" w:cs="新宋体"/>
          <w:b w:val="0"/>
          <w:bCs w:val="0"/>
          <w:color w:val="auto"/>
          <w:sz w:val="24"/>
          <w:szCs w:val="32"/>
          <w:highlight w:val="none"/>
        </w:rPr>
        <w:t>1、本项目实行网上投标，采用电子投标文件。</w:t>
      </w:r>
    </w:p>
    <w:p w14:paraId="290E3445">
      <w:pPr>
        <w:bidi w:val="0"/>
        <w:spacing w:line="360" w:lineRule="auto"/>
        <w:rPr>
          <w:rFonts w:hint="eastAsia" w:ascii="新宋体" w:hAnsi="新宋体" w:eastAsia="新宋体" w:cs="新宋体"/>
          <w:b w:val="0"/>
          <w:bCs w:val="0"/>
          <w:color w:val="auto"/>
          <w:sz w:val="24"/>
          <w:szCs w:val="32"/>
          <w:highlight w:val="none"/>
        </w:rPr>
      </w:pPr>
      <w:r>
        <w:rPr>
          <w:rFonts w:hint="eastAsia" w:ascii="新宋体" w:hAnsi="新宋体" w:eastAsia="新宋体" w:cs="新宋体"/>
          <w:b w:val="0"/>
          <w:bCs w:val="0"/>
          <w:color w:val="auto"/>
          <w:sz w:val="24"/>
          <w:szCs w:val="32"/>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21E43C8">
      <w:pPr>
        <w:bidi w:val="0"/>
        <w:spacing w:line="360" w:lineRule="auto"/>
        <w:rPr>
          <w:rFonts w:hint="eastAsia" w:ascii="新宋体" w:hAnsi="新宋体" w:eastAsia="新宋体" w:cs="新宋体"/>
          <w:b w:val="0"/>
          <w:bCs w:val="0"/>
          <w:color w:val="auto"/>
          <w:sz w:val="24"/>
          <w:szCs w:val="32"/>
          <w:highlight w:val="none"/>
        </w:rPr>
      </w:pPr>
      <w:r>
        <w:rPr>
          <w:rFonts w:hint="eastAsia" w:ascii="新宋体" w:hAnsi="新宋体" w:eastAsia="新宋体" w:cs="新宋体"/>
          <w:b w:val="0"/>
          <w:bCs w:val="0"/>
          <w:color w:val="auto"/>
          <w:sz w:val="24"/>
          <w:szCs w:val="32"/>
          <w:highlight w:val="none"/>
        </w:rPr>
        <w:t>3、供应商将政采云电子交易客户端下载、安装完成后，可通过账号密码或CA登录客户端进行投标文件的制作。在使用政采云投标客户端时，建议使用WIN7及以上操作系统。</w:t>
      </w:r>
    </w:p>
    <w:p w14:paraId="124E417E">
      <w:pPr>
        <w:bidi w:val="0"/>
        <w:spacing w:line="360" w:lineRule="auto"/>
        <w:rPr>
          <w:rFonts w:hint="eastAsia" w:ascii="新宋体" w:hAnsi="新宋体" w:eastAsia="新宋体" w:cs="新宋体"/>
          <w:b w:val="0"/>
          <w:bCs w:val="0"/>
          <w:color w:val="auto"/>
          <w:sz w:val="24"/>
          <w:szCs w:val="32"/>
          <w:highlight w:val="none"/>
        </w:rPr>
      </w:pPr>
      <w:r>
        <w:rPr>
          <w:rFonts w:hint="eastAsia" w:ascii="新宋体" w:hAnsi="新宋体" w:eastAsia="新宋体" w:cs="新宋体"/>
          <w:b w:val="0"/>
          <w:bCs w:val="0"/>
          <w:color w:val="auto"/>
          <w:sz w:val="24"/>
          <w:szCs w:val="32"/>
          <w:highlight w:val="none"/>
        </w:rPr>
        <w:t xml:space="preserve"> 4、其他事项：本公告在新疆政府采购网和中国政府采购网上发布。  </w:t>
      </w:r>
    </w:p>
    <w:p w14:paraId="0F012A13">
      <w:pPr>
        <w:bidi w:val="0"/>
        <w:spacing w:line="360" w:lineRule="auto"/>
        <w:rPr>
          <w:rFonts w:hint="eastAsia" w:ascii="新宋体" w:hAnsi="新宋体" w:eastAsia="新宋体" w:cs="新宋体"/>
          <w:b w:val="0"/>
          <w:bCs w:val="0"/>
          <w:color w:val="auto"/>
          <w:sz w:val="24"/>
          <w:szCs w:val="32"/>
          <w:highlight w:val="none"/>
        </w:rPr>
      </w:pPr>
      <w:r>
        <w:rPr>
          <w:rFonts w:hint="eastAsia" w:ascii="新宋体" w:hAnsi="新宋体" w:eastAsia="新宋体" w:cs="新宋体"/>
          <w:b/>
          <w:bCs/>
          <w:color w:val="auto"/>
          <w:sz w:val="24"/>
          <w:szCs w:val="32"/>
          <w:highlight w:val="none"/>
        </w:rPr>
        <w:t>特别提示：</w:t>
      </w:r>
    </w:p>
    <w:p w14:paraId="577A1EA3">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val="0"/>
          <w:bCs w:val="0"/>
          <w:color w:val="auto"/>
          <w:sz w:val="24"/>
          <w:szCs w:val="32"/>
          <w:highlight w:val="none"/>
        </w:rPr>
        <w:t xml:space="preserve">    </w:t>
      </w:r>
      <w:r>
        <w:rPr>
          <w:rFonts w:hint="eastAsia" w:ascii="新宋体" w:hAnsi="新宋体" w:eastAsia="新宋体" w:cs="新宋体"/>
          <w:b/>
          <w:bCs/>
          <w:color w:val="auto"/>
          <w:sz w:val="24"/>
          <w:szCs w:val="32"/>
          <w:highlight w:val="none"/>
        </w:rPr>
        <w:t>1、采购限额标准以上，200万元以下的货物和服务采购项目、400万元以下的工程采购项目，适宜由中小企业提供的，采购人应当专门面向中小企业采购。</w:t>
      </w:r>
    </w:p>
    <w:p w14:paraId="12742232">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 xml:space="preserve">    2、超过200万元的货物和服务采购项目，预留该部分采购项目预算总额的30%以上专门面向中小企业采购，其中预留给小微企业的比例不低于60%。</w:t>
      </w:r>
    </w:p>
    <w:p w14:paraId="13E711B4">
      <w:p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 xml:space="preserve">    3、超过400万元的工程采购项目中适宜由中小企业提供的，预留该部分采购项目预算总额的40%以上专门面向中小企业采购，其中预留给小微企业的比例不低于60%。</w:t>
      </w:r>
    </w:p>
    <w:p w14:paraId="22CC0F12">
      <w:pPr>
        <w:bidi w:val="0"/>
        <w:spacing w:line="360" w:lineRule="auto"/>
        <w:ind w:firstLine="480"/>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348302">
      <w:pPr>
        <w:numPr>
          <w:ilvl w:val="0"/>
          <w:numId w:val="0"/>
        </w:numPr>
        <w:bidi w:val="0"/>
        <w:spacing w:line="360" w:lineRule="auto"/>
        <w:ind w:firstLine="480" w:firstLineChars="200"/>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lang w:val="en-US" w:eastAsia="zh-CN"/>
        </w:rPr>
        <w:t>5、</w:t>
      </w:r>
      <w:r>
        <w:rPr>
          <w:rFonts w:hint="eastAsia" w:ascii="新宋体" w:hAnsi="新宋体" w:eastAsia="新宋体" w:cs="新宋体"/>
          <w:b/>
          <w:bCs/>
          <w:color w:val="auto"/>
          <w:sz w:val="24"/>
          <w:szCs w:val="32"/>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A18A15E">
      <w:pPr>
        <w:numPr>
          <w:ilvl w:val="0"/>
          <w:numId w:val="0"/>
        </w:numPr>
        <w:bidi w:val="0"/>
        <w:spacing w:line="360" w:lineRule="auto"/>
        <w:rPr>
          <w:rFonts w:hint="eastAsia" w:ascii="新宋体" w:hAnsi="新宋体" w:eastAsia="新宋体" w:cs="新宋体"/>
          <w:b/>
          <w:bCs/>
          <w:color w:val="auto"/>
          <w:sz w:val="24"/>
          <w:szCs w:val="32"/>
          <w:highlight w:val="none"/>
        </w:rPr>
      </w:pPr>
      <w:r>
        <w:rPr>
          <w:rFonts w:hint="eastAsia" w:ascii="新宋体" w:hAnsi="新宋体" w:eastAsia="新宋体" w:cs="新宋体"/>
          <w:b/>
          <w:bCs/>
          <w:color w:val="auto"/>
          <w:sz w:val="24"/>
          <w:szCs w:val="32"/>
          <w:highlight w:val="none"/>
        </w:rPr>
        <w:t>八、凡对本次招标提出询问，请按以下方式联系</w:t>
      </w:r>
    </w:p>
    <w:p w14:paraId="2D04F602">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1.采购人信息</w:t>
      </w:r>
    </w:p>
    <w:p w14:paraId="24A0451F">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名 称：</w:t>
      </w:r>
      <w:r>
        <w:rPr>
          <w:rFonts w:hint="eastAsia" w:ascii="宋体" w:hAnsi="宋体" w:eastAsia="宋体" w:cs="宋体"/>
          <w:bCs/>
          <w:color w:val="auto"/>
          <w:sz w:val="24"/>
          <w:szCs w:val="24"/>
          <w:highlight w:val="none"/>
          <w:lang w:val="en-US" w:eastAsia="zh-CN"/>
        </w:rPr>
        <w:t>中华人民共和国都拉塔出入境边防检查站</w:t>
      </w:r>
      <w:r>
        <w:rPr>
          <w:rFonts w:hint="eastAsia" w:ascii="新宋体" w:hAnsi="新宋体" w:eastAsia="新宋体" w:cs="新宋体"/>
          <w:color w:val="auto"/>
          <w:sz w:val="24"/>
          <w:szCs w:val="32"/>
          <w:highlight w:val="none"/>
        </w:rPr>
        <w:t xml:space="preserve"> </w:t>
      </w:r>
    </w:p>
    <w:p w14:paraId="38883A98">
      <w:pPr>
        <w:bidi w:val="0"/>
        <w:spacing w:line="360" w:lineRule="auto"/>
        <w:rPr>
          <w:rFonts w:hint="eastAsia" w:ascii="宋体" w:hAnsi="宋体" w:eastAsia="宋体" w:cs="宋体"/>
          <w:bCs/>
          <w:color w:val="auto"/>
          <w:sz w:val="24"/>
          <w:szCs w:val="24"/>
          <w:highlight w:val="none"/>
          <w:lang w:val="en-US" w:eastAsia="zh-CN"/>
        </w:rPr>
      </w:pPr>
      <w:r>
        <w:rPr>
          <w:rFonts w:hint="eastAsia" w:ascii="新宋体" w:hAnsi="新宋体" w:eastAsia="新宋体" w:cs="新宋体"/>
          <w:color w:val="auto"/>
          <w:sz w:val="24"/>
          <w:szCs w:val="32"/>
          <w:highlight w:val="none"/>
        </w:rPr>
        <w:t>地 址：</w:t>
      </w:r>
      <w:r>
        <w:rPr>
          <w:rFonts w:hint="eastAsia" w:ascii="宋体" w:hAnsi="宋体" w:eastAsia="宋体" w:cs="宋体"/>
          <w:bCs/>
          <w:color w:val="auto"/>
          <w:sz w:val="24"/>
          <w:szCs w:val="24"/>
          <w:highlight w:val="none"/>
          <w:lang w:val="en-US" w:eastAsia="zh-CN"/>
        </w:rPr>
        <w:t>新疆伊犁州都拉塔口岸</w:t>
      </w:r>
    </w:p>
    <w:p w14:paraId="37E96255">
      <w:pPr>
        <w:bidi w:val="0"/>
        <w:spacing w:line="360" w:lineRule="auto"/>
        <w:rPr>
          <w:rFonts w:hint="eastAsia" w:ascii="新宋体" w:hAnsi="新宋体" w:eastAsia="新宋体" w:cs="新宋体"/>
          <w:color w:val="auto"/>
          <w:sz w:val="24"/>
          <w:szCs w:val="32"/>
          <w:highlight w:val="none"/>
          <w:lang w:eastAsia="zh-CN"/>
        </w:rPr>
      </w:pPr>
      <w:r>
        <w:rPr>
          <w:rFonts w:hint="eastAsia" w:ascii="新宋体" w:hAnsi="新宋体" w:eastAsia="新宋体" w:cs="新宋体"/>
          <w:color w:val="auto"/>
          <w:sz w:val="24"/>
          <w:szCs w:val="32"/>
          <w:highlight w:val="none"/>
        </w:rPr>
        <w:t>联系人</w:t>
      </w:r>
      <w:r>
        <w:rPr>
          <w:rFonts w:hint="eastAsia" w:ascii="新宋体" w:hAnsi="新宋体" w:eastAsia="新宋体" w:cs="新宋体"/>
          <w:color w:val="auto"/>
          <w:sz w:val="24"/>
          <w:szCs w:val="32"/>
          <w:highlight w:val="none"/>
          <w:lang w:eastAsia="zh-CN"/>
        </w:rPr>
        <w:t>：</w:t>
      </w:r>
      <w:r>
        <w:rPr>
          <w:rFonts w:hint="eastAsia" w:ascii="新宋体" w:hAnsi="新宋体" w:eastAsia="新宋体" w:cs="新宋体"/>
          <w:color w:val="auto"/>
          <w:sz w:val="24"/>
          <w:szCs w:val="32"/>
          <w:highlight w:val="none"/>
          <w:lang w:val="en-US" w:eastAsia="zh-CN"/>
        </w:rPr>
        <w:t xml:space="preserve">孙警官  </w:t>
      </w:r>
    </w:p>
    <w:p w14:paraId="58582812">
      <w:pPr>
        <w:bidi w:val="0"/>
        <w:spacing w:line="360" w:lineRule="auto"/>
        <w:rPr>
          <w:rFonts w:hint="default"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联系方式：0999-3947300</w:t>
      </w:r>
      <w:r>
        <w:rPr>
          <w:rFonts w:hint="eastAsia" w:ascii="新宋体" w:hAnsi="新宋体" w:eastAsia="新宋体" w:cs="新宋体"/>
          <w:color w:val="auto"/>
          <w:sz w:val="24"/>
          <w:szCs w:val="32"/>
          <w:highlight w:val="none"/>
          <w:lang w:val="en-US" w:eastAsia="zh-CN"/>
        </w:rPr>
        <w:t xml:space="preserve"> </w:t>
      </w:r>
    </w:p>
    <w:p w14:paraId="0F73048B">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2.采购代理机构信息</w:t>
      </w:r>
    </w:p>
    <w:p w14:paraId="029F3805">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名 称：</w:t>
      </w:r>
      <w:r>
        <w:rPr>
          <w:rFonts w:hint="eastAsia" w:ascii="宋体" w:hAnsi="宋体" w:eastAsia="宋体" w:cs="宋体"/>
          <w:bCs/>
          <w:color w:val="auto"/>
          <w:sz w:val="24"/>
          <w:szCs w:val="24"/>
          <w:highlight w:val="none"/>
          <w:lang w:val="en-US" w:eastAsia="zh-CN"/>
        </w:rPr>
        <w:t>新疆兴立众工程咨询有限责任公司</w:t>
      </w:r>
    </w:p>
    <w:p w14:paraId="32AD5FF9">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地 址：伊宁市大业领地东门商业写字楼3楼302号（金豆豆幼儿园对面</w:t>
      </w:r>
      <w:r>
        <w:rPr>
          <w:rFonts w:hint="eastAsia" w:ascii="新宋体" w:hAnsi="新宋体" w:eastAsia="新宋体" w:cs="新宋体"/>
          <w:color w:val="auto"/>
          <w:sz w:val="24"/>
          <w:szCs w:val="32"/>
          <w:highlight w:val="none"/>
          <w:lang w:eastAsia="zh-CN"/>
        </w:rPr>
        <w:t>）</w:t>
      </w:r>
    </w:p>
    <w:p w14:paraId="6854DAAB">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联系方式：</w:t>
      </w:r>
      <w:r>
        <w:rPr>
          <w:rFonts w:hint="eastAsia" w:ascii="新宋体" w:hAnsi="新宋体" w:eastAsia="新宋体" w:cs="新宋体"/>
          <w:color w:val="auto"/>
          <w:sz w:val="24"/>
          <w:szCs w:val="32"/>
          <w:highlight w:val="none"/>
          <w:lang w:val="en-US" w:eastAsia="zh-CN"/>
        </w:rPr>
        <w:t>18799975092</w:t>
      </w:r>
    </w:p>
    <w:p w14:paraId="1AD28A69">
      <w:pPr>
        <w:bidi w:val="0"/>
        <w:spacing w:line="360" w:lineRule="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3.项目联系方式</w:t>
      </w:r>
    </w:p>
    <w:p w14:paraId="18151DCE">
      <w:pPr>
        <w:bidi w:val="0"/>
        <w:spacing w:line="360" w:lineRule="auto"/>
        <w:rPr>
          <w:rFonts w:hint="eastAsia" w:ascii="新宋体" w:hAnsi="新宋体" w:eastAsia="新宋体" w:cs="新宋体"/>
          <w:color w:val="auto"/>
          <w:sz w:val="24"/>
          <w:szCs w:val="32"/>
          <w:highlight w:val="none"/>
          <w:lang w:val="en-US" w:eastAsia="zh-CN"/>
        </w:rPr>
      </w:pPr>
      <w:r>
        <w:rPr>
          <w:rFonts w:hint="eastAsia" w:ascii="新宋体" w:hAnsi="新宋体" w:eastAsia="新宋体" w:cs="新宋体"/>
          <w:color w:val="auto"/>
          <w:sz w:val="24"/>
          <w:szCs w:val="32"/>
          <w:highlight w:val="none"/>
        </w:rPr>
        <w:t>项目联系人：</w:t>
      </w:r>
      <w:r>
        <w:rPr>
          <w:rFonts w:hint="eastAsia" w:ascii="新宋体" w:hAnsi="新宋体" w:eastAsia="新宋体" w:cs="新宋体"/>
          <w:color w:val="auto"/>
          <w:sz w:val="24"/>
          <w:szCs w:val="32"/>
          <w:highlight w:val="none"/>
          <w:lang w:val="en-US" w:eastAsia="zh-CN"/>
        </w:rPr>
        <w:t xml:space="preserve">康工  </w:t>
      </w:r>
    </w:p>
    <w:p w14:paraId="132D86B1">
      <w:pPr>
        <w:bidi w:val="0"/>
        <w:spacing w:line="360" w:lineRule="auto"/>
        <w:rPr>
          <w:rFonts w:hint="default" w:ascii="新宋体" w:hAnsi="新宋体" w:eastAsia="新宋体" w:cs="新宋体"/>
          <w:color w:val="auto"/>
          <w:sz w:val="24"/>
          <w:szCs w:val="32"/>
          <w:highlight w:val="none"/>
          <w:lang w:val="en-US"/>
        </w:rPr>
      </w:pPr>
      <w:r>
        <w:rPr>
          <w:rFonts w:hint="eastAsia" w:ascii="新宋体" w:hAnsi="新宋体" w:eastAsia="新宋体" w:cs="新宋体"/>
          <w:color w:val="auto"/>
          <w:sz w:val="24"/>
          <w:szCs w:val="32"/>
          <w:highlight w:val="none"/>
        </w:rPr>
        <w:t>电 话：</w:t>
      </w:r>
      <w:r>
        <w:rPr>
          <w:rFonts w:hint="eastAsia" w:ascii="新宋体" w:hAnsi="新宋体" w:eastAsia="新宋体" w:cs="新宋体"/>
          <w:color w:val="auto"/>
          <w:sz w:val="24"/>
          <w:szCs w:val="32"/>
          <w:highlight w:val="none"/>
          <w:lang w:val="en-US" w:eastAsia="zh-CN"/>
        </w:rPr>
        <w:t>18799975092</w:t>
      </w:r>
    </w:p>
    <w:p w14:paraId="56C6E503">
      <w:pPr>
        <w:rPr>
          <w:rFonts w:hint="default" w:ascii="新宋体" w:hAnsi="新宋体" w:eastAsia="新宋体" w:cs="新宋体"/>
          <w:color w:val="auto"/>
          <w:sz w:val="24"/>
          <w:szCs w:val="32"/>
          <w:highlight w:val="none"/>
          <w:lang w:val="en-US"/>
        </w:rPr>
      </w:pPr>
      <w:r>
        <w:rPr>
          <w:rFonts w:hint="default" w:ascii="新宋体" w:hAnsi="新宋体" w:eastAsia="新宋体" w:cs="新宋体"/>
          <w:color w:val="auto"/>
          <w:sz w:val="24"/>
          <w:szCs w:val="32"/>
          <w:highlight w:val="none"/>
          <w:lang w:val="en-US"/>
        </w:rPr>
        <w:br w:type="page"/>
      </w:r>
    </w:p>
    <w:p w14:paraId="01D38C07">
      <w:pPr>
        <w:spacing w:line="360" w:lineRule="exact"/>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第二章   投标须知</w:t>
      </w:r>
    </w:p>
    <w:p w14:paraId="6D680458">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投标须知前附表</w:t>
      </w:r>
    </w:p>
    <w:tbl>
      <w:tblPr>
        <w:tblStyle w:val="23"/>
        <w:tblW w:w="98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773"/>
        <w:gridCol w:w="2493"/>
        <w:gridCol w:w="6542"/>
      </w:tblGrid>
      <w:tr w14:paraId="607506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773" w:type="dxa"/>
            <w:tcBorders>
              <w:tl2br w:val="nil"/>
              <w:tr2bl w:val="nil"/>
            </w:tcBorders>
            <w:vAlign w:val="center"/>
          </w:tcPr>
          <w:p w14:paraId="453C23EB">
            <w:pPr>
              <w:spacing w:line="360" w:lineRule="auto"/>
              <w:jc w:val="center"/>
              <w:rPr>
                <w:rFonts w:ascii="宋体" w:hAnsi="宋体" w:cs="宋体"/>
                <w:color w:val="auto"/>
                <w:sz w:val="24"/>
                <w:szCs w:val="24"/>
                <w:highlight w:val="none"/>
              </w:rPr>
            </w:pPr>
            <w:bookmarkStart w:id="0" w:name="_Toc420948008"/>
            <w:r>
              <w:rPr>
                <w:rFonts w:hint="eastAsia" w:ascii="宋体" w:hAnsi="宋体" w:cs="宋体"/>
                <w:color w:val="auto"/>
                <w:sz w:val="24"/>
                <w:szCs w:val="24"/>
                <w:highlight w:val="none"/>
              </w:rPr>
              <w:t>项号</w:t>
            </w:r>
          </w:p>
        </w:tc>
        <w:tc>
          <w:tcPr>
            <w:tcW w:w="2493" w:type="dxa"/>
            <w:tcBorders>
              <w:tl2br w:val="nil"/>
              <w:tr2bl w:val="nil"/>
            </w:tcBorders>
            <w:vAlign w:val="center"/>
          </w:tcPr>
          <w:p w14:paraId="0D784A1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内    容</w:t>
            </w:r>
          </w:p>
        </w:tc>
        <w:tc>
          <w:tcPr>
            <w:tcW w:w="6542" w:type="dxa"/>
            <w:tcBorders>
              <w:tl2br w:val="nil"/>
              <w:tr2bl w:val="nil"/>
            </w:tcBorders>
            <w:vAlign w:val="top"/>
          </w:tcPr>
          <w:p w14:paraId="79A30B7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说明与要求</w:t>
            </w:r>
          </w:p>
        </w:tc>
      </w:tr>
      <w:tr w14:paraId="3E89C4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03384D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93" w:type="dxa"/>
            <w:tcBorders>
              <w:tl2br w:val="nil"/>
              <w:tr2bl w:val="nil"/>
            </w:tcBorders>
            <w:vAlign w:val="center"/>
          </w:tcPr>
          <w:p w14:paraId="41E2C0F7">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采购人</w:t>
            </w:r>
          </w:p>
        </w:tc>
        <w:tc>
          <w:tcPr>
            <w:tcW w:w="6542" w:type="dxa"/>
            <w:tcBorders>
              <w:tl2br w:val="nil"/>
              <w:tr2bl w:val="nil"/>
            </w:tcBorders>
            <w:vAlign w:val="center"/>
          </w:tcPr>
          <w:p w14:paraId="30C6651B">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bCs/>
                <w:color w:val="auto"/>
                <w:sz w:val="24"/>
                <w:szCs w:val="24"/>
                <w:highlight w:val="none"/>
                <w:lang w:val="en-US" w:eastAsia="zh-CN"/>
              </w:rPr>
              <w:t>中华人民共和国都拉塔出入境边防检查站</w:t>
            </w:r>
            <w:r>
              <w:rPr>
                <w:rFonts w:hint="eastAsia" w:ascii="新宋体" w:hAnsi="新宋体" w:eastAsia="新宋体" w:cs="新宋体"/>
                <w:color w:val="auto"/>
                <w:sz w:val="24"/>
                <w:szCs w:val="32"/>
                <w:highlight w:val="none"/>
              </w:rPr>
              <w:t xml:space="preserve">  </w:t>
            </w:r>
          </w:p>
          <w:p w14:paraId="1DEAB62A">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val="en-US" w:eastAsia="zh-CN"/>
              </w:rPr>
              <w:t>新疆伊犁州都拉塔口岸</w:t>
            </w:r>
          </w:p>
          <w:p w14:paraId="3B6A346D">
            <w:pPr>
              <w:keepNext w:val="0"/>
              <w:keepLines w:val="0"/>
              <w:pageBreakBefore w:val="0"/>
              <w:kinsoku/>
              <w:overflowPunct/>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新宋体" w:hAnsi="新宋体" w:eastAsia="新宋体" w:cs="新宋体"/>
                <w:color w:val="auto"/>
                <w:sz w:val="24"/>
                <w:szCs w:val="32"/>
                <w:highlight w:val="none"/>
                <w:lang w:val="en-US" w:eastAsia="zh-CN"/>
              </w:rPr>
              <w:t xml:space="preserve">孙警官    </w:t>
            </w:r>
            <w:r>
              <w:rPr>
                <w:rFonts w:hint="eastAsia" w:ascii="宋体" w:hAnsi="宋体" w:cs="宋体"/>
                <w:color w:val="auto"/>
                <w:sz w:val="24"/>
                <w:szCs w:val="24"/>
                <w:highlight w:val="none"/>
                <w:lang w:val="en-US" w:eastAsia="zh-CN"/>
              </w:rPr>
              <w:t xml:space="preserve">  </w:t>
            </w:r>
          </w:p>
          <w:p w14:paraId="1546D95B">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联系方式：</w:t>
            </w:r>
            <w:r>
              <w:rPr>
                <w:rFonts w:hint="eastAsia" w:ascii="新宋体" w:hAnsi="新宋体" w:eastAsia="新宋体" w:cs="新宋体"/>
                <w:color w:val="auto"/>
                <w:sz w:val="24"/>
                <w:szCs w:val="32"/>
                <w:highlight w:val="none"/>
                <w:lang w:val="en-US" w:eastAsia="zh-CN"/>
              </w:rPr>
              <w:t xml:space="preserve">0999-3947300 </w:t>
            </w:r>
          </w:p>
        </w:tc>
      </w:tr>
      <w:tr w14:paraId="27D736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D56DEB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93" w:type="dxa"/>
            <w:tcBorders>
              <w:tl2br w:val="nil"/>
              <w:tr2bl w:val="nil"/>
            </w:tcBorders>
            <w:vAlign w:val="center"/>
          </w:tcPr>
          <w:p w14:paraId="5E24460B">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采购代理机构</w:t>
            </w:r>
          </w:p>
        </w:tc>
        <w:tc>
          <w:tcPr>
            <w:tcW w:w="6542" w:type="dxa"/>
            <w:tcBorders>
              <w:tl2br w:val="nil"/>
              <w:tr2bl w:val="nil"/>
            </w:tcBorders>
            <w:vAlign w:val="center"/>
          </w:tcPr>
          <w:p w14:paraId="5EA0CE14">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名称：新疆兴立众工程咨询有限责任公司</w:t>
            </w:r>
          </w:p>
          <w:p w14:paraId="08A98F88">
            <w:pPr>
              <w:keepNext w:val="0"/>
              <w:keepLines w:val="0"/>
              <w:pageBreakBefore w:val="0"/>
              <w:kinsoku/>
              <w:overflowPunct/>
              <w:topLinePunct w:val="0"/>
              <w:bidi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val="zh-CN" w:eastAsia="zh-CN"/>
              </w:rPr>
              <w:t>伊宁市大业领地东门商业写字楼3楼302号（金豆豆幼儿园对面）</w:t>
            </w:r>
          </w:p>
          <w:p w14:paraId="2BFD01DD">
            <w:pPr>
              <w:keepNext w:val="0"/>
              <w:keepLines w:val="0"/>
              <w:pageBreakBefore w:val="0"/>
              <w:kinsoku/>
              <w:overflowPunct/>
              <w:topLinePunct w:val="0"/>
              <w:bidi w:val="0"/>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新宋体" w:hAnsi="新宋体" w:eastAsia="新宋体" w:cs="新宋体"/>
                <w:color w:val="auto"/>
                <w:sz w:val="24"/>
                <w:szCs w:val="32"/>
                <w:highlight w:val="none"/>
                <w:lang w:val="en-US" w:eastAsia="zh-CN"/>
              </w:rPr>
              <w:t>康工</w:t>
            </w:r>
          </w:p>
          <w:p w14:paraId="46A1F747">
            <w:pPr>
              <w:keepNext w:val="0"/>
              <w:keepLines w:val="0"/>
              <w:pageBreakBefore w:val="0"/>
              <w:kinsoku/>
              <w:overflowPunct/>
              <w:topLinePunct w:val="0"/>
              <w:bidi w:val="0"/>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联系方式：</w:t>
            </w:r>
            <w:r>
              <w:rPr>
                <w:rFonts w:hint="eastAsia" w:ascii="新宋体" w:hAnsi="新宋体" w:eastAsia="新宋体" w:cs="新宋体"/>
                <w:color w:val="auto"/>
                <w:sz w:val="24"/>
                <w:szCs w:val="32"/>
                <w:highlight w:val="none"/>
                <w:lang w:val="en-US" w:eastAsia="zh-CN"/>
              </w:rPr>
              <w:t>18799975092</w:t>
            </w:r>
          </w:p>
        </w:tc>
      </w:tr>
      <w:tr w14:paraId="00DDAD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60A8305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93" w:type="dxa"/>
            <w:tcBorders>
              <w:tl2br w:val="nil"/>
              <w:tr2bl w:val="nil"/>
            </w:tcBorders>
            <w:vAlign w:val="center"/>
          </w:tcPr>
          <w:p w14:paraId="2D18E54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采购名称</w:t>
            </w:r>
            <w:r>
              <w:rPr>
                <w:rFonts w:hint="eastAsia" w:ascii="宋体" w:hAnsi="宋体" w:cs="宋体"/>
                <w:color w:val="auto"/>
                <w:kern w:val="2"/>
                <w:sz w:val="24"/>
                <w:szCs w:val="24"/>
                <w:highlight w:val="none"/>
                <w:lang w:val="en-US" w:eastAsia="zh-CN" w:bidi="ar-SA"/>
              </w:rPr>
              <w:t>及编号</w:t>
            </w:r>
          </w:p>
        </w:tc>
        <w:tc>
          <w:tcPr>
            <w:tcW w:w="6542" w:type="dxa"/>
            <w:tcBorders>
              <w:tl2br w:val="nil"/>
              <w:tr2bl w:val="nil"/>
            </w:tcBorders>
            <w:vAlign w:val="center"/>
          </w:tcPr>
          <w:p w14:paraId="44EE6128">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中华人民共和国都拉塔出入境边防检查站主副食品集中配送服务项目（二次）</w:t>
            </w:r>
          </w:p>
          <w:p w14:paraId="4B4D7AB3">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项目编号：</w:t>
            </w:r>
            <w:r>
              <w:rPr>
                <w:rFonts w:hint="eastAsia" w:ascii="新宋体" w:hAnsi="新宋体" w:eastAsia="新宋体" w:cs="新宋体"/>
                <w:color w:val="auto"/>
                <w:sz w:val="24"/>
                <w:szCs w:val="32"/>
                <w:highlight w:val="none"/>
              </w:rPr>
              <w:t>DLTBJZCG20260</w:t>
            </w:r>
            <w:r>
              <w:rPr>
                <w:rFonts w:hint="eastAsia" w:ascii="新宋体" w:hAnsi="新宋体" w:eastAsia="新宋体" w:cs="新宋体"/>
                <w:color w:val="auto"/>
                <w:sz w:val="24"/>
                <w:szCs w:val="32"/>
                <w:highlight w:val="none"/>
                <w:lang w:val="en-US" w:eastAsia="zh-CN"/>
              </w:rPr>
              <w:t>2-1</w:t>
            </w:r>
            <w:r>
              <w:rPr>
                <w:rFonts w:hint="eastAsia" w:ascii="宋体" w:hAnsi="宋体" w:eastAsia="宋体" w:cs="宋体"/>
                <w:color w:val="auto"/>
                <w:sz w:val="24"/>
                <w:szCs w:val="24"/>
                <w:highlight w:val="none"/>
                <w:lang w:val="en-US" w:eastAsia="zh-CN"/>
              </w:rPr>
              <w:t xml:space="preserve"> </w:t>
            </w:r>
          </w:p>
        </w:tc>
      </w:tr>
      <w:tr w14:paraId="4283D8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14:paraId="232DA2A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93" w:type="dxa"/>
            <w:tcBorders>
              <w:tl2br w:val="nil"/>
              <w:tr2bl w:val="nil"/>
            </w:tcBorders>
            <w:vAlign w:val="center"/>
          </w:tcPr>
          <w:p w14:paraId="4873A50A">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项目地点</w:t>
            </w:r>
          </w:p>
        </w:tc>
        <w:tc>
          <w:tcPr>
            <w:tcW w:w="6542" w:type="dxa"/>
            <w:tcBorders>
              <w:tl2br w:val="nil"/>
              <w:tr2bl w:val="nil"/>
            </w:tcBorders>
            <w:vAlign w:val="center"/>
          </w:tcPr>
          <w:p w14:paraId="0499BDFB">
            <w:pPr>
              <w:keepNext w:val="0"/>
              <w:keepLines w:val="0"/>
              <w:pageBreakBefore w:val="0"/>
              <w:kinsoku/>
              <w:overflowPunct/>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新疆伊犁州都拉塔口岸</w:t>
            </w:r>
          </w:p>
        </w:tc>
      </w:tr>
      <w:tr w14:paraId="059067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7" w:hRule="atLeast"/>
          <w:jc w:val="center"/>
        </w:trPr>
        <w:tc>
          <w:tcPr>
            <w:tcW w:w="773" w:type="dxa"/>
            <w:tcBorders>
              <w:tl2br w:val="nil"/>
              <w:tr2bl w:val="nil"/>
            </w:tcBorders>
            <w:vAlign w:val="center"/>
          </w:tcPr>
          <w:p w14:paraId="4E10E84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93" w:type="dxa"/>
            <w:tcBorders>
              <w:tl2br w:val="nil"/>
              <w:tr2bl w:val="nil"/>
            </w:tcBorders>
            <w:vAlign w:val="center"/>
          </w:tcPr>
          <w:p w14:paraId="7712B3C2">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采购范围</w:t>
            </w:r>
          </w:p>
        </w:tc>
        <w:tc>
          <w:tcPr>
            <w:tcW w:w="6542" w:type="dxa"/>
            <w:tcBorders>
              <w:tl2br w:val="nil"/>
              <w:tr2bl w:val="nil"/>
            </w:tcBorders>
            <w:vAlign w:val="center"/>
          </w:tcPr>
          <w:p w14:paraId="066D5F85">
            <w:pPr>
              <w:keepNext w:val="0"/>
              <w:keepLines w:val="0"/>
              <w:pageBreakBefore w:val="0"/>
              <w:kinsoku/>
              <w:overflowPunct/>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w:t>
            </w:r>
            <w:r>
              <w:rPr>
                <w:rFonts w:hint="default" w:ascii="宋体" w:hAnsi="宋体" w:eastAsia="宋体" w:cs="宋体"/>
                <w:color w:val="auto"/>
                <w:sz w:val="24"/>
                <w:szCs w:val="24"/>
                <w:highlight w:val="none"/>
                <w:lang w:val="en-US" w:eastAsia="zh-CN"/>
              </w:rPr>
              <w:t>文件及项目需求包含的全部工作内容</w:t>
            </w:r>
            <w:r>
              <w:rPr>
                <w:rFonts w:hint="eastAsia" w:ascii="宋体" w:hAnsi="宋体" w:cs="宋体"/>
                <w:color w:val="auto"/>
                <w:sz w:val="24"/>
                <w:szCs w:val="24"/>
                <w:highlight w:val="none"/>
                <w:lang w:val="en-US" w:eastAsia="zh-CN"/>
              </w:rPr>
              <w:t>。</w:t>
            </w:r>
          </w:p>
        </w:tc>
      </w:tr>
      <w:tr w14:paraId="6F7B4D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14:paraId="4FA943F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w:t>
            </w:r>
          </w:p>
        </w:tc>
        <w:tc>
          <w:tcPr>
            <w:tcW w:w="2493" w:type="dxa"/>
            <w:tcBorders>
              <w:tl2br w:val="nil"/>
              <w:tr2bl w:val="nil"/>
            </w:tcBorders>
            <w:vAlign w:val="center"/>
          </w:tcPr>
          <w:p w14:paraId="05310050">
            <w:pPr>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采购内容</w:t>
            </w:r>
          </w:p>
        </w:tc>
        <w:tc>
          <w:tcPr>
            <w:tcW w:w="6542" w:type="dxa"/>
            <w:tcBorders>
              <w:tl2br w:val="nil"/>
              <w:tr2bl w:val="nil"/>
            </w:tcBorders>
            <w:vAlign w:val="center"/>
          </w:tcPr>
          <w:p w14:paraId="65D3B2DF">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eastAsia="zh-CN"/>
              </w:rPr>
            </w:pPr>
            <w:r>
              <w:rPr>
                <w:rFonts w:hint="eastAsia" w:ascii="新宋体" w:hAnsi="新宋体" w:eastAsia="新宋体" w:cs="新宋体"/>
                <w:color w:val="auto"/>
                <w:sz w:val="24"/>
                <w:szCs w:val="32"/>
                <w:highlight w:val="none"/>
              </w:rPr>
              <w:t>为都拉塔出入境边防检查站提供主副食品配送服务，供货地点新疆伊犁州都拉塔口岸，配送种类包括但不限于蔬菜、水果、肉类、鱼、禽类、禽蛋、大米、面粉、清油及调料等主副食品。</w:t>
            </w:r>
          </w:p>
        </w:tc>
      </w:tr>
      <w:tr w14:paraId="2942C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9A010F3">
            <w:pPr>
              <w:spacing w:line="360" w:lineRule="auto"/>
              <w:jc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7</w:t>
            </w:r>
          </w:p>
        </w:tc>
        <w:tc>
          <w:tcPr>
            <w:tcW w:w="2493" w:type="dxa"/>
            <w:tcBorders>
              <w:tl2br w:val="nil"/>
              <w:tr2bl w:val="nil"/>
            </w:tcBorders>
            <w:vAlign w:val="center"/>
          </w:tcPr>
          <w:p w14:paraId="3A8DBA3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合同履约期限</w:t>
            </w:r>
          </w:p>
        </w:tc>
        <w:tc>
          <w:tcPr>
            <w:tcW w:w="6542" w:type="dxa"/>
            <w:tcBorders>
              <w:tl2br w:val="nil"/>
              <w:tr2bl w:val="nil"/>
            </w:tcBorders>
            <w:vAlign w:val="center"/>
          </w:tcPr>
          <w:p w14:paraId="58FC5285">
            <w:pPr>
              <w:keepNext w:val="0"/>
              <w:keepLines w:val="0"/>
              <w:pageBreakBefore w:val="0"/>
              <w:kinsoku/>
              <w:overflowPunct/>
              <w:topLinePunct w:val="0"/>
              <w:bidi w:val="0"/>
              <w:spacing w:line="400" w:lineRule="exact"/>
              <w:textAlignment w:val="auto"/>
              <w:rPr>
                <w:rFonts w:hint="default"/>
                <w:color w:val="auto"/>
                <w:highlight w:val="none"/>
                <w:lang w:val="en-US" w:eastAsia="zh-CN"/>
              </w:rPr>
            </w:pPr>
            <w:r>
              <w:rPr>
                <w:rFonts w:hint="default" w:ascii="宋体" w:hAnsi="宋体" w:eastAsia="宋体" w:cs="宋体"/>
                <w:color w:val="auto"/>
                <w:sz w:val="24"/>
                <w:szCs w:val="24"/>
                <w:highlight w:val="none"/>
                <w:lang w:val="en-US" w:eastAsia="zh-CN"/>
              </w:rPr>
              <w:t>自合同签订之日起壹年。</w:t>
            </w:r>
          </w:p>
        </w:tc>
      </w:tr>
      <w:tr w14:paraId="1E4FB4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9" w:hRule="atLeast"/>
          <w:jc w:val="center"/>
        </w:trPr>
        <w:tc>
          <w:tcPr>
            <w:tcW w:w="773" w:type="dxa"/>
            <w:tcBorders>
              <w:tl2br w:val="nil"/>
              <w:tr2bl w:val="nil"/>
            </w:tcBorders>
            <w:vAlign w:val="center"/>
          </w:tcPr>
          <w:p w14:paraId="6040F6D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8</w:t>
            </w:r>
          </w:p>
        </w:tc>
        <w:tc>
          <w:tcPr>
            <w:tcW w:w="2493" w:type="dxa"/>
            <w:tcBorders>
              <w:tl2br w:val="nil"/>
              <w:tr2bl w:val="nil"/>
            </w:tcBorders>
            <w:vAlign w:val="center"/>
          </w:tcPr>
          <w:p w14:paraId="6488152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w:t>
            </w:r>
            <w:r>
              <w:rPr>
                <w:rFonts w:hint="eastAsia" w:ascii="宋体" w:hAnsi="宋体" w:eastAsia="宋体" w:cs="宋体"/>
                <w:color w:val="auto"/>
                <w:sz w:val="24"/>
                <w:szCs w:val="24"/>
                <w:highlight w:val="none"/>
                <w:lang w:val="en-US" w:eastAsia="zh-CN"/>
              </w:rPr>
              <w:t>标准</w:t>
            </w:r>
          </w:p>
        </w:tc>
        <w:tc>
          <w:tcPr>
            <w:tcW w:w="6542" w:type="dxa"/>
            <w:tcBorders>
              <w:tl2br w:val="nil"/>
              <w:tr2bl w:val="nil"/>
            </w:tcBorders>
            <w:vAlign w:val="center"/>
          </w:tcPr>
          <w:p w14:paraId="4F10C1BB">
            <w:pPr>
              <w:keepNext w:val="0"/>
              <w:keepLines w:val="0"/>
              <w:pageBreakBefore w:val="0"/>
              <w:kinsoku/>
              <w:overflowPunct/>
              <w:topLinePunct w:val="0"/>
              <w:bidi w:val="0"/>
              <w:spacing w:line="400" w:lineRule="exact"/>
              <w:textAlignment w:val="auto"/>
              <w:rPr>
                <w:rFonts w:hint="default" w:ascii="宋体" w:hAnsi="宋体" w:eastAsia="宋体" w:cs="宋体"/>
                <w:color w:val="auto"/>
                <w:sz w:val="24"/>
                <w:szCs w:val="24"/>
                <w:highlight w:val="none"/>
                <w:lang w:val="en-US" w:eastAsia="zh-CN"/>
              </w:rPr>
            </w:pPr>
            <w:r>
              <w:rPr>
                <w:rFonts w:hint="eastAsia" w:ascii="新宋体" w:hAnsi="新宋体" w:eastAsia="新宋体" w:cs="新宋体"/>
                <w:color w:val="auto"/>
                <w:sz w:val="24"/>
                <w:szCs w:val="32"/>
                <w:highlight w:val="none"/>
              </w:rPr>
              <w:t>合格</w:t>
            </w:r>
          </w:p>
        </w:tc>
      </w:tr>
      <w:tr w14:paraId="034C30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A4D2B8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493" w:type="dxa"/>
            <w:tcBorders>
              <w:tl2br w:val="nil"/>
              <w:tr2bl w:val="nil"/>
            </w:tcBorders>
            <w:vAlign w:val="center"/>
          </w:tcPr>
          <w:p w14:paraId="0CD1FF7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供应商资格条件</w:t>
            </w:r>
          </w:p>
        </w:tc>
        <w:tc>
          <w:tcPr>
            <w:tcW w:w="6542" w:type="dxa"/>
            <w:tcBorders>
              <w:tl2br w:val="nil"/>
              <w:tr2bl w:val="nil"/>
            </w:tcBorders>
            <w:vAlign w:val="center"/>
          </w:tcPr>
          <w:p w14:paraId="7E165067">
            <w:pPr>
              <w:keepNext w:val="0"/>
              <w:keepLines w:val="0"/>
              <w:pageBreakBefore w:val="0"/>
              <w:kinsoku/>
              <w:overflowPunct/>
              <w:topLinePunct w:val="0"/>
              <w:bidi w:val="0"/>
              <w:spacing w:line="400" w:lineRule="exact"/>
              <w:textAlignment w:val="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1.满足《中华人民共和国政府采购法》第二十二条规定；</w:t>
            </w:r>
          </w:p>
          <w:p w14:paraId="762176E6">
            <w:pPr>
              <w:keepNext w:val="0"/>
              <w:keepLines w:val="0"/>
              <w:pageBreakBefore w:val="0"/>
              <w:kinsoku/>
              <w:overflowPunct/>
              <w:topLinePunct w:val="0"/>
              <w:bidi w:val="0"/>
              <w:spacing w:line="400" w:lineRule="exact"/>
              <w:textAlignment w:val="auto"/>
              <w:rPr>
                <w:rFonts w:hint="eastAsia" w:ascii="新宋体" w:hAnsi="新宋体" w:eastAsia="新宋体" w:cs="新宋体"/>
                <w:color w:val="auto"/>
                <w:sz w:val="24"/>
                <w:szCs w:val="32"/>
                <w:highlight w:val="none"/>
              </w:rPr>
            </w:pPr>
            <w:r>
              <w:rPr>
                <w:rFonts w:hint="eastAsia" w:ascii="新宋体" w:hAnsi="新宋体" w:eastAsia="新宋体" w:cs="新宋体"/>
                <w:color w:val="auto"/>
                <w:sz w:val="24"/>
                <w:szCs w:val="32"/>
                <w:highlight w:val="none"/>
              </w:rPr>
              <w:t>2.落实政府采购政策需满足的资格要求：本项目专门面向中小企业采购</w:t>
            </w:r>
          </w:p>
          <w:p w14:paraId="212B590F">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新宋体" w:hAnsi="新宋体" w:eastAsia="新宋体" w:cs="新宋体"/>
                <w:color w:val="auto"/>
                <w:sz w:val="24"/>
                <w:szCs w:val="32"/>
                <w:highlight w:val="none"/>
              </w:rPr>
              <w:t>3.本项目的特定资格要求：具有有效期内的《食品经营许可证》或《食品生产许可证》</w:t>
            </w:r>
            <w:r>
              <w:rPr>
                <w:rFonts w:hint="eastAsia" w:ascii="新宋体" w:hAnsi="新宋体" w:eastAsia="新宋体" w:cs="新宋体"/>
                <w:color w:val="auto"/>
                <w:sz w:val="24"/>
                <w:szCs w:val="32"/>
                <w:highlight w:val="none"/>
                <w:lang w:eastAsia="zh-CN"/>
              </w:rPr>
              <w:t>；</w:t>
            </w:r>
          </w:p>
        </w:tc>
      </w:tr>
      <w:tr w14:paraId="315AB3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FBD0E5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w:t>
            </w:r>
          </w:p>
        </w:tc>
        <w:tc>
          <w:tcPr>
            <w:tcW w:w="2493" w:type="dxa"/>
            <w:tcBorders>
              <w:tl2br w:val="nil"/>
              <w:tr2bl w:val="nil"/>
            </w:tcBorders>
            <w:vAlign w:val="center"/>
          </w:tcPr>
          <w:p w14:paraId="0D6804A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项目预算金额</w:t>
            </w:r>
          </w:p>
          <w:p w14:paraId="038C3467">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及资金来源</w:t>
            </w:r>
          </w:p>
        </w:tc>
        <w:tc>
          <w:tcPr>
            <w:tcW w:w="6542" w:type="dxa"/>
            <w:tcBorders>
              <w:tl2br w:val="nil"/>
              <w:tr2bl w:val="nil"/>
            </w:tcBorders>
            <w:vAlign w:val="center"/>
          </w:tcPr>
          <w:p w14:paraId="4E6D3E1D">
            <w:pPr>
              <w:keepNext w:val="0"/>
              <w:keepLines w:val="0"/>
              <w:pageBreakBefore w:val="0"/>
              <w:kinsoku/>
              <w:overflowPunct/>
              <w:topLinePunct w:val="0"/>
              <w:bidi w:val="0"/>
              <w:spacing w:line="400" w:lineRule="exact"/>
              <w:textAlignment w:val="auto"/>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预算金额：</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
                <w:color w:val="auto"/>
                <w:sz w:val="24"/>
                <w:szCs w:val="24"/>
                <w:highlight w:val="none"/>
                <w:u w:val="single"/>
                <w:lang w:val="en-US" w:eastAsia="zh-CN"/>
              </w:rPr>
              <w:t>1,176,000.00</w:t>
            </w:r>
            <w:r>
              <w:rPr>
                <w:rFonts w:hint="eastAsia" w:ascii="新宋体" w:hAnsi="新宋体" w:eastAsia="新宋体" w:cs="新宋体"/>
                <w:b/>
                <w:color w:val="auto"/>
                <w:sz w:val="24"/>
                <w:szCs w:val="24"/>
                <w:highlight w:val="none"/>
                <w:u w:val="single"/>
              </w:rPr>
              <w:t>元（大写：</w:t>
            </w:r>
            <w:r>
              <w:rPr>
                <w:rFonts w:hint="eastAsia" w:ascii="新宋体" w:hAnsi="新宋体" w:eastAsia="新宋体" w:cs="新宋体"/>
                <w:b/>
                <w:color w:val="auto"/>
                <w:sz w:val="24"/>
                <w:szCs w:val="24"/>
                <w:highlight w:val="none"/>
                <w:u w:val="single"/>
                <w:lang w:val="en-US" w:eastAsia="zh-CN"/>
              </w:rPr>
              <w:t>壹佰壹拾柒万陆仟元整</w:t>
            </w:r>
            <w:r>
              <w:rPr>
                <w:rFonts w:hint="eastAsia" w:ascii="新宋体" w:hAnsi="新宋体" w:eastAsia="新宋体" w:cs="新宋体"/>
                <w:b/>
                <w:color w:val="auto"/>
                <w:sz w:val="24"/>
                <w:szCs w:val="24"/>
                <w:highlight w:val="none"/>
                <w:u w:val="single"/>
              </w:rPr>
              <w:t>）</w:t>
            </w:r>
            <w:r>
              <w:rPr>
                <w:rFonts w:hint="eastAsia" w:ascii="新宋体" w:hAnsi="新宋体" w:eastAsia="新宋体" w:cs="新宋体"/>
                <w:bCs/>
                <w:color w:val="auto"/>
                <w:sz w:val="24"/>
                <w:szCs w:val="24"/>
                <w:highlight w:val="none"/>
              </w:rPr>
              <w:t>；</w:t>
            </w:r>
          </w:p>
          <w:p w14:paraId="3D84377E">
            <w:pPr>
              <w:keepNext w:val="0"/>
              <w:keepLines w:val="0"/>
              <w:pageBreakBefore w:val="0"/>
              <w:kinsoku/>
              <w:overflowPunct/>
              <w:topLinePunct w:val="0"/>
              <w:bidi w:val="0"/>
              <w:spacing w:line="400" w:lineRule="exact"/>
              <w:textAlignment w:val="auto"/>
              <w:rPr>
                <w:rFonts w:hint="default" w:ascii="宋体" w:hAnsi="宋体" w:eastAsia="新宋体" w:cs="宋体"/>
                <w:color w:val="auto"/>
                <w:kern w:val="2"/>
                <w:sz w:val="24"/>
                <w:szCs w:val="24"/>
                <w:highlight w:val="none"/>
                <w:lang w:val="en-US" w:eastAsia="zh-CN" w:bidi="ar-SA"/>
              </w:rPr>
            </w:pPr>
            <w:r>
              <w:rPr>
                <w:rFonts w:hint="eastAsia" w:ascii="新宋体" w:hAnsi="新宋体" w:eastAsia="新宋体" w:cs="新宋体"/>
                <w:bCs/>
                <w:color w:val="auto"/>
                <w:sz w:val="24"/>
                <w:szCs w:val="24"/>
                <w:highlight w:val="none"/>
                <w:lang w:val="en-US" w:eastAsia="zh-CN"/>
              </w:rPr>
              <w:t>资金来源：财政资金</w:t>
            </w:r>
          </w:p>
        </w:tc>
      </w:tr>
      <w:tr w14:paraId="62C21F1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9C19DE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w:t>
            </w:r>
          </w:p>
        </w:tc>
        <w:tc>
          <w:tcPr>
            <w:tcW w:w="2493" w:type="dxa"/>
            <w:tcBorders>
              <w:tl2br w:val="nil"/>
              <w:tr2bl w:val="nil"/>
            </w:tcBorders>
            <w:vAlign w:val="center"/>
          </w:tcPr>
          <w:p w14:paraId="68F236B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最高限价</w:t>
            </w:r>
          </w:p>
        </w:tc>
        <w:tc>
          <w:tcPr>
            <w:tcW w:w="6542" w:type="dxa"/>
            <w:tcBorders>
              <w:tl2br w:val="nil"/>
              <w:tr2bl w:val="nil"/>
            </w:tcBorders>
            <w:vAlign w:val="center"/>
          </w:tcPr>
          <w:p w14:paraId="2291573E">
            <w:pPr>
              <w:keepNext w:val="0"/>
              <w:keepLines w:val="0"/>
              <w:pageBreakBefore w:val="0"/>
              <w:kinsoku/>
              <w:overflowPunct/>
              <w:topLinePunct w:val="0"/>
              <w:bidi w:val="0"/>
              <w:spacing w:line="400" w:lineRule="exact"/>
              <w:textAlignment w:val="auto"/>
              <w:rPr>
                <w:rFonts w:hint="default" w:ascii="新宋体" w:hAnsi="新宋体" w:eastAsia="新宋体" w:cs="新宋体"/>
                <w:bCs/>
                <w:color w:val="auto"/>
                <w:sz w:val="24"/>
                <w:szCs w:val="24"/>
                <w:highlight w:val="none"/>
                <w:lang w:val="en-US" w:eastAsia="zh-CN"/>
              </w:rPr>
            </w:pPr>
            <w:r>
              <w:rPr>
                <w:rFonts w:hint="default" w:ascii="新宋体" w:hAnsi="新宋体" w:eastAsia="新宋体" w:cs="新宋体"/>
                <w:b w:val="0"/>
                <w:bCs/>
                <w:color w:val="auto"/>
                <w:sz w:val="24"/>
                <w:szCs w:val="24"/>
                <w:highlight w:val="none"/>
                <w:u w:val="none"/>
                <w:lang w:val="en-US" w:eastAsia="zh-CN"/>
              </w:rPr>
              <w:t>本项目投标报价为浮动值报价，只报折扣率</w:t>
            </w:r>
            <w:r>
              <w:rPr>
                <w:rFonts w:hint="eastAsia" w:ascii="新宋体" w:hAnsi="新宋体" w:eastAsia="新宋体" w:cs="新宋体"/>
                <w:bCs/>
                <w:color w:val="auto"/>
                <w:sz w:val="24"/>
                <w:szCs w:val="24"/>
                <w:highlight w:val="none"/>
                <w:lang w:val="en-US" w:eastAsia="zh-CN"/>
              </w:rPr>
              <w:t>如：一件商品原价1000元，现价900元，那么折扣率为90%），</w:t>
            </w:r>
            <w:r>
              <w:rPr>
                <w:rFonts w:hint="default" w:ascii="新宋体" w:hAnsi="新宋体" w:eastAsia="新宋体" w:cs="新宋体"/>
                <w:b w:val="0"/>
                <w:bCs/>
                <w:color w:val="auto"/>
                <w:sz w:val="24"/>
                <w:szCs w:val="24"/>
                <w:highlight w:val="none"/>
                <w:u w:val="none"/>
                <w:lang w:val="en-US" w:eastAsia="zh-CN"/>
              </w:rPr>
              <w:t xml:space="preserve">上限为 </w:t>
            </w:r>
            <w:r>
              <w:rPr>
                <w:rFonts w:hint="eastAsia" w:ascii="新宋体" w:hAnsi="新宋体" w:eastAsia="新宋体" w:cs="新宋体"/>
                <w:b w:val="0"/>
                <w:bCs/>
                <w:color w:val="auto"/>
                <w:sz w:val="24"/>
                <w:szCs w:val="24"/>
                <w:highlight w:val="none"/>
                <w:u w:val="none"/>
                <w:lang w:val="en-US" w:eastAsia="zh-CN"/>
              </w:rPr>
              <w:t>100</w:t>
            </w:r>
            <w:r>
              <w:rPr>
                <w:rFonts w:hint="default" w:ascii="新宋体" w:hAnsi="新宋体" w:eastAsia="新宋体" w:cs="新宋体"/>
                <w:b w:val="0"/>
                <w:bCs/>
                <w:color w:val="auto"/>
                <w:sz w:val="24"/>
                <w:szCs w:val="24"/>
                <w:highlight w:val="none"/>
                <w:u w:val="none"/>
                <w:lang w:val="en-US" w:eastAsia="zh-CN"/>
              </w:rPr>
              <w:t>%（超过上限的投标报价为无效报价），折扣率为 XX%，如报-XX.XX%为无效报价</w:t>
            </w:r>
            <w:r>
              <w:rPr>
                <w:rFonts w:hint="eastAsia" w:ascii="新宋体" w:hAnsi="新宋体" w:eastAsia="新宋体" w:cs="新宋体"/>
                <w:b w:val="0"/>
                <w:bCs/>
                <w:color w:val="auto"/>
                <w:sz w:val="24"/>
                <w:szCs w:val="24"/>
                <w:highlight w:val="none"/>
                <w:u w:val="none"/>
                <w:lang w:val="en-US" w:eastAsia="zh-CN"/>
              </w:rPr>
              <w:t>；</w:t>
            </w:r>
          </w:p>
          <w:p w14:paraId="3D1D8B7A">
            <w:pPr>
              <w:keepNext w:val="0"/>
              <w:keepLines w:val="0"/>
              <w:pageBreakBefore w:val="0"/>
              <w:kinsoku/>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default" w:ascii="新宋体" w:hAnsi="新宋体" w:eastAsia="新宋体" w:cs="新宋体"/>
                <w:b w:val="0"/>
                <w:bCs/>
                <w:color w:val="auto"/>
                <w:sz w:val="24"/>
                <w:szCs w:val="24"/>
                <w:highlight w:val="none"/>
                <w:u w:val="none"/>
                <w:lang w:val="en-US" w:eastAsia="zh-CN"/>
              </w:rPr>
              <w:t>注：</w:t>
            </w:r>
            <w:r>
              <w:rPr>
                <w:rFonts w:hint="eastAsia" w:ascii="新宋体" w:hAnsi="新宋体" w:eastAsia="新宋体" w:cs="新宋体"/>
                <w:b w:val="0"/>
                <w:bCs/>
                <w:color w:val="auto"/>
                <w:sz w:val="24"/>
                <w:szCs w:val="24"/>
                <w:highlight w:val="none"/>
                <w:u w:val="none"/>
                <w:lang w:val="en-US" w:eastAsia="zh-CN"/>
              </w:rPr>
              <w:t>①甲方根据伊犁州察布查尔县主要批发市场各类食材均价每周调整一次主副食品供应基准价。②报价包含所提供的普通增值税发票金额。供货数量及品目以甲方单位当时当月发生的需求为准。③本次招标投标人所报的折扣率</w:t>
            </w:r>
            <w:r>
              <w:rPr>
                <w:rFonts w:hint="default" w:ascii="新宋体" w:hAnsi="新宋体" w:eastAsia="新宋体" w:cs="新宋体"/>
                <w:b w:val="0"/>
                <w:bCs/>
                <w:color w:val="auto"/>
                <w:sz w:val="24"/>
                <w:szCs w:val="24"/>
                <w:highlight w:val="none"/>
                <w:u w:val="none"/>
                <w:lang w:val="en-US" w:eastAsia="zh-CN"/>
              </w:rPr>
              <w:t>在</w:t>
            </w:r>
            <w:r>
              <w:rPr>
                <w:rFonts w:hint="eastAsia" w:ascii="新宋体" w:hAnsi="新宋体" w:eastAsia="新宋体" w:cs="新宋体"/>
                <w:b w:val="0"/>
                <w:bCs/>
                <w:color w:val="auto"/>
                <w:sz w:val="24"/>
                <w:szCs w:val="24"/>
                <w:highlight w:val="none"/>
                <w:u w:val="none"/>
                <w:lang w:val="en-US" w:eastAsia="zh-CN"/>
              </w:rPr>
              <w:t>成交</w:t>
            </w:r>
            <w:r>
              <w:rPr>
                <w:rFonts w:hint="default" w:ascii="新宋体" w:hAnsi="新宋体" w:eastAsia="新宋体" w:cs="新宋体"/>
                <w:b w:val="0"/>
                <w:bCs/>
                <w:color w:val="auto"/>
                <w:sz w:val="24"/>
                <w:szCs w:val="24"/>
                <w:highlight w:val="none"/>
                <w:u w:val="none"/>
                <w:lang w:val="en-US" w:eastAsia="zh-CN"/>
              </w:rPr>
              <w:t>后的合同实施期间应保持不变，即不因市场价格或政策性价格的调整而增减。</w:t>
            </w:r>
          </w:p>
        </w:tc>
      </w:tr>
      <w:tr w14:paraId="573305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8" w:hRule="atLeast"/>
          <w:jc w:val="center"/>
        </w:trPr>
        <w:tc>
          <w:tcPr>
            <w:tcW w:w="773" w:type="dxa"/>
            <w:tcBorders>
              <w:tl2br w:val="nil"/>
              <w:tr2bl w:val="nil"/>
            </w:tcBorders>
            <w:vAlign w:val="center"/>
          </w:tcPr>
          <w:p w14:paraId="5E7EDC04">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2493" w:type="dxa"/>
            <w:tcBorders>
              <w:tl2br w:val="nil"/>
              <w:tr2bl w:val="nil"/>
            </w:tcBorders>
            <w:vAlign w:val="center"/>
          </w:tcPr>
          <w:p w14:paraId="6F614D4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联合体形式</w:t>
            </w:r>
          </w:p>
        </w:tc>
        <w:tc>
          <w:tcPr>
            <w:tcW w:w="6542" w:type="dxa"/>
            <w:tcBorders>
              <w:tl2br w:val="nil"/>
              <w:tr2bl w:val="nil"/>
            </w:tcBorders>
            <w:vAlign w:val="center"/>
          </w:tcPr>
          <w:p w14:paraId="2C7B269A">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不接受</w:t>
            </w:r>
          </w:p>
          <w:p w14:paraId="34BD09A9">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接受</w:t>
            </w:r>
          </w:p>
        </w:tc>
      </w:tr>
      <w:tr w14:paraId="4FF1D0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773" w:type="dxa"/>
            <w:tcBorders>
              <w:tl2br w:val="nil"/>
              <w:tr2bl w:val="nil"/>
            </w:tcBorders>
            <w:vAlign w:val="center"/>
          </w:tcPr>
          <w:p w14:paraId="236FAD8F">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2493" w:type="dxa"/>
            <w:tcBorders>
              <w:tl2br w:val="nil"/>
              <w:tr2bl w:val="nil"/>
            </w:tcBorders>
            <w:vAlign w:val="center"/>
          </w:tcPr>
          <w:p w14:paraId="247CE71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分包</w:t>
            </w:r>
          </w:p>
        </w:tc>
        <w:tc>
          <w:tcPr>
            <w:tcW w:w="6542" w:type="dxa"/>
            <w:tcBorders>
              <w:tl2br w:val="nil"/>
              <w:tr2bl w:val="nil"/>
            </w:tcBorders>
            <w:vAlign w:val="center"/>
          </w:tcPr>
          <w:p w14:paraId="178F16C6">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不允许</w:t>
            </w:r>
          </w:p>
          <w:p w14:paraId="7B1A7118">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允许,分包内容要求</w:t>
            </w:r>
            <w:r>
              <w:rPr>
                <w:rFonts w:hint="eastAsia" w:ascii="宋体" w:hAnsi="宋体" w:cs="宋体"/>
                <w:color w:val="auto"/>
                <w:sz w:val="24"/>
                <w:szCs w:val="24"/>
                <w:highlight w:val="none"/>
                <w:lang w:eastAsia="zh-CN"/>
              </w:rPr>
              <w:t>：</w:t>
            </w:r>
          </w:p>
          <w:p w14:paraId="2B8646DC">
            <w:pPr>
              <w:keepNext w:val="0"/>
              <w:keepLines w:val="0"/>
              <w:pageBreakBefore w:val="0"/>
              <w:kinsoku/>
              <w:overflowPunct/>
              <w:topLinePunct w:val="0"/>
              <w:bidi w:val="0"/>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接受分包供应商资格要求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w:t>
            </w:r>
          </w:p>
        </w:tc>
      </w:tr>
      <w:tr w14:paraId="576CBC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73" w:type="dxa"/>
            <w:tcBorders>
              <w:tl2br w:val="nil"/>
              <w:tr2bl w:val="nil"/>
            </w:tcBorders>
            <w:vAlign w:val="center"/>
          </w:tcPr>
          <w:p w14:paraId="2AD2F2AF">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15</w:t>
            </w:r>
          </w:p>
        </w:tc>
        <w:tc>
          <w:tcPr>
            <w:tcW w:w="2493" w:type="dxa"/>
            <w:tcBorders>
              <w:tl2br w:val="nil"/>
              <w:tr2bl w:val="nil"/>
            </w:tcBorders>
            <w:vAlign w:val="center"/>
          </w:tcPr>
          <w:p w14:paraId="04C8ABB1">
            <w:pPr>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计量单位</w:t>
            </w:r>
          </w:p>
        </w:tc>
        <w:tc>
          <w:tcPr>
            <w:tcW w:w="6542" w:type="dxa"/>
            <w:tcBorders>
              <w:tl2br w:val="nil"/>
              <w:tr2bl w:val="nil"/>
            </w:tcBorders>
            <w:vAlign w:val="center"/>
          </w:tcPr>
          <w:p w14:paraId="0C3386EE">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中华人民共和国法定计量单位</w:t>
            </w:r>
          </w:p>
          <w:p w14:paraId="277B2908">
            <w:pPr>
              <w:keepNext w:val="0"/>
              <w:keepLines w:val="0"/>
              <w:pageBreakBefore w:val="0"/>
              <w:kinsoku/>
              <w:overflowPunct/>
              <w:topLinePunct w:val="0"/>
              <w:bidi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其他：             </w:t>
            </w:r>
          </w:p>
        </w:tc>
      </w:tr>
      <w:tr w14:paraId="625761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24FD10E">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2493" w:type="dxa"/>
            <w:tcBorders>
              <w:tl2br w:val="nil"/>
              <w:tr2bl w:val="nil"/>
            </w:tcBorders>
            <w:vAlign w:val="center"/>
          </w:tcPr>
          <w:p w14:paraId="08E1A069">
            <w:pPr>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现场考察、开标前答疑会</w:t>
            </w:r>
          </w:p>
        </w:tc>
        <w:tc>
          <w:tcPr>
            <w:tcW w:w="6542" w:type="dxa"/>
            <w:tcBorders>
              <w:tl2br w:val="nil"/>
              <w:tr2bl w:val="nil"/>
            </w:tcBorders>
            <w:vAlign w:val="center"/>
          </w:tcPr>
          <w:p w14:paraId="1ED76BB5">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不组织</w:t>
            </w:r>
          </w:p>
          <w:p w14:paraId="786DE2B3">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组织，时  间：         </w:t>
            </w:r>
          </w:p>
          <w:p w14:paraId="58E7D3C0">
            <w:pPr>
              <w:keepNext w:val="0"/>
              <w:keepLines w:val="0"/>
              <w:pageBreakBefore w:val="0"/>
              <w:kinsoku/>
              <w:overflowPunct/>
              <w:topLinePunct w:val="0"/>
              <w:bidi w:val="0"/>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点：         </w:t>
            </w:r>
          </w:p>
          <w:p w14:paraId="2B86E558">
            <w:pPr>
              <w:keepNext w:val="0"/>
              <w:keepLines w:val="0"/>
              <w:pageBreakBefore w:val="0"/>
              <w:kinsoku/>
              <w:overflowPunct/>
              <w:topLinePunct w:val="0"/>
              <w:bidi w:val="0"/>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p>
          <w:p w14:paraId="4F21428D">
            <w:pPr>
              <w:keepNext w:val="0"/>
              <w:keepLines w:val="0"/>
              <w:pageBreakBefore w:val="0"/>
              <w:kinsoku/>
              <w:overflowPunct/>
              <w:topLinePunct w:val="0"/>
              <w:bidi w:val="0"/>
              <w:spacing w:line="40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52949404">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提供期限截止后以书面形式通知。</w:t>
            </w:r>
          </w:p>
        </w:tc>
      </w:tr>
      <w:tr w14:paraId="74E6C6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A95D355">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493" w:type="dxa"/>
            <w:tcBorders>
              <w:tl2br w:val="nil"/>
              <w:tr2bl w:val="nil"/>
            </w:tcBorders>
            <w:vAlign w:val="center"/>
          </w:tcPr>
          <w:p w14:paraId="51A4C35D">
            <w:pPr>
              <w:spacing w:line="360"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投标报价货币要求</w:t>
            </w:r>
          </w:p>
        </w:tc>
        <w:tc>
          <w:tcPr>
            <w:tcW w:w="6542" w:type="dxa"/>
            <w:tcBorders>
              <w:tl2br w:val="nil"/>
              <w:tr2bl w:val="nil"/>
            </w:tcBorders>
            <w:vAlign w:val="center"/>
          </w:tcPr>
          <w:p w14:paraId="4AF39B5C">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所有投标均按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货币进行报价。</w:t>
            </w:r>
          </w:p>
          <w:p w14:paraId="38E3CCFA">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其它：               </w:t>
            </w:r>
          </w:p>
        </w:tc>
      </w:tr>
      <w:tr w14:paraId="67C2C4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7A54DB3">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2493" w:type="dxa"/>
            <w:tcBorders>
              <w:tl2br w:val="nil"/>
              <w:tr2bl w:val="nil"/>
            </w:tcBorders>
            <w:vAlign w:val="center"/>
          </w:tcPr>
          <w:p w14:paraId="1A60C2B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542" w:type="dxa"/>
            <w:tcBorders>
              <w:tl2br w:val="nil"/>
              <w:tr2bl w:val="nil"/>
            </w:tcBorders>
            <w:vAlign w:val="center"/>
          </w:tcPr>
          <w:p w14:paraId="4080F53D">
            <w:pPr>
              <w:keepNext w:val="0"/>
              <w:keepLines w:val="0"/>
              <w:pageBreakBefore w:val="0"/>
              <w:kinsoku/>
              <w:overflowPunct/>
              <w:topLinePunct w:val="0"/>
              <w:bidi w:val="0"/>
              <w:spacing w:line="400" w:lineRule="exac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投标保证金金额：</w:t>
            </w:r>
            <w:r>
              <w:rPr>
                <w:rFonts w:hint="eastAsia" w:ascii="宋体" w:hAnsi="宋体" w:cs="宋体"/>
                <w:b/>
                <w:color w:val="auto"/>
                <w:sz w:val="24"/>
                <w:szCs w:val="24"/>
                <w:highlight w:val="none"/>
                <w:u w:val="single"/>
                <w:lang w:val="en-US" w:eastAsia="zh-CN"/>
              </w:rPr>
              <w:t>贰万元整</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人民币20,000.00元</w:t>
            </w:r>
            <w:r>
              <w:rPr>
                <w:rFonts w:hint="eastAsia" w:ascii="宋体" w:hAnsi="宋体" w:cs="宋体"/>
                <w:b/>
                <w:color w:val="auto"/>
                <w:sz w:val="24"/>
                <w:szCs w:val="24"/>
                <w:highlight w:val="none"/>
                <w:u w:val="single"/>
                <w:lang w:eastAsia="zh-CN"/>
              </w:rPr>
              <w:t>）</w:t>
            </w:r>
          </w:p>
          <w:p w14:paraId="286CD567">
            <w:pPr>
              <w:keepNext w:val="0"/>
              <w:keepLines w:val="0"/>
              <w:pageBreakBefore w:val="0"/>
              <w:kinsoku/>
              <w:overflowPunct/>
              <w:topLinePunct w:val="0"/>
              <w:bidi w:val="0"/>
              <w:spacing w:line="400" w:lineRule="exac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投标保证金交纳方式：</w:t>
            </w:r>
            <w:r>
              <w:rPr>
                <w:rFonts w:hint="eastAsia" w:ascii="宋体" w:hAnsi="宋体" w:cs="宋体"/>
                <w:bCs/>
                <w:color w:val="auto"/>
                <w:sz w:val="24"/>
                <w:szCs w:val="24"/>
                <w:highlight w:val="none"/>
              </w:rPr>
              <w:t>转账支票、</w:t>
            </w:r>
            <w:r>
              <w:rPr>
                <w:rFonts w:hint="eastAsia" w:ascii="宋体" w:hAnsi="宋体" w:cs="宋体"/>
                <w:bCs/>
                <w:color w:val="auto"/>
                <w:sz w:val="24"/>
                <w:szCs w:val="24"/>
                <w:highlight w:val="none"/>
                <w:lang w:val="en-US" w:eastAsia="zh-CN"/>
              </w:rPr>
              <w:t>电汇、</w:t>
            </w:r>
            <w:r>
              <w:rPr>
                <w:rFonts w:hint="eastAsia" w:ascii="宋体" w:hAnsi="宋体" w:cs="宋体"/>
                <w:bCs/>
                <w:color w:val="auto"/>
                <w:sz w:val="24"/>
                <w:szCs w:val="24"/>
                <w:highlight w:val="none"/>
              </w:rPr>
              <w:t>企业网银</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保函</w:t>
            </w:r>
            <w:r>
              <w:rPr>
                <w:rFonts w:hint="eastAsia" w:ascii="宋体" w:hAnsi="宋体" w:cs="宋体"/>
                <w:bCs/>
                <w:color w:val="auto"/>
                <w:sz w:val="24"/>
                <w:szCs w:val="24"/>
                <w:highlight w:val="none"/>
              </w:rPr>
              <w:t>等非现金形式</w:t>
            </w:r>
          </w:p>
          <w:p w14:paraId="2973C1C3">
            <w:pPr>
              <w:keepNext w:val="0"/>
              <w:keepLines w:val="0"/>
              <w:pageBreakBefore w:val="0"/>
              <w:kinsoku/>
              <w:overflowPunct/>
              <w:topLinePunct w:val="0"/>
              <w:bidi w:val="0"/>
              <w:spacing w:line="400" w:lineRule="exact"/>
              <w:textAlignment w:val="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（1）采用网上银行支付方式的</w:t>
            </w:r>
            <w:r>
              <w:rPr>
                <w:rFonts w:hint="eastAsia" w:ascii="宋体" w:hAnsi="宋体" w:cs="宋体"/>
                <w:bCs/>
                <w:color w:val="auto"/>
                <w:sz w:val="24"/>
                <w:szCs w:val="24"/>
                <w:highlight w:val="none"/>
              </w:rPr>
              <w:t>供应商将</w:t>
            </w:r>
            <w:r>
              <w:rPr>
                <w:rFonts w:hint="eastAsia" w:ascii="宋体" w:hAnsi="宋体" w:cs="宋体"/>
                <w:bCs/>
                <w:color w:val="auto"/>
                <w:sz w:val="24"/>
                <w:szCs w:val="24"/>
                <w:highlight w:val="none"/>
                <w:lang w:val="en-US" w:eastAsia="zh-CN"/>
              </w:rPr>
              <w:t>投标保证金</w:t>
            </w:r>
            <w:r>
              <w:rPr>
                <w:rFonts w:hint="eastAsia" w:ascii="宋体" w:hAnsi="宋体" w:cs="宋体"/>
                <w:bCs/>
                <w:color w:val="auto"/>
                <w:sz w:val="24"/>
                <w:szCs w:val="24"/>
                <w:highlight w:val="none"/>
              </w:rPr>
              <w:t>从企业基本帐户汇至以下账户</w:t>
            </w:r>
            <w:r>
              <w:rPr>
                <w:rFonts w:hint="eastAsia" w:ascii="宋体" w:hAnsi="宋体" w:cs="宋体"/>
                <w:bCs/>
                <w:color w:val="auto"/>
                <w:sz w:val="24"/>
                <w:szCs w:val="24"/>
                <w:highlight w:val="none"/>
                <w:lang w:eastAsia="zh-CN"/>
              </w:rPr>
              <w:t>：</w:t>
            </w:r>
          </w:p>
          <w:p w14:paraId="063AD6EC">
            <w:pPr>
              <w:keepNext w:val="0"/>
              <w:keepLines w:val="0"/>
              <w:pageBreakBefore w:val="0"/>
              <w:kinsoku/>
              <w:overflowPunct/>
              <w:topLinePunct w:val="0"/>
              <w:bidi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单位名称：</w:t>
            </w:r>
            <w:r>
              <w:rPr>
                <w:rFonts w:hint="eastAsia" w:ascii="宋体" w:hAnsi="宋体" w:cs="宋体"/>
                <w:bCs/>
                <w:color w:val="auto"/>
                <w:sz w:val="24"/>
                <w:szCs w:val="24"/>
                <w:highlight w:val="none"/>
                <w:lang w:val="zh-CN" w:eastAsia="zh-CN"/>
              </w:rPr>
              <w:t>新疆兴立众工程咨询有限责任公司伊犁第一分公司</w:t>
            </w:r>
          </w:p>
          <w:p w14:paraId="1BB2C672">
            <w:pPr>
              <w:keepNext w:val="0"/>
              <w:keepLines w:val="0"/>
              <w:pageBreakBefore w:val="0"/>
              <w:kinsoku/>
              <w:overflowPunct/>
              <w:topLinePunct w:val="0"/>
              <w:bidi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帐  号：</w:t>
            </w:r>
            <w:r>
              <w:rPr>
                <w:rFonts w:hint="eastAsia" w:ascii="宋体" w:hAnsi="宋体" w:cs="宋体"/>
                <w:bCs/>
                <w:color w:val="auto"/>
                <w:sz w:val="24"/>
                <w:szCs w:val="24"/>
                <w:highlight w:val="none"/>
                <w:lang w:val="zh-CN" w:eastAsia="zh-CN"/>
              </w:rPr>
              <w:t>3006 0239 0910 0112 422</w:t>
            </w:r>
          </w:p>
          <w:p w14:paraId="4438AE38">
            <w:pPr>
              <w:keepNext w:val="0"/>
              <w:keepLines w:val="0"/>
              <w:pageBreakBefore w:val="0"/>
              <w:kinsoku/>
              <w:overflowPunct/>
              <w:topLinePunct w:val="0"/>
              <w:bidi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开 户 行：</w:t>
            </w:r>
            <w:r>
              <w:rPr>
                <w:rFonts w:hint="eastAsia" w:ascii="宋体" w:hAnsi="宋体" w:cs="宋体"/>
                <w:bCs/>
                <w:color w:val="auto"/>
                <w:sz w:val="24"/>
                <w:szCs w:val="24"/>
                <w:highlight w:val="none"/>
                <w:lang w:val="zh-CN" w:eastAsia="zh-CN"/>
              </w:rPr>
              <w:t>中国工商银行股份有限公司伊宁合作区支行</w:t>
            </w:r>
          </w:p>
          <w:p w14:paraId="7FA1B323">
            <w:pPr>
              <w:keepNext w:val="0"/>
              <w:keepLines w:val="0"/>
              <w:pageBreakBefore w:val="0"/>
              <w:kinsoku/>
              <w:overflowPunct/>
              <w:topLinePunct w:val="0"/>
              <w:bidi w:val="0"/>
              <w:spacing w:line="400" w:lineRule="exact"/>
              <w:textAlignment w:val="auto"/>
              <w:rPr>
                <w:rFonts w:hint="eastAsia" w:ascii="宋体" w:hAnsi="宋体" w:cs="宋体" w:eastAsiaTheme="minorEastAsia"/>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投标</w:t>
            </w:r>
            <w:r>
              <w:rPr>
                <w:rFonts w:hint="eastAsia" w:ascii="宋体" w:hAnsi="宋体" w:cs="宋体"/>
                <w:b/>
                <w:bCs w:val="0"/>
                <w:color w:val="auto"/>
                <w:sz w:val="24"/>
                <w:szCs w:val="24"/>
                <w:highlight w:val="none"/>
              </w:rPr>
              <w:t>保证金缴纳截止时间：202</w:t>
            </w:r>
            <w:r>
              <w:rPr>
                <w:rFonts w:hint="eastAsia" w:ascii="宋体" w:hAnsi="宋体" w:cs="宋体"/>
                <w:b/>
                <w:bCs w:val="0"/>
                <w:color w:val="auto"/>
                <w:sz w:val="24"/>
                <w:szCs w:val="24"/>
                <w:highlight w:val="none"/>
                <w:lang w:val="en-US" w:eastAsia="zh-CN"/>
              </w:rPr>
              <w:t>6</w:t>
            </w:r>
            <w:r>
              <w:rPr>
                <w:rFonts w:hint="eastAsia" w:ascii="宋体" w:hAnsi="宋体" w:cs="宋体"/>
                <w:b/>
                <w:bCs w:val="0"/>
                <w:color w:val="auto"/>
                <w:sz w:val="24"/>
                <w:szCs w:val="24"/>
                <w:highlight w:val="none"/>
              </w:rPr>
              <w:t>年</w:t>
            </w:r>
            <w:r>
              <w:rPr>
                <w:rFonts w:hint="eastAsia" w:ascii="宋体" w:hAnsi="宋体" w:cs="宋体"/>
                <w:b/>
                <w:bCs w:val="0"/>
                <w:color w:val="auto"/>
                <w:sz w:val="24"/>
                <w:szCs w:val="24"/>
                <w:highlight w:val="none"/>
                <w:lang w:val="en-US" w:eastAsia="zh-CN"/>
              </w:rPr>
              <w:t>06</w:t>
            </w:r>
            <w:r>
              <w:rPr>
                <w:rFonts w:hint="eastAsia" w:ascii="宋体" w:hAnsi="宋体" w:cs="宋体"/>
                <w:b/>
                <w:bCs w:val="0"/>
                <w:color w:val="auto"/>
                <w:sz w:val="24"/>
                <w:szCs w:val="24"/>
                <w:highlight w:val="none"/>
              </w:rPr>
              <w:t>月</w:t>
            </w:r>
            <w:r>
              <w:rPr>
                <w:rFonts w:hint="eastAsia" w:ascii="宋体" w:hAnsi="宋体" w:cs="宋体"/>
                <w:b/>
                <w:bCs w:val="0"/>
                <w:color w:val="auto"/>
                <w:sz w:val="24"/>
                <w:szCs w:val="24"/>
                <w:highlight w:val="none"/>
                <w:lang w:val="en-US" w:eastAsia="zh-CN"/>
              </w:rPr>
              <w:t>10</w:t>
            </w:r>
            <w:r>
              <w:rPr>
                <w:rFonts w:hint="eastAsia" w:ascii="宋体" w:hAnsi="宋体" w:cs="宋体"/>
                <w:b/>
                <w:bCs w:val="0"/>
                <w:color w:val="auto"/>
                <w:sz w:val="24"/>
                <w:szCs w:val="24"/>
                <w:highlight w:val="none"/>
              </w:rPr>
              <w:t>日 1</w:t>
            </w:r>
            <w:r>
              <w:rPr>
                <w:rFonts w:hint="eastAsia" w:ascii="宋体" w:hAnsi="宋体" w:cs="宋体"/>
                <w:b/>
                <w:bCs w:val="0"/>
                <w:color w:val="auto"/>
                <w:sz w:val="24"/>
                <w:szCs w:val="24"/>
                <w:highlight w:val="none"/>
                <w:lang w:val="en-US" w:eastAsia="zh-CN"/>
              </w:rPr>
              <w:t>0</w:t>
            </w:r>
            <w:r>
              <w:rPr>
                <w:rFonts w:hint="eastAsia" w:ascii="宋体" w:hAnsi="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0</w:t>
            </w:r>
            <w:r>
              <w:rPr>
                <w:rFonts w:hint="eastAsia" w:ascii="宋体" w:hAnsi="宋体" w:cs="宋体"/>
                <w:b/>
                <w:bCs w:val="0"/>
                <w:color w:val="auto"/>
                <w:sz w:val="24"/>
                <w:szCs w:val="24"/>
                <w:highlight w:val="none"/>
              </w:rPr>
              <w:t>0</w:t>
            </w:r>
            <w:r>
              <w:rPr>
                <w:rFonts w:hint="eastAsia" w:ascii="宋体" w:hAnsi="宋体" w:cs="宋体"/>
                <w:b/>
                <w:bCs/>
                <w:color w:val="auto"/>
                <w:sz w:val="24"/>
                <w:szCs w:val="24"/>
                <w:highlight w:val="none"/>
                <w:lang w:val="en-US" w:eastAsia="zh-CN"/>
              </w:rPr>
              <w:t>时</w:t>
            </w:r>
            <w:r>
              <w:rPr>
                <w:rFonts w:hint="eastAsia" w:ascii="宋体" w:hAnsi="宋体" w:cs="宋体"/>
                <w:b/>
                <w:bCs w:val="0"/>
                <w:color w:val="auto"/>
                <w:sz w:val="24"/>
                <w:szCs w:val="24"/>
                <w:highlight w:val="none"/>
              </w:rPr>
              <w:t>之前截止（以实际到账时间为准）</w:t>
            </w:r>
            <w:r>
              <w:rPr>
                <w:rFonts w:hint="eastAsia" w:ascii="宋体" w:hAnsi="宋体" w:cs="宋体"/>
                <w:b/>
                <w:bCs w:val="0"/>
                <w:color w:val="auto"/>
                <w:sz w:val="24"/>
                <w:szCs w:val="24"/>
                <w:highlight w:val="none"/>
                <w:lang w:eastAsia="zh-CN"/>
              </w:rPr>
              <w:t>，须在用途栏中填写项目名称。</w:t>
            </w:r>
          </w:p>
          <w:p w14:paraId="654B27BC">
            <w:pPr>
              <w:keepNext w:val="0"/>
              <w:keepLines w:val="0"/>
              <w:pageBreakBefore w:val="0"/>
              <w:kinsoku/>
              <w:overflowPunct/>
              <w:topLinePunct w:val="0"/>
              <w:bidi w:val="0"/>
              <w:spacing w:line="400" w:lineRule="exact"/>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（2）采用保函形式递交投标保证金的，供应商须在投标截止时间前，将所投项目对应的保函随响应文件一起上传到政采云平台。</w:t>
            </w:r>
          </w:p>
          <w:p w14:paraId="0DF7A5BB">
            <w:pPr>
              <w:keepNext w:val="0"/>
              <w:keepLines w:val="0"/>
              <w:pageBreakBefore w:val="0"/>
              <w:kinsoku/>
              <w:overflowPunct/>
              <w:topLinePunct w:val="0"/>
              <w:bidi w:val="0"/>
              <w:spacing w:line="400" w:lineRule="exact"/>
              <w:textAlignment w:val="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友情提示：银行法定节假日不办理公对公账户电汇业务，请提前办理。投标保证金是否在规定截止时间前到户的风险由投标单位承担，投标保证金在银行的划转需要一定时间，望投标单位尽早缴纳！若投标单位未按要求缴纳或者未按规定时间到账视为未缴纳投标保证金</w:t>
            </w:r>
            <w:r>
              <w:rPr>
                <w:rFonts w:hint="eastAsia" w:ascii="宋体" w:hAnsi="宋体" w:cs="宋体"/>
                <w:bCs/>
                <w:color w:val="auto"/>
                <w:sz w:val="24"/>
                <w:szCs w:val="24"/>
                <w:highlight w:val="none"/>
              </w:rPr>
              <w:t>。</w:t>
            </w:r>
          </w:p>
          <w:p w14:paraId="37302DB8">
            <w:pPr>
              <w:keepNext w:val="0"/>
              <w:keepLines w:val="0"/>
              <w:pageBreakBefore w:val="0"/>
              <w:kinsoku/>
              <w:overflowPunct/>
              <w:topLinePunct w:val="0"/>
              <w:bidi w:val="0"/>
              <w:spacing w:line="400" w:lineRule="exact"/>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投标保证金有效期：投标截止时间后</w:t>
            </w:r>
            <w:r>
              <w:rPr>
                <w:rFonts w:hint="eastAsia" w:ascii="宋体" w:hAnsi="宋体" w:cs="宋体"/>
                <w:bCs/>
                <w:color w:val="auto"/>
                <w:sz w:val="24"/>
                <w:szCs w:val="24"/>
                <w:highlight w:val="none"/>
                <w:lang w:val="en-US" w:eastAsia="zh-CN"/>
              </w:rPr>
              <w:t>60</w:t>
            </w:r>
            <w:r>
              <w:rPr>
                <w:rFonts w:hint="eastAsia" w:ascii="宋体" w:hAnsi="宋体" w:cs="宋体"/>
                <w:bCs/>
                <w:color w:val="auto"/>
                <w:sz w:val="24"/>
                <w:szCs w:val="24"/>
                <w:highlight w:val="none"/>
              </w:rPr>
              <w:t>天。</w:t>
            </w:r>
          </w:p>
        </w:tc>
      </w:tr>
      <w:tr w14:paraId="7590B5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3BE2A953">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9</w:t>
            </w:r>
          </w:p>
        </w:tc>
        <w:tc>
          <w:tcPr>
            <w:tcW w:w="2493" w:type="dxa"/>
            <w:tcBorders>
              <w:tl2br w:val="nil"/>
              <w:tr2bl w:val="nil"/>
            </w:tcBorders>
            <w:vAlign w:val="center"/>
          </w:tcPr>
          <w:p w14:paraId="4583693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542" w:type="dxa"/>
            <w:tcBorders>
              <w:tl2br w:val="nil"/>
              <w:tr2bl w:val="nil"/>
            </w:tcBorders>
            <w:vAlign w:val="center"/>
          </w:tcPr>
          <w:p w14:paraId="0468044C">
            <w:pPr>
              <w:keepNext w:val="0"/>
              <w:keepLines w:val="0"/>
              <w:pageBreakBefore w:val="0"/>
              <w:kinsoku/>
              <w:overflowPunct/>
              <w:topLinePunct w:val="0"/>
              <w:bidi w:val="0"/>
              <w:snapToGrid w:val="0"/>
              <w:spacing w:line="400" w:lineRule="exact"/>
              <w:textAlignment w:val="auto"/>
              <w:rPr>
                <w:rFonts w:ascii="宋体" w:hAnsi="宋体" w:cs="宋体"/>
                <w:color w:val="auto"/>
                <w:szCs w:val="21"/>
                <w:highlight w:val="none"/>
              </w:rPr>
            </w:pPr>
            <w:r>
              <w:rPr>
                <w:rFonts w:hint="eastAsia" w:ascii="宋体" w:hAnsi="宋体" w:cs="宋体"/>
                <w:bCs/>
                <w:color w:val="auto"/>
                <w:sz w:val="24"/>
                <w:szCs w:val="24"/>
                <w:highlight w:val="none"/>
                <w:lang w:val="en-US" w:eastAsia="zh-CN"/>
              </w:rPr>
              <w:t>60</w:t>
            </w:r>
            <w:r>
              <w:rPr>
                <w:rFonts w:hint="eastAsia" w:ascii="宋体" w:hAnsi="宋体" w:cs="宋体"/>
                <w:bCs/>
                <w:color w:val="auto"/>
                <w:sz w:val="24"/>
                <w:szCs w:val="24"/>
                <w:highlight w:val="none"/>
              </w:rPr>
              <w:t>日历天（自投标截止之日起）</w:t>
            </w:r>
          </w:p>
        </w:tc>
      </w:tr>
      <w:tr w14:paraId="091612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6DF9A29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493" w:type="dxa"/>
            <w:tcBorders>
              <w:tl2br w:val="nil"/>
              <w:tr2bl w:val="nil"/>
            </w:tcBorders>
            <w:vAlign w:val="center"/>
          </w:tcPr>
          <w:p w14:paraId="25F0CE9B">
            <w:pPr>
              <w:pStyle w:val="28"/>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4"/>
                <w:szCs w:val="24"/>
                <w:highlight w:val="none"/>
              </w:rPr>
              <w:t>标前准备</w:t>
            </w:r>
          </w:p>
        </w:tc>
        <w:tc>
          <w:tcPr>
            <w:tcW w:w="6542" w:type="dxa"/>
            <w:tcBorders>
              <w:tl2br w:val="nil"/>
              <w:tr2bl w:val="nil"/>
            </w:tcBorders>
            <w:vAlign w:val="center"/>
          </w:tcPr>
          <w:p w14:paraId="57DE85C1">
            <w:pPr>
              <w:pStyle w:val="28"/>
              <w:keepNext w:val="0"/>
              <w:keepLines w:val="0"/>
              <w:pageBreakBefore w:val="0"/>
              <w:kinsoku/>
              <w:overflowPunct/>
              <w:topLinePunct w:val="0"/>
              <w:bidi w:val="0"/>
              <w:snapToGrid w:val="0"/>
              <w:spacing w:line="40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1、本项目实行网上投标，采用电子</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。若</w:t>
            </w:r>
            <w:r>
              <w:rPr>
                <w:rFonts w:hint="eastAsia" w:ascii="宋体" w:hAnsi="宋体"/>
                <w:color w:val="auto"/>
                <w:sz w:val="24"/>
                <w:szCs w:val="24"/>
                <w:highlight w:val="none"/>
              </w:rPr>
              <w:t>投标人</w:t>
            </w:r>
            <w:r>
              <w:rPr>
                <w:rFonts w:hint="eastAsia" w:ascii="宋体" w:hAnsi="宋体" w:cs="宋体"/>
                <w:color w:val="auto"/>
                <w:sz w:val="24"/>
                <w:szCs w:val="24"/>
                <w:highlight w:val="none"/>
              </w:rPr>
              <w:t>参与投标，自行承担投标一切费用。</w:t>
            </w:r>
          </w:p>
          <w:p w14:paraId="630923C6">
            <w:pPr>
              <w:pStyle w:val="28"/>
              <w:keepNext w:val="0"/>
              <w:keepLines w:val="0"/>
              <w:pageBreakBefore w:val="0"/>
              <w:kinsoku/>
              <w:wordWrap w:val="0"/>
              <w:overflowPunct/>
              <w:topLinePunct w:val="0"/>
              <w:bidi w:val="0"/>
              <w:snapToGrid w:val="0"/>
              <w:spacing w:line="400" w:lineRule="exact"/>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2、各</w:t>
            </w:r>
            <w:r>
              <w:rPr>
                <w:rFonts w:hint="eastAsia" w:ascii="宋体" w:hAnsi="宋体"/>
                <w:color w:val="auto"/>
                <w:sz w:val="24"/>
                <w:szCs w:val="24"/>
                <w:highlight w:val="none"/>
              </w:rPr>
              <w:t>投标人</w:t>
            </w:r>
            <w:r>
              <w:rPr>
                <w:rFonts w:hint="eastAsia" w:ascii="宋体" w:hAnsi="宋体" w:cs="宋体"/>
                <w:color w:val="auto"/>
                <w:sz w:val="24"/>
                <w:szCs w:val="24"/>
                <w:highlight w:val="none"/>
              </w:rPr>
              <w:t>应在开标前应确保成为新疆维吾尔自治区政府采购网正式注册入库供应商，并完成CA数字证书申领。因未注册入库、未办理CA数字证书等原因造成无法投标或投标失败等后果由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color w:val="auto"/>
                <w:sz w:val="24"/>
                <w:szCs w:val="24"/>
                <w:highlight w:val="none"/>
              </w:rPr>
              <w:t>投标人</w:t>
            </w:r>
            <w:r>
              <w:rPr>
                <w:rFonts w:hint="eastAsia" w:ascii="宋体" w:hAnsi="宋体" w:cs="宋体"/>
                <w:color w:val="auto"/>
                <w:sz w:val="24"/>
                <w:szCs w:val="24"/>
                <w:highlight w:val="none"/>
              </w:rPr>
              <w:t>自行承担。</w:t>
            </w:r>
          </w:p>
          <w:p w14:paraId="79FBBA9B">
            <w:pPr>
              <w:pStyle w:val="28"/>
              <w:keepNext w:val="0"/>
              <w:keepLines w:val="0"/>
              <w:pageBreakBefore w:val="0"/>
              <w:kinsoku/>
              <w:wordWrap w:val="0"/>
              <w:overflowPunct/>
              <w:topLinePunct w:val="0"/>
              <w:bidi w:val="0"/>
              <w:snapToGrid w:val="0"/>
              <w:spacing w:line="400" w:lineRule="exact"/>
              <w:jc w:val="both"/>
              <w:textAlignment w:val="auto"/>
              <w:rPr>
                <w:rFonts w:hint="eastAsia" w:ascii="宋体" w:hAnsi="宋体" w:cs="宋体"/>
                <w:bCs/>
                <w:color w:val="auto"/>
                <w:sz w:val="28"/>
                <w:szCs w:val="28"/>
                <w:highlight w:val="none"/>
                <w:lang w:val="en-US" w:eastAsia="zh-CN"/>
              </w:rPr>
            </w:pPr>
            <w:r>
              <w:rPr>
                <w:rFonts w:hint="eastAsia" w:ascii="宋体" w:hAnsi="宋体" w:cs="宋体"/>
                <w:color w:val="auto"/>
                <w:sz w:val="24"/>
                <w:szCs w:val="24"/>
                <w:highlight w:val="none"/>
              </w:rPr>
              <w:t>3、</w:t>
            </w:r>
            <w:r>
              <w:rPr>
                <w:rFonts w:hint="eastAsia" w:ascii="宋体" w:hAnsi="宋体"/>
                <w:color w:val="auto"/>
                <w:sz w:val="24"/>
                <w:szCs w:val="24"/>
                <w:highlight w:val="none"/>
              </w:rPr>
              <w:t>投标人</w:t>
            </w:r>
            <w:r>
              <w:rPr>
                <w:rFonts w:hint="eastAsia" w:ascii="宋体" w:hAnsi="宋体" w:cs="宋体"/>
                <w:color w:val="auto"/>
                <w:sz w:val="24"/>
                <w:szCs w:val="24"/>
                <w:highlight w:val="none"/>
              </w:rPr>
              <w:t>将政采云电子交易客户端下载、安装完成后，可通过账号密码或CA登录客户端进行</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制作。在使用政采云投标客户端时，建议使用WIN7及以上操作系统。客户端请至新疆政府采购网（http://www.ccgp-xinjiang.gov.cn/）下载专区查看，如有问题可拨打政采云客户服务热线400-881-7190进行咨询。</w:t>
            </w:r>
          </w:p>
        </w:tc>
      </w:tr>
      <w:tr w14:paraId="2284EC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35579B3B">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21</w:t>
            </w:r>
          </w:p>
        </w:tc>
        <w:tc>
          <w:tcPr>
            <w:tcW w:w="2493" w:type="dxa"/>
            <w:tcBorders>
              <w:tl2br w:val="nil"/>
              <w:tr2bl w:val="nil"/>
            </w:tcBorders>
            <w:vAlign w:val="center"/>
          </w:tcPr>
          <w:p w14:paraId="41E74A4D">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份数及其他要求</w:t>
            </w:r>
          </w:p>
        </w:tc>
        <w:tc>
          <w:tcPr>
            <w:tcW w:w="6542" w:type="dxa"/>
            <w:tcBorders>
              <w:tl2br w:val="nil"/>
              <w:tr2bl w:val="nil"/>
            </w:tcBorders>
            <w:vAlign w:val="top"/>
          </w:tcPr>
          <w:p w14:paraId="1A6BE3D9">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电子加密响应文件一份(.jmbs格式)在新疆政府采购网指定位置上传。</w:t>
            </w:r>
          </w:p>
          <w:p w14:paraId="41B8CA1B">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lang w:eastAsia="zh-CN"/>
              </w:rPr>
              <w:t>投标供应商评标结束后</w:t>
            </w:r>
            <w:r>
              <w:rPr>
                <w:rFonts w:hint="eastAsia" w:ascii="宋体" w:hAnsi="宋体" w:eastAsia="宋体" w:cs="宋体"/>
                <w:color w:val="auto"/>
                <w:sz w:val="24"/>
                <w:szCs w:val="24"/>
                <w:highlight w:val="none"/>
              </w:rPr>
              <w:t>须提供：</w:t>
            </w:r>
          </w:p>
          <w:p w14:paraId="4A2AD88D">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cs="宋体"/>
                <w:color w:val="auto"/>
                <w:sz w:val="24"/>
                <w:szCs w:val="24"/>
                <w:highlight w:val="none"/>
                <w:lang w:eastAsia="zh-CN"/>
              </w:rPr>
              <w:t>（纸质版）</w:t>
            </w:r>
            <w:r>
              <w:rPr>
                <w:rFonts w:hint="eastAsia" w:ascii="宋体" w:hAnsi="宋体" w:eastAsia="宋体" w:cs="宋体"/>
                <w:color w:val="auto"/>
                <w:sz w:val="24"/>
                <w:szCs w:val="24"/>
                <w:highlight w:val="none"/>
              </w:rPr>
              <w:t>份数：正本一份、副本</w:t>
            </w:r>
            <w:r>
              <w:rPr>
                <w:rFonts w:hint="eastAsia" w:ascii="宋体" w:hAnsi="宋体" w:cs="宋体"/>
                <w:color w:val="auto"/>
                <w:sz w:val="24"/>
                <w:szCs w:val="24"/>
                <w:highlight w:val="none"/>
                <w:lang w:eastAsia="zh-CN"/>
              </w:rPr>
              <w:t>贰</w:t>
            </w:r>
            <w:r>
              <w:rPr>
                <w:rFonts w:hint="eastAsia" w:ascii="宋体" w:hAnsi="宋体" w:eastAsia="宋体" w:cs="宋体"/>
                <w:color w:val="auto"/>
                <w:sz w:val="24"/>
                <w:szCs w:val="24"/>
                <w:highlight w:val="none"/>
              </w:rPr>
              <w:t>份。</w:t>
            </w:r>
          </w:p>
          <w:p w14:paraId="5730EC51">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是否要求提交电子版文件：是，提供整套标书U盘</w:t>
            </w:r>
            <w:r>
              <w:rPr>
                <w:rFonts w:hint="eastAsia" w:ascii="宋体" w:hAnsi="宋体" w:cs="宋体"/>
                <w:color w:val="auto"/>
                <w:sz w:val="24"/>
                <w:szCs w:val="24"/>
                <w:highlight w:val="none"/>
                <w:lang w:val="en-US" w:eastAsia="zh-CN"/>
              </w:rPr>
              <w:t>叁</w:t>
            </w:r>
            <w:r>
              <w:rPr>
                <w:rFonts w:hint="eastAsia" w:ascii="宋体" w:hAnsi="宋体" w:eastAsia="宋体" w:cs="宋体"/>
                <w:color w:val="auto"/>
                <w:sz w:val="24"/>
                <w:szCs w:val="24"/>
                <w:highlight w:val="none"/>
              </w:rPr>
              <w:t>份。</w:t>
            </w:r>
          </w:p>
          <w:p w14:paraId="7F3E448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p w14:paraId="41DFB9D0">
            <w:pPr>
              <w:pStyle w:val="16"/>
              <w:keepNext w:val="0"/>
              <w:keepLines w:val="0"/>
              <w:pageBreakBefore w:val="0"/>
              <w:kinsoku/>
              <w:wordWrap/>
              <w:overflowPunct/>
              <w:topLinePunct w:val="0"/>
              <w:autoSpaceDE/>
              <w:autoSpaceDN/>
              <w:bidi w:val="0"/>
              <w:adjustRightInd w:val="0"/>
              <w:snapToGrid w:val="0"/>
              <w:spacing w:line="400" w:lineRule="exact"/>
              <w:textAlignment w:val="auto"/>
              <w:rPr>
                <w:rFonts w:ascii="宋体" w:hAnsi="宋体" w:cs="宋体"/>
                <w:bCs/>
                <w:color w:val="auto"/>
                <w:sz w:val="24"/>
                <w:szCs w:val="24"/>
                <w:highlight w:val="none"/>
              </w:rPr>
            </w:pPr>
            <w:r>
              <w:rPr>
                <w:rFonts w:hint="eastAsia" w:ascii="宋体" w:hAnsi="宋体" w:eastAsia="宋体" w:cs="宋体"/>
                <w:b/>
                <w:bCs/>
                <w:color w:val="auto"/>
                <w:kern w:val="2"/>
                <w:sz w:val="24"/>
                <w:szCs w:val="24"/>
                <w:highlight w:val="none"/>
              </w:rPr>
              <w:t>若</w:t>
            </w:r>
            <w:r>
              <w:rPr>
                <w:rFonts w:hint="eastAsia" w:ascii="宋体" w:hAnsi="宋体" w:cs="宋体"/>
                <w:b/>
                <w:bCs/>
                <w:color w:val="auto"/>
                <w:kern w:val="2"/>
                <w:sz w:val="24"/>
                <w:szCs w:val="24"/>
                <w:highlight w:val="none"/>
                <w:lang w:eastAsia="zh-CN"/>
              </w:rPr>
              <w:t>采购文件</w:t>
            </w:r>
            <w:r>
              <w:rPr>
                <w:rFonts w:hint="eastAsia" w:ascii="宋体" w:hAnsi="宋体" w:eastAsia="宋体" w:cs="宋体"/>
                <w:b/>
                <w:bCs/>
                <w:color w:val="auto"/>
                <w:kern w:val="2"/>
                <w:sz w:val="24"/>
                <w:szCs w:val="24"/>
                <w:highlight w:val="none"/>
              </w:rPr>
              <w:t>评分项中规定须提供业绩、证件等资料原件作为评分依据的，投标人须在</w:t>
            </w: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中</w:t>
            </w:r>
            <w:r>
              <w:rPr>
                <w:rFonts w:hint="eastAsia" w:ascii="宋体" w:hAnsi="宋体" w:eastAsia="宋体" w:cs="宋体"/>
                <w:b/>
                <w:bCs/>
                <w:color w:val="auto"/>
                <w:kern w:val="2"/>
                <w:sz w:val="24"/>
                <w:szCs w:val="24"/>
                <w:highlight w:val="none"/>
                <w:u w:val="single"/>
              </w:rPr>
              <w:t>附原件的直接扫描件</w:t>
            </w:r>
            <w:r>
              <w:rPr>
                <w:rFonts w:hint="eastAsia" w:ascii="宋体" w:hAnsi="宋体" w:eastAsia="宋体" w:cs="宋体"/>
                <w:b/>
                <w:bCs/>
                <w:color w:val="auto"/>
                <w:kern w:val="2"/>
                <w:sz w:val="24"/>
                <w:szCs w:val="24"/>
                <w:highlight w:val="none"/>
              </w:rPr>
              <w:t>并清晰可辨，否则视为未提供评标证明资料。</w:t>
            </w:r>
          </w:p>
        </w:tc>
      </w:tr>
      <w:tr w14:paraId="4DE675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C98E48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22</w:t>
            </w:r>
          </w:p>
        </w:tc>
        <w:tc>
          <w:tcPr>
            <w:tcW w:w="2493" w:type="dxa"/>
            <w:tcBorders>
              <w:tl2br w:val="nil"/>
              <w:tr2bl w:val="nil"/>
            </w:tcBorders>
            <w:vAlign w:val="center"/>
          </w:tcPr>
          <w:p w14:paraId="238D6AAC">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是否需分册装订</w:t>
            </w:r>
          </w:p>
        </w:tc>
        <w:tc>
          <w:tcPr>
            <w:tcW w:w="6542" w:type="dxa"/>
            <w:tcBorders>
              <w:tl2br w:val="nil"/>
              <w:tr2bl w:val="nil"/>
            </w:tcBorders>
            <w:vAlign w:val="center"/>
          </w:tcPr>
          <w:p w14:paraId="69BDD093">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☑不</w:t>
            </w:r>
            <w:r>
              <w:rPr>
                <w:rFonts w:hint="eastAsia" w:ascii="宋体" w:hAnsi="宋体" w:eastAsia="宋体" w:cs="宋体"/>
                <w:color w:val="auto"/>
                <w:kern w:val="2"/>
                <w:sz w:val="24"/>
                <w:szCs w:val="24"/>
                <w:highlight w:val="none"/>
              </w:rPr>
              <w:t>需要</w:t>
            </w:r>
          </w:p>
          <w:p w14:paraId="5E44F29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□需要，分册装订要求：/</w:t>
            </w:r>
          </w:p>
        </w:tc>
      </w:tr>
      <w:tr w14:paraId="32B85B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0B7A68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23</w:t>
            </w:r>
          </w:p>
        </w:tc>
        <w:tc>
          <w:tcPr>
            <w:tcW w:w="2493" w:type="dxa"/>
            <w:tcBorders>
              <w:tl2br w:val="nil"/>
              <w:tr2bl w:val="nil"/>
            </w:tcBorders>
            <w:vAlign w:val="center"/>
          </w:tcPr>
          <w:p w14:paraId="615709F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投标截止时间</w:t>
            </w:r>
            <w:r>
              <w:rPr>
                <w:rFonts w:hint="eastAsia" w:ascii="宋体" w:hAnsi="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地点</w:t>
            </w:r>
          </w:p>
        </w:tc>
        <w:tc>
          <w:tcPr>
            <w:tcW w:w="6542" w:type="dxa"/>
            <w:tcBorders>
              <w:tl2br w:val="nil"/>
              <w:tr2bl w:val="nil"/>
            </w:tcBorders>
            <w:vAlign w:val="center"/>
          </w:tcPr>
          <w:p w14:paraId="02EDB6D8">
            <w:pPr>
              <w:keepNext w:val="0"/>
              <w:keepLines w:val="0"/>
              <w:pageBreakBefore w:val="0"/>
              <w:kinsoku/>
              <w:overflowPunct/>
              <w:topLinePunct w:val="0"/>
              <w:bidi w:val="0"/>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电子响应文件递交截止时间：</w:t>
            </w:r>
            <w:r>
              <w:rPr>
                <w:rFonts w:hint="eastAsia" w:ascii="宋体" w:hAnsi="宋体" w:cs="宋体"/>
                <w:b/>
                <w:bCs/>
                <w:color w:val="auto"/>
                <w:sz w:val="24"/>
                <w:szCs w:val="24"/>
                <w:highlight w:val="none"/>
                <w:u w:val="single"/>
                <w:lang w:eastAsia="zh-CN"/>
              </w:rPr>
              <w:t>202</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06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10</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 xml:space="preserve"> 10:00时；电子响应文件递交地点：投标人应于</w:t>
            </w:r>
            <w:r>
              <w:rPr>
                <w:rFonts w:hint="eastAsia" w:ascii="宋体" w:hAnsi="宋体" w:cs="宋体"/>
                <w:b/>
                <w:bCs/>
                <w:color w:val="auto"/>
                <w:sz w:val="24"/>
                <w:szCs w:val="24"/>
                <w:highlight w:val="none"/>
                <w:u w:val="single"/>
                <w:lang w:eastAsia="zh-CN"/>
              </w:rPr>
              <w:t>202</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06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10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lang w:val="en-US" w:eastAsia="zh-CN"/>
              </w:rPr>
              <w:t>10：00</w:t>
            </w:r>
            <w:r>
              <w:rPr>
                <w:rFonts w:hint="eastAsia" w:ascii="宋体" w:hAnsi="宋体" w:cs="宋体"/>
                <w:b/>
                <w:bCs/>
                <w:color w:val="auto"/>
                <w:sz w:val="24"/>
                <w:szCs w:val="24"/>
                <w:highlight w:val="none"/>
                <w:lang w:val="en-US" w:eastAsia="zh-CN"/>
              </w:rPr>
              <w:t>时之前将电子响应文件上传到“政采云”平台。应按照本项目采购文件和政采云平台的要求编制、加密传输响应文件。投标人在使用系统进行投标的过程中遇到涉及平台使用的任何问题，可致电政采云平台技术支持热线咨询，联系方式：400-881-7190。</w:t>
            </w:r>
          </w:p>
          <w:p w14:paraId="2C73231F">
            <w:pPr>
              <w:keepNext w:val="0"/>
              <w:keepLines w:val="0"/>
              <w:pageBreakBefore w:val="0"/>
              <w:kinsoku/>
              <w:overflowPunct/>
              <w:topLinePunct w:val="0"/>
              <w:bidi w:val="0"/>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注：1、在开标时间开始后，待采购代理机构发出解密通知</w:t>
            </w:r>
            <w:r>
              <w:rPr>
                <w:rFonts w:hint="eastAsia" w:ascii="宋体" w:hAnsi="宋体" w:cs="宋体"/>
                <w:b/>
                <w:bCs/>
                <w:color w:val="auto"/>
                <w:sz w:val="24"/>
                <w:szCs w:val="24"/>
                <w:highlight w:val="none"/>
                <w:u w:val="single"/>
                <w:lang w:val="en-US" w:eastAsia="zh-CN"/>
              </w:rPr>
              <w:t xml:space="preserve"> 30</w:t>
            </w:r>
            <w:r>
              <w:rPr>
                <w:rFonts w:hint="eastAsia" w:ascii="宋体" w:hAnsi="宋体" w:cs="宋体"/>
                <w:b/>
                <w:bCs/>
                <w:color w:val="auto"/>
                <w:sz w:val="24"/>
                <w:szCs w:val="24"/>
                <w:highlight w:val="none"/>
                <w:lang w:val="en-US" w:eastAsia="zh-CN"/>
              </w:rPr>
              <w:t>分钟内解密响应文件；</w:t>
            </w:r>
          </w:p>
          <w:p w14:paraId="331CCD0D">
            <w:pPr>
              <w:keepNext w:val="0"/>
              <w:keepLines w:val="0"/>
              <w:pageBreakBefore w:val="0"/>
              <w:kinsoku/>
              <w:overflowPunct/>
              <w:topLinePunct w:val="0"/>
              <w:bidi w:val="0"/>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2、投标人未能在投标截止时间前成功上传电子加密响应文件的投标无效；</w:t>
            </w:r>
          </w:p>
          <w:p w14:paraId="7B8C2230">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3、投标人成功上传电子加密响应文件后，可自行打印响应文件接收回执。</w:t>
            </w:r>
          </w:p>
        </w:tc>
      </w:tr>
      <w:tr w14:paraId="47A182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66FE36F">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24</w:t>
            </w:r>
          </w:p>
        </w:tc>
        <w:tc>
          <w:tcPr>
            <w:tcW w:w="2493" w:type="dxa"/>
            <w:tcBorders>
              <w:tl2br w:val="nil"/>
              <w:tr2bl w:val="nil"/>
            </w:tcBorders>
            <w:vAlign w:val="center"/>
          </w:tcPr>
          <w:p w14:paraId="464C6356">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解密时间</w:t>
            </w:r>
          </w:p>
        </w:tc>
        <w:tc>
          <w:tcPr>
            <w:tcW w:w="6542" w:type="dxa"/>
            <w:tcBorders>
              <w:tl2br w:val="nil"/>
              <w:tr2bl w:val="nil"/>
            </w:tcBorders>
            <w:vAlign w:val="top"/>
          </w:tcPr>
          <w:p w14:paraId="622B8C5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投标人应于</w:t>
            </w:r>
            <w:r>
              <w:rPr>
                <w:rFonts w:hint="eastAsia" w:ascii="宋体" w:hAnsi="宋体" w:cs="宋体"/>
                <w:b/>
                <w:bCs/>
                <w:color w:val="auto"/>
                <w:sz w:val="24"/>
                <w:szCs w:val="24"/>
                <w:highlight w:val="none"/>
                <w:u w:val="single"/>
                <w:lang w:eastAsia="zh-CN"/>
              </w:rPr>
              <w:t>202</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06</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lang w:val="en-US" w:eastAsia="zh-CN"/>
              </w:rPr>
              <w:t xml:space="preserve">10 </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u w:val="single"/>
                <w:lang w:val="en-US" w:eastAsia="zh-CN"/>
              </w:rPr>
              <w:t xml:space="preserve"> 10</w:t>
            </w:r>
            <w:bookmarkStart w:id="61" w:name="_GoBack"/>
            <w:bookmarkEnd w:id="61"/>
            <w:r>
              <w:rPr>
                <w:rFonts w:hint="eastAsia" w:ascii="宋体" w:hAnsi="宋体" w:cs="宋体"/>
                <w:b/>
                <w:bCs/>
                <w:color w:val="auto"/>
                <w:sz w:val="24"/>
                <w:szCs w:val="24"/>
                <w:highlight w:val="none"/>
                <w:u w:val="single"/>
                <w:lang w:val="en-US" w:eastAsia="zh-CN"/>
              </w:rPr>
              <w:t>：00</w:t>
            </w:r>
            <w:r>
              <w:rPr>
                <w:rFonts w:hint="eastAsia" w:ascii="宋体" w:hAnsi="宋体" w:cs="宋体"/>
                <w:b/>
                <w:bCs/>
                <w:color w:val="auto"/>
                <w:sz w:val="24"/>
                <w:szCs w:val="24"/>
                <w:highlight w:val="none"/>
                <w:lang w:val="en-US" w:eastAsia="zh-CN"/>
              </w:rPr>
              <w:t>时</w:t>
            </w:r>
            <w:r>
              <w:rPr>
                <w:rFonts w:hint="eastAsia" w:ascii="宋体" w:hAnsi="宋体" w:eastAsia="宋体" w:cs="宋体"/>
                <w:b/>
                <w:bCs w:val="0"/>
                <w:color w:val="auto"/>
                <w:kern w:val="2"/>
                <w:sz w:val="24"/>
                <w:szCs w:val="24"/>
                <w:highlight w:val="none"/>
                <w:lang w:val="en-US" w:eastAsia="zh-CN" w:bidi="ar-SA"/>
              </w:rPr>
              <w:t>之前将电子响应文件上传到“政采云”平台。开标时间后</w:t>
            </w:r>
            <w:r>
              <w:rPr>
                <w:rFonts w:hint="eastAsia" w:ascii="宋体" w:hAnsi="宋体" w:cs="宋体"/>
                <w:b/>
                <w:bCs w:val="0"/>
                <w:color w:val="auto"/>
                <w:kern w:val="2"/>
                <w:sz w:val="24"/>
                <w:szCs w:val="24"/>
                <w:highlight w:val="none"/>
                <w:lang w:val="en-US" w:eastAsia="zh-CN" w:bidi="ar-SA"/>
              </w:rPr>
              <w:t>3</w:t>
            </w:r>
            <w:r>
              <w:rPr>
                <w:rFonts w:hint="eastAsia" w:ascii="宋体" w:hAnsi="宋体" w:eastAsia="宋体" w:cs="宋体"/>
                <w:b/>
                <w:bCs w:val="0"/>
                <w:color w:val="auto"/>
                <w:kern w:val="2"/>
                <w:sz w:val="24"/>
                <w:szCs w:val="24"/>
                <w:highlight w:val="none"/>
                <w:lang w:val="en-US" w:eastAsia="zh-CN" w:bidi="ar-SA"/>
              </w:rPr>
              <w:t>0分钟内</w:t>
            </w:r>
            <w:r>
              <w:rPr>
                <w:rFonts w:hint="eastAsia" w:ascii="宋体" w:hAnsi="宋体" w:cs="宋体"/>
                <w:b/>
                <w:bCs w:val="0"/>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供应商登录“政采云”平台，用“项目采购-开标评标</w:t>
            </w:r>
            <w:r>
              <w:rPr>
                <w:rFonts w:hint="eastAsia" w:ascii="宋体" w:hAnsi="宋体" w:eastAsia="宋体" w:cs="宋体"/>
                <w:b/>
                <w:color w:val="auto"/>
                <w:kern w:val="2"/>
                <w:sz w:val="24"/>
                <w:szCs w:val="24"/>
                <w:highlight w:val="none"/>
              </w:rPr>
              <w:t>”功能进行解密</w:t>
            </w:r>
            <w:r>
              <w:rPr>
                <w:rFonts w:hint="eastAsia" w:ascii="宋体" w:hAnsi="宋体" w:eastAsia="宋体" w:cs="宋体"/>
                <w:b/>
                <w:color w:val="auto"/>
                <w:kern w:val="2"/>
                <w:sz w:val="24"/>
                <w:szCs w:val="24"/>
                <w:highlight w:val="none"/>
                <w:lang w:eastAsia="zh-CN"/>
              </w:rPr>
              <w:t>响应文件</w:t>
            </w:r>
            <w:r>
              <w:rPr>
                <w:rFonts w:hint="eastAsia" w:ascii="宋体" w:hAnsi="宋体" w:eastAsia="宋体" w:cs="宋体"/>
                <w:b/>
                <w:color w:val="auto"/>
                <w:kern w:val="2"/>
                <w:sz w:val="24"/>
                <w:szCs w:val="24"/>
                <w:highlight w:val="none"/>
              </w:rPr>
              <w:t>。若供应商在规定</w:t>
            </w:r>
            <w:r>
              <w:rPr>
                <w:rFonts w:hint="eastAsia" w:ascii="宋体" w:hAnsi="宋体" w:eastAsia="宋体" w:cs="宋体"/>
                <w:b/>
                <w:color w:val="auto"/>
                <w:kern w:val="2"/>
                <w:sz w:val="24"/>
                <w:szCs w:val="24"/>
                <w:highlight w:val="none"/>
                <w:lang w:val="en-US" w:eastAsia="zh-CN"/>
              </w:rPr>
              <w:t>解密</w:t>
            </w:r>
            <w:r>
              <w:rPr>
                <w:rFonts w:hint="eastAsia" w:ascii="宋体" w:hAnsi="宋体" w:eastAsia="宋体" w:cs="宋体"/>
                <w:b/>
                <w:color w:val="auto"/>
                <w:kern w:val="2"/>
                <w:sz w:val="24"/>
                <w:szCs w:val="24"/>
                <w:highlight w:val="none"/>
              </w:rPr>
              <w:t>时间内未按时解密的，视为无效投标。</w:t>
            </w:r>
            <w:r>
              <w:rPr>
                <w:rFonts w:hint="eastAsia" w:ascii="宋体" w:hAnsi="宋体" w:eastAsia="宋体" w:cs="宋体"/>
                <w:b/>
                <w:color w:val="auto"/>
                <w:kern w:val="2"/>
                <w:sz w:val="24"/>
                <w:szCs w:val="24"/>
                <w:highlight w:val="none"/>
                <w:u w:val="single"/>
              </w:rPr>
              <w:t>（解密时间开始时政采云平台将以短信形式向供应商在政采云平台预留的手机号发送短信通知，请供应商及时关注。）</w:t>
            </w:r>
          </w:p>
        </w:tc>
      </w:tr>
      <w:tr w14:paraId="5B5D6A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D7DCFEA">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25</w:t>
            </w:r>
          </w:p>
        </w:tc>
        <w:tc>
          <w:tcPr>
            <w:tcW w:w="2493" w:type="dxa"/>
            <w:tcBorders>
              <w:tl2br w:val="nil"/>
              <w:tr2bl w:val="nil"/>
            </w:tcBorders>
            <w:vAlign w:val="center"/>
          </w:tcPr>
          <w:p w14:paraId="4170F64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是否采用电子招标投标</w:t>
            </w:r>
          </w:p>
        </w:tc>
        <w:tc>
          <w:tcPr>
            <w:tcW w:w="6542" w:type="dxa"/>
            <w:tcBorders>
              <w:tl2br w:val="nil"/>
              <w:tr2bl w:val="nil"/>
            </w:tcBorders>
            <w:vAlign w:val="top"/>
          </w:tcPr>
          <w:p w14:paraId="78553D29">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□否</w:t>
            </w:r>
          </w:p>
          <w:p w14:paraId="7ECC717C">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是，具体要求：</w:t>
            </w:r>
          </w:p>
          <w:p w14:paraId="1DD68148">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解密时间：</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解密时间</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0分钟，开标前需投标单位用CA证书登录政采云平台开标大厅签到，在</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0分钟解密时间内输入CA证书PIN码解密</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。在</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0分钟解密时间内未进行解密的投标单位将导致废标。（解密时间开始时政采云平台将以短信形式向供应商在政采云平台预留的手机号发送短信通知，请供应商及时关注。）</w:t>
            </w:r>
          </w:p>
          <w:p w14:paraId="6439458E">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供应商报价CA签字确认：</w:t>
            </w:r>
            <w:r>
              <w:rPr>
                <w:rFonts w:hint="eastAsia" w:ascii="宋体" w:hAnsi="宋体" w:eastAsia="宋体" w:cs="宋体"/>
                <w:color w:val="auto"/>
                <w:kern w:val="2"/>
                <w:sz w:val="24"/>
                <w:szCs w:val="24"/>
                <w:highlight w:val="none"/>
              </w:rPr>
              <w:t>报价文件开启后将开启签字时段，供应商须在20分钟内用CA证书对报价进行签字确认。</w:t>
            </w:r>
          </w:p>
          <w:p w14:paraId="2AFF1873">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备注:</w:t>
            </w:r>
          </w:p>
          <w:p w14:paraId="05B0C428">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1.本项目采用全流程不见面电子开评标，投标投标人需要使用CA加密设备，投标人可通过新疆数字证书认证中心官网（https://www.xjca.com.cn/）或下载“新疆政务通”APP自行进行申领。</w:t>
            </w:r>
          </w:p>
          <w:p w14:paraId="07F8C556">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2.本项目实行网上投标，采用加密电子</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(投标人须使用CA加密设备通过政采云电子投标客户端制作</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)。若投标人参与投标，自行承担投标一切费用。</w:t>
            </w:r>
          </w:p>
          <w:p w14:paraId="3DE3247D">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3.各投标人在开标前应确保成为新疆维吾尔自治区政府采购网正式注册入库供应商，并完成CA数字证书申领。因未注册入库、未办理CA数字证书等原因造成无法投标或投标失败等后果由投标人自行承担。</w:t>
            </w:r>
          </w:p>
          <w:p w14:paraId="16F8824E">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4.投标人将政采云电子交易客户端下载、安装完成后，可通过账号密码或CA登录客户端进行</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制作。在使用政采云投标客户端时，建议使用WIN7+64位及以上操作系统。客户端请至新疆政府采购网（http://www.ccgp-xinjiang.gov.cn/）下载专区查看，如有问题可拨打政采云客户服务热线400-881-7190进行咨询。</w:t>
            </w:r>
          </w:p>
          <w:p w14:paraId="6FCDAADD">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b/>
                <w:bCs/>
                <w:color w:val="auto"/>
                <w:kern w:val="2"/>
                <w:sz w:val="24"/>
                <w:szCs w:val="24"/>
                <w:highlight w:val="none"/>
                <w:lang w:eastAsia="zh-CN"/>
              </w:rPr>
            </w:pPr>
            <w:r>
              <w:rPr>
                <w:rFonts w:hint="eastAsia" w:ascii="宋体" w:hAnsi="宋体" w:eastAsia="宋体" w:cs="宋体"/>
                <w:color w:val="auto"/>
                <w:kern w:val="2"/>
                <w:sz w:val="24"/>
                <w:szCs w:val="24"/>
                <w:highlight w:val="none"/>
              </w:rPr>
              <w:t>5.投标人在开标时须使用制作加密电子</w:t>
            </w: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所使用的CA锁及电脑，电脑须提前配置好浏览器（建议使用谷歌浏览器），以便开标时解锁。</w:t>
            </w:r>
          </w:p>
          <w:p w14:paraId="23039454">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tc>
      </w:tr>
      <w:tr w14:paraId="48B0D1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1E92995">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26</w:t>
            </w:r>
          </w:p>
        </w:tc>
        <w:tc>
          <w:tcPr>
            <w:tcW w:w="2493" w:type="dxa"/>
            <w:tcBorders>
              <w:tl2br w:val="nil"/>
              <w:tr2bl w:val="nil"/>
            </w:tcBorders>
            <w:vAlign w:val="center"/>
          </w:tcPr>
          <w:p w14:paraId="54100429">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评标办法</w:t>
            </w:r>
          </w:p>
        </w:tc>
        <w:tc>
          <w:tcPr>
            <w:tcW w:w="6542" w:type="dxa"/>
            <w:tcBorders>
              <w:tl2br w:val="nil"/>
              <w:tr2bl w:val="nil"/>
            </w:tcBorders>
            <w:vAlign w:val="center"/>
          </w:tcPr>
          <w:p w14:paraId="0E78BB80">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cs="宋体"/>
                <w:color w:val="auto"/>
                <w:sz w:val="24"/>
                <w:szCs w:val="24"/>
                <w:highlight w:val="none"/>
              </w:rPr>
              <w:t>综合评分法</w:t>
            </w:r>
          </w:p>
        </w:tc>
      </w:tr>
      <w:tr w14:paraId="712350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2CDAE15">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27</w:t>
            </w:r>
          </w:p>
        </w:tc>
        <w:tc>
          <w:tcPr>
            <w:tcW w:w="2493" w:type="dxa"/>
            <w:tcBorders>
              <w:tl2br w:val="nil"/>
              <w:tr2bl w:val="nil"/>
            </w:tcBorders>
            <w:vAlign w:val="center"/>
          </w:tcPr>
          <w:p w14:paraId="0CB293F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采购公告</w:t>
            </w:r>
            <w:r>
              <w:rPr>
                <w:rFonts w:hint="eastAsia" w:ascii="宋体" w:hAnsi="宋体" w:cs="宋体"/>
                <w:color w:val="auto"/>
                <w:sz w:val="24"/>
                <w:szCs w:val="24"/>
                <w:highlight w:val="none"/>
              </w:rPr>
              <w:t>发布媒体</w:t>
            </w:r>
          </w:p>
        </w:tc>
        <w:tc>
          <w:tcPr>
            <w:tcW w:w="6542" w:type="dxa"/>
            <w:tcBorders>
              <w:tl2br w:val="nil"/>
              <w:tr2bl w:val="nil"/>
            </w:tcBorders>
            <w:vAlign w:val="center"/>
          </w:tcPr>
          <w:p w14:paraId="2D47466A">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1"/>
                <w:highlight w:val="none"/>
                <w:lang w:val="en-US" w:eastAsia="zh-CN" w:bidi="ar-SA"/>
              </w:rPr>
              <w:t>新疆政府采购网（www.ccgp-xinjiang.gov.cn/）和中国政府采购网（http://www.ccgp.gov.cn/）。</w:t>
            </w:r>
          </w:p>
        </w:tc>
      </w:tr>
      <w:tr w14:paraId="6D54E4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6E40F5F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28</w:t>
            </w:r>
          </w:p>
        </w:tc>
        <w:tc>
          <w:tcPr>
            <w:tcW w:w="2493" w:type="dxa"/>
            <w:tcBorders>
              <w:tl2br w:val="nil"/>
              <w:tr2bl w:val="nil"/>
            </w:tcBorders>
            <w:vAlign w:val="center"/>
          </w:tcPr>
          <w:p w14:paraId="2568266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szCs w:val="24"/>
                <w:highlight w:val="none"/>
              </w:rPr>
              <w:t>资格审查</w:t>
            </w:r>
          </w:p>
        </w:tc>
        <w:tc>
          <w:tcPr>
            <w:tcW w:w="6542" w:type="dxa"/>
            <w:tcBorders>
              <w:tl2br w:val="nil"/>
              <w:tr2bl w:val="nil"/>
            </w:tcBorders>
            <w:vAlign w:val="center"/>
          </w:tcPr>
          <w:p w14:paraId="0B8AF359">
            <w:pPr>
              <w:keepNext w:val="0"/>
              <w:keepLines w:val="0"/>
              <w:pageBreakBefore w:val="0"/>
              <w:widowControl/>
              <w:shd w:val="clear" w:color="auto" w:fill="FFFFFF"/>
              <w:kinsoku/>
              <w:overflowPunct/>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新宋体" w:hAnsi="新宋体" w:eastAsia="新宋体" w:cs="新宋体"/>
                <w:color w:val="auto"/>
                <w:sz w:val="24"/>
                <w:highlight w:val="none"/>
              </w:rPr>
              <w:t>本项目为资格后审。</w:t>
            </w:r>
          </w:p>
        </w:tc>
      </w:tr>
      <w:tr w14:paraId="11F8B6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49ADBE1">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29</w:t>
            </w:r>
          </w:p>
        </w:tc>
        <w:tc>
          <w:tcPr>
            <w:tcW w:w="2493" w:type="dxa"/>
            <w:tcBorders>
              <w:tl2br w:val="nil"/>
              <w:tr2bl w:val="nil"/>
            </w:tcBorders>
            <w:vAlign w:val="center"/>
          </w:tcPr>
          <w:p w14:paraId="4E523744">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的数量</w:t>
            </w:r>
          </w:p>
        </w:tc>
        <w:tc>
          <w:tcPr>
            <w:tcW w:w="6542" w:type="dxa"/>
            <w:tcBorders>
              <w:tl2br w:val="nil"/>
              <w:tr2bl w:val="nil"/>
            </w:tcBorders>
            <w:vAlign w:val="center"/>
          </w:tcPr>
          <w:p w14:paraId="0B070255">
            <w:pPr>
              <w:keepNext w:val="0"/>
              <w:keepLines w:val="0"/>
              <w:pageBreakBefore w:val="0"/>
              <w:tabs>
                <w:tab w:val="left" w:pos="321"/>
              </w:tabs>
              <w:kinsoku/>
              <w:overflowPunct/>
              <w:topLinePunct w:val="0"/>
              <w:bidi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家</w:t>
            </w:r>
            <w:r>
              <w:rPr>
                <w:rFonts w:hint="eastAsia" w:ascii="宋体" w:hAnsi="宋体" w:eastAsia="宋体" w:cs="宋体"/>
                <w:color w:val="auto"/>
                <w:sz w:val="24"/>
                <w:szCs w:val="24"/>
                <w:highlight w:val="none"/>
              </w:rPr>
              <w:t xml:space="preserve">  </w:t>
            </w:r>
          </w:p>
        </w:tc>
      </w:tr>
      <w:tr w14:paraId="3284DE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2E1A6AD">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493" w:type="dxa"/>
            <w:tcBorders>
              <w:tl2br w:val="nil"/>
              <w:tr2bl w:val="nil"/>
            </w:tcBorders>
            <w:vAlign w:val="center"/>
          </w:tcPr>
          <w:p w14:paraId="23C34F09">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的方式</w:t>
            </w:r>
          </w:p>
        </w:tc>
        <w:tc>
          <w:tcPr>
            <w:tcW w:w="6542" w:type="dxa"/>
            <w:tcBorders>
              <w:tl2br w:val="nil"/>
              <w:tr2bl w:val="nil"/>
            </w:tcBorders>
            <w:vAlign w:val="center"/>
          </w:tcPr>
          <w:p w14:paraId="0DC1DD89">
            <w:pPr>
              <w:keepNext w:val="0"/>
              <w:keepLines w:val="0"/>
              <w:pageBreakBefore w:val="0"/>
              <w:tabs>
                <w:tab w:val="left" w:pos="321"/>
              </w:tabs>
              <w:kinsoku/>
              <w:overflowPunct/>
              <w:topLinePunct w:val="0"/>
              <w:bidi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成交供应商数量： 1 家  </w:t>
            </w:r>
          </w:p>
        </w:tc>
      </w:tr>
      <w:tr w14:paraId="7461ED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06C6C4A">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31</w:t>
            </w:r>
          </w:p>
        </w:tc>
        <w:tc>
          <w:tcPr>
            <w:tcW w:w="2493" w:type="dxa"/>
            <w:tcBorders>
              <w:tl2br w:val="nil"/>
              <w:tr2bl w:val="nil"/>
            </w:tcBorders>
            <w:vAlign w:val="center"/>
          </w:tcPr>
          <w:p w14:paraId="52DB585A">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（成交）结果公告发布媒介</w:t>
            </w:r>
          </w:p>
        </w:tc>
        <w:tc>
          <w:tcPr>
            <w:tcW w:w="6542" w:type="dxa"/>
            <w:tcBorders>
              <w:tl2br w:val="nil"/>
              <w:tr2bl w:val="nil"/>
            </w:tcBorders>
            <w:vAlign w:val="center"/>
          </w:tcPr>
          <w:p w14:paraId="5AF20BC8">
            <w:pPr>
              <w:keepNext w:val="0"/>
              <w:keepLines w:val="0"/>
              <w:pageBreakBefore w:val="0"/>
              <w:tabs>
                <w:tab w:val="left" w:pos="321"/>
              </w:tabs>
              <w:kinsoku/>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公示期不少于1工作日</w:t>
            </w:r>
          </w:p>
          <w:p w14:paraId="3BEAA3A8">
            <w:pPr>
              <w:keepNext w:val="0"/>
              <w:keepLines w:val="0"/>
              <w:pageBreakBefore w:val="0"/>
              <w:tabs>
                <w:tab w:val="left" w:pos="321"/>
              </w:tabs>
              <w:kinsoku/>
              <w:overflowPunct/>
              <w:topLinePunct w:val="0"/>
              <w:bidi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新疆政府采购网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"http://www.ccgp-xinjiang.gov.cn/"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http://www.ccgp-xinjiang.gov.cn/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和中国政府采购网（http://www.ccgp.gov.cn/）</w:t>
            </w:r>
          </w:p>
        </w:tc>
      </w:tr>
      <w:tr w14:paraId="2FC794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3496502">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32</w:t>
            </w:r>
          </w:p>
        </w:tc>
        <w:tc>
          <w:tcPr>
            <w:tcW w:w="2493" w:type="dxa"/>
            <w:tcBorders>
              <w:tl2br w:val="nil"/>
              <w:tr2bl w:val="nil"/>
            </w:tcBorders>
            <w:vAlign w:val="center"/>
          </w:tcPr>
          <w:p w14:paraId="3C74EF2A">
            <w:pPr>
              <w:tabs>
                <w:tab w:val="left" w:pos="321"/>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成交通知书</w:t>
            </w:r>
          </w:p>
        </w:tc>
        <w:tc>
          <w:tcPr>
            <w:tcW w:w="6542" w:type="dxa"/>
            <w:tcBorders>
              <w:tl2br w:val="nil"/>
              <w:tr2bl w:val="nil"/>
            </w:tcBorders>
            <w:vAlign w:val="center"/>
          </w:tcPr>
          <w:p w14:paraId="24216C89">
            <w:pPr>
              <w:keepNext w:val="0"/>
              <w:keepLines w:val="0"/>
              <w:pageBreakBefore w:val="0"/>
              <w:tabs>
                <w:tab w:val="left" w:pos="321"/>
              </w:tabs>
              <w:kinsoku/>
              <w:overflowPunct/>
              <w:topLinePunct w:val="0"/>
              <w:bidi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同成交结果公告一同发出。</w:t>
            </w:r>
          </w:p>
        </w:tc>
      </w:tr>
      <w:tr w14:paraId="1C78CA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00D5B175">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33</w:t>
            </w:r>
          </w:p>
        </w:tc>
        <w:tc>
          <w:tcPr>
            <w:tcW w:w="2493" w:type="dxa"/>
            <w:tcBorders>
              <w:tl2br w:val="nil"/>
              <w:tr2bl w:val="nil"/>
            </w:tcBorders>
            <w:vAlign w:val="center"/>
          </w:tcPr>
          <w:p w14:paraId="369896C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开标时投标供应商需提供</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资格证明文件</w:t>
            </w:r>
          </w:p>
        </w:tc>
        <w:tc>
          <w:tcPr>
            <w:tcW w:w="6542" w:type="dxa"/>
            <w:tcBorders>
              <w:tl2br w:val="nil"/>
              <w:tr2bl w:val="nil"/>
            </w:tcBorders>
            <w:vAlign w:val="center"/>
          </w:tcPr>
          <w:p w14:paraId="0A62A9D7">
            <w:pPr>
              <w:keepNext w:val="0"/>
              <w:keepLines w:val="0"/>
              <w:pageBreakBefore w:val="0"/>
              <w:kinsoku/>
              <w:overflowPunct/>
              <w:topLinePunct w:val="0"/>
              <w:bidi w:val="0"/>
              <w:spacing w:line="400" w:lineRule="exact"/>
              <w:textAlignment w:val="auto"/>
              <w:rPr>
                <w:rFonts w:hint="eastAsia" w:ascii="宋体" w:hAnsi="宋体" w:cs="宋体"/>
                <w:b/>
                <w:bCs/>
                <w:color w:val="auto"/>
                <w:sz w:val="24"/>
                <w:szCs w:val="24"/>
                <w:highlight w:val="none"/>
                <w:lang w:val="zh-CN" w:eastAsia="zh-CN"/>
              </w:rPr>
            </w:pPr>
            <w:r>
              <w:rPr>
                <w:rFonts w:hint="eastAsia" w:ascii="宋体" w:hAnsi="宋体" w:eastAsia="宋体" w:cs="宋体"/>
                <w:color w:val="auto"/>
                <w:sz w:val="24"/>
                <w:szCs w:val="24"/>
                <w:highlight w:val="none"/>
              </w:rPr>
              <w:t>开标前，请各投标人将</w:t>
            </w:r>
            <w:r>
              <w:rPr>
                <w:rFonts w:hint="eastAsia" w:ascii="宋体" w:hAnsi="宋体" w:cs="宋体"/>
                <w:color w:val="auto"/>
                <w:kern w:val="2"/>
                <w:sz w:val="24"/>
                <w:szCs w:val="24"/>
                <w:highlight w:val="none"/>
                <w:lang w:val="en-US" w:eastAsia="zh-CN"/>
              </w:rPr>
              <w:t>资格审查</w:t>
            </w:r>
            <w:r>
              <w:rPr>
                <w:rFonts w:hint="eastAsia" w:ascii="宋体" w:hAnsi="宋体" w:eastAsia="宋体" w:cs="宋体"/>
                <w:color w:val="auto"/>
                <w:sz w:val="24"/>
                <w:szCs w:val="24"/>
                <w:highlight w:val="none"/>
                <w:lang w:val="en-US" w:eastAsia="zh-CN"/>
              </w:rPr>
              <w:t>资料</w:t>
            </w:r>
            <w:r>
              <w:rPr>
                <w:rFonts w:hint="eastAsia" w:ascii="宋体" w:hAnsi="宋体" w:eastAsia="宋体" w:cs="宋体"/>
                <w:color w:val="auto"/>
                <w:kern w:val="2"/>
                <w:sz w:val="24"/>
                <w:szCs w:val="24"/>
                <w:highlight w:val="none"/>
              </w:rPr>
              <w:t>上传到“政采云”平台</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由磋商小组进行</w:t>
            </w:r>
            <w:r>
              <w:rPr>
                <w:rFonts w:hint="eastAsia" w:ascii="宋体" w:hAnsi="宋体" w:eastAsia="宋体" w:cs="宋体"/>
                <w:color w:val="auto"/>
                <w:sz w:val="24"/>
                <w:szCs w:val="24"/>
                <w:highlight w:val="none"/>
              </w:rPr>
              <w:t>查验。</w:t>
            </w:r>
          </w:p>
          <w:p w14:paraId="010FC75C">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说明：1、资格审查资料为开标时资格审查的必备条件，如果缺项或不符合要求则视为对采购文件资格审查内容的不响应，投标将被拒绝（电子版响应文件内所有资格证明文件，投标人须逐页加盖电子签章）；2、开标前，请各投标人将有效证件的扫描件上传到“政采云”平台待开标时查验，资格审查资料的公证件本次采购不予认可。</w:t>
            </w:r>
          </w:p>
        </w:tc>
      </w:tr>
      <w:tr w14:paraId="60472E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F56F742">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34</w:t>
            </w:r>
          </w:p>
        </w:tc>
        <w:tc>
          <w:tcPr>
            <w:tcW w:w="2493" w:type="dxa"/>
            <w:tcBorders>
              <w:tl2br w:val="nil"/>
              <w:tr2bl w:val="nil"/>
            </w:tcBorders>
            <w:vAlign w:val="center"/>
          </w:tcPr>
          <w:p w14:paraId="22A50B1E">
            <w:pPr>
              <w:pStyle w:val="29"/>
              <w:spacing w:before="156" w:beforeLines="50" w:after="156" w:afterLines="50" w:line="300" w:lineRule="exact"/>
              <w:jc w:val="center"/>
              <w:rPr>
                <w:rFonts w:hint="eastAsia" w:ascii="宋体" w:hAnsi="宋体" w:eastAsia="宋体" w:cs="Times New Roman"/>
                <w:color w:val="auto"/>
                <w:kern w:val="2"/>
                <w:sz w:val="24"/>
                <w:szCs w:val="28"/>
                <w:highlight w:val="none"/>
                <w:lang w:val="en-US" w:eastAsia="zh-CN" w:bidi="ar-SA"/>
              </w:rPr>
            </w:pPr>
            <w:r>
              <w:rPr>
                <w:rFonts w:hint="eastAsia" w:ascii="宋体" w:hAnsi="宋体"/>
                <w:color w:val="auto"/>
                <w:sz w:val="24"/>
                <w:szCs w:val="28"/>
                <w:highlight w:val="none"/>
                <w:lang w:eastAsia="zh-CN"/>
              </w:rPr>
              <w:t>评审委员会</w:t>
            </w:r>
            <w:r>
              <w:rPr>
                <w:rFonts w:hint="eastAsia" w:ascii="宋体" w:hAnsi="宋体"/>
                <w:color w:val="auto"/>
                <w:sz w:val="24"/>
                <w:szCs w:val="28"/>
                <w:highlight w:val="none"/>
              </w:rPr>
              <w:t>的组建</w:t>
            </w:r>
          </w:p>
        </w:tc>
        <w:tc>
          <w:tcPr>
            <w:tcW w:w="6542" w:type="dxa"/>
            <w:tcBorders>
              <w:tl2br w:val="nil"/>
              <w:tr2bl w:val="nil"/>
            </w:tcBorders>
            <w:vAlign w:val="center"/>
          </w:tcPr>
          <w:p w14:paraId="55D68102">
            <w:pPr>
              <w:pStyle w:val="29"/>
              <w:keepNext w:val="0"/>
              <w:keepLines w:val="0"/>
              <w:pageBreakBefore w:val="0"/>
              <w:kinsoku/>
              <w:overflowPunct/>
              <w:topLinePunct w:val="0"/>
              <w:bidi w:val="0"/>
              <w:spacing w:line="400" w:lineRule="exact"/>
              <w:textAlignment w:val="auto"/>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lang w:val="en-US" w:eastAsia="zh-CN" w:bidi="ar-SA"/>
              </w:rPr>
              <w:t>磋商小组构成：3人，其中采购人代表1人，专家2人；评标专家确定方式：从新疆政府采购网专家库中随机抽取。</w:t>
            </w:r>
          </w:p>
        </w:tc>
      </w:tr>
      <w:tr w14:paraId="1CB15F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20676FF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35</w:t>
            </w:r>
          </w:p>
        </w:tc>
        <w:tc>
          <w:tcPr>
            <w:tcW w:w="2493" w:type="dxa"/>
            <w:tcBorders>
              <w:tl2br w:val="nil"/>
              <w:tr2bl w:val="nil"/>
            </w:tcBorders>
            <w:vAlign w:val="center"/>
          </w:tcPr>
          <w:p w14:paraId="7D7BD62C">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542" w:type="dxa"/>
            <w:tcBorders>
              <w:tl2br w:val="nil"/>
              <w:tr2bl w:val="nil"/>
            </w:tcBorders>
            <w:vAlign w:val="center"/>
          </w:tcPr>
          <w:p w14:paraId="3BC1A440">
            <w:pPr>
              <w:keepNext w:val="0"/>
              <w:keepLines w:val="0"/>
              <w:pageBreakBefore w:val="0"/>
              <w:kinsoku/>
              <w:overflowPunct/>
              <w:topLinePunct w:val="0"/>
              <w:bidi w:val="0"/>
              <w:spacing w:line="400" w:lineRule="exact"/>
              <w:jc w:val="lef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本项目不收取履约保证金</w:t>
            </w:r>
          </w:p>
          <w:p w14:paraId="291BC1FD">
            <w:pPr>
              <w:keepNext w:val="0"/>
              <w:keepLines w:val="0"/>
              <w:pageBreakBefore w:val="0"/>
              <w:kinsoku/>
              <w:overflowPunct/>
              <w:topLinePunct w:val="0"/>
              <w:bidi w:val="0"/>
              <w:spacing w:line="400" w:lineRule="exact"/>
              <w:jc w:val="lef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本项目收取履约保证金</w:t>
            </w:r>
          </w:p>
          <w:p w14:paraId="371B3BD7">
            <w:pPr>
              <w:keepNext w:val="0"/>
              <w:keepLines w:val="0"/>
              <w:pageBreakBefore w:val="0"/>
              <w:kinsoku/>
              <w:overflowPunct/>
              <w:topLinePunct w:val="0"/>
              <w:bidi w:val="0"/>
              <w:spacing w:line="400" w:lineRule="exact"/>
              <w:jc w:val="lef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履约保证金金额：</w:t>
            </w:r>
            <w:r>
              <w:rPr>
                <w:rFonts w:hint="eastAsia" w:asciiTheme="minorEastAsia" w:hAnsiTheme="minorEastAsia" w:eastAsiaTheme="minorEastAsia" w:cstheme="minorEastAsia"/>
                <w:color w:val="auto"/>
                <w:spacing w:val="-11"/>
                <w:kern w:val="0"/>
                <w:sz w:val="24"/>
                <w:szCs w:val="24"/>
                <w:highlight w:val="none"/>
                <w:u w:val="single"/>
                <w:lang w:val="en-US" w:eastAsia="zh-CN"/>
              </w:rPr>
              <w:t>成交金额的10%</w:t>
            </w:r>
            <w:r>
              <w:rPr>
                <w:rFonts w:hint="eastAsia" w:asciiTheme="minorEastAsia" w:hAnsiTheme="minorEastAsia" w:eastAsiaTheme="minorEastAsia" w:cstheme="minorEastAsia"/>
                <w:color w:val="auto"/>
                <w:spacing w:val="-11"/>
                <w:kern w:val="0"/>
                <w:sz w:val="24"/>
                <w:szCs w:val="24"/>
                <w:highlight w:val="none"/>
                <w:u w:val="none"/>
                <w:lang w:val="en-US" w:eastAsia="zh-CN"/>
              </w:rPr>
              <w:t>。</w:t>
            </w:r>
            <w:r>
              <w:rPr>
                <w:rFonts w:hint="eastAsia" w:asciiTheme="minorEastAsia" w:hAnsiTheme="minorEastAsia" w:eastAsiaTheme="minorEastAsia" w:cstheme="minorEastAsia"/>
                <w:color w:val="auto"/>
                <w:spacing w:val="-11"/>
                <w:sz w:val="24"/>
                <w:szCs w:val="24"/>
                <w:highlight w:val="none"/>
              </w:rPr>
              <w:t xml:space="preserve">                 </w:t>
            </w:r>
          </w:p>
          <w:p w14:paraId="7D343292">
            <w:pPr>
              <w:keepNext w:val="0"/>
              <w:keepLines w:val="0"/>
              <w:pageBreakBefore w:val="0"/>
              <w:kinsoku/>
              <w:overflowPunct/>
              <w:topLinePunct w:val="0"/>
              <w:bidi w:val="0"/>
              <w:spacing w:line="400" w:lineRule="exact"/>
              <w:jc w:val="lef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履约保证金递交时间：</w:t>
            </w:r>
            <w:r>
              <w:rPr>
                <w:rFonts w:hint="eastAsia" w:asciiTheme="minorEastAsia" w:hAnsiTheme="minorEastAsia" w:eastAsiaTheme="minorEastAsia" w:cstheme="minorEastAsia"/>
                <w:color w:val="auto"/>
                <w:spacing w:val="-11"/>
                <w:kern w:val="0"/>
                <w:sz w:val="24"/>
                <w:szCs w:val="24"/>
                <w:highlight w:val="none"/>
                <w:u w:val="single"/>
              </w:rPr>
              <w:t xml:space="preserve"> </w:t>
            </w:r>
            <w:r>
              <w:rPr>
                <w:rFonts w:hint="eastAsia" w:asciiTheme="minorEastAsia" w:hAnsiTheme="minorEastAsia" w:eastAsiaTheme="minorEastAsia" w:cstheme="minorEastAsia"/>
                <w:color w:val="auto"/>
                <w:spacing w:val="-11"/>
                <w:kern w:val="0"/>
                <w:sz w:val="24"/>
                <w:szCs w:val="24"/>
                <w:highlight w:val="none"/>
                <w:u w:val="single"/>
                <w:lang w:val="zh-CN"/>
              </w:rPr>
              <w:t>收到</w:t>
            </w:r>
            <w:r>
              <w:rPr>
                <w:rFonts w:hint="eastAsia" w:asciiTheme="minorEastAsia" w:hAnsiTheme="minorEastAsia" w:eastAsiaTheme="minorEastAsia" w:cstheme="minorEastAsia"/>
                <w:color w:val="auto"/>
                <w:spacing w:val="-11"/>
                <w:kern w:val="0"/>
                <w:sz w:val="24"/>
                <w:szCs w:val="24"/>
                <w:highlight w:val="none"/>
                <w:u w:val="single"/>
                <w:lang w:val="en-US" w:eastAsia="zh-CN"/>
              </w:rPr>
              <w:t>成交</w:t>
            </w:r>
            <w:r>
              <w:rPr>
                <w:rFonts w:hint="eastAsia" w:asciiTheme="minorEastAsia" w:hAnsiTheme="minorEastAsia" w:eastAsiaTheme="minorEastAsia" w:cstheme="minorEastAsia"/>
                <w:color w:val="auto"/>
                <w:spacing w:val="-11"/>
                <w:kern w:val="0"/>
                <w:sz w:val="24"/>
                <w:szCs w:val="24"/>
                <w:highlight w:val="none"/>
                <w:u w:val="single"/>
                <w:lang w:val="zh-CN"/>
              </w:rPr>
              <w:t>通知书</w:t>
            </w:r>
            <w:r>
              <w:rPr>
                <w:rFonts w:hint="eastAsia" w:asciiTheme="minorEastAsia" w:hAnsiTheme="minorEastAsia" w:eastAsiaTheme="minorEastAsia" w:cstheme="minorEastAsia"/>
                <w:color w:val="auto"/>
                <w:spacing w:val="-11"/>
                <w:kern w:val="0"/>
                <w:sz w:val="24"/>
                <w:szCs w:val="24"/>
                <w:highlight w:val="none"/>
                <w:u w:val="single"/>
                <w:lang w:val="en-US" w:eastAsia="zh-CN"/>
              </w:rPr>
              <w:t>10</w:t>
            </w:r>
            <w:r>
              <w:rPr>
                <w:rFonts w:hint="eastAsia" w:asciiTheme="minorEastAsia" w:hAnsiTheme="minorEastAsia" w:eastAsiaTheme="minorEastAsia" w:cstheme="minorEastAsia"/>
                <w:color w:val="auto"/>
                <w:spacing w:val="-11"/>
                <w:kern w:val="0"/>
                <w:sz w:val="24"/>
                <w:szCs w:val="24"/>
                <w:highlight w:val="none"/>
                <w:u w:val="single"/>
                <w:lang w:val="zh-CN"/>
              </w:rPr>
              <w:t>日内，</w:t>
            </w:r>
            <w:r>
              <w:rPr>
                <w:rFonts w:hint="eastAsia" w:asciiTheme="minorEastAsia" w:hAnsiTheme="minorEastAsia" w:eastAsiaTheme="minorEastAsia" w:cstheme="minorEastAsia"/>
                <w:color w:val="auto"/>
                <w:spacing w:val="-11"/>
                <w:kern w:val="0"/>
                <w:sz w:val="24"/>
                <w:szCs w:val="24"/>
                <w:highlight w:val="none"/>
                <w:u w:val="single"/>
                <w:lang w:val="en-US" w:eastAsia="zh-CN"/>
              </w:rPr>
              <w:t>成交</w:t>
            </w:r>
            <w:r>
              <w:rPr>
                <w:rFonts w:hint="eastAsia" w:asciiTheme="minorEastAsia" w:hAnsiTheme="minorEastAsia" w:eastAsiaTheme="minorEastAsia" w:cstheme="minorEastAsia"/>
                <w:color w:val="auto"/>
                <w:spacing w:val="-11"/>
                <w:kern w:val="0"/>
                <w:sz w:val="24"/>
                <w:szCs w:val="24"/>
                <w:highlight w:val="none"/>
                <w:u w:val="single"/>
                <w:lang w:val="zh-CN"/>
              </w:rPr>
              <w:t>人应向招标人</w:t>
            </w:r>
            <w:r>
              <w:rPr>
                <w:rFonts w:hint="eastAsia" w:asciiTheme="minorEastAsia" w:hAnsiTheme="minorEastAsia" w:eastAsiaTheme="minorEastAsia" w:cstheme="minorEastAsia"/>
                <w:color w:val="auto"/>
                <w:spacing w:val="-11"/>
                <w:kern w:val="0"/>
                <w:sz w:val="24"/>
                <w:szCs w:val="24"/>
                <w:highlight w:val="none"/>
                <w:u w:val="single"/>
                <w:lang w:val="en-US" w:eastAsia="zh-CN"/>
              </w:rPr>
              <w:t>缴纳</w:t>
            </w:r>
            <w:r>
              <w:rPr>
                <w:rFonts w:hint="eastAsia" w:asciiTheme="minorEastAsia" w:hAnsiTheme="minorEastAsia" w:eastAsiaTheme="minorEastAsia" w:cstheme="minorEastAsia"/>
                <w:color w:val="auto"/>
                <w:spacing w:val="-11"/>
                <w:kern w:val="0"/>
                <w:sz w:val="24"/>
                <w:szCs w:val="24"/>
                <w:highlight w:val="none"/>
                <w:u w:val="single"/>
                <w:lang w:val="zh-CN"/>
              </w:rPr>
              <w:t>履约保证金</w:t>
            </w:r>
            <w:r>
              <w:rPr>
                <w:rFonts w:hint="eastAsia" w:asciiTheme="minorEastAsia" w:hAnsiTheme="minorEastAsia" w:eastAsiaTheme="minorEastAsia" w:cstheme="minorEastAsia"/>
                <w:color w:val="auto"/>
                <w:spacing w:val="-11"/>
                <w:kern w:val="0"/>
                <w:sz w:val="24"/>
                <w:szCs w:val="24"/>
                <w:highlight w:val="none"/>
                <w:u w:val="single"/>
                <w:lang w:val="en-US" w:eastAsia="zh-CN"/>
              </w:rPr>
              <w:t>或提供履约保函</w:t>
            </w:r>
            <w:r>
              <w:rPr>
                <w:rFonts w:hint="eastAsia" w:asciiTheme="minorEastAsia" w:hAnsiTheme="minorEastAsia" w:eastAsiaTheme="minorEastAsia" w:cstheme="minorEastAsia"/>
                <w:color w:val="auto"/>
                <w:spacing w:val="-11"/>
                <w:kern w:val="0"/>
                <w:sz w:val="24"/>
                <w:szCs w:val="24"/>
                <w:highlight w:val="none"/>
                <w:u w:val="single"/>
                <w:lang w:val="zh-CN"/>
              </w:rPr>
              <w:t>。履约保证金缴纳后，后期如无故不与招标人签订合同或不履行合同，履约保证金的受益人为招标人，将不予退还</w:t>
            </w:r>
            <w:r>
              <w:rPr>
                <w:rFonts w:hint="eastAsia" w:asciiTheme="minorEastAsia" w:hAnsiTheme="minorEastAsia" w:eastAsiaTheme="minorEastAsia" w:cstheme="minorEastAsia"/>
                <w:color w:val="auto"/>
                <w:spacing w:val="-11"/>
                <w:kern w:val="0"/>
                <w:sz w:val="24"/>
                <w:szCs w:val="24"/>
                <w:highlight w:val="none"/>
                <w:u w:val="none"/>
                <w:lang w:val="zh-CN"/>
              </w:rPr>
              <w:t>。</w:t>
            </w:r>
            <w:r>
              <w:rPr>
                <w:rFonts w:hint="eastAsia" w:asciiTheme="minorEastAsia" w:hAnsiTheme="minorEastAsia" w:eastAsiaTheme="minorEastAsia" w:cstheme="minorEastAsia"/>
                <w:color w:val="auto"/>
                <w:spacing w:val="-11"/>
                <w:kern w:val="0"/>
                <w:sz w:val="24"/>
                <w:szCs w:val="24"/>
                <w:highlight w:val="none"/>
                <w:u w:val="none"/>
              </w:rPr>
              <w:t xml:space="preserve">       </w:t>
            </w:r>
            <w:r>
              <w:rPr>
                <w:rFonts w:hint="eastAsia" w:asciiTheme="minorEastAsia" w:hAnsiTheme="minorEastAsia" w:eastAsiaTheme="minorEastAsia" w:cstheme="minorEastAsia"/>
                <w:color w:val="auto"/>
                <w:spacing w:val="-11"/>
                <w:sz w:val="24"/>
                <w:szCs w:val="24"/>
                <w:highlight w:val="none"/>
                <w:u w:val="none"/>
              </w:rPr>
              <w:t xml:space="preserve"> </w:t>
            </w:r>
            <w:r>
              <w:rPr>
                <w:rFonts w:hint="eastAsia" w:asciiTheme="minorEastAsia" w:hAnsiTheme="minorEastAsia" w:eastAsiaTheme="minorEastAsia" w:cstheme="minorEastAsia"/>
                <w:color w:val="auto"/>
                <w:spacing w:val="-11"/>
                <w:sz w:val="24"/>
                <w:szCs w:val="24"/>
                <w:highlight w:val="none"/>
              </w:rPr>
              <w:t xml:space="preserve">            </w:t>
            </w:r>
          </w:p>
          <w:p w14:paraId="353AD263">
            <w:pPr>
              <w:keepNext w:val="0"/>
              <w:keepLines w:val="0"/>
              <w:pageBreakBefore w:val="0"/>
              <w:kinsoku/>
              <w:overflowPunct/>
              <w:topLinePunct w:val="0"/>
              <w:bidi w:val="0"/>
              <w:spacing w:line="400" w:lineRule="exact"/>
              <w:jc w:val="lef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rPr>
              <w:t>履约保证金递交方式：</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 xml:space="preserve">保函   □支票  </w:t>
            </w:r>
            <w:r>
              <w:rPr>
                <w:rFonts w:hint="eastAsia" w:asciiTheme="minorEastAsia" w:hAnsiTheme="minorEastAsia" w:eastAsiaTheme="minorEastAsia" w:cstheme="minorEastAsia"/>
                <w:color w:val="auto"/>
                <w:spacing w:val="-11"/>
                <w:sz w:val="24"/>
                <w:szCs w:val="24"/>
                <w:highlight w:val="none"/>
                <w:lang w:eastAsia="zh-CN"/>
              </w:rPr>
              <w:t>☑</w:t>
            </w:r>
            <w:r>
              <w:rPr>
                <w:rFonts w:hint="eastAsia" w:asciiTheme="minorEastAsia" w:hAnsiTheme="minorEastAsia" w:eastAsiaTheme="minorEastAsia" w:cstheme="minorEastAsia"/>
                <w:color w:val="auto"/>
                <w:spacing w:val="-11"/>
                <w:sz w:val="24"/>
                <w:szCs w:val="24"/>
                <w:highlight w:val="none"/>
              </w:rPr>
              <w:t xml:space="preserve">电汇                </w:t>
            </w:r>
          </w:p>
          <w:p w14:paraId="215FFB2D">
            <w:pPr>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pacing w:val="-11"/>
                <w:sz w:val="24"/>
                <w:szCs w:val="24"/>
                <w:highlight w:val="none"/>
              </w:rPr>
              <w:t>履约保证金退还时间及规定：</w:t>
            </w:r>
            <w:r>
              <w:rPr>
                <w:rFonts w:hint="eastAsia" w:asciiTheme="minorEastAsia" w:hAnsiTheme="minorEastAsia" w:eastAsiaTheme="minorEastAsia" w:cstheme="minorEastAsia"/>
                <w:color w:val="auto"/>
                <w:spacing w:val="-11"/>
                <w:kern w:val="0"/>
                <w:sz w:val="24"/>
                <w:szCs w:val="24"/>
                <w:highlight w:val="none"/>
                <w:u w:val="single"/>
                <w:lang w:val="zh-CN"/>
              </w:rPr>
              <w:t>合同有效期届满后30 日内退还给乙方，不计利息</w:t>
            </w:r>
            <w:r>
              <w:rPr>
                <w:rFonts w:hint="eastAsia" w:asciiTheme="minorEastAsia" w:hAnsiTheme="minorEastAsia" w:eastAsiaTheme="minorEastAsia" w:cstheme="minorEastAsia"/>
                <w:color w:val="auto"/>
                <w:spacing w:val="-11"/>
                <w:kern w:val="0"/>
                <w:sz w:val="24"/>
                <w:szCs w:val="24"/>
                <w:highlight w:val="none"/>
                <w:u w:val="none"/>
                <w:lang w:val="en-US" w:eastAsia="zh-CN"/>
              </w:rPr>
              <w:t>。</w:t>
            </w:r>
            <w:r>
              <w:rPr>
                <w:rFonts w:hint="eastAsia" w:asciiTheme="minorEastAsia" w:hAnsiTheme="minorEastAsia" w:eastAsiaTheme="minorEastAsia" w:cstheme="minorEastAsia"/>
                <w:color w:val="auto"/>
                <w:spacing w:val="-11"/>
                <w:kern w:val="0"/>
                <w:sz w:val="24"/>
                <w:szCs w:val="24"/>
                <w:highlight w:val="none"/>
                <w:u w:val="none"/>
                <w:lang w:val="zh-CN"/>
              </w:rPr>
              <w:t xml:space="preserve"> </w:t>
            </w:r>
          </w:p>
        </w:tc>
      </w:tr>
      <w:tr w14:paraId="4B63CE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10" w:hRule="atLeast"/>
          <w:jc w:val="center"/>
        </w:trPr>
        <w:tc>
          <w:tcPr>
            <w:tcW w:w="773" w:type="dxa"/>
            <w:tcBorders>
              <w:tl2br w:val="nil"/>
              <w:tr2bl w:val="nil"/>
            </w:tcBorders>
            <w:vAlign w:val="center"/>
          </w:tcPr>
          <w:p w14:paraId="6D4FB86B">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36</w:t>
            </w:r>
          </w:p>
        </w:tc>
        <w:tc>
          <w:tcPr>
            <w:tcW w:w="2493" w:type="dxa"/>
            <w:tcBorders>
              <w:tl2br w:val="nil"/>
              <w:tr2bl w:val="nil"/>
            </w:tcBorders>
            <w:vAlign w:val="center"/>
          </w:tcPr>
          <w:p w14:paraId="0694611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合同签订</w:t>
            </w:r>
          </w:p>
        </w:tc>
        <w:tc>
          <w:tcPr>
            <w:tcW w:w="6542" w:type="dxa"/>
            <w:tcBorders>
              <w:tl2br w:val="nil"/>
              <w:tr2bl w:val="nil"/>
            </w:tcBorders>
            <w:vAlign w:val="center"/>
          </w:tcPr>
          <w:p w14:paraId="6F7BC02F">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采购人与成交供应商在代理具体项目时自行约定，乙方应在收到成交通知书并在3日内签订具体服务合同。</w:t>
            </w:r>
          </w:p>
        </w:tc>
      </w:tr>
      <w:tr w14:paraId="0C7C00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53FAF5A">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37</w:t>
            </w:r>
          </w:p>
        </w:tc>
        <w:tc>
          <w:tcPr>
            <w:tcW w:w="2493" w:type="dxa"/>
            <w:tcBorders>
              <w:tl2br w:val="nil"/>
              <w:tr2bl w:val="nil"/>
            </w:tcBorders>
            <w:vAlign w:val="center"/>
          </w:tcPr>
          <w:p w14:paraId="26A5DD14">
            <w:pPr>
              <w:pStyle w:val="29"/>
              <w:spacing w:before="156" w:beforeLines="50" w:after="156" w:afterLines="50" w:line="300" w:lineRule="exact"/>
              <w:jc w:val="center"/>
              <w:rPr>
                <w:rFonts w:hint="eastAsia" w:ascii="宋体" w:hAnsi="宋体" w:eastAsia="宋体" w:cs="Times New Roman"/>
                <w:color w:val="auto"/>
                <w:kern w:val="2"/>
                <w:sz w:val="24"/>
                <w:szCs w:val="28"/>
                <w:highlight w:val="none"/>
                <w:lang w:val="en-US" w:eastAsia="zh-CN" w:bidi="ar-SA"/>
              </w:rPr>
            </w:pPr>
            <w:r>
              <w:rPr>
                <w:rFonts w:hint="eastAsia" w:ascii="宋体" w:hAnsi="宋体"/>
                <w:color w:val="auto"/>
                <w:sz w:val="24"/>
                <w:szCs w:val="28"/>
                <w:highlight w:val="none"/>
              </w:rPr>
              <w:t>低于成本价不正当竞争预防措施</w:t>
            </w:r>
          </w:p>
        </w:tc>
        <w:tc>
          <w:tcPr>
            <w:tcW w:w="6542" w:type="dxa"/>
            <w:tcBorders>
              <w:tl2br w:val="nil"/>
              <w:tr2bl w:val="nil"/>
            </w:tcBorders>
            <w:vAlign w:val="center"/>
          </w:tcPr>
          <w:p w14:paraId="582BC5DB">
            <w:pPr>
              <w:pStyle w:val="29"/>
              <w:keepNext w:val="0"/>
              <w:keepLines w:val="0"/>
              <w:pageBreakBefore w:val="0"/>
              <w:kinsoku/>
              <w:overflowPunct/>
              <w:topLinePunct w:val="0"/>
              <w:bidi w:val="0"/>
              <w:spacing w:line="400" w:lineRule="exact"/>
              <w:textAlignment w:val="auto"/>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在评标过程中，当评</w:t>
            </w:r>
            <w:r>
              <w:rPr>
                <w:rFonts w:hint="eastAsia" w:ascii="宋体" w:hAnsi="宋体" w:cs="宋体"/>
                <w:color w:val="auto"/>
                <w:kern w:val="0"/>
                <w:sz w:val="24"/>
                <w:szCs w:val="28"/>
                <w:highlight w:val="none"/>
                <w:lang w:eastAsia="zh-CN"/>
              </w:rPr>
              <w:t>审</w:t>
            </w:r>
            <w:r>
              <w:rPr>
                <w:rFonts w:hint="eastAsia" w:ascii="宋体" w:hAnsi="宋体" w:cs="宋体"/>
                <w:color w:val="auto"/>
                <w:kern w:val="0"/>
                <w:sz w:val="24"/>
                <w:szCs w:val="28"/>
                <w:highlight w:val="none"/>
              </w:rPr>
              <w:t>小组认为通过符合性审查的投标人的报价明显低于成本价，有可能影响服务质量或者不能诚信履约的，</w:t>
            </w:r>
            <w:r>
              <w:rPr>
                <w:rFonts w:hint="eastAsia" w:ascii="宋体" w:hAnsi="宋体" w:cs="宋体"/>
                <w:color w:val="auto"/>
                <w:kern w:val="0"/>
                <w:sz w:val="24"/>
                <w:szCs w:val="28"/>
                <w:highlight w:val="none"/>
                <w:lang w:eastAsia="zh-CN"/>
              </w:rPr>
              <w:t>评审委员会</w:t>
            </w:r>
            <w:r>
              <w:rPr>
                <w:rFonts w:hint="eastAsia" w:ascii="宋体" w:hAnsi="宋体" w:cs="宋体"/>
                <w:color w:val="auto"/>
                <w:kern w:val="0"/>
                <w:sz w:val="24"/>
                <w:szCs w:val="28"/>
                <w:highlight w:val="none"/>
              </w:rPr>
              <w:t>应当要求其在评标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223128A7">
            <w:pPr>
              <w:pStyle w:val="29"/>
              <w:keepNext w:val="0"/>
              <w:keepLines w:val="0"/>
              <w:pageBreakBefore w:val="0"/>
              <w:kinsoku/>
              <w:overflowPunct/>
              <w:topLinePunct w:val="0"/>
              <w:bidi w:val="0"/>
              <w:spacing w:line="400" w:lineRule="exact"/>
              <w:textAlignment w:val="auto"/>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712BD850">
            <w:pPr>
              <w:pStyle w:val="29"/>
              <w:keepNext w:val="0"/>
              <w:keepLines w:val="0"/>
              <w:pageBreakBefore w:val="0"/>
              <w:kinsoku/>
              <w:overflowPunct/>
              <w:topLinePunct w:val="0"/>
              <w:bidi w:val="0"/>
              <w:spacing w:line="400" w:lineRule="exact"/>
              <w:textAlignment w:val="auto"/>
              <w:rPr>
                <w:rFonts w:hint="eastAsia" w:ascii="宋体" w:hAnsi="宋体" w:eastAsia="宋体" w:cs="宋体"/>
                <w:color w:val="auto"/>
                <w:kern w:val="0"/>
                <w:sz w:val="24"/>
                <w:szCs w:val="28"/>
                <w:highlight w:val="none"/>
                <w:lang w:val="en-US" w:eastAsia="zh-CN" w:bidi="ar-SA"/>
              </w:rPr>
            </w:pPr>
            <w:r>
              <w:rPr>
                <w:rFonts w:hint="eastAsia" w:ascii="宋体" w:hAnsi="宋体" w:cs="宋体"/>
                <w:color w:val="auto"/>
                <w:kern w:val="0"/>
                <w:sz w:val="24"/>
                <w:szCs w:val="28"/>
                <w:highlight w:val="none"/>
              </w:rPr>
              <w:t>投标人提供书面说明后，</w:t>
            </w:r>
            <w:r>
              <w:rPr>
                <w:rFonts w:hint="eastAsia" w:ascii="宋体" w:hAnsi="宋体" w:cs="宋体"/>
                <w:color w:val="auto"/>
                <w:kern w:val="0"/>
                <w:sz w:val="24"/>
                <w:szCs w:val="28"/>
                <w:highlight w:val="none"/>
                <w:lang w:eastAsia="zh-CN"/>
              </w:rPr>
              <w:t>评审委员会</w:t>
            </w:r>
            <w:r>
              <w:rPr>
                <w:rFonts w:hint="eastAsia" w:ascii="宋体" w:hAnsi="宋体" w:cs="宋体"/>
                <w:color w:val="auto"/>
                <w:kern w:val="0"/>
                <w:sz w:val="24"/>
                <w:szCs w:val="28"/>
                <w:highlight w:val="none"/>
              </w:rPr>
              <w:t>应当结合采购项目采购需求、专业实际情况、投标人财务状况报告、与其他投标人比较情况等就投标人书面说明进行审查评价。投标人拒绝或者变相拒绝提供有效书面说明或者书面说明不能证明其报价合理性的，</w:t>
            </w:r>
            <w:r>
              <w:rPr>
                <w:rFonts w:hint="eastAsia" w:ascii="宋体" w:hAnsi="宋体" w:cs="宋体"/>
                <w:color w:val="auto"/>
                <w:kern w:val="0"/>
                <w:sz w:val="24"/>
                <w:szCs w:val="28"/>
                <w:highlight w:val="none"/>
                <w:lang w:eastAsia="zh-CN"/>
              </w:rPr>
              <w:t>评审委员会</w:t>
            </w:r>
            <w:r>
              <w:rPr>
                <w:rFonts w:hint="eastAsia" w:ascii="宋体" w:hAnsi="宋体" w:cs="宋体"/>
                <w:color w:val="auto"/>
                <w:kern w:val="0"/>
                <w:sz w:val="24"/>
                <w:szCs w:val="28"/>
                <w:highlight w:val="none"/>
              </w:rPr>
              <w:t>应当将其</w:t>
            </w:r>
            <w:r>
              <w:rPr>
                <w:rFonts w:hint="eastAsia" w:ascii="宋体" w:hAnsi="宋体" w:cs="宋体"/>
                <w:color w:val="auto"/>
                <w:kern w:val="0"/>
                <w:sz w:val="24"/>
                <w:szCs w:val="28"/>
                <w:highlight w:val="none"/>
                <w:lang w:eastAsia="zh-CN"/>
              </w:rPr>
              <w:t>响应文件</w:t>
            </w:r>
            <w:r>
              <w:rPr>
                <w:rFonts w:hint="eastAsia" w:ascii="宋体" w:hAnsi="宋体" w:cs="宋体"/>
                <w:color w:val="auto"/>
                <w:kern w:val="0"/>
                <w:sz w:val="24"/>
                <w:szCs w:val="28"/>
                <w:highlight w:val="none"/>
              </w:rPr>
              <w:t>作为无效处理。</w:t>
            </w:r>
          </w:p>
        </w:tc>
      </w:tr>
      <w:tr w14:paraId="7BA9FC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7AF281D3">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p>
        </w:tc>
        <w:tc>
          <w:tcPr>
            <w:tcW w:w="2493" w:type="dxa"/>
            <w:tcBorders>
              <w:tl2br w:val="nil"/>
              <w:tr2bl w:val="nil"/>
            </w:tcBorders>
            <w:vAlign w:val="center"/>
          </w:tcPr>
          <w:p w14:paraId="1F739584">
            <w:pPr>
              <w:pStyle w:val="29"/>
              <w:spacing w:before="156" w:beforeLines="50" w:after="156" w:afterLines="50" w:line="300" w:lineRule="exact"/>
              <w:jc w:val="center"/>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rPr>
              <w:t>采购代理服务费</w:t>
            </w:r>
          </w:p>
        </w:tc>
        <w:tc>
          <w:tcPr>
            <w:tcW w:w="6542" w:type="dxa"/>
            <w:tcBorders>
              <w:tl2br w:val="nil"/>
              <w:tr2bl w:val="nil"/>
            </w:tcBorders>
            <w:vAlign w:val="center"/>
          </w:tcPr>
          <w:p w14:paraId="2E3163A1">
            <w:pPr>
              <w:keepNext w:val="0"/>
              <w:keepLines w:val="0"/>
              <w:pageBreakBefore w:val="0"/>
              <w:kinsoku/>
              <w:overflowPunct/>
              <w:topLinePunct w:val="0"/>
              <w:bidi w:val="0"/>
              <w:spacing w:line="400" w:lineRule="exac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lang w:eastAsia="zh-CN"/>
              </w:rPr>
              <w:sym w:font="Wingdings 2" w:char="00A3"/>
            </w:r>
            <w:r>
              <w:rPr>
                <w:rFonts w:hint="eastAsia" w:asciiTheme="minorEastAsia" w:hAnsiTheme="minorEastAsia" w:eastAsiaTheme="minorEastAsia" w:cstheme="minorEastAsia"/>
                <w:color w:val="auto"/>
                <w:spacing w:val="-11"/>
                <w:sz w:val="24"/>
                <w:szCs w:val="24"/>
                <w:highlight w:val="none"/>
              </w:rPr>
              <w:t>本项目不收取采购代理服务费</w:t>
            </w:r>
          </w:p>
          <w:p w14:paraId="76FF66A7">
            <w:pPr>
              <w:keepNext w:val="0"/>
              <w:keepLines w:val="0"/>
              <w:pageBreakBefore w:val="0"/>
              <w:kinsoku/>
              <w:overflowPunct/>
              <w:topLinePunct w:val="0"/>
              <w:bidi w:val="0"/>
              <w:spacing w:line="400" w:lineRule="exact"/>
              <w:textAlignment w:val="auto"/>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sz w:val="24"/>
                <w:szCs w:val="24"/>
                <w:highlight w:val="none"/>
                <w:lang w:eastAsia="zh-CN"/>
              </w:rPr>
              <w:sym w:font="Wingdings 2" w:char="0052"/>
            </w:r>
            <w:r>
              <w:rPr>
                <w:rFonts w:hint="eastAsia" w:asciiTheme="minorEastAsia" w:hAnsiTheme="minorEastAsia" w:eastAsiaTheme="minorEastAsia" w:cstheme="minorEastAsia"/>
                <w:color w:val="auto"/>
                <w:spacing w:val="-11"/>
                <w:sz w:val="24"/>
                <w:szCs w:val="24"/>
                <w:highlight w:val="none"/>
              </w:rPr>
              <w:t>本项目收取采购代理服务费</w:t>
            </w:r>
          </w:p>
          <w:p w14:paraId="4D72A39D">
            <w:pPr>
              <w:keepNext w:val="0"/>
              <w:keepLines w:val="0"/>
              <w:pageBreakBefore w:val="0"/>
              <w:kinsoku/>
              <w:overflowPunct/>
              <w:topLinePunct w:val="0"/>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采购代理服务费由成交单位一次性支付，以成交金额作为收费的计算基数，成交金额100万元以下的部分，服务类采购费率1.50%；成交金额100万元至500万元的部分，服务类采购费率0.80%。</w:t>
            </w:r>
          </w:p>
        </w:tc>
      </w:tr>
      <w:tr w14:paraId="09229C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50DDB153">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9</w:t>
            </w:r>
          </w:p>
        </w:tc>
        <w:tc>
          <w:tcPr>
            <w:tcW w:w="2493" w:type="dxa"/>
            <w:tcBorders>
              <w:tl2br w:val="nil"/>
              <w:tr2bl w:val="nil"/>
            </w:tcBorders>
            <w:vAlign w:val="center"/>
          </w:tcPr>
          <w:p w14:paraId="2C37FFDA">
            <w:pPr>
              <w:pStyle w:val="29"/>
              <w:spacing w:before="156" w:beforeLines="50" w:after="156" w:afterLines="50" w:line="300" w:lineRule="exact"/>
              <w:jc w:val="center"/>
              <w:rPr>
                <w:rFonts w:hint="eastAsia" w:ascii="宋体" w:hAnsi="宋体" w:eastAsia="宋体" w:cs="宋体"/>
                <w:color w:val="auto"/>
                <w:kern w:val="0"/>
                <w:sz w:val="24"/>
                <w:szCs w:val="28"/>
                <w:highlight w:val="none"/>
                <w:lang w:val="en-US" w:eastAsia="en-US" w:bidi="ar-SA"/>
              </w:rPr>
            </w:pPr>
            <w:r>
              <w:rPr>
                <w:rFonts w:hint="eastAsia" w:ascii="宋体" w:hAnsi="宋体" w:eastAsia="宋体" w:cs="宋体"/>
                <w:color w:val="auto"/>
                <w:kern w:val="0"/>
                <w:sz w:val="24"/>
                <w:szCs w:val="28"/>
                <w:highlight w:val="none"/>
              </w:rPr>
              <w:t>质疑</w:t>
            </w:r>
          </w:p>
        </w:tc>
        <w:tc>
          <w:tcPr>
            <w:tcW w:w="6542" w:type="dxa"/>
            <w:tcBorders>
              <w:tl2br w:val="nil"/>
              <w:tr2bl w:val="nil"/>
            </w:tcBorders>
            <w:vAlign w:val="center"/>
          </w:tcPr>
          <w:p w14:paraId="191CDD6D">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一、投标人认为自己的权益受到损害的，可以在知道或者应知其权益受到损害之日起七个工作日内，向采购代理机构提出质疑。</w:t>
            </w:r>
          </w:p>
          <w:p w14:paraId="3F982F2F">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1、接收质疑函的方式：接收加盖单位公章的书面质疑函</w:t>
            </w:r>
          </w:p>
          <w:p w14:paraId="0ACDE876">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联系单位：</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kern w:val="0"/>
                <w:sz w:val="24"/>
                <w:szCs w:val="28"/>
                <w:highlight w:val="none"/>
                <w:u w:val="single"/>
              </w:rPr>
              <w:t>新疆兴立众工程咨询有限责任公司</w:t>
            </w:r>
            <w:r>
              <w:rPr>
                <w:rFonts w:hint="eastAsia" w:ascii="宋体" w:hAnsi="宋体" w:eastAsia="宋体" w:cs="宋体"/>
                <w:color w:val="auto"/>
                <w:kern w:val="0"/>
                <w:sz w:val="24"/>
                <w:szCs w:val="28"/>
                <w:highlight w:val="none"/>
                <w:u w:val="single"/>
              </w:rPr>
              <w:t xml:space="preserve"> </w:t>
            </w:r>
          </w:p>
          <w:p w14:paraId="68E6A71A">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u w:val="single"/>
              </w:rPr>
            </w:pPr>
            <w:r>
              <w:rPr>
                <w:rFonts w:hint="eastAsia" w:ascii="宋体" w:hAnsi="宋体" w:eastAsia="宋体" w:cs="宋体"/>
                <w:color w:val="auto"/>
                <w:kern w:val="0"/>
                <w:sz w:val="24"/>
                <w:szCs w:val="28"/>
                <w:highlight w:val="none"/>
              </w:rPr>
              <w:t>联 系 人：</w:t>
            </w:r>
            <w:r>
              <w:rPr>
                <w:rFonts w:hint="eastAsia" w:ascii="宋体" w:hAnsi="宋体" w:eastAsia="宋体" w:cs="宋体"/>
                <w:color w:val="auto"/>
                <w:kern w:val="0"/>
                <w:sz w:val="24"/>
                <w:szCs w:val="28"/>
                <w:highlight w:val="none"/>
                <w:u w:val="single"/>
              </w:rPr>
              <w:t xml:space="preserve">  </w:t>
            </w:r>
            <w:r>
              <w:rPr>
                <w:rFonts w:hint="eastAsia" w:ascii="宋体" w:hAnsi="宋体" w:eastAsia="宋体" w:cs="宋体"/>
                <w:color w:val="auto"/>
                <w:kern w:val="0"/>
                <w:sz w:val="24"/>
                <w:szCs w:val="28"/>
                <w:highlight w:val="none"/>
                <w:u w:val="single"/>
                <w:lang w:val="en-US" w:eastAsia="zh-CN"/>
              </w:rPr>
              <w:t xml:space="preserve"> </w:t>
            </w:r>
            <w:r>
              <w:rPr>
                <w:rFonts w:hint="eastAsia" w:ascii="宋体" w:hAnsi="宋体" w:cs="宋体"/>
                <w:kern w:val="0"/>
                <w:sz w:val="24"/>
                <w:szCs w:val="28"/>
                <w:highlight w:val="none"/>
                <w:u w:val="single"/>
                <w:lang w:val="en-US" w:eastAsia="zh-CN"/>
              </w:rPr>
              <w:t>李萌</w:t>
            </w:r>
            <w:r>
              <w:rPr>
                <w:rFonts w:hint="eastAsia" w:ascii="宋体" w:hAnsi="宋体" w:eastAsia="宋体" w:cs="宋体"/>
                <w:color w:val="auto"/>
                <w:kern w:val="0"/>
                <w:sz w:val="24"/>
                <w:szCs w:val="28"/>
                <w:highlight w:val="none"/>
                <w:u w:val="single"/>
              </w:rPr>
              <w:t xml:space="preserve">   </w:t>
            </w:r>
          </w:p>
          <w:p w14:paraId="16F7A74F">
            <w:pPr>
              <w:pStyle w:val="29"/>
              <w:keepNext w:val="0"/>
              <w:keepLines w:val="0"/>
              <w:pageBreakBefore w:val="0"/>
              <w:kinsoku/>
              <w:overflowPunct/>
              <w:topLinePunct w:val="0"/>
              <w:bidi w:val="0"/>
              <w:spacing w:line="400" w:lineRule="exact"/>
              <w:jc w:val="left"/>
              <w:textAlignment w:val="auto"/>
              <w:rPr>
                <w:rFonts w:hint="default" w:ascii="宋体" w:hAnsi="宋体" w:eastAsia="宋体" w:cs="宋体"/>
                <w:color w:val="auto"/>
                <w:kern w:val="0"/>
                <w:sz w:val="24"/>
                <w:szCs w:val="28"/>
                <w:highlight w:val="none"/>
                <w:u w:val="single"/>
                <w:lang w:val="en-US" w:eastAsia="zh-CN"/>
              </w:rPr>
            </w:pPr>
            <w:r>
              <w:rPr>
                <w:rFonts w:hint="eastAsia" w:ascii="宋体" w:hAnsi="宋体" w:eastAsia="宋体" w:cs="宋体"/>
                <w:color w:val="auto"/>
                <w:kern w:val="0"/>
                <w:sz w:val="24"/>
                <w:szCs w:val="28"/>
                <w:highlight w:val="none"/>
              </w:rPr>
              <w:t>联系电话：</w:t>
            </w:r>
            <w:r>
              <w:rPr>
                <w:rFonts w:hint="eastAsia" w:ascii="宋体" w:hAnsi="宋体" w:eastAsia="宋体" w:cs="宋体"/>
                <w:color w:val="auto"/>
                <w:kern w:val="0"/>
                <w:sz w:val="24"/>
                <w:szCs w:val="28"/>
                <w:highlight w:val="none"/>
                <w:u w:val="single"/>
              </w:rPr>
              <w:t xml:space="preserve">  </w:t>
            </w:r>
            <w:r>
              <w:rPr>
                <w:rFonts w:hint="eastAsia" w:ascii="宋体" w:hAnsi="宋体" w:cs="宋体"/>
                <w:color w:val="auto"/>
                <w:kern w:val="0"/>
                <w:sz w:val="24"/>
                <w:szCs w:val="28"/>
                <w:highlight w:val="none"/>
                <w:u w:val="single"/>
                <w:lang w:val="en-US" w:eastAsia="zh-CN"/>
              </w:rPr>
              <w:t>13070359729</w:t>
            </w:r>
          </w:p>
          <w:p w14:paraId="53FAFD0F">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u w:val="single"/>
                <w:lang w:val="en-US" w:eastAsia="zh-CN"/>
              </w:rPr>
            </w:pPr>
            <w:r>
              <w:rPr>
                <w:rFonts w:hint="eastAsia" w:ascii="宋体" w:hAnsi="宋体" w:eastAsia="宋体" w:cs="宋体"/>
                <w:color w:val="auto"/>
                <w:kern w:val="0"/>
                <w:sz w:val="24"/>
                <w:szCs w:val="28"/>
                <w:highlight w:val="none"/>
              </w:rPr>
              <w:t>通讯地址：</w:t>
            </w:r>
            <w:r>
              <w:rPr>
                <w:rFonts w:hint="eastAsia" w:ascii="宋体" w:hAnsi="宋体" w:eastAsia="宋体" w:cs="宋体"/>
                <w:kern w:val="0"/>
                <w:sz w:val="24"/>
                <w:szCs w:val="28"/>
                <w:highlight w:val="none"/>
                <w:u w:val="single"/>
                <w:lang w:val="en-US" w:eastAsia="zh-CN"/>
              </w:rPr>
              <w:t>伊宁市大业领地东门商业写字楼3楼302号（金豆豆幼儿园对面）</w:t>
            </w:r>
          </w:p>
          <w:p w14:paraId="797F1D80">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rPr>
            </w:pPr>
            <w:r>
              <w:rPr>
                <w:rFonts w:hint="eastAsia" w:ascii="宋体" w:hAnsi="宋体" w:eastAsia="宋体" w:cs="宋体"/>
                <w:color w:val="auto"/>
                <w:kern w:val="0"/>
                <w:sz w:val="24"/>
                <w:szCs w:val="28"/>
                <w:highlight w:val="none"/>
              </w:rPr>
              <w:t>2、质疑函的内容、格式：应符合《政府采购质疑和投诉办法》相关规定和财政部门制定的《政府采购质疑函范本》格式。</w:t>
            </w:r>
          </w:p>
          <w:p w14:paraId="453B9652">
            <w:pPr>
              <w:pStyle w:val="29"/>
              <w:keepNext w:val="0"/>
              <w:keepLines w:val="0"/>
              <w:pageBreakBefore w:val="0"/>
              <w:kinsoku/>
              <w:overflowPunct/>
              <w:topLinePunct w:val="0"/>
              <w:bidi w:val="0"/>
              <w:spacing w:line="400" w:lineRule="exact"/>
              <w:jc w:val="left"/>
              <w:textAlignment w:val="auto"/>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rPr>
              <w:t>二、投标人应在法定质疑期内一次性针对同一采购程序环节提出质疑，否则针对再次提出质疑将不予接收。（采购程序环节分为：</w:t>
            </w:r>
            <w:r>
              <w:rPr>
                <w:rFonts w:hint="eastAsia" w:ascii="宋体" w:hAnsi="宋体" w:cs="宋体"/>
                <w:color w:val="auto"/>
                <w:kern w:val="0"/>
                <w:sz w:val="24"/>
                <w:szCs w:val="28"/>
                <w:highlight w:val="none"/>
                <w:lang w:eastAsia="zh-CN"/>
              </w:rPr>
              <w:t>采购公告</w:t>
            </w:r>
            <w:r>
              <w:rPr>
                <w:rFonts w:hint="eastAsia" w:ascii="宋体" w:hAnsi="宋体" w:eastAsia="宋体" w:cs="宋体"/>
                <w:color w:val="auto"/>
                <w:kern w:val="0"/>
                <w:sz w:val="24"/>
                <w:szCs w:val="28"/>
                <w:highlight w:val="none"/>
              </w:rPr>
              <w:t>、</w:t>
            </w:r>
            <w:r>
              <w:rPr>
                <w:rFonts w:hint="eastAsia" w:ascii="宋体" w:hAnsi="宋体" w:cs="宋体"/>
                <w:color w:val="auto"/>
                <w:kern w:val="0"/>
                <w:sz w:val="24"/>
                <w:szCs w:val="28"/>
                <w:highlight w:val="none"/>
                <w:lang w:eastAsia="zh-CN"/>
              </w:rPr>
              <w:t>采购文件</w:t>
            </w:r>
            <w:r>
              <w:rPr>
                <w:rFonts w:hint="eastAsia" w:ascii="宋体" w:hAnsi="宋体" w:eastAsia="宋体" w:cs="宋体"/>
                <w:color w:val="auto"/>
                <w:kern w:val="0"/>
                <w:sz w:val="24"/>
                <w:szCs w:val="28"/>
                <w:highlight w:val="none"/>
              </w:rPr>
              <w:t>、招标过程、</w:t>
            </w:r>
            <w:r>
              <w:rPr>
                <w:rFonts w:hint="eastAsia" w:ascii="宋体" w:hAnsi="宋体" w:cs="宋体"/>
                <w:color w:val="auto"/>
                <w:kern w:val="0"/>
                <w:sz w:val="24"/>
                <w:szCs w:val="28"/>
                <w:highlight w:val="none"/>
                <w:lang w:eastAsia="zh-CN"/>
              </w:rPr>
              <w:t>成交</w:t>
            </w:r>
            <w:r>
              <w:rPr>
                <w:rFonts w:hint="eastAsia" w:ascii="宋体" w:hAnsi="宋体" w:eastAsia="宋体" w:cs="宋体"/>
                <w:color w:val="auto"/>
                <w:kern w:val="0"/>
                <w:sz w:val="24"/>
                <w:szCs w:val="28"/>
                <w:highlight w:val="none"/>
              </w:rPr>
              <w:t>结果）</w:t>
            </w:r>
          </w:p>
        </w:tc>
      </w:tr>
      <w:tr w14:paraId="5813CB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720" w:hRule="atLeast"/>
          <w:jc w:val="center"/>
        </w:trPr>
        <w:tc>
          <w:tcPr>
            <w:tcW w:w="773" w:type="dxa"/>
            <w:tcBorders>
              <w:tl2br w:val="nil"/>
              <w:tr2bl w:val="nil"/>
            </w:tcBorders>
            <w:vAlign w:val="center"/>
          </w:tcPr>
          <w:p w14:paraId="492A0002">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w:t>
            </w:r>
          </w:p>
        </w:tc>
        <w:tc>
          <w:tcPr>
            <w:tcW w:w="2493" w:type="dxa"/>
            <w:tcBorders>
              <w:tl2br w:val="nil"/>
              <w:tr2bl w:val="nil"/>
            </w:tcBorders>
            <w:shd w:val="clear" w:color="auto" w:fill="auto"/>
            <w:vAlign w:val="center"/>
          </w:tcPr>
          <w:p w14:paraId="74FD1CBB">
            <w:pPr>
              <w:pStyle w:val="29"/>
              <w:keepNext w:val="0"/>
              <w:keepLines w:val="0"/>
              <w:pageBreakBefore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方正仿宋_GB2312" w:hAnsi="方正仿宋_GB2312" w:eastAsia="方正仿宋_GB2312" w:cs="方正仿宋_GB2312"/>
                <w:color w:val="auto"/>
                <w:kern w:val="0"/>
                <w:sz w:val="24"/>
                <w:szCs w:val="28"/>
                <w:highlight w:val="none"/>
                <w:lang w:val="en-US" w:eastAsia="zh-CN" w:bidi="ar-SA"/>
              </w:rPr>
            </w:pPr>
            <w:r>
              <w:rPr>
                <w:rFonts w:hint="eastAsia" w:ascii="宋体" w:hAnsi="宋体"/>
                <w:color w:val="auto"/>
                <w:sz w:val="24"/>
                <w:szCs w:val="28"/>
                <w:highlight w:val="none"/>
                <w:lang w:val="en-US" w:eastAsia="zh-CN"/>
              </w:rPr>
              <w:t>所属行业</w:t>
            </w:r>
          </w:p>
        </w:tc>
        <w:tc>
          <w:tcPr>
            <w:tcW w:w="6542" w:type="dxa"/>
            <w:tcBorders>
              <w:tl2br w:val="nil"/>
              <w:tr2bl w:val="nil"/>
            </w:tcBorders>
            <w:shd w:val="clear" w:color="auto" w:fill="auto"/>
            <w:vAlign w:val="center"/>
          </w:tcPr>
          <w:p w14:paraId="442DA9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lang w:val="en-US" w:eastAsia="zh-CN" w:bidi="ar-SA"/>
              </w:rPr>
              <w:t xml:space="preserve">（1）执行《关于印发&lt;政府采购促进中小企业发展管理办法&gt; </w:t>
            </w:r>
          </w:p>
          <w:p w14:paraId="266CDC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8"/>
                <w:highlight w:val="none"/>
                <w:lang w:val="en-US" w:eastAsia="zh-CN" w:bidi="ar-SA"/>
              </w:rPr>
            </w:pPr>
            <w:r>
              <w:rPr>
                <w:rFonts w:hint="eastAsia" w:ascii="宋体" w:hAnsi="宋体" w:eastAsia="宋体" w:cs="宋体"/>
                <w:color w:val="auto"/>
                <w:kern w:val="0"/>
                <w:sz w:val="24"/>
                <w:szCs w:val="28"/>
                <w:highlight w:val="none"/>
                <w:lang w:val="en-US" w:eastAsia="zh-CN" w:bidi="ar-SA"/>
              </w:rPr>
              <w:t>的通知》（财库[2020]46号）的规定；</w:t>
            </w:r>
          </w:p>
          <w:p w14:paraId="031416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Bidi"/>
                <w:kern w:val="2"/>
                <w:sz w:val="21"/>
                <w:szCs w:val="20"/>
                <w:lang w:val="en-US" w:eastAsia="zh-CN" w:bidi="ar-SA"/>
              </w:rPr>
            </w:pPr>
            <w:r>
              <w:rPr>
                <w:rFonts w:hint="eastAsia" w:ascii="宋体" w:hAnsi="宋体" w:eastAsia="宋体" w:cs="宋体"/>
                <w:color w:val="auto"/>
                <w:kern w:val="0"/>
                <w:sz w:val="24"/>
                <w:szCs w:val="28"/>
                <w:highlight w:val="none"/>
                <w:lang w:val="en-US" w:eastAsia="zh-CN" w:bidi="ar-SA"/>
              </w:rPr>
              <w:t>（2）执行大中小微型企业划分标准（2017）国统字〔2017〕213号规定，本项目所属行业：</w:t>
            </w:r>
            <w:r>
              <w:rPr>
                <w:rFonts w:hint="eastAsia" w:ascii="方正仿宋_GB2312" w:hAnsi="方正仿宋_GB2312" w:eastAsia="方正仿宋_GB2312" w:cs="方正仿宋_GB2312"/>
                <w:b/>
                <w:bCs/>
                <w:color w:val="auto"/>
                <w:kern w:val="0"/>
                <w:sz w:val="24"/>
                <w:szCs w:val="24"/>
                <w:lang w:val="en-US" w:eastAsia="zh-CN" w:bidi="ar"/>
              </w:rPr>
              <w:t>批发业</w:t>
            </w:r>
            <w:r>
              <w:rPr>
                <w:rFonts w:hint="eastAsia" w:ascii="宋体" w:hAnsi="宋体" w:eastAsia="宋体" w:cs="宋体"/>
                <w:color w:val="auto"/>
                <w:kern w:val="0"/>
                <w:sz w:val="24"/>
                <w:szCs w:val="28"/>
                <w:highlight w:val="none"/>
                <w:lang w:val="en-US" w:eastAsia="zh-CN" w:bidi="ar-SA"/>
              </w:rPr>
              <w:t xml:space="preserve">。 </w:t>
            </w:r>
          </w:p>
        </w:tc>
      </w:tr>
      <w:tr w14:paraId="6D9932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773" w:type="dxa"/>
            <w:tcBorders>
              <w:tl2br w:val="nil"/>
              <w:tr2bl w:val="nil"/>
            </w:tcBorders>
            <w:vAlign w:val="center"/>
          </w:tcPr>
          <w:p w14:paraId="100CF4CF">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41</w:t>
            </w:r>
          </w:p>
        </w:tc>
        <w:tc>
          <w:tcPr>
            <w:tcW w:w="2493" w:type="dxa"/>
            <w:tcBorders>
              <w:tl2br w:val="nil"/>
              <w:tr2bl w:val="nil"/>
            </w:tcBorders>
            <w:vAlign w:val="center"/>
          </w:tcPr>
          <w:p w14:paraId="76C16180">
            <w:pPr>
              <w:pStyle w:val="29"/>
              <w:spacing w:before="156" w:beforeLines="50" w:after="156" w:afterLines="50" w:line="300" w:lineRule="exact"/>
              <w:jc w:val="center"/>
              <w:rPr>
                <w:rFonts w:hint="eastAsia" w:ascii="宋体" w:hAnsi="宋体" w:eastAsia="宋体" w:cs="Times New Roman"/>
                <w:color w:val="auto"/>
                <w:kern w:val="2"/>
                <w:sz w:val="24"/>
                <w:szCs w:val="28"/>
                <w:highlight w:val="none"/>
                <w:lang w:val="en-US" w:eastAsia="en-US" w:bidi="ar-SA"/>
              </w:rPr>
            </w:pPr>
            <w:r>
              <w:rPr>
                <w:rFonts w:hint="eastAsia" w:ascii="宋体" w:hAnsi="宋体"/>
                <w:color w:val="auto"/>
                <w:sz w:val="24"/>
                <w:szCs w:val="28"/>
                <w:highlight w:val="none"/>
                <w:lang w:eastAsia="en-US"/>
              </w:rPr>
              <w:t>注意事项</w:t>
            </w:r>
          </w:p>
        </w:tc>
        <w:tc>
          <w:tcPr>
            <w:tcW w:w="6542" w:type="dxa"/>
            <w:tcBorders>
              <w:tl2br w:val="nil"/>
              <w:tr2bl w:val="nil"/>
            </w:tcBorders>
            <w:vAlign w:val="center"/>
          </w:tcPr>
          <w:p w14:paraId="40FBFE27">
            <w:pPr>
              <w:pStyle w:val="29"/>
              <w:keepNext w:val="0"/>
              <w:keepLines w:val="0"/>
              <w:pageBreakBefore w:val="0"/>
              <w:kinsoku/>
              <w:overflowPunct/>
              <w:topLinePunct w:val="0"/>
              <w:bidi w:val="0"/>
              <w:spacing w:line="400" w:lineRule="exact"/>
              <w:textAlignment w:val="auto"/>
              <w:rPr>
                <w:rFonts w:ascii="宋体" w:hAnsi="宋体"/>
                <w:color w:val="auto"/>
                <w:sz w:val="24"/>
                <w:szCs w:val="28"/>
                <w:highlight w:val="none"/>
              </w:rPr>
            </w:pPr>
            <w:r>
              <w:rPr>
                <w:rFonts w:hint="eastAsia" w:ascii="宋体" w:hAnsi="宋体"/>
                <w:color w:val="auto"/>
                <w:sz w:val="24"/>
                <w:szCs w:val="28"/>
                <w:highlight w:val="none"/>
              </w:rPr>
              <w:t>请各供应商务必详细阅读本采购文件的全部条款，以减少不必要的失误，否则，由此引起的损失或风险由供应商自行承担。</w:t>
            </w:r>
          </w:p>
          <w:p w14:paraId="1D8B8583">
            <w:pPr>
              <w:pStyle w:val="29"/>
              <w:keepNext w:val="0"/>
              <w:keepLines w:val="0"/>
              <w:pageBreakBefore w:val="0"/>
              <w:kinsoku/>
              <w:overflowPunct/>
              <w:topLinePunct w:val="0"/>
              <w:bidi w:val="0"/>
              <w:spacing w:line="400" w:lineRule="exact"/>
              <w:textAlignment w:val="auto"/>
              <w:rPr>
                <w:rFonts w:ascii="宋体" w:hAnsi="宋体"/>
                <w:color w:val="auto"/>
                <w:sz w:val="24"/>
                <w:szCs w:val="28"/>
                <w:highlight w:val="none"/>
              </w:rPr>
            </w:pPr>
            <w:r>
              <w:rPr>
                <w:rFonts w:hint="eastAsia" w:ascii="宋体" w:hAnsi="宋体"/>
                <w:color w:val="auto"/>
                <w:sz w:val="24"/>
                <w:szCs w:val="28"/>
                <w:highlight w:val="none"/>
              </w:rPr>
              <w:t>供应商获取采购文件后应认真及时阅读采购文件中所有的事项、格式、条款和规范要求等，做好投标工作。</w:t>
            </w:r>
          </w:p>
          <w:p w14:paraId="4632E2C9">
            <w:pPr>
              <w:pStyle w:val="29"/>
              <w:keepNext w:val="0"/>
              <w:keepLines w:val="0"/>
              <w:pageBreakBefore w:val="0"/>
              <w:kinsoku/>
              <w:overflowPunct/>
              <w:topLinePunct w:val="0"/>
              <w:bidi w:val="0"/>
              <w:spacing w:line="400" w:lineRule="exact"/>
              <w:textAlignment w:val="auto"/>
              <w:rPr>
                <w:rFonts w:hint="eastAsia" w:ascii="宋体" w:hAnsi="宋体"/>
                <w:color w:val="auto"/>
                <w:sz w:val="24"/>
                <w:szCs w:val="28"/>
                <w:highlight w:val="none"/>
              </w:rPr>
            </w:pPr>
            <w:r>
              <w:rPr>
                <w:rFonts w:hint="eastAsia" w:ascii="宋体" w:hAnsi="宋体"/>
                <w:color w:val="auto"/>
                <w:sz w:val="24"/>
                <w:szCs w:val="28"/>
                <w:highlight w:val="none"/>
              </w:rPr>
              <w:t xml:space="preserve">供应商不得以投诉为名，排挤竞争对手，不得进行虚假、恶意投诉，阻碍招标投标活动的正常进行。  </w:t>
            </w:r>
          </w:p>
          <w:p w14:paraId="1A3802D5">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int="eastAsia" w:ascii="宋体" w:hAnsi="宋体"/>
                <w:color w:val="auto"/>
                <w:sz w:val="24"/>
                <w:szCs w:val="28"/>
                <w:highlight w:val="none"/>
                <w:lang w:val="en-US" w:eastAsia="zh-CN"/>
              </w:rPr>
            </w:pPr>
            <w:r>
              <w:rPr>
                <w:rFonts w:hint="eastAsia" w:ascii="宋体" w:hAnsi="宋体" w:eastAsia="宋体" w:cs="宋体"/>
                <w:b/>
                <w:bCs/>
                <w:sz w:val="24"/>
                <w:szCs w:val="24"/>
                <w:lang w:eastAsia="zh-CN"/>
              </w:rPr>
              <w:t>注：</w:t>
            </w:r>
            <w:r>
              <w:rPr>
                <w:rFonts w:ascii="宋体" w:hAnsi="宋体" w:eastAsia="宋体" w:cs="宋体"/>
                <w:b/>
                <w:bCs/>
                <w:sz w:val="24"/>
                <w:szCs w:val="24"/>
              </w:rPr>
              <w:t>请各投标人提前调试音视频设备，以备线上磋商使用。</w:t>
            </w:r>
          </w:p>
        </w:tc>
      </w:tr>
    </w:tbl>
    <w:p w14:paraId="79D8DE9B">
      <w:pPr>
        <w:spacing w:before="312" w:beforeLines="100"/>
        <w:rPr>
          <w:rFonts w:ascii="宋体" w:hAnsi="宋体" w:cs="宋体"/>
          <w:b/>
          <w:color w:val="auto"/>
          <w:sz w:val="28"/>
          <w:szCs w:val="28"/>
          <w:highlight w:val="none"/>
        </w:rPr>
      </w:pPr>
      <w:r>
        <w:rPr>
          <w:rFonts w:ascii="宋体" w:hAnsi="宋体"/>
          <w:bCs/>
          <w:color w:val="auto"/>
          <w:highlight w:val="none"/>
        </w:rPr>
        <w:t>注：</w:t>
      </w:r>
      <w:r>
        <w:rPr>
          <w:rFonts w:hint="eastAsia" w:ascii="宋体" w:hAnsi="宋体"/>
          <w:bCs/>
          <w:color w:val="auto"/>
          <w:highlight w:val="none"/>
        </w:rPr>
        <w:t>如有矛盾以本</w:t>
      </w:r>
      <w:r>
        <w:rPr>
          <w:rFonts w:ascii="宋体" w:hAnsi="宋体"/>
          <w:bCs/>
          <w:color w:val="auto"/>
          <w:highlight w:val="none"/>
        </w:rPr>
        <w:t>表为准。</w:t>
      </w:r>
    </w:p>
    <w:p w14:paraId="52CE3118">
      <w:pPr>
        <w:rPr>
          <w:color w:val="auto"/>
          <w:highlight w:val="none"/>
        </w:rPr>
      </w:pPr>
      <w:r>
        <w:rPr>
          <w:color w:val="auto"/>
          <w:highlight w:val="none"/>
        </w:rPr>
        <w:br w:type="textWrapping"/>
      </w:r>
    </w:p>
    <w:p w14:paraId="44112EC5">
      <w:pPr>
        <w:rPr>
          <w:color w:val="auto"/>
          <w:highlight w:val="none"/>
        </w:rPr>
      </w:pPr>
      <w:r>
        <w:rPr>
          <w:color w:val="auto"/>
          <w:highlight w:val="none"/>
        </w:rPr>
        <w:br w:type="page"/>
      </w:r>
    </w:p>
    <w:bookmarkEnd w:id="0"/>
    <w:p w14:paraId="3E4C3D17">
      <w:pPr>
        <w:numPr>
          <w:ilvl w:val="0"/>
          <w:numId w:val="3"/>
        </w:numPr>
        <w:jc w:val="center"/>
        <w:rPr>
          <w:rFonts w:ascii="宋体" w:hAnsi="宋体" w:cs="宋体"/>
          <w:b/>
          <w:color w:val="auto"/>
          <w:sz w:val="28"/>
          <w:szCs w:val="28"/>
          <w:highlight w:val="none"/>
        </w:rPr>
      </w:pPr>
      <w:r>
        <w:rPr>
          <w:rFonts w:hint="eastAsia" w:ascii="宋体" w:hAnsi="宋体" w:cs="宋体"/>
          <w:b/>
          <w:color w:val="auto"/>
          <w:sz w:val="28"/>
          <w:szCs w:val="28"/>
          <w:highlight w:val="none"/>
        </w:rPr>
        <w:t>总则</w:t>
      </w:r>
    </w:p>
    <w:p w14:paraId="66B2450A">
      <w:pPr>
        <w:pStyle w:val="9"/>
        <w:rPr>
          <w:color w:val="auto"/>
          <w:highlight w:val="none"/>
        </w:rPr>
      </w:pPr>
    </w:p>
    <w:p w14:paraId="52841915">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1．项目概况</w:t>
      </w:r>
    </w:p>
    <w:p w14:paraId="21C03AD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1.1项目名称</w:t>
      </w:r>
      <w:r>
        <w:rPr>
          <w:rFonts w:hint="eastAsia" w:ascii="宋体" w:hAnsi="宋体" w:cs="宋体"/>
          <w:color w:val="auto"/>
          <w:sz w:val="24"/>
          <w:highlight w:val="none"/>
          <w:lang w:val="en-US" w:eastAsia="zh-CN"/>
        </w:rPr>
        <w:t>及项目编号</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14:paraId="288D146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1.2项目地点：详见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14:paraId="44E9641F">
      <w:pPr>
        <w:pStyle w:val="20"/>
        <w:ind w:firstLine="480" w:firstLineChars="200"/>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1.3采购范围：</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14:paraId="764B698D">
      <w:pPr>
        <w:pStyle w:val="20"/>
        <w:ind w:firstLine="480" w:firstLineChars="200"/>
        <w:rPr>
          <w:color w:val="auto"/>
          <w:highlight w:val="none"/>
        </w:rPr>
      </w:pPr>
      <w:r>
        <w:rPr>
          <w:rFonts w:hint="eastAsia" w:ascii="宋体" w:hAnsi="宋体" w:cs="宋体"/>
          <w:color w:val="auto"/>
          <w:sz w:val="24"/>
          <w:highlight w:val="none"/>
        </w:rPr>
        <w:t>1.4采购内容：详见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rPr>
        <w:t>；</w:t>
      </w:r>
    </w:p>
    <w:p w14:paraId="49EDF9AE">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1.5</w:t>
      </w:r>
      <w:r>
        <w:rPr>
          <w:rFonts w:hint="eastAsia" w:ascii="宋体" w:hAnsi="宋体" w:cs="宋体"/>
          <w:color w:val="auto"/>
          <w:sz w:val="24"/>
          <w:highlight w:val="none"/>
          <w:lang w:eastAsia="zh-CN"/>
        </w:rPr>
        <w:t>合同履约期限</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lang w:eastAsia="zh-CN"/>
        </w:rPr>
        <w:t>；</w:t>
      </w:r>
    </w:p>
    <w:p w14:paraId="000CE6D7">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r>
        <w:rPr>
          <w:rFonts w:hint="eastAsia" w:ascii="宋体" w:hAnsi="宋体" w:cs="宋体"/>
          <w:color w:val="auto"/>
          <w:sz w:val="24"/>
          <w:szCs w:val="24"/>
          <w:highlight w:val="none"/>
          <w:lang w:val="en-US" w:eastAsia="zh-CN"/>
        </w:rPr>
        <w:t>质量标准</w:t>
      </w:r>
      <w:r>
        <w:rPr>
          <w:rFonts w:hint="eastAsia" w:ascii="宋体" w:hAnsi="宋体" w:cs="宋体"/>
          <w:color w:val="auto"/>
          <w:sz w:val="24"/>
          <w:highlight w:val="none"/>
        </w:rPr>
        <w:t>：详见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8</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条</w:t>
      </w:r>
      <w:r>
        <w:rPr>
          <w:rFonts w:hint="eastAsia" w:ascii="宋体" w:hAnsi="宋体" w:cs="宋体"/>
          <w:color w:val="auto"/>
          <w:sz w:val="24"/>
          <w:highlight w:val="none"/>
          <w:lang w:eastAsia="zh-CN"/>
        </w:rPr>
        <w:t>；</w:t>
      </w:r>
    </w:p>
    <w:p w14:paraId="396F2A98">
      <w:pPr>
        <w:adjustRightInd w:val="0"/>
        <w:snapToGrid w:val="0"/>
        <w:spacing w:line="360" w:lineRule="auto"/>
        <w:rPr>
          <w:rFonts w:ascii="宋体" w:hAnsi="宋体" w:cs="宋体"/>
          <w:b/>
          <w:color w:val="auto"/>
          <w:sz w:val="24"/>
          <w:highlight w:val="none"/>
        </w:rPr>
      </w:pPr>
      <w:bookmarkStart w:id="1" w:name="_Toc445108465"/>
      <w:bookmarkStart w:id="2" w:name="_Toc444270312"/>
      <w:r>
        <w:rPr>
          <w:rFonts w:hint="eastAsia" w:ascii="宋体" w:hAnsi="宋体" w:cs="宋体"/>
          <w:b/>
          <w:color w:val="auto"/>
          <w:sz w:val="24"/>
          <w:highlight w:val="none"/>
        </w:rPr>
        <w:t>2．定义</w:t>
      </w:r>
      <w:bookmarkEnd w:id="1"/>
      <w:bookmarkEnd w:id="2"/>
    </w:p>
    <w:p w14:paraId="6C14B3F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“采购人”是指依法进行政府采购的国家机关、事业单位、社会团体组织。采购人名称、地址、电话、联系人见</w:t>
      </w:r>
      <w:r>
        <w:rPr>
          <w:rFonts w:hint="eastAsia" w:ascii="宋体" w:hAnsi="宋体" w:cs="宋体"/>
          <w:b/>
          <w:color w:val="auto"/>
          <w:sz w:val="24"/>
          <w:highlight w:val="none"/>
        </w:rPr>
        <w:t xml:space="preserve">投标须知前附表第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w:t>
      </w:r>
    </w:p>
    <w:p w14:paraId="335F837A">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2.2 采购代理机构”是指接受采购人委托，代理采购项目的集中采购机构和其他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。采购代理机构名称、地址、电话、联系人见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2</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p>
    <w:p w14:paraId="57DE6A5B">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2.3 “投标供应商”系指有资格的供应商及投标人</w:t>
      </w:r>
      <w:r>
        <w:rPr>
          <w:rFonts w:hint="eastAsia" w:ascii="宋体" w:hAnsi="宋体" w:cs="宋体"/>
          <w:color w:val="auto"/>
          <w:sz w:val="24"/>
          <w:highlight w:val="none"/>
          <w:lang w:eastAsia="zh-CN"/>
        </w:rPr>
        <w:t>。</w:t>
      </w:r>
    </w:p>
    <w:p w14:paraId="0C41586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“服务”是指除货物和工程以外的其他政府采购对象，指采购文件规定投标供应商必须承担本次项目采购的各项服务。</w:t>
      </w:r>
    </w:p>
    <w:p w14:paraId="718225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2.5偏离</w:t>
      </w:r>
    </w:p>
    <w:p w14:paraId="190037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2.5.1本条所称偏离为</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文件对采购文件的偏离，即不满足、或不响应采购文件的要求。偏离分为对采购文件的实质性要求条款偏离和对采购文件的一般商务和技术条款偏离。</w:t>
      </w:r>
    </w:p>
    <w:p w14:paraId="08F0AF4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除法律、法规和规章规定外，采购文件中用“拒绝”、“不接受”、“无效”、“不得”等文字规定或标注“★”符号的条款为实质性要求条款（即重要条款），对其中任何一条的负偏离，在评标时将其视为无效投标。未用上述文字规定或符号标注的条款为非实质性要求条款(即一般条款)。</w:t>
      </w:r>
    </w:p>
    <w:p w14:paraId="7BC1D87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2.6.特别说明</w:t>
      </w:r>
    </w:p>
    <w:p w14:paraId="588A2B7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2.6.1投标供应商投标所使用的资格、信誉、荣誉、业绩与企业认证等必须为投标供应商所拥有。</w:t>
      </w:r>
    </w:p>
    <w:p w14:paraId="048030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2.6.2投标供应商应仔细阅读采购文件的所有内容，按照采购文件的要求提交</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文件，并对所提供的全部资料的真实性承担法律责任。</w:t>
      </w:r>
    </w:p>
    <w:p w14:paraId="248167B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2.6.3投标供应商在投标活动中提供任何虚假材料,其投标无效并承担相应法律责任。</w:t>
      </w:r>
    </w:p>
    <w:p w14:paraId="69F105C8">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3．投标供应商的资格要求</w:t>
      </w:r>
    </w:p>
    <w:p w14:paraId="40A26C5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投标供应商应当符合</w:t>
      </w:r>
      <w:r>
        <w:rPr>
          <w:rFonts w:hint="eastAsia" w:ascii="宋体" w:hAnsi="宋体" w:cs="宋体"/>
          <w:b/>
          <w:color w:val="auto"/>
          <w:sz w:val="24"/>
          <w:highlight w:val="none"/>
        </w:rPr>
        <w:t xml:space="preserve">投标须知前附表第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10</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中规定的下列资格条件要求；</w:t>
      </w:r>
    </w:p>
    <w:p w14:paraId="142A34A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（1）采购文件规定的投标供应商特定资格条件。 </w:t>
      </w:r>
    </w:p>
    <w:p w14:paraId="3ABA561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33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中所提供的证件；其中（1）－（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）为投标资格审查的必备条件，供应商必须按</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提供，如果提供不全则视为对采购文件资格审查内容的不响应，投标将被拒绝（不接受二次提供）。</w:t>
      </w:r>
    </w:p>
    <w:p w14:paraId="15E5F8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
          <w:color w:val="auto"/>
          <w:sz w:val="24"/>
          <w:highlight w:val="none"/>
        </w:rPr>
        <w:t>3.2</w:t>
      </w:r>
      <w:r>
        <w:rPr>
          <w:rFonts w:hint="eastAsia" w:ascii="宋体" w:hAnsi="宋体" w:cs="宋体"/>
          <w:color w:val="auto"/>
          <w:sz w:val="24"/>
          <w:highlight w:val="none"/>
        </w:rPr>
        <w:t xml:space="preserve"> </w:t>
      </w:r>
      <w:r>
        <w:rPr>
          <w:rFonts w:hint="eastAsia" w:ascii="宋体" w:hAnsi="宋体" w:cs="宋体"/>
          <w:b/>
          <w:color w:val="auto"/>
          <w:sz w:val="24"/>
          <w:highlight w:val="none"/>
        </w:rPr>
        <w:t>投标供应商不得存在下列情形之一：</w:t>
      </w:r>
    </w:p>
    <w:p w14:paraId="19B5C2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（l）与采购人、采购代理机构存在利害关系。</w:t>
      </w:r>
    </w:p>
    <w:p w14:paraId="4FBE42D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（2）单位负责人为同一人或者存在直接控股、管理关系的不同投标供应商。</w:t>
      </w:r>
    </w:p>
    <w:p w14:paraId="314F930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受到刑事处罚，或者受到三万元以上的罚款、责令停产停业、在一至三年内禁止参加政府采购活动、暂扣或者吊销许可证、暂扣或者吊销执照等情形之一的行政处罚，或者存在财政部门认定的其他违法记录。</w:t>
      </w:r>
    </w:p>
    <w:p w14:paraId="5BBD2F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投标供应商具有履行合同所必需的设备和专业技术能力，在人员、设备、资金等方面具有相应能力；投标供应商在项目地具有技术支持和后续服务等能力。</w:t>
      </w:r>
    </w:p>
    <w:p w14:paraId="27CD1EC1">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4．投标费用和知识产权 </w:t>
      </w:r>
    </w:p>
    <w:p w14:paraId="7C4E7AF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4.1投标供应商应承担其参加本招标活动自身所发生的费用。采购文件所提供的资料，是采购人现有的能被投标供应商利用的资料，采购人对投标供应商做出的任何推论、理解和结论均不负责任。</w:t>
      </w:r>
    </w:p>
    <w:p w14:paraId="70C752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投标供应商应保证，在中华人民共和国境内使用投标成果、服务或其任何一部分时，不会产生因第三方提出侵犯其专利权或其它知识产权而引起的法律和经济纠纷。如投标供应商不拥有相应的知识产权，则在报价中须包括合法获取该知识产权的相关费用。</w:t>
      </w:r>
    </w:p>
    <w:p w14:paraId="1508F466">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5．授权委托</w:t>
      </w:r>
    </w:p>
    <w:p w14:paraId="1B69428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5.1投标供应商代表为投标供应商法定代表人的，应持有法定代表人身份证明。投标供应商代表不是投标供应商法定代表人的，应持有法定代表人授权书。</w:t>
      </w:r>
    </w:p>
    <w:p w14:paraId="5139B1B7">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6．联合体形式 </w:t>
      </w:r>
    </w:p>
    <w:p w14:paraId="3CA8C1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6.1本次采购不接受联合体形式的投标供应商。</w:t>
      </w:r>
    </w:p>
    <w:p w14:paraId="52485A55">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7.分包</w:t>
      </w:r>
    </w:p>
    <w:p w14:paraId="2830F9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w:t>
      </w:r>
      <w:r>
        <w:rPr>
          <w:rFonts w:hint="eastAsia" w:ascii="宋体" w:hAnsi="宋体" w:cs="宋体"/>
          <w:color w:val="auto"/>
          <w:sz w:val="24"/>
          <w:highlight w:val="none"/>
          <w:lang w:val="en-US" w:eastAsia="zh-CN"/>
        </w:rPr>
        <w:t>详见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14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w:t>
      </w:r>
    </w:p>
    <w:p w14:paraId="7F251530">
      <w:pPr>
        <w:jc w:val="center"/>
        <w:rPr>
          <w:rFonts w:ascii="宋体" w:hAnsi="宋体" w:cs="宋体"/>
          <w:b/>
          <w:color w:val="auto"/>
          <w:sz w:val="28"/>
          <w:szCs w:val="28"/>
          <w:highlight w:val="none"/>
        </w:rPr>
      </w:pPr>
      <w:bookmarkStart w:id="3" w:name="_Toc420948009"/>
    </w:p>
    <w:bookmarkEnd w:id="3"/>
    <w:p w14:paraId="57C2947C">
      <w:pPr>
        <w:numPr>
          <w:ilvl w:val="0"/>
          <w:numId w:val="3"/>
        </w:numPr>
        <w:jc w:val="center"/>
        <w:rPr>
          <w:rFonts w:ascii="宋体" w:hAnsi="宋体" w:cs="宋体"/>
          <w:b/>
          <w:color w:val="auto"/>
          <w:sz w:val="28"/>
          <w:szCs w:val="28"/>
          <w:highlight w:val="none"/>
        </w:rPr>
      </w:pPr>
      <w:r>
        <w:rPr>
          <w:rFonts w:hint="eastAsia" w:ascii="宋体" w:hAnsi="宋体" w:cs="宋体"/>
          <w:b/>
          <w:color w:val="auto"/>
          <w:sz w:val="28"/>
          <w:szCs w:val="28"/>
          <w:highlight w:val="none"/>
        </w:rPr>
        <w:t>采购文件</w:t>
      </w:r>
    </w:p>
    <w:p w14:paraId="660774F1">
      <w:pPr>
        <w:pStyle w:val="9"/>
        <w:rPr>
          <w:color w:val="auto"/>
          <w:highlight w:val="none"/>
        </w:rPr>
      </w:pPr>
    </w:p>
    <w:p w14:paraId="15CD139C">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1．采购文件的组成</w:t>
      </w:r>
    </w:p>
    <w:p w14:paraId="0223912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采购文件由下列文件组成：</w:t>
      </w:r>
    </w:p>
    <w:p w14:paraId="16A1CA8C">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第一章  </w:t>
      </w:r>
      <w:r>
        <w:rPr>
          <w:rFonts w:hint="eastAsia" w:ascii="宋体" w:hAnsi="宋体" w:cs="宋体"/>
          <w:color w:val="auto"/>
          <w:sz w:val="24"/>
          <w:highlight w:val="none"/>
          <w:lang w:eastAsia="zh-CN"/>
        </w:rPr>
        <w:t>采购公告</w:t>
      </w:r>
    </w:p>
    <w:p w14:paraId="4DCD9CB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第二章  投标须知</w:t>
      </w:r>
      <w:r>
        <w:rPr>
          <w:rFonts w:hint="eastAsia" w:ascii="宋体" w:hAnsi="宋体" w:cs="宋体"/>
          <w:color w:val="auto"/>
          <w:sz w:val="24"/>
          <w:highlight w:val="none"/>
        </w:rPr>
        <w:tab/>
      </w:r>
    </w:p>
    <w:p w14:paraId="1950351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第三章  评标方法及标准</w:t>
      </w:r>
      <w:r>
        <w:rPr>
          <w:rFonts w:hint="eastAsia" w:ascii="宋体" w:hAnsi="宋体" w:cs="宋体"/>
          <w:color w:val="auto"/>
          <w:sz w:val="24"/>
          <w:highlight w:val="none"/>
        </w:rPr>
        <w:tab/>
      </w:r>
    </w:p>
    <w:p w14:paraId="354AD85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第四章  合同格式</w:t>
      </w:r>
      <w:r>
        <w:rPr>
          <w:rFonts w:hint="eastAsia" w:ascii="宋体" w:hAnsi="宋体" w:cs="宋体"/>
          <w:color w:val="auto"/>
          <w:sz w:val="24"/>
          <w:highlight w:val="none"/>
        </w:rPr>
        <w:tab/>
      </w:r>
    </w:p>
    <w:p w14:paraId="6BFFF12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第五章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w:t>
      </w:r>
      <w:r>
        <w:rPr>
          <w:rFonts w:hint="eastAsia" w:ascii="宋体" w:hAnsi="宋体" w:cs="宋体"/>
          <w:color w:val="auto"/>
          <w:sz w:val="24"/>
          <w:highlight w:val="none"/>
        </w:rPr>
        <w:tab/>
      </w:r>
    </w:p>
    <w:p w14:paraId="0123D3F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第六章 项目基本情况及采购内容</w:t>
      </w:r>
      <w:r>
        <w:rPr>
          <w:rFonts w:hint="eastAsia" w:ascii="宋体" w:hAnsi="宋体" w:cs="宋体"/>
          <w:color w:val="auto"/>
          <w:sz w:val="24"/>
          <w:highlight w:val="none"/>
        </w:rPr>
        <w:tab/>
      </w:r>
    </w:p>
    <w:p w14:paraId="376C759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1.2提交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截止时间前对采购文件澄清或者修改内容，为采购文件的组成部分。</w:t>
      </w:r>
    </w:p>
    <w:p w14:paraId="76FBCE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1.3投标供应商应仔细阅读采购文件的全部内容，按照采购文件要求编制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。任何对采购文件的忽略或误解不能作为</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存在缺陷或瑕疵的理由，其风险由投标供应商承担。</w:t>
      </w:r>
    </w:p>
    <w:p w14:paraId="428D5FD5">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2.提交</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的截止时间</w:t>
      </w:r>
    </w:p>
    <w:p w14:paraId="3F870D7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2.1投标供应商提交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截止时间见</w:t>
      </w:r>
      <w:r>
        <w:rPr>
          <w:rFonts w:hint="eastAsia" w:ascii="宋体" w:hAnsi="宋体" w:cs="宋体"/>
          <w:b/>
          <w:bCs/>
          <w:color w:val="auto"/>
          <w:sz w:val="24"/>
          <w:highlight w:val="none"/>
        </w:rPr>
        <w:t>投标须知前附表第</w:t>
      </w:r>
      <w:r>
        <w:rPr>
          <w:rFonts w:hint="eastAsia" w:ascii="宋体" w:hAnsi="宋体" w:cs="宋体"/>
          <w:b/>
          <w:bCs/>
          <w:color w:val="auto"/>
          <w:sz w:val="24"/>
          <w:highlight w:val="none"/>
          <w:u w:val="single"/>
          <w:lang w:val="en-US" w:eastAsia="zh-CN"/>
        </w:rPr>
        <w:t xml:space="preserve"> 23 </w:t>
      </w:r>
      <w:r>
        <w:rPr>
          <w:rFonts w:hint="eastAsia" w:ascii="宋体" w:hAnsi="宋体" w:cs="宋体"/>
          <w:b/>
          <w:bCs/>
          <w:color w:val="auto"/>
          <w:sz w:val="24"/>
          <w:highlight w:val="none"/>
        </w:rPr>
        <w:t>条</w:t>
      </w:r>
      <w:r>
        <w:rPr>
          <w:rFonts w:hint="eastAsia" w:ascii="宋体" w:hAnsi="宋体" w:cs="宋体"/>
          <w:color w:val="auto"/>
          <w:sz w:val="24"/>
          <w:highlight w:val="none"/>
        </w:rPr>
        <w:t>。</w:t>
      </w:r>
    </w:p>
    <w:p w14:paraId="27A2F0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2.2投标截止时间结束后参加投标的供应商不足三家的，除采购任务取消情形外，采购单位应当报相关部门，由相关部门按照以下原则处理：</w:t>
      </w:r>
    </w:p>
    <w:p w14:paraId="321083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（1）采购文件存在不合理条款的，采购公告时间及程序不符合规定的，应予废标，并责成采购单位依法重新招标。</w:t>
      </w:r>
    </w:p>
    <w:p w14:paraId="0840E55B">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3.采购文件的澄清或者修改</w:t>
      </w:r>
    </w:p>
    <w:p w14:paraId="7C14A1D1">
      <w:pPr>
        <w:adjustRightInd w:val="0"/>
        <w:snapToGrid w:val="0"/>
        <w:spacing w:line="360" w:lineRule="auto"/>
        <w:ind w:firstLine="480" w:firstLineChars="200"/>
        <w:rPr>
          <w:rFonts w:hint="eastAsia" w:ascii="宋体" w:hAnsi="宋体" w:eastAsia="宋体" w:cs="宋体"/>
          <w:color w:val="auto"/>
          <w:sz w:val="24"/>
          <w:highlight w:val="none"/>
        </w:rPr>
      </w:pPr>
      <w:bookmarkStart w:id="4" w:name="_Toc420948010"/>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.1采购代理机构视采购具体情况，延长投标截止时间和开标时间，在提交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的截止时间三日前，将变更时间在指定的媒体上发布更正公告；</w:t>
      </w:r>
    </w:p>
    <w:p w14:paraId="70E57BE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eastAsia="宋体" w:cs="宋体"/>
          <w:color w:val="auto"/>
          <w:sz w:val="24"/>
          <w:highlight w:val="none"/>
        </w:rPr>
        <w:t>采购人、采购代理机构或者评标小组可以对已发出的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编制的，采购人、采购代理机构应当在提交首次</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截止时间至少5日前，在新疆政府采购网 (http://www.ccgp-xinjiang.gov.cn)</w:t>
      </w:r>
      <w:r>
        <w:rPr>
          <w:rFonts w:hint="eastAsia" w:ascii="宋体" w:hAnsi="宋体" w:eastAsia="宋体" w:cs="宋体"/>
          <w:color w:val="auto"/>
          <w:kern w:val="2"/>
          <w:sz w:val="24"/>
          <w:szCs w:val="24"/>
          <w:highlight w:val="none"/>
          <w:lang w:val="en-US" w:eastAsia="zh-CN" w:bidi="ar-SA"/>
        </w:rPr>
        <w:t>和中国政府采购网（http://www.ccgp.gov.cn/）</w:t>
      </w:r>
      <w:r>
        <w:rPr>
          <w:rFonts w:hint="eastAsia" w:ascii="宋体" w:hAnsi="宋体" w:eastAsia="宋体" w:cs="宋体"/>
          <w:color w:val="auto"/>
          <w:sz w:val="24"/>
          <w:highlight w:val="none"/>
        </w:rPr>
        <w:t xml:space="preserve"> 以公告形式通知所有获取</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的潜在投标人；不足5日的，将相应顺延提交首次</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截止时间。</w:t>
      </w:r>
    </w:p>
    <w:p w14:paraId="5E9BDF2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采购人、采购代理机构对</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澄清、修改，澄清申请的回复等，一旦发布即视为以书面形式通知所有潜在投标人，招标期间投标人有义务上网查看，请各投标人应自行关注、及时阅知本次招标项目相关信息的变更情况，否则所造成的一切后果由投标人自负。</w:t>
      </w:r>
    </w:p>
    <w:p w14:paraId="066954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3.4</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的澄清或修改是</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的组成部分，并对投标人具有约束力。</w:t>
      </w:r>
    </w:p>
    <w:p w14:paraId="78EB207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3.5</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补充》作为</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的组成部分，对投标人具有同等约束力。如果</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补充内容与在此</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补充发出之前的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等其他材料中相关内容相冲突，请投标人执行</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补充的相关内容，先前发出的</w:t>
      </w:r>
      <w:r>
        <w:rPr>
          <w:rFonts w:hint="eastAsia" w:ascii="宋体" w:hAnsi="宋体" w:cs="宋体"/>
          <w:color w:val="auto"/>
          <w:sz w:val="24"/>
          <w:highlight w:val="none"/>
          <w:lang w:eastAsia="zh-CN"/>
        </w:rPr>
        <w:t>采购文件</w:t>
      </w:r>
      <w:r>
        <w:rPr>
          <w:rFonts w:hint="eastAsia" w:ascii="宋体" w:hAnsi="宋体" w:eastAsia="宋体" w:cs="宋体"/>
          <w:color w:val="auto"/>
          <w:sz w:val="24"/>
          <w:highlight w:val="none"/>
        </w:rPr>
        <w:t>等书面材料中相关内容自动废止</w:t>
      </w:r>
      <w:r>
        <w:rPr>
          <w:rFonts w:hint="eastAsia" w:ascii="宋体" w:hAnsi="宋体" w:eastAsia="宋体" w:cs="宋体"/>
          <w:color w:val="auto"/>
          <w:sz w:val="24"/>
          <w:highlight w:val="none"/>
          <w:lang w:eastAsia="zh-CN"/>
        </w:rPr>
        <w:t>。</w:t>
      </w:r>
    </w:p>
    <w:p w14:paraId="66F43AFA">
      <w:pPr>
        <w:numPr>
          <w:ilvl w:val="0"/>
          <w:numId w:val="3"/>
        </w:numPr>
        <w:jc w:val="center"/>
        <w:rPr>
          <w:rFonts w:ascii="宋体" w:hAnsi="宋体" w:cs="宋体"/>
          <w:b/>
          <w:color w:val="auto"/>
          <w:sz w:val="28"/>
          <w:szCs w:val="28"/>
          <w:highlight w:val="none"/>
        </w:rPr>
      </w:pPr>
      <w:r>
        <w:rPr>
          <w:rFonts w:hint="eastAsia" w:ascii="宋体" w:hAnsi="宋体" w:cs="宋体"/>
          <w:b/>
          <w:color w:val="auto"/>
          <w:sz w:val="28"/>
          <w:szCs w:val="28"/>
          <w:highlight w:val="none"/>
          <w:lang w:eastAsia="zh-CN"/>
        </w:rPr>
        <w:t>响应</w:t>
      </w:r>
      <w:r>
        <w:rPr>
          <w:rFonts w:hint="eastAsia" w:ascii="宋体" w:hAnsi="宋体" w:cs="宋体"/>
          <w:b/>
          <w:color w:val="auto"/>
          <w:sz w:val="28"/>
          <w:szCs w:val="28"/>
          <w:highlight w:val="none"/>
        </w:rPr>
        <w:t>文件</w:t>
      </w:r>
      <w:bookmarkEnd w:id="4"/>
    </w:p>
    <w:p w14:paraId="2FC4EEF6">
      <w:pPr>
        <w:pStyle w:val="9"/>
        <w:rPr>
          <w:color w:val="auto"/>
          <w:highlight w:val="none"/>
        </w:rPr>
      </w:pPr>
    </w:p>
    <w:p w14:paraId="51A40542">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1.一般要求</w:t>
      </w:r>
    </w:p>
    <w:p w14:paraId="583687C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投标供应商应仔细阅读采购文件的所有内容，按采购文件的要求编制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，并保证所提供的全部资料的真实性，以使其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对采购文件做出实质性的响应。</w:t>
      </w:r>
    </w:p>
    <w:p w14:paraId="2D57473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投标供应商提交的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及投标供应商与采购人或采购代理机构就有关招标的所有来往函电均使用中文。投标供应商可以提交其它语言的资料，但应附中文注释，在有差异时以中文为准。</w:t>
      </w:r>
    </w:p>
    <w:p w14:paraId="5B8FDDE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计量单位应使用我国法定计量单位，未列明时应默认为我国法定计量单位。</w:t>
      </w:r>
    </w:p>
    <w:p w14:paraId="2A6AA72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1.4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应采用书面形式，传真、电子邮件形式的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概不接受。</w:t>
      </w:r>
    </w:p>
    <w:p w14:paraId="5FF8C07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投标供应商应按采购文件中提供的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格式填写。</w:t>
      </w:r>
    </w:p>
    <w:p w14:paraId="602DB6F0">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的组成</w:t>
      </w:r>
    </w:p>
    <w:p w14:paraId="6817761A">
      <w:pPr>
        <w:adjustRightInd w:val="0"/>
        <w:snapToGrid w:val="0"/>
        <w:spacing w:line="360" w:lineRule="auto"/>
        <w:ind w:firstLine="496" w:firstLineChars="200"/>
        <w:jc w:val="left"/>
        <w:rPr>
          <w:rFonts w:ascii="宋体" w:hAnsi="宋体" w:cs="宋体"/>
          <w:color w:val="auto"/>
          <w:sz w:val="24"/>
          <w:szCs w:val="24"/>
          <w:highlight w:val="none"/>
        </w:rPr>
      </w:pPr>
      <w:bookmarkStart w:id="5" w:name="_Toc427862404"/>
      <w:bookmarkStart w:id="6" w:name="_Toc420948011"/>
      <w:r>
        <w:rPr>
          <w:rFonts w:hint="eastAsia"/>
          <w:b/>
          <w:bCs/>
          <w:color w:val="auto"/>
          <w:spacing w:val="4"/>
          <w:kern w:val="10"/>
          <w:sz w:val="24"/>
          <w:highlight w:val="none"/>
          <w:lang w:val="zh-CN"/>
        </w:rPr>
        <w:t>2.1 响应文件应包括但不限于以下内容：</w:t>
      </w:r>
      <w:bookmarkEnd w:id="5"/>
      <w:bookmarkEnd w:id="6"/>
      <w:r>
        <w:rPr>
          <w:rFonts w:hint="eastAsia" w:ascii="宋体" w:hAnsi="宋体" w:cs="宋体"/>
          <w:color w:val="auto"/>
          <w:sz w:val="24"/>
          <w:szCs w:val="24"/>
          <w:highlight w:val="none"/>
        </w:rPr>
        <w:t xml:space="preserve"> </w:t>
      </w:r>
    </w:p>
    <w:p w14:paraId="3C5212AA">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附件1-响应函</w:t>
      </w:r>
    </w:p>
    <w:p w14:paraId="6B033A8D">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附件2-法定代表人身份证明书</w:t>
      </w:r>
    </w:p>
    <w:p w14:paraId="74DF1ABD">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附件3-法定代表人授权书</w:t>
      </w:r>
    </w:p>
    <w:p w14:paraId="01D3DC40">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附件4-响应报价一览表（附：投标报价明细表）</w:t>
      </w:r>
    </w:p>
    <w:p w14:paraId="42A7A125">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zh-CN"/>
        </w:rPr>
        <w:t>-资格证明文件</w:t>
      </w:r>
    </w:p>
    <w:p w14:paraId="44A3A00D">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val="zh-CN"/>
        </w:rPr>
        <w:t>-供应商承诺函</w:t>
      </w:r>
    </w:p>
    <w:p w14:paraId="3369F4F3">
      <w:pPr>
        <w:adjustRightInd w:val="0"/>
        <w:snapToGrid w:val="0"/>
        <w:spacing w:line="360" w:lineRule="auto"/>
        <w:ind w:firstLine="480" w:firstLineChars="200"/>
        <w:jc w:val="left"/>
        <w:rPr>
          <w:rFonts w:hint="eastAsia" w:ascii="宋体" w:hAnsi="宋体" w:cs="宋体" w:eastAsiaTheme="minorEastAsia"/>
          <w:b/>
          <w:bCs/>
          <w:color w:val="auto"/>
          <w:sz w:val="24"/>
          <w:szCs w:val="24"/>
          <w:highlight w:val="none"/>
          <w:lang w:val="en-US" w:eastAsia="zh-CN"/>
        </w:rPr>
      </w:pPr>
      <w:r>
        <w:rPr>
          <w:rFonts w:hint="eastAsia" w:ascii="宋体" w:hAnsi="宋体" w:cs="宋体"/>
          <w:b/>
          <w:bCs/>
          <w:color w:val="auto"/>
          <w:sz w:val="24"/>
          <w:szCs w:val="24"/>
          <w:highlight w:val="none"/>
          <w:lang w:val="zh-CN"/>
        </w:rPr>
        <w:t>附件7</w:t>
      </w:r>
      <w:r>
        <w:rPr>
          <w:rFonts w:hint="eastAsia" w:ascii="宋体" w:hAnsi="宋体" w:cs="宋体"/>
          <w:b/>
          <w:bCs/>
          <w:color w:val="auto"/>
          <w:sz w:val="24"/>
          <w:szCs w:val="24"/>
          <w:highlight w:val="none"/>
          <w:lang w:val="en-US" w:eastAsia="zh-CN"/>
        </w:rPr>
        <w:t>-商务条款偏离表</w:t>
      </w:r>
    </w:p>
    <w:p w14:paraId="66AE050A">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cs="宋体"/>
          <w:b/>
          <w:bCs/>
          <w:color w:val="000000" w:themeColor="text1"/>
          <w:sz w:val="24"/>
          <w:szCs w:val="24"/>
          <w:highlight w:val="none"/>
          <w:lang w:val="zh-CN"/>
          <w14:textFill>
            <w14:solidFill>
              <w14:schemeClr w14:val="tx1"/>
            </w14:solidFill>
          </w14:textFill>
        </w:rPr>
        <w:t>附件8-</w:t>
      </w:r>
      <w:r>
        <w:rPr>
          <w:rFonts w:hint="eastAsia" w:ascii="宋体" w:hAnsi="宋体" w:cs="宋体"/>
          <w:b/>
          <w:bCs/>
          <w:color w:val="000000" w:themeColor="text1"/>
          <w:sz w:val="24"/>
          <w:szCs w:val="24"/>
          <w:highlight w:val="none"/>
          <w:lang w:val="zh-CN" w:eastAsia="zh-CN"/>
          <w14:textFill>
            <w14:solidFill>
              <w14:schemeClr w14:val="tx1"/>
            </w14:solidFill>
          </w14:textFill>
        </w:rPr>
        <w:t>技术条款偏离表</w:t>
      </w:r>
    </w:p>
    <w:p w14:paraId="5C2E31B4">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lang w:val="zh-CN"/>
        </w:rPr>
        <w:t>-本项目拟派出项目负责人履历表</w:t>
      </w:r>
    </w:p>
    <w:p w14:paraId="68B4BB51">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lang w:val="zh-CN"/>
        </w:rPr>
        <w:t>-本项目拟投入人员基本情况表</w:t>
      </w:r>
    </w:p>
    <w:p w14:paraId="7DCF03FC">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-近三年类似业绩</w:t>
      </w:r>
    </w:p>
    <w:p w14:paraId="1CF3A8B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-服务承诺</w:t>
      </w:r>
    </w:p>
    <w:p w14:paraId="3791D32E">
      <w:pPr>
        <w:spacing w:line="360"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-项目组织方案及实施方案</w:t>
      </w:r>
    </w:p>
    <w:p w14:paraId="3EA1EDF2">
      <w:pPr>
        <w:spacing w:line="360" w:lineRule="auto"/>
        <w:ind w:firstLine="480"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zh-CN"/>
        </w:rPr>
        <w:t>供应商认为有必要提供的其它材料</w:t>
      </w:r>
    </w:p>
    <w:p w14:paraId="50E0B6A8">
      <w:pPr>
        <w:adjustRightInd w:val="0"/>
        <w:snapToGrid w:val="0"/>
        <w:spacing w:line="360" w:lineRule="auto"/>
        <w:ind w:firstLine="480" w:firstLineChars="200"/>
        <w:jc w:val="left"/>
        <w:rPr>
          <w:color w:val="auto"/>
          <w:highlight w:val="none"/>
          <w:lang w:val="zh-CN"/>
        </w:rPr>
      </w:pPr>
      <w:r>
        <w:rPr>
          <w:rFonts w:hint="eastAsia" w:ascii="宋体" w:hAnsi="宋体" w:cs="宋体"/>
          <w:b/>
          <w:bCs/>
          <w:color w:val="auto"/>
          <w:sz w:val="24"/>
          <w:szCs w:val="24"/>
          <w:highlight w:val="none"/>
          <w:lang w:val="zh-CN"/>
        </w:rPr>
        <w:t>供应商提供的以上材料必须真实有效，任何一项的虚假将导致其响应被拒绝。</w:t>
      </w:r>
    </w:p>
    <w:p w14:paraId="4BF1783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2.2投标供应商无论</w:t>
      </w:r>
      <w:r>
        <w:rPr>
          <w:rFonts w:hint="eastAsia" w:ascii="宋体" w:hAnsi="宋体" w:cs="宋体"/>
          <w:color w:val="auto"/>
          <w:sz w:val="24"/>
          <w:highlight w:val="none"/>
          <w:lang w:eastAsia="zh-CN"/>
        </w:rPr>
        <w:t>成交</w:t>
      </w:r>
      <w:r>
        <w:rPr>
          <w:rFonts w:hint="eastAsia" w:ascii="宋体" w:hAnsi="宋体" w:cs="宋体"/>
          <w:color w:val="auto"/>
          <w:sz w:val="24"/>
          <w:highlight w:val="none"/>
        </w:rPr>
        <w:t>与否，其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正本留存。</w:t>
      </w:r>
    </w:p>
    <w:p w14:paraId="1D7B5832">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3.报价</w:t>
      </w:r>
    </w:p>
    <w:p w14:paraId="795E716D">
      <w:pPr>
        <w:adjustRightInd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3.1所有投标均按</w:t>
      </w:r>
      <w:r>
        <w:rPr>
          <w:rFonts w:hint="eastAsia" w:ascii="宋体" w:hAnsi="宋体" w:cs="宋体"/>
          <w:b/>
          <w:color w:val="auto"/>
          <w:sz w:val="24"/>
          <w:highlight w:val="none"/>
        </w:rPr>
        <w:t xml:space="preserve">投标须知前附表第 </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17</w:t>
      </w:r>
      <w:r>
        <w:rPr>
          <w:rFonts w:hint="eastAsia" w:ascii="宋体" w:hAnsi="宋体" w:cs="宋体"/>
          <w:b/>
          <w:color w:val="auto"/>
          <w:sz w:val="24"/>
          <w:highlight w:val="none"/>
        </w:rPr>
        <w:t>条</w:t>
      </w:r>
      <w:r>
        <w:rPr>
          <w:rFonts w:hint="eastAsia" w:ascii="宋体" w:hAnsi="宋体" w:cs="宋体"/>
          <w:color w:val="auto"/>
          <w:sz w:val="24"/>
          <w:highlight w:val="none"/>
        </w:rPr>
        <w:t>中要求货币进行报价。投标人的投标报价应遵守《中华人民共和国价格法》</w:t>
      </w:r>
      <w:r>
        <w:rPr>
          <w:rFonts w:hint="eastAsia" w:ascii="宋体" w:hAnsi="宋体" w:cs="宋体"/>
          <w:color w:val="auto"/>
          <w:sz w:val="24"/>
          <w:highlight w:val="none"/>
          <w:lang w:eastAsia="zh-CN"/>
        </w:rPr>
        <w:t>。</w:t>
      </w:r>
    </w:p>
    <w:p w14:paraId="249DF2B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投标供应商应结合市场状况、采购文件要求及项目实际工作内容，测算其工作成本、利润进行自主报价，应包括履行本项目所必须的所有成本费用和投标供应商应承担的一切税费，包括但不仅限于报价文件中所列的费用。</w:t>
      </w:r>
    </w:p>
    <w:p w14:paraId="7F3D925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3.3投标人应按</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要求在相关表格</w:t>
      </w:r>
      <w:r>
        <w:rPr>
          <w:rFonts w:hint="eastAsia" w:ascii="宋体" w:hAnsi="宋体" w:cs="宋体"/>
          <w:color w:val="auto"/>
          <w:sz w:val="24"/>
          <w:highlight w:val="none"/>
          <w:lang w:eastAsia="zh-CN"/>
        </w:rPr>
        <w:t>成交</w:t>
      </w:r>
      <w:r>
        <w:rPr>
          <w:rFonts w:hint="eastAsia" w:ascii="宋体" w:hAnsi="宋体" w:cs="宋体"/>
          <w:color w:val="auto"/>
          <w:sz w:val="24"/>
          <w:highlight w:val="none"/>
        </w:rPr>
        <w:t>明服务的单价和总价，并由法定代表人（非法人组织的负责人）或其委托代理人签署。</w:t>
      </w:r>
    </w:p>
    <w:p w14:paraId="6981D72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3.4投标人所报的各分项投标单价在合同履行过程中是固定不变的，不得以任何理由予以变更。任何包含价格调整要求的投标，其投标将被认定为投标无效。</w:t>
      </w:r>
    </w:p>
    <w:p w14:paraId="06B9EC1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3.5每</w:t>
      </w:r>
      <w:r>
        <w:rPr>
          <w:rFonts w:hint="eastAsia" w:ascii="宋体" w:hAnsi="宋体" w:cs="宋体"/>
          <w:color w:val="auto"/>
          <w:sz w:val="24"/>
          <w:highlight w:val="none"/>
          <w:lang w:val="en-US" w:eastAsia="zh-CN"/>
        </w:rPr>
        <w:t>项目内容</w:t>
      </w:r>
      <w:r>
        <w:rPr>
          <w:rFonts w:hint="eastAsia" w:ascii="宋体" w:hAnsi="宋体" w:cs="宋体"/>
          <w:color w:val="auto"/>
          <w:sz w:val="24"/>
          <w:highlight w:val="none"/>
        </w:rPr>
        <w:t>只能有一个投标报价。采购人不接受具有附加条件的报价。</w:t>
      </w:r>
    </w:p>
    <w:p w14:paraId="47DAEAB1">
      <w:pPr>
        <w:adjustRightInd w:val="0"/>
        <w:snapToGrid w:val="0"/>
        <w:spacing w:line="360" w:lineRule="auto"/>
        <w:ind w:firstLine="480" w:firstLineChars="200"/>
        <w:rPr>
          <w:rFonts w:hint="eastAsia" w:ascii="宋体" w:hAnsi="宋体" w:cs="宋体"/>
          <w:color w:val="auto"/>
          <w:sz w:val="24"/>
          <w:highlight w:val="none"/>
        </w:rPr>
      </w:pPr>
      <w:bookmarkStart w:id="7" w:name="_Toc31973_WPSOffice_Level2"/>
      <w:bookmarkStart w:id="8" w:name="_Toc22507_WPSOffice_Level2"/>
      <w:r>
        <w:rPr>
          <w:rFonts w:hint="eastAsia" w:ascii="宋体" w:hAnsi="宋体" w:cs="宋体"/>
          <w:color w:val="auto"/>
          <w:sz w:val="24"/>
          <w:highlight w:val="none"/>
        </w:rPr>
        <w:t>3.6除非</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另有规定，报价原则上精确到小数点后两位。</w:t>
      </w:r>
      <w:bookmarkEnd w:id="7"/>
      <w:bookmarkEnd w:id="8"/>
    </w:p>
    <w:p w14:paraId="13627E9E">
      <w:pPr>
        <w:adjustRightInd w:val="0"/>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报价作为综合评审的因素之一，以综合得分降序排列确定三名</w:t>
      </w:r>
      <w:r>
        <w:rPr>
          <w:rFonts w:hint="eastAsia" w:ascii="宋体" w:hAnsi="宋体" w:cs="宋体"/>
          <w:color w:val="auto"/>
          <w:sz w:val="24"/>
          <w:highlight w:val="none"/>
          <w:lang w:eastAsia="zh-CN"/>
        </w:rPr>
        <w:t>成交</w:t>
      </w:r>
      <w:r>
        <w:rPr>
          <w:rFonts w:hint="eastAsia" w:ascii="宋体" w:hAnsi="宋体" w:cs="宋体"/>
          <w:color w:val="auto"/>
          <w:sz w:val="24"/>
          <w:highlight w:val="none"/>
        </w:rPr>
        <w:t>候选供应商。</w:t>
      </w:r>
    </w:p>
    <w:p w14:paraId="7DF423A9">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4.投标供应商符合采购文件规定的资格证明文件</w:t>
      </w:r>
    </w:p>
    <w:p w14:paraId="58104DB0">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4.1投标供应商应提供资格证明材料，以证实其各项条件能满足投标供应商资格条件要求。</w:t>
      </w:r>
    </w:p>
    <w:p w14:paraId="5C70905E">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5.投标保证金</w:t>
      </w:r>
    </w:p>
    <w:p w14:paraId="4769E62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w:t>
      </w:r>
      <w:r>
        <w:rPr>
          <w:rFonts w:hint="eastAsia" w:ascii="宋体" w:hAnsi="宋体" w:cs="宋体"/>
          <w:b/>
          <w:color w:val="auto"/>
          <w:sz w:val="24"/>
          <w:highlight w:val="none"/>
        </w:rPr>
        <w:t>投标须知前附表</w:t>
      </w:r>
      <w:r>
        <w:rPr>
          <w:rFonts w:hint="eastAsia" w:ascii="宋体" w:hAnsi="宋体" w:cs="宋体"/>
          <w:color w:val="auto"/>
          <w:sz w:val="24"/>
          <w:highlight w:val="none"/>
        </w:rPr>
        <w:t>规定提交投标保证金的，应按</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1</w:t>
      </w:r>
      <w:r>
        <w:rPr>
          <w:rFonts w:hint="eastAsia" w:ascii="宋体" w:hAnsi="宋体" w:cs="宋体"/>
          <w:b/>
          <w:color w:val="auto"/>
          <w:sz w:val="24"/>
          <w:highlight w:val="none"/>
          <w:u w:val="single"/>
          <w:lang w:val="en-US" w:eastAsia="zh-CN"/>
        </w:rPr>
        <w:t>8</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规定的形式、金额，在规定的截止时间前，提交投标保证金。投标保证金有效期应当与</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有效期一致。</w:t>
      </w:r>
    </w:p>
    <w:p w14:paraId="7C3814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5.2未按采购文件规定提交投标保证金的，采购人或采购代理机构应当拒绝接收投标供应商的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14:paraId="5BEDF90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5.3采购代理机构在</w:t>
      </w:r>
      <w:r>
        <w:rPr>
          <w:rFonts w:hint="eastAsia" w:ascii="宋体" w:hAnsi="宋体" w:cs="宋体"/>
          <w:color w:val="auto"/>
          <w:sz w:val="24"/>
          <w:highlight w:val="none"/>
          <w:lang w:eastAsia="zh-CN"/>
        </w:rPr>
        <w:t>成交</w:t>
      </w:r>
      <w:r>
        <w:rPr>
          <w:rFonts w:hint="eastAsia" w:ascii="宋体" w:hAnsi="宋体" w:cs="宋体"/>
          <w:color w:val="auto"/>
          <w:sz w:val="24"/>
          <w:highlight w:val="none"/>
        </w:rPr>
        <w:t>通知书发出后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个工作日内退还未</w:t>
      </w: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供应商的投标保证金；在采购合同签定后5个工作日内退还</w:t>
      </w: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供应商的投标保证金，但</w:t>
      </w:r>
      <w:r>
        <w:rPr>
          <w:rFonts w:hint="eastAsia" w:ascii="宋体" w:hAnsi="宋体" w:cs="宋体"/>
          <w:color w:val="auto"/>
          <w:sz w:val="24"/>
          <w:highlight w:val="none"/>
          <w:lang w:eastAsia="zh-CN"/>
        </w:rPr>
        <w:t>成交</w:t>
      </w:r>
      <w:r>
        <w:rPr>
          <w:rFonts w:hint="eastAsia" w:ascii="宋体" w:hAnsi="宋体" w:cs="宋体"/>
          <w:color w:val="auto"/>
          <w:sz w:val="24"/>
          <w:highlight w:val="none"/>
        </w:rPr>
        <w:t>供应商将投标保证金转为履约保证金或因投标供应商自身原因导致无法及时退还的除外。</w:t>
      </w:r>
    </w:p>
    <w:p w14:paraId="7779EC4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有下列情形之一的，投标保证金不予退还：</w:t>
      </w:r>
      <w:r>
        <w:rPr>
          <w:rFonts w:hint="eastAsia" w:ascii="宋体" w:hAnsi="宋体" w:cs="宋体"/>
          <w:color w:val="auto"/>
          <w:sz w:val="24"/>
          <w:highlight w:val="none"/>
        </w:rPr>
        <w:t>投标供应商在采购文件规定的投标有效期内撤回其投标的；</w:t>
      </w:r>
    </w:p>
    <w:p w14:paraId="5D7E363E">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6. </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有效期</w:t>
      </w:r>
    </w:p>
    <w:p w14:paraId="18E4176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有效期见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1</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cs="宋体"/>
          <w:color w:val="auto"/>
          <w:sz w:val="24"/>
          <w:highlight w:val="none"/>
        </w:rPr>
        <w:t>，在此期间</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对投标供应商具有法律约束力，从提交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截止时间之日起计算。</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有效期不足的将被视为无效投标。</w:t>
      </w:r>
    </w:p>
    <w:p w14:paraId="1F6553B0">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7.</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的签署及规定</w:t>
      </w:r>
    </w:p>
    <w:p w14:paraId="7344075C">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szCs w:val="24"/>
          <w:highlight w:val="none"/>
        </w:rPr>
        <w:t xml:space="preserve">7.1 </w:t>
      </w:r>
      <w:r>
        <w:rPr>
          <w:rFonts w:hint="eastAsia" w:ascii="宋体" w:hAnsi="宋体" w:cs="宋体"/>
          <w:color w:val="auto"/>
          <w:sz w:val="24"/>
          <w:highlight w:val="none"/>
        </w:rPr>
        <w:t>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使用政采云平台</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制作工具以及</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要求进行制作编制。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制作时，按照</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中明确的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目录和格式进行编制，保证目录清晰、内容完整。</w:t>
      </w:r>
    </w:p>
    <w:p w14:paraId="4016DC0D">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须使用投标人电子公章及法定代表人的电子签名。若无电子签章和签名，则视为无效响应</w:t>
      </w:r>
      <w:r>
        <w:rPr>
          <w:rFonts w:ascii="宋体" w:hAnsi="宋体" w:cs="宋体"/>
          <w:color w:val="auto"/>
          <w:sz w:val="24"/>
          <w:highlight w:val="none"/>
        </w:rPr>
        <w:t>。</w:t>
      </w:r>
    </w:p>
    <w:p w14:paraId="63A04B40">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7.3</w:t>
      </w:r>
      <w:r>
        <w:rPr>
          <w:rFonts w:hint="eastAsia" w:ascii="宋体" w:hAnsi="宋体" w:cs="宋体"/>
          <w:color w:val="auto"/>
          <w:sz w:val="24"/>
          <w:highlight w:val="none"/>
        </w:rPr>
        <w:t>电子招</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具有法律效力，与其他形式的招</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在内容和格式上等同，若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与</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要求不一致，其内容影响成交结果时，责任由投标人自行承担。投标人递交的电子响应文件因投标人自身原因而导致无法导入电子辅助评标系统，该响应文件视为无效响应文件，将导致其响应被拒绝。</w:t>
      </w:r>
    </w:p>
    <w:p w14:paraId="5D279088">
      <w:pPr>
        <w:adjustRightInd w:val="0"/>
        <w:snapToGrid w:val="0"/>
        <w:spacing w:line="360" w:lineRule="auto"/>
        <w:ind w:firstLine="480" w:firstLineChars="200"/>
        <w:jc w:val="left"/>
        <w:rPr>
          <w:rFonts w:ascii="宋体" w:hAnsi="宋体" w:cs="宋体"/>
          <w:color w:val="auto"/>
          <w:sz w:val="24"/>
          <w:highlight w:val="none"/>
        </w:rPr>
      </w:pPr>
    </w:p>
    <w:p w14:paraId="13574C7E">
      <w:pPr>
        <w:numPr>
          <w:ilvl w:val="0"/>
          <w:numId w:val="3"/>
        </w:numPr>
        <w:jc w:val="center"/>
        <w:rPr>
          <w:rFonts w:ascii="宋体" w:hAnsi="宋体" w:cs="宋体"/>
          <w:b/>
          <w:color w:val="auto"/>
          <w:sz w:val="28"/>
          <w:szCs w:val="28"/>
          <w:highlight w:val="none"/>
        </w:rPr>
      </w:pPr>
      <w:bookmarkStart w:id="9" w:name="_Toc420948012"/>
      <w:r>
        <w:rPr>
          <w:rFonts w:hint="eastAsia" w:ascii="宋体" w:hAnsi="宋体" w:cs="宋体"/>
          <w:b/>
          <w:color w:val="auto"/>
          <w:sz w:val="28"/>
          <w:szCs w:val="28"/>
          <w:highlight w:val="none"/>
          <w:lang w:eastAsia="zh-CN"/>
        </w:rPr>
        <w:t>响应文件</w:t>
      </w:r>
      <w:r>
        <w:rPr>
          <w:rFonts w:hint="eastAsia" w:ascii="宋体" w:hAnsi="宋体" w:cs="宋体"/>
          <w:b/>
          <w:color w:val="auto"/>
          <w:sz w:val="28"/>
          <w:szCs w:val="28"/>
          <w:highlight w:val="none"/>
        </w:rPr>
        <w:t>的递交</w:t>
      </w:r>
      <w:bookmarkEnd w:id="9"/>
    </w:p>
    <w:p w14:paraId="3760605E">
      <w:pPr>
        <w:pStyle w:val="9"/>
        <w:rPr>
          <w:color w:val="auto"/>
          <w:highlight w:val="none"/>
        </w:rPr>
      </w:pPr>
    </w:p>
    <w:p w14:paraId="12C5E339">
      <w:pPr>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的密封和标记</w:t>
      </w:r>
    </w:p>
    <w:p w14:paraId="0972E95B">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加密的电子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（.jmbs格式）应在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递交截止时间前通过政采云平台上传完成。</w:t>
      </w:r>
    </w:p>
    <w:p w14:paraId="5663990F">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rPr>
        <w:t>逾期上传或者未上传指定地点的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，采购人不予受理。</w:t>
      </w:r>
    </w:p>
    <w:p w14:paraId="4BD64515">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“电子加密响应文件”成功上传递交后，投标人可自行打印响应文件接收回执。</w:t>
      </w:r>
    </w:p>
    <w:p w14:paraId="732A5566">
      <w:pPr>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.投标截止</w:t>
      </w:r>
    </w:p>
    <w:p w14:paraId="322A31A4">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投标人应在</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规定的截止日期和时间前，将电子</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上传到“政采云”平台。</w:t>
      </w:r>
    </w:p>
    <w:p w14:paraId="020774F5">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采购代理机构可按本须知采购文件的澄清或者修改</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规定以澄清或修改通知的方式，酌情延长递交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的截止时间。在此情况下，投标人的所有权利和义务以及投标人受制约的截止时间，均以延长后新的投标截止时间为准。</w:t>
      </w:r>
    </w:p>
    <w:p w14:paraId="2D538580">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投标截止后投标人不足3家的，采购代理机构将依据《政府采购货物和服务招标投标管理办法》（第87号令）等相关规定执行。</w:t>
      </w:r>
    </w:p>
    <w:p w14:paraId="706E666B">
      <w:pPr>
        <w:adjustRightInd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的接收、修改与撤回</w:t>
      </w:r>
    </w:p>
    <w:p w14:paraId="3A679602">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投标人在上传</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以后，在规定的上传</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截止时间之前，可以撤回已上传的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。如要修改，必须在撤回并修改后在规定的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递交截止时间之前将修改后的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再重新上传。在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递交截止时间之后，投标人不得对上传的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撤销或修改。</w:t>
      </w:r>
    </w:p>
    <w:p w14:paraId="7328A0F2">
      <w:pPr>
        <w:adjustRightInd w:val="0"/>
        <w:snapToGrid w:val="0"/>
        <w:spacing w:line="360" w:lineRule="auto"/>
        <w:ind w:firstLine="480" w:firstLineChars="200"/>
        <w:jc w:val="left"/>
        <w:rPr>
          <w:rFonts w:hint="eastAsia" w:ascii="宋体" w:hAnsi="宋体" w:cs="宋体"/>
          <w:color w:val="auto"/>
          <w:sz w:val="24"/>
          <w:highlight w:val="none"/>
        </w:rPr>
      </w:pPr>
    </w:p>
    <w:p w14:paraId="1DF5BDCC">
      <w:pPr>
        <w:numPr>
          <w:ilvl w:val="0"/>
          <w:numId w:val="3"/>
        </w:numPr>
        <w:jc w:val="center"/>
        <w:rPr>
          <w:rFonts w:ascii="宋体" w:hAnsi="宋体" w:cs="宋体"/>
          <w:b/>
          <w:color w:val="auto"/>
          <w:sz w:val="28"/>
          <w:szCs w:val="28"/>
          <w:highlight w:val="none"/>
        </w:rPr>
      </w:pPr>
      <w:bookmarkStart w:id="10" w:name="_Toc420948013"/>
      <w:r>
        <w:rPr>
          <w:rFonts w:hint="eastAsia" w:ascii="宋体" w:hAnsi="宋体" w:cs="宋体"/>
          <w:b/>
          <w:color w:val="auto"/>
          <w:sz w:val="28"/>
          <w:szCs w:val="28"/>
          <w:highlight w:val="none"/>
        </w:rPr>
        <w:t>开标和评标</w:t>
      </w:r>
    </w:p>
    <w:p w14:paraId="4DAADCDB">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1</w:t>
      </w:r>
      <w:r>
        <w:rPr>
          <w:rFonts w:hint="eastAsia" w:ascii="宋体" w:hAnsi="宋体" w:eastAsia="宋体" w:cs="宋体"/>
          <w:b/>
          <w:bCs/>
          <w:color w:val="auto"/>
          <w:sz w:val="24"/>
          <w:szCs w:val="20"/>
          <w:highlight w:val="none"/>
        </w:rPr>
        <w:t>.开标</w:t>
      </w:r>
    </w:p>
    <w:p w14:paraId="250FABC6">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.1</w:t>
      </w:r>
      <w:r>
        <w:rPr>
          <w:rFonts w:hint="eastAsia" w:ascii="宋体" w:hAnsi="宋体" w:eastAsia="宋体" w:cs="宋体"/>
          <w:color w:val="auto"/>
          <w:sz w:val="24"/>
          <w:szCs w:val="24"/>
          <w:highlight w:val="none"/>
        </w:rPr>
        <w:t>采购人在</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hAnsi="宋体" w:cs="宋体"/>
          <w:b/>
          <w:color w:val="auto"/>
          <w:sz w:val="24"/>
          <w:highlight w:val="none"/>
          <w:u w:val="single"/>
          <w:lang w:val="en-US" w:eastAsia="zh-CN"/>
        </w:rPr>
        <w:t>23</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中规定的开标时间和地点</w:t>
      </w:r>
      <w:r>
        <w:rPr>
          <w:rFonts w:hint="eastAsia" w:ascii="宋体" w:hAnsi="宋体" w:eastAsia="宋体" w:cs="宋体"/>
          <w:color w:val="auto"/>
          <w:sz w:val="24"/>
          <w:szCs w:val="24"/>
          <w:highlight w:val="none"/>
        </w:rPr>
        <w:t>公开开标，所有供应商均应当准时在线参加。供应商自行承担因不参加在线开标而产生的不利后果。</w:t>
      </w:r>
    </w:p>
    <w:p w14:paraId="43A28409">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投标人不足3家的，不得开标。</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成员不得参加开标活动。</w:t>
      </w:r>
    </w:p>
    <w:p w14:paraId="69D60EEC">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ascii="宋体" w:hAnsi="宋体" w:eastAsia="宋体" w:cs="宋体"/>
          <w:b/>
          <w:bCs/>
          <w:color w:val="auto"/>
          <w:sz w:val="24"/>
          <w:szCs w:val="20"/>
          <w:highlight w:val="none"/>
          <w:lang w:val="en-US" w:eastAsia="zh-CN"/>
        </w:rPr>
        <w:t>2.</w:t>
      </w:r>
      <w:r>
        <w:rPr>
          <w:rFonts w:hint="eastAsia" w:ascii="宋体" w:hAnsi="宋体" w:eastAsia="宋体" w:cs="宋体"/>
          <w:b/>
          <w:bCs/>
          <w:color w:val="auto"/>
          <w:sz w:val="24"/>
          <w:szCs w:val="20"/>
          <w:highlight w:val="none"/>
        </w:rPr>
        <w:t>开标程序</w:t>
      </w:r>
    </w:p>
    <w:p w14:paraId="669388D7">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14:paraId="1955AE6A">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向各投标供应商发出电子加密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【开始解密】通知，各投标供应商代表应当在接到解密通知后</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0分钟内自行完成“电子加密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”的在线解密，如未按时解密则视为无效投标。</w:t>
      </w:r>
    </w:p>
    <w:p w14:paraId="28C52B9F">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2.2开启《开标记录表》，公布投标供应商报价，各投标供应商代表应当在20分钟内CA签字确认。</w:t>
      </w:r>
    </w:p>
    <w:p w14:paraId="745A4F1C">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开启资格证明文件，由采购人在监督下进行资格审查；评审小组对通过资格审查的投标供应商进行符合性审查。</w:t>
      </w:r>
    </w:p>
    <w:p w14:paraId="70D00BA0">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2.4通过电子交易平台公布无效供应商名单及导致无效的原因。</w:t>
      </w:r>
    </w:p>
    <w:p w14:paraId="11C192D2">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2.5开启在线评标，评审小组进行商务、技术评分并汇总商务技术评分及结果。</w:t>
      </w:r>
    </w:p>
    <w:p w14:paraId="5A4C7AF4">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开启报价文件，汇总报价得分。</w:t>
      </w:r>
    </w:p>
    <w:p w14:paraId="67881761">
      <w:pPr>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汇总商务、技术评分及报价得分，得出有效投标（响应）供应商评分排名。</w:t>
      </w:r>
    </w:p>
    <w:p w14:paraId="78CCC725">
      <w:pPr>
        <w:spacing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开标异议</w:t>
      </w:r>
    </w:p>
    <w:p w14:paraId="6CBB2C9F">
      <w:pP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4"/>
          <w:highlight w:val="none"/>
        </w:rPr>
        <w:t>投标人对开标有异议的，应当在开标现场提出，采购人当场作出答复，并制作记录。</w:t>
      </w:r>
    </w:p>
    <w:p w14:paraId="4AD0246C">
      <w:pPr>
        <w:pStyle w:val="12"/>
        <w:adjustRightInd w:val="0"/>
        <w:snapToGrid w:val="0"/>
        <w:spacing w:line="360" w:lineRule="auto"/>
        <w:rPr>
          <w:rFonts w:hint="eastAsia" w:ascii="宋体" w:hAnsi="宋体" w:eastAsia="宋体" w:cs="宋体"/>
          <w:b/>
          <w:bCs/>
          <w:color w:val="auto"/>
          <w:sz w:val="24"/>
          <w:szCs w:val="20"/>
          <w:highlight w:val="none"/>
          <w:lang w:eastAsia="zh-CN"/>
        </w:rPr>
      </w:pP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val="en-US" w:eastAsia="zh-CN"/>
        </w:rPr>
        <w:t>4</w:t>
      </w:r>
      <w:r>
        <w:rPr>
          <w:rFonts w:hint="eastAsia" w:ascii="宋体" w:hAnsi="宋体" w:eastAsia="宋体" w:cs="宋体"/>
          <w:b/>
          <w:bCs/>
          <w:color w:val="auto"/>
          <w:sz w:val="24"/>
          <w:szCs w:val="20"/>
          <w:highlight w:val="none"/>
        </w:rPr>
        <w:t>.组建</w:t>
      </w:r>
      <w:r>
        <w:rPr>
          <w:rFonts w:hint="eastAsia" w:hAnsi="宋体" w:eastAsia="宋体" w:cs="宋体"/>
          <w:b/>
          <w:bCs/>
          <w:color w:val="auto"/>
          <w:sz w:val="24"/>
          <w:szCs w:val="20"/>
          <w:highlight w:val="none"/>
          <w:lang w:eastAsia="zh-CN"/>
        </w:rPr>
        <w:t>评审委员会</w:t>
      </w:r>
    </w:p>
    <w:p w14:paraId="0429584B">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hAnsi="宋体" w:eastAsia="宋体" w:cs="宋体"/>
          <w:color w:val="auto"/>
          <w:sz w:val="24"/>
          <w:szCs w:val="20"/>
          <w:highlight w:val="none"/>
          <w:lang w:val="en-US" w:eastAsia="zh-CN"/>
        </w:rPr>
        <w:t>4</w:t>
      </w:r>
      <w:r>
        <w:rPr>
          <w:rFonts w:hint="eastAsia" w:hAnsi="宋体" w:eastAsia="宋体" w:cs="宋体"/>
          <w:color w:val="auto"/>
          <w:sz w:val="24"/>
          <w:szCs w:val="20"/>
          <w:highlight w:val="none"/>
        </w:rPr>
        <w:t>.</w:t>
      </w:r>
      <w:r>
        <w:rPr>
          <w:rFonts w:hint="eastAsia"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rPr>
        <w:t>按照《中华人民共和国政府采购法》、《中华人民共和国政府采购法实施条例》有关规定依法组建</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，负责本项目评标工作。本项目</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组成详见</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hAnsi="宋体" w:cs="宋体"/>
          <w:b/>
          <w:color w:val="auto"/>
          <w:sz w:val="24"/>
          <w:highlight w:val="none"/>
          <w:u w:val="single"/>
          <w:lang w:val="en-US" w:eastAsia="zh-CN"/>
        </w:rPr>
        <w:t>34</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w:t>
      </w:r>
    </w:p>
    <w:p w14:paraId="4092FB83">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 xml:space="preserve">.2 </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成员有下列情形之一的，应当回避：</w:t>
      </w:r>
    </w:p>
    <w:p w14:paraId="1DFCF14A">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（1）投标人或投标人主要负责人的近亲属；</w:t>
      </w:r>
    </w:p>
    <w:p w14:paraId="2B6D8D01">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（2）项目主管部门或者行政监督部门的人员；</w:t>
      </w:r>
    </w:p>
    <w:p w14:paraId="16F3B31C">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（3）与投标人有经济利益关系，可能影响对投标公正评审的；</w:t>
      </w:r>
    </w:p>
    <w:p w14:paraId="195D7088">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（4）曾因在招标、评标以及其他与招标投标有关活动中从事违法行为而受过行政处罚或刑事处罚的；</w:t>
      </w:r>
    </w:p>
    <w:p w14:paraId="30142337">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（5）与投标人有其他利害关系。</w:t>
      </w:r>
    </w:p>
    <w:p w14:paraId="57FD7F15">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.3 评标过程中，</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成员有回避事由、擅离职守或者因健康等原因不能继续评标的，采购人有权更换。被更换的</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成员作出的评审结论无效，由更换后的</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成员重新进行评审。</w:t>
      </w:r>
    </w:p>
    <w:p w14:paraId="04C2AD11">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val="en-US" w:eastAsia="zh-CN"/>
        </w:rPr>
        <w:t>5</w:t>
      </w:r>
      <w:r>
        <w:rPr>
          <w:rFonts w:hint="eastAsia" w:ascii="宋体" w:hAnsi="宋体" w:eastAsia="宋体" w:cs="宋体"/>
          <w:b/>
          <w:bCs/>
          <w:color w:val="auto"/>
          <w:sz w:val="24"/>
          <w:szCs w:val="20"/>
          <w:highlight w:val="none"/>
        </w:rPr>
        <w:t>.资格审查</w:t>
      </w:r>
    </w:p>
    <w:p w14:paraId="03B5A5F2">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.1投标人应按</w:t>
      </w:r>
      <w:r>
        <w:rPr>
          <w:rFonts w:hint="eastAsia" w:hAnsi="宋体" w:eastAsia="宋体" w:cs="宋体"/>
          <w:color w:val="auto"/>
          <w:sz w:val="24"/>
          <w:szCs w:val="20"/>
          <w:highlight w:val="none"/>
          <w:lang w:val="en-US" w:eastAsia="zh-CN"/>
        </w:rPr>
        <w:t>采购文件</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hAnsi="宋体" w:cs="宋体"/>
          <w:b/>
          <w:color w:val="auto"/>
          <w:sz w:val="24"/>
          <w:highlight w:val="none"/>
          <w:u w:val="single"/>
          <w:lang w:val="en-US" w:eastAsia="zh-CN"/>
        </w:rPr>
        <w:t>33</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中的相应要求提交资格证明材料。未通过资格审查的投标人不能进入评标，其投标将被认定为投标无效；通过资格审查的投标人不足3家的，不得评标。</w:t>
      </w:r>
    </w:p>
    <w:p w14:paraId="1DFF79AE">
      <w:pPr>
        <w:pStyle w:val="12"/>
        <w:adjustRightInd w:val="0"/>
        <w:snapToGrid w:val="0"/>
        <w:spacing w:line="360" w:lineRule="auto"/>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w:t>
      </w:r>
      <w:r>
        <w:rPr>
          <w:rFonts w:hint="eastAsia" w:hAnsi="宋体" w:eastAsia="宋体" w:cs="宋体"/>
          <w:b/>
          <w:bCs/>
          <w:color w:val="auto"/>
          <w:sz w:val="24"/>
          <w:szCs w:val="20"/>
          <w:highlight w:val="none"/>
          <w:lang w:val="en-US" w:eastAsia="zh-CN"/>
        </w:rPr>
        <w:t>6</w:t>
      </w:r>
      <w:r>
        <w:rPr>
          <w:rFonts w:hint="eastAsia" w:ascii="宋体" w:hAnsi="宋体" w:eastAsia="宋体" w:cs="宋体"/>
          <w:b/>
          <w:bCs/>
          <w:color w:val="auto"/>
          <w:sz w:val="24"/>
          <w:szCs w:val="20"/>
          <w:highlight w:val="none"/>
          <w:lang w:val="en-US" w:eastAsia="zh-CN"/>
        </w:rPr>
        <w:t>.符合性审查</w:t>
      </w:r>
    </w:p>
    <w:p w14:paraId="0A81FE83">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hAnsi="宋体" w:eastAsia="宋体" w:cs="宋体"/>
          <w:color w:val="auto"/>
          <w:sz w:val="24"/>
          <w:szCs w:val="20"/>
          <w:highlight w:val="none"/>
          <w:lang w:val="en-US" w:eastAsia="zh-CN"/>
        </w:rPr>
        <w:t>评审委员会</w:t>
      </w:r>
      <w:r>
        <w:rPr>
          <w:rFonts w:hint="eastAsia" w:ascii="宋体" w:hAnsi="宋体" w:eastAsia="宋体" w:cs="宋体"/>
          <w:color w:val="auto"/>
          <w:sz w:val="24"/>
          <w:szCs w:val="20"/>
          <w:highlight w:val="none"/>
          <w:lang w:val="en-US"/>
        </w:rPr>
        <w:t>对</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rPr>
        <w:t>进行符合性审查，对无效标做出界定，有下列情况之一者，投标书无效：</w:t>
      </w:r>
    </w:p>
    <w:p w14:paraId="465BFF1A">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（一）投标保证金的缴纳主体与投标人不一致，没有按照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要求提供投标保证金，或者所提供的投标担保有瑕疵的；</w:t>
      </w:r>
    </w:p>
    <w:p w14:paraId="73662DFB">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（二）</w:t>
      </w:r>
      <w:r>
        <w:rPr>
          <w:rFonts w:hint="eastAsia" w:ascii="宋体" w:hAnsi="宋体" w:eastAsia="宋体" w:cs="宋体"/>
          <w:color w:val="auto"/>
          <w:sz w:val="24"/>
          <w:szCs w:val="20"/>
          <w:highlight w:val="none"/>
        </w:rPr>
        <w:t>投标人的名称、组织机构与投标报名时不相符，涉嫌以他人名义投标的或投标人之间串通投标的；以行贿手段谋取</w:t>
      </w:r>
      <w:r>
        <w:rPr>
          <w:rFonts w:hint="eastAsia" w:hAnsi="宋体" w:eastAsia="宋体" w:cs="宋体"/>
          <w:color w:val="auto"/>
          <w:sz w:val="24"/>
          <w:szCs w:val="20"/>
          <w:highlight w:val="none"/>
          <w:lang w:eastAsia="zh-CN"/>
        </w:rPr>
        <w:t>成交</w:t>
      </w:r>
      <w:r>
        <w:rPr>
          <w:rFonts w:hint="eastAsia" w:ascii="宋体" w:hAnsi="宋体" w:eastAsia="宋体" w:cs="宋体"/>
          <w:color w:val="auto"/>
          <w:sz w:val="24"/>
          <w:szCs w:val="20"/>
          <w:highlight w:val="none"/>
        </w:rPr>
        <w:t>或者以其他弄虚作假方式投标的；</w:t>
      </w:r>
    </w:p>
    <w:p w14:paraId="0D615D20">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（三）不</w:t>
      </w:r>
      <w:r>
        <w:rPr>
          <w:rFonts w:hint="eastAsia" w:ascii="宋体" w:hAnsi="宋体" w:eastAsia="宋体" w:cs="宋体"/>
          <w:color w:val="auto"/>
          <w:sz w:val="24"/>
          <w:szCs w:val="20"/>
          <w:highlight w:val="none"/>
        </w:rPr>
        <w:t>满足采购资格条件的；</w:t>
      </w:r>
    </w:p>
    <w:p w14:paraId="03F06A34">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（四）</w:t>
      </w:r>
      <w:r>
        <w:rPr>
          <w:rFonts w:hint="eastAsia"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rPr>
        <w:t>文件没有按</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的；</w:t>
      </w:r>
    </w:p>
    <w:p w14:paraId="65E7FCAA">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（五）投标报价高于设定的采购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p w14:paraId="60465AD5">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（六）投标人对同一招标项目做出两个以上报价未明确效力的；</w:t>
      </w:r>
    </w:p>
    <w:p w14:paraId="4092691F">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（七）</w:t>
      </w:r>
      <w:r>
        <w:rPr>
          <w:rFonts w:hint="eastAsia"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eastAsia="zh-CN"/>
        </w:rPr>
        <w:t>文件记载的合同履约期限限超过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规定的合同履约期限限的；</w:t>
      </w:r>
      <w:r>
        <w:rPr>
          <w:rFonts w:hint="eastAsia" w:hAnsi="宋体" w:eastAsia="宋体" w:cs="宋体"/>
          <w:color w:val="auto"/>
          <w:sz w:val="24"/>
          <w:szCs w:val="20"/>
          <w:highlight w:val="none"/>
          <w:lang w:val="en-US" w:eastAsia="zh-CN"/>
        </w:rPr>
        <w:t>质量</w:t>
      </w:r>
      <w:r>
        <w:rPr>
          <w:rFonts w:hint="eastAsia" w:ascii="宋体" w:hAnsi="宋体" w:eastAsia="宋体" w:cs="宋体"/>
          <w:color w:val="auto"/>
          <w:sz w:val="24"/>
          <w:szCs w:val="20"/>
          <w:highlight w:val="none"/>
          <w:lang w:val="en-US" w:eastAsia="zh-CN"/>
        </w:rPr>
        <w:t>标准不满足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ascii="宋体" w:hAnsi="宋体" w:eastAsia="宋体" w:cs="宋体"/>
          <w:color w:val="auto"/>
          <w:sz w:val="24"/>
          <w:szCs w:val="20"/>
          <w:highlight w:val="none"/>
          <w:lang w:val="en-US"/>
        </w:rPr>
        <w:t>；</w:t>
      </w:r>
    </w:p>
    <w:p w14:paraId="6663BFDF">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八</w:t>
      </w: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rPr>
        <w:t>文件中所报</w:t>
      </w:r>
      <w:r>
        <w:rPr>
          <w:rFonts w:hint="eastAsia" w:ascii="宋体" w:hAnsi="宋体" w:eastAsia="宋体" w:cs="宋体"/>
          <w:color w:val="auto"/>
          <w:sz w:val="24"/>
          <w:szCs w:val="20"/>
          <w:highlight w:val="none"/>
          <w:lang w:val="en-US" w:eastAsia="zh-CN"/>
        </w:rPr>
        <w:t>服务内容</w:t>
      </w:r>
      <w:r>
        <w:rPr>
          <w:rFonts w:hint="eastAsia" w:ascii="宋体" w:hAnsi="宋体" w:eastAsia="宋体" w:cs="宋体"/>
          <w:color w:val="auto"/>
          <w:sz w:val="24"/>
          <w:szCs w:val="20"/>
          <w:highlight w:val="none"/>
          <w:lang w:val="en-US"/>
        </w:rPr>
        <w:t>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p w14:paraId="4123D296">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九</w:t>
      </w: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rPr>
        <w:t>文件有关键内容模糊不清，无法辨认的</w:t>
      </w:r>
      <w:r>
        <w:rPr>
          <w:rFonts w:hint="eastAsia" w:hAnsi="宋体" w:eastAsia="宋体" w:cs="宋体"/>
          <w:color w:val="auto"/>
          <w:sz w:val="24"/>
          <w:szCs w:val="20"/>
          <w:highlight w:val="none"/>
          <w:lang w:val="en-US" w:eastAsia="zh-CN"/>
        </w:rPr>
        <w:t>；</w:t>
      </w:r>
    </w:p>
    <w:p w14:paraId="49327A72">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（十）不满足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p>
    <w:p w14:paraId="12528BC6">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未通过符合性审查的投标人不能进入下一阶段评审，其投标将被认定为投标无效；通过符合性审查的投标人数量不足3家的，不得作进一步的比较和评价。</w:t>
      </w:r>
    </w:p>
    <w:p w14:paraId="587C5FD1">
      <w:pPr>
        <w:pStyle w:val="12"/>
        <w:adjustRightInd w:val="0"/>
        <w:snapToGrid w:val="0"/>
        <w:spacing w:line="360" w:lineRule="auto"/>
        <w:rPr>
          <w:rFonts w:hint="eastAsia" w:ascii="宋体" w:hAnsi="宋体" w:eastAsia="宋体" w:cs="宋体"/>
          <w:b/>
          <w:bCs/>
          <w:color w:val="auto"/>
          <w:sz w:val="24"/>
          <w:szCs w:val="20"/>
          <w:highlight w:val="none"/>
        </w:rPr>
      </w:pPr>
    </w:p>
    <w:p w14:paraId="6C911D3E">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val="en-US" w:eastAsia="zh-CN"/>
        </w:rPr>
        <w:t>7</w:t>
      </w:r>
      <w:r>
        <w:rPr>
          <w:rFonts w:hint="eastAsia" w:ascii="宋体" w:hAnsi="宋体" w:eastAsia="宋体" w:cs="宋体"/>
          <w:b/>
          <w:bCs/>
          <w:color w:val="auto"/>
          <w:sz w:val="24"/>
          <w:szCs w:val="20"/>
          <w:highlight w:val="none"/>
          <w:lang w:val="en-US" w:eastAsia="zh-CN"/>
        </w:rPr>
        <w:t>.</w:t>
      </w:r>
      <w:r>
        <w:rPr>
          <w:rFonts w:hint="eastAsia" w:hAnsi="宋体" w:eastAsia="宋体" w:cs="宋体"/>
          <w:b/>
          <w:bCs/>
          <w:color w:val="auto"/>
          <w:sz w:val="24"/>
          <w:szCs w:val="20"/>
          <w:highlight w:val="none"/>
          <w:lang w:eastAsia="zh-CN"/>
        </w:rPr>
        <w:t>响应文件</w:t>
      </w:r>
      <w:r>
        <w:rPr>
          <w:rFonts w:hint="eastAsia" w:ascii="宋体" w:hAnsi="宋体" w:eastAsia="宋体" w:cs="宋体"/>
          <w:b/>
          <w:bCs/>
          <w:color w:val="auto"/>
          <w:sz w:val="24"/>
          <w:szCs w:val="20"/>
          <w:highlight w:val="none"/>
        </w:rPr>
        <w:t>的澄清</w:t>
      </w:r>
    </w:p>
    <w:p w14:paraId="393A69F0">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5.1对于</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eastAsia="zh-CN"/>
        </w:rPr>
        <w:t>中含义不明确、同类问题表述不一致或者有明显文字和计算错误的内容，</w:t>
      </w:r>
      <w:r>
        <w:rPr>
          <w:rFonts w:hint="eastAsia" w:hAnsi="宋体" w:eastAsia="宋体" w:cs="宋体"/>
          <w:color w:val="auto"/>
          <w:sz w:val="24"/>
          <w:szCs w:val="20"/>
          <w:highlight w:val="none"/>
          <w:lang w:val="en-US" w:eastAsia="zh-CN"/>
        </w:rPr>
        <w:t>评审委员会</w:t>
      </w:r>
      <w:r>
        <w:rPr>
          <w:rFonts w:hint="eastAsia" w:ascii="宋体" w:hAnsi="宋体" w:eastAsia="宋体" w:cs="宋体"/>
          <w:color w:val="auto"/>
          <w:sz w:val="24"/>
          <w:szCs w:val="20"/>
          <w:highlight w:val="none"/>
          <w:lang w:val="en-US" w:eastAsia="zh-CN"/>
        </w:rPr>
        <w:t>将通过“政府采购云平台”在线询标的方式要求投标供应商在规定的时间内作出必要的澄清、说明或者补正，</w:t>
      </w:r>
      <w:r>
        <w:rPr>
          <w:rFonts w:hint="eastAsia" w:ascii="宋体" w:hAnsi="宋体" w:eastAsia="宋体" w:cs="宋体"/>
          <w:b/>
          <w:bCs/>
          <w:color w:val="auto"/>
          <w:sz w:val="24"/>
          <w:szCs w:val="20"/>
          <w:highlight w:val="none"/>
          <w:lang w:val="en-US" w:eastAsia="zh-CN"/>
        </w:rPr>
        <w:t>投标供应商澄清、说明或补正时间为20分钟。</w:t>
      </w:r>
    </w:p>
    <w:p w14:paraId="59B4B1ED">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5.2投标供应商的澄清、说明或者补正应当通过“政府采购云平台”在线答复的方式提交，并加盖公章（电子印章），或者由法定代表人（负责人）或其授权的代表签章。投标供应商的澄清、说明或者补正不得超出</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eastAsia="zh-CN"/>
        </w:rPr>
        <w:t>的范围或者改变</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eastAsia="zh-CN"/>
        </w:rPr>
        <w:t>的实质性内容，不接受投标供应商主动对</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eastAsia="zh-CN"/>
        </w:rPr>
        <w:t>的澄清、说明或者补正。</w:t>
      </w:r>
    </w:p>
    <w:p w14:paraId="11C3E5C3">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E26CABE">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投标人的澄清、说明或补正将作为</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的一部分。</w:t>
      </w:r>
    </w:p>
    <w:p w14:paraId="7D1D4AD0">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val="en-US" w:eastAsia="zh-CN"/>
        </w:rPr>
        <w:t>5</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报价出现前后不一致的，按照下列规定修正：</w:t>
      </w:r>
    </w:p>
    <w:p w14:paraId="7BAFCAEE">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中开标一览表内容与</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中相应内容不一致的，以开标一览表为准；</w:t>
      </w:r>
    </w:p>
    <w:p w14:paraId="50766018">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（2）大写金额和小写金额不一致的，以大写金额为准；</w:t>
      </w:r>
    </w:p>
    <w:p w14:paraId="79EF0ABC">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（3）单价金额小数点或者百分比有明显错位的，以开标一览表的总价为准，并修改单价；</w:t>
      </w:r>
    </w:p>
    <w:p w14:paraId="5583D13D">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（4）总价金额与按单价汇总金额不一致的，以单价金额计算结果为准。</w:t>
      </w:r>
    </w:p>
    <w:p w14:paraId="55C45F27">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同时出现两种以上不一致的，按照前款规定的顺序修正。修正后的报价经投标人确认后产生约束力，投标人不确认的，其投标将被认定为投标无效。</w:t>
      </w:r>
    </w:p>
    <w:p w14:paraId="208D7B0C">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val="en-US" w:eastAsia="zh-CN"/>
        </w:rPr>
        <w:t>6</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认为投标人的报价明显低于其他通过符合性审查投标人的报价，有可能影响</w:t>
      </w:r>
      <w:r>
        <w:rPr>
          <w:rFonts w:hint="eastAsia" w:ascii="宋体" w:hAnsi="宋体" w:eastAsia="宋体" w:cs="宋体"/>
          <w:color w:val="auto"/>
          <w:sz w:val="24"/>
          <w:szCs w:val="20"/>
          <w:highlight w:val="none"/>
          <w:lang w:val="en-US" w:eastAsia="zh-CN"/>
        </w:rPr>
        <w:t>服务</w:t>
      </w:r>
      <w:r>
        <w:rPr>
          <w:rFonts w:hint="eastAsia" w:ascii="宋体" w:hAnsi="宋体" w:eastAsia="宋体" w:cs="宋体"/>
          <w:color w:val="auto"/>
          <w:sz w:val="24"/>
          <w:szCs w:val="20"/>
          <w:highlight w:val="none"/>
        </w:rPr>
        <w:t>质量或者不能诚信履约的，应当要求其</w:t>
      </w:r>
      <w:r>
        <w:rPr>
          <w:rFonts w:hint="eastAsia" w:ascii="宋体" w:hAnsi="宋体" w:eastAsia="宋体" w:cs="宋体"/>
          <w:color w:val="auto"/>
          <w:sz w:val="24"/>
          <w:szCs w:val="20"/>
          <w:highlight w:val="none"/>
          <w:lang w:val="en-US" w:eastAsia="zh-CN"/>
        </w:rPr>
        <w:t>通过“政府采购云平台”</w:t>
      </w:r>
      <w:r>
        <w:rPr>
          <w:rFonts w:hint="eastAsia" w:ascii="宋体" w:hAnsi="宋体" w:eastAsia="宋体" w:cs="宋体"/>
          <w:color w:val="auto"/>
          <w:sz w:val="24"/>
          <w:szCs w:val="20"/>
          <w:highlight w:val="none"/>
        </w:rPr>
        <w:t>合理的时间内提供书面说明，必要时提交相关证明材料；投标人不能证明其报价合理性的，</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应当将其作为无效投标处理。提交证明材料的合理时间按第四章 评标方法规定执行。</w:t>
      </w:r>
    </w:p>
    <w:p w14:paraId="2FCBD2BF">
      <w:pPr>
        <w:pStyle w:val="12"/>
        <w:adjustRightInd w:val="0"/>
        <w:snapToGrid w:val="0"/>
        <w:spacing w:line="360" w:lineRule="auto"/>
        <w:rPr>
          <w:rFonts w:hint="eastAsia" w:ascii="宋体" w:hAnsi="宋体" w:eastAsia="宋体" w:cs="宋体"/>
          <w:b/>
          <w:bCs/>
          <w:color w:val="auto"/>
          <w:sz w:val="24"/>
          <w:szCs w:val="20"/>
          <w:highlight w:val="none"/>
        </w:rPr>
      </w:pPr>
    </w:p>
    <w:p w14:paraId="691CA6CB">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val="en-US" w:eastAsia="zh-CN"/>
        </w:rPr>
        <w:t>8</w:t>
      </w:r>
      <w:r>
        <w:rPr>
          <w:rFonts w:hint="eastAsia" w:ascii="宋体" w:hAnsi="宋体" w:eastAsia="宋体" w:cs="宋体"/>
          <w:b/>
          <w:bCs/>
          <w:color w:val="auto"/>
          <w:sz w:val="24"/>
          <w:szCs w:val="20"/>
          <w:highlight w:val="none"/>
        </w:rPr>
        <w:t>.投标无效</w:t>
      </w:r>
    </w:p>
    <w:p w14:paraId="55AB4085">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6.1在比较与评价之前，根据本须知的规定，</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将审查每份</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是否实质上响应了</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的要求。</w:t>
      </w:r>
    </w:p>
    <w:p w14:paraId="21E90837">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实质性要求是指</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中带有★号标识内容（包括本级及其下级编号中所有内容）等文字说明的要求。</w:t>
      </w:r>
    </w:p>
    <w:p w14:paraId="557014F3">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对</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的实质性要求进行响应是指与</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中带有★号标识内容的文字说明、条款、条件和规格等要求相符。</w:t>
      </w:r>
    </w:p>
    <w:p w14:paraId="34171922">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如果</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没有对</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的实质性要求进行响应，将作为无效投标处理，投标人不得再对</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进行任何修正从而使其投标成为实质上响应的投标。</w:t>
      </w:r>
    </w:p>
    <w:p w14:paraId="7675ED4C">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决定投标的响应性只根据</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要求、</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内容及财政主管部门指定媒体发布的相关信息。</w:t>
      </w:r>
    </w:p>
    <w:p w14:paraId="04B33687">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6.2如发现下列情况之一的，其投标将被认定为投标无效：</w:t>
      </w:r>
    </w:p>
    <w:p w14:paraId="48F1782F">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（一）投标保证金的缴纳主体与投标人不一致，没有按照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要求提供投标保证金，或者所提供的投标担保有瑕疵的；</w:t>
      </w:r>
    </w:p>
    <w:p w14:paraId="3A2A489D">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（二）</w:t>
      </w:r>
      <w:r>
        <w:rPr>
          <w:rFonts w:hint="eastAsia" w:ascii="宋体" w:hAnsi="宋体" w:eastAsia="宋体" w:cs="宋体"/>
          <w:color w:val="auto"/>
          <w:sz w:val="24"/>
          <w:szCs w:val="20"/>
          <w:highlight w:val="none"/>
        </w:rPr>
        <w:t>投标人的名称、组织机构与投标报名时不相符，涉嫌以他人名义投标的或投标人之间串通投标的；以行贿手段谋取</w:t>
      </w:r>
      <w:r>
        <w:rPr>
          <w:rFonts w:hint="eastAsia" w:hAnsi="宋体" w:eastAsia="宋体" w:cs="宋体"/>
          <w:color w:val="auto"/>
          <w:sz w:val="24"/>
          <w:szCs w:val="20"/>
          <w:highlight w:val="none"/>
          <w:lang w:eastAsia="zh-CN"/>
        </w:rPr>
        <w:t>成交</w:t>
      </w:r>
      <w:r>
        <w:rPr>
          <w:rFonts w:hint="eastAsia" w:ascii="宋体" w:hAnsi="宋体" w:eastAsia="宋体" w:cs="宋体"/>
          <w:color w:val="auto"/>
          <w:sz w:val="24"/>
          <w:szCs w:val="20"/>
          <w:highlight w:val="none"/>
        </w:rPr>
        <w:t>或者以其他弄虚作假方式投标的；</w:t>
      </w:r>
    </w:p>
    <w:p w14:paraId="22D21229">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（三）不</w:t>
      </w:r>
      <w:r>
        <w:rPr>
          <w:rFonts w:hint="eastAsia" w:ascii="宋体" w:hAnsi="宋体" w:eastAsia="宋体" w:cs="宋体"/>
          <w:color w:val="auto"/>
          <w:sz w:val="24"/>
          <w:szCs w:val="20"/>
          <w:highlight w:val="none"/>
        </w:rPr>
        <w:t>满足采购资格条件的；</w:t>
      </w:r>
    </w:p>
    <w:p w14:paraId="3A1210EB">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rPr>
        <w:t>（四）</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rPr>
        <w:t>没有按</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的；</w:t>
      </w:r>
    </w:p>
    <w:p w14:paraId="3B22AACF">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（五）投标报价高于设定的采购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p w14:paraId="5D5CF270">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（六）投标人对同一招标项目做出两个以上报价未明确效力的；</w:t>
      </w:r>
    </w:p>
    <w:p w14:paraId="04875A72">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（七）</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eastAsia="zh-CN"/>
        </w:rPr>
        <w:t>记载的合同履约期限限超过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规定的合同履约期限限的；</w:t>
      </w:r>
    </w:p>
    <w:p w14:paraId="6528C1B8">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八</w:t>
      </w: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rPr>
        <w:t>中所报</w:t>
      </w:r>
      <w:r>
        <w:rPr>
          <w:rFonts w:hint="eastAsia" w:ascii="宋体" w:hAnsi="宋体" w:eastAsia="宋体" w:cs="宋体"/>
          <w:color w:val="auto"/>
          <w:sz w:val="24"/>
          <w:szCs w:val="20"/>
          <w:highlight w:val="none"/>
          <w:lang w:val="en-US" w:eastAsia="zh-CN"/>
        </w:rPr>
        <w:t>服务内容</w:t>
      </w:r>
      <w:r>
        <w:rPr>
          <w:rFonts w:hint="eastAsia" w:ascii="宋体" w:hAnsi="宋体" w:eastAsia="宋体" w:cs="宋体"/>
          <w:color w:val="auto"/>
          <w:sz w:val="24"/>
          <w:szCs w:val="20"/>
          <w:highlight w:val="none"/>
          <w:lang w:val="en-US"/>
        </w:rPr>
        <w:t>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p w14:paraId="4F2C65BA">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九</w:t>
      </w:r>
      <w:r>
        <w:rPr>
          <w:rFonts w:hint="eastAsia" w:ascii="宋体" w:hAnsi="宋体" w:eastAsia="宋体" w:cs="宋体"/>
          <w:color w:val="auto"/>
          <w:sz w:val="24"/>
          <w:szCs w:val="20"/>
          <w:highlight w:val="none"/>
          <w:lang w:val="en-US"/>
        </w:rPr>
        <w:t>）</w:t>
      </w:r>
      <w:r>
        <w:rPr>
          <w:rFonts w:hint="eastAsia" w:hAnsi="宋体" w:eastAsia="宋体" w:cs="宋体"/>
          <w:color w:val="auto"/>
          <w:sz w:val="24"/>
          <w:szCs w:val="20"/>
          <w:highlight w:val="none"/>
          <w:lang w:val="en-US" w:eastAsia="zh-CN"/>
        </w:rPr>
        <w:t>响应文件</w:t>
      </w:r>
      <w:r>
        <w:rPr>
          <w:rFonts w:hint="eastAsia" w:ascii="宋体" w:hAnsi="宋体" w:eastAsia="宋体" w:cs="宋体"/>
          <w:color w:val="auto"/>
          <w:sz w:val="24"/>
          <w:szCs w:val="20"/>
          <w:highlight w:val="none"/>
          <w:lang w:val="en-US"/>
        </w:rPr>
        <w:t>有关键内容模糊不清，无法辨认的</w:t>
      </w:r>
      <w:r>
        <w:rPr>
          <w:rFonts w:hint="eastAsia" w:hAnsi="宋体" w:eastAsia="宋体" w:cs="宋体"/>
          <w:color w:val="auto"/>
          <w:sz w:val="24"/>
          <w:szCs w:val="20"/>
          <w:highlight w:val="none"/>
          <w:lang w:val="en-US" w:eastAsia="zh-CN"/>
        </w:rPr>
        <w:t>；</w:t>
      </w:r>
    </w:p>
    <w:p w14:paraId="0DA4E52E">
      <w:pPr>
        <w:pStyle w:val="12"/>
        <w:adjustRightInd w:val="0"/>
        <w:snapToGrid w:val="0"/>
        <w:spacing w:line="360" w:lineRule="auto"/>
        <w:ind w:firstLine="480" w:firstLineChars="200"/>
        <w:rPr>
          <w:rFonts w:hint="eastAsia" w:ascii="宋体" w:hAnsi="宋体" w:eastAsia="宋体" w:cs="宋体"/>
          <w:color w:val="auto"/>
          <w:sz w:val="24"/>
          <w:szCs w:val="20"/>
          <w:highlight w:val="none"/>
          <w:lang w:val="en-US"/>
        </w:rPr>
      </w:pPr>
      <w:r>
        <w:rPr>
          <w:rFonts w:hint="eastAsia" w:ascii="宋体" w:hAnsi="宋体" w:eastAsia="宋体" w:cs="宋体"/>
          <w:color w:val="auto"/>
          <w:sz w:val="24"/>
          <w:szCs w:val="20"/>
          <w:highlight w:val="none"/>
          <w:lang w:val="en-US"/>
        </w:rPr>
        <w:t>（十）不满足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p>
    <w:p w14:paraId="7F9B4814">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hAnsi="宋体" w:eastAsia="宋体" w:cs="宋体"/>
          <w:b/>
          <w:bCs/>
          <w:color w:val="auto"/>
          <w:sz w:val="24"/>
          <w:szCs w:val="20"/>
          <w:highlight w:val="none"/>
          <w:lang w:val="en-US" w:eastAsia="zh-CN"/>
        </w:rPr>
        <w:t>9</w:t>
      </w:r>
      <w:r>
        <w:rPr>
          <w:rFonts w:hint="eastAsia" w:ascii="宋体" w:hAnsi="宋体" w:eastAsia="宋体" w:cs="宋体"/>
          <w:b/>
          <w:bCs/>
          <w:color w:val="auto"/>
          <w:sz w:val="24"/>
          <w:szCs w:val="20"/>
          <w:highlight w:val="none"/>
        </w:rPr>
        <w:t>.比较与评价</w:t>
      </w:r>
    </w:p>
    <w:p w14:paraId="14E6F338">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7.1经符合性审查合格的</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将根据</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确定的评标方法和标准，对其技术部分和商务部分作进一步的比较和评价。</w:t>
      </w:r>
    </w:p>
    <w:p w14:paraId="2C24CFE3">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7.2评标严格按照</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的要求和条件进行。根据实际情况，在</w:t>
      </w:r>
      <w:r>
        <w:rPr>
          <w:rFonts w:hint="eastAsia" w:ascii="宋体" w:hAnsi="宋体" w:cs="宋体"/>
          <w:b/>
          <w:color w:val="auto"/>
          <w:sz w:val="24"/>
          <w:highlight w:val="none"/>
        </w:rPr>
        <w:t>投标须知前附表第</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2</w:t>
      </w:r>
      <w:r>
        <w:rPr>
          <w:rFonts w:hint="eastAsia" w:hAnsi="宋体" w:cs="宋体"/>
          <w:b/>
          <w:color w:val="auto"/>
          <w:sz w:val="24"/>
          <w:highlight w:val="none"/>
          <w:u w:val="single"/>
          <w:lang w:val="en-US" w:eastAsia="zh-CN"/>
        </w:rPr>
        <w:t>6</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条</w:t>
      </w:r>
      <w:r>
        <w:rPr>
          <w:rFonts w:hint="eastAsia" w:ascii="宋体" w:hAnsi="宋体" w:eastAsia="宋体" w:cs="宋体"/>
          <w:color w:val="auto"/>
          <w:sz w:val="24"/>
          <w:szCs w:val="20"/>
          <w:highlight w:val="none"/>
        </w:rPr>
        <w:t>中规定采用下列一种评标方法，详细评标标准见第四章 评标方法。</w:t>
      </w:r>
    </w:p>
    <w:p w14:paraId="4E1F0081">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（1）最低评标价法，是指</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满足</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全部实质性要求，且投标报价最低的投标人为</w:t>
      </w:r>
      <w:r>
        <w:rPr>
          <w:rFonts w:hint="eastAsia" w:hAnsi="宋体" w:eastAsia="宋体" w:cs="宋体"/>
          <w:color w:val="auto"/>
          <w:sz w:val="24"/>
          <w:szCs w:val="20"/>
          <w:highlight w:val="none"/>
          <w:lang w:eastAsia="zh-CN"/>
        </w:rPr>
        <w:t>成交</w:t>
      </w:r>
      <w:r>
        <w:rPr>
          <w:rFonts w:hint="eastAsia" w:ascii="宋体" w:hAnsi="宋体" w:eastAsia="宋体" w:cs="宋体"/>
          <w:color w:val="auto"/>
          <w:sz w:val="24"/>
          <w:szCs w:val="20"/>
          <w:highlight w:val="none"/>
        </w:rPr>
        <w:t>候选人的评标方法。</w:t>
      </w:r>
    </w:p>
    <w:p w14:paraId="09C8870A">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（2）综合评分法，是指</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满足</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全部实质性要求，且按照评审因素的量化指标评审得分最高的投标人为</w:t>
      </w:r>
      <w:r>
        <w:rPr>
          <w:rFonts w:hint="eastAsia" w:hAnsi="宋体" w:eastAsia="宋体" w:cs="宋体"/>
          <w:color w:val="auto"/>
          <w:sz w:val="24"/>
          <w:szCs w:val="20"/>
          <w:highlight w:val="none"/>
          <w:lang w:eastAsia="zh-CN"/>
        </w:rPr>
        <w:t>成交</w:t>
      </w:r>
      <w:r>
        <w:rPr>
          <w:rFonts w:hint="eastAsia" w:ascii="宋体" w:hAnsi="宋体" w:eastAsia="宋体" w:cs="宋体"/>
          <w:color w:val="auto"/>
          <w:sz w:val="24"/>
          <w:szCs w:val="20"/>
          <w:highlight w:val="none"/>
        </w:rPr>
        <w:t>候选人的评标方法。</w:t>
      </w:r>
    </w:p>
    <w:p w14:paraId="46D30941">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7.3根据《关于印发&lt;政府采购促进中小企业发展管理办法&gt;的通知》（财库[2020]46号）、《关于进一步加大政府采购支持中小企业力度的通知》（财库[2022]19号文）</w:t>
      </w:r>
      <w:r>
        <w:rPr>
          <w:rFonts w:hint="eastAsia" w:hAnsi="宋体" w:eastAsia="宋体" w:cs="宋体"/>
          <w:color w:val="auto"/>
          <w:sz w:val="24"/>
          <w:szCs w:val="20"/>
          <w:highlight w:val="none"/>
          <w:lang w:eastAsia="zh-CN"/>
        </w:rPr>
        <w:t>、《关于落实好政府采购支持中小企业发展的通知》（新财购〔2022〕22号）、</w:t>
      </w:r>
      <w:r>
        <w:rPr>
          <w:rFonts w:hint="eastAsia" w:ascii="宋体" w:hAnsi="宋体" w:eastAsia="宋体" w:cs="宋体"/>
          <w:color w:val="auto"/>
          <w:sz w:val="24"/>
          <w:szCs w:val="20"/>
          <w:highlight w:val="none"/>
        </w:rPr>
        <w:t>《关于促进残疾人就业政府采购政策的通知》（财库〔2017〕141号）《关于政府采购支持监狱企业发展有关问题的通知》（财库〔2014〕68号）和《关于调整优化节能产品、环境标志产品政府采购执行机制的通知》（财库[2019]9号）的规定，对于非专门面向中小企业的项目，对满足价格扣除条件且在</w:t>
      </w:r>
      <w:r>
        <w:rPr>
          <w:rFonts w:hint="eastAsia"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中提交了《投标人企业类型声明函》或省级以上监狱管理局、戒毒管理局（含新疆生产建设兵团）出具的属于监狱企业的证明文件的投标人，其投标报价扣除</w:t>
      </w:r>
      <w:r>
        <w:rPr>
          <w:rFonts w:hint="eastAsia" w:hAnsi="宋体" w:eastAsia="宋体" w:cs="宋体"/>
          <w:color w:val="auto"/>
          <w:sz w:val="24"/>
          <w:szCs w:val="20"/>
          <w:highlight w:val="none"/>
          <w:lang w:val="en-US" w:eastAsia="zh-CN"/>
        </w:rPr>
        <w:t>10-20</w:t>
      </w:r>
      <w:r>
        <w:rPr>
          <w:rFonts w:hint="eastAsia" w:ascii="宋体" w:hAnsi="宋体" w:eastAsia="宋体" w:cs="宋体"/>
          <w:color w:val="auto"/>
          <w:sz w:val="24"/>
          <w:szCs w:val="20"/>
          <w:highlight w:val="none"/>
        </w:rPr>
        <w:t>%后参与评审。具体详见第四章 评标方法。</w:t>
      </w:r>
    </w:p>
    <w:p w14:paraId="17590831">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.废标</w:t>
      </w:r>
    </w:p>
    <w:p w14:paraId="741BC15B">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hAnsi="宋体" w:eastAsia="宋体" w:cs="宋体"/>
          <w:color w:val="auto"/>
          <w:sz w:val="24"/>
          <w:szCs w:val="20"/>
          <w:highlight w:val="none"/>
        </w:rPr>
        <w:t>废标一般是指由于投标供应商所递交的所有</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，经</w:t>
      </w:r>
      <w:r>
        <w:rPr>
          <w:rFonts w:hint="eastAsia" w:hAnsi="宋体" w:eastAsia="宋体" w:cs="宋体"/>
          <w:color w:val="auto"/>
          <w:sz w:val="24"/>
          <w:szCs w:val="20"/>
          <w:highlight w:val="none"/>
          <w:lang w:eastAsia="zh-CN"/>
        </w:rPr>
        <w:t>评审委员会</w:t>
      </w:r>
      <w:r>
        <w:rPr>
          <w:rFonts w:hint="eastAsia" w:hAnsi="宋体" w:eastAsia="宋体" w:cs="宋体"/>
          <w:color w:val="auto"/>
          <w:sz w:val="24"/>
          <w:szCs w:val="20"/>
          <w:highlight w:val="none"/>
        </w:rPr>
        <w:t>审查，在合格</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的数量、投标报价、招标过程的公正性上不符合法律的规定，从而导致</w:t>
      </w:r>
      <w:r>
        <w:rPr>
          <w:rFonts w:hint="eastAsia" w:hAnsi="宋体" w:eastAsia="宋体" w:cs="宋体"/>
          <w:color w:val="auto"/>
          <w:sz w:val="24"/>
          <w:szCs w:val="20"/>
          <w:highlight w:val="none"/>
          <w:lang w:eastAsia="zh-CN"/>
        </w:rPr>
        <w:t>评审委员会</w:t>
      </w:r>
      <w:r>
        <w:rPr>
          <w:rFonts w:hint="eastAsia" w:hAnsi="宋体" w:eastAsia="宋体" w:cs="宋体"/>
          <w:color w:val="auto"/>
          <w:sz w:val="24"/>
          <w:szCs w:val="20"/>
          <w:highlight w:val="none"/>
        </w:rPr>
        <w:t>拒绝接受的所有</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。废标对所有投标供应商的投标行为都直接产生影响，标志着该采购项目立即终止，需要重新招标或改用其他采购方式。</w:t>
      </w:r>
    </w:p>
    <w:p w14:paraId="1A47F293">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出现下列情形之一，将导致项目废标：</w:t>
      </w:r>
    </w:p>
    <w:p w14:paraId="46905A0D">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（1）符合专业条件的投标人或者对</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做实质性响应的投标人不足3家；</w:t>
      </w:r>
    </w:p>
    <w:p w14:paraId="1FCB00BD">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（2）出现影响采购公正的违法、违规行为的；</w:t>
      </w:r>
    </w:p>
    <w:p w14:paraId="2DA9FBA8">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（3）投标人的报价均超过了采购预算或最高限价，采购人不能支付的；</w:t>
      </w:r>
    </w:p>
    <w:p w14:paraId="15D56692">
      <w:pPr>
        <w:pStyle w:val="12"/>
        <w:adjustRightInd w:val="0"/>
        <w:snapToGrid w:val="0"/>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（4）因重大变故，采购任务取消的。</w:t>
      </w:r>
    </w:p>
    <w:p w14:paraId="6A182069">
      <w:pPr>
        <w:pStyle w:val="12"/>
        <w:adjustRightInd w:val="0"/>
        <w:snapToGrid w:val="0"/>
        <w:spacing w:line="360" w:lineRule="auto"/>
        <w:ind w:left="723" w:hanging="720" w:hangingChars="300"/>
        <w:rPr>
          <w:rFonts w:hint="eastAsia" w:hAnsi="宋体" w:eastAsia="宋体" w:cs="宋体"/>
          <w:b/>
          <w:color w:val="auto"/>
          <w:sz w:val="24"/>
          <w:szCs w:val="24"/>
          <w:highlight w:val="none"/>
          <w:lang w:val="en-US" w:eastAsia="zh-CN"/>
        </w:rPr>
      </w:pPr>
    </w:p>
    <w:p w14:paraId="64B129F8">
      <w:pPr>
        <w:pStyle w:val="12"/>
        <w:adjustRightInd w:val="0"/>
        <w:snapToGrid w:val="0"/>
        <w:spacing w:line="360" w:lineRule="auto"/>
        <w:ind w:left="723" w:hanging="720" w:hangingChars="300"/>
        <w:rPr>
          <w:rFonts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11</w:t>
      </w:r>
      <w:r>
        <w:rPr>
          <w:rFonts w:hint="eastAsia" w:hAnsi="宋体" w:eastAsia="宋体" w:cs="宋体"/>
          <w:b/>
          <w:color w:val="auto"/>
          <w:sz w:val="24"/>
          <w:szCs w:val="24"/>
          <w:highlight w:val="none"/>
        </w:rPr>
        <w:t>.招标终止</w:t>
      </w:r>
    </w:p>
    <w:p w14:paraId="6710B5B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b/>
          <w:color w:val="auto"/>
          <w:sz w:val="24"/>
          <w:highlight w:val="none"/>
        </w:rPr>
        <w:t>出现下列情形之一的，采购人或者采购代理机构应当终止招标采购活动，在指定的媒体上发布项目终止公告并说明原因，重新开展采购活动：</w:t>
      </w:r>
      <w:r>
        <w:rPr>
          <w:rFonts w:hint="eastAsia" w:ascii="宋体" w:hAnsi="宋体" w:cs="宋体"/>
          <w:color w:val="auto"/>
          <w:sz w:val="24"/>
          <w:highlight w:val="none"/>
        </w:rPr>
        <w:t xml:space="preserve"> </w:t>
      </w:r>
    </w:p>
    <w:p w14:paraId="76D3EB77">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（1）因情况变化，不再符合规定的招标采购方式适用情形的；</w:t>
      </w:r>
    </w:p>
    <w:p w14:paraId="2735F19E">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（2）出现影响采购公正的违法、违规行为的；</w:t>
      </w:r>
    </w:p>
    <w:p w14:paraId="1E7F9F74">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（3）已确定</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供应商但尚未签订政府采购合同的，</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结果无效，从合格的</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候选供应商中另行确定</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供应商；</w:t>
      </w:r>
    </w:p>
    <w:p w14:paraId="1032AF2C">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（4）政府采购合同已签订但尚未履行的，撤销合同，从合格的</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候选供应商中另行确定</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供应商；</w:t>
      </w:r>
    </w:p>
    <w:p w14:paraId="6CB69091">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（5）因重大变故，采购任务取消的。</w:t>
      </w:r>
    </w:p>
    <w:p w14:paraId="2F4D0693">
      <w:pPr>
        <w:pStyle w:val="12"/>
        <w:adjustRightInd w:val="0"/>
        <w:snapToGrid w:val="0"/>
        <w:spacing w:line="360" w:lineRule="auto"/>
        <w:ind w:left="632" w:hanging="630" w:hangingChars="300"/>
        <w:rPr>
          <w:rFonts w:hAnsi="宋体" w:eastAsia="宋体" w:cs="宋体"/>
          <w:b/>
          <w:color w:val="auto"/>
          <w:sz w:val="24"/>
          <w:szCs w:val="24"/>
          <w:highlight w:val="none"/>
        </w:rPr>
      </w:pPr>
      <w:r>
        <w:rPr>
          <w:rFonts w:hint="eastAsia" w:hAnsi="宋体" w:eastAsia="宋体" w:cs="宋体"/>
          <w:b/>
          <w:color w:val="auto"/>
          <w:highlight w:val="none"/>
          <w:lang w:val="en-US" w:eastAsia="zh-CN"/>
        </w:rPr>
        <w:t>12</w:t>
      </w:r>
      <w:r>
        <w:rPr>
          <w:rFonts w:hint="eastAsia" w:hAnsi="宋体" w:eastAsia="宋体" w:cs="宋体"/>
          <w:b/>
          <w:color w:val="auto"/>
          <w:highlight w:val="none"/>
        </w:rPr>
        <w:t>．</w:t>
      </w:r>
      <w:r>
        <w:rPr>
          <w:rFonts w:hint="eastAsia" w:hAnsi="宋体" w:eastAsia="宋体" w:cs="宋体"/>
          <w:b/>
          <w:color w:val="auto"/>
          <w:sz w:val="24"/>
          <w:szCs w:val="24"/>
          <w:highlight w:val="none"/>
        </w:rPr>
        <w:t>重新评审</w:t>
      </w:r>
    </w:p>
    <w:p w14:paraId="26CB570A">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除资格性审查认定错误和价格计算错误外，采购人或者采购代理机构不能以任何理由组织重新评审。采购人、采购代理机构发现</w:t>
      </w:r>
      <w:r>
        <w:rPr>
          <w:rFonts w:hint="eastAsia" w:hAnsi="宋体" w:eastAsia="宋体" w:cs="宋体"/>
          <w:color w:val="auto"/>
          <w:sz w:val="24"/>
          <w:szCs w:val="20"/>
          <w:highlight w:val="none"/>
          <w:lang w:eastAsia="zh-CN"/>
        </w:rPr>
        <w:t>评审委员会</w:t>
      </w:r>
      <w:r>
        <w:rPr>
          <w:rFonts w:hint="eastAsia" w:hAnsi="宋体" w:eastAsia="宋体" w:cs="宋体"/>
          <w:color w:val="auto"/>
          <w:sz w:val="24"/>
          <w:szCs w:val="20"/>
          <w:highlight w:val="none"/>
        </w:rPr>
        <w:t>未按照采购文件规定的评标标准进行评审的，应当重新开展采购活动，并同时书面报告本级财政部门。</w:t>
      </w:r>
    </w:p>
    <w:p w14:paraId="4344FAA7">
      <w:pPr>
        <w:pStyle w:val="12"/>
        <w:adjustRightInd w:val="0"/>
        <w:snapToGrid w:val="0"/>
        <w:spacing w:line="360" w:lineRule="auto"/>
        <w:ind w:left="723" w:hanging="720" w:hangingChars="300"/>
        <w:rPr>
          <w:rFonts w:hAnsi="宋体" w:eastAsia="宋体" w:cs="宋体"/>
          <w:b/>
          <w:color w:val="auto"/>
          <w:sz w:val="24"/>
          <w:szCs w:val="24"/>
          <w:highlight w:val="none"/>
        </w:rPr>
      </w:pPr>
      <w:r>
        <w:rPr>
          <w:rFonts w:hint="eastAsia" w:hAnsi="宋体" w:eastAsia="宋体" w:cs="宋体"/>
          <w:b/>
          <w:color w:val="auto"/>
          <w:sz w:val="24"/>
          <w:szCs w:val="24"/>
          <w:highlight w:val="none"/>
          <w:lang w:val="en-US" w:eastAsia="zh-CN"/>
        </w:rPr>
        <w:t>13</w:t>
      </w:r>
      <w:r>
        <w:rPr>
          <w:rFonts w:hint="eastAsia" w:hAnsi="宋体" w:eastAsia="宋体" w:cs="宋体"/>
          <w:b/>
          <w:color w:val="auto"/>
          <w:sz w:val="24"/>
          <w:szCs w:val="24"/>
          <w:highlight w:val="none"/>
        </w:rPr>
        <w:t>. 纪律与保密事项</w:t>
      </w:r>
    </w:p>
    <w:p w14:paraId="3189E3A3">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lang w:val="en-US" w:eastAsia="zh-CN"/>
        </w:rPr>
        <w:t>11</w:t>
      </w:r>
      <w:r>
        <w:rPr>
          <w:rFonts w:hint="eastAsia" w:hAnsi="宋体" w:eastAsia="宋体" w:cs="宋体"/>
          <w:color w:val="auto"/>
          <w:sz w:val="24"/>
          <w:szCs w:val="20"/>
          <w:highlight w:val="none"/>
        </w:rPr>
        <w:t>.1</w:t>
      </w:r>
      <w:r>
        <w:rPr>
          <w:rFonts w:hint="eastAsia" w:hAnsi="宋体" w:eastAsia="宋体" w:cs="宋体"/>
          <w:color w:val="auto"/>
          <w:sz w:val="24"/>
          <w:szCs w:val="20"/>
          <w:highlight w:val="none"/>
          <w:lang w:eastAsia="zh-CN"/>
        </w:rPr>
        <w:t>评审委员会</w:t>
      </w:r>
      <w:r>
        <w:rPr>
          <w:rFonts w:hint="eastAsia" w:hAnsi="宋体" w:eastAsia="宋体" w:cs="宋体"/>
          <w:color w:val="auto"/>
          <w:sz w:val="24"/>
          <w:szCs w:val="20"/>
          <w:highlight w:val="none"/>
        </w:rPr>
        <w:t>成员以及与评标工作有关的人员不得泄露评审情况以及评标过程中获悉的国家秘密、商业秘密。</w:t>
      </w:r>
    </w:p>
    <w:p w14:paraId="419182E1">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lang w:val="en-US" w:eastAsia="zh-CN"/>
        </w:rPr>
        <w:t>11</w:t>
      </w:r>
      <w:r>
        <w:rPr>
          <w:rFonts w:hint="eastAsia" w:hAnsi="宋体" w:eastAsia="宋体" w:cs="宋体"/>
          <w:color w:val="auto"/>
          <w:sz w:val="24"/>
          <w:szCs w:val="20"/>
          <w:highlight w:val="none"/>
        </w:rPr>
        <w:t>.2投标供应商不得与采购人、采购代理机构、其他投标供应商恶意串通；不得向采购人、采购代理机构或者</w:t>
      </w:r>
      <w:r>
        <w:rPr>
          <w:rFonts w:hint="eastAsia" w:hAnsi="宋体" w:eastAsia="宋体" w:cs="宋体"/>
          <w:color w:val="auto"/>
          <w:sz w:val="24"/>
          <w:szCs w:val="20"/>
          <w:highlight w:val="none"/>
          <w:lang w:eastAsia="zh-CN"/>
        </w:rPr>
        <w:t>评审委员会</w:t>
      </w:r>
      <w:r>
        <w:rPr>
          <w:rFonts w:hint="eastAsia" w:hAnsi="宋体" w:eastAsia="宋体" w:cs="宋体"/>
          <w:color w:val="auto"/>
          <w:sz w:val="24"/>
          <w:szCs w:val="20"/>
          <w:highlight w:val="none"/>
        </w:rPr>
        <w:t>成员行贿或者提供其他不正当利益；不得提供虚假材料谋取</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；不得以任何方式干扰、影响采购工作。</w:t>
      </w:r>
    </w:p>
    <w:p w14:paraId="608FD2F6">
      <w:pPr>
        <w:pStyle w:val="18"/>
        <w:adjustRightInd w:val="0"/>
        <w:snapToGrid w:val="0"/>
        <w:spacing w:before="0" w:beforeAutospacing="0" w:after="0" w:afterAutospacing="0" w:line="360" w:lineRule="auto"/>
        <w:ind w:firstLine="480" w:firstLineChars="200"/>
        <w:rPr>
          <w:color w:val="auto"/>
          <w:kern w:val="2"/>
          <w:highlight w:val="none"/>
        </w:rPr>
      </w:pPr>
      <w:r>
        <w:rPr>
          <w:rFonts w:hint="eastAsia"/>
          <w:color w:val="auto"/>
          <w:kern w:val="2"/>
          <w:highlight w:val="none"/>
          <w:lang w:val="en-US" w:eastAsia="zh-CN"/>
        </w:rPr>
        <w:t>11</w:t>
      </w:r>
      <w:r>
        <w:rPr>
          <w:rFonts w:hint="eastAsia"/>
          <w:color w:val="auto"/>
          <w:kern w:val="2"/>
          <w:highlight w:val="none"/>
        </w:rPr>
        <w:t>.3</w:t>
      </w:r>
      <w:r>
        <w:rPr>
          <w:rFonts w:hint="eastAsia"/>
          <w:b/>
          <w:color w:val="auto"/>
          <w:kern w:val="2"/>
          <w:highlight w:val="none"/>
        </w:rPr>
        <w:t>有下列情形之一的，属于恶意串通，</w:t>
      </w:r>
      <w:r>
        <w:rPr>
          <w:rFonts w:hint="eastAsia"/>
          <w:b/>
          <w:color w:val="auto"/>
          <w:kern w:val="2"/>
          <w:highlight w:val="none"/>
          <w:lang w:eastAsia="zh-CN"/>
        </w:rPr>
        <w:t>成交</w:t>
      </w:r>
      <w:r>
        <w:rPr>
          <w:rFonts w:hint="eastAsia"/>
          <w:b/>
          <w:color w:val="auto"/>
          <w:kern w:val="2"/>
          <w:highlight w:val="none"/>
        </w:rPr>
        <w:t>无效，并依照《中华人民共和国政府采购法》第七十七条的规定追究法律责任：</w:t>
      </w:r>
    </w:p>
    <w:p w14:paraId="6ED02B81">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（1）投标供应商直接或者间接从采购人、采购代理机构获得其他投标供应商的投标情况，并修改其</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的；</w:t>
      </w:r>
    </w:p>
    <w:p w14:paraId="08EA79E7">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（2）采购人、采购代理机构授意投标供应商撤换、修改</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的；</w:t>
      </w:r>
    </w:p>
    <w:p w14:paraId="3BC2602B">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（3）投标供应商之间协商技术方案、合同条款以及报价等</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实质性内容的；</w:t>
      </w:r>
    </w:p>
    <w:p w14:paraId="0127598A">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（4）属于同一集团、协会、商会等组织成员的投标供应商按照该组织要求协同参加政府采购活动的；</w:t>
      </w:r>
    </w:p>
    <w:p w14:paraId="00188D17">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（5）投标供应商之间事先约定由某一特定投标供应商</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的；</w:t>
      </w:r>
    </w:p>
    <w:p w14:paraId="36D78839">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（6）投标供应商之间商定部分投标供应商放弃提交</w:t>
      </w:r>
      <w:r>
        <w:rPr>
          <w:rFonts w:hint="eastAsia" w:hAnsi="宋体" w:eastAsia="宋体" w:cs="宋体"/>
          <w:color w:val="auto"/>
          <w:sz w:val="24"/>
          <w:szCs w:val="20"/>
          <w:highlight w:val="none"/>
          <w:lang w:eastAsia="zh-CN"/>
        </w:rPr>
        <w:t>响应文件</w:t>
      </w:r>
      <w:r>
        <w:rPr>
          <w:rFonts w:hint="eastAsia" w:hAnsi="宋体" w:eastAsia="宋体" w:cs="宋体"/>
          <w:color w:val="auto"/>
          <w:sz w:val="24"/>
          <w:szCs w:val="20"/>
          <w:highlight w:val="none"/>
        </w:rPr>
        <w:t>或者退出招标或者放弃</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的；</w:t>
      </w:r>
    </w:p>
    <w:p w14:paraId="6760C0A4">
      <w:pPr>
        <w:pStyle w:val="12"/>
        <w:adjustRightInd w:val="0"/>
        <w:snapToGrid w:val="0"/>
        <w:spacing w:line="360" w:lineRule="auto"/>
        <w:ind w:firstLine="480" w:firstLineChars="200"/>
        <w:rPr>
          <w:rFonts w:hAnsi="宋体" w:eastAsia="宋体" w:cs="宋体"/>
          <w:color w:val="auto"/>
          <w:sz w:val="24"/>
          <w:szCs w:val="20"/>
          <w:highlight w:val="none"/>
        </w:rPr>
      </w:pPr>
      <w:r>
        <w:rPr>
          <w:rFonts w:hint="eastAsia" w:hAnsi="宋体" w:eastAsia="宋体" w:cs="宋体"/>
          <w:color w:val="auto"/>
          <w:sz w:val="24"/>
          <w:szCs w:val="20"/>
          <w:highlight w:val="none"/>
        </w:rPr>
        <w:t>（7）投标供应商与采购人、采购代理机构以及</w:t>
      </w:r>
      <w:r>
        <w:rPr>
          <w:rFonts w:hint="eastAsia" w:hAnsi="宋体" w:eastAsia="宋体" w:cs="宋体"/>
          <w:color w:val="auto"/>
          <w:sz w:val="24"/>
          <w:szCs w:val="20"/>
          <w:highlight w:val="none"/>
          <w:lang w:eastAsia="zh-CN"/>
        </w:rPr>
        <w:t>评审委员会</w:t>
      </w:r>
      <w:r>
        <w:rPr>
          <w:rFonts w:hint="eastAsia" w:hAnsi="宋体" w:eastAsia="宋体" w:cs="宋体"/>
          <w:color w:val="auto"/>
          <w:sz w:val="24"/>
          <w:szCs w:val="20"/>
          <w:highlight w:val="none"/>
        </w:rPr>
        <w:t>成员之间、投标供应商相互之间，为谋求特定投标供应商</w:t>
      </w:r>
      <w:r>
        <w:rPr>
          <w:rFonts w:hint="eastAsia" w:hAnsi="宋体" w:eastAsia="宋体" w:cs="宋体"/>
          <w:color w:val="auto"/>
          <w:sz w:val="24"/>
          <w:szCs w:val="20"/>
          <w:highlight w:val="none"/>
          <w:lang w:eastAsia="zh-CN"/>
        </w:rPr>
        <w:t>成交</w:t>
      </w:r>
      <w:r>
        <w:rPr>
          <w:rFonts w:hint="eastAsia" w:hAnsi="宋体" w:eastAsia="宋体" w:cs="宋体"/>
          <w:color w:val="auto"/>
          <w:sz w:val="24"/>
          <w:szCs w:val="20"/>
          <w:highlight w:val="none"/>
        </w:rPr>
        <w:t>或者排斥其他投标供应商的其他串通行为的。</w:t>
      </w:r>
    </w:p>
    <w:p w14:paraId="559FFA3E">
      <w:pPr>
        <w:pStyle w:val="12"/>
        <w:adjustRightInd w:val="0"/>
        <w:snapToGrid w:val="0"/>
        <w:spacing w:line="360" w:lineRule="auto"/>
        <w:rPr>
          <w:rFonts w:hint="eastAsia" w:ascii="宋体" w:hAnsi="宋体" w:eastAsia="宋体" w:cs="宋体"/>
          <w:b/>
          <w:bCs/>
          <w:color w:val="auto"/>
          <w:sz w:val="24"/>
          <w:szCs w:val="20"/>
          <w:highlight w:val="none"/>
          <w:lang w:val="en-US" w:eastAsia="zh-CN"/>
        </w:rPr>
      </w:pPr>
      <w:r>
        <w:rPr>
          <w:rFonts w:hint="eastAsia" w:hAnsi="宋体" w:eastAsia="宋体" w:cs="宋体"/>
          <w:color w:val="auto"/>
          <w:sz w:val="24"/>
          <w:szCs w:val="20"/>
          <w:highlight w:val="none"/>
        </w:rPr>
        <w:t>（8）法律、行政法规或规章规定的其他串通行为。</w:t>
      </w:r>
    </w:p>
    <w:p w14:paraId="4E6B391B">
      <w:pPr>
        <w:pStyle w:val="12"/>
        <w:adjustRightInd w:val="0"/>
        <w:snapToGrid w:val="0"/>
        <w:spacing w:line="360" w:lineRule="auto"/>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1</w:t>
      </w:r>
      <w:r>
        <w:rPr>
          <w:rFonts w:hint="eastAsia" w:hAnsi="宋体" w:eastAsia="宋体" w:cs="宋体"/>
          <w:b/>
          <w:bCs/>
          <w:color w:val="auto"/>
          <w:sz w:val="24"/>
          <w:szCs w:val="20"/>
          <w:highlight w:val="none"/>
          <w:lang w:val="en-US" w:eastAsia="zh-CN"/>
        </w:rPr>
        <w:t>4</w:t>
      </w:r>
      <w:r>
        <w:rPr>
          <w:rFonts w:hint="eastAsia" w:ascii="宋体" w:hAnsi="宋体" w:eastAsia="宋体" w:cs="宋体"/>
          <w:b/>
          <w:bCs/>
          <w:color w:val="auto"/>
          <w:sz w:val="24"/>
          <w:szCs w:val="20"/>
          <w:highlight w:val="none"/>
        </w:rPr>
        <w:t>.</w:t>
      </w:r>
      <w:r>
        <w:rPr>
          <w:rFonts w:hint="eastAsia" w:hAnsi="宋体" w:eastAsia="宋体" w:cs="宋体"/>
          <w:b/>
          <w:bCs/>
          <w:color w:val="auto"/>
          <w:sz w:val="24"/>
          <w:szCs w:val="20"/>
          <w:highlight w:val="none"/>
          <w:lang w:eastAsia="zh-CN"/>
        </w:rPr>
        <w:t>成交</w:t>
      </w:r>
      <w:r>
        <w:rPr>
          <w:rFonts w:hint="eastAsia" w:ascii="宋体" w:hAnsi="宋体" w:eastAsia="宋体" w:cs="宋体"/>
          <w:b/>
          <w:bCs/>
          <w:color w:val="auto"/>
          <w:sz w:val="24"/>
          <w:szCs w:val="20"/>
          <w:highlight w:val="none"/>
        </w:rPr>
        <w:t>候选人的推荐原则及标准</w:t>
      </w:r>
    </w:p>
    <w:p w14:paraId="1278E238">
      <w:pPr>
        <w:pStyle w:val="1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lang w:val="en-US" w:eastAsia="zh-CN"/>
        </w:rPr>
        <w:t>12</w:t>
      </w:r>
      <w:r>
        <w:rPr>
          <w:rFonts w:hint="eastAsia" w:ascii="宋体" w:hAnsi="宋体" w:eastAsia="宋体" w:cs="宋体"/>
          <w:color w:val="auto"/>
          <w:sz w:val="24"/>
          <w:szCs w:val="20"/>
          <w:highlight w:val="none"/>
        </w:rPr>
        <w:t>.1</w:t>
      </w:r>
      <w:r>
        <w:rPr>
          <w:rFonts w:hint="eastAsia" w:hAnsi="宋体" w:eastAsia="宋体" w:cs="宋体"/>
          <w:color w:val="auto"/>
          <w:sz w:val="24"/>
          <w:szCs w:val="20"/>
          <w:highlight w:val="none"/>
          <w:lang w:eastAsia="zh-CN"/>
        </w:rPr>
        <w:t>评审委员会</w:t>
      </w:r>
      <w:r>
        <w:rPr>
          <w:rFonts w:hint="eastAsia" w:ascii="宋体" w:hAnsi="宋体" w:eastAsia="宋体" w:cs="宋体"/>
          <w:color w:val="auto"/>
          <w:sz w:val="24"/>
          <w:szCs w:val="20"/>
          <w:highlight w:val="none"/>
        </w:rPr>
        <w:t>将根据评标标准，对实质上响应</w:t>
      </w:r>
      <w:r>
        <w:rPr>
          <w:rFonts w:hint="eastAsia" w:hAnsi="宋体" w:eastAsia="宋体" w:cs="宋体"/>
          <w:color w:val="auto"/>
          <w:sz w:val="24"/>
          <w:szCs w:val="20"/>
          <w:highlight w:val="none"/>
          <w:lang w:eastAsia="zh-CN"/>
        </w:rPr>
        <w:t>采购文件</w:t>
      </w:r>
      <w:r>
        <w:rPr>
          <w:rFonts w:hint="eastAsia" w:ascii="宋体" w:hAnsi="宋体" w:eastAsia="宋体" w:cs="宋体"/>
          <w:color w:val="auto"/>
          <w:sz w:val="24"/>
          <w:szCs w:val="20"/>
          <w:highlight w:val="none"/>
        </w:rPr>
        <w:t>的投标人按下列方法进行排序，推荐</w:t>
      </w:r>
      <w:r>
        <w:rPr>
          <w:rFonts w:hint="eastAsia"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w:t>
      </w:r>
    </w:p>
    <w:p w14:paraId="354F867A">
      <w:pPr>
        <w:pStyle w:val="1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52093BAC">
      <w:pPr>
        <w:pStyle w:val="1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（2）采用综合评分法的，评标结果按评审后得分由高到低顺序排序。得分相同的，按第四章评标办法规定执行。</w:t>
      </w:r>
    </w:p>
    <w:p w14:paraId="59A50DE3">
      <w:pPr>
        <w:pStyle w:val="12"/>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w:t>
      </w:r>
      <w:r>
        <w:rPr>
          <w:rFonts w:hint="eastAsia"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将根据评标标准，按</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2</w:t>
      </w:r>
      <w:r>
        <w:rPr>
          <w:rFonts w:hint="eastAsia" w:hAnsi="宋体" w:cs="宋体"/>
          <w:b/>
          <w:color w:val="auto"/>
          <w:sz w:val="24"/>
          <w:szCs w:val="24"/>
          <w:highlight w:val="none"/>
          <w:u w:val="single"/>
          <w:lang w:val="en-US" w:eastAsia="zh-CN"/>
        </w:rPr>
        <w:t>9</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中规定的数量推荐</w:t>
      </w:r>
      <w:r>
        <w:rPr>
          <w:rFonts w:hint="eastAsia"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w:t>
      </w:r>
      <w:r>
        <w:rPr>
          <w:rFonts w:hint="eastAsia" w:hAnsi="宋体" w:eastAsia="宋体" w:cs="宋体"/>
          <w:color w:val="auto"/>
          <w:sz w:val="24"/>
          <w:szCs w:val="24"/>
          <w:highlight w:val="none"/>
        </w:rPr>
        <w:t>。</w:t>
      </w:r>
    </w:p>
    <w:p w14:paraId="57DB5BE3">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.3因推荐</w:t>
      </w:r>
      <w:r>
        <w:rPr>
          <w:rFonts w:hint="eastAsia"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候选人名单产生其他问题，由</w:t>
      </w:r>
      <w:r>
        <w:rPr>
          <w:rFonts w:hint="eastAsia"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集体研究处理。</w:t>
      </w:r>
    </w:p>
    <w:p w14:paraId="4A5C52FE">
      <w:pPr>
        <w:pStyle w:val="12"/>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eastAsia="宋体" w:cs="宋体"/>
          <w:color w:val="auto"/>
          <w:sz w:val="24"/>
          <w:szCs w:val="20"/>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hAnsi="宋体" w:eastAsia="宋体" w:cs="宋体"/>
          <w:color w:val="auto"/>
          <w:sz w:val="24"/>
          <w:szCs w:val="24"/>
          <w:highlight w:val="none"/>
        </w:rPr>
        <w:t>4</w:t>
      </w:r>
      <w:r>
        <w:rPr>
          <w:rFonts w:hint="eastAsia" w:hAnsi="宋体" w:eastAsia="宋体" w:cs="宋体"/>
          <w:color w:val="auto"/>
          <w:sz w:val="24"/>
          <w:szCs w:val="24"/>
          <w:highlight w:val="none"/>
          <w:lang w:eastAsia="zh-CN"/>
        </w:rPr>
        <w:t>成交</w:t>
      </w:r>
      <w:r>
        <w:rPr>
          <w:rFonts w:hint="eastAsia" w:hAnsi="宋体" w:eastAsia="宋体" w:cs="宋体"/>
          <w:color w:val="auto"/>
          <w:sz w:val="24"/>
          <w:szCs w:val="24"/>
          <w:highlight w:val="none"/>
        </w:rPr>
        <w:t>候选供应商公示期间内，投标供应商和其他利害关系人如对</w:t>
      </w:r>
      <w:r>
        <w:rPr>
          <w:rFonts w:hint="eastAsia" w:hAnsi="宋体" w:eastAsia="宋体" w:cs="宋体"/>
          <w:color w:val="auto"/>
          <w:sz w:val="24"/>
          <w:szCs w:val="24"/>
          <w:highlight w:val="none"/>
          <w:lang w:eastAsia="zh-CN"/>
        </w:rPr>
        <w:t>成交</w:t>
      </w:r>
      <w:r>
        <w:rPr>
          <w:rFonts w:hint="eastAsia" w:hAnsi="宋体" w:eastAsia="宋体" w:cs="宋体"/>
          <w:color w:val="auto"/>
          <w:sz w:val="24"/>
          <w:szCs w:val="24"/>
          <w:highlight w:val="none"/>
        </w:rPr>
        <w:t>候选供应商或评标有异议，可以向采购人或采购代理机构提出。</w:t>
      </w:r>
    </w:p>
    <w:bookmarkEnd w:id="10"/>
    <w:p w14:paraId="428D8632">
      <w:pPr>
        <w:pStyle w:val="12"/>
        <w:adjustRightInd w:val="0"/>
        <w:snapToGrid w:val="0"/>
        <w:spacing w:line="360" w:lineRule="auto"/>
        <w:rPr>
          <w:rFonts w:hAnsi="宋体" w:eastAsia="宋体" w:cs="宋体"/>
          <w:color w:val="auto"/>
          <w:sz w:val="24"/>
          <w:szCs w:val="20"/>
          <w:highlight w:val="none"/>
        </w:rPr>
      </w:pPr>
    </w:p>
    <w:p w14:paraId="3D619C16">
      <w:pPr>
        <w:numPr>
          <w:ilvl w:val="0"/>
          <w:numId w:val="0"/>
        </w:numPr>
        <w:jc w:val="center"/>
        <w:rPr>
          <w:rFonts w:hint="eastAsia" w:ascii="宋体" w:hAnsi="宋体" w:eastAsia="宋体" w:cs="宋体"/>
          <w:b/>
          <w:color w:val="auto"/>
          <w:sz w:val="28"/>
          <w:szCs w:val="28"/>
          <w:highlight w:val="none"/>
        </w:rPr>
      </w:pPr>
      <w:bookmarkStart w:id="11" w:name="_Toc477194748"/>
      <w:bookmarkStart w:id="12" w:name="_Toc22711"/>
      <w:bookmarkStart w:id="13" w:name="_Toc430715133"/>
      <w:bookmarkStart w:id="14" w:name="_Toc420948016"/>
      <w:r>
        <w:rPr>
          <w:rFonts w:hint="eastAsia" w:ascii="宋体" w:hAnsi="宋体" w:eastAsia="宋体" w:cs="宋体"/>
          <w:b/>
          <w:color w:val="auto"/>
          <w:sz w:val="28"/>
          <w:szCs w:val="28"/>
          <w:highlight w:val="none"/>
          <w:lang w:val="en-US" w:eastAsia="zh-CN"/>
        </w:rPr>
        <w:t>六、成交</w:t>
      </w:r>
      <w:r>
        <w:rPr>
          <w:rFonts w:hint="eastAsia" w:ascii="宋体" w:hAnsi="宋体" w:eastAsia="宋体" w:cs="宋体"/>
          <w:b/>
          <w:color w:val="auto"/>
          <w:sz w:val="28"/>
          <w:szCs w:val="28"/>
          <w:highlight w:val="none"/>
        </w:rPr>
        <w:t>结果信息公布与授予合同</w:t>
      </w:r>
    </w:p>
    <w:p w14:paraId="2E6809A9">
      <w:pPr>
        <w:pStyle w:val="9"/>
        <w:rPr>
          <w:color w:val="auto"/>
          <w:sz w:val="24"/>
          <w:szCs w:val="24"/>
          <w:highlight w:val="none"/>
        </w:rPr>
      </w:pPr>
    </w:p>
    <w:p w14:paraId="64D9363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.确定</w:t>
      </w:r>
      <w:r>
        <w:rPr>
          <w:rFonts w:hint="eastAsia" w:ascii="宋体" w:hAnsi="宋体" w:eastAsia="宋体" w:cs="宋体"/>
          <w:b/>
          <w:bCs/>
          <w:color w:val="auto"/>
          <w:sz w:val="24"/>
          <w:szCs w:val="24"/>
          <w:highlight w:val="none"/>
          <w:lang w:val="en-US" w:eastAsia="zh-CN"/>
        </w:rPr>
        <w:t>成交</w:t>
      </w:r>
      <w:r>
        <w:rPr>
          <w:rFonts w:hint="eastAsia" w:ascii="宋体" w:hAnsi="宋体" w:eastAsia="宋体" w:cs="宋体"/>
          <w:b/>
          <w:bCs/>
          <w:color w:val="auto"/>
          <w:sz w:val="24"/>
          <w:szCs w:val="24"/>
          <w:highlight w:val="none"/>
        </w:rPr>
        <w:t>人</w:t>
      </w:r>
    </w:p>
    <w:p w14:paraId="22B13E3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由采购人或者采购人委托</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按照</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30</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中规定的方式确定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p>
    <w:p w14:paraId="66D413A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若为</w:t>
      </w:r>
      <w:r>
        <w:rPr>
          <w:rFonts w:hint="eastAsia" w:ascii="宋体" w:hAnsi="宋体" w:eastAsia="宋体" w:cs="宋体"/>
          <w:color w:val="auto"/>
          <w:sz w:val="24"/>
          <w:szCs w:val="24"/>
          <w:highlight w:val="none"/>
        </w:rPr>
        <w:t>采购人确定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采购人在收到</w:t>
      </w:r>
      <w:r>
        <w:rPr>
          <w:rFonts w:hint="eastAsia" w:ascii="宋体" w:hAnsi="宋体" w:eastAsia="宋体" w:cs="宋体"/>
          <w:color w:val="auto"/>
          <w:sz w:val="24"/>
          <w:szCs w:val="24"/>
          <w:highlight w:val="none"/>
          <w:lang w:eastAsia="zh-CN"/>
        </w:rPr>
        <w:t>评审报告</w:t>
      </w:r>
      <w:r>
        <w:rPr>
          <w:rFonts w:hint="eastAsia" w:ascii="宋体" w:hAnsi="宋体" w:eastAsia="宋体" w:cs="宋体"/>
          <w:color w:val="auto"/>
          <w:sz w:val="24"/>
          <w:szCs w:val="24"/>
          <w:highlight w:val="none"/>
        </w:rPr>
        <w:t>5个工作日内未按评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报告推荐的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候选人顺序确定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人，又不能说明合法理由的，视同按评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报告推荐的顺序确定排名第一的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p>
    <w:p w14:paraId="19EEC04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.采购任务取消</w:t>
      </w:r>
    </w:p>
    <w:p w14:paraId="2FD3B7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因重大变故采购任务取消时，采购人有权拒绝任何供应商</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，且对受影响的投标人不承担任何责任。</w:t>
      </w:r>
    </w:p>
    <w:p w14:paraId="4DACA985">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w:t>
      </w:r>
    </w:p>
    <w:p w14:paraId="5DA95B0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3.1采购人或者采购代理机构应当自</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人确定之日起2个工作日内，在</w:t>
      </w:r>
      <w:r>
        <w:rPr>
          <w:rFonts w:hint="eastAsia" w:ascii="宋体" w:hAnsi="宋体" w:eastAsia="宋体" w:cs="宋体"/>
          <w:color w:val="auto"/>
          <w:sz w:val="24"/>
          <w:szCs w:val="24"/>
          <w:highlight w:val="none"/>
          <w:lang w:val="en-US" w:eastAsia="zh-CN"/>
        </w:rPr>
        <w:t>原</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lang w:val="en-US" w:eastAsia="zh-CN"/>
        </w:rPr>
        <w:t>网站公示成交</w:t>
      </w:r>
      <w:r>
        <w:rPr>
          <w:rFonts w:hint="eastAsia" w:ascii="宋体" w:hAnsi="宋体" w:eastAsia="宋体" w:cs="宋体"/>
          <w:color w:val="auto"/>
          <w:sz w:val="24"/>
          <w:szCs w:val="24"/>
          <w:highlight w:val="none"/>
        </w:rPr>
        <w:t>结果。同时向</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人发出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07D5055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通知书是合同的组成部分。</w:t>
      </w:r>
    </w:p>
    <w:p w14:paraId="0DA4F1E9">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4.签订合同</w:t>
      </w:r>
    </w:p>
    <w:p w14:paraId="24E9C2A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人应当自发出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通知书之日起 30 日内，与采购人签订书面合同。</w:t>
      </w:r>
    </w:p>
    <w:p w14:paraId="39776A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及其澄清文件等，均为签订合同的依据。所签订的合同不得对</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作实质性修改。采购人不得向</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人提出任何不合理的要求，作为签订合同的条件。</w:t>
      </w:r>
    </w:p>
    <w:p w14:paraId="27DDA68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 </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人拒绝与采购人签订合同的，采购人可以按照</w:t>
      </w:r>
      <w:r>
        <w:rPr>
          <w:rFonts w:hint="eastAsia" w:ascii="宋体" w:hAnsi="宋体" w:eastAsia="宋体" w:cs="宋体"/>
          <w:color w:val="auto"/>
          <w:sz w:val="24"/>
          <w:szCs w:val="24"/>
          <w:highlight w:val="none"/>
          <w:lang w:eastAsia="zh-CN"/>
        </w:rPr>
        <w:t>评审报告</w:t>
      </w:r>
      <w:r>
        <w:rPr>
          <w:rFonts w:hint="eastAsia" w:ascii="宋体" w:hAnsi="宋体" w:eastAsia="宋体" w:cs="宋体"/>
          <w:color w:val="auto"/>
          <w:sz w:val="24"/>
          <w:szCs w:val="24"/>
          <w:highlight w:val="none"/>
        </w:rPr>
        <w:t>推荐的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候选人名单排序，确定下一</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人，也可以重新开展政府采购活动。</w:t>
      </w:r>
    </w:p>
    <w:p w14:paraId="6BB79DF7">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5.履约保证金</w:t>
      </w:r>
    </w:p>
    <w:p w14:paraId="097DBE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人应按照</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35</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规定向采购人缴纳履约保证金。</w:t>
      </w:r>
    </w:p>
    <w:p w14:paraId="3C9EBC2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5.2如果</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人没有按照上述履约保证金的规定执行，将视为拒绝签订合同并放弃</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人的投标保证金将不予退还。在此情况下，采购人可确定下一</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人，也可以重新开展采购活动。</w:t>
      </w:r>
    </w:p>
    <w:p w14:paraId="086D6168">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6.采购代理服务费</w:t>
      </w:r>
    </w:p>
    <w:p w14:paraId="5429022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人须按</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38</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规定，向采购代理机构支付采购代理服务费。</w:t>
      </w:r>
    </w:p>
    <w:p w14:paraId="51BC5B1D">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7.廉洁自律规定</w:t>
      </w:r>
    </w:p>
    <w:p w14:paraId="2D1C943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7.1采购代理机构工作人员不得以不正当手段获取政府采购代理业务，不得与采购人、投标人恶意串通操纵政府采购活动。</w:t>
      </w:r>
    </w:p>
    <w:p w14:paraId="3C91731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7.2采购代理机构工作人员不得接受采购人或者投标人组织的宴请、旅游、娱乐，不得收受礼品、现金、有价证券等，不得向采购人或者投标人报销应当由个人承担的费用。</w:t>
      </w:r>
    </w:p>
    <w:p w14:paraId="38EA0908">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8.人员回避</w:t>
      </w:r>
    </w:p>
    <w:p w14:paraId="7AE0BFB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投标人认为采购人及其相关人员有法律法规所列与其他投标人有利害关系的，可以向采购人或采购代理机构书面提出回避申请，并说明理由。</w:t>
      </w:r>
    </w:p>
    <w:p w14:paraId="623E2D59">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9.质疑与接收</w:t>
      </w:r>
    </w:p>
    <w:p w14:paraId="5ADCB1B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9.1投标人认为</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、招标过程和</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结果使自己的权益受到损害的，可以根据《中华人民共和国政府采购法》、《中华人民共和国政府采购法实施条例》和《政府采购质疑和投诉办法》的有关规定，依法向采购人或其委托的采购代理机构提出质疑。</w:t>
      </w:r>
    </w:p>
    <w:p w14:paraId="32561C8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9.2质疑投标人应按照财政部门制定的《政府采购质疑函范本》格式</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要求，在法定质疑期内以纸质形式提出质疑，针对同一采购程序环节的质疑应一次性提出。</w:t>
      </w:r>
    </w:p>
    <w:p w14:paraId="6CF45EF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超出法定质疑期的、重复提出的、分次提出的或内容、形式不符合《政府采购质疑和投诉办法》的，质疑投标人将依法承担不利后果。</w:t>
      </w:r>
    </w:p>
    <w:p w14:paraId="7779B5A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9.3采购代理机构质疑函接收部门、联系电话和通讯地址, 见</w:t>
      </w:r>
      <w:r>
        <w:rPr>
          <w:rFonts w:hint="eastAsia" w:ascii="宋体" w:hAnsi="宋体" w:cs="宋体"/>
          <w:b/>
          <w:color w:val="auto"/>
          <w:sz w:val="24"/>
          <w:szCs w:val="24"/>
          <w:highlight w:val="none"/>
        </w:rPr>
        <w:t>投标须知前附表第</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u w:val="single"/>
          <w:lang w:val="en-US" w:eastAsia="zh-CN"/>
        </w:rPr>
        <w:t>2</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条</w:t>
      </w:r>
      <w:r>
        <w:rPr>
          <w:rFonts w:hint="eastAsia" w:ascii="宋体" w:hAnsi="宋体" w:eastAsia="宋体" w:cs="宋体"/>
          <w:color w:val="auto"/>
          <w:sz w:val="24"/>
          <w:szCs w:val="24"/>
          <w:highlight w:val="none"/>
        </w:rPr>
        <w:t>。</w:t>
      </w:r>
    </w:p>
    <w:p w14:paraId="4DB41F3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.履约验收</w:t>
      </w:r>
    </w:p>
    <w:p w14:paraId="5AE40F8A">
      <w:pPr>
        <w:adjustRightInd w:val="0"/>
        <w:snapToGrid w:val="0"/>
        <w:spacing w:line="360" w:lineRule="auto"/>
        <w:ind w:firstLine="420"/>
        <w:rPr>
          <w:rFonts w:hint="eastAsia" w:ascii="宋体" w:hAnsi="宋体" w:eastAsia="宋体" w:cs="宋体"/>
          <w:b/>
          <w:color w:val="auto"/>
          <w:sz w:val="24"/>
          <w:szCs w:val="24"/>
          <w:highlight w:val="none"/>
        </w:rPr>
        <w:sectPr>
          <w:footerReference r:id="rId9" w:type="default"/>
          <w:pgSz w:w="11906" w:h="16838"/>
          <w:pgMar w:top="1757" w:right="1531" w:bottom="1644" w:left="1531"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color w:val="auto"/>
          <w:sz w:val="24"/>
          <w:szCs w:val="24"/>
          <w:highlight w:val="none"/>
        </w:rPr>
        <w:t>本项目采购人及其委托的采购代理机构将严格按照政府采购相关法律法规的要求进行验收。</w:t>
      </w:r>
    </w:p>
    <w:p w14:paraId="1486C096">
      <w:pPr>
        <w:pStyle w:val="19"/>
        <w:ind w:firstLine="2249" w:firstLineChars="700"/>
        <w:jc w:val="both"/>
        <w:rPr>
          <w:rFonts w:ascii="宋体" w:hAnsi="宋体" w:cs="宋体"/>
          <w:color w:val="auto"/>
          <w:highlight w:val="none"/>
        </w:rPr>
      </w:pPr>
      <w:r>
        <w:rPr>
          <w:rFonts w:hint="eastAsia" w:ascii="宋体" w:hAnsi="宋体" w:cs="宋体"/>
          <w:color w:val="auto"/>
          <w:highlight w:val="none"/>
        </w:rPr>
        <w:t>第三章   评标方法及标准</w:t>
      </w:r>
      <w:bookmarkEnd w:id="11"/>
      <w:bookmarkEnd w:id="12"/>
      <w:bookmarkEnd w:id="13"/>
    </w:p>
    <w:p w14:paraId="4D0C9FB2">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一、总则</w:t>
      </w:r>
    </w:p>
    <w:p w14:paraId="1DFCB8EE">
      <w:pPr>
        <w:spacing w:line="360" w:lineRule="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评审委员会</w:t>
      </w:r>
    </w:p>
    <w:p w14:paraId="4C1A00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1.1评标由依法组成的</w:t>
      </w:r>
      <w:r>
        <w:rPr>
          <w:rFonts w:hint="eastAsia" w:ascii="宋体" w:hAnsi="宋体" w:cs="宋体"/>
          <w:color w:val="auto"/>
          <w:sz w:val="24"/>
          <w:szCs w:val="24"/>
          <w:highlight w:val="none"/>
          <w:lang w:eastAsia="zh-CN"/>
        </w:rPr>
        <w:t>评审委员会</w:t>
      </w:r>
      <w:r>
        <w:rPr>
          <w:rFonts w:hint="eastAsia" w:ascii="宋体" w:hAnsi="宋体" w:cs="宋体"/>
          <w:color w:val="auto"/>
          <w:sz w:val="24"/>
          <w:szCs w:val="24"/>
          <w:highlight w:val="none"/>
        </w:rPr>
        <w:t>负责。</w:t>
      </w:r>
    </w:p>
    <w:p w14:paraId="44D202B8">
      <w:pPr>
        <w:pStyle w:val="12"/>
        <w:adjustRightInd w:val="0"/>
        <w:snapToGrid w:val="0"/>
        <w:spacing w:line="360" w:lineRule="auto"/>
        <w:rPr>
          <w:rFonts w:hint="eastAsia" w:hAnsi="宋体" w:eastAsia="宋体" w:cs="宋体"/>
          <w:color w:val="auto"/>
          <w:sz w:val="24"/>
          <w:szCs w:val="24"/>
          <w:highlight w:val="none"/>
        </w:rPr>
      </w:pPr>
      <w:r>
        <w:rPr>
          <w:rFonts w:hint="eastAsia" w:ascii="宋体" w:hAnsi="宋体" w:cs="宋体"/>
          <w:color w:val="auto"/>
          <w:sz w:val="24"/>
          <w:szCs w:val="24"/>
          <w:highlight w:val="none"/>
        </w:rPr>
        <w:t>2.评</w:t>
      </w:r>
      <w:r>
        <w:rPr>
          <w:rFonts w:hint="eastAsia" w:hAnsi="宋体" w:eastAsia="宋体" w:cs="宋体"/>
          <w:color w:val="auto"/>
          <w:sz w:val="24"/>
          <w:szCs w:val="24"/>
          <w:highlight w:val="none"/>
        </w:rPr>
        <w:t>标方法</w:t>
      </w:r>
    </w:p>
    <w:p w14:paraId="512D4E3A">
      <w:pPr>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2.1</w:t>
      </w:r>
      <w:r>
        <w:rPr>
          <w:rFonts w:hint="eastAsia" w:hAnsi="宋体" w:eastAsia="宋体" w:cs="宋体"/>
          <w:b/>
          <w:bCs/>
          <w:color w:val="auto"/>
          <w:sz w:val="24"/>
          <w:szCs w:val="24"/>
          <w:highlight w:val="none"/>
        </w:rPr>
        <w:t>评标方法：综合评分法</w:t>
      </w:r>
      <w:r>
        <w:rPr>
          <w:rFonts w:hint="eastAsia" w:hAnsi="宋体" w:eastAsia="宋体" w:cs="宋体"/>
          <w:color w:val="auto"/>
          <w:sz w:val="24"/>
          <w:szCs w:val="24"/>
          <w:highlight w:val="none"/>
        </w:rPr>
        <w:t>，即</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文件能够最大限度的满足采购文件规定的各项综合评价标准且经评审得分在前三名的投标供应商为</w:t>
      </w:r>
      <w:r>
        <w:rPr>
          <w:rFonts w:hint="eastAsia" w:hAnsi="宋体" w:eastAsia="宋体" w:cs="宋体"/>
          <w:color w:val="auto"/>
          <w:sz w:val="24"/>
          <w:szCs w:val="24"/>
          <w:highlight w:val="none"/>
          <w:lang w:eastAsia="zh-CN"/>
        </w:rPr>
        <w:t>成交</w:t>
      </w:r>
      <w:r>
        <w:rPr>
          <w:rFonts w:hint="eastAsia" w:hAnsi="宋体" w:eastAsia="宋体" w:cs="宋体"/>
          <w:color w:val="auto"/>
          <w:sz w:val="24"/>
          <w:szCs w:val="24"/>
          <w:highlight w:val="none"/>
        </w:rPr>
        <w:t>候选供应商的评标方法。</w:t>
      </w:r>
      <w:r>
        <w:rPr>
          <w:rFonts w:hint="eastAsia" w:ascii="宋体" w:hAnsi="宋体"/>
          <w:b/>
          <w:bCs/>
          <w:color w:val="auto"/>
          <w:sz w:val="24"/>
          <w:highlight w:val="none"/>
        </w:rPr>
        <w:t>本次采购方式为竞争性磋商</w:t>
      </w:r>
      <w:r>
        <w:rPr>
          <w:rFonts w:hint="eastAsia" w:ascii="宋体" w:hAnsi="宋体"/>
          <w:color w:val="auto"/>
          <w:sz w:val="24"/>
          <w:highlight w:val="none"/>
        </w:rPr>
        <w:t>。</w:t>
      </w:r>
      <w:r>
        <w:rPr>
          <w:rFonts w:hint="eastAsia" w:hAnsi="宋体"/>
          <w:bCs/>
          <w:color w:val="auto"/>
          <w:sz w:val="24"/>
          <w:highlight w:val="none"/>
        </w:rPr>
        <w:t>磋商小组将根据需要决定对所有合格的投标供应商在规定时间内进行第二</w:t>
      </w:r>
      <w:r>
        <w:rPr>
          <w:rFonts w:hint="eastAsia" w:hAnsi="宋体"/>
          <w:bCs/>
          <w:color w:val="auto"/>
          <w:sz w:val="24"/>
          <w:highlight w:val="none"/>
          <w:lang w:val="en-US" w:eastAsia="zh-CN"/>
        </w:rPr>
        <w:t>轮</w:t>
      </w:r>
      <w:r>
        <w:rPr>
          <w:rFonts w:hint="eastAsia" w:hAnsi="宋体"/>
          <w:bCs/>
          <w:color w:val="auto"/>
          <w:sz w:val="24"/>
          <w:highlight w:val="none"/>
          <w:lang w:eastAsia="zh-CN"/>
        </w:rPr>
        <w:t>（最终）</w:t>
      </w:r>
      <w:r>
        <w:rPr>
          <w:rFonts w:hint="eastAsia" w:hAnsi="宋体"/>
          <w:bCs/>
          <w:color w:val="auto"/>
          <w:sz w:val="24"/>
          <w:highlight w:val="none"/>
        </w:rPr>
        <w:t>报价，</w:t>
      </w:r>
      <w:r>
        <w:rPr>
          <w:rFonts w:hint="eastAsia" w:hAnsi="宋体"/>
          <w:bCs/>
          <w:color w:val="auto"/>
          <w:sz w:val="24"/>
          <w:highlight w:val="none"/>
          <w:lang w:eastAsia="zh-CN"/>
        </w:rPr>
        <w:t>最终</w:t>
      </w:r>
      <w:r>
        <w:rPr>
          <w:rFonts w:hint="eastAsia" w:hAnsi="宋体"/>
          <w:bCs/>
          <w:color w:val="auto"/>
          <w:sz w:val="24"/>
          <w:highlight w:val="none"/>
        </w:rPr>
        <w:t>报价将作为磋商</w:t>
      </w:r>
      <w:r>
        <w:rPr>
          <w:rFonts w:hint="eastAsia" w:hAnsi="宋体"/>
          <w:bCs/>
          <w:color w:val="auto"/>
          <w:sz w:val="24"/>
          <w:highlight w:val="none"/>
          <w:lang w:eastAsia="zh-CN"/>
        </w:rPr>
        <w:t>报价得分</w:t>
      </w:r>
      <w:r>
        <w:rPr>
          <w:rFonts w:hint="eastAsia" w:hAnsi="宋体"/>
          <w:bCs/>
          <w:color w:val="auto"/>
          <w:sz w:val="24"/>
          <w:highlight w:val="none"/>
        </w:rPr>
        <w:t>评比的最终依据</w:t>
      </w:r>
      <w:r>
        <w:rPr>
          <w:rFonts w:hAnsi="宋体"/>
          <w:bCs/>
          <w:color w:val="auto"/>
          <w:sz w:val="24"/>
          <w:highlight w:val="none"/>
        </w:rPr>
        <w:t>；采购人拒绝接受有选择性报价的投标。</w:t>
      </w:r>
    </w:p>
    <w:p w14:paraId="3AE05193">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2.2本招标项目的评标因素：价格、技术、</w:t>
      </w:r>
      <w:r>
        <w:rPr>
          <w:rFonts w:hint="eastAsia" w:hAnsi="宋体" w:eastAsia="宋体" w:cs="宋体"/>
          <w:color w:val="auto"/>
          <w:sz w:val="24"/>
          <w:szCs w:val="24"/>
          <w:highlight w:val="none"/>
          <w:lang w:val="en-US" w:eastAsia="zh-CN"/>
        </w:rPr>
        <w:t>业绩</w:t>
      </w:r>
      <w:r>
        <w:rPr>
          <w:rFonts w:hint="eastAsia" w:hAnsi="宋体" w:eastAsia="宋体" w:cs="宋体"/>
          <w:color w:val="auto"/>
          <w:sz w:val="24"/>
          <w:szCs w:val="24"/>
          <w:highlight w:val="none"/>
        </w:rPr>
        <w:t>、服务、对采购文件的响应程度，以及相应的比重或者权值等，但不包括第二章“投标须知”第3.1款规定的投标供应商资格条件。</w:t>
      </w:r>
    </w:p>
    <w:p w14:paraId="5D1B0AA8">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二、评标程序</w:t>
      </w:r>
    </w:p>
    <w:p w14:paraId="57D87FE3">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文件的初步评审</w:t>
      </w:r>
    </w:p>
    <w:p w14:paraId="71D6AF69">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3.1初步评审为资格性检查。</w:t>
      </w:r>
    </w:p>
    <w:p w14:paraId="57197A00">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3.1.1资格性检查。根据法律法规和采购文件的规定，对</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文件中的资格证明、投标保证金等进行审查，以确定投标供应商是否具备投标资格。资格审查未通过的投标供应商不得进入下一评审环节。</w:t>
      </w:r>
    </w:p>
    <w:p w14:paraId="29A1DCCB">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3.1.2符合性检查。依据采购文件的规定，从</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文件的有效性、完整性和对采购文件的响应程度进行审查，以确定是否对采购文件的实质性要求作出响应。</w:t>
      </w:r>
      <w:r>
        <w:rPr>
          <w:rFonts w:hint="eastAsia" w:hAnsi="宋体" w:eastAsia="宋体" w:cs="宋体"/>
          <w:color w:val="auto"/>
          <w:sz w:val="24"/>
          <w:szCs w:val="24"/>
          <w:highlight w:val="none"/>
          <w:lang w:eastAsia="zh-CN"/>
        </w:rPr>
        <w:t>评审委员会</w:t>
      </w:r>
      <w:r>
        <w:rPr>
          <w:rFonts w:hint="eastAsia" w:hAnsi="宋体" w:eastAsia="宋体" w:cs="宋体"/>
          <w:color w:val="auto"/>
          <w:sz w:val="24"/>
          <w:szCs w:val="24"/>
          <w:highlight w:val="none"/>
        </w:rPr>
        <w:t>决定</w:t>
      </w:r>
      <w:r>
        <w:rPr>
          <w:rFonts w:hint="eastAsia" w:hAnsi="宋体" w:eastAsia="宋体" w:cs="宋体"/>
          <w:color w:val="auto"/>
          <w:sz w:val="24"/>
          <w:szCs w:val="24"/>
          <w:highlight w:val="none"/>
          <w:lang w:eastAsia="zh-CN"/>
        </w:rPr>
        <w:t>响应文件</w:t>
      </w:r>
      <w:r>
        <w:rPr>
          <w:rFonts w:hint="eastAsia" w:hAnsi="宋体" w:eastAsia="宋体" w:cs="宋体"/>
          <w:color w:val="auto"/>
          <w:sz w:val="24"/>
          <w:szCs w:val="24"/>
          <w:highlight w:val="none"/>
        </w:rPr>
        <w:t>的响应性只根据响应文件真实无误的内容，而不依据外部的证据，但</w:t>
      </w:r>
      <w:r>
        <w:rPr>
          <w:rFonts w:hint="eastAsia" w:hAnsi="宋体" w:eastAsia="宋体" w:cs="宋体"/>
          <w:color w:val="auto"/>
          <w:sz w:val="24"/>
          <w:szCs w:val="24"/>
          <w:highlight w:val="none"/>
          <w:lang w:eastAsia="zh-CN"/>
        </w:rPr>
        <w:t>响应文件</w:t>
      </w:r>
      <w:r>
        <w:rPr>
          <w:rFonts w:hint="eastAsia" w:hAnsi="宋体" w:eastAsia="宋体" w:cs="宋体"/>
          <w:color w:val="auto"/>
          <w:sz w:val="24"/>
          <w:szCs w:val="24"/>
          <w:highlight w:val="none"/>
        </w:rPr>
        <w:t>有不真实、不正确的内容时除外。符合性审查未通过的投标供应商不得进入下一评审环节。</w:t>
      </w:r>
    </w:p>
    <w:p w14:paraId="6F63B5BC">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3.1.3投标供应商不得通过修正或撤销不合要求的偏离从而使其投标成为实质上响应的投标。</w:t>
      </w:r>
    </w:p>
    <w:p w14:paraId="36C5D798">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3.1.4通过资格审查的响应单位不足2家的本次采购活动终止，并重新发布采购公告。</w:t>
      </w:r>
    </w:p>
    <w:p w14:paraId="5677D5AB">
      <w:pPr>
        <w:pStyle w:val="12"/>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color w:val="auto"/>
          <w:sz w:val="24"/>
          <w:szCs w:val="24"/>
          <w:highlight w:val="none"/>
        </w:rPr>
        <w:t>4.澄清有关问题</w:t>
      </w:r>
    </w:p>
    <w:p w14:paraId="301E2D11">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4.1 对</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文件中含义不明确、同类问题表述不一致或者有明显文字和计算错误的内容，</w:t>
      </w:r>
      <w:r>
        <w:rPr>
          <w:rFonts w:hint="eastAsia" w:hAnsi="宋体" w:eastAsia="宋体" w:cs="宋体"/>
          <w:color w:val="auto"/>
          <w:sz w:val="24"/>
          <w:szCs w:val="24"/>
          <w:highlight w:val="none"/>
          <w:lang w:eastAsia="zh-CN"/>
        </w:rPr>
        <w:t>评审委员会</w:t>
      </w:r>
      <w:r>
        <w:rPr>
          <w:rFonts w:hint="eastAsia" w:hAnsi="宋体" w:eastAsia="宋体" w:cs="宋体"/>
          <w:color w:val="auto"/>
          <w:sz w:val="24"/>
          <w:szCs w:val="24"/>
          <w:highlight w:val="none"/>
        </w:rPr>
        <w:t>将以书面形式通知投标供应商作出必要的澄清、说明，但不得超出</w:t>
      </w:r>
      <w:r>
        <w:rPr>
          <w:rFonts w:hint="eastAsia" w:hAnsi="宋体" w:eastAsia="宋体" w:cs="宋体"/>
          <w:color w:val="auto"/>
          <w:sz w:val="24"/>
          <w:szCs w:val="24"/>
          <w:highlight w:val="none"/>
          <w:lang w:eastAsia="zh-CN"/>
        </w:rPr>
        <w:t>响应文件</w:t>
      </w:r>
      <w:r>
        <w:rPr>
          <w:rFonts w:hint="eastAsia" w:hAnsi="宋体" w:eastAsia="宋体" w:cs="宋体"/>
          <w:color w:val="auto"/>
          <w:sz w:val="24"/>
          <w:szCs w:val="24"/>
          <w:highlight w:val="none"/>
        </w:rPr>
        <w:t>的范围或对</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文件做实质性的修改（计算错误修正除外）。</w:t>
      </w:r>
      <w:r>
        <w:rPr>
          <w:rFonts w:hint="eastAsia" w:hAnsi="宋体" w:eastAsia="宋体" w:cs="宋体"/>
          <w:color w:val="auto"/>
          <w:sz w:val="24"/>
          <w:szCs w:val="24"/>
          <w:highlight w:val="none"/>
          <w:lang w:eastAsia="zh-CN"/>
        </w:rPr>
        <w:t>评审委员会</w:t>
      </w:r>
      <w:r>
        <w:rPr>
          <w:rFonts w:hint="eastAsia" w:hAnsi="宋体" w:eastAsia="宋体" w:cs="宋体"/>
          <w:color w:val="auto"/>
          <w:sz w:val="24"/>
          <w:szCs w:val="24"/>
          <w:highlight w:val="none"/>
        </w:rPr>
        <w:t>不接受投标供应商主动提出的澄清、说明。</w:t>
      </w:r>
    </w:p>
    <w:p w14:paraId="2CD35703">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4.2投标供应商不得对下列内容进行澄清或补充：</w:t>
      </w:r>
    </w:p>
    <w:p w14:paraId="0690EF50">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（1）开标时，未宣读的投标价格、价格折扣等实质性内容。</w:t>
      </w:r>
    </w:p>
    <w:p w14:paraId="4AAAE31D">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（2）不满足第二章投标须知规定的实质性要求的</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文件内容。</w:t>
      </w:r>
    </w:p>
    <w:p w14:paraId="73EE1F3A">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4.3 计算错误将按以下方法修正：如果</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的大写金额和小写金额不一致的，以大写金额为准；总价金额与按单价汇总金额不一致的，以单价金额计算结果为准；单价金额小数点有明显错位的，应以总价为准，并修改单价。若投标供应商拒绝接受上述修正，在评标时将其视为无效投标。</w:t>
      </w:r>
    </w:p>
    <w:p w14:paraId="1091B49F">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4.4 投标供应商的澄清、说明或者补正应该采用书面形式，由法定代表人或其授权的代理人盖章或签字，并按</w:t>
      </w:r>
      <w:r>
        <w:rPr>
          <w:rFonts w:hint="eastAsia" w:hAnsi="宋体" w:eastAsia="宋体" w:cs="宋体"/>
          <w:color w:val="auto"/>
          <w:sz w:val="24"/>
          <w:szCs w:val="24"/>
          <w:highlight w:val="none"/>
          <w:lang w:eastAsia="zh-CN"/>
        </w:rPr>
        <w:t>评审委员会</w:t>
      </w:r>
      <w:r>
        <w:rPr>
          <w:rFonts w:hint="eastAsia" w:hAnsi="宋体" w:eastAsia="宋体" w:cs="宋体"/>
          <w:color w:val="auto"/>
          <w:sz w:val="24"/>
          <w:szCs w:val="24"/>
          <w:highlight w:val="none"/>
        </w:rPr>
        <w:t>的通知要求递交。</w:t>
      </w:r>
    </w:p>
    <w:p w14:paraId="1C340C84">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4.5 有效的书面澄清材料，是</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文件的补充材料，成为</w:t>
      </w:r>
      <w:r>
        <w:rPr>
          <w:rFonts w:hint="eastAsia" w:hAnsi="宋体" w:eastAsia="宋体" w:cs="宋体"/>
          <w:color w:val="auto"/>
          <w:sz w:val="24"/>
          <w:szCs w:val="24"/>
          <w:highlight w:val="none"/>
          <w:lang w:eastAsia="zh-CN"/>
        </w:rPr>
        <w:t>响应文件</w:t>
      </w:r>
      <w:r>
        <w:rPr>
          <w:rFonts w:hint="eastAsia" w:hAnsi="宋体" w:eastAsia="宋体" w:cs="宋体"/>
          <w:color w:val="auto"/>
          <w:sz w:val="24"/>
          <w:szCs w:val="24"/>
          <w:highlight w:val="none"/>
        </w:rPr>
        <w:t>的组成部分。</w:t>
      </w:r>
    </w:p>
    <w:p w14:paraId="76250FBA">
      <w:pPr>
        <w:pStyle w:val="12"/>
        <w:adjustRightInd w:val="0"/>
        <w:snapToGrid w:val="0"/>
        <w:spacing w:line="360" w:lineRule="auto"/>
        <w:ind w:left="723" w:hanging="723" w:hangingChars="300"/>
        <w:rPr>
          <w:rFonts w:hAnsi="宋体" w:eastAsia="宋体" w:cs="宋体"/>
          <w:b/>
          <w:color w:val="auto"/>
          <w:sz w:val="24"/>
          <w:szCs w:val="24"/>
          <w:highlight w:val="none"/>
        </w:rPr>
      </w:pPr>
      <w:r>
        <w:rPr>
          <w:rFonts w:hint="eastAsia" w:hAnsi="宋体" w:eastAsia="宋体" w:cs="宋体"/>
          <w:b/>
          <w:color w:val="auto"/>
          <w:sz w:val="24"/>
          <w:szCs w:val="24"/>
          <w:highlight w:val="none"/>
        </w:rPr>
        <w:t>5. 响应文件的详细评审</w:t>
      </w:r>
    </w:p>
    <w:p w14:paraId="4804E9E1">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5.1</w:t>
      </w:r>
      <w:r>
        <w:rPr>
          <w:rFonts w:hint="eastAsia" w:hAnsi="宋体" w:eastAsia="宋体" w:cs="宋体"/>
          <w:color w:val="auto"/>
          <w:sz w:val="24"/>
          <w:szCs w:val="24"/>
          <w:highlight w:val="none"/>
          <w:lang w:eastAsia="zh-CN"/>
        </w:rPr>
        <w:t>评审委员会</w:t>
      </w:r>
      <w:r>
        <w:rPr>
          <w:rFonts w:hint="eastAsia" w:hAnsi="宋体" w:eastAsia="宋体" w:cs="宋体"/>
          <w:color w:val="auto"/>
          <w:sz w:val="24"/>
          <w:szCs w:val="24"/>
          <w:highlight w:val="none"/>
        </w:rPr>
        <w:t>应按照采购文件中规定的评标方法、标准和评标因素，对资格性检查和符合性检查合格的</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文件进行详细评审。</w:t>
      </w:r>
    </w:p>
    <w:p w14:paraId="683A45F3">
      <w:pPr>
        <w:pStyle w:val="12"/>
        <w:adjustRightInd w:val="0"/>
        <w:snapToGrid w:val="0"/>
        <w:spacing w:line="360" w:lineRule="auto"/>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5.2评标时，</w:t>
      </w:r>
      <w:r>
        <w:rPr>
          <w:rFonts w:hint="eastAsia" w:hAnsi="宋体" w:eastAsia="宋体" w:cs="宋体"/>
          <w:color w:val="auto"/>
          <w:sz w:val="24"/>
          <w:szCs w:val="24"/>
          <w:highlight w:val="none"/>
          <w:lang w:eastAsia="zh-CN"/>
        </w:rPr>
        <w:t>评审委员会</w:t>
      </w:r>
      <w:r>
        <w:rPr>
          <w:rFonts w:hint="eastAsia" w:hAnsi="宋体" w:eastAsia="宋体" w:cs="宋体"/>
          <w:color w:val="auto"/>
          <w:sz w:val="24"/>
          <w:szCs w:val="24"/>
          <w:highlight w:val="none"/>
        </w:rPr>
        <w:t>各成员应当独立对每个投标供应商的</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文件进行评价、评分，然后汇总每个投标供应商每项评分因素的得分。</w:t>
      </w:r>
    </w:p>
    <w:p w14:paraId="0C727C3A">
      <w:pPr>
        <w:pStyle w:val="12"/>
        <w:adjustRightInd w:val="0"/>
        <w:snapToGrid w:val="0"/>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5.3本次评标采用综合评分法。报价部分</w:t>
      </w:r>
      <w:r>
        <w:rPr>
          <w:rFonts w:hint="eastAsia" w:hAnsi="宋体" w:eastAsia="宋体" w:cs="宋体"/>
          <w:color w:val="auto"/>
          <w:sz w:val="24"/>
          <w:szCs w:val="24"/>
          <w:highlight w:val="none"/>
          <w:lang w:val="en-US" w:eastAsia="zh-CN"/>
        </w:rPr>
        <w:t>15</w:t>
      </w:r>
      <w:r>
        <w:rPr>
          <w:rFonts w:hint="eastAsia" w:hAnsi="宋体" w:eastAsia="宋体" w:cs="宋体"/>
          <w:color w:val="auto"/>
          <w:sz w:val="24"/>
          <w:szCs w:val="24"/>
          <w:highlight w:val="none"/>
        </w:rPr>
        <w:t>分，商务技术部分</w:t>
      </w:r>
      <w:r>
        <w:rPr>
          <w:rFonts w:hint="eastAsia" w:hAnsi="宋体" w:eastAsia="宋体" w:cs="宋体"/>
          <w:color w:val="auto"/>
          <w:sz w:val="24"/>
          <w:szCs w:val="24"/>
          <w:highlight w:val="none"/>
          <w:lang w:val="en-US" w:eastAsia="zh-CN"/>
        </w:rPr>
        <w:t>85</w:t>
      </w:r>
      <w:r>
        <w:rPr>
          <w:rFonts w:hint="eastAsia" w:hAnsi="宋体" w:eastAsia="宋体" w:cs="宋体"/>
          <w:color w:val="auto"/>
          <w:sz w:val="24"/>
          <w:szCs w:val="24"/>
          <w:highlight w:val="none"/>
        </w:rPr>
        <w:t>分。</w:t>
      </w:r>
    </w:p>
    <w:p w14:paraId="29FDAE88">
      <w:pPr>
        <w:pStyle w:val="1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需落实的政府采购政策性规定：</w:t>
      </w:r>
    </w:p>
    <w:p w14:paraId="289DB397">
      <w:pPr>
        <w:adjustRightInd w:val="0"/>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1对于中小微企业的相关规定</w:t>
      </w:r>
    </w:p>
    <w:p w14:paraId="79D24F9C">
      <w:pPr>
        <w:adjustRightInd w:val="0"/>
        <w:snapToGrid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5.4.</w:t>
      </w: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sz w:val="24"/>
          <w:szCs w:val="24"/>
          <w:highlight w:val="none"/>
        </w:rPr>
        <w:t>.1对于非专门面向中小企业的项目，在满足价格扣除条件且在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中按要求提交了《中小企业声明函》</w:t>
      </w:r>
      <w:r>
        <w:rPr>
          <w:rFonts w:hint="eastAsia" w:ascii="宋体" w:hAnsi="宋体" w:eastAsia="宋体" w:cs="宋体"/>
          <w:b w:val="0"/>
          <w:bCs w:val="0"/>
          <w:color w:val="auto"/>
          <w:kern w:val="0"/>
          <w:sz w:val="24"/>
          <w:szCs w:val="24"/>
          <w:highlight w:val="none"/>
        </w:rPr>
        <w:t>（采购人采购的服务有伴随货物时，投标人所投货物为其它企业生产时须提供此声明函，仅作为价格扣除条件）的，</w:t>
      </w:r>
      <w:r>
        <w:rPr>
          <w:rFonts w:hint="eastAsia" w:ascii="宋体" w:hAnsi="宋体" w:eastAsia="宋体" w:cs="宋体"/>
          <w:b w:val="0"/>
          <w:bCs w:val="0"/>
          <w:color w:val="auto"/>
          <w:sz w:val="24"/>
          <w:szCs w:val="24"/>
          <w:highlight w:val="none"/>
        </w:rPr>
        <w:t>对投标报价给予价格扣除，用扣除后的价格参与评审。投标报价扣除比例如下：</w:t>
      </w:r>
    </w:p>
    <w:p w14:paraId="35015729">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（1）小型和微型企业相应产品、服务投标报价的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10-20%）</w:t>
      </w:r>
    </w:p>
    <w:p w14:paraId="380A0988">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0%以上的，投标报价扣除</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4-6%）。</w:t>
      </w:r>
    </w:p>
    <w:p w14:paraId="29E82182">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联合体</w:t>
      </w:r>
      <w:r>
        <w:rPr>
          <w:rFonts w:hint="eastAsia" w:ascii="宋体" w:hAnsi="宋体" w:cs="宋体"/>
          <w:color w:val="auto"/>
          <w:sz w:val="24"/>
          <w:szCs w:val="24"/>
          <w:highlight w:val="none"/>
          <w:lang w:val="en-US" w:eastAsia="zh-CN"/>
        </w:rPr>
        <w:t>或分包</w:t>
      </w:r>
      <w:r>
        <w:rPr>
          <w:rFonts w:hint="eastAsia" w:ascii="宋体" w:hAnsi="宋体" w:cs="宋体"/>
          <w:color w:val="auto"/>
          <w:sz w:val="24"/>
          <w:szCs w:val="24"/>
          <w:highlight w:val="none"/>
        </w:rPr>
        <w:t xml:space="preserve">各方均为小型、微型企业的，联合体视同为小型、微型企业，按第本款（1）条规定享受扶持政策。组成联合体的大中型企业和其他自然人、法人或者其他组织，与小型、微型企业之间不得存在投资关系。 </w:t>
      </w:r>
    </w:p>
    <w:p w14:paraId="66B8D9E9">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2监狱企业视同小型、微型企业，在满足价格扣除条件且在响应文件中按要求提交了省级以上监狱管理局、戒毒管理局（含新疆生产建设兵团）出具的属于监狱企业的证明文件的，对其投标报价按本章5.4.1.1条款的比例予以扣除，</w:t>
      </w:r>
      <w:r>
        <w:rPr>
          <w:rFonts w:hint="eastAsia" w:ascii="宋体" w:hAnsi="宋体" w:cs="宋体"/>
          <w:color w:val="auto"/>
          <w:kern w:val="0"/>
          <w:sz w:val="24"/>
          <w:szCs w:val="24"/>
          <w:highlight w:val="none"/>
        </w:rPr>
        <w:t>用扣除后的价格参与评审</w:t>
      </w:r>
      <w:r>
        <w:rPr>
          <w:rFonts w:hint="eastAsia" w:ascii="宋体" w:hAnsi="宋体" w:cs="宋体"/>
          <w:color w:val="auto"/>
          <w:sz w:val="24"/>
          <w:szCs w:val="24"/>
          <w:highlight w:val="none"/>
        </w:rPr>
        <w:t>。</w:t>
      </w:r>
    </w:p>
    <w:p w14:paraId="5937C184">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残疾人福利性单位视同小型、微型企业，在满足价格扣除条件且在</w:t>
      </w:r>
      <w:r>
        <w:rPr>
          <w:rFonts w:hint="eastAsia" w:ascii="宋体" w:hAnsi="宋体" w:cs="宋体"/>
          <w:color w:val="auto"/>
          <w:kern w:val="0"/>
          <w:sz w:val="24"/>
          <w:szCs w:val="24"/>
          <w:highlight w:val="none"/>
        </w:rPr>
        <w:t>响应文件中提供了《残疾人福利性单位声明函》的，</w:t>
      </w:r>
      <w:r>
        <w:rPr>
          <w:rFonts w:hint="eastAsia" w:ascii="宋体" w:hAnsi="宋体" w:cs="宋体"/>
          <w:color w:val="auto"/>
          <w:sz w:val="24"/>
          <w:szCs w:val="24"/>
          <w:highlight w:val="none"/>
        </w:rPr>
        <w:t>对其投标报价按本章本章5.4.1.1条款的比例予以扣除</w:t>
      </w:r>
      <w:r>
        <w:rPr>
          <w:rFonts w:hint="eastAsia" w:ascii="宋体" w:hAnsi="宋体" w:cs="宋体"/>
          <w:color w:val="auto"/>
          <w:kern w:val="0"/>
          <w:sz w:val="24"/>
          <w:szCs w:val="24"/>
          <w:highlight w:val="none"/>
        </w:rPr>
        <w:t>，用扣除后的价格参与评审。</w:t>
      </w:r>
    </w:p>
    <w:p w14:paraId="6EF7F75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w:t>
      </w: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4残疾人福利性单位属于小型、微型企业的，不重复享受政策。</w:t>
      </w:r>
    </w:p>
    <w:p w14:paraId="50A0B4C5">
      <w:pPr>
        <w:adjustRightInd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5.4.2</w:t>
      </w:r>
      <w:r>
        <w:rPr>
          <w:rFonts w:hint="eastAsia" w:ascii="宋体" w:hAnsi="宋体" w:cs="宋体"/>
          <w:color w:val="auto"/>
          <w:kern w:val="0"/>
          <w:sz w:val="24"/>
          <w:szCs w:val="24"/>
          <w:highlight w:val="none"/>
        </w:rPr>
        <w:t>对于节能产品、环境标志产品的相关规定</w:t>
      </w:r>
    </w:p>
    <w:p w14:paraId="54956D37">
      <w:pPr>
        <w:numPr>
          <w:ilvl w:val="0"/>
          <w:numId w:val="4"/>
        </w:num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节能产品或环境标志产品，依据品目清单和认证证书实施政府优先采购。供应商应能够提供国家确定的认证机构出具的、处于有效期之内的节能产品、环境标志产品认证证书，方可对获得证书的产品优先推荐。</w:t>
      </w:r>
    </w:p>
    <w:p w14:paraId="46DF6645">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采用最低评标价法的，</w:t>
      </w:r>
      <w:r>
        <w:rPr>
          <w:rFonts w:hint="eastAsia" w:ascii="宋体" w:hAnsi="宋体" w:cs="宋体"/>
          <w:color w:val="auto"/>
          <w:sz w:val="24"/>
          <w:szCs w:val="24"/>
          <w:highlight w:val="none"/>
        </w:rPr>
        <w:t>对</w:t>
      </w:r>
      <w:r>
        <w:rPr>
          <w:rFonts w:hint="eastAsia" w:ascii="宋体" w:hAnsi="宋体" w:cs="宋体"/>
          <w:color w:val="auto"/>
          <w:kern w:val="0"/>
          <w:sz w:val="24"/>
          <w:szCs w:val="24"/>
          <w:highlight w:val="none"/>
        </w:rPr>
        <w:t>清单中投标产品的报价</w:t>
      </w:r>
      <w:r>
        <w:rPr>
          <w:rFonts w:hint="eastAsia" w:ascii="宋体" w:hAnsi="宋体" w:cs="宋体"/>
          <w:color w:val="auto"/>
          <w:sz w:val="24"/>
          <w:szCs w:val="24"/>
          <w:highlight w:val="none"/>
        </w:rPr>
        <w:t>给予价格扣除，用扣除后的价格参与评审。报价扣除比例为</w:t>
      </w:r>
      <w:r>
        <w:rPr>
          <w:rFonts w:hint="eastAsia" w:ascii="宋体" w:hAnsi="宋体" w:cs="宋体"/>
          <w:color w:val="auto"/>
          <w:kern w:val="0"/>
          <w:sz w:val="24"/>
          <w:szCs w:val="24"/>
          <w:highlight w:val="none"/>
        </w:rPr>
        <w:t>清单中产品报价的</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 xml:space="preserve"> %。</w:t>
      </w:r>
    </w:p>
    <w:p w14:paraId="00998A2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采用综合评分法评标的项目，对清单中产品给予相应的加分。（详见评分细则）</w:t>
      </w:r>
    </w:p>
    <w:p w14:paraId="0C56520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（2）供应商应同时提供品目清单网络截图，并以明确标注所报产品信息和位置的方式，用以方便评审。</w:t>
      </w:r>
    </w:p>
    <w:p w14:paraId="666F883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（3）认证机构和获证产品信息发布媒体：详见中国政府采购网（www.ccgp.gov.cn）建立的与认证结果信息发布平台的链接。</w:t>
      </w:r>
    </w:p>
    <w:p w14:paraId="77A84524">
      <w:pPr>
        <w:pStyle w:val="12"/>
        <w:adjustRightInd w:val="0"/>
        <w:snapToGrid w:val="0"/>
        <w:spacing w:line="360" w:lineRule="auto"/>
        <w:ind w:firstLine="480" w:firstLineChars="200"/>
        <w:rPr>
          <w:rFonts w:hint="default" w:hAnsi="宋体" w:eastAsia="宋体" w:cs="宋体"/>
          <w:color w:val="auto"/>
          <w:sz w:val="24"/>
          <w:szCs w:val="24"/>
          <w:highlight w:val="none"/>
          <w:lang w:val="en-US" w:eastAsia="zh-CN"/>
        </w:rPr>
      </w:pPr>
    </w:p>
    <w:p w14:paraId="68612E88">
      <w:pPr>
        <w:pStyle w:val="12"/>
        <w:adjustRightInd w:val="0"/>
        <w:snapToGrid w:val="0"/>
        <w:spacing w:line="360" w:lineRule="auto"/>
        <w:rPr>
          <w:rFonts w:hAnsi="宋体" w:eastAsia="宋体" w:cs="宋体"/>
          <w:color w:val="auto"/>
          <w:szCs w:val="24"/>
          <w:highlight w:val="none"/>
        </w:rPr>
      </w:pPr>
    </w:p>
    <w:p w14:paraId="431FA362">
      <w:pPr>
        <w:pStyle w:val="12"/>
        <w:adjustRightInd w:val="0"/>
        <w:snapToGrid w:val="0"/>
        <w:spacing w:line="360" w:lineRule="auto"/>
        <w:rPr>
          <w:rFonts w:hAnsi="宋体" w:eastAsia="宋体" w:cs="宋体"/>
          <w:color w:val="auto"/>
          <w:szCs w:val="24"/>
          <w:highlight w:val="none"/>
        </w:rPr>
      </w:pPr>
    </w:p>
    <w:p w14:paraId="40B9FFFB">
      <w:pPr>
        <w:pStyle w:val="12"/>
        <w:adjustRightInd w:val="0"/>
        <w:snapToGrid w:val="0"/>
        <w:spacing w:line="360" w:lineRule="auto"/>
        <w:rPr>
          <w:rFonts w:hAnsi="宋体" w:eastAsia="宋体" w:cs="宋体"/>
          <w:color w:val="auto"/>
          <w:szCs w:val="24"/>
          <w:highlight w:val="none"/>
        </w:rPr>
      </w:pPr>
    </w:p>
    <w:p w14:paraId="7D83476E">
      <w:pPr>
        <w:pStyle w:val="12"/>
        <w:adjustRightInd w:val="0"/>
        <w:snapToGrid w:val="0"/>
        <w:spacing w:line="360" w:lineRule="auto"/>
        <w:rPr>
          <w:rFonts w:hAnsi="宋体" w:eastAsia="宋体" w:cs="宋体"/>
          <w:color w:val="auto"/>
          <w:szCs w:val="24"/>
          <w:highlight w:val="none"/>
        </w:rPr>
      </w:pPr>
    </w:p>
    <w:p w14:paraId="062EAF22">
      <w:pPr>
        <w:pStyle w:val="12"/>
        <w:adjustRightInd w:val="0"/>
        <w:snapToGrid w:val="0"/>
        <w:spacing w:line="360" w:lineRule="auto"/>
        <w:rPr>
          <w:rFonts w:hAnsi="宋体" w:eastAsia="宋体" w:cs="宋体"/>
          <w:color w:val="auto"/>
          <w:szCs w:val="24"/>
          <w:highlight w:val="none"/>
        </w:rPr>
      </w:pPr>
    </w:p>
    <w:p w14:paraId="1348E576">
      <w:pPr>
        <w:rPr>
          <w:color w:val="auto"/>
          <w:highlight w:val="none"/>
        </w:rPr>
      </w:pPr>
      <w:r>
        <w:rPr>
          <w:rFonts w:hint="eastAsia" w:ascii="宋体" w:hAnsi="宋体" w:cs="宋体"/>
          <w:b/>
          <w:bCs/>
          <w:color w:val="auto"/>
          <w:sz w:val="28"/>
          <w:szCs w:val="28"/>
          <w:highlight w:val="none"/>
        </w:rPr>
        <w:br w:type="page"/>
      </w:r>
    </w:p>
    <w:p w14:paraId="576AAE2D">
      <w:pPr>
        <w:numPr>
          <w:ilvl w:val="0"/>
          <w:numId w:val="5"/>
        </w:numPr>
        <w:jc w:val="both"/>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投标供应商</w:t>
      </w:r>
      <w:r>
        <w:rPr>
          <w:rFonts w:hint="eastAsia" w:ascii="宋体" w:hAnsi="宋体" w:cs="宋体"/>
          <w:b/>
          <w:bCs/>
          <w:color w:val="auto"/>
          <w:sz w:val="28"/>
          <w:szCs w:val="28"/>
          <w:highlight w:val="none"/>
          <w:lang w:val="en-US" w:eastAsia="zh-CN"/>
        </w:rPr>
        <w:t>资格审查</w:t>
      </w:r>
    </w:p>
    <w:tbl>
      <w:tblPr>
        <w:tblStyle w:val="22"/>
        <w:tblW w:w="10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5"/>
        <w:gridCol w:w="2957"/>
        <w:gridCol w:w="5117"/>
      </w:tblGrid>
      <w:tr w14:paraId="1A84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noWrap w:val="0"/>
            <w:vAlign w:val="center"/>
          </w:tcPr>
          <w:p w14:paraId="197EEBC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序号</w:t>
            </w:r>
          </w:p>
        </w:tc>
        <w:tc>
          <w:tcPr>
            <w:tcW w:w="4292" w:type="dxa"/>
            <w:gridSpan w:val="2"/>
            <w:noWrap w:val="0"/>
            <w:vAlign w:val="center"/>
          </w:tcPr>
          <w:p w14:paraId="3760FED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检查因素</w:t>
            </w:r>
          </w:p>
        </w:tc>
        <w:tc>
          <w:tcPr>
            <w:tcW w:w="5117" w:type="dxa"/>
            <w:noWrap w:val="0"/>
            <w:vAlign w:val="center"/>
          </w:tcPr>
          <w:p w14:paraId="56416063">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检查内容</w:t>
            </w:r>
          </w:p>
        </w:tc>
      </w:tr>
      <w:tr w14:paraId="2C33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40" w:type="dxa"/>
            <w:vMerge w:val="restart"/>
            <w:noWrap w:val="0"/>
            <w:vAlign w:val="center"/>
          </w:tcPr>
          <w:p w14:paraId="266F5149">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w:t>
            </w:r>
          </w:p>
        </w:tc>
        <w:tc>
          <w:tcPr>
            <w:tcW w:w="1335" w:type="dxa"/>
            <w:vMerge w:val="restart"/>
            <w:noWrap w:val="0"/>
            <w:vAlign w:val="center"/>
          </w:tcPr>
          <w:p w14:paraId="43B834E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《中华人民共和国政府采购法》第二十二条规定</w:t>
            </w:r>
          </w:p>
        </w:tc>
        <w:tc>
          <w:tcPr>
            <w:tcW w:w="2957" w:type="dxa"/>
            <w:noWrap w:val="0"/>
            <w:vAlign w:val="center"/>
          </w:tcPr>
          <w:p w14:paraId="0F73D966">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具有独立承担民事责任的能力</w:t>
            </w:r>
          </w:p>
        </w:tc>
        <w:tc>
          <w:tcPr>
            <w:tcW w:w="5117" w:type="dxa"/>
            <w:noWrap w:val="0"/>
            <w:vAlign w:val="center"/>
          </w:tcPr>
          <w:p w14:paraId="2CF0E43A">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default"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提供有效的营业执照</w:t>
            </w:r>
          </w:p>
        </w:tc>
      </w:tr>
      <w:tr w14:paraId="1DE7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740" w:type="dxa"/>
            <w:vMerge w:val="continue"/>
            <w:noWrap w:val="0"/>
            <w:vAlign w:val="center"/>
          </w:tcPr>
          <w:p w14:paraId="5103CCD5">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335" w:type="dxa"/>
            <w:vMerge w:val="continue"/>
            <w:noWrap w:val="0"/>
            <w:vAlign w:val="center"/>
          </w:tcPr>
          <w:p w14:paraId="43206721">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kern w:val="2"/>
                <w:sz w:val="24"/>
                <w:szCs w:val="20"/>
                <w:highlight w:val="none"/>
                <w:lang w:val="zh-CN" w:eastAsia="zh-CN" w:bidi="ar-SA"/>
              </w:rPr>
            </w:pPr>
          </w:p>
        </w:tc>
        <w:tc>
          <w:tcPr>
            <w:tcW w:w="2957" w:type="dxa"/>
            <w:noWrap w:val="0"/>
            <w:vAlign w:val="center"/>
          </w:tcPr>
          <w:p w14:paraId="3EB5FBAC">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具有良好的商业信誉和健全的财务会计制度</w:t>
            </w:r>
          </w:p>
        </w:tc>
        <w:tc>
          <w:tcPr>
            <w:tcW w:w="5117" w:type="dxa"/>
            <w:noWrap w:val="0"/>
            <w:vAlign w:val="center"/>
          </w:tcPr>
          <w:p w14:paraId="25EF9A23">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提供2024年或2025年度财务审计报告复印件，并加盖投标人公章。如投标人无法提供审计报告，则须提供银行出具的资信证明或健全的财务会计制度或提供承诺函。</w:t>
            </w:r>
          </w:p>
        </w:tc>
      </w:tr>
      <w:tr w14:paraId="5CC8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40" w:type="dxa"/>
            <w:vMerge w:val="continue"/>
            <w:noWrap w:val="0"/>
            <w:vAlign w:val="center"/>
          </w:tcPr>
          <w:p w14:paraId="3A74F740">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335" w:type="dxa"/>
            <w:vMerge w:val="continue"/>
            <w:noWrap w:val="0"/>
            <w:vAlign w:val="center"/>
          </w:tcPr>
          <w:p w14:paraId="6A08B77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kern w:val="2"/>
                <w:sz w:val="24"/>
                <w:szCs w:val="20"/>
                <w:highlight w:val="none"/>
                <w:lang w:val="zh-CN" w:eastAsia="zh-CN" w:bidi="ar-SA"/>
              </w:rPr>
            </w:pPr>
          </w:p>
        </w:tc>
        <w:tc>
          <w:tcPr>
            <w:tcW w:w="2957" w:type="dxa"/>
            <w:noWrap w:val="0"/>
            <w:vAlign w:val="center"/>
          </w:tcPr>
          <w:p w14:paraId="7CD75C4F">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具有履行合同所必须的设备和专业技术能力</w:t>
            </w:r>
          </w:p>
        </w:tc>
        <w:tc>
          <w:tcPr>
            <w:tcW w:w="5117" w:type="dxa"/>
            <w:noWrap w:val="0"/>
            <w:vAlign w:val="center"/>
          </w:tcPr>
          <w:p w14:paraId="7B7CAA5E">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提供承诺书</w:t>
            </w:r>
          </w:p>
        </w:tc>
      </w:tr>
      <w:tr w14:paraId="66A7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40" w:type="dxa"/>
            <w:vMerge w:val="continue"/>
            <w:noWrap w:val="0"/>
            <w:vAlign w:val="center"/>
          </w:tcPr>
          <w:p w14:paraId="0BA03F7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335" w:type="dxa"/>
            <w:vMerge w:val="continue"/>
            <w:noWrap w:val="0"/>
            <w:vAlign w:val="center"/>
          </w:tcPr>
          <w:p w14:paraId="28FE54FD">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kern w:val="2"/>
                <w:sz w:val="24"/>
                <w:szCs w:val="20"/>
                <w:highlight w:val="none"/>
                <w:lang w:val="zh-CN" w:eastAsia="zh-CN" w:bidi="ar-SA"/>
              </w:rPr>
            </w:pPr>
          </w:p>
        </w:tc>
        <w:tc>
          <w:tcPr>
            <w:tcW w:w="2957" w:type="dxa"/>
            <w:noWrap w:val="0"/>
            <w:vAlign w:val="center"/>
          </w:tcPr>
          <w:p w14:paraId="3ADC2DA5">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有依法缴纳税收和社会保障金的良好记录</w:t>
            </w:r>
          </w:p>
        </w:tc>
        <w:tc>
          <w:tcPr>
            <w:tcW w:w="5117" w:type="dxa"/>
            <w:noWrap w:val="0"/>
            <w:vAlign w:val="center"/>
          </w:tcPr>
          <w:p w14:paraId="1E2928ED">
            <w:pPr>
              <w:pStyle w:val="8"/>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有依法缴纳税收和社会保障资金的良好记录；（1、投标人依法缴纳税收的证明材料：本项目投标截止时间前6个月内（连续3个月）缴纳税收的凭据（完税证明、缴款书、印花税票、银行代扣（代缴）转账凭证等均可）；2、依法免税的投标人，须提供相应文件证明其依法免税。3、投标人依法缴纳社会保障资金的证明材料：本项目投标截止时间前6个月内（连续3个月）缴纳社会保险的凭据（专用收据或社会保险交纳清单）；4、投标人为其他组织或自然人的，也需要按此项规定提供缴纳税收的凭据和交纳社会保险的凭据。5、依法不需要缴纳社会保障资金的投标人，须提供相应文件证明其依法不需要缴纳社会保障资金）</w:t>
            </w:r>
          </w:p>
        </w:tc>
      </w:tr>
      <w:tr w14:paraId="07E4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40" w:type="dxa"/>
            <w:vMerge w:val="continue"/>
            <w:noWrap w:val="0"/>
            <w:vAlign w:val="center"/>
          </w:tcPr>
          <w:p w14:paraId="0A397E8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335" w:type="dxa"/>
            <w:vMerge w:val="continue"/>
            <w:noWrap w:val="0"/>
            <w:vAlign w:val="center"/>
          </w:tcPr>
          <w:p w14:paraId="7EDE78B3">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kern w:val="2"/>
                <w:sz w:val="24"/>
                <w:szCs w:val="20"/>
                <w:highlight w:val="none"/>
                <w:lang w:val="zh-CN" w:eastAsia="zh-CN" w:bidi="ar-SA"/>
              </w:rPr>
            </w:pPr>
          </w:p>
        </w:tc>
        <w:tc>
          <w:tcPr>
            <w:tcW w:w="2957" w:type="dxa"/>
            <w:noWrap w:val="0"/>
            <w:vAlign w:val="center"/>
          </w:tcPr>
          <w:p w14:paraId="06B3A73B">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参加政府采购活动近3年内，在经营活动中没有重大违法记录</w:t>
            </w:r>
          </w:p>
        </w:tc>
        <w:tc>
          <w:tcPr>
            <w:tcW w:w="5117" w:type="dxa"/>
            <w:noWrap w:val="0"/>
            <w:vAlign w:val="center"/>
          </w:tcPr>
          <w:p w14:paraId="77430051">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提供书面声明。</w:t>
            </w:r>
          </w:p>
        </w:tc>
      </w:tr>
      <w:tr w14:paraId="0BEC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40" w:type="dxa"/>
            <w:vMerge w:val="continue"/>
            <w:noWrap w:val="0"/>
            <w:vAlign w:val="center"/>
          </w:tcPr>
          <w:p w14:paraId="38E7EA7B">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335" w:type="dxa"/>
            <w:vMerge w:val="continue"/>
            <w:noWrap w:val="0"/>
            <w:vAlign w:val="center"/>
          </w:tcPr>
          <w:p w14:paraId="621C6B27">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kern w:val="2"/>
                <w:sz w:val="24"/>
                <w:szCs w:val="20"/>
                <w:highlight w:val="none"/>
                <w:lang w:val="zh-CN" w:eastAsia="zh-CN" w:bidi="ar-SA"/>
              </w:rPr>
            </w:pPr>
          </w:p>
        </w:tc>
        <w:tc>
          <w:tcPr>
            <w:tcW w:w="2957" w:type="dxa"/>
            <w:noWrap w:val="0"/>
            <w:vAlign w:val="center"/>
          </w:tcPr>
          <w:p w14:paraId="7EAF0C29">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信用情况</w:t>
            </w:r>
          </w:p>
        </w:tc>
        <w:tc>
          <w:tcPr>
            <w:tcW w:w="5117" w:type="dxa"/>
            <w:noWrap w:val="0"/>
            <w:vAlign w:val="center"/>
          </w:tcPr>
          <w:p w14:paraId="4B355207">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未被“信用中国(www.creditchina.gov.cn)、中国政府采购网(www.ccgp.gov.cn)列入失信被执行人、重大税收违法案件当事人名单、政府采购严重违法失信行为记录名单。（以采购人或采购代理机构现场查询为准）</w:t>
            </w:r>
          </w:p>
        </w:tc>
      </w:tr>
      <w:tr w14:paraId="71CC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40" w:type="dxa"/>
            <w:noWrap w:val="0"/>
            <w:vAlign w:val="center"/>
          </w:tcPr>
          <w:p w14:paraId="088DBB14">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eastAsia="宋体" w:cs="宋体"/>
                <w:color w:val="auto"/>
                <w:spacing w:val="-20"/>
                <w:sz w:val="24"/>
                <w:szCs w:val="24"/>
                <w:highlight w:val="none"/>
                <w:lang w:eastAsia="zh-CN"/>
              </w:rPr>
            </w:pPr>
            <w:r>
              <w:rPr>
                <w:rFonts w:hint="eastAsia" w:ascii="宋体" w:hAnsi="宋体" w:cs="宋体"/>
                <w:color w:val="auto"/>
                <w:spacing w:val="-20"/>
                <w:sz w:val="24"/>
                <w:szCs w:val="24"/>
                <w:highlight w:val="none"/>
                <w:lang w:val="en-US" w:eastAsia="zh-CN"/>
              </w:rPr>
              <w:t>2</w:t>
            </w:r>
          </w:p>
        </w:tc>
        <w:tc>
          <w:tcPr>
            <w:tcW w:w="1335" w:type="dxa"/>
            <w:noWrap w:val="0"/>
            <w:vAlign w:val="center"/>
          </w:tcPr>
          <w:p w14:paraId="4589A79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特定资格要求</w:t>
            </w:r>
          </w:p>
        </w:tc>
        <w:tc>
          <w:tcPr>
            <w:tcW w:w="8074" w:type="dxa"/>
            <w:gridSpan w:val="2"/>
            <w:noWrap w:val="0"/>
            <w:vAlign w:val="center"/>
          </w:tcPr>
          <w:p w14:paraId="032262D2">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kern w:val="2"/>
                <w:sz w:val="24"/>
                <w:szCs w:val="20"/>
                <w:highlight w:val="none"/>
                <w:lang w:val="zh-CN" w:eastAsia="zh-CN" w:bidi="ar-SA"/>
              </w:rPr>
            </w:pPr>
          </w:p>
          <w:p w14:paraId="2D98A5E4">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具有有效期内的《食品经营许可证》或《食品生产许可证》；</w:t>
            </w:r>
            <w:r>
              <w:rPr>
                <w:rFonts w:hint="eastAsia" w:ascii="宋体" w:hAnsi="宋体" w:eastAsia="宋体" w:cs="宋体"/>
                <w:color w:val="auto"/>
                <w:kern w:val="2"/>
                <w:sz w:val="24"/>
                <w:szCs w:val="20"/>
                <w:highlight w:val="none"/>
                <w:lang w:val="zh-CN" w:eastAsia="zh-CN" w:bidi="ar-SA"/>
              </w:rPr>
              <w:br w:type="textWrapping"/>
            </w:r>
          </w:p>
        </w:tc>
      </w:tr>
      <w:tr w14:paraId="7745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40" w:type="dxa"/>
            <w:noWrap w:val="0"/>
            <w:vAlign w:val="center"/>
          </w:tcPr>
          <w:p w14:paraId="72ECE007">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default"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3</w:t>
            </w:r>
          </w:p>
        </w:tc>
        <w:tc>
          <w:tcPr>
            <w:tcW w:w="1335" w:type="dxa"/>
            <w:noWrap w:val="0"/>
            <w:vAlign w:val="center"/>
          </w:tcPr>
          <w:p w14:paraId="1F3C3B8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kern w:val="2"/>
                <w:sz w:val="24"/>
                <w:szCs w:val="20"/>
                <w:highlight w:val="none"/>
                <w:lang w:val="zh-CN" w:eastAsia="en-US" w:bidi="ar-SA"/>
              </w:rPr>
            </w:pPr>
            <w:r>
              <w:rPr>
                <w:rFonts w:hint="eastAsia" w:ascii="宋体" w:hAnsi="宋体" w:eastAsia="宋体" w:cs="宋体"/>
                <w:color w:val="auto"/>
                <w:kern w:val="2"/>
                <w:sz w:val="24"/>
                <w:szCs w:val="20"/>
                <w:highlight w:val="none"/>
                <w:lang w:val="en-US" w:eastAsia="zh-CN" w:bidi="ar-SA"/>
              </w:rPr>
              <w:t>政府采购政策</w:t>
            </w:r>
          </w:p>
        </w:tc>
        <w:tc>
          <w:tcPr>
            <w:tcW w:w="8074" w:type="dxa"/>
            <w:gridSpan w:val="2"/>
            <w:noWrap w:val="0"/>
            <w:vAlign w:val="center"/>
          </w:tcPr>
          <w:p w14:paraId="60B8C143">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本项目为专门面向中小企业采购的项目，投标人须提供《中小企业声明函》（复印件加盖公章）。</w:t>
            </w:r>
          </w:p>
        </w:tc>
      </w:tr>
    </w:tbl>
    <w:p w14:paraId="314B14B1">
      <w:pPr>
        <w:keepNext w:val="0"/>
        <w:keepLines w:val="0"/>
        <w:pageBreakBefore w:val="0"/>
        <w:widowControl w:val="0"/>
        <w:numPr>
          <w:ilvl w:val="0"/>
          <w:numId w:val="5"/>
        </w:numPr>
        <w:kinsoku/>
        <w:wordWrap/>
        <w:overflowPunct/>
        <w:topLinePunct w:val="0"/>
        <w:autoSpaceDE/>
        <w:autoSpaceDN/>
        <w:bidi w:val="0"/>
        <w:adjustRightInd/>
        <w:snapToGrid/>
        <w:spacing w:before="233" w:beforeLines="50"/>
        <w:jc w:val="both"/>
        <w:textAlignment w:val="auto"/>
        <w:rPr>
          <w:color w:val="auto"/>
          <w:highlight w:val="none"/>
        </w:rPr>
      </w:pPr>
      <w:r>
        <w:rPr>
          <w:rFonts w:hint="eastAsia" w:ascii="宋体" w:hAnsi="宋体" w:cs="宋体"/>
          <w:b/>
          <w:bCs/>
          <w:color w:val="auto"/>
          <w:sz w:val="28"/>
          <w:szCs w:val="28"/>
          <w:highlight w:val="none"/>
        </w:rPr>
        <w:t>投标供应商符合性审查</w:t>
      </w:r>
    </w:p>
    <w:p w14:paraId="59F6AB85">
      <w:pPr>
        <w:rPr>
          <w:rFonts w:ascii="宋体" w:hAnsi="宋体" w:cs="宋体"/>
          <w:b/>
          <w:bCs/>
          <w:color w:val="auto"/>
          <w:sz w:val="28"/>
          <w:szCs w:val="28"/>
          <w:highlight w:val="none"/>
        </w:rPr>
      </w:pPr>
    </w:p>
    <w:tbl>
      <w:tblPr>
        <w:tblStyle w:val="22"/>
        <w:tblW w:w="8840"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4870"/>
        <w:gridCol w:w="837"/>
        <w:gridCol w:w="837"/>
        <w:gridCol w:w="837"/>
        <w:gridCol w:w="837"/>
      </w:tblGrid>
      <w:tr w14:paraId="2CBA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492" w:type="dxa"/>
            <w:gridSpan w:val="2"/>
            <w:tcBorders>
              <w:bottom w:val="single" w:color="auto" w:sz="4" w:space="0"/>
            </w:tcBorders>
            <w:vAlign w:val="center"/>
          </w:tcPr>
          <w:p w14:paraId="3666A1A5">
            <w:pPr>
              <w:jc w:val="center"/>
              <w:rPr>
                <w:rFonts w:ascii="宋体" w:hAnsi="宋体" w:cs="宋体"/>
                <w:b/>
                <w:bCs/>
                <w:color w:val="auto"/>
                <w:szCs w:val="21"/>
                <w:highlight w:val="none"/>
              </w:rPr>
            </w:pPr>
            <w:r>
              <w:rPr>
                <w:rFonts w:hint="eastAsia" w:ascii="宋体" w:hAnsi="宋体" w:cs="宋体"/>
                <w:b/>
                <w:bCs/>
                <w:color w:val="auto"/>
                <w:szCs w:val="21"/>
                <w:highlight w:val="none"/>
              </w:rPr>
              <w:t>评  审  内  容</w:t>
            </w:r>
          </w:p>
        </w:tc>
        <w:tc>
          <w:tcPr>
            <w:tcW w:w="837" w:type="dxa"/>
            <w:tcBorders>
              <w:bottom w:val="single" w:color="auto" w:sz="4" w:space="0"/>
            </w:tcBorders>
            <w:vAlign w:val="center"/>
          </w:tcPr>
          <w:p w14:paraId="66D6B81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837" w:type="dxa"/>
            <w:tcBorders>
              <w:bottom w:val="single" w:color="auto" w:sz="4" w:space="0"/>
            </w:tcBorders>
            <w:vAlign w:val="center"/>
          </w:tcPr>
          <w:p w14:paraId="4FAE2711">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837" w:type="dxa"/>
            <w:tcBorders>
              <w:bottom w:val="single" w:color="auto" w:sz="4" w:space="0"/>
            </w:tcBorders>
            <w:vAlign w:val="center"/>
          </w:tcPr>
          <w:p w14:paraId="4D19E76B">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837" w:type="dxa"/>
            <w:tcBorders>
              <w:bottom w:val="single" w:color="auto" w:sz="4" w:space="0"/>
            </w:tcBorders>
            <w:vAlign w:val="center"/>
          </w:tcPr>
          <w:p w14:paraId="75342E19">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240D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55D77B6B">
            <w:pPr>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4870" w:type="dxa"/>
            <w:vAlign w:val="center"/>
          </w:tcPr>
          <w:p w14:paraId="7A0AAD23">
            <w:pPr>
              <w:pStyle w:val="12"/>
              <w:adjustRightInd w:val="0"/>
              <w:snapToGrid w:val="0"/>
              <w:spacing w:line="360" w:lineRule="auto"/>
              <w:rPr>
                <w:rFonts w:ascii="宋体" w:hAnsi="宋体" w:cs="宋体"/>
                <w:color w:val="auto"/>
                <w:sz w:val="22"/>
                <w:szCs w:val="22"/>
                <w:highlight w:val="none"/>
              </w:rPr>
            </w:pPr>
            <w:r>
              <w:rPr>
                <w:rFonts w:hint="eastAsia" w:ascii="宋体" w:hAnsi="宋体" w:eastAsia="宋体" w:cs="宋体"/>
                <w:color w:val="auto"/>
                <w:sz w:val="24"/>
                <w:szCs w:val="20"/>
                <w:highlight w:val="none"/>
                <w:lang w:val="en-US"/>
              </w:rPr>
              <w:t>投标保证金的缴纳主体与投标人一致，按照</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要求提供投标保证金，或者所提供的投标担保</w:t>
            </w:r>
            <w:r>
              <w:rPr>
                <w:rFonts w:hint="eastAsia" w:hAnsi="宋体" w:eastAsia="宋体" w:cs="宋体"/>
                <w:color w:val="auto"/>
                <w:sz w:val="24"/>
                <w:szCs w:val="20"/>
                <w:highlight w:val="none"/>
                <w:lang w:val="en-US" w:eastAsia="zh-CN"/>
              </w:rPr>
              <w:t>没</w:t>
            </w:r>
            <w:r>
              <w:rPr>
                <w:rFonts w:hint="eastAsia" w:ascii="宋体" w:hAnsi="宋体" w:eastAsia="宋体" w:cs="宋体"/>
                <w:color w:val="auto"/>
                <w:sz w:val="24"/>
                <w:szCs w:val="20"/>
                <w:highlight w:val="none"/>
                <w:lang w:val="en-US"/>
              </w:rPr>
              <w:t>有瑕疵的；</w:t>
            </w:r>
          </w:p>
        </w:tc>
        <w:tc>
          <w:tcPr>
            <w:tcW w:w="837" w:type="dxa"/>
            <w:vAlign w:val="center"/>
          </w:tcPr>
          <w:p w14:paraId="602357AF">
            <w:pPr>
              <w:rPr>
                <w:rFonts w:ascii="宋体" w:hAnsi="宋体" w:cs="宋体"/>
                <w:color w:val="auto"/>
                <w:szCs w:val="21"/>
                <w:highlight w:val="none"/>
              </w:rPr>
            </w:pPr>
          </w:p>
        </w:tc>
        <w:tc>
          <w:tcPr>
            <w:tcW w:w="837" w:type="dxa"/>
            <w:vAlign w:val="center"/>
          </w:tcPr>
          <w:p w14:paraId="3149CF54">
            <w:pPr>
              <w:rPr>
                <w:rFonts w:ascii="宋体" w:hAnsi="宋体" w:cs="宋体"/>
                <w:color w:val="auto"/>
                <w:szCs w:val="21"/>
                <w:highlight w:val="none"/>
              </w:rPr>
            </w:pPr>
          </w:p>
        </w:tc>
        <w:tc>
          <w:tcPr>
            <w:tcW w:w="837" w:type="dxa"/>
            <w:vAlign w:val="center"/>
          </w:tcPr>
          <w:p w14:paraId="561F34E9">
            <w:pPr>
              <w:rPr>
                <w:rFonts w:ascii="宋体" w:hAnsi="宋体" w:cs="宋体"/>
                <w:color w:val="auto"/>
                <w:szCs w:val="21"/>
                <w:highlight w:val="none"/>
              </w:rPr>
            </w:pPr>
          </w:p>
        </w:tc>
        <w:tc>
          <w:tcPr>
            <w:tcW w:w="837" w:type="dxa"/>
            <w:vAlign w:val="center"/>
          </w:tcPr>
          <w:p w14:paraId="3DAF71D8">
            <w:pPr>
              <w:rPr>
                <w:rFonts w:ascii="宋体" w:hAnsi="宋体" w:cs="宋体"/>
                <w:color w:val="auto"/>
                <w:szCs w:val="21"/>
                <w:highlight w:val="none"/>
              </w:rPr>
            </w:pPr>
          </w:p>
        </w:tc>
      </w:tr>
      <w:tr w14:paraId="5378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77076ABF">
            <w:pPr>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4870" w:type="dxa"/>
            <w:vAlign w:val="center"/>
          </w:tcPr>
          <w:p w14:paraId="48B512B2">
            <w:pPr>
              <w:pStyle w:val="12"/>
              <w:adjustRightInd w:val="0"/>
              <w:snapToGrid w:val="0"/>
              <w:spacing w:line="360" w:lineRule="auto"/>
              <w:rPr>
                <w:rFonts w:ascii="宋体" w:hAnsi="宋体" w:cs="宋体"/>
                <w:color w:val="auto"/>
                <w:sz w:val="22"/>
                <w:szCs w:val="22"/>
                <w:highlight w:val="none"/>
              </w:rPr>
            </w:pPr>
            <w:r>
              <w:rPr>
                <w:rFonts w:hint="eastAsia" w:ascii="宋体" w:hAnsi="宋体" w:eastAsia="宋体" w:cs="宋体"/>
                <w:color w:val="auto"/>
                <w:sz w:val="24"/>
                <w:szCs w:val="20"/>
                <w:highlight w:val="none"/>
              </w:rPr>
              <w:t>投标人的名称、组织机构与投标报名时相符，</w:t>
            </w:r>
            <w:r>
              <w:rPr>
                <w:rFonts w:hint="eastAsia" w:hAnsi="宋体" w:eastAsia="宋体" w:cs="宋体"/>
                <w:color w:val="auto"/>
                <w:sz w:val="24"/>
                <w:szCs w:val="20"/>
                <w:highlight w:val="none"/>
                <w:lang w:val="en-US" w:eastAsia="zh-CN"/>
              </w:rPr>
              <w:t>未</w:t>
            </w:r>
            <w:r>
              <w:rPr>
                <w:rFonts w:hint="eastAsia" w:ascii="宋体" w:hAnsi="宋体" w:eastAsia="宋体" w:cs="宋体"/>
                <w:color w:val="auto"/>
                <w:sz w:val="24"/>
                <w:szCs w:val="20"/>
                <w:highlight w:val="none"/>
              </w:rPr>
              <w:t>涉嫌以他人名义投标的或投标人之间串通投标的；</w:t>
            </w:r>
            <w:r>
              <w:rPr>
                <w:rFonts w:hint="eastAsia" w:hAnsi="宋体" w:eastAsia="宋体" w:cs="宋体"/>
                <w:color w:val="auto"/>
                <w:sz w:val="24"/>
                <w:szCs w:val="20"/>
                <w:highlight w:val="none"/>
                <w:lang w:val="en-US" w:eastAsia="zh-CN"/>
              </w:rPr>
              <w:t>不存在</w:t>
            </w:r>
            <w:r>
              <w:rPr>
                <w:rFonts w:hint="eastAsia" w:ascii="宋体" w:hAnsi="宋体" w:eastAsia="宋体" w:cs="宋体"/>
                <w:color w:val="auto"/>
                <w:sz w:val="24"/>
                <w:szCs w:val="20"/>
                <w:highlight w:val="none"/>
              </w:rPr>
              <w:t>以行贿手段谋取</w:t>
            </w:r>
            <w:r>
              <w:rPr>
                <w:rFonts w:hint="eastAsia" w:hAnsi="宋体" w:eastAsia="宋体" w:cs="宋体"/>
                <w:color w:val="auto"/>
                <w:sz w:val="24"/>
                <w:szCs w:val="20"/>
                <w:highlight w:val="none"/>
                <w:lang w:eastAsia="zh-CN"/>
              </w:rPr>
              <w:t>成交</w:t>
            </w:r>
            <w:r>
              <w:rPr>
                <w:rFonts w:hint="eastAsia" w:ascii="宋体" w:hAnsi="宋体" w:eastAsia="宋体" w:cs="宋体"/>
                <w:color w:val="auto"/>
                <w:sz w:val="24"/>
                <w:szCs w:val="20"/>
                <w:highlight w:val="none"/>
              </w:rPr>
              <w:t>或者以其他弄虚作假方式投标的；</w:t>
            </w:r>
          </w:p>
        </w:tc>
        <w:tc>
          <w:tcPr>
            <w:tcW w:w="837" w:type="dxa"/>
            <w:vAlign w:val="center"/>
          </w:tcPr>
          <w:p w14:paraId="1E102984">
            <w:pPr>
              <w:rPr>
                <w:rFonts w:ascii="宋体" w:hAnsi="宋体" w:cs="宋体"/>
                <w:color w:val="auto"/>
                <w:szCs w:val="21"/>
                <w:highlight w:val="none"/>
              </w:rPr>
            </w:pPr>
          </w:p>
        </w:tc>
        <w:tc>
          <w:tcPr>
            <w:tcW w:w="837" w:type="dxa"/>
            <w:vAlign w:val="center"/>
          </w:tcPr>
          <w:p w14:paraId="1C8A5205">
            <w:pPr>
              <w:rPr>
                <w:rFonts w:ascii="宋体" w:hAnsi="宋体" w:cs="宋体"/>
                <w:color w:val="auto"/>
                <w:szCs w:val="21"/>
                <w:highlight w:val="none"/>
              </w:rPr>
            </w:pPr>
          </w:p>
        </w:tc>
        <w:tc>
          <w:tcPr>
            <w:tcW w:w="837" w:type="dxa"/>
            <w:vAlign w:val="center"/>
          </w:tcPr>
          <w:p w14:paraId="0970FB72">
            <w:pPr>
              <w:rPr>
                <w:rFonts w:ascii="宋体" w:hAnsi="宋体" w:cs="宋体"/>
                <w:color w:val="auto"/>
                <w:szCs w:val="21"/>
                <w:highlight w:val="none"/>
              </w:rPr>
            </w:pPr>
          </w:p>
        </w:tc>
        <w:tc>
          <w:tcPr>
            <w:tcW w:w="837" w:type="dxa"/>
            <w:vAlign w:val="center"/>
          </w:tcPr>
          <w:p w14:paraId="1664DADE">
            <w:pPr>
              <w:rPr>
                <w:rFonts w:ascii="宋体" w:hAnsi="宋体" w:cs="宋体"/>
                <w:color w:val="auto"/>
                <w:szCs w:val="21"/>
                <w:highlight w:val="none"/>
              </w:rPr>
            </w:pPr>
          </w:p>
        </w:tc>
      </w:tr>
      <w:tr w14:paraId="43B6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399AE20E">
            <w:pPr>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4870" w:type="dxa"/>
            <w:vAlign w:val="center"/>
          </w:tcPr>
          <w:p w14:paraId="0EB5FC38">
            <w:pPr>
              <w:rPr>
                <w:rFonts w:ascii="宋体" w:hAnsi="宋体" w:cs="宋体"/>
                <w:color w:val="auto"/>
                <w:sz w:val="22"/>
                <w:szCs w:val="22"/>
                <w:highlight w:val="none"/>
              </w:rPr>
            </w:pPr>
            <w:r>
              <w:rPr>
                <w:rFonts w:hint="eastAsia" w:ascii="宋体" w:hAnsi="宋体" w:eastAsia="宋体" w:cs="宋体"/>
                <w:color w:val="auto"/>
                <w:sz w:val="24"/>
                <w:szCs w:val="20"/>
                <w:highlight w:val="none"/>
              </w:rPr>
              <w:t>满足采购资格条件的；</w:t>
            </w:r>
          </w:p>
        </w:tc>
        <w:tc>
          <w:tcPr>
            <w:tcW w:w="837" w:type="dxa"/>
            <w:vAlign w:val="center"/>
          </w:tcPr>
          <w:p w14:paraId="2B98E1E8">
            <w:pPr>
              <w:rPr>
                <w:rFonts w:ascii="宋体" w:hAnsi="宋体" w:cs="宋体"/>
                <w:color w:val="auto"/>
                <w:szCs w:val="21"/>
                <w:highlight w:val="none"/>
              </w:rPr>
            </w:pPr>
          </w:p>
        </w:tc>
        <w:tc>
          <w:tcPr>
            <w:tcW w:w="837" w:type="dxa"/>
            <w:vAlign w:val="center"/>
          </w:tcPr>
          <w:p w14:paraId="106DAEBF">
            <w:pPr>
              <w:rPr>
                <w:rFonts w:ascii="宋体" w:hAnsi="宋体" w:cs="宋体"/>
                <w:color w:val="auto"/>
                <w:szCs w:val="21"/>
                <w:highlight w:val="none"/>
              </w:rPr>
            </w:pPr>
          </w:p>
        </w:tc>
        <w:tc>
          <w:tcPr>
            <w:tcW w:w="837" w:type="dxa"/>
            <w:vAlign w:val="center"/>
          </w:tcPr>
          <w:p w14:paraId="65B6E399">
            <w:pPr>
              <w:rPr>
                <w:rFonts w:ascii="宋体" w:hAnsi="宋体" w:cs="宋体"/>
                <w:color w:val="auto"/>
                <w:szCs w:val="21"/>
                <w:highlight w:val="none"/>
              </w:rPr>
            </w:pPr>
          </w:p>
        </w:tc>
        <w:tc>
          <w:tcPr>
            <w:tcW w:w="837" w:type="dxa"/>
            <w:vAlign w:val="center"/>
          </w:tcPr>
          <w:p w14:paraId="704D1300">
            <w:pPr>
              <w:rPr>
                <w:rFonts w:ascii="宋体" w:hAnsi="宋体" w:cs="宋体"/>
                <w:color w:val="auto"/>
                <w:szCs w:val="21"/>
                <w:highlight w:val="none"/>
              </w:rPr>
            </w:pPr>
          </w:p>
        </w:tc>
      </w:tr>
      <w:tr w14:paraId="37F7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42A053B1">
            <w:pPr>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4870" w:type="dxa"/>
            <w:vAlign w:val="center"/>
          </w:tcPr>
          <w:p w14:paraId="41C2961C">
            <w:pPr>
              <w:rPr>
                <w:rFonts w:ascii="宋体" w:hAnsi="宋体" w:cs="宋体"/>
                <w:color w:val="auto"/>
                <w:spacing w:val="15"/>
                <w:kern w:val="0"/>
                <w:sz w:val="22"/>
                <w:szCs w:val="22"/>
                <w:highlight w:val="none"/>
              </w:rPr>
            </w:pPr>
            <w:r>
              <w:rPr>
                <w:rFonts w:hint="eastAsia" w:ascii="宋体"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rPr>
              <w:t>文件按</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要求的地方加盖供应商公章和供应商法定代表人或其授权代表</w:t>
            </w:r>
            <w:r>
              <w:rPr>
                <w:rFonts w:hint="eastAsia" w:hAnsi="宋体" w:eastAsia="宋体" w:cs="宋体"/>
                <w:color w:val="auto"/>
                <w:sz w:val="24"/>
                <w:szCs w:val="20"/>
                <w:highlight w:val="none"/>
                <w:lang w:val="en-US" w:eastAsia="zh-CN"/>
              </w:rPr>
              <w:t>签字或盖章</w:t>
            </w:r>
            <w:r>
              <w:rPr>
                <w:rFonts w:hint="eastAsia" w:ascii="宋体" w:hAnsi="宋体" w:eastAsia="宋体" w:cs="宋体"/>
                <w:color w:val="auto"/>
                <w:sz w:val="24"/>
                <w:szCs w:val="20"/>
                <w:highlight w:val="none"/>
                <w:lang w:val="en-US"/>
              </w:rPr>
              <w:t>；</w:t>
            </w:r>
          </w:p>
        </w:tc>
        <w:tc>
          <w:tcPr>
            <w:tcW w:w="837" w:type="dxa"/>
            <w:vAlign w:val="center"/>
          </w:tcPr>
          <w:p w14:paraId="0037270F">
            <w:pPr>
              <w:rPr>
                <w:rFonts w:ascii="宋体" w:hAnsi="宋体" w:cs="宋体"/>
                <w:color w:val="auto"/>
                <w:szCs w:val="21"/>
                <w:highlight w:val="none"/>
              </w:rPr>
            </w:pPr>
          </w:p>
        </w:tc>
        <w:tc>
          <w:tcPr>
            <w:tcW w:w="837" w:type="dxa"/>
            <w:vAlign w:val="center"/>
          </w:tcPr>
          <w:p w14:paraId="5E5AFE09">
            <w:pPr>
              <w:rPr>
                <w:rFonts w:ascii="宋体" w:hAnsi="宋体" w:cs="宋体"/>
                <w:color w:val="auto"/>
                <w:szCs w:val="21"/>
                <w:highlight w:val="none"/>
              </w:rPr>
            </w:pPr>
          </w:p>
        </w:tc>
        <w:tc>
          <w:tcPr>
            <w:tcW w:w="837" w:type="dxa"/>
            <w:vAlign w:val="center"/>
          </w:tcPr>
          <w:p w14:paraId="42B7503D">
            <w:pPr>
              <w:rPr>
                <w:rFonts w:ascii="宋体" w:hAnsi="宋体" w:cs="宋体"/>
                <w:color w:val="auto"/>
                <w:szCs w:val="21"/>
                <w:highlight w:val="none"/>
              </w:rPr>
            </w:pPr>
          </w:p>
        </w:tc>
        <w:tc>
          <w:tcPr>
            <w:tcW w:w="837" w:type="dxa"/>
            <w:vAlign w:val="center"/>
          </w:tcPr>
          <w:p w14:paraId="7C7FA9C5">
            <w:pPr>
              <w:rPr>
                <w:rFonts w:ascii="宋体" w:hAnsi="宋体" w:cs="宋体"/>
                <w:color w:val="auto"/>
                <w:szCs w:val="21"/>
                <w:highlight w:val="none"/>
              </w:rPr>
            </w:pPr>
          </w:p>
        </w:tc>
      </w:tr>
      <w:tr w14:paraId="234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70804734">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4870" w:type="dxa"/>
            <w:vAlign w:val="center"/>
          </w:tcPr>
          <w:p w14:paraId="33BF1898">
            <w:pPr>
              <w:rPr>
                <w:rFonts w:ascii="宋体" w:hAnsi="宋体" w:cs="宋体"/>
                <w:color w:val="auto"/>
                <w:spacing w:val="15"/>
                <w:kern w:val="0"/>
                <w:sz w:val="22"/>
                <w:szCs w:val="22"/>
                <w:highlight w:val="none"/>
              </w:rPr>
            </w:pPr>
            <w:r>
              <w:rPr>
                <w:rFonts w:hint="eastAsia" w:ascii="宋体" w:hAnsi="宋体" w:eastAsia="宋体" w:cs="宋体"/>
                <w:color w:val="auto"/>
                <w:sz w:val="24"/>
                <w:szCs w:val="20"/>
                <w:highlight w:val="none"/>
                <w:lang w:val="en-US"/>
              </w:rPr>
              <w:t>投标报价</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高于设定的采购</w:t>
            </w:r>
            <w:r>
              <w:rPr>
                <w:rFonts w:hint="eastAsia" w:ascii="宋体" w:hAnsi="宋体" w:eastAsia="宋体" w:cs="宋体"/>
                <w:color w:val="auto"/>
                <w:sz w:val="24"/>
                <w:szCs w:val="20"/>
                <w:highlight w:val="none"/>
                <w:lang w:val="en-US" w:eastAsia="zh-CN"/>
              </w:rPr>
              <w:t>控制价</w:t>
            </w:r>
            <w:r>
              <w:rPr>
                <w:rFonts w:hint="eastAsia" w:ascii="宋体" w:hAnsi="宋体" w:eastAsia="宋体" w:cs="宋体"/>
                <w:color w:val="auto"/>
                <w:sz w:val="24"/>
                <w:szCs w:val="20"/>
                <w:highlight w:val="none"/>
                <w:lang w:val="en-US"/>
              </w:rPr>
              <w:t>的；</w:t>
            </w:r>
          </w:p>
        </w:tc>
        <w:tc>
          <w:tcPr>
            <w:tcW w:w="837" w:type="dxa"/>
            <w:vAlign w:val="center"/>
          </w:tcPr>
          <w:p w14:paraId="7A1A0B59">
            <w:pPr>
              <w:rPr>
                <w:rFonts w:ascii="宋体" w:hAnsi="宋体" w:cs="宋体"/>
                <w:color w:val="auto"/>
                <w:szCs w:val="21"/>
                <w:highlight w:val="none"/>
              </w:rPr>
            </w:pPr>
          </w:p>
        </w:tc>
        <w:tc>
          <w:tcPr>
            <w:tcW w:w="837" w:type="dxa"/>
            <w:vAlign w:val="center"/>
          </w:tcPr>
          <w:p w14:paraId="0F5D514A">
            <w:pPr>
              <w:rPr>
                <w:rFonts w:ascii="宋体" w:hAnsi="宋体" w:cs="宋体"/>
                <w:color w:val="auto"/>
                <w:szCs w:val="21"/>
                <w:highlight w:val="none"/>
              </w:rPr>
            </w:pPr>
          </w:p>
        </w:tc>
        <w:tc>
          <w:tcPr>
            <w:tcW w:w="837" w:type="dxa"/>
            <w:vAlign w:val="center"/>
          </w:tcPr>
          <w:p w14:paraId="617C30AE">
            <w:pPr>
              <w:rPr>
                <w:rFonts w:ascii="宋体" w:hAnsi="宋体" w:cs="宋体"/>
                <w:color w:val="auto"/>
                <w:szCs w:val="21"/>
                <w:highlight w:val="none"/>
              </w:rPr>
            </w:pPr>
          </w:p>
        </w:tc>
        <w:tc>
          <w:tcPr>
            <w:tcW w:w="837" w:type="dxa"/>
            <w:vAlign w:val="center"/>
          </w:tcPr>
          <w:p w14:paraId="51F44B8E">
            <w:pPr>
              <w:rPr>
                <w:rFonts w:ascii="宋体" w:hAnsi="宋体" w:cs="宋体"/>
                <w:color w:val="auto"/>
                <w:szCs w:val="21"/>
                <w:highlight w:val="none"/>
              </w:rPr>
            </w:pPr>
          </w:p>
        </w:tc>
      </w:tr>
      <w:tr w14:paraId="0153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6710F59C">
            <w:pPr>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4870" w:type="dxa"/>
            <w:vAlign w:val="center"/>
          </w:tcPr>
          <w:p w14:paraId="0342D433">
            <w:pPr>
              <w:pStyle w:val="12"/>
              <w:adjustRightInd w:val="0"/>
              <w:snapToGrid w:val="0"/>
              <w:spacing w:line="360" w:lineRule="auto"/>
              <w:rPr>
                <w:rFonts w:ascii="宋体" w:hAnsi="宋体" w:cs="宋体"/>
                <w:color w:val="auto"/>
                <w:spacing w:val="15"/>
                <w:kern w:val="0"/>
                <w:sz w:val="22"/>
                <w:szCs w:val="22"/>
                <w:highlight w:val="none"/>
              </w:rPr>
            </w:pPr>
            <w:r>
              <w:rPr>
                <w:rFonts w:hint="eastAsia" w:ascii="宋体" w:hAnsi="宋体" w:eastAsia="宋体" w:cs="宋体"/>
                <w:color w:val="auto"/>
                <w:sz w:val="24"/>
                <w:szCs w:val="20"/>
                <w:highlight w:val="none"/>
                <w:lang w:val="en-US"/>
              </w:rPr>
              <w:t>投标人对同一招标项目</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rPr>
              <w:t>做出两个以上报价未明确效力的；</w:t>
            </w:r>
          </w:p>
        </w:tc>
        <w:tc>
          <w:tcPr>
            <w:tcW w:w="837" w:type="dxa"/>
            <w:vAlign w:val="center"/>
          </w:tcPr>
          <w:p w14:paraId="3FB3627E">
            <w:pPr>
              <w:rPr>
                <w:rFonts w:ascii="宋体" w:hAnsi="宋体" w:cs="宋体"/>
                <w:color w:val="auto"/>
                <w:szCs w:val="21"/>
                <w:highlight w:val="none"/>
              </w:rPr>
            </w:pPr>
          </w:p>
        </w:tc>
        <w:tc>
          <w:tcPr>
            <w:tcW w:w="837" w:type="dxa"/>
            <w:vAlign w:val="center"/>
          </w:tcPr>
          <w:p w14:paraId="1FCECD50">
            <w:pPr>
              <w:rPr>
                <w:rFonts w:ascii="宋体" w:hAnsi="宋体" w:cs="宋体"/>
                <w:color w:val="auto"/>
                <w:szCs w:val="21"/>
                <w:highlight w:val="none"/>
              </w:rPr>
            </w:pPr>
          </w:p>
        </w:tc>
        <w:tc>
          <w:tcPr>
            <w:tcW w:w="837" w:type="dxa"/>
            <w:vAlign w:val="center"/>
          </w:tcPr>
          <w:p w14:paraId="1ED3AEE9">
            <w:pPr>
              <w:rPr>
                <w:rFonts w:ascii="宋体" w:hAnsi="宋体" w:cs="宋体"/>
                <w:color w:val="auto"/>
                <w:szCs w:val="21"/>
                <w:highlight w:val="none"/>
              </w:rPr>
            </w:pPr>
          </w:p>
        </w:tc>
        <w:tc>
          <w:tcPr>
            <w:tcW w:w="837" w:type="dxa"/>
            <w:vAlign w:val="center"/>
          </w:tcPr>
          <w:p w14:paraId="62173527">
            <w:pPr>
              <w:rPr>
                <w:rFonts w:ascii="宋体" w:hAnsi="宋体" w:cs="宋体"/>
                <w:color w:val="auto"/>
                <w:szCs w:val="21"/>
                <w:highlight w:val="none"/>
              </w:rPr>
            </w:pPr>
          </w:p>
        </w:tc>
      </w:tr>
      <w:tr w14:paraId="0868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7A2D9669">
            <w:pPr>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4870" w:type="dxa"/>
            <w:vAlign w:val="center"/>
          </w:tcPr>
          <w:p w14:paraId="69F7AD26">
            <w:pPr>
              <w:pStyle w:val="12"/>
              <w:adjustRightInd w:val="0"/>
              <w:snapToGrid w:val="0"/>
              <w:spacing w:line="360" w:lineRule="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响应文件记载的合同履约期限</w:t>
            </w:r>
            <w:r>
              <w:rPr>
                <w:rFonts w:hint="eastAsia" w:ascii="宋体" w:hAnsi="宋体" w:cs="宋体"/>
                <w:color w:val="auto"/>
                <w:sz w:val="24"/>
                <w:szCs w:val="20"/>
                <w:highlight w:val="none"/>
                <w:lang w:val="en-US" w:eastAsia="zh-CN"/>
              </w:rPr>
              <w:t>未</w:t>
            </w:r>
            <w:r>
              <w:rPr>
                <w:rFonts w:hint="eastAsia" w:ascii="宋体" w:hAnsi="宋体" w:eastAsia="宋体" w:cs="宋体"/>
                <w:color w:val="auto"/>
                <w:sz w:val="24"/>
                <w:szCs w:val="20"/>
                <w:highlight w:val="none"/>
                <w:lang w:val="en-US" w:eastAsia="zh-CN"/>
              </w:rPr>
              <w:t>超过</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规定的合同履约期限的；</w:t>
            </w:r>
            <w:r>
              <w:rPr>
                <w:rFonts w:hint="eastAsia" w:hAnsi="宋体" w:eastAsia="宋体" w:cs="宋体"/>
                <w:color w:val="auto"/>
                <w:sz w:val="24"/>
                <w:szCs w:val="20"/>
                <w:highlight w:val="none"/>
                <w:lang w:val="en-US" w:eastAsia="zh-CN"/>
              </w:rPr>
              <w:t>质量</w:t>
            </w:r>
            <w:r>
              <w:rPr>
                <w:rFonts w:hint="eastAsia" w:ascii="宋体" w:hAnsi="宋体" w:eastAsia="宋体" w:cs="宋体"/>
                <w:color w:val="auto"/>
                <w:sz w:val="24"/>
                <w:szCs w:val="20"/>
                <w:highlight w:val="none"/>
                <w:lang w:val="en-US" w:eastAsia="zh-CN"/>
              </w:rPr>
              <w:t>标准满足</w:t>
            </w:r>
            <w:r>
              <w:rPr>
                <w:rFonts w:hint="eastAsia" w:hAnsi="宋体" w:eastAsia="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eastAsia="zh-CN"/>
              </w:rPr>
              <w:t>要求</w:t>
            </w:r>
            <w:r>
              <w:rPr>
                <w:rFonts w:hint="eastAsia" w:hAnsi="宋体" w:eastAsia="宋体" w:cs="宋体"/>
                <w:color w:val="auto"/>
                <w:sz w:val="24"/>
                <w:szCs w:val="20"/>
                <w:highlight w:val="none"/>
                <w:lang w:val="en-US" w:eastAsia="zh-CN"/>
              </w:rPr>
              <w:t>；</w:t>
            </w:r>
          </w:p>
        </w:tc>
        <w:tc>
          <w:tcPr>
            <w:tcW w:w="837" w:type="dxa"/>
            <w:vAlign w:val="center"/>
          </w:tcPr>
          <w:p w14:paraId="0298FF58">
            <w:pPr>
              <w:rPr>
                <w:rFonts w:ascii="宋体" w:hAnsi="宋体" w:cs="宋体"/>
                <w:color w:val="auto"/>
                <w:szCs w:val="21"/>
                <w:highlight w:val="none"/>
              </w:rPr>
            </w:pPr>
          </w:p>
        </w:tc>
        <w:tc>
          <w:tcPr>
            <w:tcW w:w="837" w:type="dxa"/>
            <w:vAlign w:val="center"/>
          </w:tcPr>
          <w:p w14:paraId="0DB11501">
            <w:pPr>
              <w:rPr>
                <w:rFonts w:ascii="宋体" w:hAnsi="宋体" w:cs="宋体"/>
                <w:color w:val="auto"/>
                <w:szCs w:val="21"/>
                <w:highlight w:val="none"/>
              </w:rPr>
            </w:pPr>
          </w:p>
        </w:tc>
        <w:tc>
          <w:tcPr>
            <w:tcW w:w="837" w:type="dxa"/>
            <w:vAlign w:val="center"/>
          </w:tcPr>
          <w:p w14:paraId="00484AF6">
            <w:pPr>
              <w:rPr>
                <w:rFonts w:ascii="宋体" w:hAnsi="宋体" w:cs="宋体"/>
                <w:color w:val="auto"/>
                <w:szCs w:val="21"/>
                <w:highlight w:val="none"/>
              </w:rPr>
            </w:pPr>
          </w:p>
        </w:tc>
        <w:tc>
          <w:tcPr>
            <w:tcW w:w="837" w:type="dxa"/>
            <w:vAlign w:val="center"/>
          </w:tcPr>
          <w:p w14:paraId="154361B3">
            <w:pPr>
              <w:rPr>
                <w:rFonts w:ascii="宋体" w:hAnsi="宋体" w:cs="宋体"/>
                <w:color w:val="auto"/>
                <w:szCs w:val="21"/>
                <w:highlight w:val="none"/>
              </w:rPr>
            </w:pPr>
          </w:p>
        </w:tc>
      </w:tr>
      <w:tr w14:paraId="306B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4FB3844F">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4870" w:type="dxa"/>
            <w:vAlign w:val="center"/>
          </w:tcPr>
          <w:p w14:paraId="00E65ABD">
            <w:pPr>
              <w:rPr>
                <w:rFonts w:ascii="宋体" w:hAnsi="宋体" w:cs="宋体"/>
                <w:color w:val="auto"/>
                <w:sz w:val="22"/>
                <w:szCs w:val="21"/>
                <w:highlight w:val="none"/>
              </w:rPr>
            </w:pPr>
            <w:r>
              <w:rPr>
                <w:rFonts w:hint="eastAsia" w:ascii="宋体"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rPr>
              <w:t>文件中所报</w:t>
            </w:r>
            <w:r>
              <w:rPr>
                <w:rFonts w:hint="eastAsia" w:ascii="宋体" w:hAnsi="宋体" w:cs="宋体"/>
                <w:color w:val="auto"/>
                <w:sz w:val="24"/>
                <w:szCs w:val="20"/>
                <w:highlight w:val="none"/>
                <w:lang w:val="en-US" w:eastAsia="zh-CN"/>
              </w:rPr>
              <w:t>采购</w:t>
            </w:r>
            <w:r>
              <w:rPr>
                <w:rFonts w:hint="eastAsia" w:ascii="宋体" w:hAnsi="宋体" w:eastAsia="宋体" w:cs="宋体"/>
                <w:color w:val="auto"/>
                <w:sz w:val="24"/>
                <w:szCs w:val="20"/>
                <w:highlight w:val="none"/>
                <w:lang w:val="en-US" w:eastAsia="zh-CN"/>
              </w:rPr>
              <w:t>内容</w:t>
            </w: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要求；</w:t>
            </w:r>
          </w:p>
        </w:tc>
        <w:tc>
          <w:tcPr>
            <w:tcW w:w="837" w:type="dxa"/>
            <w:vAlign w:val="center"/>
          </w:tcPr>
          <w:p w14:paraId="2C7D96FD">
            <w:pPr>
              <w:rPr>
                <w:rFonts w:ascii="宋体" w:hAnsi="宋体" w:cs="宋体"/>
                <w:color w:val="auto"/>
                <w:szCs w:val="21"/>
                <w:highlight w:val="none"/>
              </w:rPr>
            </w:pPr>
          </w:p>
        </w:tc>
        <w:tc>
          <w:tcPr>
            <w:tcW w:w="837" w:type="dxa"/>
            <w:vAlign w:val="center"/>
          </w:tcPr>
          <w:p w14:paraId="75438B3E">
            <w:pPr>
              <w:rPr>
                <w:rFonts w:ascii="宋体" w:hAnsi="宋体" w:cs="宋体"/>
                <w:color w:val="auto"/>
                <w:szCs w:val="21"/>
                <w:highlight w:val="none"/>
              </w:rPr>
            </w:pPr>
          </w:p>
        </w:tc>
        <w:tc>
          <w:tcPr>
            <w:tcW w:w="837" w:type="dxa"/>
            <w:vAlign w:val="center"/>
          </w:tcPr>
          <w:p w14:paraId="5202879D">
            <w:pPr>
              <w:rPr>
                <w:rFonts w:ascii="宋体" w:hAnsi="宋体" w:cs="宋体"/>
                <w:color w:val="auto"/>
                <w:szCs w:val="21"/>
                <w:highlight w:val="none"/>
              </w:rPr>
            </w:pPr>
          </w:p>
        </w:tc>
        <w:tc>
          <w:tcPr>
            <w:tcW w:w="837" w:type="dxa"/>
            <w:vAlign w:val="center"/>
          </w:tcPr>
          <w:p w14:paraId="1E43B855">
            <w:pPr>
              <w:rPr>
                <w:rFonts w:ascii="宋体" w:hAnsi="宋体" w:cs="宋体"/>
                <w:color w:val="auto"/>
                <w:szCs w:val="21"/>
                <w:highlight w:val="none"/>
              </w:rPr>
            </w:pPr>
          </w:p>
        </w:tc>
      </w:tr>
      <w:tr w14:paraId="5247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738394AA">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w:t>
            </w:r>
          </w:p>
        </w:tc>
        <w:tc>
          <w:tcPr>
            <w:tcW w:w="4870" w:type="dxa"/>
            <w:vAlign w:val="center"/>
          </w:tcPr>
          <w:p w14:paraId="7834AA22">
            <w:pPr>
              <w:rPr>
                <w:rFonts w:hint="eastAsia" w:ascii="宋体" w:hAnsi="宋体" w:eastAsia="宋体" w:cs="宋体"/>
                <w:color w:val="auto"/>
                <w:sz w:val="22"/>
                <w:szCs w:val="21"/>
                <w:highlight w:val="none"/>
                <w:lang w:eastAsia="zh-CN"/>
              </w:rPr>
            </w:pPr>
            <w:r>
              <w:rPr>
                <w:rFonts w:hint="eastAsia" w:ascii="宋体" w:hAnsi="宋体" w:eastAsia="宋体" w:cs="宋体"/>
                <w:color w:val="auto"/>
                <w:sz w:val="24"/>
                <w:szCs w:val="20"/>
                <w:highlight w:val="none"/>
                <w:lang w:val="en-US" w:eastAsia="zh-CN"/>
              </w:rPr>
              <w:t>响应</w:t>
            </w:r>
            <w:r>
              <w:rPr>
                <w:rFonts w:hint="eastAsia" w:ascii="宋体" w:hAnsi="宋体" w:eastAsia="宋体" w:cs="宋体"/>
                <w:color w:val="auto"/>
                <w:sz w:val="24"/>
                <w:szCs w:val="20"/>
                <w:highlight w:val="none"/>
                <w:lang w:val="en-US"/>
              </w:rPr>
              <w:t>文件</w:t>
            </w:r>
            <w:r>
              <w:rPr>
                <w:rFonts w:hint="eastAsia" w:ascii="宋体" w:hAnsi="宋体" w:cs="宋体"/>
                <w:color w:val="auto"/>
                <w:sz w:val="24"/>
                <w:szCs w:val="20"/>
                <w:highlight w:val="none"/>
                <w:lang w:val="en-US" w:eastAsia="zh-CN"/>
              </w:rPr>
              <w:t>无</w:t>
            </w:r>
            <w:r>
              <w:rPr>
                <w:rFonts w:hint="eastAsia" w:ascii="宋体" w:hAnsi="宋体" w:eastAsia="宋体" w:cs="宋体"/>
                <w:color w:val="auto"/>
                <w:sz w:val="24"/>
                <w:szCs w:val="20"/>
                <w:highlight w:val="none"/>
                <w:lang w:val="en-US"/>
              </w:rPr>
              <w:t>关键内容模糊不清</w:t>
            </w:r>
            <w:r>
              <w:rPr>
                <w:rFonts w:hint="eastAsia" w:ascii="宋体" w:hAnsi="宋体" w:cs="宋体"/>
                <w:color w:val="auto"/>
                <w:sz w:val="24"/>
                <w:szCs w:val="20"/>
                <w:highlight w:val="none"/>
                <w:lang w:val="en-US" w:eastAsia="zh-CN"/>
              </w:rPr>
              <w:t>、</w:t>
            </w:r>
            <w:r>
              <w:rPr>
                <w:rFonts w:hint="eastAsia" w:ascii="宋体" w:hAnsi="宋体" w:eastAsia="宋体" w:cs="宋体"/>
                <w:color w:val="auto"/>
                <w:sz w:val="24"/>
                <w:szCs w:val="20"/>
                <w:highlight w:val="none"/>
                <w:lang w:val="en-US"/>
              </w:rPr>
              <w:t>无法辨认的</w:t>
            </w:r>
            <w:r>
              <w:rPr>
                <w:rFonts w:hint="eastAsia" w:ascii="宋体" w:hAnsi="宋体" w:cs="宋体"/>
                <w:color w:val="auto"/>
                <w:sz w:val="24"/>
                <w:szCs w:val="20"/>
                <w:highlight w:val="none"/>
                <w:lang w:val="en-US" w:eastAsia="zh-CN"/>
              </w:rPr>
              <w:t>；</w:t>
            </w:r>
          </w:p>
        </w:tc>
        <w:tc>
          <w:tcPr>
            <w:tcW w:w="837" w:type="dxa"/>
            <w:vAlign w:val="center"/>
          </w:tcPr>
          <w:p w14:paraId="6F50B816">
            <w:pPr>
              <w:rPr>
                <w:rFonts w:ascii="宋体" w:hAnsi="宋体" w:cs="宋体"/>
                <w:color w:val="auto"/>
                <w:szCs w:val="21"/>
                <w:highlight w:val="none"/>
              </w:rPr>
            </w:pPr>
          </w:p>
        </w:tc>
        <w:tc>
          <w:tcPr>
            <w:tcW w:w="837" w:type="dxa"/>
            <w:vAlign w:val="center"/>
          </w:tcPr>
          <w:p w14:paraId="6B785D82">
            <w:pPr>
              <w:rPr>
                <w:rFonts w:ascii="宋体" w:hAnsi="宋体" w:cs="宋体"/>
                <w:color w:val="auto"/>
                <w:szCs w:val="21"/>
                <w:highlight w:val="none"/>
              </w:rPr>
            </w:pPr>
          </w:p>
        </w:tc>
        <w:tc>
          <w:tcPr>
            <w:tcW w:w="837" w:type="dxa"/>
            <w:vAlign w:val="center"/>
          </w:tcPr>
          <w:p w14:paraId="4452269E">
            <w:pPr>
              <w:rPr>
                <w:rFonts w:ascii="宋体" w:hAnsi="宋体" w:cs="宋体"/>
                <w:color w:val="auto"/>
                <w:szCs w:val="21"/>
                <w:highlight w:val="none"/>
              </w:rPr>
            </w:pPr>
          </w:p>
        </w:tc>
        <w:tc>
          <w:tcPr>
            <w:tcW w:w="837" w:type="dxa"/>
            <w:vAlign w:val="center"/>
          </w:tcPr>
          <w:p w14:paraId="4CFC38EE">
            <w:pPr>
              <w:rPr>
                <w:rFonts w:ascii="宋体" w:hAnsi="宋体" w:cs="宋体"/>
                <w:color w:val="auto"/>
                <w:szCs w:val="21"/>
                <w:highlight w:val="none"/>
              </w:rPr>
            </w:pPr>
          </w:p>
        </w:tc>
      </w:tr>
      <w:tr w14:paraId="26B9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2" w:type="dxa"/>
            <w:vAlign w:val="center"/>
          </w:tcPr>
          <w:p w14:paraId="0C80445D">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p>
        </w:tc>
        <w:tc>
          <w:tcPr>
            <w:tcW w:w="4870" w:type="dxa"/>
            <w:vAlign w:val="center"/>
          </w:tcPr>
          <w:p w14:paraId="40F5C369">
            <w:pPr>
              <w:rPr>
                <w:rFonts w:hint="eastAsia" w:ascii="宋体" w:hAnsi="宋体" w:eastAsia="宋体" w:cs="宋体"/>
                <w:color w:val="auto"/>
                <w:sz w:val="22"/>
                <w:szCs w:val="21"/>
                <w:highlight w:val="none"/>
                <w:lang w:eastAsia="zh-CN"/>
              </w:rPr>
            </w:pPr>
            <w:r>
              <w:rPr>
                <w:rFonts w:hint="eastAsia" w:ascii="宋体" w:hAnsi="宋体" w:eastAsia="宋体" w:cs="宋体"/>
                <w:color w:val="auto"/>
                <w:sz w:val="24"/>
                <w:szCs w:val="20"/>
                <w:highlight w:val="none"/>
                <w:lang w:val="en-US"/>
              </w:rPr>
              <w:t>满足</w:t>
            </w:r>
            <w:r>
              <w:rPr>
                <w:rFonts w:hint="eastAsia" w:ascii="宋体" w:hAnsi="宋体" w:cs="宋体"/>
                <w:color w:val="auto"/>
                <w:sz w:val="24"/>
                <w:szCs w:val="20"/>
                <w:highlight w:val="none"/>
                <w:lang w:val="en-US" w:eastAsia="zh-CN"/>
              </w:rPr>
              <w:t>采购文件</w:t>
            </w:r>
            <w:r>
              <w:rPr>
                <w:rFonts w:hint="eastAsia" w:ascii="宋体" w:hAnsi="宋体" w:eastAsia="宋体" w:cs="宋体"/>
                <w:color w:val="auto"/>
                <w:sz w:val="24"/>
                <w:szCs w:val="20"/>
                <w:highlight w:val="none"/>
                <w:lang w:val="en-US"/>
              </w:rPr>
              <w:t>实质性要求的其他情形</w:t>
            </w:r>
            <w:r>
              <w:rPr>
                <w:rFonts w:hint="eastAsia" w:ascii="宋体" w:hAnsi="宋体" w:eastAsia="宋体" w:cs="宋体"/>
                <w:color w:val="auto"/>
                <w:sz w:val="24"/>
                <w:szCs w:val="20"/>
                <w:highlight w:val="none"/>
                <w:lang w:val="en-US" w:eastAsia="zh-CN"/>
              </w:rPr>
              <w:t>。</w:t>
            </w:r>
          </w:p>
        </w:tc>
        <w:tc>
          <w:tcPr>
            <w:tcW w:w="837" w:type="dxa"/>
            <w:vAlign w:val="center"/>
          </w:tcPr>
          <w:p w14:paraId="2803BAFB">
            <w:pPr>
              <w:rPr>
                <w:rFonts w:ascii="宋体" w:hAnsi="宋体" w:cs="宋体"/>
                <w:color w:val="auto"/>
                <w:szCs w:val="21"/>
                <w:highlight w:val="none"/>
              </w:rPr>
            </w:pPr>
          </w:p>
        </w:tc>
        <w:tc>
          <w:tcPr>
            <w:tcW w:w="837" w:type="dxa"/>
            <w:vAlign w:val="center"/>
          </w:tcPr>
          <w:p w14:paraId="5811CD6F">
            <w:pPr>
              <w:rPr>
                <w:rFonts w:ascii="宋体" w:hAnsi="宋体" w:cs="宋体"/>
                <w:color w:val="auto"/>
                <w:szCs w:val="21"/>
                <w:highlight w:val="none"/>
              </w:rPr>
            </w:pPr>
          </w:p>
        </w:tc>
        <w:tc>
          <w:tcPr>
            <w:tcW w:w="837" w:type="dxa"/>
            <w:vAlign w:val="center"/>
          </w:tcPr>
          <w:p w14:paraId="14075CF1">
            <w:pPr>
              <w:rPr>
                <w:rFonts w:ascii="宋体" w:hAnsi="宋体" w:cs="宋体"/>
                <w:color w:val="auto"/>
                <w:szCs w:val="21"/>
                <w:highlight w:val="none"/>
              </w:rPr>
            </w:pPr>
          </w:p>
        </w:tc>
        <w:tc>
          <w:tcPr>
            <w:tcW w:w="837" w:type="dxa"/>
            <w:vAlign w:val="center"/>
          </w:tcPr>
          <w:p w14:paraId="6BDBEE8D">
            <w:pPr>
              <w:rPr>
                <w:rFonts w:ascii="宋体" w:hAnsi="宋体" w:cs="宋体"/>
                <w:color w:val="auto"/>
                <w:szCs w:val="21"/>
                <w:highlight w:val="none"/>
              </w:rPr>
            </w:pPr>
          </w:p>
        </w:tc>
      </w:tr>
    </w:tbl>
    <w:p w14:paraId="60AC61E2">
      <w:pPr>
        <w:rPr>
          <w:rFonts w:ascii="宋体" w:hAnsi="宋体" w:cs="宋体"/>
          <w:color w:val="auto"/>
          <w:highlight w:val="none"/>
        </w:rPr>
      </w:pPr>
      <w:r>
        <w:rPr>
          <w:rFonts w:hint="eastAsia" w:ascii="宋体" w:hAnsi="宋体" w:cs="宋体"/>
          <w:color w:val="auto"/>
          <w:highlight w:val="none"/>
        </w:rPr>
        <w:t>注：本表内容属于重大偏差，需全部满足，投标供应商通过评审为“√”，不通过为“×”</w:t>
      </w:r>
    </w:p>
    <w:p w14:paraId="4110A0EA">
      <w:pPr>
        <w:pStyle w:val="9"/>
        <w:rPr>
          <w:rFonts w:ascii="宋体" w:hAnsi="宋体" w:cs="宋体"/>
          <w:color w:val="auto"/>
          <w:highlight w:val="none"/>
        </w:rPr>
      </w:pPr>
    </w:p>
    <w:p w14:paraId="27685FDC">
      <w:pPr>
        <w:rPr>
          <w:color w:val="auto"/>
          <w:highlight w:val="none"/>
        </w:rPr>
      </w:pPr>
    </w:p>
    <w:p w14:paraId="6000E519">
      <w:pPr>
        <w:rPr>
          <w:rFonts w:ascii="宋体" w:hAnsi="宋体" w:cs="宋体"/>
          <w:color w:val="auto"/>
          <w:highlight w:val="none"/>
        </w:rPr>
      </w:pPr>
      <w:r>
        <w:rPr>
          <w:color w:val="auto"/>
          <w:highlight w:val="none"/>
        </w:rPr>
        <w:br w:type="page"/>
      </w:r>
    </w:p>
    <w:p w14:paraId="201E941D">
      <w:pPr>
        <w:numPr>
          <w:ilvl w:val="0"/>
          <w:numId w:val="0"/>
        </w:numPr>
        <w:jc w:val="both"/>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rPr>
        <w:t>评分细则</w:t>
      </w:r>
    </w:p>
    <w:tbl>
      <w:tblPr>
        <w:tblStyle w:val="22"/>
        <w:tblW w:w="10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51"/>
        <w:gridCol w:w="822"/>
        <w:gridCol w:w="6393"/>
        <w:gridCol w:w="723"/>
      </w:tblGrid>
      <w:tr w14:paraId="3384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87" w:type="dxa"/>
            <w:vMerge w:val="restart"/>
            <w:noWrap w:val="0"/>
            <w:vAlign w:val="center"/>
          </w:tcPr>
          <w:p w14:paraId="1DF9493E">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8689" w:type="dxa"/>
            <w:gridSpan w:val="4"/>
            <w:noWrap w:val="0"/>
            <w:vAlign w:val="center"/>
          </w:tcPr>
          <w:p w14:paraId="19480CDA">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评分细则</w:t>
            </w:r>
          </w:p>
        </w:tc>
      </w:tr>
      <w:tr w14:paraId="07D7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7" w:type="dxa"/>
            <w:vMerge w:val="continue"/>
            <w:noWrap w:val="0"/>
            <w:vAlign w:val="center"/>
          </w:tcPr>
          <w:p w14:paraId="1891B6D8">
            <w:pPr>
              <w:spacing w:line="240" w:lineRule="exact"/>
              <w:jc w:val="center"/>
              <w:rPr>
                <w:rFonts w:hint="eastAsia" w:ascii="宋体" w:hAnsi="宋体" w:eastAsia="宋体" w:cs="宋体"/>
                <w:b/>
                <w:color w:val="auto"/>
                <w:szCs w:val="21"/>
                <w:highlight w:val="none"/>
              </w:rPr>
            </w:pPr>
          </w:p>
        </w:tc>
        <w:tc>
          <w:tcPr>
            <w:tcW w:w="751" w:type="dxa"/>
            <w:noWrap w:val="0"/>
            <w:vAlign w:val="center"/>
          </w:tcPr>
          <w:p w14:paraId="794E8B85">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分项名称</w:t>
            </w:r>
          </w:p>
        </w:tc>
        <w:tc>
          <w:tcPr>
            <w:tcW w:w="822" w:type="dxa"/>
            <w:noWrap w:val="0"/>
            <w:vAlign w:val="center"/>
          </w:tcPr>
          <w:p w14:paraId="3337A152">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满分分值</w:t>
            </w:r>
          </w:p>
        </w:tc>
        <w:tc>
          <w:tcPr>
            <w:tcW w:w="6393" w:type="dxa"/>
            <w:noWrap w:val="0"/>
            <w:vAlign w:val="center"/>
          </w:tcPr>
          <w:p w14:paraId="68355255">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c>
          <w:tcPr>
            <w:tcW w:w="723" w:type="dxa"/>
            <w:noWrap w:val="0"/>
            <w:vAlign w:val="center"/>
          </w:tcPr>
          <w:p w14:paraId="078FE04F">
            <w:pPr>
              <w:spacing w:line="2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1469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7" w:type="dxa"/>
            <w:noWrap w:val="0"/>
            <w:vAlign w:val="center"/>
          </w:tcPr>
          <w:p w14:paraId="0667A8B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价格</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5分</w:t>
            </w:r>
            <w:r>
              <w:rPr>
                <w:rFonts w:hint="eastAsia" w:ascii="宋体" w:hAnsi="宋体" w:eastAsia="宋体" w:cs="宋体"/>
                <w:color w:val="auto"/>
                <w:szCs w:val="21"/>
                <w:highlight w:val="none"/>
                <w:lang w:eastAsia="zh-CN"/>
              </w:rPr>
              <w:t>）</w:t>
            </w:r>
          </w:p>
        </w:tc>
        <w:tc>
          <w:tcPr>
            <w:tcW w:w="751" w:type="dxa"/>
            <w:noWrap w:val="0"/>
            <w:vAlign w:val="center"/>
          </w:tcPr>
          <w:p w14:paraId="48F3BA6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tc>
        <w:tc>
          <w:tcPr>
            <w:tcW w:w="822" w:type="dxa"/>
            <w:noWrap w:val="0"/>
            <w:vAlign w:val="center"/>
          </w:tcPr>
          <w:p w14:paraId="265BE67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w:t>
            </w:r>
          </w:p>
        </w:tc>
        <w:tc>
          <w:tcPr>
            <w:tcW w:w="6393" w:type="dxa"/>
            <w:noWrap w:val="0"/>
            <w:vAlign w:val="center"/>
          </w:tcPr>
          <w:p w14:paraId="1D058F9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default" w:eastAsia="宋体"/>
                <w:color w:val="auto"/>
                <w:highlight w:val="none"/>
                <w:lang w:val="en-US" w:eastAsia="zh-CN"/>
              </w:rPr>
              <w:t>满足</w:t>
            </w:r>
            <w:r>
              <w:rPr>
                <w:rFonts w:hint="eastAsia" w:eastAsia="宋体"/>
                <w:color w:val="auto"/>
                <w:highlight w:val="none"/>
                <w:lang w:val="en-US" w:eastAsia="zh-CN"/>
              </w:rPr>
              <w:t>磋商</w:t>
            </w:r>
            <w:r>
              <w:rPr>
                <w:rFonts w:hint="default" w:eastAsia="宋体"/>
                <w:color w:val="auto"/>
                <w:highlight w:val="none"/>
                <w:lang w:val="en-US" w:eastAsia="zh-CN"/>
              </w:rPr>
              <w:t>文件需求的最低投标报价为评标基准价，合格投标人的价格分统一按照下列公式计算：</w:t>
            </w:r>
          </w:p>
          <w:p w14:paraId="254D250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default" w:eastAsia="宋体"/>
                <w:color w:val="auto"/>
                <w:highlight w:val="none"/>
                <w:lang w:val="en-US" w:eastAsia="zh-CN"/>
              </w:rPr>
              <w:t>投标报价得分＝（评标基准价/投标报价）×1</w:t>
            </w:r>
            <w:r>
              <w:rPr>
                <w:rFonts w:hint="eastAsia" w:eastAsia="宋体"/>
                <w:color w:val="auto"/>
                <w:highlight w:val="none"/>
                <w:lang w:val="en-US" w:eastAsia="zh-CN"/>
              </w:rPr>
              <w:t>5</w:t>
            </w:r>
            <w:r>
              <w:rPr>
                <w:rFonts w:hint="default" w:eastAsia="宋体"/>
                <w:color w:val="auto"/>
                <w:highlight w:val="none"/>
                <w:lang w:val="en-US" w:eastAsia="zh-CN"/>
              </w:rPr>
              <w:t>%×100。</w:t>
            </w:r>
          </w:p>
          <w:p w14:paraId="1093885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eastAsia="宋体"/>
                <w:color w:val="auto"/>
                <w:highlight w:val="none"/>
                <w:lang w:val="en-US" w:eastAsia="zh-CN"/>
              </w:rPr>
            </w:pPr>
            <w:r>
              <w:rPr>
                <w:rFonts w:hint="default" w:eastAsia="宋体"/>
                <w:color w:val="auto"/>
                <w:highlight w:val="none"/>
                <w:lang w:val="en-US" w:eastAsia="zh-CN"/>
              </w:rPr>
              <w:t>本项目为专门面向中小企业预留份额的项目，所有投标供应商均不享有价格扣除评审优惠政策。</w:t>
            </w:r>
          </w:p>
        </w:tc>
        <w:tc>
          <w:tcPr>
            <w:tcW w:w="723" w:type="dxa"/>
            <w:noWrap w:val="0"/>
            <w:vAlign w:val="center"/>
          </w:tcPr>
          <w:p w14:paraId="4BB80BB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0C72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1687" w:type="dxa"/>
            <w:vMerge w:val="restart"/>
            <w:noWrap w:val="0"/>
            <w:vAlign w:val="center"/>
          </w:tcPr>
          <w:p w14:paraId="7044530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技术</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60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51" w:type="dxa"/>
            <w:noWrap w:val="0"/>
            <w:vAlign w:val="center"/>
          </w:tcPr>
          <w:p w14:paraId="47F3DBE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项目需求优质情况</w:t>
            </w:r>
          </w:p>
        </w:tc>
        <w:tc>
          <w:tcPr>
            <w:tcW w:w="822" w:type="dxa"/>
            <w:noWrap w:val="0"/>
            <w:vAlign w:val="center"/>
          </w:tcPr>
          <w:p w14:paraId="1319C15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eastAsia="zh-CN"/>
              </w:rPr>
              <w:t>分</w:t>
            </w:r>
          </w:p>
        </w:tc>
        <w:tc>
          <w:tcPr>
            <w:tcW w:w="6393" w:type="dxa"/>
            <w:noWrap w:val="0"/>
            <w:vAlign w:val="center"/>
          </w:tcPr>
          <w:p w14:paraId="79C0CE1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具有箱式货车1辆得4分，增加冷藏保鲜货车1辆得8分。</w:t>
            </w:r>
          </w:p>
          <w:p w14:paraId="6DBF91B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（应提供车辆的行驶证、租赁协议（购买凭证）、车辆照片，未提供、漏提供的不得分）。</w:t>
            </w:r>
          </w:p>
        </w:tc>
        <w:tc>
          <w:tcPr>
            <w:tcW w:w="723" w:type="dxa"/>
            <w:noWrap w:val="0"/>
            <w:vAlign w:val="center"/>
          </w:tcPr>
          <w:p w14:paraId="08CDF23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65F7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7" w:type="dxa"/>
            <w:vMerge w:val="continue"/>
            <w:noWrap w:val="0"/>
            <w:vAlign w:val="center"/>
          </w:tcPr>
          <w:p w14:paraId="031EDF5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2B67F1D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质量保证措施</w:t>
            </w:r>
          </w:p>
        </w:tc>
        <w:tc>
          <w:tcPr>
            <w:tcW w:w="822" w:type="dxa"/>
            <w:noWrap w:val="0"/>
            <w:vAlign w:val="center"/>
          </w:tcPr>
          <w:p w14:paraId="0D42004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tc>
        <w:tc>
          <w:tcPr>
            <w:tcW w:w="6393" w:type="dxa"/>
            <w:noWrap w:val="0"/>
            <w:vAlign w:val="center"/>
          </w:tcPr>
          <w:p w14:paraId="61DED294">
            <w:pPr>
              <w:pStyle w:val="31"/>
              <w:rPr>
                <w:rFonts w:hint="eastAsia" w:ascii="宋体" w:hAnsi="宋体" w:eastAsia="宋体" w:cs="宋体"/>
                <w:color w:val="auto"/>
                <w:szCs w:val="21"/>
                <w:highlight w:val="none"/>
                <w:lang w:eastAsia="zh-CN"/>
              </w:rPr>
            </w:pPr>
            <w:r>
              <w:rPr>
                <w:rFonts w:hint="eastAsia" w:ascii="宋体" w:hAnsi="宋体" w:eastAsia="宋体" w:cs="宋体"/>
                <w:bCs w:val="0"/>
                <w:color w:val="auto"/>
                <w:spacing w:val="0"/>
                <w:kern w:val="2"/>
                <w:sz w:val="21"/>
                <w:szCs w:val="21"/>
                <w:highlight w:val="none"/>
                <w:lang w:val="en-US" w:eastAsia="zh-CN" w:bidi="ar-SA"/>
              </w:rPr>
              <w:t>投标人按以下五种供应类别分别提供近一年内第三方检测机构出具的检测报告：①粮油类、②蔬菜水果类、③畜肉类、④乳制品类、⑤调料类。每种类别须提供 3种及以上货品的检测报告，提供齐全的每类得2分，共计10分。</w:t>
            </w:r>
            <w:r>
              <w:rPr>
                <w:rFonts w:hint="default" w:ascii="宋体" w:hAnsi="宋体" w:eastAsia="宋体" w:cs="宋体"/>
                <w:bCs w:val="0"/>
                <w:color w:val="auto"/>
                <w:spacing w:val="0"/>
                <w:kern w:val="2"/>
                <w:sz w:val="21"/>
                <w:szCs w:val="21"/>
                <w:highlight w:val="none"/>
                <w:lang w:val="en-US" w:eastAsia="zh-CN" w:bidi="ar-SA"/>
              </w:rPr>
              <w:t>每缺少一项的扣</w:t>
            </w:r>
            <w:r>
              <w:rPr>
                <w:rFonts w:hint="eastAsia" w:ascii="宋体" w:hAnsi="宋体" w:eastAsia="宋体" w:cs="宋体"/>
                <w:bCs w:val="0"/>
                <w:color w:val="auto"/>
                <w:spacing w:val="0"/>
                <w:kern w:val="2"/>
                <w:sz w:val="21"/>
                <w:szCs w:val="21"/>
                <w:highlight w:val="none"/>
                <w:lang w:val="en-US" w:eastAsia="zh-CN" w:bidi="ar-SA"/>
              </w:rPr>
              <w:t>2</w:t>
            </w:r>
            <w:r>
              <w:rPr>
                <w:rFonts w:hint="default" w:ascii="宋体" w:hAnsi="宋体" w:eastAsia="宋体" w:cs="宋体"/>
                <w:bCs w:val="0"/>
                <w:color w:val="auto"/>
                <w:spacing w:val="0"/>
                <w:kern w:val="2"/>
                <w:sz w:val="21"/>
                <w:szCs w:val="21"/>
                <w:highlight w:val="none"/>
                <w:lang w:val="en-US" w:eastAsia="zh-CN" w:bidi="ar-SA"/>
              </w:rPr>
              <w:t>分，扣完为止。</w:t>
            </w:r>
          </w:p>
        </w:tc>
        <w:tc>
          <w:tcPr>
            <w:tcW w:w="723" w:type="dxa"/>
            <w:noWrap w:val="0"/>
            <w:vAlign w:val="center"/>
          </w:tcPr>
          <w:p w14:paraId="0A97750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5308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7" w:type="dxa"/>
            <w:vMerge w:val="continue"/>
            <w:noWrap w:val="0"/>
            <w:vAlign w:val="center"/>
          </w:tcPr>
          <w:p w14:paraId="46765B3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5ABD22E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安全管理制度及配送</w:t>
            </w:r>
          </w:p>
          <w:p w14:paraId="72972186">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方案</w:t>
            </w:r>
          </w:p>
        </w:tc>
        <w:tc>
          <w:tcPr>
            <w:tcW w:w="822" w:type="dxa"/>
            <w:noWrap w:val="0"/>
            <w:vAlign w:val="center"/>
          </w:tcPr>
          <w:p w14:paraId="286A8CA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分</w:t>
            </w:r>
          </w:p>
        </w:tc>
        <w:tc>
          <w:tcPr>
            <w:tcW w:w="6393" w:type="dxa"/>
            <w:noWrap w:val="0"/>
            <w:vAlign w:val="center"/>
          </w:tcPr>
          <w:p w14:paraId="4659A22A">
            <w:pPr>
              <w:pStyle w:val="31"/>
              <w:rPr>
                <w:rFonts w:hint="default" w:ascii="宋体" w:hAnsi="宋体" w:eastAsia="宋体" w:cs="宋体"/>
                <w:bCs w:val="0"/>
                <w:color w:val="auto"/>
                <w:spacing w:val="0"/>
                <w:kern w:val="2"/>
                <w:sz w:val="21"/>
                <w:szCs w:val="21"/>
                <w:highlight w:val="none"/>
                <w:lang w:val="en-US" w:eastAsia="zh-CN" w:bidi="ar-SA"/>
              </w:rPr>
            </w:pPr>
            <w:r>
              <w:rPr>
                <w:rFonts w:hint="default" w:ascii="宋体" w:hAnsi="宋体" w:eastAsia="宋体" w:cs="宋体"/>
                <w:bCs w:val="0"/>
                <w:color w:val="auto"/>
                <w:spacing w:val="0"/>
                <w:kern w:val="2"/>
                <w:sz w:val="21"/>
                <w:szCs w:val="21"/>
                <w:highlight w:val="none"/>
                <w:lang w:val="en-US" w:eastAsia="zh-CN" w:bidi="ar-SA"/>
              </w:rPr>
              <w:t>应根据</w:t>
            </w:r>
            <w:r>
              <w:rPr>
                <w:rFonts w:hint="eastAsia" w:ascii="宋体" w:hAnsi="宋体" w:eastAsia="宋体" w:cs="宋体"/>
                <w:bCs w:val="0"/>
                <w:color w:val="auto"/>
                <w:spacing w:val="0"/>
                <w:kern w:val="2"/>
                <w:sz w:val="21"/>
                <w:szCs w:val="21"/>
                <w:highlight w:val="none"/>
                <w:lang w:val="en-US" w:eastAsia="zh-CN" w:bidi="ar-SA"/>
              </w:rPr>
              <w:t>采购需求</w:t>
            </w:r>
            <w:r>
              <w:rPr>
                <w:rFonts w:hint="default" w:ascii="宋体" w:hAnsi="宋体" w:eastAsia="宋体" w:cs="宋体"/>
                <w:bCs w:val="0"/>
                <w:color w:val="auto"/>
                <w:spacing w:val="0"/>
                <w:kern w:val="2"/>
                <w:sz w:val="21"/>
                <w:szCs w:val="21"/>
                <w:highlight w:val="none"/>
                <w:lang w:val="en-US" w:eastAsia="zh-CN" w:bidi="ar-SA"/>
              </w:rPr>
              <w:t>中配送要求进行拓展，</w:t>
            </w:r>
            <w:r>
              <w:rPr>
                <w:rFonts w:hint="eastAsia" w:ascii="宋体" w:hAnsi="宋体" w:eastAsia="宋体" w:cs="宋体"/>
                <w:bCs w:val="0"/>
                <w:color w:val="auto"/>
                <w:spacing w:val="0"/>
                <w:kern w:val="2"/>
                <w:sz w:val="21"/>
                <w:szCs w:val="21"/>
                <w:highlight w:val="none"/>
                <w:lang w:val="en-US" w:eastAsia="zh-CN" w:bidi="ar-SA"/>
              </w:rPr>
              <w:t>内容包含</w:t>
            </w:r>
            <w:r>
              <w:rPr>
                <w:rFonts w:hint="default" w:ascii="宋体" w:hAnsi="宋体" w:eastAsia="宋体" w:cs="宋体"/>
                <w:bCs w:val="0"/>
                <w:color w:val="auto"/>
                <w:spacing w:val="0"/>
                <w:kern w:val="2"/>
                <w:sz w:val="21"/>
                <w:szCs w:val="21"/>
                <w:highlight w:val="none"/>
                <w:lang w:val="en-US" w:eastAsia="zh-CN" w:bidi="ar-SA"/>
              </w:rPr>
              <w:t>①食品安全保障方案；②安全管理制度；③卫生制度；④仓库布置及管理；⑤配送服务计划和措施；⑥食材的来源渠道；⑦食品检验检测、分拣、包装、运输等环节的质量控制</w:t>
            </w:r>
            <w:r>
              <w:rPr>
                <w:rFonts w:hint="eastAsia" w:ascii="宋体" w:hAnsi="宋体" w:eastAsia="宋体" w:cs="宋体"/>
                <w:bCs w:val="0"/>
                <w:color w:val="auto"/>
                <w:spacing w:val="0"/>
                <w:kern w:val="2"/>
                <w:sz w:val="21"/>
                <w:szCs w:val="21"/>
                <w:highlight w:val="none"/>
                <w:lang w:val="en-US" w:eastAsia="zh-CN" w:bidi="ar-SA"/>
              </w:rPr>
              <w:t>。方案内容齐全、完善、全面、切实可行的</w:t>
            </w:r>
            <w:r>
              <w:rPr>
                <w:rFonts w:hint="default" w:ascii="宋体" w:hAnsi="宋体" w:eastAsia="宋体" w:cs="宋体"/>
                <w:bCs w:val="0"/>
                <w:color w:val="auto"/>
                <w:spacing w:val="0"/>
                <w:kern w:val="2"/>
                <w:sz w:val="21"/>
                <w:szCs w:val="21"/>
                <w:highlight w:val="none"/>
                <w:lang w:val="en-US" w:eastAsia="zh-CN" w:bidi="ar-SA"/>
              </w:rPr>
              <w:t>得</w:t>
            </w:r>
            <w:r>
              <w:rPr>
                <w:rFonts w:hint="eastAsia" w:ascii="宋体" w:hAnsi="宋体" w:eastAsia="宋体" w:cs="宋体"/>
                <w:bCs w:val="0"/>
                <w:color w:val="auto"/>
                <w:spacing w:val="0"/>
                <w:kern w:val="2"/>
                <w:sz w:val="21"/>
                <w:szCs w:val="21"/>
                <w:highlight w:val="none"/>
                <w:lang w:val="en-US" w:eastAsia="zh-CN" w:bidi="ar-SA"/>
              </w:rPr>
              <w:t>14</w:t>
            </w:r>
            <w:r>
              <w:rPr>
                <w:rFonts w:hint="default" w:ascii="宋体" w:hAnsi="宋体" w:eastAsia="宋体" w:cs="宋体"/>
                <w:bCs w:val="0"/>
                <w:color w:val="auto"/>
                <w:spacing w:val="0"/>
                <w:kern w:val="2"/>
                <w:sz w:val="21"/>
                <w:szCs w:val="21"/>
                <w:highlight w:val="none"/>
                <w:lang w:val="en-US" w:eastAsia="zh-CN" w:bidi="ar-SA"/>
              </w:rPr>
              <w:t>分，每有一项内容存在缺陷或不足的扣1分，每缺少一项的扣2分，扣完为止。</w:t>
            </w:r>
          </w:p>
          <w:p w14:paraId="6423F997">
            <w:pPr>
              <w:pStyle w:val="31"/>
              <w:rPr>
                <w:rFonts w:hint="eastAsia" w:ascii="宋体" w:hAnsi="宋体" w:eastAsia="宋体" w:cs="宋体"/>
                <w:color w:val="auto"/>
                <w:szCs w:val="21"/>
                <w:highlight w:val="none"/>
                <w:lang w:val="en-US" w:eastAsia="zh-CN"/>
              </w:rPr>
            </w:pPr>
            <w:r>
              <w:rPr>
                <w:rFonts w:hint="default" w:ascii="宋体" w:hAnsi="宋体" w:eastAsia="宋体" w:cs="宋体"/>
                <w:b/>
                <w:bCs/>
                <w:color w:val="auto"/>
                <w:spacing w:val="0"/>
                <w:kern w:val="2"/>
                <w:sz w:val="21"/>
                <w:szCs w:val="21"/>
                <w:highlight w:val="none"/>
                <w:lang w:val="en-US" w:eastAsia="zh-CN" w:bidi="ar-SA"/>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23" w:type="dxa"/>
            <w:noWrap w:val="0"/>
            <w:vAlign w:val="center"/>
          </w:tcPr>
          <w:p w14:paraId="3F141C2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2755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87" w:type="dxa"/>
            <w:vMerge w:val="continue"/>
            <w:noWrap w:val="0"/>
            <w:vAlign w:val="center"/>
          </w:tcPr>
          <w:p w14:paraId="5E74D617">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5E39A1EC">
            <w:pPr>
              <w:ind w:firstLine="28"/>
              <w:jc w:val="center"/>
              <w:rPr>
                <w:rFonts w:hint="eastAsia" w:ascii="宋体" w:hAnsi="宋体"/>
                <w:bCs/>
                <w:color w:val="auto"/>
                <w:szCs w:val="21"/>
                <w:highlight w:val="none"/>
                <w:lang w:eastAsia="zh-CN"/>
              </w:rPr>
            </w:pPr>
            <w:r>
              <w:rPr>
                <w:rFonts w:hint="eastAsia" w:ascii="宋体" w:hAnsi="宋体"/>
                <w:bCs/>
                <w:color w:val="auto"/>
                <w:szCs w:val="21"/>
                <w:highlight w:val="none"/>
                <w:lang w:val="en-US" w:eastAsia="zh-CN"/>
              </w:rPr>
              <w:t>项目</w:t>
            </w:r>
            <w:r>
              <w:rPr>
                <w:rFonts w:hint="eastAsia" w:ascii="宋体" w:hAnsi="宋体"/>
                <w:bCs/>
                <w:color w:val="auto"/>
                <w:szCs w:val="21"/>
                <w:highlight w:val="none"/>
                <w:lang w:eastAsia="zh-CN"/>
              </w:rPr>
              <w:t>实施</w:t>
            </w:r>
          </w:p>
          <w:p w14:paraId="0ADC0E1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bCs/>
                <w:color w:val="auto"/>
                <w:szCs w:val="21"/>
                <w:highlight w:val="none"/>
                <w:lang w:eastAsia="zh-CN"/>
              </w:rPr>
              <w:t>方案</w:t>
            </w:r>
          </w:p>
        </w:tc>
        <w:tc>
          <w:tcPr>
            <w:tcW w:w="822" w:type="dxa"/>
            <w:noWrap w:val="0"/>
            <w:vAlign w:val="center"/>
          </w:tcPr>
          <w:p w14:paraId="2327B32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eastAsia="zh-CN"/>
              </w:rPr>
              <w:t>分</w:t>
            </w:r>
          </w:p>
        </w:tc>
        <w:tc>
          <w:tcPr>
            <w:tcW w:w="6393" w:type="dxa"/>
            <w:noWrap w:val="0"/>
            <w:vAlign w:val="center"/>
          </w:tcPr>
          <w:p w14:paraId="123515E8">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（1）</w:t>
            </w:r>
            <w:r>
              <w:rPr>
                <w:rFonts w:hint="eastAsia" w:ascii="宋体" w:hAnsi="宋体" w:eastAsiaTheme="minorEastAsia" w:cstheme="minorBidi"/>
                <w:color w:val="auto"/>
                <w:kern w:val="0"/>
                <w:sz w:val="21"/>
                <w:szCs w:val="21"/>
                <w:highlight w:val="none"/>
                <w:lang w:val="en-US" w:eastAsia="zh-CN" w:bidi="ar-SA"/>
              </w:rPr>
              <w:t xml:space="preserve">货单、账单管理能力 </w:t>
            </w:r>
          </w:p>
          <w:p w14:paraId="335A18D7">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投标人须具备完善的下单及单据管理体系，所使用下单工具可实现送货单、对账账单规范清晰、可追溯。</w:t>
            </w:r>
          </w:p>
          <w:p w14:paraId="1B85FE1A">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需提供合作单位历史配送单</w:t>
            </w:r>
            <w:r>
              <w:rPr>
                <w:rFonts w:hint="eastAsia" w:ascii="宋体" w:hAnsi="宋体" w:cstheme="minorBidi"/>
                <w:color w:val="auto"/>
                <w:kern w:val="0"/>
                <w:sz w:val="21"/>
                <w:szCs w:val="21"/>
                <w:highlight w:val="none"/>
                <w:lang w:val="en-US" w:eastAsia="zh-CN" w:bidi="ar-SA"/>
              </w:rPr>
              <w:t>及</w:t>
            </w:r>
            <w:r>
              <w:rPr>
                <w:rFonts w:hint="eastAsia" w:ascii="宋体" w:hAnsi="宋体" w:eastAsiaTheme="minorEastAsia" w:cstheme="minorBidi"/>
                <w:color w:val="auto"/>
                <w:kern w:val="0"/>
                <w:sz w:val="21"/>
                <w:szCs w:val="21"/>
                <w:highlight w:val="none"/>
                <w:lang w:val="en-US" w:eastAsia="zh-CN" w:bidi="ar-SA"/>
              </w:rPr>
              <w:t>对应账单佐证材料，每套资料单据页数均不少于 10 页；</w:t>
            </w:r>
          </w:p>
          <w:p w14:paraId="7A0A13F6">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每提供 1 家完整符合要求的合作单位资料得 2 分，本项最高得 6 分；未提供佐证材料、单据页数不足或资料不符合要求的，本项不得分。</w:t>
            </w:r>
          </w:p>
          <w:p w14:paraId="427099E1">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（2）</w:t>
            </w:r>
            <w:r>
              <w:rPr>
                <w:rFonts w:hint="eastAsia" w:ascii="宋体" w:hAnsi="宋体" w:eastAsiaTheme="minorEastAsia" w:cstheme="minorBidi"/>
                <w:color w:val="auto"/>
                <w:kern w:val="0"/>
                <w:sz w:val="21"/>
                <w:szCs w:val="21"/>
                <w:highlight w:val="none"/>
                <w:lang w:val="en-US" w:eastAsia="zh-CN" w:bidi="ar-SA"/>
              </w:rPr>
              <w:t>食品安全承诺</w:t>
            </w:r>
          </w:p>
          <w:p w14:paraId="393207EB">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投标人需提供针对本项目食材供应安全保证承诺：保证食材供应安全零事故（格式自拟）， 提供给3分，未提供不得分。</w:t>
            </w:r>
          </w:p>
          <w:p w14:paraId="4558F297">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cstheme="minorBidi"/>
                <w:color w:val="auto"/>
                <w:kern w:val="0"/>
                <w:sz w:val="21"/>
                <w:szCs w:val="21"/>
                <w:highlight w:val="none"/>
                <w:lang w:val="en-US" w:eastAsia="zh-CN" w:bidi="ar-SA"/>
              </w:rPr>
              <w:t>（3）</w:t>
            </w:r>
            <w:r>
              <w:rPr>
                <w:rFonts w:hint="eastAsia" w:ascii="宋体" w:hAnsi="宋体" w:eastAsiaTheme="minorEastAsia" w:cstheme="minorBidi"/>
                <w:color w:val="auto"/>
                <w:kern w:val="0"/>
                <w:sz w:val="21"/>
                <w:szCs w:val="21"/>
                <w:highlight w:val="none"/>
                <w:lang w:val="en-US" w:eastAsia="zh-CN" w:bidi="ar-SA"/>
              </w:rPr>
              <w:t>食品安全管理制度</w:t>
            </w:r>
          </w:p>
          <w:p w14:paraId="7FBEDE93">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结合本项目实际供应品类（粮油类、畜肉类、蔬菜类等）针对性制定并提供对应食品安全管理制度：</w:t>
            </w:r>
          </w:p>
          <w:p w14:paraId="4E81F699">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提供3 类及以上对应品类食品安全管理制度，得 2.5 分；</w:t>
            </w:r>
          </w:p>
          <w:p w14:paraId="768B3B0F">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提供6 类及以上对应品类食品安全管理制度，得 5 分。</w:t>
            </w:r>
          </w:p>
          <w:p w14:paraId="02A49967">
            <w:pPr>
              <w:numPr>
                <w:ilvl w:val="0"/>
                <w:numId w:val="0"/>
              </w:numPr>
              <w:rPr>
                <w:rFonts w:hint="eastAsia" w:ascii="宋体" w:hAnsi="宋体" w:eastAsiaTheme="minorEastAsia" w:cstheme="minorBidi"/>
                <w:color w:val="auto"/>
                <w:kern w:val="0"/>
                <w:sz w:val="21"/>
                <w:szCs w:val="21"/>
                <w:highlight w:val="none"/>
                <w:lang w:val="en-US" w:eastAsia="zh-CN" w:bidi="ar-SA"/>
              </w:rPr>
            </w:pPr>
            <w:r>
              <w:rPr>
                <w:rFonts w:hint="eastAsia" w:ascii="宋体" w:hAnsi="宋体" w:eastAsiaTheme="minorEastAsia" w:cstheme="minorBidi"/>
                <w:color w:val="auto"/>
                <w:kern w:val="0"/>
                <w:sz w:val="21"/>
                <w:szCs w:val="21"/>
                <w:highlight w:val="none"/>
                <w:lang w:val="en-US" w:eastAsia="zh-CN" w:bidi="ar-SA"/>
              </w:rPr>
              <w:t>注：须严格按照本次采购供应品类分类提供专项管理制度；未提供食品安全管理制度、制度内容脱离实际供应品类、内容空洞不贴合实际的，本项不得分。</w:t>
            </w:r>
          </w:p>
        </w:tc>
        <w:tc>
          <w:tcPr>
            <w:tcW w:w="723" w:type="dxa"/>
            <w:noWrap w:val="0"/>
            <w:vAlign w:val="center"/>
          </w:tcPr>
          <w:p w14:paraId="415B8A9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1F01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687" w:type="dxa"/>
            <w:vMerge w:val="continue"/>
            <w:noWrap w:val="0"/>
            <w:vAlign w:val="center"/>
          </w:tcPr>
          <w:p w14:paraId="092EBD9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733D572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default" w:ascii="宋体" w:hAnsi="宋体" w:eastAsia="宋体" w:cs="宋体"/>
                <w:color w:val="000000" w:themeColor="text1"/>
                <w:szCs w:val="21"/>
                <w:highlight w:val="none"/>
                <w:lang w:val="en-US" w:eastAsia="zh-CN"/>
                <w14:textFill>
                  <w14:solidFill>
                    <w14:schemeClr w14:val="tx1"/>
                  </w14:solidFill>
                </w14:textFill>
              </w:rPr>
              <w:t>应急措施及方案</w:t>
            </w:r>
          </w:p>
        </w:tc>
        <w:tc>
          <w:tcPr>
            <w:tcW w:w="822" w:type="dxa"/>
            <w:noWrap w:val="0"/>
            <w:vAlign w:val="center"/>
          </w:tcPr>
          <w:p w14:paraId="7B3DABF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10分</w:t>
            </w:r>
          </w:p>
        </w:tc>
        <w:tc>
          <w:tcPr>
            <w:tcW w:w="6393" w:type="dxa"/>
            <w:noWrap w:val="0"/>
            <w:vAlign w:val="center"/>
          </w:tcPr>
          <w:p w14:paraId="56924817">
            <w:pPr>
              <w:numPr>
                <w:ilvl w:val="0"/>
                <w:numId w:val="0"/>
              </w:num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应急服务响应与处理方案包括：①保证供货应急预案；②产品质量问题处理预案；③运输应急预案；④突发事件应急预案；⑤安全措施保障方案；方案内容齐全、完善、全面、切实可行的得10分，每有一项内容存在缺陷或不足的扣1分，每缺少一项的扣2分，扣完为止。</w:t>
            </w:r>
          </w:p>
          <w:p w14:paraId="54F84489">
            <w:pPr>
              <w:numPr>
                <w:ilvl w:val="0"/>
                <w:numId w:val="0"/>
              </w:num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auto"/>
                <w:szCs w:val="21"/>
                <w:highlight w:val="none"/>
                <w:lang w:val="en-US" w:eastAsia="zh-CN"/>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23" w:type="dxa"/>
            <w:noWrap w:val="0"/>
            <w:vAlign w:val="center"/>
          </w:tcPr>
          <w:p w14:paraId="66EFF0D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3054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7" w:type="dxa"/>
            <w:vMerge w:val="restart"/>
            <w:noWrap w:val="0"/>
            <w:vAlign w:val="center"/>
          </w:tcPr>
          <w:p w14:paraId="345D7BB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p>
        </w:tc>
        <w:tc>
          <w:tcPr>
            <w:tcW w:w="751" w:type="dxa"/>
            <w:noWrap w:val="0"/>
            <w:vAlign w:val="center"/>
          </w:tcPr>
          <w:p w14:paraId="7ED9D39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w:t>
            </w:r>
          </w:p>
        </w:tc>
        <w:tc>
          <w:tcPr>
            <w:tcW w:w="822" w:type="dxa"/>
            <w:noWrap w:val="0"/>
            <w:vAlign w:val="center"/>
          </w:tcPr>
          <w:p w14:paraId="7F6D313F">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c>
          <w:tcPr>
            <w:tcW w:w="6393" w:type="dxa"/>
            <w:noWrap w:val="0"/>
            <w:vAlign w:val="center"/>
          </w:tcPr>
          <w:p w14:paraId="4132ECC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s="宋体"/>
                <w:color w:val="auto"/>
                <w:szCs w:val="21"/>
                <w:highlight w:val="none"/>
                <w:lang w:eastAsia="zh-CN"/>
              </w:rPr>
              <w:t>近三年（</w:t>
            </w:r>
            <w:r>
              <w:rPr>
                <w:rFonts w:hint="eastAsia" w:ascii="宋体" w:hAnsi="宋体" w:cs="宋体"/>
                <w:color w:val="auto"/>
                <w:szCs w:val="21"/>
                <w:highlight w:val="none"/>
                <w:lang w:val="en-US" w:eastAsia="zh-CN"/>
              </w:rPr>
              <w:t>2023年1月至今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类似业绩（</w:t>
            </w:r>
            <w:r>
              <w:rPr>
                <w:rFonts w:hint="eastAsia" w:ascii="宋体" w:hAnsi="宋体" w:eastAsia="宋体" w:cs="宋体"/>
                <w:color w:val="auto"/>
                <w:szCs w:val="21"/>
                <w:highlight w:val="none"/>
                <w:lang w:eastAsia="zh-CN"/>
              </w:rPr>
              <w:t>以成交</w:t>
            </w:r>
            <w:r>
              <w:rPr>
                <w:rFonts w:hint="eastAsia" w:ascii="宋体" w:hAnsi="宋体" w:eastAsia="宋体" w:cs="宋体"/>
                <w:color w:val="auto"/>
                <w:szCs w:val="21"/>
                <w:highlight w:val="none"/>
              </w:rPr>
              <w:t>通知书或合同</w:t>
            </w:r>
            <w:r>
              <w:rPr>
                <w:rFonts w:hint="eastAsia" w:ascii="宋体" w:hAnsi="宋体" w:eastAsia="宋体" w:cs="宋体"/>
                <w:color w:val="auto"/>
                <w:szCs w:val="21"/>
                <w:highlight w:val="none"/>
                <w:lang w:val="en-US" w:eastAsia="zh-CN"/>
              </w:rPr>
              <w:t>签订时间为准</w:t>
            </w:r>
            <w:r>
              <w:rPr>
                <w:rFonts w:hint="eastAsia" w:ascii="宋体" w:hAnsi="宋体" w:eastAsia="宋体" w:cs="宋体"/>
                <w:color w:val="auto"/>
                <w:szCs w:val="21"/>
                <w:highlight w:val="none"/>
              </w:rPr>
              <w:t>）；每提供一项得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分，最高得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460F8C9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（注：业绩以</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通知书或合同为准，（含合同首页、</w:t>
            </w:r>
            <w:r>
              <w:rPr>
                <w:rFonts w:hint="eastAsia" w:ascii="宋体" w:hAnsi="宋体" w:eastAsia="宋体" w:cs="宋体"/>
                <w:color w:val="auto"/>
                <w:szCs w:val="21"/>
                <w:highlight w:val="none"/>
                <w:lang w:val="en-US" w:eastAsia="zh-CN"/>
              </w:rPr>
              <w:t>合同关键页</w:t>
            </w:r>
            <w:r>
              <w:rPr>
                <w:rFonts w:hint="eastAsia" w:ascii="宋体" w:hAnsi="宋体" w:eastAsia="宋体" w:cs="宋体"/>
                <w:color w:val="auto"/>
                <w:szCs w:val="21"/>
                <w:highlight w:val="none"/>
              </w:rPr>
              <w:t>、签字盖章页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未提供证明材料的不得分</w:t>
            </w:r>
            <w:r>
              <w:rPr>
                <w:rFonts w:hint="eastAsia" w:ascii="宋体" w:hAnsi="宋体" w:eastAsia="宋体" w:cs="宋体"/>
                <w:color w:val="auto"/>
                <w:szCs w:val="21"/>
                <w:highlight w:val="none"/>
                <w:lang w:eastAsia="zh-CN"/>
              </w:rPr>
              <w:t>。</w:t>
            </w:r>
          </w:p>
        </w:tc>
        <w:tc>
          <w:tcPr>
            <w:tcW w:w="723" w:type="dxa"/>
            <w:noWrap w:val="0"/>
            <w:vAlign w:val="center"/>
          </w:tcPr>
          <w:p w14:paraId="229BC91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6E5C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7" w:type="dxa"/>
            <w:vMerge w:val="continue"/>
            <w:noWrap w:val="0"/>
            <w:vAlign w:val="center"/>
          </w:tcPr>
          <w:p w14:paraId="7068BE0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414E430B">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售后服务方案</w:t>
            </w:r>
          </w:p>
        </w:tc>
        <w:tc>
          <w:tcPr>
            <w:tcW w:w="822" w:type="dxa"/>
            <w:noWrap w:val="0"/>
            <w:vAlign w:val="center"/>
          </w:tcPr>
          <w:p w14:paraId="180D683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c>
          <w:tcPr>
            <w:tcW w:w="6393" w:type="dxa"/>
            <w:noWrap w:val="0"/>
            <w:vAlign w:val="top"/>
          </w:tcPr>
          <w:p w14:paraId="45EEBCD7">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Cs w:val="21"/>
                <w:highlight w:val="none"/>
                <w:lang w:val="en-US" w:eastAsia="zh-CN"/>
              </w:rPr>
              <w:t>针对本项目制定完善的售后服务方案（包括质量保证措施、售后服务承诺、售后服务体系、售后服务人员、故障响应时间），</w:t>
            </w:r>
            <w:r>
              <w:rPr>
                <w:rFonts w:hint="eastAsia" w:ascii="宋体" w:hAnsi="宋体" w:eastAsia="宋体" w:cs="宋体"/>
                <w:color w:val="000000" w:themeColor="text1"/>
                <w:szCs w:val="21"/>
                <w:highlight w:val="none"/>
                <w:lang w:val="en-US" w:eastAsia="zh-CN"/>
                <w14:textFill>
                  <w14:solidFill>
                    <w14:schemeClr w14:val="tx1"/>
                  </w14:solidFill>
                </w14:textFill>
              </w:rPr>
              <w:t>方案内容齐全、完善、全面、切实可行的得10分，每有一项内容存在缺陷或不足的扣1分，每缺少一项的扣2分，扣完为止。</w:t>
            </w:r>
          </w:p>
          <w:p w14:paraId="0C52130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注：内容存在缺陷或不足是指包含但不限于：实际情况明显不符或套用其他与本项目无关的内容或存在逻辑错误前后不一致及实操中难以执行或项目名称、实施地点、涉及的规范、技术服务标准要求与本项目不一致等情形。</w:t>
            </w:r>
          </w:p>
        </w:tc>
        <w:tc>
          <w:tcPr>
            <w:tcW w:w="723" w:type="dxa"/>
            <w:noWrap w:val="0"/>
            <w:vAlign w:val="center"/>
          </w:tcPr>
          <w:p w14:paraId="623FF41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p>
        </w:tc>
      </w:tr>
      <w:tr w14:paraId="7412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87" w:type="dxa"/>
            <w:vMerge w:val="continue"/>
            <w:noWrap w:val="0"/>
            <w:vAlign w:val="center"/>
          </w:tcPr>
          <w:p w14:paraId="14B7209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1BB2104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拟投入人员</w:t>
            </w:r>
          </w:p>
        </w:tc>
        <w:tc>
          <w:tcPr>
            <w:tcW w:w="822" w:type="dxa"/>
            <w:noWrap w:val="0"/>
            <w:vAlign w:val="center"/>
          </w:tcPr>
          <w:p w14:paraId="07681CA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c>
          <w:tcPr>
            <w:tcW w:w="6393" w:type="dxa"/>
            <w:noWrap w:val="0"/>
            <w:vAlign w:val="top"/>
          </w:tcPr>
          <w:p w14:paraId="55F543D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Cs w:val="0"/>
                <w:color w:val="auto"/>
                <w:spacing w:val="0"/>
                <w:kern w:val="2"/>
                <w:sz w:val="21"/>
                <w:szCs w:val="21"/>
                <w:highlight w:val="none"/>
                <w:lang w:val="en-US" w:eastAsia="zh-CN" w:bidi="ar-SA"/>
              </w:rPr>
            </w:pPr>
            <w:r>
              <w:rPr>
                <w:rFonts w:hint="eastAsia" w:ascii="宋体" w:hAnsi="宋体" w:eastAsia="宋体" w:cs="宋体"/>
                <w:bCs w:val="0"/>
                <w:color w:val="auto"/>
                <w:spacing w:val="0"/>
                <w:kern w:val="2"/>
                <w:sz w:val="21"/>
                <w:szCs w:val="21"/>
                <w:highlight w:val="none"/>
                <w:lang w:val="en-US" w:eastAsia="zh-CN" w:bidi="ar-SA"/>
              </w:rPr>
              <w:t>供应商拟投入本项目的服务团队应配置齐全，配有项目经理1人、食品检测员1人、库管员1人、配送员2人。人员配备齐全得5分，少一人扣1分。提供对应人员的劳动合同和健康证复印件，未提供证明材料或不齐全的不得分。</w:t>
            </w:r>
          </w:p>
        </w:tc>
        <w:tc>
          <w:tcPr>
            <w:tcW w:w="723" w:type="dxa"/>
            <w:noWrap w:val="0"/>
            <w:vAlign w:val="center"/>
          </w:tcPr>
          <w:p w14:paraId="6A536D4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color w:val="auto"/>
                <w:szCs w:val="21"/>
                <w:highlight w:val="none"/>
                <w:lang w:val="en-US" w:eastAsia="zh-CN"/>
              </w:rPr>
            </w:pPr>
          </w:p>
        </w:tc>
      </w:tr>
      <w:tr w14:paraId="1925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687" w:type="dxa"/>
            <w:vMerge w:val="continue"/>
            <w:noWrap w:val="0"/>
            <w:vAlign w:val="center"/>
          </w:tcPr>
          <w:p w14:paraId="2AE8BC4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Cs w:val="21"/>
                <w:highlight w:val="none"/>
              </w:rPr>
            </w:pPr>
          </w:p>
        </w:tc>
        <w:tc>
          <w:tcPr>
            <w:tcW w:w="751" w:type="dxa"/>
            <w:noWrap w:val="0"/>
            <w:vAlign w:val="center"/>
          </w:tcPr>
          <w:p w14:paraId="6587880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服务评价</w:t>
            </w:r>
          </w:p>
          <w:p w14:paraId="7963A77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zh-CN" w:eastAsia="zh-CN" w:bidi="ar-SA"/>
              </w:rPr>
            </w:pPr>
          </w:p>
        </w:tc>
        <w:tc>
          <w:tcPr>
            <w:tcW w:w="822" w:type="dxa"/>
            <w:noWrap w:val="0"/>
            <w:vAlign w:val="center"/>
          </w:tcPr>
          <w:p w14:paraId="0308A95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4分</w:t>
            </w:r>
          </w:p>
        </w:tc>
        <w:tc>
          <w:tcPr>
            <w:tcW w:w="6393" w:type="dxa"/>
            <w:noWrap w:val="0"/>
            <w:vAlign w:val="center"/>
          </w:tcPr>
          <w:p w14:paraId="1826DBA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提供加盖合作单位公章的有效服务评价证明材料：</w:t>
            </w:r>
          </w:p>
          <w:p w14:paraId="30CEC20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1、提供2 份服务评价（评价等级为良好及以上），得 2 分；</w:t>
            </w:r>
          </w:p>
          <w:p w14:paraId="2C9FEA1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2、提供2 份以上服务评价（评价等级为良好及以上），得 4 分。注：所有评价材料须加盖合作单位公章，未提供有效证明材料的，本项不得分。</w:t>
            </w:r>
          </w:p>
        </w:tc>
        <w:tc>
          <w:tcPr>
            <w:tcW w:w="723" w:type="dxa"/>
            <w:noWrap w:val="0"/>
            <w:vAlign w:val="center"/>
          </w:tcPr>
          <w:p w14:paraId="6329EFB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r w14:paraId="11F4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438" w:type="dxa"/>
            <w:gridSpan w:val="2"/>
            <w:noWrap w:val="0"/>
            <w:vAlign w:val="center"/>
          </w:tcPr>
          <w:p w14:paraId="0E52C2B1">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合计</w:t>
            </w:r>
          </w:p>
        </w:tc>
        <w:tc>
          <w:tcPr>
            <w:tcW w:w="822" w:type="dxa"/>
            <w:noWrap w:val="0"/>
            <w:vAlign w:val="center"/>
          </w:tcPr>
          <w:p w14:paraId="6847E7B9">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100分</w:t>
            </w:r>
          </w:p>
        </w:tc>
        <w:tc>
          <w:tcPr>
            <w:tcW w:w="7116" w:type="dxa"/>
            <w:gridSpan w:val="2"/>
            <w:noWrap w:val="0"/>
            <w:vAlign w:val="top"/>
          </w:tcPr>
          <w:p w14:paraId="4663125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szCs w:val="21"/>
                <w:highlight w:val="none"/>
              </w:rPr>
            </w:pPr>
          </w:p>
        </w:tc>
      </w:tr>
    </w:tbl>
    <w:p w14:paraId="261EB8AB">
      <w:pPr>
        <w:pStyle w:val="21"/>
        <w:ind w:left="0" w:leftChars="0" w:firstLine="0" w:firstLineChars="0"/>
        <w:rPr>
          <w:color w:val="auto"/>
          <w:highlight w:val="none"/>
        </w:rPr>
      </w:pPr>
    </w:p>
    <w:p w14:paraId="53025A44">
      <w:pPr>
        <w:spacing w:line="240" w:lineRule="exact"/>
        <w:jc w:val="left"/>
        <w:rPr>
          <w:rFonts w:hint="eastAsia" w:ascii="宋体" w:hAnsi="宋体" w:eastAsia="宋体" w:cs="宋体"/>
          <w:color w:val="auto"/>
          <w:szCs w:val="21"/>
          <w:highlight w:val="none"/>
          <w:lang w:val="en-US" w:eastAsia="zh-CN"/>
        </w:rPr>
      </w:pPr>
      <w:bookmarkStart w:id="15" w:name="_Toc20620"/>
      <w:bookmarkStart w:id="16" w:name="_Toc477194749"/>
      <w:r>
        <w:rPr>
          <w:rFonts w:hint="eastAsia" w:ascii="宋体" w:hAnsi="宋体" w:eastAsia="宋体" w:cs="宋体"/>
          <w:color w:val="auto"/>
          <w:szCs w:val="21"/>
          <w:highlight w:val="none"/>
          <w:lang w:val="en-US" w:eastAsia="zh-CN"/>
        </w:rPr>
        <w:t>备注：1、评委应在认真理解本</w:t>
      </w:r>
      <w:r>
        <w:rPr>
          <w:rFonts w:hint="eastAsia" w:ascii="宋体" w:hAnsi="宋体" w:cs="宋体"/>
          <w:color w:val="auto"/>
          <w:szCs w:val="21"/>
          <w:highlight w:val="none"/>
          <w:lang w:val="en-US" w:eastAsia="zh-CN"/>
        </w:rPr>
        <w:t>采购文件</w:t>
      </w:r>
      <w:r>
        <w:rPr>
          <w:rFonts w:hint="eastAsia" w:ascii="宋体" w:hAnsi="宋体" w:eastAsia="宋体" w:cs="宋体"/>
          <w:color w:val="auto"/>
          <w:szCs w:val="21"/>
          <w:highlight w:val="none"/>
          <w:lang w:val="en-US" w:eastAsia="zh-CN"/>
        </w:rPr>
        <w:t>和项目有关情况后，做出需自己负责的按上述内容对供应商进行评审。2、供应商最终得分等于商务技术部分、报价得分之和。3、评审委员会按照供应商最终得分由高到底顺序确定出各供应商排名顺序。</w:t>
      </w:r>
    </w:p>
    <w:p w14:paraId="338EF312">
      <w:pPr>
        <w:pStyle w:val="19"/>
        <w:numPr>
          <w:ilvl w:val="0"/>
          <w:numId w:val="0"/>
        </w:numPr>
        <w:jc w:val="center"/>
        <w:rPr>
          <w:rFonts w:hint="eastAsia" w:ascii="宋体" w:hAnsi="宋体" w:cs="宋体"/>
          <w:color w:val="auto"/>
          <w:highlight w:val="none"/>
          <w:lang w:val="en-US" w:eastAsia="zh-CN"/>
        </w:rPr>
      </w:pPr>
    </w:p>
    <w:p w14:paraId="1FEF1472">
      <w:pPr>
        <w:pStyle w:val="19"/>
        <w:numPr>
          <w:ilvl w:val="0"/>
          <w:numId w:val="0"/>
        </w:numPr>
        <w:ind w:firstLine="2249" w:firstLineChars="700"/>
        <w:jc w:val="both"/>
        <w:rPr>
          <w:rFonts w:hint="eastAsia" w:ascii="宋体" w:hAnsi="宋体" w:cs="宋体"/>
          <w:color w:val="auto"/>
          <w:highlight w:val="none"/>
          <w:lang w:val="en-US" w:eastAsia="zh-CN"/>
        </w:rPr>
      </w:pPr>
    </w:p>
    <w:p w14:paraId="1C3E24FD">
      <w:pPr>
        <w:pStyle w:val="19"/>
        <w:numPr>
          <w:ilvl w:val="0"/>
          <w:numId w:val="0"/>
        </w:numPr>
        <w:ind w:firstLine="2249" w:firstLineChars="700"/>
        <w:jc w:val="both"/>
        <w:rPr>
          <w:rFonts w:hint="eastAsia" w:ascii="宋体" w:hAnsi="宋体" w:cs="宋体"/>
          <w:color w:val="auto"/>
          <w:highlight w:val="none"/>
          <w:lang w:val="en-US" w:eastAsia="zh-CN"/>
        </w:rPr>
      </w:pPr>
    </w:p>
    <w:p w14:paraId="7156DF8E">
      <w:pPr>
        <w:pStyle w:val="19"/>
        <w:numPr>
          <w:ilvl w:val="0"/>
          <w:numId w:val="0"/>
        </w:numPr>
        <w:jc w:val="both"/>
        <w:rPr>
          <w:rFonts w:hint="eastAsia" w:ascii="宋体" w:hAnsi="宋体" w:cs="宋体"/>
          <w:color w:val="auto"/>
          <w:highlight w:val="none"/>
          <w:lang w:val="en-US" w:eastAsia="zh-CN"/>
        </w:rPr>
      </w:pPr>
    </w:p>
    <w:bookmarkEnd w:id="15"/>
    <w:bookmarkEnd w:id="16"/>
    <w:p w14:paraId="60AB88F5">
      <w:pPr>
        <w:pStyle w:val="19"/>
        <w:numPr>
          <w:ilvl w:val="0"/>
          <w:numId w:val="0"/>
        </w:numPr>
        <w:ind w:firstLine="2570" w:firstLineChars="800"/>
        <w:jc w:val="both"/>
        <w:rPr>
          <w:rFonts w:hint="eastAsia" w:ascii="宋体" w:hAnsi="宋体" w:cs="宋体"/>
          <w:color w:val="auto"/>
          <w:highlight w:val="none"/>
        </w:rPr>
      </w:pPr>
      <w:bookmarkStart w:id="17" w:name="_Toc226969317"/>
      <w:bookmarkStart w:id="18" w:name="_Toc227057923"/>
      <w:bookmarkStart w:id="19" w:name="_Toc29854"/>
      <w:bookmarkStart w:id="20" w:name="_Toc477194751"/>
      <w:r>
        <w:rPr>
          <w:rFonts w:hint="eastAsia" w:ascii="宋体" w:hAnsi="宋体" w:cs="宋体"/>
          <w:color w:val="auto"/>
          <w:highlight w:val="none"/>
          <w:lang w:val="en-US" w:eastAsia="zh-CN"/>
        </w:rPr>
        <w:t>第四章</w:t>
      </w:r>
      <w:r>
        <w:rPr>
          <w:rFonts w:hint="eastAsia" w:ascii="宋体" w:hAnsi="宋体" w:cs="宋体"/>
          <w:color w:val="auto"/>
          <w:highlight w:val="none"/>
        </w:rPr>
        <w:t xml:space="preserve">  合同格式</w:t>
      </w:r>
    </w:p>
    <w:p w14:paraId="0FD86A4B">
      <w:pPr>
        <w:pStyle w:val="19"/>
        <w:numPr>
          <w:ilvl w:val="0"/>
          <w:numId w:val="0"/>
        </w:numPr>
        <w:jc w:val="center"/>
        <w:rPr>
          <w:rFonts w:ascii="宋体" w:hAnsi="宋体" w:cs="宋体"/>
          <w:color w:val="auto"/>
          <w:sz w:val="22"/>
          <w:szCs w:val="20"/>
          <w:highlight w:val="none"/>
        </w:rPr>
      </w:pPr>
      <w:r>
        <w:rPr>
          <w:rFonts w:hint="eastAsia" w:ascii="宋体" w:hAnsi="宋体" w:cs="宋体"/>
          <w:color w:val="auto"/>
          <w:sz w:val="22"/>
          <w:szCs w:val="20"/>
          <w:highlight w:val="none"/>
        </w:rPr>
        <w:t>（供参考</w:t>
      </w:r>
      <w:r>
        <w:rPr>
          <w:rFonts w:hint="eastAsia" w:ascii="宋体" w:hAnsi="宋体" w:cs="宋体"/>
          <w:color w:val="auto"/>
          <w:sz w:val="22"/>
          <w:szCs w:val="20"/>
          <w:highlight w:val="none"/>
          <w:lang w:eastAsia="zh-CN"/>
        </w:rPr>
        <w:t>，</w:t>
      </w:r>
      <w:r>
        <w:rPr>
          <w:rFonts w:hint="eastAsia" w:ascii="宋体" w:hAnsi="宋体" w:cs="宋体"/>
          <w:color w:val="auto"/>
          <w:sz w:val="22"/>
          <w:szCs w:val="20"/>
          <w:highlight w:val="none"/>
          <w:lang w:val="en-US" w:eastAsia="zh-CN"/>
        </w:rPr>
        <w:t>以甲乙双方实际签订合同为准</w:t>
      </w:r>
      <w:r>
        <w:rPr>
          <w:rFonts w:hint="eastAsia" w:ascii="宋体" w:hAnsi="宋体" w:cs="宋体"/>
          <w:color w:val="auto"/>
          <w:sz w:val="22"/>
          <w:szCs w:val="20"/>
          <w:highlight w:val="none"/>
        </w:rPr>
        <w:t>）</w:t>
      </w:r>
    </w:p>
    <w:p w14:paraId="310DEED3">
      <w:pPr>
        <w:rPr>
          <w:rFonts w:ascii="宋体" w:hAnsi="宋体" w:cs="宋体"/>
          <w:color w:val="auto"/>
          <w:highlight w:val="none"/>
        </w:rPr>
      </w:pPr>
    </w:p>
    <w:p w14:paraId="48F510A5">
      <w:pPr>
        <w:ind w:firstLine="4819" w:firstLineChars="2000"/>
        <w:rPr>
          <w:b/>
          <w:bCs/>
        </w:rPr>
      </w:pPr>
      <w:r>
        <w:rPr>
          <w:rFonts w:hint="eastAsia" w:ascii="宋体" w:hAnsi="宋体" w:cs="宋体"/>
          <w:b/>
          <w:bCs/>
          <w:color w:val="auto"/>
          <w:sz w:val="24"/>
          <w:highlight w:val="none"/>
        </w:rPr>
        <w:t>合同编号：</w:t>
      </w:r>
    </w:p>
    <w:p w14:paraId="12C131BF">
      <w:pPr>
        <w:spacing w:line="480" w:lineRule="auto"/>
        <w:jc w:val="center"/>
        <w:rPr>
          <w:rFonts w:ascii="宋体" w:hAnsi="宋体" w:cs="宋体"/>
          <w:b/>
          <w:color w:val="auto"/>
          <w:sz w:val="28"/>
          <w:szCs w:val="28"/>
          <w:highlight w:val="none"/>
        </w:rPr>
      </w:pPr>
    </w:p>
    <w:p w14:paraId="671334B9">
      <w:pPr>
        <w:spacing w:line="480" w:lineRule="auto"/>
        <w:jc w:val="center"/>
        <w:rPr>
          <w:rFonts w:ascii="宋体" w:hAnsi="宋体" w:cs="宋体"/>
          <w:b/>
          <w:color w:val="auto"/>
          <w:sz w:val="28"/>
          <w:szCs w:val="28"/>
          <w:highlight w:val="none"/>
        </w:rPr>
      </w:pPr>
    </w:p>
    <w:p w14:paraId="12BDD15B">
      <w:pPr>
        <w:spacing w:line="48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中华人民共和国都拉塔出入境边防检查站主副食品集中配送服务项目（二次）合同</w:t>
      </w:r>
    </w:p>
    <w:p w14:paraId="0B868396">
      <w:pPr>
        <w:pStyle w:val="32"/>
        <w:ind w:firstLine="0"/>
        <w:rPr>
          <w:rFonts w:hAnsi="宋体" w:eastAsia="宋体" w:cs="宋体"/>
          <w:color w:val="auto"/>
          <w:szCs w:val="24"/>
          <w:highlight w:val="none"/>
        </w:rPr>
      </w:pPr>
    </w:p>
    <w:p w14:paraId="632451C4">
      <w:pPr>
        <w:pStyle w:val="32"/>
        <w:ind w:firstLine="0"/>
        <w:rPr>
          <w:rFonts w:hAnsi="宋体" w:eastAsia="宋体" w:cs="宋体"/>
          <w:color w:val="auto"/>
          <w:szCs w:val="24"/>
          <w:highlight w:val="none"/>
        </w:rPr>
      </w:pPr>
    </w:p>
    <w:p w14:paraId="53C8C973">
      <w:pPr>
        <w:pStyle w:val="32"/>
        <w:ind w:firstLine="0"/>
        <w:rPr>
          <w:rFonts w:hAnsi="宋体" w:eastAsia="宋体" w:cs="宋体"/>
          <w:color w:val="auto"/>
          <w:szCs w:val="24"/>
          <w:highlight w:val="none"/>
        </w:rPr>
      </w:pPr>
    </w:p>
    <w:p w14:paraId="6B328A8B">
      <w:pPr>
        <w:pStyle w:val="32"/>
        <w:ind w:firstLine="0"/>
        <w:jc w:val="center"/>
        <w:rPr>
          <w:rFonts w:hAnsi="宋体" w:eastAsia="宋体" w:cs="宋体"/>
          <w:b/>
          <w:color w:val="auto"/>
          <w:szCs w:val="24"/>
          <w:highlight w:val="none"/>
        </w:rPr>
      </w:pPr>
      <w:r>
        <w:rPr>
          <w:rFonts w:hint="eastAsia" w:hAnsi="宋体" w:eastAsia="宋体" w:cs="宋体"/>
          <w:b/>
          <w:color w:val="auto"/>
          <w:szCs w:val="24"/>
          <w:highlight w:val="none"/>
        </w:rPr>
        <w:t>第一部分 合同书</w:t>
      </w:r>
    </w:p>
    <w:p w14:paraId="460C497B">
      <w:pPr>
        <w:pStyle w:val="32"/>
        <w:ind w:firstLine="0"/>
        <w:rPr>
          <w:rFonts w:hAnsi="宋体" w:eastAsia="宋体" w:cs="宋体"/>
          <w:color w:val="auto"/>
          <w:szCs w:val="24"/>
          <w:highlight w:val="none"/>
        </w:rPr>
      </w:pPr>
    </w:p>
    <w:p w14:paraId="78822337">
      <w:pPr>
        <w:pStyle w:val="32"/>
        <w:ind w:firstLine="0"/>
        <w:rPr>
          <w:rFonts w:hAnsi="宋体" w:eastAsia="宋体" w:cs="宋体"/>
          <w:color w:val="auto"/>
          <w:szCs w:val="24"/>
          <w:highlight w:val="none"/>
        </w:rPr>
      </w:pPr>
    </w:p>
    <w:p w14:paraId="4E003C00">
      <w:pPr>
        <w:spacing w:before="120" w:line="22" w:lineRule="atLeast"/>
        <w:rPr>
          <w:rFonts w:ascii="宋体" w:hAnsi="宋体" w:cs="宋体"/>
          <w:color w:val="auto"/>
          <w:sz w:val="24"/>
          <w:highlight w:val="none"/>
        </w:rPr>
      </w:pPr>
    </w:p>
    <w:p w14:paraId="17E76A2B">
      <w:pPr>
        <w:keepNext w:val="0"/>
        <w:keepLines w:val="0"/>
        <w:pageBreakBefore w:val="0"/>
        <w:widowControl/>
        <w:kinsoku w:val="0"/>
        <w:wordWrap/>
        <w:overflowPunct/>
        <w:topLinePunct w:val="0"/>
        <w:autoSpaceDE w:val="0"/>
        <w:autoSpaceDN w:val="0"/>
        <w:bidi w:val="0"/>
        <w:adjustRightInd w:val="0"/>
        <w:snapToGrid w:val="0"/>
        <w:spacing w:before="0" w:line="500" w:lineRule="exact"/>
        <w:ind w:right="0"/>
        <w:jc w:val="both"/>
        <w:textAlignment w:val="baseline"/>
        <w:outlineLvl w:val="9"/>
        <w:rPr>
          <w:rFonts w:hint="eastAsia" w:ascii="仿宋_GB2312" w:hAnsi="仿宋_GB2312" w:eastAsia="仿宋_GB2312" w:cs="仿宋_GB2312"/>
          <w:b/>
          <w:bCs/>
          <w:color w:val="auto"/>
          <w:spacing w:val="-11"/>
          <w:w w:val="100"/>
          <w:sz w:val="24"/>
          <w:szCs w:val="24"/>
          <w:highlight w:val="none"/>
        </w:rPr>
      </w:pPr>
      <w:r>
        <w:rPr>
          <w:rFonts w:hint="eastAsia" w:ascii="仿宋_GB2312" w:hAnsi="仿宋_GB2312" w:eastAsia="仿宋_GB2312" w:cs="仿宋_GB2312"/>
          <w:b/>
          <w:bCs/>
          <w:color w:val="auto"/>
          <w:spacing w:val="-11"/>
          <w:w w:val="100"/>
          <w:sz w:val="24"/>
          <w:szCs w:val="24"/>
          <w:highlight w:val="none"/>
        </w:rPr>
        <w:t>项目名称：</w:t>
      </w:r>
      <w:r>
        <w:rPr>
          <w:rFonts w:hint="eastAsia" w:ascii="仿宋_GB2312" w:hAnsi="仿宋_GB2312" w:eastAsia="仿宋_GB2312" w:cs="仿宋_GB2312"/>
          <w:b/>
          <w:bCs/>
          <w:color w:val="auto"/>
          <w:spacing w:val="-11"/>
          <w:w w:val="100"/>
          <w:sz w:val="24"/>
          <w:szCs w:val="24"/>
          <w:highlight w:val="none"/>
          <w:lang w:val="en-US" w:eastAsia="zh-CN"/>
        </w:rPr>
        <w:t>中华人民共和国都拉塔出入境边防检查站主副食品集中配送服务项目（二次）</w:t>
      </w:r>
    </w:p>
    <w:p w14:paraId="35F92F5F">
      <w:pPr>
        <w:rPr>
          <w:rFonts w:ascii="宋体" w:hAnsi="宋体" w:cs="宋体"/>
          <w:color w:val="auto"/>
          <w:highlight w:val="none"/>
        </w:rPr>
      </w:pPr>
    </w:p>
    <w:p w14:paraId="7B165264">
      <w:pPr>
        <w:keepNext w:val="0"/>
        <w:keepLines w:val="0"/>
        <w:pageBreakBefore w:val="0"/>
        <w:widowControl/>
        <w:kinsoku w:val="0"/>
        <w:wordWrap/>
        <w:overflowPunct/>
        <w:topLinePunct w:val="0"/>
        <w:autoSpaceDE w:val="0"/>
        <w:autoSpaceDN w:val="0"/>
        <w:bidi w:val="0"/>
        <w:adjustRightInd w:val="0"/>
        <w:snapToGrid w:val="0"/>
        <w:spacing w:before="0" w:line="500" w:lineRule="exact"/>
        <w:ind w:right="0"/>
        <w:jc w:val="both"/>
        <w:textAlignment w:val="baseline"/>
        <w:outlineLvl w:val="9"/>
        <w:rPr>
          <w:rFonts w:hint="eastAsia" w:ascii="仿宋_GB2312" w:hAnsi="仿宋_GB2312" w:eastAsia="仿宋_GB2312" w:cs="仿宋_GB2312"/>
          <w:color w:val="auto"/>
          <w:spacing w:val="-11"/>
          <w:w w:val="100"/>
          <w:sz w:val="24"/>
          <w:szCs w:val="24"/>
          <w:highlight w:val="none"/>
        </w:rPr>
      </w:pPr>
    </w:p>
    <w:p w14:paraId="27A8CBEE">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outlineLvl w:val="9"/>
        <w:rPr>
          <w:rFonts w:hint="eastAsia" w:ascii="仿宋_GB2312" w:hAnsi="仿宋_GB2312" w:eastAsia="仿宋_GB2312" w:cs="仿宋_GB2312"/>
          <w:b/>
          <w:bCs/>
          <w:color w:val="auto"/>
          <w:spacing w:val="-11"/>
          <w:w w:val="100"/>
          <w:sz w:val="24"/>
          <w:szCs w:val="24"/>
          <w:highlight w:val="none"/>
          <w:lang w:val="en-US" w:eastAsia="zh-CN"/>
        </w:rPr>
      </w:pPr>
      <w:r>
        <w:rPr>
          <w:rFonts w:hint="eastAsia" w:ascii="仿宋_GB2312" w:hAnsi="仿宋_GB2312" w:eastAsia="仿宋_GB2312" w:cs="仿宋_GB2312"/>
          <w:b/>
          <w:bCs/>
          <w:color w:val="auto"/>
          <w:spacing w:val="-11"/>
          <w:w w:val="100"/>
          <w:position w:val="0"/>
          <w:sz w:val="24"/>
          <w:szCs w:val="24"/>
          <w:highlight w:val="none"/>
        </w:rPr>
        <w:t>采购人（甲方）：</w:t>
      </w:r>
      <w:r>
        <w:rPr>
          <w:rFonts w:hint="eastAsia" w:ascii="仿宋_GB2312" w:hAnsi="仿宋_GB2312" w:eastAsia="仿宋_GB2312" w:cs="仿宋_GB2312"/>
          <w:b/>
          <w:bCs/>
          <w:color w:val="auto"/>
          <w:spacing w:val="-11"/>
          <w:w w:val="100"/>
          <w:sz w:val="24"/>
          <w:szCs w:val="24"/>
          <w:highlight w:val="none"/>
        </w:rPr>
        <w:t>中华人民共和国</w:t>
      </w:r>
      <w:r>
        <w:rPr>
          <w:rFonts w:hint="eastAsia" w:ascii="仿宋_GB2312" w:hAnsi="仿宋_GB2312" w:eastAsia="仿宋_GB2312" w:cs="仿宋_GB2312"/>
          <w:b/>
          <w:bCs/>
          <w:color w:val="auto"/>
          <w:spacing w:val="-11"/>
          <w:w w:val="100"/>
          <w:sz w:val="24"/>
          <w:szCs w:val="24"/>
          <w:highlight w:val="none"/>
          <w:lang w:val="en-US" w:eastAsia="zh-CN"/>
        </w:rPr>
        <w:t>都拉塔出入境边防检查站</w:t>
      </w:r>
    </w:p>
    <w:p w14:paraId="417D5922">
      <w:pPr>
        <w:keepNext w:val="0"/>
        <w:keepLines w:val="0"/>
        <w:pageBreakBefore w:val="0"/>
        <w:widowControl/>
        <w:kinsoku w:val="0"/>
        <w:wordWrap/>
        <w:overflowPunct/>
        <w:topLinePunct w:val="0"/>
        <w:autoSpaceDE w:val="0"/>
        <w:autoSpaceDN w:val="0"/>
        <w:bidi w:val="0"/>
        <w:adjustRightInd w:val="0"/>
        <w:snapToGrid w:val="0"/>
        <w:spacing w:before="0" w:line="500" w:lineRule="exact"/>
        <w:ind w:right="0"/>
        <w:jc w:val="both"/>
        <w:textAlignment w:val="baseline"/>
        <w:outlineLvl w:val="9"/>
        <w:rPr>
          <w:rFonts w:hint="eastAsia" w:ascii="仿宋_GB2312" w:hAnsi="仿宋_GB2312" w:eastAsia="仿宋_GB2312" w:cs="仿宋_GB2312"/>
          <w:b/>
          <w:bCs/>
          <w:color w:val="auto"/>
          <w:spacing w:val="-11"/>
          <w:w w:val="100"/>
          <w:sz w:val="24"/>
          <w:szCs w:val="24"/>
          <w:highlight w:val="none"/>
        </w:rPr>
      </w:pPr>
    </w:p>
    <w:p w14:paraId="2A41C1D2">
      <w:pPr>
        <w:keepNext w:val="0"/>
        <w:keepLines w:val="0"/>
        <w:pageBreakBefore w:val="0"/>
        <w:widowControl/>
        <w:kinsoku w:val="0"/>
        <w:wordWrap/>
        <w:overflowPunct/>
        <w:topLinePunct w:val="0"/>
        <w:autoSpaceDE w:val="0"/>
        <w:autoSpaceDN w:val="0"/>
        <w:bidi w:val="0"/>
        <w:adjustRightInd w:val="0"/>
        <w:snapToGrid w:val="0"/>
        <w:spacing w:before="0" w:line="500" w:lineRule="exact"/>
        <w:ind w:right="0"/>
        <w:jc w:val="both"/>
        <w:textAlignment w:val="baseline"/>
        <w:outlineLvl w:val="9"/>
        <w:rPr>
          <w:rFonts w:ascii="宋体" w:hAnsi="宋体" w:cs="宋体"/>
          <w:color w:val="auto"/>
          <w:sz w:val="24"/>
          <w:highlight w:val="none"/>
        </w:rPr>
        <w:sectPr>
          <w:headerReference r:id="rId10" w:type="default"/>
          <w:footerReference r:id="rId11"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_GB2312" w:hAnsi="仿宋_GB2312" w:eastAsia="仿宋_GB2312" w:cs="仿宋_GB2312"/>
          <w:b/>
          <w:bCs/>
          <w:color w:val="auto"/>
          <w:spacing w:val="-11"/>
          <w:w w:val="100"/>
          <w:sz w:val="24"/>
          <w:szCs w:val="24"/>
          <w:highlight w:val="none"/>
          <w:lang w:eastAsia="zh-CN"/>
        </w:rPr>
        <w:t>成交</w:t>
      </w:r>
      <w:r>
        <w:rPr>
          <w:rFonts w:hint="eastAsia" w:ascii="仿宋_GB2312" w:hAnsi="仿宋_GB2312" w:eastAsia="仿宋_GB2312" w:cs="仿宋_GB2312"/>
          <w:b/>
          <w:bCs/>
          <w:color w:val="auto"/>
          <w:spacing w:val="-11"/>
          <w:w w:val="100"/>
          <w:sz w:val="24"/>
          <w:szCs w:val="24"/>
          <w:highlight w:val="none"/>
        </w:rPr>
        <w:t>人（乙方）：</w:t>
      </w:r>
    </w:p>
    <w:bookmarkEnd w:id="17"/>
    <w:bookmarkEnd w:id="18"/>
    <w:p w14:paraId="50D561F9">
      <w:pPr>
        <w:spacing w:line="560" w:lineRule="exact"/>
        <w:rPr>
          <w:rFonts w:hint="eastAsia" w:ascii="宋体" w:hAnsi="宋体" w:cs="宋体"/>
          <w:color w:val="auto"/>
          <w:sz w:val="24"/>
          <w:highlight w:val="none"/>
          <w:u w:val="single"/>
          <w:lang w:val="zh-CN"/>
        </w:rPr>
      </w:pPr>
    </w:p>
    <w:p w14:paraId="3349902D">
      <w:pPr>
        <w:keepNext w:val="0"/>
        <w:keepLines w:val="0"/>
        <w:pageBreakBefore w:val="0"/>
        <w:wordWrap/>
        <w:overflowPunct/>
        <w:topLinePunct w:val="0"/>
        <w:bidi w:val="0"/>
        <w:spacing w:line="560" w:lineRule="exact"/>
        <w:ind w:left="0" w:leftChars="0" w:firstLine="482" w:firstLineChars="200"/>
        <w:rPr>
          <w:rFonts w:hint="eastAsia" w:ascii="仿宋" w:hAnsi="仿宋" w:eastAsia="仿宋" w:cs="仿宋"/>
          <w:b/>
          <w:bCs/>
          <w:spacing w:val="-23"/>
          <w:w w:val="85"/>
          <w:sz w:val="28"/>
          <w:szCs w:val="28"/>
          <w:lang w:val="en-US" w:eastAsia="zh-CN"/>
        </w:rPr>
      </w:pPr>
      <w:r>
        <w:rPr>
          <w:rFonts w:hint="eastAsia" w:ascii="仿宋" w:hAnsi="仿宋" w:eastAsia="仿宋" w:cs="仿宋"/>
          <w:b/>
          <w:bCs/>
          <w:spacing w:val="-20"/>
          <w:w w:val="100"/>
          <w:sz w:val="28"/>
          <w:szCs w:val="28"/>
          <w:lang w:val="en-US" w:eastAsia="zh-CN"/>
        </w:rPr>
        <w:t>采购方（以下简称“甲方”）：</w:t>
      </w:r>
      <w:r>
        <w:rPr>
          <w:rFonts w:hint="eastAsia" w:ascii="仿宋" w:hAnsi="仿宋" w:eastAsia="仿宋" w:cs="仿宋"/>
          <w:b/>
          <w:bCs/>
          <w:spacing w:val="-23"/>
          <w:w w:val="85"/>
          <w:sz w:val="28"/>
          <w:szCs w:val="28"/>
          <w:lang w:val="en-US" w:eastAsia="zh-CN"/>
        </w:rPr>
        <w:t>中华人民共和国都拉塔出入境边防检查站</w:t>
      </w:r>
    </w:p>
    <w:p w14:paraId="3BA7FE45">
      <w:pPr>
        <w:keepNext w:val="0"/>
        <w:keepLines w:val="0"/>
        <w:pageBreakBefore w:val="0"/>
        <w:widowControl w:val="0"/>
        <w:wordWrap/>
        <w:overflowPunct/>
        <w:topLinePunct w:val="0"/>
        <w:bidi w:val="0"/>
        <w:spacing w:line="560" w:lineRule="exact"/>
        <w:ind w:left="0" w:leftChars="0" w:firstLine="482" w:firstLineChars="200"/>
        <w:jc w:val="both"/>
        <w:rPr>
          <w:rFonts w:hint="default" w:ascii="仿宋" w:hAnsi="仿宋" w:eastAsia="仿宋" w:cs="仿宋"/>
          <w:b/>
          <w:bCs/>
          <w:spacing w:val="-20"/>
          <w:w w:val="100"/>
          <w:kern w:val="2"/>
          <w:sz w:val="28"/>
          <w:szCs w:val="28"/>
          <w:lang w:val="en-US" w:eastAsia="zh-CN" w:bidi="ar-SA"/>
        </w:rPr>
      </w:pPr>
      <w:r>
        <w:rPr>
          <w:rFonts w:hint="eastAsia" w:ascii="仿宋" w:hAnsi="仿宋" w:eastAsia="仿宋" w:cs="仿宋"/>
          <w:b/>
          <w:bCs/>
          <w:spacing w:val="-20"/>
          <w:w w:val="100"/>
          <w:kern w:val="2"/>
          <w:sz w:val="28"/>
          <w:szCs w:val="28"/>
          <w:lang w:val="en-US" w:eastAsia="zh-CN" w:bidi="ar-SA"/>
        </w:rPr>
        <w:t>地址：伊犁察布查尔县都拉塔口岸迎宾大道13号</w:t>
      </w:r>
    </w:p>
    <w:p w14:paraId="3BF0D3DE">
      <w:pPr>
        <w:keepNext w:val="0"/>
        <w:keepLines w:val="0"/>
        <w:pageBreakBefore w:val="0"/>
        <w:wordWrap/>
        <w:overflowPunct/>
        <w:topLinePunct w:val="0"/>
        <w:bidi w:val="0"/>
        <w:spacing w:line="560" w:lineRule="exact"/>
        <w:ind w:left="0" w:leftChars="0" w:firstLine="482" w:firstLineChars="200"/>
        <w:rPr>
          <w:rFonts w:hint="eastAsia" w:ascii="仿宋" w:hAnsi="仿宋" w:eastAsia="仿宋" w:cs="仿宋"/>
          <w:b/>
          <w:bCs/>
          <w:spacing w:val="-20"/>
          <w:w w:val="100"/>
          <w:sz w:val="28"/>
          <w:szCs w:val="28"/>
          <w:lang w:val="en-US" w:eastAsia="zh-CN"/>
        </w:rPr>
      </w:pPr>
      <w:r>
        <w:rPr>
          <w:rFonts w:hint="eastAsia" w:ascii="仿宋" w:hAnsi="仿宋" w:eastAsia="仿宋" w:cs="仿宋"/>
          <w:b/>
          <w:bCs/>
          <w:spacing w:val="-20"/>
          <w:w w:val="100"/>
          <w:sz w:val="28"/>
          <w:szCs w:val="28"/>
          <w:lang w:val="en-US" w:eastAsia="zh-CN"/>
        </w:rPr>
        <w:t>联系人：</w:t>
      </w:r>
    </w:p>
    <w:p w14:paraId="56EC8C59">
      <w:pPr>
        <w:keepNext w:val="0"/>
        <w:keepLines w:val="0"/>
        <w:pageBreakBefore w:val="0"/>
        <w:wordWrap/>
        <w:overflowPunct/>
        <w:topLinePunct w:val="0"/>
        <w:bidi w:val="0"/>
        <w:spacing w:line="560" w:lineRule="exact"/>
        <w:ind w:left="0" w:leftChars="0" w:firstLine="482" w:firstLineChars="200"/>
        <w:rPr>
          <w:rFonts w:hint="default" w:ascii="Times New Roman" w:hAnsi="Times New Roman" w:eastAsia="宋体" w:cs="Times New Roman"/>
          <w:spacing w:val="-20"/>
          <w:w w:val="100"/>
          <w:sz w:val="28"/>
          <w:szCs w:val="28"/>
          <w:lang w:val="en-US" w:eastAsia="zh-CN"/>
        </w:rPr>
      </w:pPr>
      <w:r>
        <w:rPr>
          <w:rFonts w:hint="eastAsia" w:ascii="仿宋" w:hAnsi="仿宋" w:eastAsia="仿宋" w:cs="仿宋"/>
          <w:b/>
          <w:bCs/>
          <w:spacing w:val="-20"/>
          <w:w w:val="100"/>
          <w:sz w:val="28"/>
          <w:szCs w:val="28"/>
          <w:lang w:val="en-US" w:eastAsia="zh-CN"/>
        </w:rPr>
        <w:t>联系方式：</w:t>
      </w:r>
    </w:p>
    <w:p w14:paraId="28E6BC25">
      <w:pPr>
        <w:keepNext w:val="0"/>
        <w:keepLines w:val="0"/>
        <w:pageBreakBefore w:val="0"/>
        <w:widowControl w:val="0"/>
        <w:wordWrap/>
        <w:overflowPunct/>
        <w:topLinePunct w:val="0"/>
        <w:bidi w:val="0"/>
        <w:spacing w:line="560" w:lineRule="exact"/>
        <w:ind w:left="0" w:leftChars="0" w:firstLine="482" w:firstLineChars="200"/>
        <w:jc w:val="both"/>
        <w:rPr>
          <w:rFonts w:hint="eastAsia" w:ascii="仿宋" w:hAnsi="仿宋" w:eastAsia="仿宋" w:cs="仿宋"/>
          <w:b/>
          <w:bCs/>
          <w:spacing w:val="-20"/>
          <w:w w:val="100"/>
          <w:kern w:val="2"/>
          <w:sz w:val="28"/>
          <w:szCs w:val="28"/>
          <w:lang w:val="en-US" w:eastAsia="zh-CN" w:bidi="ar-SA"/>
        </w:rPr>
      </w:pPr>
      <w:r>
        <w:rPr>
          <w:rFonts w:hint="eastAsia" w:ascii="仿宋" w:hAnsi="仿宋" w:eastAsia="仿宋" w:cs="仿宋"/>
          <w:b/>
          <w:bCs/>
          <w:spacing w:val="-20"/>
          <w:w w:val="100"/>
          <w:kern w:val="2"/>
          <w:sz w:val="28"/>
          <w:szCs w:val="28"/>
          <w:lang w:val="en-US" w:eastAsia="zh-CN" w:bidi="ar-SA"/>
        </w:rPr>
        <w:t>供货配送方（以下简称“乙方”）：</w:t>
      </w:r>
    </w:p>
    <w:p w14:paraId="3968CF0A">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kern w:val="2"/>
          <w:sz w:val="28"/>
          <w:szCs w:val="28"/>
          <w:lang w:val="en-US" w:eastAsia="zh-CN" w:bidi="ar-SA"/>
        </w:rPr>
      </w:pPr>
      <w:r>
        <w:rPr>
          <w:rFonts w:hint="eastAsia" w:ascii="仿宋" w:hAnsi="仿宋" w:eastAsia="仿宋" w:cs="仿宋"/>
          <w:b/>
          <w:bCs/>
          <w:spacing w:val="-20"/>
          <w:w w:val="100"/>
          <w:kern w:val="2"/>
          <w:sz w:val="28"/>
          <w:szCs w:val="28"/>
          <w:lang w:val="en-US" w:eastAsia="zh-CN" w:bidi="ar-SA"/>
        </w:rPr>
        <w:t>地址：</w:t>
      </w:r>
    </w:p>
    <w:p w14:paraId="2E63BD8E">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kern w:val="2"/>
          <w:sz w:val="28"/>
          <w:szCs w:val="28"/>
          <w:lang w:val="en-US" w:eastAsia="zh-CN" w:bidi="ar-SA"/>
        </w:rPr>
      </w:pPr>
      <w:r>
        <w:rPr>
          <w:rFonts w:hint="eastAsia" w:ascii="仿宋" w:hAnsi="仿宋" w:eastAsia="仿宋" w:cs="仿宋"/>
          <w:b/>
          <w:bCs/>
          <w:spacing w:val="-20"/>
          <w:w w:val="100"/>
          <w:kern w:val="2"/>
          <w:sz w:val="28"/>
          <w:szCs w:val="28"/>
          <w:lang w:val="en-US" w:eastAsia="zh-CN" w:bidi="ar-SA"/>
        </w:rPr>
        <w:t>联系人：</w:t>
      </w:r>
    </w:p>
    <w:p w14:paraId="7094BAF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kern w:val="2"/>
          <w:sz w:val="28"/>
          <w:szCs w:val="28"/>
          <w:lang w:val="en-US" w:eastAsia="zh-CN" w:bidi="ar-SA"/>
        </w:rPr>
        <w:t>联系方式：</w:t>
      </w:r>
    </w:p>
    <w:p w14:paraId="244F3C1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p>
    <w:p w14:paraId="2EE10A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rPr>
      </w:pPr>
      <w:r>
        <w:rPr>
          <w:rFonts w:hint="eastAsia" w:ascii="仿宋" w:hAnsi="仿宋" w:eastAsia="仿宋" w:cs="仿宋"/>
          <w:spacing w:val="-20"/>
          <w:w w:val="100"/>
          <w:sz w:val="28"/>
          <w:szCs w:val="28"/>
          <w:lang w:val="en-US" w:eastAsia="zh-CN"/>
        </w:rPr>
        <w:t>乙方</w:t>
      </w:r>
      <w:r>
        <w:rPr>
          <w:rFonts w:hint="eastAsia" w:ascii="仿宋" w:hAnsi="仿宋" w:eastAsia="仿宋" w:cs="仿宋"/>
          <w:spacing w:val="-20"/>
          <w:w w:val="100"/>
          <w:sz w:val="28"/>
          <w:szCs w:val="28"/>
        </w:rPr>
        <w:t>为</w:t>
      </w:r>
      <w:r>
        <w:rPr>
          <w:rFonts w:hint="eastAsia" w:ascii="仿宋" w:hAnsi="仿宋" w:eastAsia="仿宋" w:cs="仿宋"/>
          <w:spacing w:val="-20"/>
          <w:w w:val="100"/>
          <w:sz w:val="28"/>
          <w:szCs w:val="28"/>
          <w:lang w:val="en-US" w:eastAsia="zh-CN"/>
        </w:rPr>
        <w:t>甲方供应配送食材，</w:t>
      </w:r>
      <w:r>
        <w:rPr>
          <w:rFonts w:hint="eastAsia" w:ascii="仿宋" w:hAnsi="仿宋" w:eastAsia="仿宋" w:cs="仿宋"/>
          <w:spacing w:val="-20"/>
          <w:w w:val="100"/>
          <w:sz w:val="28"/>
          <w:szCs w:val="28"/>
        </w:rPr>
        <w:t>为了保障</w:t>
      </w:r>
      <w:r>
        <w:rPr>
          <w:rFonts w:hint="eastAsia" w:ascii="仿宋" w:hAnsi="仿宋" w:eastAsia="仿宋" w:cs="仿宋"/>
          <w:spacing w:val="-20"/>
          <w:w w:val="100"/>
          <w:sz w:val="28"/>
          <w:szCs w:val="28"/>
          <w:lang w:val="en-US" w:eastAsia="zh-CN"/>
        </w:rPr>
        <w:t>甲乙双方</w:t>
      </w:r>
      <w:r>
        <w:rPr>
          <w:rFonts w:hint="eastAsia" w:ascii="仿宋" w:hAnsi="仿宋" w:eastAsia="仿宋" w:cs="仿宋"/>
          <w:spacing w:val="-20"/>
          <w:w w:val="100"/>
          <w:sz w:val="28"/>
          <w:szCs w:val="28"/>
        </w:rPr>
        <w:t>的权利和义务， 本着诚信、 互助、 互利、互惠的原则， 根据</w:t>
      </w:r>
      <w:r>
        <w:rPr>
          <w:rFonts w:hint="eastAsia" w:ascii="仿宋" w:hAnsi="仿宋" w:eastAsia="仿宋" w:cs="仿宋"/>
          <w:spacing w:val="-20"/>
          <w:w w:val="100"/>
          <w:sz w:val="28"/>
          <w:szCs w:val="28"/>
          <w:lang w:eastAsia="zh-CN"/>
        </w:rPr>
        <w:t>《</w:t>
      </w:r>
      <w:r>
        <w:rPr>
          <w:rFonts w:hint="eastAsia" w:ascii="仿宋" w:hAnsi="仿宋" w:eastAsia="仿宋" w:cs="仿宋"/>
          <w:spacing w:val="-20"/>
          <w:w w:val="100"/>
          <w:sz w:val="28"/>
          <w:szCs w:val="28"/>
          <w:lang w:val="en-US" w:eastAsia="zh-CN"/>
        </w:rPr>
        <w:t>中华人民共和国政府采购法</w:t>
      </w:r>
      <w:r>
        <w:rPr>
          <w:rFonts w:hint="eastAsia" w:ascii="仿宋" w:hAnsi="仿宋" w:eastAsia="仿宋" w:cs="仿宋"/>
          <w:spacing w:val="-20"/>
          <w:w w:val="100"/>
          <w:sz w:val="28"/>
          <w:szCs w:val="28"/>
          <w:lang w:eastAsia="zh-CN"/>
        </w:rPr>
        <w:t>》</w:t>
      </w:r>
      <w:r>
        <w:rPr>
          <w:rFonts w:hint="eastAsia" w:ascii="仿宋" w:hAnsi="仿宋" w:eastAsia="仿宋" w:cs="仿宋"/>
          <w:spacing w:val="-20"/>
          <w:w w:val="100"/>
          <w:sz w:val="28"/>
          <w:szCs w:val="28"/>
        </w:rPr>
        <w:t>《中华共和国</w:t>
      </w:r>
      <w:r>
        <w:rPr>
          <w:rFonts w:hint="eastAsia" w:ascii="仿宋" w:hAnsi="仿宋" w:eastAsia="仿宋" w:cs="仿宋"/>
          <w:spacing w:val="-20"/>
          <w:w w:val="100"/>
          <w:sz w:val="28"/>
          <w:szCs w:val="28"/>
          <w:lang w:val="en-US" w:eastAsia="zh-CN"/>
        </w:rPr>
        <w:t>民法</w:t>
      </w:r>
      <w:r>
        <w:rPr>
          <w:rFonts w:hint="eastAsia" w:ascii="仿宋" w:hAnsi="仿宋" w:eastAsia="仿宋" w:cs="仿宋"/>
          <w:spacing w:val="-20"/>
          <w:w w:val="100"/>
          <w:sz w:val="28"/>
          <w:szCs w:val="28"/>
        </w:rPr>
        <w:t>典》等有关法律法规规定，经</w:t>
      </w:r>
      <w:r>
        <w:rPr>
          <w:rFonts w:hint="eastAsia" w:ascii="仿宋" w:hAnsi="仿宋" w:eastAsia="仿宋" w:cs="仿宋"/>
          <w:spacing w:val="-20"/>
          <w:w w:val="100"/>
          <w:sz w:val="28"/>
          <w:szCs w:val="28"/>
          <w:lang w:val="en-US" w:eastAsia="zh-CN"/>
        </w:rPr>
        <w:t>双方平等友好</w:t>
      </w:r>
      <w:r>
        <w:rPr>
          <w:rFonts w:hint="eastAsia" w:ascii="仿宋" w:hAnsi="仿宋" w:eastAsia="仿宋" w:cs="仿宋"/>
          <w:spacing w:val="-20"/>
          <w:w w:val="100"/>
          <w:sz w:val="28"/>
          <w:szCs w:val="28"/>
        </w:rPr>
        <w:t>协商达成如下协议。</w:t>
      </w:r>
    </w:p>
    <w:p w14:paraId="52B6F25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黑体" w:hAnsi="黑体" w:eastAsia="黑体" w:cs="黑体"/>
          <w:spacing w:val="-20"/>
          <w:w w:val="100"/>
          <w:kern w:val="2"/>
          <w:sz w:val="28"/>
          <w:szCs w:val="28"/>
          <w:lang w:val="en-US" w:eastAsia="zh-CN" w:bidi="ar-SA"/>
        </w:rPr>
      </w:pPr>
      <w:r>
        <w:rPr>
          <w:rFonts w:hint="eastAsia" w:ascii="黑体" w:hAnsi="黑体" w:eastAsia="黑体" w:cs="黑体"/>
          <w:spacing w:val="-20"/>
          <w:w w:val="100"/>
          <w:kern w:val="2"/>
          <w:sz w:val="28"/>
          <w:szCs w:val="28"/>
          <w:lang w:val="en-US" w:eastAsia="zh-CN" w:bidi="ar-SA"/>
        </w:rPr>
        <w:t>第一条：合同签订的依据</w:t>
      </w:r>
    </w:p>
    <w:p w14:paraId="03CA058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1.“中华人民共和国都拉塔出入境边防检查站主副食品集中配送服务项目（二次）（</w:t>
      </w:r>
      <w:bookmarkStart w:id="21" w:name="_Toc18686"/>
      <w:bookmarkStart w:id="22" w:name="_Toc21934"/>
      <w:r>
        <w:rPr>
          <w:rFonts w:hint="eastAsia" w:ascii="仿宋" w:hAnsi="仿宋" w:eastAsia="仿宋" w:cs="仿宋"/>
          <w:spacing w:val="-20"/>
          <w:w w:val="100"/>
          <w:sz w:val="28"/>
          <w:szCs w:val="28"/>
          <w:lang w:val="en-US" w:eastAsia="zh-CN"/>
        </w:rPr>
        <w:t>项目编号：</w:t>
      </w:r>
      <w:bookmarkEnd w:id="21"/>
      <w:bookmarkEnd w:id="22"/>
      <w:r>
        <w:rPr>
          <w:rFonts w:hint="eastAsia" w:ascii="仿宋" w:hAnsi="仿宋" w:eastAsia="仿宋" w:cs="仿宋"/>
          <w:spacing w:val="-20"/>
          <w:w w:val="100"/>
          <w:sz w:val="28"/>
          <w:szCs w:val="28"/>
          <w:lang w:val="en-US" w:eastAsia="zh-CN"/>
        </w:rPr>
        <w:t xml:space="preserve">              ）”竞争性磋商文件。</w:t>
      </w:r>
    </w:p>
    <w:p w14:paraId="1EB4779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pacing w:val="-20"/>
          <w:w w:val="100"/>
          <w:kern w:val="2"/>
          <w:sz w:val="28"/>
          <w:szCs w:val="28"/>
          <w:lang w:val="en-US" w:eastAsia="zh-CN" w:bidi="ar-SA"/>
        </w:rPr>
      </w:pPr>
      <w:r>
        <w:rPr>
          <w:rFonts w:hint="eastAsia" w:ascii="仿宋" w:hAnsi="仿宋" w:eastAsia="仿宋" w:cs="仿宋"/>
          <w:spacing w:val="-20"/>
          <w:w w:val="100"/>
          <w:kern w:val="2"/>
          <w:sz w:val="28"/>
          <w:szCs w:val="28"/>
          <w:lang w:val="en-US" w:eastAsia="zh-CN" w:bidi="ar-SA"/>
        </w:rPr>
        <w:t>2.</w:t>
      </w:r>
      <w:r>
        <w:rPr>
          <w:rFonts w:hint="eastAsia" w:ascii="仿宋" w:hAnsi="仿宋" w:eastAsia="仿宋" w:cs="仿宋"/>
          <w:spacing w:val="-20"/>
          <w:w w:val="100"/>
          <w:kern w:val="2"/>
          <w:sz w:val="28"/>
          <w:szCs w:val="28"/>
          <w:u w:val="single"/>
          <w:lang w:val="en-US" w:eastAsia="zh-CN" w:bidi="ar-SA"/>
        </w:rPr>
        <w:t xml:space="preserve">                    </w:t>
      </w:r>
      <w:r>
        <w:rPr>
          <w:rFonts w:hint="eastAsia" w:ascii="仿宋" w:hAnsi="仿宋" w:eastAsia="仿宋" w:cs="仿宋"/>
          <w:spacing w:val="-20"/>
          <w:w w:val="100"/>
          <w:kern w:val="2"/>
          <w:sz w:val="28"/>
          <w:szCs w:val="28"/>
          <w:lang w:val="en-US" w:eastAsia="zh-CN" w:bidi="ar-SA"/>
        </w:rPr>
        <w:t>参加“中华人民共和国都拉塔出入境边防检查站主副食品集中配送服务项目（二次）”响应文件。</w:t>
      </w:r>
    </w:p>
    <w:p w14:paraId="0E885AA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宋体" w:cs="Times New Roman"/>
          <w:spacing w:val="-20"/>
          <w:w w:val="100"/>
          <w:sz w:val="28"/>
          <w:szCs w:val="28"/>
          <w:lang w:val="en-US" w:eastAsia="zh-CN"/>
        </w:rPr>
      </w:pPr>
      <w:r>
        <w:rPr>
          <w:rFonts w:hint="eastAsia" w:ascii="仿宋" w:hAnsi="仿宋" w:eastAsia="仿宋" w:cs="仿宋"/>
          <w:spacing w:val="-20"/>
          <w:w w:val="100"/>
          <w:sz w:val="28"/>
          <w:szCs w:val="28"/>
          <w:lang w:val="en-US" w:eastAsia="zh-CN"/>
        </w:rPr>
        <w:t>3.《中华人民共和国食品安全法》及其实施条例，《中华人民共和国食品卫生法》《中华人民共和国产品质量法》和《动物检疫管理办法》以及自治区食品安全管理等相关法律法规</w:t>
      </w:r>
    </w:p>
    <w:p w14:paraId="380EA39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pacing w:val="-20"/>
          <w:w w:val="100"/>
          <w:sz w:val="28"/>
          <w:szCs w:val="28"/>
          <w:lang w:val="en-US" w:eastAsia="zh-CN"/>
        </w:rPr>
      </w:pPr>
      <w:r>
        <w:rPr>
          <w:rFonts w:hint="eastAsia" w:ascii="黑体" w:hAnsi="黑体" w:eastAsia="黑体" w:cs="黑体"/>
          <w:spacing w:val="-20"/>
          <w:w w:val="100"/>
          <w:kern w:val="2"/>
          <w:sz w:val="28"/>
          <w:szCs w:val="28"/>
          <w:lang w:val="en-US" w:eastAsia="zh-CN" w:bidi="ar-SA"/>
        </w:rPr>
        <w:t>第二条：采购内容及合同期限</w:t>
      </w:r>
    </w:p>
    <w:p w14:paraId="68CCCC71">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1.采购内容：</w:t>
      </w:r>
      <w:r>
        <w:rPr>
          <w:rFonts w:hint="eastAsia" w:ascii="仿宋" w:hAnsi="仿宋" w:eastAsia="仿宋" w:cs="仿宋"/>
          <w:spacing w:val="-20"/>
          <w:w w:val="100"/>
          <w:sz w:val="28"/>
          <w:szCs w:val="28"/>
          <w:lang w:val="en-US" w:eastAsia="zh-CN"/>
        </w:rPr>
        <w:t>主副食品配送服务（以下内容中用“主副食材”表示）。</w:t>
      </w:r>
    </w:p>
    <w:p w14:paraId="34EDA8CF">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sz w:val="28"/>
          <w:szCs w:val="28"/>
          <w:lang w:val="en-US" w:eastAsia="zh-CN"/>
        </w:rPr>
      </w:pPr>
      <w:r>
        <w:rPr>
          <w:rFonts w:hint="eastAsia" w:ascii="仿宋" w:hAnsi="仿宋" w:eastAsia="仿宋" w:cs="仿宋"/>
          <w:b/>
          <w:bCs/>
          <w:spacing w:val="-20"/>
          <w:w w:val="100"/>
          <w:sz w:val="28"/>
          <w:szCs w:val="28"/>
          <w:lang w:val="en-US" w:eastAsia="zh-CN"/>
        </w:rPr>
        <w:t>2.食材配送种类及要求</w:t>
      </w:r>
    </w:p>
    <w:p w14:paraId="0F65A2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食材配送种类以甲方提供的实际订单和实际配送量为准。乙方为甲方所委托的都拉塔出入境边防检查站食堂主、副食品集中采购项目提供的服务为服务商，乙方负责向甲方提供的各种米、面、粮油、调味品类、肉类、禽鱼蛋类、蔬菜、水产、水果等主、副食品，主副食必须是从正规市场进货，质量要得到充分的保证。乙方有义务按甲方规定时间定时配送，每周不少于两次，并提供普通发票。</w:t>
      </w:r>
    </w:p>
    <w:p w14:paraId="5DC0615B">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3.合同期限：</w:t>
      </w:r>
      <w:r>
        <w:rPr>
          <w:rFonts w:hint="eastAsia" w:ascii="仿宋" w:hAnsi="仿宋" w:eastAsia="仿宋" w:cs="仿宋"/>
          <w:spacing w:val="-20"/>
          <w:w w:val="100"/>
          <w:sz w:val="28"/>
          <w:szCs w:val="28"/>
          <w:lang w:val="en-US" w:eastAsia="zh-CN"/>
        </w:rPr>
        <w:t>服务期限为一年。</w:t>
      </w:r>
    </w:p>
    <w:p w14:paraId="2894AA4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 xml:space="preserve">本合同服务期自      </w:t>
      </w:r>
      <w:r>
        <w:rPr>
          <w:rFonts w:hint="eastAsia" w:ascii="仿宋" w:hAnsi="仿宋" w:eastAsia="仿宋" w:cs="仿宋"/>
          <w:b/>
          <w:bCs/>
          <w:spacing w:val="-20"/>
          <w:w w:val="100"/>
          <w:sz w:val="28"/>
          <w:szCs w:val="28"/>
          <w:lang w:val="en-US" w:eastAsia="zh-CN"/>
        </w:rPr>
        <w:t>年    月    日至     年   月    日</w:t>
      </w:r>
      <w:r>
        <w:rPr>
          <w:rFonts w:hint="eastAsia" w:ascii="仿宋" w:hAnsi="仿宋" w:eastAsia="仿宋" w:cs="仿宋"/>
          <w:spacing w:val="-20"/>
          <w:w w:val="100"/>
          <w:sz w:val="28"/>
          <w:szCs w:val="28"/>
          <w:lang w:val="en-US" w:eastAsia="zh-CN"/>
        </w:rPr>
        <w:t>。在服务有效期内，甲乙双方可协商签订其他供货合同。</w:t>
      </w:r>
    </w:p>
    <w:p w14:paraId="437D340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kern w:val="2"/>
          <w:sz w:val="28"/>
          <w:szCs w:val="28"/>
          <w:lang w:val="en-US" w:eastAsia="zh-CN" w:bidi="ar-SA"/>
        </w:rPr>
      </w:pPr>
      <w:r>
        <w:rPr>
          <w:rFonts w:hint="eastAsia" w:ascii="黑体" w:hAnsi="黑体" w:eastAsia="黑体" w:cs="黑体"/>
          <w:spacing w:val="-20"/>
          <w:w w:val="100"/>
          <w:kern w:val="2"/>
          <w:sz w:val="28"/>
          <w:szCs w:val="28"/>
          <w:lang w:val="en-US" w:eastAsia="zh-CN" w:bidi="ar-SA"/>
        </w:rPr>
        <w:t>第三条：采购、供货要求</w:t>
      </w:r>
    </w:p>
    <w:p w14:paraId="6C1A8F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乙方配送食材应当严格遵守《中华人民共和国食品安全法》《中华人民共和国食品卫生法》《中华人民共和国产品质量法》和《动物检疫管理办法》等有关食品安全的法律法规，保证提供的主副食材均符合国家规定的质量、卫生、安全标准和招标文件规定的要求。</w:t>
      </w:r>
    </w:p>
    <w:p w14:paraId="63AFDC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rPr>
      </w:pPr>
      <w:r>
        <w:rPr>
          <w:rFonts w:hint="eastAsia" w:ascii="仿宋" w:hAnsi="仿宋" w:eastAsia="仿宋" w:cs="仿宋"/>
          <w:b w:val="0"/>
          <w:bCs w:val="0"/>
          <w:spacing w:val="-20"/>
          <w:w w:val="100"/>
          <w:sz w:val="28"/>
          <w:szCs w:val="28"/>
          <w:lang w:val="en-US" w:eastAsia="zh-CN"/>
        </w:rPr>
        <w:t>2.</w:t>
      </w:r>
      <w:r>
        <w:rPr>
          <w:rFonts w:hint="eastAsia" w:ascii="仿宋" w:hAnsi="仿宋" w:eastAsia="仿宋" w:cs="仿宋"/>
          <w:spacing w:val="-20"/>
          <w:w w:val="100"/>
          <w:sz w:val="28"/>
          <w:szCs w:val="28"/>
          <w:lang w:val="en-US" w:eastAsia="zh-CN"/>
        </w:rPr>
        <w:t>乙方</w:t>
      </w:r>
      <w:r>
        <w:rPr>
          <w:rFonts w:hint="eastAsia" w:ascii="仿宋" w:hAnsi="仿宋" w:eastAsia="仿宋" w:cs="仿宋"/>
          <w:spacing w:val="-20"/>
          <w:w w:val="100"/>
          <w:sz w:val="28"/>
          <w:szCs w:val="28"/>
        </w:rPr>
        <w:t>所配送的</w:t>
      </w:r>
      <w:r>
        <w:rPr>
          <w:rFonts w:hint="eastAsia" w:ascii="仿宋" w:hAnsi="仿宋" w:eastAsia="仿宋" w:cs="仿宋"/>
          <w:spacing w:val="-20"/>
          <w:w w:val="100"/>
          <w:sz w:val="28"/>
          <w:szCs w:val="28"/>
          <w:lang w:val="en-US" w:eastAsia="zh-CN"/>
        </w:rPr>
        <w:t>食材应当</w:t>
      </w:r>
      <w:r>
        <w:rPr>
          <w:rFonts w:hint="eastAsia" w:ascii="仿宋" w:hAnsi="仿宋" w:eastAsia="仿宋" w:cs="仿宋"/>
          <w:spacing w:val="-20"/>
          <w:w w:val="100"/>
          <w:sz w:val="28"/>
          <w:szCs w:val="28"/>
        </w:rPr>
        <w:t>符合国家</w:t>
      </w:r>
      <w:r>
        <w:rPr>
          <w:rFonts w:hint="eastAsia" w:ascii="仿宋" w:hAnsi="仿宋" w:eastAsia="仿宋" w:cs="仿宋"/>
          <w:spacing w:val="-20"/>
          <w:w w:val="100"/>
          <w:sz w:val="28"/>
          <w:szCs w:val="28"/>
          <w:lang w:val="en-US" w:eastAsia="zh-CN"/>
        </w:rPr>
        <w:t>食品</w:t>
      </w:r>
      <w:r>
        <w:rPr>
          <w:rFonts w:hint="eastAsia" w:ascii="仿宋" w:hAnsi="仿宋" w:eastAsia="仿宋" w:cs="仿宋"/>
          <w:spacing w:val="-20"/>
          <w:w w:val="100"/>
          <w:sz w:val="28"/>
          <w:szCs w:val="28"/>
        </w:rPr>
        <w:t>安全标准</w:t>
      </w:r>
      <w:r>
        <w:rPr>
          <w:rFonts w:hint="eastAsia" w:ascii="仿宋" w:hAnsi="仿宋" w:eastAsia="仿宋" w:cs="仿宋"/>
          <w:spacing w:val="-20"/>
          <w:w w:val="100"/>
          <w:sz w:val="28"/>
          <w:szCs w:val="28"/>
          <w:lang w:val="en-US" w:eastAsia="zh-CN"/>
        </w:rPr>
        <w:t>和地方标准</w:t>
      </w:r>
      <w:r>
        <w:rPr>
          <w:rFonts w:hint="eastAsia" w:ascii="仿宋" w:hAnsi="仿宋" w:eastAsia="仿宋" w:cs="仿宋"/>
          <w:spacing w:val="-20"/>
          <w:w w:val="100"/>
          <w:sz w:val="28"/>
          <w:szCs w:val="28"/>
        </w:rPr>
        <w:t>，对于没有国家标准</w:t>
      </w:r>
      <w:r>
        <w:rPr>
          <w:rFonts w:hint="eastAsia" w:ascii="仿宋" w:hAnsi="仿宋" w:eastAsia="仿宋" w:cs="仿宋"/>
          <w:spacing w:val="-20"/>
          <w:w w:val="100"/>
          <w:sz w:val="28"/>
          <w:szCs w:val="28"/>
          <w:lang w:eastAsia="zh-CN"/>
        </w:rPr>
        <w:t>、</w:t>
      </w:r>
      <w:r>
        <w:rPr>
          <w:rFonts w:hint="eastAsia" w:ascii="仿宋" w:hAnsi="仿宋" w:eastAsia="仿宋" w:cs="仿宋"/>
          <w:spacing w:val="-20"/>
          <w:w w:val="100"/>
          <w:sz w:val="28"/>
          <w:szCs w:val="28"/>
          <w:lang w:val="en-US" w:eastAsia="zh-CN"/>
        </w:rPr>
        <w:t>地方标准</w:t>
      </w:r>
      <w:r>
        <w:rPr>
          <w:rFonts w:hint="eastAsia" w:ascii="仿宋" w:hAnsi="仿宋" w:eastAsia="仿宋" w:cs="仿宋"/>
          <w:spacing w:val="-20"/>
          <w:w w:val="100"/>
          <w:sz w:val="28"/>
          <w:szCs w:val="28"/>
        </w:rPr>
        <w:t>的应符合</w:t>
      </w:r>
      <w:r>
        <w:rPr>
          <w:rFonts w:hint="eastAsia" w:ascii="仿宋" w:hAnsi="仿宋" w:eastAsia="仿宋" w:cs="仿宋"/>
          <w:spacing w:val="-20"/>
          <w:w w:val="100"/>
          <w:sz w:val="28"/>
          <w:szCs w:val="28"/>
          <w:lang w:val="en-US" w:eastAsia="zh-CN"/>
        </w:rPr>
        <w:t>行</w:t>
      </w:r>
      <w:r>
        <w:rPr>
          <w:rFonts w:hint="eastAsia" w:ascii="仿宋" w:hAnsi="仿宋" w:eastAsia="仿宋" w:cs="仿宋"/>
          <w:spacing w:val="-20"/>
          <w:w w:val="100"/>
          <w:sz w:val="28"/>
          <w:szCs w:val="28"/>
        </w:rPr>
        <w:t>业标准，其中国家有强制性技术标准要求的产品，还应符合国家强制性技术标准，确保配送的</w:t>
      </w:r>
      <w:r>
        <w:rPr>
          <w:rFonts w:hint="eastAsia" w:ascii="仿宋" w:hAnsi="仿宋" w:eastAsia="仿宋" w:cs="仿宋"/>
          <w:spacing w:val="-20"/>
          <w:w w:val="100"/>
          <w:sz w:val="28"/>
          <w:szCs w:val="28"/>
          <w:lang w:val="en-US" w:eastAsia="zh-CN"/>
        </w:rPr>
        <w:t>主副食食材</w:t>
      </w:r>
      <w:r>
        <w:rPr>
          <w:rFonts w:hint="eastAsia" w:ascii="仿宋" w:hAnsi="仿宋" w:eastAsia="仿宋" w:cs="仿宋"/>
          <w:spacing w:val="-20"/>
          <w:w w:val="100"/>
          <w:sz w:val="28"/>
          <w:szCs w:val="28"/>
        </w:rPr>
        <w:t>安全、卫</w:t>
      </w:r>
      <w:r>
        <w:rPr>
          <w:rFonts w:hint="eastAsia" w:ascii="仿宋" w:hAnsi="仿宋" w:eastAsia="仿宋" w:cs="仿宋"/>
          <w:spacing w:val="-20"/>
          <w:w w:val="100"/>
          <w:sz w:val="28"/>
          <w:szCs w:val="28"/>
          <w:lang w:val="en-US" w:eastAsia="zh-CN"/>
        </w:rPr>
        <w:t>生</w:t>
      </w:r>
      <w:r>
        <w:rPr>
          <w:rFonts w:hint="eastAsia" w:ascii="仿宋" w:hAnsi="仿宋" w:eastAsia="仿宋" w:cs="仿宋"/>
          <w:spacing w:val="-20"/>
          <w:w w:val="100"/>
          <w:sz w:val="28"/>
          <w:szCs w:val="28"/>
        </w:rPr>
        <w:t>。配送时提供配送物品的检测报告或产品合格证。对实</w:t>
      </w:r>
      <w:r>
        <w:rPr>
          <w:rFonts w:hint="eastAsia" w:ascii="仿宋" w:hAnsi="仿宋" w:eastAsia="仿宋" w:cs="仿宋"/>
          <w:spacing w:val="-20"/>
          <w:w w:val="100"/>
          <w:sz w:val="28"/>
          <w:szCs w:val="28"/>
          <w:lang w:val="en-US" w:eastAsia="zh-CN"/>
        </w:rPr>
        <w:t>行食</w:t>
      </w:r>
      <w:r>
        <w:rPr>
          <w:rFonts w:hint="eastAsia" w:ascii="仿宋" w:hAnsi="仿宋" w:eastAsia="仿宋" w:cs="仿宋"/>
          <w:spacing w:val="-20"/>
          <w:w w:val="100"/>
          <w:sz w:val="28"/>
          <w:szCs w:val="28"/>
        </w:rPr>
        <w:t>品质量（QS）安全市场准</w:t>
      </w:r>
      <w:r>
        <w:rPr>
          <w:rFonts w:hint="eastAsia" w:ascii="仿宋" w:hAnsi="仿宋" w:eastAsia="仿宋" w:cs="仿宋"/>
          <w:spacing w:val="-20"/>
          <w:w w:val="100"/>
          <w:sz w:val="28"/>
          <w:szCs w:val="28"/>
          <w:lang w:val="en-US" w:eastAsia="zh-CN"/>
        </w:rPr>
        <w:t>入</w:t>
      </w:r>
      <w:r>
        <w:rPr>
          <w:rFonts w:hint="eastAsia" w:ascii="仿宋" w:hAnsi="仿宋" w:eastAsia="仿宋" w:cs="仿宋"/>
          <w:spacing w:val="-20"/>
          <w:w w:val="100"/>
          <w:sz w:val="28"/>
          <w:szCs w:val="28"/>
        </w:rPr>
        <w:t>制的</w:t>
      </w:r>
      <w:r>
        <w:rPr>
          <w:rFonts w:hint="eastAsia" w:ascii="仿宋" w:hAnsi="仿宋" w:eastAsia="仿宋" w:cs="仿宋"/>
          <w:spacing w:val="-20"/>
          <w:w w:val="100"/>
          <w:sz w:val="28"/>
          <w:szCs w:val="28"/>
          <w:lang w:val="en-US" w:eastAsia="zh-CN"/>
        </w:rPr>
        <w:t>制</w:t>
      </w:r>
      <w:r>
        <w:rPr>
          <w:rFonts w:hint="eastAsia" w:ascii="仿宋" w:hAnsi="仿宋" w:eastAsia="仿宋" w:cs="仿宋"/>
          <w:spacing w:val="-20"/>
          <w:w w:val="100"/>
          <w:sz w:val="28"/>
          <w:szCs w:val="28"/>
        </w:rPr>
        <w:t>品，须提供 QS认证的相关证明资料。肉类每半年提供动物检疫合格证备查。</w:t>
      </w:r>
      <w:r>
        <w:rPr>
          <w:rFonts w:hint="eastAsia" w:ascii="仿宋" w:hAnsi="仿宋" w:eastAsia="仿宋" w:cs="仿宋"/>
          <w:spacing w:val="-20"/>
          <w:w w:val="100"/>
          <w:sz w:val="28"/>
          <w:szCs w:val="28"/>
          <w:lang w:val="en-US" w:eastAsia="zh-CN"/>
        </w:rPr>
        <w:t>所有蔬菜绝无农药等有害物质的留存，经农药残留检测合格并出具检测合格报告单后（每半年提供报告单备查），方可配送。</w:t>
      </w:r>
    </w:p>
    <w:p w14:paraId="47C9B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rPr>
      </w:pPr>
      <w:r>
        <w:rPr>
          <w:rFonts w:hint="eastAsia" w:ascii="仿宋" w:hAnsi="仿宋" w:eastAsia="仿宋" w:cs="仿宋"/>
          <w:spacing w:val="-20"/>
          <w:w w:val="100"/>
          <w:sz w:val="28"/>
          <w:szCs w:val="28"/>
          <w:lang w:val="en-US" w:eastAsia="zh-CN"/>
        </w:rPr>
        <w:t>3.乙方</w:t>
      </w:r>
      <w:r>
        <w:rPr>
          <w:rFonts w:hint="eastAsia" w:ascii="仿宋" w:hAnsi="仿宋" w:eastAsia="仿宋" w:cs="仿宋"/>
          <w:spacing w:val="-20"/>
          <w:w w:val="100"/>
          <w:sz w:val="28"/>
          <w:szCs w:val="28"/>
        </w:rPr>
        <w:t>必须保证配送货物为优质、新鲜的货物，杜绝霉烂变质、劣质、过期</w:t>
      </w:r>
      <w:r>
        <w:rPr>
          <w:rFonts w:hint="eastAsia" w:ascii="仿宋" w:hAnsi="仿宋" w:eastAsia="仿宋" w:cs="仿宋"/>
          <w:spacing w:val="-20"/>
          <w:w w:val="100"/>
          <w:sz w:val="28"/>
          <w:szCs w:val="28"/>
          <w:lang w:val="en-US" w:eastAsia="zh-CN"/>
        </w:rPr>
        <w:t>食</w:t>
      </w:r>
      <w:r>
        <w:rPr>
          <w:rFonts w:hint="eastAsia" w:ascii="仿宋" w:hAnsi="仿宋" w:eastAsia="仿宋" w:cs="仿宋"/>
          <w:spacing w:val="-20"/>
          <w:w w:val="100"/>
          <w:sz w:val="28"/>
          <w:szCs w:val="28"/>
        </w:rPr>
        <w:t>材等，保证所供货物均符合《国家</w:t>
      </w:r>
      <w:r>
        <w:rPr>
          <w:rFonts w:hint="eastAsia" w:ascii="仿宋" w:hAnsi="仿宋" w:eastAsia="仿宋" w:cs="仿宋"/>
          <w:spacing w:val="-20"/>
          <w:w w:val="100"/>
          <w:sz w:val="28"/>
          <w:szCs w:val="28"/>
          <w:lang w:val="en-US" w:eastAsia="zh-CN"/>
        </w:rPr>
        <w:t>食品卫生</w:t>
      </w:r>
      <w:r>
        <w:rPr>
          <w:rFonts w:hint="eastAsia" w:ascii="仿宋" w:hAnsi="仿宋" w:eastAsia="仿宋" w:cs="仿宋"/>
          <w:spacing w:val="-20"/>
          <w:w w:val="100"/>
          <w:sz w:val="28"/>
          <w:szCs w:val="28"/>
        </w:rPr>
        <w:t>标准》和</w:t>
      </w:r>
      <w:r>
        <w:rPr>
          <w:rFonts w:hint="eastAsia" w:ascii="仿宋" w:hAnsi="仿宋" w:eastAsia="仿宋" w:cs="仿宋"/>
          <w:spacing w:val="-20"/>
          <w:w w:val="100"/>
          <w:sz w:val="28"/>
          <w:szCs w:val="28"/>
          <w:lang w:val="en-US" w:eastAsia="zh-CN"/>
        </w:rPr>
        <w:t>行</w:t>
      </w:r>
      <w:r>
        <w:rPr>
          <w:rFonts w:hint="eastAsia" w:ascii="仿宋" w:hAnsi="仿宋" w:eastAsia="仿宋" w:cs="仿宋"/>
          <w:spacing w:val="-20"/>
          <w:w w:val="100"/>
          <w:sz w:val="28"/>
          <w:szCs w:val="28"/>
        </w:rPr>
        <w:t>业标准。</w:t>
      </w:r>
    </w:p>
    <w:p w14:paraId="372E57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rPr>
      </w:pPr>
      <w:r>
        <w:rPr>
          <w:rFonts w:hint="eastAsia" w:ascii="仿宋" w:hAnsi="仿宋" w:eastAsia="仿宋" w:cs="仿宋"/>
          <w:spacing w:val="-20"/>
          <w:w w:val="100"/>
          <w:sz w:val="28"/>
          <w:szCs w:val="28"/>
          <w:lang w:val="en-US" w:eastAsia="zh-CN"/>
        </w:rPr>
        <w:t>4.</w:t>
      </w:r>
      <w:r>
        <w:rPr>
          <w:rFonts w:hint="eastAsia" w:ascii="仿宋" w:hAnsi="仿宋" w:eastAsia="仿宋" w:cs="仿宋"/>
          <w:spacing w:val="-20"/>
          <w:w w:val="100"/>
          <w:sz w:val="28"/>
          <w:szCs w:val="28"/>
        </w:rPr>
        <w:t>严禁提供化学药物超标的蔬菜和</w:t>
      </w:r>
      <w:r>
        <w:rPr>
          <w:rFonts w:hint="eastAsia" w:ascii="仿宋" w:hAnsi="仿宋" w:eastAsia="仿宋" w:cs="仿宋"/>
          <w:spacing w:val="-20"/>
          <w:w w:val="100"/>
          <w:sz w:val="28"/>
          <w:szCs w:val="28"/>
          <w:lang w:val="en-US" w:eastAsia="zh-CN"/>
        </w:rPr>
        <w:t>水</w:t>
      </w:r>
      <w:r>
        <w:rPr>
          <w:rFonts w:hint="eastAsia" w:ascii="仿宋" w:hAnsi="仿宋" w:eastAsia="仿宋" w:cs="仿宋"/>
          <w:spacing w:val="-20"/>
          <w:w w:val="100"/>
          <w:sz w:val="28"/>
          <w:szCs w:val="28"/>
        </w:rPr>
        <w:t>果，蔬菜</w:t>
      </w:r>
      <w:r>
        <w:rPr>
          <w:rFonts w:hint="eastAsia" w:ascii="仿宋" w:hAnsi="仿宋" w:eastAsia="仿宋" w:cs="仿宋"/>
          <w:spacing w:val="-20"/>
          <w:w w:val="100"/>
          <w:sz w:val="28"/>
          <w:szCs w:val="28"/>
          <w:lang w:val="en-US" w:eastAsia="zh-CN"/>
        </w:rPr>
        <w:t>水</w:t>
      </w:r>
      <w:r>
        <w:rPr>
          <w:rFonts w:hint="eastAsia" w:ascii="仿宋" w:hAnsi="仿宋" w:eastAsia="仿宋" w:cs="仿宋"/>
          <w:spacing w:val="-20"/>
          <w:w w:val="100"/>
          <w:sz w:val="28"/>
          <w:szCs w:val="28"/>
        </w:rPr>
        <w:t>果类应保持较好的</w:t>
      </w:r>
      <w:r>
        <w:rPr>
          <w:rFonts w:hint="eastAsia" w:ascii="仿宋" w:hAnsi="仿宋" w:eastAsia="仿宋" w:cs="仿宋"/>
          <w:spacing w:val="-20"/>
          <w:w w:val="100"/>
          <w:sz w:val="28"/>
          <w:szCs w:val="28"/>
          <w:lang w:val="en-US" w:eastAsia="zh-CN"/>
        </w:rPr>
        <w:t>色</w:t>
      </w:r>
      <w:r>
        <w:rPr>
          <w:rFonts w:hint="eastAsia" w:ascii="仿宋" w:hAnsi="仿宋" w:eastAsia="仿宋" w:cs="仿宋"/>
          <w:spacing w:val="-20"/>
          <w:w w:val="100"/>
          <w:sz w:val="28"/>
          <w:szCs w:val="28"/>
        </w:rPr>
        <w:t>泽及新鲜度，</w:t>
      </w:r>
      <w:r>
        <w:rPr>
          <w:rFonts w:hint="eastAsia" w:ascii="仿宋" w:hAnsi="仿宋" w:eastAsia="仿宋" w:cs="仿宋"/>
          <w:spacing w:val="-20"/>
          <w:w w:val="100"/>
          <w:sz w:val="28"/>
          <w:szCs w:val="28"/>
          <w:lang w:val="en-US" w:eastAsia="zh-CN"/>
        </w:rPr>
        <w:t>无黄</w:t>
      </w:r>
      <w:r>
        <w:rPr>
          <w:rFonts w:hint="eastAsia" w:ascii="仿宋" w:hAnsi="仿宋" w:eastAsia="仿宋" w:cs="仿宋"/>
          <w:spacing w:val="-20"/>
          <w:w w:val="100"/>
          <w:sz w:val="28"/>
          <w:szCs w:val="28"/>
        </w:rPr>
        <w:t>叶、泥沙；冻品为优质品，</w:t>
      </w:r>
      <w:r>
        <w:rPr>
          <w:rFonts w:hint="eastAsia" w:ascii="仿宋" w:hAnsi="仿宋" w:eastAsia="仿宋" w:cs="仿宋"/>
          <w:spacing w:val="-20"/>
          <w:w w:val="100"/>
          <w:sz w:val="28"/>
          <w:szCs w:val="28"/>
          <w:lang w:val="en-US" w:eastAsia="zh-CN"/>
        </w:rPr>
        <w:t>干</w:t>
      </w:r>
      <w:r>
        <w:rPr>
          <w:rFonts w:hint="eastAsia" w:ascii="仿宋" w:hAnsi="仿宋" w:eastAsia="仿宋" w:cs="仿宋"/>
          <w:spacing w:val="-20"/>
          <w:w w:val="100"/>
          <w:sz w:val="28"/>
          <w:szCs w:val="28"/>
        </w:rPr>
        <w:t>货类为正品，有</w:t>
      </w:r>
      <w:r>
        <w:rPr>
          <w:rFonts w:hint="eastAsia" w:ascii="仿宋" w:hAnsi="仿宋" w:eastAsia="仿宋" w:cs="仿宋"/>
          <w:spacing w:val="-20"/>
          <w:w w:val="100"/>
          <w:sz w:val="28"/>
          <w:szCs w:val="28"/>
          <w:lang w:val="en-US" w:eastAsia="zh-CN"/>
        </w:rPr>
        <w:t>生</w:t>
      </w:r>
      <w:r>
        <w:rPr>
          <w:rFonts w:hint="eastAsia" w:ascii="仿宋" w:hAnsi="仿宋" w:eastAsia="仿宋" w:cs="仿宋"/>
          <w:spacing w:val="-20"/>
          <w:w w:val="100"/>
          <w:sz w:val="28"/>
          <w:szCs w:val="28"/>
        </w:rPr>
        <w:t>产</w:t>
      </w:r>
      <w:r>
        <w:rPr>
          <w:rFonts w:hint="eastAsia" w:ascii="仿宋" w:hAnsi="仿宋" w:eastAsia="仿宋" w:cs="仿宋"/>
          <w:spacing w:val="-20"/>
          <w:w w:val="100"/>
          <w:sz w:val="28"/>
          <w:szCs w:val="28"/>
          <w:lang w:val="en-US" w:eastAsia="zh-CN"/>
        </w:rPr>
        <w:t>厂</w:t>
      </w:r>
      <w:r>
        <w:rPr>
          <w:rFonts w:hint="eastAsia" w:ascii="仿宋" w:hAnsi="仿宋" w:eastAsia="仿宋" w:cs="仿宋"/>
          <w:spacing w:val="-20"/>
          <w:w w:val="100"/>
          <w:sz w:val="28"/>
          <w:szCs w:val="28"/>
        </w:rPr>
        <w:t>家，</w:t>
      </w:r>
      <w:r>
        <w:rPr>
          <w:rFonts w:hint="eastAsia" w:ascii="仿宋" w:hAnsi="仿宋" w:eastAsia="仿宋" w:cs="仿宋"/>
          <w:spacing w:val="-20"/>
          <w:w w:val="100"/>
          <w:sz w:val="28"/>
          <w:szCs w:val="28"/>
          <w:lang w:val="en-US" w:eastAsia="zh-CN"/>
        </w:rPr>
        <w:t>生</w:t>
      </w:r>
      <w:r>
        <w:rPr>
          <w:rFonts w:hint="eastAsia" w:ascii="仿宋" w:hAnsi="仿宋" w:eastAsia="仿宋" w:cs="仿宋"/>
          <w:spacing w:val="-20"/>
          <w:w w:val="100"/>
          <w:sz w:val="28"/>
          <w:szCs w:val="28"/>
        </w:rPr>
        <w:t>产</w:t>
      </w:r>
      <w:r>
        <w:rPr>
          <w:rFonts w:hint="eastAsia" w:ascii="仿宋" w:hAnsi="仿宋" w:eastAsia="仿宋" w:cs="仿宋"/>
          <w:spacing w:val="-20"/>
          <w:w w:val="100"/>
          <w:sz w:val="28"/>
          <w:szCs w:val="28"/>
          <w:lang w:val="en-US" w:eastAsia="zh-CN"/>
        </w:rPr>
        <w:t>日</w:t>
      </w:r>
      <w:r>
        <w:rPr>
          <w:rFonts w:hint="eastAsia" w:ascii="仿宋" w:hAnsi="仿宋" w:eastAsia="仿宋" w:cs="仿宋"/>
          <w:spacing w:val="-20"/>
          <w:w w:val="100"/>
          <w:sz w:val="28"/>
          <w:szCs w:val="28"/>
        </w:rPr>
        <w:t>期，并在保质期范围内，并保持较好的外观；</w:t>
      </w:r>
      <w:r>
        <w:rPr>
          <w:rFonts w:hint="eastAsia" w:ascii="仿宋" w:hAnsi="仿宋" w:eastAsia="仿宋" w:cs="仿宋"/>
          <w:spacing w:val="-20"/>
          <w:w w:val="100"/>
          <w:sz w:val="28"/>
          <w:szCs w:val="28"/>
          <w:lang w:val="en-US" w:eastAsia="zh-CN"/>
        </w:rPr>
        <w:t>水</w:t>
      </w:r>
      <w:r>
        <w:rPr>
          <w:rFonts w:hint="eastAsia" w:ascii="仿宋" w:hAnsi="仿宋" w:eastAsia="仿宋" w:cs="仿宋"/>
          <w:spacing w:val="-20"/>
          <w:w w:val="100"/>
          <w:sz w:val="28"/>
          <w:szCs w:val="28"/>
        </w:rPr>
        <w:t>产品新鲜、鲜</w:t>
      </w:r>
      <w:r>
        <w:rPr>
          <w:rFonts w:hint="eastAsia" w:ascii="仿宋" w:hAnsi="仿宋" w:eastAsia="仿宋" w:cs="仿宋"/>
          <w:spacing w:val="-20"/>
          <w:w w:val="100"/>
          <w:sz w:val="28"/>
          <w:szCs w:val="28"/>
          <w:lang w:val="en-US" w:eastAsia="zh-CN"/>
        </w:rPr>
        <w:t>肉</w:t>
      </w:r>
      <w:r>
        <w:rPr>
          <w:rFonts w:hint="eastAsia" w:ascii="仿宋" w:hAnsi="仿宋" w:eastAsia="仿宋" w:cs="仿宋"/>
          <w:spacing w:val="-20"/>
          <w:w w:val="100"/>
          <w:sz w:val="28"/>
          <w:szCs w:val="28"/>
        </w:rPr>
        <w:t>类保证来源于正规</w:t>
      </w:r>
      <w:r>
        <w:rPr>
          <w:rFonts w:hint="eastAsia" w:ascii="仿宋" w:hAnsi="仿宋" w:eastAsia="仿宋" w:cs="仿宋"/>
          <w:spacing w:val="-20"/>
          <w:w w:val="100"/>
          <w:sz w:val="28"/>
          <w:szCs w:val="28"/>
          <w:lang w:val="en-US" w:eastAsia="zh-CN"/>
        </w:rPr>
        <w:t>肉</w:t>
      </w:r>
      <w:r>
        <w:rPr>
          <w:rFonts w:hint="eastAsia" w:ascii="仿宋" w:hAnsi="仿宋" w:eastAsia="仿宋" w:cs="仿宋"/>
          <w:spacing w:val="-20"/>
          <w:w w:val="100"/>
          <w:sz w:val="28"/>
          <w:szCs w:val="28"/>
        </w:rPr>
        <w:t>联</w:t>
      </w:r>
      <w:r>
        <w:rPr>
          <w:rFonts w:hint="eastAsia" w:ascii="仿宋" w:hAnsi="仿宋" w:eastAsia="仿宋" w:cs="仿宋"/>
          <w:spacing w:val="-20"/>
          <w:w w:val="100"/>
          <w:sz w:val="28"/>
          <w:szCs w:val="28"/>
          <w:lang w:val="en-US" w:eastAsia="zh-CN"/>
        </w:rPr>
        <w:t>厂（屠宰厂、正规的农贸市场）</w:t>
      </w:r>
      <w:r>
        <w:rPr>
          <w:rFonts w:hint="eastAsia" w:ascii="仿宋" w:hAnsi="仿宋" w:eastAsia="仿宋" w:cs="仿宋"/>
          <w:spacing w:val="-20"/>
          <w:w w:val="100"/>
          <w:sz w:val="28"/>
          <w:szCs w:val="28"/>
        </w:rPr>
        <w:t>。</w:t>
      </w:r>
    </w:p>
    <w:p w14:paraId="23422F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rPr>
      </w:pPr>
      <w:r>
        <w:rPr>
          <w:rFonts w:hint="eastAsia" w:ascii="仿宋" w:hAnsi="仿宋" w:eastAsia="仿宋" w:cs="仿宋"/>
          <w:spacing w:val="-20"/>
          <w:w w:val="100"/>
          <w:sz w:val="28"/>
          <w:szCs w:val="28"/>
          <w:lang w:val="en-US" w:eastAsia="zh-CN"/>
        </w:rPr>
        <w:t>5.食材</w:t>
      </w:r>
      <w:r>
        <w:rPr>
          <w:rFonts w:hint="eastAsia" w:ascii="仿宋" w:hAnsi="仿宋" w:eastAsia="仿宋" w:cs="仿宋"/>
          <w:spacing w:val="-20"/>
          <w:w w:val="100"/>
          <w:sz w:val="28"/>
          <w:szCs w:val="28"/>
        </w:rPr>
        <w:t>材溯源要求。所有</w:t>
      </w:r>
      <w:r>
        <w:rPr>
          <w:rFonts w:hint="eastAsia" w:ascii="仿宋" w:hAnsi="仿宋" w:eastAsia="仿宋" w:cs="仿宋"/>
          <w:spacing w:val="-20"/>
          <w:w w:val="100"/>
          <w:sz w:val="28"/>
          <w:szCs w:val="28"/>
          <w:lang w:val="en-US" w:eastAsia="zh-CN"/>
        </w:rPr>
        <w:t>食</w:t>
      </w:r>
      <w:r>
        <w:rPr>
          <w:rFonts w:hint="eastAsia" w:ascii="仿宋" w:hAnsi="仿宋" w:eastAsia="仿宋" w:cs="仿宋"/>
          <w:spacing w:val="-20"/>
          <w:w w:val="100"/>
          <w:sz w:val="28"/>
          <w:szCs w:val="28"/>
        </w:rPr>
        <w:t>品的来源必须清晰，蔬菜应当来源于受到地</w:t>
      </w:r>
      <w:r>
        <w:rPr>
          <w:rFonts w:hint="eastAsia" w:ascii="仿宋" w:hAnsi="仿宋" w:eastAsia="仿宋" w:cs="仿宋"/>
          <w:spacing w:val="-20"/>
          <w:w w:val="100"/>
          <w:sz w:val="28"/>
          <w:szCs w:val="28"/>
          <w:lang w:val="en-US" w:eastAsia="zh-CN"/>
        </w:rPr>
        <w:t>方</w:t>
      </w:r>
      <w:r>
        <w:rPr>
          <w:rFonts w:hint="eastAsia" w:ascii="仿宋" w:hAnsi="仿宋" w:eastAsia="仿宋" w:cs="仿宋"/>
          <w:spacing w:val="-20"/>
          <w:w w:val="100"/>
          <w:sz w:val="28"/>
          <w:szCs w:val="28"/>
        </w:rPr>
        <w:t>政府部</w:t>
      </w:r>
      <w:r>
        <w:rPr>
          <w:rFonts w:hint="eastAsia" w:ascii="仿宋" w:hAnsi="仿宋" w:eastAsia="仿宋" w:cs="仿宋"/>
          <w:spacing w:val="-20"/>
          <w:w w:val="100"/>
          <w:sz w:val="28"/>
          <w:szCs w:val="28"/>
          <w:lang w:val="en-US" w:eastAsia="zh-CN"/>
        </w:rPr>
        <w:t>门</w:t>
      </w:r>
      <w:r>
        <w:rPr>
          <w:rFonts w:hint="eastAsia" w:ascii="仿宋" w:hAnsi="仿宋" w:eastAsia="仿宋" w:cs="仿宋"/>
          <w:spacing w:val="-20"/>
          <w:w w:val="100"/>
          <w:sz w:val="28"/>
          <w:szCs w:val="28"/>
        </w:rPr>
        <w:t>监管的</w:t>
      </w:r>
      <w:r>
        <w:rPr>
          <w:rFonts w:hint="eastAsia" w:ascii="仿宋" w:hAnsi="仿宋" w:eastAsia="仿宋" w:cs="仿宋"/>
          <w:spacing w:val="-20"/>
          <w:w w:val="100"/>
          <w:sz w:val="28"/>
          <w:szCs w:val="28"/>
          <w:lang w:val="en-US" w:eastAsia="zh-CN"/>
        </w:rPr>
        <w:t>自</w:t>
      </w:r>
      <w:r>
        <w:rPr>
          <w:rFonts w:hint="eastAsia" w:ascii="仿宋" w:hAnsi="仿宋" w:eastAsia="仿宋" w:cs="仿宋"/>
          <w:spacing w:val="-20"/>
          <w:w w:val="100"/>
          <w:sz w:val="28"/>
          <w:szCs w:val="28"/>
        </w:rPr>
        <w:t>有基地、商品菜基地或蔬菜专业流通市场，严禁收购散户</w:t>
      </w:r>
      <w:r>
        <w:rPr>
          <w:rFonts w:hint="eastAsia" w:ascii="仿宋" w:hAnsi="仿宋" w:eastAsia="仿宋" w:cs="仿宋"/>
          <w:spacing w:val="-20"/>
          <w:w w:val="100"/>
          <w:sz w:val="28"/>
          <w:szCs w:val="28"/>
          <w:lang w:val="en-US" w:eastAsia="zh-CN"/>
        </w:rPr>
        <w:t>农民</w:t>
      </w:r>
      <w:r>
        <w:rPr>
          <w:rFonts w:hint="eastAsia" w:ascii="仿宋" w:hAnsi="仿宋" w:eastAsia="仿宋" w:cs="仿宋"/>
          <w:spacing w:val="-20"/>
          <w:w w:val="100"/>
          <w:sz w:val="28"/>
          <w:szCs w:val="28"/>
        </w:rPr>
        <w:t>的蔬菜供应。</w:t>
      </w:r>
    </w:p>
    <w:p w14:paraId="46B5F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6.乙方不得向甲方提供以下食品（包括但不限于）：</w:t>
      </w:r>
    </w:p>
    <w:p w14:paraId="0071608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（1）腐败变质、油脂酸败、霉变、生虫、污秽不洁、混有异物或者其他感官性状异常，可能对人体健康有害的；</w:t>
      </w:r>
    </w:p>
    <w:p w14:paraId="06D781C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（2）含有毒、有害物质或者被有毒、有害物质污染，可能对人体健康有害的；</w:t>
      </w:r>
    </w:p>
    <w:p w14:paraId="6DA6CCA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（3）含有致病性寄生虫、微生物的，或者微生物毒素含量超过国家限定标准的；</w:t>
      </w:r>
    </w:p>
    <w:p w14:paraId="361D3B0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（4）含有昆虫或其它异物的；</w:t>
      </w:r>
    </w:p>
    <w:p w14:paraId="5F95255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（5）容器包装污秽不洁，严重破损或运输工具不洁造成污染的；</w:t>
      </w:r>
    </w:p>
    <w:p w14:paraId="641BAE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（6）掺假、掺杂、伪造，影响营养、卫生的；</w:t>
      </w:r>
    </w:p>
    <w:p w14:paraId="1C85734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（7）用非食品原料加工的，加入非食品用化学物质的或者将非食品当作食品的；</w:t>
      </w:r>
    </w:p>
    <w:p w14:paraId="0028619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（8）交货时质保期临近的；</w:t>
      </w:r>
    </w:p>
    <w:p w14:paraId="30B41C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（9）为防病等特殊需要，国务院卫生行政部门或者省、自治区、直辖市人民政府专门规定禁止出售的；</w:t>
      </w:r>
    </w:p>
    <w:p w14:paraId="2D85F9F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（10）含有未经国务院卫生行政部门批准使用的添加剂的或者农药残留超过国家规定容许量的；</w:t>
      </w:r>
    </w:p>
    <w:p w14:paraId="5151A6F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（11）擅自加入药物的食品及食品原料；</w:t>
      </w:r>
    </w:p>
    <w:p w14:paraId="6496066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（12）未经卫生部门批准的新资源食品；</w:t>
      </w:r>
    </w:p>
    <w:p w14:paraId="29D5B2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（13）未经检验或检验不合格出厂的食品及食品原辅材料；</w:t>
      </w:r>
    </w:p>
    <w:p w14:paraId="12421CD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（14）未按规定索证的食品及食品原辅材料；</w:t>
      </w:r>
    </w:p>
    <w:p w14:paraId="58AC0BA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（15）无卫生许可证者生产的食品及食品原辅材料（初级农产品除外）；</w:t>
      </w:r>
    </w:p>
    <w:p w14:paraId="549556D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（16）不符合国家卫生标准或者卫生管理办法的进口食品及食品原辅材料；</w:t>
      </w:r>
    </w:p>
    <w:p w14:paraId="390D2CD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（17）其他不符合食品卫生标准和要求的食品及食品原辅材料。</w:t>
      </w:r>
    </w:p>
    <w:p w14:paraId="0804F42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（18）乙方所供蔬菜农产品质量安全市场准入检测合格证提供CMA标识的品质、农残、重金属检测报告。</w:t>
      </w:r>
    </w:p>
    <w:p w14:paraId="5B7779A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一经发现供应配送以上食品， 甲方除全部退货外， 将取消乙方的供货资格，并有权单方解除本合同，乙方还应承担由此造成的甲方全部经济损失和法律责任。</w:t>
      </w:r>
    </w:p>
    <w:p w14:paraId="476A98C5">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7.计量单位：</w:t>
      </w:r>
      <w:r>
        <w:rPr>
          <w:rFonts w:hint="eastAsia" w:ascii="仿宋" w:hAnsi="仿宋" w:eastAsia="仿宋" w:cs="仿宋"/>
          <w:b w:val="0"/>
          <w:bCs w:val="0"/>
          <w:spacing w:val="-20"/>
          <w:w w:val="100"/>
          <w:sz w:val="28"/>
          <w:szCs w:val="28"/>
          <w:lang w:val="en-US" w:eastAsia="zh-CN"/>
        </w:rPr>
        <w:t>以</w:t>
      </w:r>
      <w:r>
        <w:rPr>
          <w:rFonts w:hint="eastAsia" w:ascii="仿宋" w:hAnsi="仿宋" w:eastAsia="仿宋" w:cs="仿宋"/>
          <w:spacing w:val="-20"/>
          <w:w w:val="100"/>
          <w:sz w:val="28"/>
          <w:szCs w:val="28"/>
          <w:lang w:val="en-US" w:eastAsia="zh-CN"/>
        </w:rPr>
        <w:t>公斤、升、毫升、箱、件、瓶、袋等为计量单位 （包装类商品以箱、件或瓶等为计量单位，需注明规格）。</w:t>
      </w:r>
    </w:p>
    <w:p w14:paraId="78CA8CE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default"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8.</w:t>
      </w:r>
      <w:r>
        <w:rPr>
          <w:rFonts w:hint="eastAsia" w:ascii="仿宋" w:hAnsi="仿宋" w:eastAsia="仿宋" w:cs="仿宋"/>
          <w:spacing w:val="-20"/>
          <w:w w:val="100"/>
          <w:sz w:val="28"/>
          <w:szCs w:val="28"/>
          <w:lang w:val="en-US" w:eastAsia="zh-CN"/>
        </w:rPr>
        <w:t>乙方送货单应为机打一式三联， 送货人应当相对固定。甲方</w:t>
      </w:r>
      <w:r>
        <w:rPr>
          <w:rFonts w:hint="eastAsia" w:ascii="仿宋" w:hAnsi="仿宋" w:eastAsia="仿宋" w:cs="仿宋"/>
          <w:color w:val="000008"/>
          <w:spacing w:val="-20"/>
          <w:w w:val="100"/>
          <w:sz w:val="28"/>
          <w:szCs w:val="28"/>
        </w:rPr>
        <w:t>收货</w:t>
      </w:r>
      <w:r>
        <w:rPr>
          <w:rFonts w:hint="eastAsia" w:ascii="仿宋" w:hAnsi="仿宋" w:eastAsia="仿宋" w:cs="仿宋"/>
          <w:color w:val="000008"/>
          <w:spacing w:val="-20"/>
          <w:w w:val="100"/>
          <w:sz w:val="28"/>
          <w:szCs w:val="28"/>
          <w:lang w:val="en-US" w:eastAsia="zh-CN"/>
        </w:rPr>
        <w:t>人</w:t>
      </w:r>
      <w:r>
        <w:rPr>
          <w:rFonts w:hint="eastAsia" w:ascii="仿宋" w:hAnsi="仿宋" w:eastAsia="仿宋" w:cs="仿宋"/>
          <w:color w:val="000008"/>
          <w:spacing w:val="-20"/>
          <w:w w:val="100"/>
          <w:sz w:val="28"/>
          <w:szCs w:val="28"/>
        </w:rPr>
        <w:t xml:space="preserve">验收货物品种、 数量、 质量后， </w:t>
      </w:r>
      <w:r>
        <w:rPr>
          <w:rFonts w:hint="eastAsia" w:ascii="仿宋" w:hAnsi="仿宋" w:eastAsia="仿宋" w:cs="仿宋"/>
          <w:color w:val="000008"/>
          <w:spacing w:val="-20"/>
          <w:w w:val="100"/>
          <w:sz w:val="28"/>
          <w:szCs w:val="28"/>
          <w:lang w:val="en-US" w:eastAsia="zh-CN"/>
        </w:rPr>
        <w:t>乙方配送</w:t>
      </w:r>
      <w:r>
        <w:rPr>
          <w:rFonts w:hint="eastAsia" w:ascii="仿宋" w:hAnsi="仿宋" w:eastAsia="仿宋" w:cs="仿宋"/>
          <w:color w:val="000008"/>
          <w:spacing w:val="-20"/>
          <w:w w:val="100"/>
          <w:sz w:val="28"/>
          <w:szCs w:val="28"/>
        </w:rPr>
        <w:t>员确认</w:t>
      </w:r>
      <w:r>
        <w:rPr>
          <w:rFonts w:hint="eastAsia" w:ascii="仿宋" w:hAnsi="仿宋" w:eastAsia="仿宋" w:cs="仿宋"/>
          <w:color w:val="000008"/>
          <w:spacing w:val="-20"/>
          <w:w w:val="100"/>
          <w:sz w:val="28"/>
          <w:szCs w:val="28"/>
          <w:lang w:val="en-US" w:eastAsia="zh-CN"/>
        </w:rPr>
        <w:t>无</w:t>
      </w:r>
      <w:r>
        <w:rPr>
          <w:rFonts w:hint="eastAsia" w:ascii="仿宋" w:hAnsi="仿宋" w:eastAsia="仿宋" w:cs="仿宋"/>
          <w:color w:val="000008"/>
          <w:spacing w:val="-20"/>
          <w:w w:val="100"/>
          <w:sz w:val="28"/>
          <w:szCs w:val="28"/>
        </w:rPr>
        <w:t xml:space="preserve">误后、 </w:t>
      </w:r>
      <w:r>
        <w:rPr>
          <w:rFonts w:hint="eastAsia" w:ascii="仿宋" w:hAnsi="仿宋" w:eastAsia="仿宋" w:cs="仿宋"/>
          <w:color w:val="000008"/>
          <w:spacing w:val="-20"/>
          <w:w w:val="100"/>
          <w:sz w:val="28"/>
          <w:szCs w:val="28"/>
          <w:lang w:val="en-US" w:eastAsia="zh-CN"/>
        </w:rPr>
        <w:t>双方</w:t>
      </w:r>
      <w:r>
        <w:rPr>
          <w:rFonts w:hint="eastAsia" w:ascii="仿宋" w:hAnsi="仿宋" w:eastAsia="仿宋" w:cs="仿宋"/>
          <w:color w:val="000008"/>
          <w:spacing w:val="-20"/>
          <w:w w:val="100"/>
          <w:sz w:val="28"/>
          <w:szCs w:val="28"/>
        </w:rPr>
        <w:t>在送货单上签字确认， 其中两联交给</w:t>
      </w:r>
      <w:r>
        <w:rPr>
          <w:rFonts w:hint="eastAsia" w:ascii="仿宋" w:hAnsi="仿宋" w:eastAsia="仿宋" w:cs="仿宋"/>
          <w:color w:val="000008"/>
          <w:spacing w:val="-20"/>
          <w:w w:val="100"/>
          <w:sz w:val="28"/>
          <w:szCs w:val="28"/>
          <w:lang w:val="en-US" w:eastAsia="zh-CN"/>
        </w:rPr>
        <w:t>甲方</w:t>
      </w:r>
      <w:r>
        <w:rPr>
          <w:rFonts w:hint="eastAsia" w:ascii="仿宋" w:hAnsi="仿宋" w:eastAsia="仿宋" w:cs="仿宋"/>
          <w:color w:val="000008"/>
          <w:spacing w:val="-20"/>
          <w:w w:val="100"/>
          <w:sz w:val="28"/>
          <w:szCs w:val="28"/>
        </w:rPr>
        <w:t>留存。</w:t>
      </w:r>
    </w:p>
    <w:p w14:paraId="2E05F6F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kern w:val="2"/>
          <w:sz w:val="28"/>
          <w:szCs w:val="28"/>
          <w:lang w:val="en-US" w:eastAsia="zh-CN" w:bidi="ar-SA"/>
        </w:rPr>
      </w:pPr>
      <w:r>
        <w:rPr>
          <w:rFonts w:hint="eastAsia" w:ascii="黑体" w:hAnsi="黑体" w:eastAsia="黑体" w:cs="黑体"/>
          <w:spacing w:val="-20"/>
          <w:w w:val="100"/>
          <w:kern w:val="2"/>
          <w:sz w:val="28"/>
          <w:szCs w:val="28"/>
          <w:lang w:val="en-US" w:eastAsia="zh-CN" w:bidi="ar-SA"/>
        </w:rPr>
        <w:t>第四条：供货周期及交货时限</w:t>
      </w:r>
    </w:p>
    <w:p w14:paraId="09A629C9">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color w:val="FF0000"/>
          <w:spacing w:val="-20"/>
          <w:w w:val="100"/>
          <w:sz w:val="28"/>
          <w:szCs w:val="28"/>
          <w:lang w:val="en-US" w:eastAsia="zh-CN"/>
        </w:rPr>
      </w:pPr>
      <w:r>
        <w:rPr>
          <w:rFonts w:hint="eastAsia" w:ascii="仿宋" w:hAnsi="仿宋" w:eastAsia="仿宋" w:cs="仿宋"/>
          <w:b/>
          <w:bCs/>
          <w:spacing w:val="-20"/>
          <w:w w:val="100"/>
          <w:sz w:val="28"/>
          <w:szCs w:val="28"/>
          <w:lang w:val="en-US" w:eastAsia="zh-CN"/>
        </w:rPr>
        <w:t>1.供货周期：</w:t>
      </w:r>
      <w:r>
        <w:rPr>
          <w:rFonts w:hint="eastAsia" w:ascii="仿宋" w:hAnsi="仿宋" w:eastAsia="仿宋" w:cs="仿宋"/>
          <w:b/>
          <w:bCs/>
          <w:color w:val="auto"/>
          <w:spacing w:val="-20"/>
          <w:w w:val="100"/>
          <w:sz w:val="28"/>
          <w:szCs w:val="28"/>
          <w:lang w:val="en-US" w:eastAsia="zh-CN"/>
        </w:rPr>
        <w:t>每周配送2次</w:t>
      </w:r>
      <w:r>
        <w:rPr>
          <w:rFonts w:hint="eastAsia" w:ascii="仿宋" w:hAnsi="仿宋" w:eastAsia="仿宋" w:cs="仿宋"/>
          <w:color w:val="auto"/>
          <w:spacing w:val="-20"/>
          <w:w w:val="100"/>
          <w:sz w:val="28"/>
          <w:szCs w:val="28"/>
          <w:lang w:val="en-US" w:eastAsia="zh-CN"/>
        </w:rPr>
        <w:t>。</w:t>
      </w:r>
    </w:p>
    <w:p w14:paraId="0B0F2BD3">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rPr>
      </w:pPr>
      <w:r>
        <w:rPr>
          <w:rFonts w:hint="eastAsia" w:ascii="仿宋" w:hAnsi="仿宋" w:eastAsia="仿宋" w:cs="仿宋"/>
          <w:b/>
          <w:bCs/>
          <w:spacing w:val="-20"/>
          <w:w w:val="100"/>
          <w:sz w:val="28"/>
          <w:szCs w:val="28"/>
          <w:lang w:val="en-US" w:eastAsia="zh-CN"/>
        </w:rPr>
        <w:t>2.甲方</w:t>
      </w:r>
      <w:r>
        <w:rPr>
          <w:rFonts w:hint="eastAsia" w:ascii="仿宋" w:hAnsi="仿宋" w:eastAsia="仿宋" w:cs="仿宋"/>
          <w:b/>
          <w:bCs/>
          <w:spacing w:val="-20"/>
          <w:w w:val="100"/>
          <w:sz w:val="28"/>
          <w:szCs w:val="28"/>
        </w:rPr>
        <w:t>下单时间：</w:t>
      </w:r>
      <w:r>
        <w:rPr>
          <w:rFonts w:hint="eastAsia" w:ascii="仿宋" w:hAnsi="仿宋" w:eastAsia="仿宋" w:cs="仿宋"/>
          <w:spacing w:val="-20"/>
          <w:w w:val="100"/>
          <w:sz w:val="28"/>
          <w:szCs w:val="28"/>
          <w:lang w:val="en-US" w:eastAsia="zh-CN"/>
        </w:rPr>
        <w:t>甲方的采购订单应当提前1-2天通知乙方，</w:t>
      </w:r>
      <w:r>
        <w:rPr>
          <w:rFonts w:hint="eastAsia" w:ascii="仿宋" w:hAnsi="仿宋" w:eastAsia="仿宋" w:cs="仿宋"/>
          <w:spacing w:val="-20"/>
          <w:w w:val="100"/>
          <w:sz w:val="28"/>
          <w:szCs w:val="28"/>
        </w:rPr>
        <w:t>甲</w:t>
      </w:r>
      <w:r>
        <w:rPr>
          <w:rFonts w:hint="eastAsia" w:ascii="仿宋" w:hAnsi="仿宋" w:eastAsia="仿宋" w:cs="仿宋"/>
          <w:spacing w:val="-20"/>
          <w:w w:val="100"/>
          <w:sz w:val="28"/>
          <w:szCs w:val="28"/>
          <w:lang w:val="en-US" w:eastAsia="zh-CN"/>
        </w:rPr>
        <w:t>方可</w:t>
      </w:r>
      <w:r>
        <w:rPr>
          <w:rFonts w:hint="eastAsia" w:ascii="仿宋" w:hAnsi="仿宋" w:eastAsia="仿宋" w:cs="仿宋"/>
          <w:spacing w:val="-20"/>
          <w:w w:val="100"/>
          <w:sz w:val="28"/>
          <w:szCs w:val="28"/>
        </w:rPr>
        <w:t>在每</w:t>
      </w:r>
      <w:r>
        <w:rPr>
          <w:rFonts w:hint="eastAsia" w:ascii="仿宋" w:hAnsi="仿宋" w:eastAsia="仿宋" w:cs="仿宋"/>
          <w:spacing w:val="-20"/>
          <w:w w:val="100"/>
          <w:sz w:val="28"/>
          <w:szCs w:val="28"/>
          <w:lang w:val="en-US" w:eastAsia="zh-CN"/>
        </w:rPr>
        <w:t>周六、周天、每周一、周二</w:t>
      </w:r>
      <w:r>
        <w:rPr>
          <w:rFonts w:hint="eastAsia" w:ascii="仿宋" w:hAnsi="仿宋" w:eastAsia="仿宋" w:cs="仿宋"/>
          <w:spacing w:val="-20"/>
          <w:w w:val="100"/>
          <w:sz w:val="28"/>
          <w:szCs w:val="28"/>
        </w:rPr>
        <w:t>1</w:t>
      </w:r>
      <w:r>
        <w:rPr>
          <w:rFonts w:hint="eastAsia" w:ascii="仿宋" w:hAnsi="仿宋" w:eastAsia="仿宋" w:cs="仿宋"/>
          <w:spacing w:val="-20"/>
          <w:w w:val="100"/>
          <w:sz w:val="28"/>
          <w:szCs w:val="28"/>
          <w:lang w:val="en-US" w:eastAsia="zh-CN"/>
        </w:rPr>
        <w:t>4</w:t>
      </w:r>
      <w:r>
        <w:rPr>
          <w:rFonts w:hint="eastAsia" w:ascii="仿宋" w:hAnsi="仿宋" w:eastAsia="仿宋" w:cs="仿宋"/>
          <w:spacing w:val="-20"/>
          <w:w w:val="100"/>
          <w:sz w:val="28"/>
          <w:szCs w:val="28"/>
        </w:rPr>
        <w:t>:00 以前，</w:t>
      </w:r>
      <w:r>
        <w:rPr>
          <w:rFonts w:hint="eastAsia" w:ascii="仿宋" w:hAnsi="仿宋" w:eastAsia="仿宋" w:cs="仿宋"/>
          <w:spacing w:val="-20"/>
          <w:w w:val="100"/>
          <w:sz w:val="28"/>
          <w:szCs w:val="28"/>
          <w:lang w:val="en-US" w:eastAsia="zh-CN"/>
        </w:rPr>
        <w:t>提前</w:t>
      </w:r>
      <w:r>
        <w:rPr>
          <w:rFonts w:hint="eastAsia" w:ascii="仿宋" w:hAnsi="仿宋" w:eastAsia="仿宋" w:cs="仿宋"/>
          <w:spacing w:val="-20"/>
          <w:w w:val="100"/>
          <w:sz w:val="28"/>
          <w:szCs w:val="28"/>
        </w:rPr>
        <w:t>通过</w:t>
      </w:r>
      <w:r>
        <w:rPr>
          <w:rFonts w:hint="eastAsia" w:ascii="仿宋" w:hAnsi="仿宋" w:eastAsia="仿宋" w:cs="仿宋"/>
          <w:spacing w:val="-20"/>
          <w:w w:val="100"/>
          <w:sz w:val="28"/>
          <w:szCs w:val="28"/>
          <w:lang w:val="en-US" w:eastAsia="zh-CN"/>
        </w:rPr>
        <w:t>微信或电子邮件的方式</w:t>
      </w:r>
      <w:r>
        <w:rPr>
          <w:rFonts w:hint="eastAsia" w:ascii="仿宋" w:hAnsi="仿宋" w:eastAsia="仿宋" w:cs="仿宋"/>
          <w:spacing w:val="-20"/>
          <w:w w:val="100"/>
          <w:sz w:val="28"/>
          <w:szCs w:val="28"/>
        </w:rPr>
        <w:t>向</w:t>
      </w:r>
      <w:r>
        <w:rPr>
          <w:rFonts w:hint="eastAsia" w:ascii="仿宋" w:hAnsi="仿宋" w:eastAsia="仿宋" w:cs="仿宋"/>
          <w:spacing w:val="-20"/>
          <w:w w:val="100"/>
          <w:sz w:val="28"/>
          <w:szCs w:val="28"/>
          <w:lang w:val="en-US" w:eastAsia="zh-CN"/>
        </w:rPr>
        <w:t>乙方</w:t>
      </w:r>
      <w:r>
        <w:rPr>
          <w:rFonts w:hint="eastAsia" w:ascii="仿宋" w:hAnsi="仿宋" w:eastAsia="仿宋" w:cs="仿宋"/>
          <w:spacing w:val="-20"/>
          <w:w w:val="100"/>
          <w:sz w:val="28"/>
          <w:szCs w:val="28"/>
        </w:rPr>
        <w:t>下达订单，</w:t>
      </w:r>
      <w:r>
        <w:rPr>
          <w:rFonts w:hint="eastAsia" w:ascii="仿宋" w:hAnsi="仿宋" w:eastAsia="仿宋" w:cs="仿宋"/>
          <w:spacing w:val="-20"/>
          <w:w w:val="100"/>
          <w:sz w:val="28"/>
          <w:szCs w:val="28"/>
          <w:lang w:val="en-US" w:eastAsia="zh-CN"/>
        </w:rPr>
        <w:t>便于乙方备货，甲方应</w:t>
      </w:r>
      <w:r>
        <w:rPr>
          <w:rFonts w:hint="eastAsia" w:ascii="仿宋" w:hAnsi="仿宋" w:eastAsia="仿宋" w:cs="仿宋"/>
          <w:spacing w:val="-20"/>
          <w:w w:val="100"/>
          <w:sz w:val="28"/>
          <w:szCs w:val="28"/>
        </w:rPr>
        <w:t>明确所需产品的名称、</w:t>
      </w:r>
      <w:r>
        <w:rPr>
          <w:rFonts w:hint="eastAsia" w:ascii="仿宋" w:hAnsi="仿宋" w:eastAsia="仿宋" w:cs="仿宋"/>
          <w:spacing w:val="-20"/>
          <w:w w:val="100"/>
          <w:sz w:val="28"/>
          <w:szCs w:val="28"/>
          <w:lang w:val="en-US" w:eastAsia="zh-CN"/>
        </w:rPr>
        <w:t>品牌、</w:t>
      </w:r>
      <w:r>
        <w:rPr>
          <w:rFonts w:hint="eastAsia" w:ascii="仿宋" w:hAnsi="仿宋" w:eastAsia="仿宋" w:cs="仿宋"/>
          <w:spacing w:val="-20"/>
          <w:w w:val="100"/>
          <w:sz w:val="28"/>
          <w:szCs w:val="28"/>
        </w:rPr>
        <w:t>数量、规格、包装</w:t>
      </w:r>
      <w:r>
        <w:rPr>
          <w:rFonts w:hint="eastAsia" w:ascii="仿宋" w:hAnsi="仿宋" w:eastAsia="仿宋" w:cs="仿宋"/>
          <w:spacing w:val="-20"/>
          <w:w w:val="100"/>
          <w:sz w:val="28"/>
          <w:szCs w:val="28"/>
          <w:lang w:val="en-US" w:eastAsia="zh-CN"/>
        </w:rPr>
        <w:t>等</w:t>
      </w:r>
      <w:r>
        <w:rPr>
          <w:rFonts w:hint="eastAsia" w:ascii="仿宋" w:hAnsi="仿宋" w:eastAsia="仿宋" w:cs="仿宋"/>
          <w:spacing w:val="-20"/>
          <w:w w:val="100"/>
          <w:sz w:val="28"/>
          <w:szCs w:val="28"/>
        </w:rPr>
        <w:t>，具体内容以</w:t>
      </w:r>
      <w:r>
        <w:rPr>
          <w:rFonts w:hint="eastAsia" w:ascii="仿宋" w:hAnsi="仿宋" w:eastAsia="仿宋" w:cs="仿宋"/>
          <w:spacing w:val="-20"/>
          <w:w w:val="100"/>
          <w:sz w:val="28"/>
          <w:szCs w:val="28"/>
          <w:lang w:val="en-US" w:eastAsia="zh-CN"/>
        </w:rPr>
        <w:t>甲方</w:t>
      </w:r>
      <w:r>
        <w:rPr>
          <w:rFonts w:hint="eastAsia" w:ascii="仿宋" w:hAnsi="仿宋" w:eastAsia="仿宋" w:cs="仿宋"/>
          <w:spacing w:val="-20"/>
          <w:w w:val="100"/>
          <w:sz w:val="28"/>
          <w:szCs w:val="28"/>
        </w:rPr>
        <w:t>订单为准。（因特殊原因提前或延后时间下单的双</w:t>
      </w:r>
      <w:r>
        <w:rPr>
          <w:rFonts w:hint="eastAsia" w:ascii="仿宋" w:hAnsi="仿宋" w:eastAsia="仿宋" w:cs="仿宋"/>
          <w:spacing w:val="-20"/>
          <w:w w:val="100"/>
          <w:sz w:val="28"/>
          <w:szCs w:val="28"/>
          <w:lang w:val="en-US" w:eastAsia="zh-CN"/>
        </w:rPr>
        <w:t>方人</w:t>
      </w:r>
      <w:r>
        <w:rPr>
          <w:rFonts w:hint="eastAsia" w:ascii="仿宋" w:hAnsi="仿宋" w:eastAsia="仿宋" w:cs="仿宋"/>
          <w:spacing w:val="-20"/>
          <w:w w:val="100"/>
          <w:sz w:val="28"/>
          <w:szCs w:val="28"/>
        </w:rPr>
        <w:t>员</w:t>
      </w:r>
      <w:r>
        <w:rPr>
          <w:rFonts w:hint="eastAsia" w:ascii="仿宋" w:hAnsi="仿宋" w:eastAsia="仿宋" w:cs="仿宋"/>
          <w:spacing w:val="-20"/>
          <w:w w:val="100"/>
          <w:sz w:val="28"/>
          <w:szCs w:val="28"/>
          <w:lang w:val="en-US" w:eastAsia="zh-CN"/>
        </w:rPr>
        <w:t>自行</w:t>
      </w:r>
      <w:r>
        <w:rPr>
          <w:rFonts w:hint="eastAsia" w:ascii="仿宋" w:hAnsi="仿宋" w:eastAsia="仿宋" w:cs="仿宋"/>
          <w:spacing w:val="-20"/>
          <w:w w:val="100"/>
          <w:sz w:val="28"/>
          <w:szCs w:val="28"/>
        </w:rPr>
        <w:t>沟通）</w:t>
      </w:r>
    </w:p>
    <w:p w14:paraId="6D3427D9">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3.乙方</w:t>
      </w:r>
      <w:r>
        <w:rPr>
          <w:rFonts w:hint="eastAsia" w:ascii="仿宋" w:hAnsi="仿宋" w:eastAsia="仿宋" w:cs="仿宋"/>
          <w:b/>
          <w:bCs/>
          <w:spacing w:val="-20"/>
          <w:w w:val="100"/>
          <w:sz w:val="28"/>
          <w:szCs w:val="28"/>
        </w:rPr>
        <w:t>交货时间：</w:t>
      </w:r>
      <w:r>
        <w:rPr>
          <w:rFonts w:hint="eastAsia" w:ascii="仿宋" w:hAnsi="仿宋" w:eastAsia="仿宋" w:cs="仿宋"/>
          <w:spacing w:val="-20"/>
          <w:w w:val="100"/>
          <w:sz w:val="28"/>
          <w:szCs w:val="28"/>
          <w:lang w:val="en-US" w:eastAsia="zh-CN"/>
        </w:rPr>
        <w:t>周六、周日下单的，在周一17：00前</w:t>
      </w:r>
      <w:r>
        <w:rPr>
          <w:rFonts w:hint="eastAsia" w:ascii="仿宋" w:hAnsi="仿宋" w:eastAsia="仿宋" w:cs="仿宋"/>
          <w:spacing w:val="-20"/>
          <w:w w:val="100"/>
          <w:sz w:val="28"/>
          <w:szCs w:val="28"/>
        </w:rPr>
        <w:t>送达</w:t>
      </w:r>
      <w:r>
        <w:rPr>
          <w:rFonts w:hint="eastAsia" w:ascii="仿宋" w:hAnsi="仿宋" w:eastAsia="仿宋" w:cs="仿宋"/>
          <w:spacing w:val="-20"/>
          <w:w w:val="100"/>
          <w:sz w:val="28"/>
          <w:szCs w:val="28"/>
          <w:lang w:val="en-US" w:eastAsia="zh-CN"/>
        </w:rPr>
        <w:t>甲方</w:t>
      </w:r>
      <w:r>
        <w:rPr>
          <w:rFonts w:hint="eastAsia" w:ascii="仿宋" w:hAnsi="仿宋" w:eastAsia="仿宋" w:cs="仿宋"/>
          <w:spacing w:val="-20"/>
          <w:w w:val="100"/>
          <w:sz w:val="28"/>
          <w:szCs w:val="28"/>
        </w:rPr>
        <w:t>指定地点</w:t>
      </w:r>
      <w:r>
        <w:rPr>
          <w:rFonts w:hint="eastAsia" w:ascii="仿宋" w:hAnsi="仿宋" w:eastAsia="仿宋" w:cs="仿宋"/>
          <w:spacing w:val="-20"/>
          <w:w w:val="100"/>
          <w:sz w:val="28"/>
          <w:szCs w:val="28"/>
          <w:lang w:val="en-US" w:eastAsia="zh-CN"/>
        </w:rPr>
        <w:t>；周一、周二下单的，在周四17：00前送达甲方指定地点。</w:t>
      </w:r>
    </w:p>
    <w:p w14:paraId="4E6F666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甲方因</w:t>
      </w:r>
      <w:r>
        <w:rPr>
          <w:rFonts w:hint="eastAsia" w:ascii="仿宋" w:hAnsi="仿宋" w:eastAsia="仿宋" w:cs="仿宋"/>
          <w:spacing w:val="-20"/>
          <w:w w:val="100"/>
          <w:sz w:val="28"/>
          <w:szCs w:val="28"/>
        </w:rPr>
        <w:t>急需</w:t>
      </w:r>
      <w:r>
        <w:rPr>
          <w:rFonts w:hint="eastAsia" w:ascii="仿宋" w:hAnsi="仿宋" w:eastAsia="仿宋" w:cs="仿宋"/>
          <w:spacing w:val="-20"/>
          <w:w w:val="100"/>
          <w:sz w:val="28"/>
          <w:szCs w:val="28"/>
          <w:lang w:val="en-US" w:eastAsia="zh-CN"/>
        </w:rPr>
        <w:t>用品或临时需要订货，有权在批次订货时间以外临时向乙方订货，订货方式可以是书面方式也可以是口头方式。临时订货的交货时间为接到甲方通知后的4小时内。</w:t>
      </w:r>
    </w:p>
    <w:p w14:paraId="4C260193">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rPr>
      </w:pPr>
      <w:r>
        <w:rPr>
          <w:rFonts w:hint="eastAsia" w:ascii="仿宋" w:hAnsi="仿宋" w:eastAsia="仿宋" w:cs="仿宋"/>
          <w:b/>
          <w:bCs/>
          <w:spacing w:val="-20"/>
          <w:w w:val="100"/>
          <w:sz w:val="28"/>
          <w:szCs w:val="28"/>
          <w:lang w:val="en-US" w:eastAsia="zh-CN"/>
        </w:rPr>
        <w:t>4.风险责任：</w:t>
      </w:r>
      <w:r>
        <w:rPr>
          <w:rFonts w:hint="eastAsia" w:ascii="仿宋" w:hAnsi="仿宋" w:eastAsia="仿宋" w:cs="仿宋"/>
          <w:spacing w:val="-20"/>
          <w:w w:val="100"/>
          <w:sz w:val="28"/>
          <w:szCs w:val="28"/>
          <w:lang w:val="en-US" w:eastAsia="zh-CN"/>
        </w:rPr>
        <w:t>乙方</w:t>
      </w:r>
      <w:r>
        <w:rPr>
          <w:rFonts w:hint="eastAsia" w:ascii="仿宋" w:hAnsi="仿宋" w:eastAsia="仿宋" w:cs="仿宋"/>
          <w:spacing w:val="-20"/>
          <w:w w:val="100"/>
          <w:sz w:val="28"/>
          <w:szCs w:val="28"/>
        </w:rPr>
        <w:t>在配送过程中所</w:t>
      </w:r>
      <w:r>
        <w:rPr>
          <w:rFonts w:hint="eastAsia" w:ascii="仿宋" w:hAnsi="仿宋" w:eastAsia="仿宋" w:cs="仿宋"/>
          <w:spacing w:val="-20"/>
          <w:w w:val="100"/>
          <w:sz w:val="28"/>
          <w:szCs w:val="28"/>
          <w:lang w:val="en-US" w:eastAsia="zh-CN"/>
        </w:rPr>
        <w:t>发生</w:t>
      </w:r>
      <w:r>
        <w:rPr>
          <w:rFonts w:hint="eastAsia" w:ascii="仿宋" w:hAnsi="仿宋" w:eastAsia="仿宋" w:cs="仿宋"/>
          <w:spacing w:val="-20"/>
          <w:w w:val="100"/>
          <w:sz w:val="28"/>
          <w:szCs w:val="28"/>
        </w:rPr>
        <w:t>的</w:t>
      </w:r>
      <w:r>
        <w:rPr>
          <w:rFonts w:hint="eastAsia" w:ascii="仿宋" w:hAnsi="仿宋" w:eastAsia="仿宋" w:cs="仿宋"/>
          <w:spacing w:val="-20"/>
          <w:w w:val="100"/>
          <w:sz w:val="28"/>
          <w:szCs w:val="28"/>
          <w:lang w:val="en-US" w:eastAsia="zh-CN"/>
        </w:rPr>
        <w:t>一切</w:t>
      </w:r>
      <w:r>
        <w:rPr>
          <w:rFonts w:hint="eastAsia" w:ascii="仿宋" w:hAnsi="仿宋" w:eastAsia="仿宋" w:cs="仿宋"/>
          <w:spacing w:val="-20"/>
          <w:w w:val="100"/>
          <w:sz w:val="28"/>
          <w:szCs w:val="28"/>
        </w:rPr>
        <w:t>费</w:t>
      </w:r>
      <w:r>
        <w:rPr>
          <w:rFonts w:hint="eastAsia" w:ascii="仿宋" w:hAnsi="仿宋" w:eastAsia="仿宋" w:cs="仿宋"/>
          <w:spacing w:val="-20"/>
          <w:w w:val="100"/>
          <w:sz w:val="28"/>
          <w:szCs w:val="28"/>
          <w:lang w:val="en-US" w:eastAsia="zh-CN"/>
        </w:rPr>
        <w:t>用和风险</w:t>
      </w:r>
      <w:r>
        <w:rPr>
          <w:rFonts w:hint="eastAsia" w:ascii="仿宋" w:hAnsi="仿宋" w:eastAsia="仿宋" w:cs="仿宋"/>
          <w:spacing w:val="-20"/>
          <w:w w:val="100"/>
          <w:sz w:val="28"/>
          <w:szCs w:val="28"/>
        </w:rPr>
        <w:t>，均由</w:t>
      </w:r>
      <w:r>
        <w:rPr>
          <w:rFonts w:hint="eastAsia" w:ascii="仿宋" w:hAnsi="仿宋" w:eastAsia="仿宋" w:cs="仿宋"/>
          <w:spacing w:val="-20"/>
          <w:w w:val="100"/>
          <w:sz w:val="28"/>
          <w:szCs w:val="28"/>
          <w:lang w:val="en-US" w:eastAsia="zh-CN"/>
        </w:rPr>
        <w:t>乙方</w:t>
      </w:r>
      <w:r>
        <w:rPr>
          <w:rFonts w:hint="eastAsia" w:ascii="仿宋" w:hAnsi="仿宋" w:eastAsia="仿宋" w:cs="仿宋"/>
          <w:spacing w:val="-20"/>
          <w:w w:val="100"/>
          <w:sz w:val="28"/>
          <w:szCs w:val="28"/>
        </w:rPr>
        <w:t>负责，在货物送到指定地点之前的运送</w:t>
      </w:r>
      <w:r>
        <w:rPr>
          <w:rFonts w:hint="eastAsia" w:ascii="仿宋" w:hAnsi="仿宋" w:eastAsia="仿宋" w:cs="仿宋"/>
          <w:spacing w:val="-20"/>
          <w:w w:val="100"/>
          <w:sz w:val="28"/>
          <w:szCs w:val="28"/>
          <w:lang w:val="en-US" w:eastAsia="zh-CN"/>
        </w:rPr>
        <w:t>风险</w:t>
      </w:r>
      <w:r>
        <w:rPr>
          <w:rFonts w:hint="eastAsia" w:ascii="仿宋" w:hAnsi="仿宋" w:eastAsia="仿宋" w:cs="仿宋"/>
          <w:spacing w:val="-20"/>
          <w:w w:val="100"/>
          <w:sz w:val="28"/>
          <w:szCs w:val="28"/>
        </w:rPr>
        <w:t>由</w:t>
      </w:r>
      <w:r>
        <w:rPr>
          <w:rFonts w:hint="eastAsia" w:ascii="仿宋" w:hAnsi="仿宋" w:eastAsia="仿宋" w:cs="仿宋"/>
          <w:spacing w:val="-20"/>
          <w:w w:val="100"/>
          <w:sz w:val="28"/>
          <w:szCs w:val="28"/>
          <w:lang w:val="en-US" w:eastAsia="zh-CN"/>
        </w:rPr>
        <w:t>乙方</w:t>
      </w:r>
      <w:r>
        <w:rPr>
          <w:rFonts w:hint="eastAsia" w:ascii="仿宋" w:hAnsi="仿宋" w:eastAsia="仿宋" w:cs="仿宋"/>
          <w:spacing w:val="-20"/>
          <w:w w:val="100"/>
          <w:sz w:val="28"/>
          <w:szCs w:val="28"/>
        </w:rPr>
        <w:t>承担。</w:t>
      </w:r>
    </w:p>
    <w:p w14:paraId="4A74F9C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黑体" w:hAnsi="黑体" w:eastAsia="黑体" w:cs="黑体"/>
          <w:spacing w:val="-20"/>
          <w:w w:val="100"/>
          <w:kern w:val="2"/>
          <w:sz w:val="28"/>
          <w:szCs w:val="28"/>
          <w:lang w:val="en-US" w:eastAsia="zh-CN" w:bidi="ar-SA"/>
        </w:rPr>
        <w:t>第五条：备案及索证</w:t>
      </w:r>
    </w:p>
    <w:p w14:paraId="5D3AF9F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1.根据食品安全相关法律，乙方须提供自己的《工商营业执照》、《食品经营许可证》等国家规定的许可证件复印件交甲方备案，以上证件须经过年审并在有效期内。</w:t>
      </w:r>
    </w:p>
    <w:p w14:paraId="05D0C30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2.乙方须提供所供主副食材的生产（经营/供货）商索证资料，包括但不限于生产商《营业执照》、主副食材《质量检测报告》等索证资料，且保证上述资料均在有效期内。</w:t>
      </w:r>
    </w:p>
    <w:p w14:paraId="5F2DDA6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3.乙方按甲方确定的时间将订单内所有主副食材送到甲方指定的地点并配送完毕，乙方提供《送货清单》一式三份，甲乙双方现场验收并签名，作结算凭证。</w:t>
      </w:r>
    </w:p>
    <w:p w14:paraId="2E9FE8D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4.所有货品按实际标注重量为主，最终配送重量以双方确认为准。</w:t>
      </w:r>
    </w:p>
    <w:p w14:paraId="66E196E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5.如乙方漏单必须按甲方规定的时间及时补单。</w:t>
      </w:r>
    </w:p>
    <w:p w14:paraId="64F09FA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6.乙方所送主副食材应保证数量的相对准确性；若出现缺斤短两现象，甲方有权取消与乙方的合作，甲方并按所缺货品公斤数的10倍予以罚款。</w:t>
      </w:r>
    </w:p>
    <w:p w14:paraId="1602F6E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黑体" w:hAnsi="黑体" w:eastAsia="黑体" w:cs="黑体"/>
          <w:spacing w:val="-20"/>
          <w:w w:val="100"/>
          <w:sz w:val="28"/>
          <w:szCs w:val="28"/>
          <w:lang w:val="en-US" w:eastAsia="zh-CN"/>
        </w:rPr>
        <w:t>第六条：供货价格及货款付款方式</w:t>
      </w:r>
    </w:p>
    <w:p w14:paraId="241DD5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1.供货价格：甲方根据伊犁州察布查尔县主要批发市场各类食材均价每周调整一次主副食品供应基准价。</w:t>
      </w:r>
    </w:p>
    <w:p w14:paraId="723A7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color w:val="000008"/>
          <w:spacing w:val="-20"/>
          <w:w w:val="100"/>
          <w:sz w:val="28"/>
          <w:szCs w:val="28"/>
          <w:lang w:val="en-US" w:eastAsia="zh-CN"/>
        </w:rPr>
      </w:pPr>
      <w:r>
        <w:rPr>
          <w:rFonts w:hint="eastAsia" w:ascii="仿宋" w:hAnsi="仿宋" w:eastAsia="仿宋" w:cs="仿宋"/>
          <w:color w:val="000008"/>
          <w:spacing w:val="-20"/>
          <w:w w:val="100"/>
          <w:sz w:val="28"/>
          <w:szCs w:val="28"/>
          <w:lang w:eastAsia="zh-CN"/>
        </w:rPr>
        <w:t>供货价</w:t>
      </w:r>
      <w:r>
        <w:rPr>
          <w:rFonts w:hint="eastAsia" w:ascii="仿宋" w:hAnsi="仿宋" w:eastAsia="仿宋" w:cs="仿宋"/>
          <w:color w:val="000008"/>
          <w:spacing w:val="-20"/>
          <w:w w:val="100"/>
          <w:sz w:val="28"/>
          <w:szCs w:val="28"/>
          <w:lang w:val="en-US" w:eastAsia="zh-CN"/>
        </w:rPr>
        <w:t>=基准价</w:t>
      </w:r>
      <w:r>
        <w:rPr>
          <w:rFonts w:hint="eastAsia" w:ascii="汉仪细圆B5" w:hAnsi="汉仪细圆B5" w:eastAsia="汉仪细圆B5" w:cs="汉仪细圆B5"/>
          <w:color w:val="000008"/>
          <w:spacing w:val="-20"/>
          <w:w w:val="100"/>
          <w:sz w:val="28"/>
          <w:szCs w:val="28"/>
          <w:lang w:val="en-US" w:eastAsia="zh-CN"/>
        </w:rPr>
        <w:t>×</w:t>
      </w:r>
      <w:r>
        <w:rPr>
          <w:rFonts w:hint="eastAsia" w:ascii="仿宋" w:hAnsi="仿宋" w:eastAsia="仿宋" w:cs="仿宋"/>
          <w:color w:val="auto"/>
          <w:spacing w:val="-20"/>
          <w:w w:val="100"/>
          <w:sz w:val="28"/>
          <w:szCs w:val="28"/>
          <w:lang w:val="en-US" w:eastAsia="zh-CN"/>
        </w:rPr>
        <w:t>**</w:t>
      </w:r>
      <w:r>
        <w:rPr>
          <w:rFonts w:hint="eastAsia" w:ascii="仿宋" w:hAnsi="仿宋" w:eastAsia="仿宋" w:cs="仿宋"/>
          <w:color w:val="000008"/>
          <w:spacing w:val="-20"/>
          <w:w w:val="100"/>
          <w:sz w:val="28"/>
          <w:szCs w:val="28"/>
          <w:lang w:val="en-US" w:eastAsia="zh-CN"/>
        </w:rPr>
        <w:t>%（折扣率）</w:t>
      </w:r>
    </w:p>
    <w:p w14:paraId="40A3026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所有主副食品供货价包括但不限于税费、成本、利润、运输、装卸等费用。</w:t>
      </w:r>
    </w:p>
    <w:p w14:paraId="40EC6C1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b/>
          <w:bCs/>
          <w:spacing w:val="-20"/>
          <w:w w:val="100"/>
          <w:sz w:val="28"/>
          <w:szCs w:val="28"/>
          <w:lang w:val="en-US" w:eastAsia="zh-CN"/>
        </w:rPr>
        <w:t>2.结算规则：</w:t>
      </w:r>
      <w:r>
        <w:rPr>
          <w:rFonts w:hint="eastAsia" w:ascii="仿宋" w:hAnsi="仿宋" w:eastAsia="仿宋" w:cs="仿宋"/>
          <w:b w:val="0"/>
          <w:bCs w:val="0"/>
          <w:color w:val="auto"/>
          <w:spacing w:val="-20"/>
          <w:w w:val="100"/>
          <w:sz w:val="28"/>
          <w:szCs w:val="28"/>
          <w:lang w:val="en-US" w:eastAsia="zh-CN"/>
        </w:rPr>
        <w:t>结算周期为每半月结算一次。</w:t>
      </w:r>
      <w:r>
        <w:rPr>
          <w:rFonts w:hint="eastAsia" w:ascii="仿宋" w:hAnsi="仿宋" w:eastAsia="仿宋" w:cs="仿宋"/>
          <w:color w:val="auto"/>
          <w:spacing w:val="-20"/>
          <w:w w:val="100"/>
          <w:sz w:val="28"/>
          <w:szCs w:val="28"/>
          <w:lang w:val="en-US" w:eastAsia="zh-CN"/>
        </w:rPr>
        <w:t>乙方</w:t>
      </w:r>
      <w:r>
        <w:rPr>
          <w:rFonts w:hint="eastAsia" w:ascii="仿宋" w:hAnsi="仿宋" w:eastAsia="仿宋" w:cs="仿宋"/>
          <w:color w:val="auto"/>
          <w:spacing w:val="-20"/>
          <w:w w:val="100"/>
          <w:sz w:val="28"/>
          <w:szCs w:val="28"/>
        </w:rPr>
        <w:t>应于每</w:t>
      </w:r>
      <w:r>
        <w:rPr>
          <w:rFonts w:hint="eastAsia" w:ascii="仿宋" w:hAnsi="仿宋" w:eastAsia="仿宋" w:cs="仿宋"/>
          <w:color w:val="auto"/>
          <w:spacing w:val="-20"/>
          <w:w w:val="100"/>
          <w:sz w:val="28"/>
          <w:szCs w:val="28"/>
          <w:lang w:val="en-US" w:eastAsia="zh-CN"/>
        </w:rPr>
        <w:t>月</w:t>
      </w:r>
      <w:r>
        <w:rPr>
          <w:rFonts w:hint="eastAsia" w:ascii="仿宋" w:hAnsi="仿宋" w:eastAsia="仿宋" w:cs="仿宋"/>
          <w:color w:val="auto"/>
          <w:spacing w:val="-20"/>
          <w:w w:val="100"/>
          <w:sz w:val="28"/>
          <w:szCs w:val="28"/>
        </w:rPr>
        <w:t xml:space="preserve"> </w:t>
      </w:r>
      <w:r>
        <w:rPr>
          <w:rFonts w:hint="eastAsia" w:ascii="仿宋" w:hAnsi="仿宋" w:eastAsia="仿宋" w:cs="仿宋"/>
          <w:color w:val="auto"/>
          <w:spacing w:val="-20"/>
          <w:w w:val="100"/>
          <w:sz w:val="28"/>
          <w:szCs w:val="28"/>
          <w:lang w:val="en-US" w:eastAsia="zh-CN"/>
        </w:rPr>
        <w:t>5日</w:t>
      </w:r>
      <w:r>
        <w:rPr>
          <w:rFonts w:hint="eastAsia" w:ascii="仿宋" w:hAnsi="仿宋" w:eastAsia="仿宋" w:cs="仿宋"/>
          <w:color w:val="auto"/>
          <w:spacing w:val="-20"/>
          <w:w w:val="100"/>
          <w:sz w:val="28"/>
          <w:szCs w:val="28"/>
        </w:rPr>
        <w:t xml:space="preserve"> </w:t>
      </w:r>
      <w:r>
        <w:rPr>
          <w:rFonts w:hint="eastAsia" w:ascii="仿宋" w:hAnsi="仿宋" w:eastAsia="仿宋" w:cs="仿宋"/>
          <w:color w:val="auto"/>
          <w:spacing w:val="-20"/>
          <w:w w:val="100"/>
          <w:sz w:val="28"/>
          <w:szCs w:val="28"/>
          <w:lang w:eastAsia="zh-CN"/>
        </w:rPr>
        <w:t>、</w:t>
      </w:r>
      <w:r>
        <w:rPr>
          <w:rFonts w:hint="eastAsia" w:ascii="仿宋" w:hAnsi="仿宋" w:eastAsia="仿宋" w:cs="仿宋"/>
          <w:color w:val="auto"/>
          <w:spacing w:val="-20"/>
          <w:w w:val="100"/>
          <w:sz w:val="28"/>
          <w:szCs w:val="28"/>
          <w:lang w:val="en-US" w:eastAsia="zh-CN"/>
        </w:rPr>
        <w:t>18日</w:t>
      </w:r>
      <w:r>
        <w:rPr>
          <w:rFonts w:hint="eastAsia" w:ascii="仿宋" w:hAnsi="仿宋" w:eastAsia="仿宋" w:cs="仿宋"/>
          <w:color w:val="auto"/>
          <w:spacing w:val="-20"/>
          <w:w w:val="100"/>
          <w:sz w:val="28"/>
          <w:szCs w:val="28"/>
        </w:rPr>
        <w:t>（如</w:t>
      </w:r>
      <w:r>
        <w:rPr>
          <w:rFonts w:hint="eastAsia" w:ascii="仿宋" w:hAnsi="仿宋" w:eastAsia="仿宋" w:cs="仿宋"/>
          <w:color w:val="auto"/>
          <w:spacing w:val="-20"/>
          <w:w w:val="100"/>
          <w:sz w:val="28"/>
          <w:szCs w:val="28"/>
          <w:lang w:eastAsia="zh-CN"/>
        </w:rPr>
        <w:t>遇</w:t>
      </w:r>
      <w:r>
        <w:rPr>
          <w:rFonts w:hint="eastAsia" w:ascii="仿宋" w:hAnsi="仿宋" w:eastAsia="仿宋" w:cs="仿宋"/>
          <w:color w:val="auto"/>
          <w:spacing w:val="-20"/>
          <w:w w:val="100"/>
          <w:sz w:val="28"/>
          <w:szCs w:val="28"/>
        </w:rPr>
        <w:t>法定节假</w:t>
      </w:r>
      <w:r>
        <w:rPr>
          <w:rFonts w:hint="eastAsia" w:ascii="仿宋" w:hAnsi="仿宋" w:eastAsia="仿宋" w:cs="仿宋"/>
          <w:color w:val="auto"/>
          <w:spacing w:val="-20"/>
          <w:w w:val="100"/>
          <w:sz w:val="28"/>
          <w:szCs w:val="28"/>
          <w:lang w:val="en-US" w:eastAsia="zh-CN"/>
        </w:rPr>
        <w:t>日</w:t>
      </w:r>
      <w:r>
        <w:rPr>
          <w:rFonts w:hint="eastAsia" w:ascii="仿宋" w:hAnsi="仿宋" w:eastAsia="仿宋" w:cs="仿宋"/>
          <w:color w:val="auto"/>
          <w:spacing w:val="-20"/>
          <w:w w:val="100"/>
          <w:sz w:val="28"/>
          <w:szCs w:val="28"/>
        </w:rPr>
        <w:t>的， 应为节假</w:t>
      </w:r>
      <w:r>
        <w:rPr>
          <w:rFonts w:hint="eastAsia" w:ascii="仿宋" w:hAnsi="仿宋" w:eastAsia="仿宋" w:cs="仿宋"/>
          <w:color w:val="auto"/>
          <w:spacing w:val="-20"/>
          <w:w w:val="100"/>
          <w:sz w:val="28"/>
          <w:szCs w:val="28"/>
          <w:lang w:val="en-US" w:eastAsia="zh-CN"/>
        </w:rPr>
        <w:t>日上班后</w:t>
      </w:r>
      <w:r>
        <w:rPr>
          <w:rFonts w:hint="eastAsia" w:ascii="仿宋" w:hAnsi="仿宋" w:eastAsia="仿宋" w:cs="仿宋"/>
          <w:color w:val="auto"/>
          <w:spacing w:val="-20"/>
          <w:w w:val="100"/>
          <w:sz w:val="28"/>
          <w:szCs w:val="28"/>
        </w:rPr>
        <w:t>的</w:t>
      </w:r>
      <w:r>
        <w:rPr>
          <w:rFonts w:hint="eastAsia" w:ascii="仿宋" w:hAnsi="仿宋" w:eastAsia="仿宋" w:cs="仿宋"/>
          <w:color w:val="auto"/>
          <w:spacing w:val="-20"/>
          <w:w w:val="100"/>
          <w:sz w:val="28"/>
          <w:szCs w:val="28"/>
          <w:lang w:eastAsia="zh-CN"/>
        </w:rPr>
        <w:t>第</w:t>
      </w:r>
      <w:r>
        <w:rPr>
          <w:rFonts w:hint="eastAsia" w:ascii="仿宋" w:hAnsi="仿宋" w:eastAsia="仿宋" w:cs="仿宋"/>
          <w:color w:val="auto"/>
          <w:spacing w:val="-20"/>
          <w:w w:val="100"/>
          <w:sz w:val="28"/>
          <w:szCs w:val="28"/>
          <w:lang w:val="en-US" w:eastAsia="zh-CN"/>
        </w:rPr>
        <w:t>一</w:t>
      </w:r>
      <w:r>
        <w:rPr>
          <w:rFonts w:hint="eastAsia" w:ascii="仿宋" w:hAnsi="仿宋" w:eastAsia="仿宋" w:cs="仿宋"/>
          <w:color w:val="auto"/>
          <w:spacing w:val="-20"/>
          <w:w w:val="100"/>
          <w:sz w:val="28"/>
          <w:szCs w:val="28"/>
        </w:rPr>
        <w:t>个</w:t>
      </w:r>
      <w:r>
        <w:rPr>
          <w:rFonts w:hint="eastAsia" w:ascii="仿宋" w:hAnsi="仿宋" w:eastAsia="仿宋" w:cs="仿宋"/>
          <w:color w:val="auto"/>
          <w:spacing w:val="-20"/>
          <w:w w:val="100"/>
          <w:sz w:val="28"/>
          <w:szCs w:val="28"/>
          <w:lang w:eastAsia="zh-CN"/>
        </w:rPr>
        <w:t>工</w:t>
      </w:r>
      <w:r>
        <w:rPr>
          <w:rFonts w:hint="eastAsia" w:ascii="仿宋" w:hAnsi="仿宋" w:eastAsia="仿宋" w:cs="仿宋"/>
          <w:color w:val="auto"/>
          <w:spacing w:val="-20"/>
          <w:w w:val="100"/>
          <w:sz w:val="28"/>
          <w:szCs w:val="28"/>
        </w:rPr>
        <w:t>作</w:t>
      </w:r>
      <w:r>
        <w:rPr>
          <w:rFonts w:hint="eastAsia" w:ascii="仿宋" w:hAnsi="仿宋" w:eastAsia="仿宋" w:cs="仿宋"/>
          <w:color w:val="auto"/>
          <w:spacing w:val="-20"/>
          <w:w w:val="100"/>
          <w:sz w:val="28"/>
          <w:szCs w:val="28"/>
          <w:lang w:val="en-US" w:eastAsia="zh-CN"/>
        </w:rPr>
        <w:t>日</w:t>
      </w:r>
      <w:r>
        <w:rPr>
          <w:rFonts w:hint="eastAsia" w:ascii="仿宋" w:hAnsi="仿宋" w:eastAsia="仿宋" w:cs="仿宋"/>
          <w:color w:val="auto"/>
          <w:spacing w:val="-20"/>
          <w:w w:val="100"/>
          <w:sz w:val="28"/>
          <w:szCs w:val="28"/>
        </w:rPr>
        <w:t>）持</w:t>
      </w:r>
      <w:r>
        <w:rPr>
          <w:rFonts w:hint="eastAsia" w:ascii="仿宋" w:hAnsi="仿宋" w:eastAsia="仿宋" w:cs="仿宋"/>
          <w:color w:val="auto"/>
          <w:spacing w:val="-20"/>
          <w:w w:val="100"/>
          <w:sz w:val="28"/>
          <w:szCs w:val="28"/>
          <w:lang w:val="en-US" w:eastAsia="zh-CN"/>
        </w:rPr>
        <w:t>结算周期内</w:t>
      </w:r>
      <w:r>
        <w:rPr>
          <w:rFonts w:hint="eastAsia" w:ascii="仿宋" w:hAnsi="仿宋" w:eastAsia="仿宋" w:cs="仿宋"/>
          <w:color w:val="auto"/>
          <w:spacing w:val="-20"/>
          <w:w w:val="100"/>
          <w:sz w:val="28"/>
          <w:szCs w:val="28"/>
        </w:rPr>
        <w:t>甲</w:t>
      </w:r>
      <w:r>
        <w:rPr>
          <w:rFonts w:hint="eastAsia" w:ascii="仿宋" w:hAnsi="仿宋" w:eastAsia="仿宋" w:cs="仿宋"/>
          <w:color w:val="auto"/>
          <w:spacing w:val="-20"/>
          <w:w w:val="100"/>
          <w:sz w:val="28"/>
          <w:szCs w:val="28"/>
          <w:lang w:val="en-US" w:eastAsia="zh-CN"/>
        </w:rPr>
        <w:t>方</w:t>
      </w:r>
      <w:r>
        <w:rPr>
          <w:rFonts w:hint="eastAsia" w:ascii="仿宋" w:hAnsi="仿宋" w:eastAsia="仿宋" w:cs="仿宋"/>
          <w:color w:val="auto"/>
          <w:spacing w:val="-20"/>
          <w:w w:val="100"/>
          <w:sz w:val="28"/>
          <w:szCs w:val="28"/>
        </w:rPr>
        <w:t>出具的验货确认单</w:t>
      </w:r>
      <w:r>
        <w:rPr>
          <w:rFonts w:hint="eastAsia" w:ascii="仿宋" w:hAnsi="仿宋" w:eastAsia="仿宋" w:cs="仿宋"/>
          <w:color w:val="000008"/>
          <w:spacing w:val="-20"/>
          <w:w w:val="100"/>
          <w:sz w:val="28"/>
          <w:szCs w:val="28"/>
        </w:rPr>
        <w:t>与甲</w:t>
      </w:r>
      <w:r>
        <w:rPr>
          <w:rFonts w:hint="eastAsia" w:ascii="仿宋" w:hAnsi="仿宋" w:eastAsia="仿宋" w:cs="仿宋"/>
          <w:color w:val="000008"/>
          <w:spacing w:val="-20"/>
          <w:w w:val="100"/>
          <w:sz w:val="28"/>
          <w:szCs w:val="28"/>
          <w:lang w:val="en-US" w:eastAsia="zh-CN"/>
        </w:rPr>
        <w:t>方</w:t>
      </w:r>
      <w:r>
        <w:rPr>
          <w:rFonts w:hint="eastAsia" w:ascii="仿宋" w:hAnsi="仿宋" w:eastAsia="仿宋" w:cs="仿宋"/>
          <w:color w:val="000008"/>
          <w:spacing w:val="-20"/>
          <w:w w:val="100"/>
          <w:sz w:val="28"/>
          <w:szCs w:val="28"/>
        </w:rPr>
        <w:t>留存对账</w:t>
      </w:r>
      <w:r>
        <w:rPr>
          <w:rFonts w:hint="eastAsia" w:ascii="仿宋" w:hAnsi="仿宋" w:eastAsia="仿宋" w:cs="仿宋"/>
          <w:color w:val="000008"/>
          <w:spacing w:val="-20"/>
          <w:w w:val="100"/>
          <w:sz w:val="28"/>
          <w:szCs w:val="28"/>
          <w:lang w:val="en-US" w:eastAsia="zh-CN"/>
        </w:rPr>
        <w:t>清</w:t>
      </w:r>
      <w:r>
        <w:rPr>
          <w:rFonts w:hint="eastAsia" w:ascii="仿宋" w:hAnsi="仿宋" w:eastAsia="仿宋" w:cs="仿宋"/>
          <w:color w:val="000008"/>
          <w:spacing w:val="-20"/>
          <w:w w:val="100"/>
          <w:sz w:val="28"/>
          <w:szCs w:val="28"/>
        </w:rPr>
        <w:t xml:space="preserve">单核对， </w:t>
      </w:r>
      <w:r>
        <w:rPr>
          <w:rFonts w:hint="eastAsia" w:ascii="仿宋" w:hAnsi="仿宋" w:eastAsia="仿宋" w:cs="仿宋"/>
          <w:spacing w:val="-20"/>
          <w:w w:val="100"/>
          <w:sz w:val="28"/>
          <w:szCs w:val="28"/>
          <w:lang w:val="en-US" w:eastAsia="zh-CN"/>
        </w:rPr>
        <w:t>经甲乙双方确认供货清单后，按照所供货物合同金额提供正规明细发票。</w:t>
      </w:r>
    </w:p>
    <w:p w14:paraId="2DF3F06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default" w:ascii="仿宋" w:hAnsi="仿宋" w:eastAsia="仿宋" w:cs="仿宋"/>
          <w:b/>
          <w:bCs/>
          <w:color w:val="auto"/>
          <w:spacing w:val="-20"/>
          <w:w w:val="100"/>
          <w:sz w:val="28"/>
          <w:szCs w:val="28"/>
          <w:lang w:val="en-US" w:eastAsia="zh-CN"/>
        </w:rPr>
      </w:pPr>
      <w:r>
        <w:rPr>
          <w:rFonts w:hint="eastAsia" w:ascii="仿宋" w:hAnsi="仿宋" w:eastAsia="仿宋" w:cs="仿宋"/>
          <w:b/>
          <w:bCs/>
          <w:spacing w:val="-20"/>
          <w:w w:val="100"/>
          <w:sz w:val="28"/>
          <w:szCs w:val="28"/>
          <w:lang w:val="en-US" w:eastAsia="zh-CN"/>
        </w:rPr>
        <w:t>3.付</w:t>
      </w:r>
      <w:r>
        <w:rPr>
          <w:rFonts w:hint="eastAsia" w:ascii="仿宋" w:hAnsi="仿宋" w:eastAsia="仿宋" w:cs="仿宋"/>
          <w:b/>
          <w:bCs/>
          <w:color w:val="000008"/>
          <w:spacing w:val="-20"/>
          <w:w w:val="100"/>
          <w:sz w:val="28"/>
          <w:szCs w:val="28"/>
          <w:lang w:val="en-US" w:eastAsia="zh-CN"/>
        </w:rPr>
        <w:t>款期限与方式：</w:t>
      </w:r>
      <w:r>
        <w:rPr>
          <w:rFonts w:hint="eastAsia" w:ascii="仿宋" w:hAnsi="仿宋" w:eastAsia="仿宋" w:cs="仿宋"/>
          <w:color w:val="auto"/>
          <w:spacing w:val="-20"/>
          <w:w w:val="100"/>
          <w:sz w:val="28"/>
          <w:szCs w:val="28"/>
          <w:lang w:val="en-US" w:eastAsia="zh-CN"/>
        </w:rPr>
        <w:t>乙方向甲方提交有效税务发票，</w:t>
      </w:r>
      <w:r>
        <w:rPr>
          <w:rFonts w:hint="eastAsia" w:ascii="仿宋" w:hAnsi="仿宋" w:eastAsia="仿宋" w:cs="仿宋"/>
          <w:color w:val="auto"/>
          <w:spacing w:val="-20"/>
          <w:w w:val="100"/>
          <w:sz w:val="28"/>
          <w:szCs w:val="28"/>
        </w:rPr>
        <w:t>甲</w:t>
      </w:r>
      <w:r>
        <w:rPr>
          <w:rFonts w:hint="eastAsia" w:ascii="仿宋" w:hAnsi="仿宋" w:eastAsia="仿宋" w:cs="仿宋"/>
          <w:color w:val="auto"/>
          <w:spacing w:val="-20"/>
          <w:w w:val="100"/>
          <w:sz w:val="28"/>
          <w:szCs w:val="28"/>
          <w:lang w:val="en-US" w:eastAsia="zh-CN"/>
        </w:rPr>
        <w:t>方完成内部审批后结清货款。</w:t>
      </w:r>
    </w:p>
    <w:p w14:paraId="6ADB2135">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sz w:val="28"/>
          <w:szCs w:val="28"/>
        </w:rPr>
      </w:pPr>
      <w:r>
        <w:rPr>
          <w:rFonts w:hint="eastAsia" w:ascii="仿宋" w:hAnsi="仿宋" w:eastAsia="仿宋" w:cs="仿宋"/>
          <w:b/>
          <w:bCs/>
          <w:spacing w:val="-20"/>
          <w:w w:val="100"/>
          <w:sz w:val="28"/>
          <w:szCs w:val="28"/>
        </w:rPr>
        <w:t>甲</w:t>
      </w:r>
      <w:r>
        <w:rPr>
          <w:rFonts w:hint="eastAsia" w:ascii="仿宋" w:hAnsi="仿宋" w:eastAsia="仿宋" w:cs="仿宋"/>
          <w:b/>
          <w:bCs/>
          <w:spacing w:val="-20"/>
          <w:w w:val="100"/>
          <w:sz w:val="28"/>
          <w:szCs w:val="28"/>
          <w:lang w:val="en-US" w:eastAsia="zh-CN"/>
        </w:rPr>
        <w:t>方</w:t>
      </w:r>
      <w:r>
        <w:rPr>
          <w:rFonts w:hint="eastAsia" w:ascii="仿宋" w:hAnsi="仿宋" w:eastAsia="仿宋" w:cs="仿宋"/>
          <w:b/>
          <w:bCs/>
          <w:spacing w:val="-20"/>
          <w:w w:val="100"/>
          <w:sz w:val="28"/>
          <w:szCs w:val="28"/>
        </w:rPr>
        <w:t>开票信息如下：</w:t>
      </w:r>
    </w:p>
    <w:p w14:paraId="2D8ADA8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ascii="Times New Roman" w:hAnsi="Times New Roman" w:eastAsia="宋体" w:cs="Times New Roman"/>
          <w:spacing w:val="-20"/>
          <w:w w:val="100"/>
          <w:kern w:val="2"/>
          <w:sz w:val="28"/>
          <w:szCs w:val="28"/>
          <w:lang w:val="en-US" w:eastAsia="zh-CN" w:bidi="ar-SA"/>
        </w:rPr>
      </w:pPr>
      <w:r>
        <w:rPr>
          <w:rFonts w:hint="eastAsia" w:ascii="仿宋" w:hAnsi="仿宋" w:eastAsia="仿宋" w:cs="仿宋"/>
          <w:spacing w:val="-20"/>
          <w:w w:val="100"/>
          <w:kern w:val="2"/>
          <w:sz w:val="28"/>
          <w:szCs w:val="28"/>
          <w:lang w:val="en-US" w:eastAsia="zh-CN" w:bidi="ar-SA"/>
        </w:rPr>
        <w:t>名称：中华人民共和国都拉塔出入境边防检查站</w:t>
      </w:r>
    </w:p>
    <w:p w14:paraId="2A158CFE">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default" w:ascii="仿宋" w:hAnsi="仿宋" w:eastAsia="仿宋" w:cs="仿宋"/>
          <w:b/>
          <w:bCs/>
          <w:color w:val="auto"/>
          <w:spacing w:val="-20"/>
          <w:w w:val="100"/>
          <w:sz w:val="28"/>
          <w:szCs w:val="28"/>
          <w:lang w:val="en-US" w:eastAsia="zh-CN"/>
        </w:rPr>
      </w:pPr>
      <w:r>
        <w:rPr>
          <w:rFonts w:hint="eastAsia" w:ascii="仿宋" w:hAnsi="仿宋" w:eastAsia="仿宋" w:cs="仿宋"/>
          <w:b/>
          <w:bCs/>
          <w:color w:val="auto"/>
          <w:spacing w:val="-20"/>
          <w:w w:val="100"/>
          <w:sz w:val="28"/>
          <w:szCs w:val="28"/>
        </w:rPr>
        <w:t>税号：</w:t>
      </w:r>
      <w:r>
        <w:rPr>
          <w:rFonts w:hint="eastAsia" w:ascii="仿宋" w:hAnsi="仿宋" w:eastAsia="仿宋" w:cs="仿宋"/>
          <w:b/>
          <w:bCs/>
          <w:color w:val="auto"/>
          <w:spacing w:val="-20"/>
          <w:w w:val="100"/>
          <w:sz w:val="28"/>
          <w:szCs w:val="28"/>
          <w:lang w:val="en-US" w:eastAsia="zh-CN"/>
        </w:rPr>
        <w:t>11654000MB1E663621</w:t>
      </w:r>
    </w:p>
    <w:p w14:paraId="6916CFC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宋体" w:cs="Times New Roman"/>
          <w:spacing w:val="-20"/>
          <w:w w:val="100"/>
          <w:sz w:val="28"/>
          <w:szCs w:val="28"/>
          <w:lang w:val="en-US" w:eastAsia="zh-CN"/>
        </w:rPr>
      </w:pPr>
      <w:r>
        <w:rPr>
          <w:rFonts w:hint="eastAsia" w:ascii="仿宋" w:hAnsi="仿宋" w:eastAsia="仿宋" w:cs="仿宋"/>
          <w:spacing w:val="-20"/>
          <w:w w:val="100"/>
          <w:sz w:val="28"/>
          <w:szCs w:val="28"/>
        </w:rPr>
        <w:t>单位地址：</w:t>
      </w:r>
      <w:r>
        <w:rPr>
          <w:rFonts w:hint="eastAsia" w:ascii="仿宋" w:hAnsi="仿宋" w:eastAsia="仿宋" w:cs="仿宋"/>
          <w:spacing w:val="-20"/>
          <w:w w:val="100"/>
          <w:sz w:val="28"/>
          <w:szCs w:val="28"/>
          <w:lang w:val="en-US" w:eastAsia="zh-CN"/>
        </w:rPr>
        <w:t>新疆伊犁州都拉塔口岸迎宾大道13号</w:t>
      </w:r>
    </w:p>
    <w:p w14:paraId="726E45A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rPr>
        <w:t>开户银</w:t>
      </w:r>
      <w:r>
        <w:rPr>
          <w:rFonts w:hint="eastAsia" w:ascii="仿宋" w:hAnsi="仿宋" w:eastAsia="仿宋" w:cs="仿宋"/>
          <w:spacing w:val="-20"/>
          <w:w w:val="100"/>
          <w:sz w:val="28"/>
          <w:szCs w:val="28"/>
          <w:lang w:val="en-US" w:eastAsia="zh-CN"/>
        </w:rPr>
        <w:t>行</w:t>
      </w:r>
      <w:r>
        <w:rPr>
          <w:rFonts w:hint="eastAsia" w:ascii="仿宋" w:hAnsi="仿宋" w:eastAsia="仿宋" w:cs="仿宋"/>
          <w:spacing w:val="-20"/>
          <w:w w:val="100"/>
          <w:sz w:val="28"/>
          <w:szCs w:val="28"/>
        </w:rPr>
        <w:t>：</w:t>
      </w:r>
      <w:r>
        <w:rPr>
          <w:rFonts w:hint="eastAsia" w:ascii="仿宋" w:hAnsi="仿宋" w:eastAsia="仿宋" w:cs="仿宋"/>
          <w:spacing w:val="-20"/>
          <w:w w:val="100"/>
          <w:sz w:val="28"/>
          <w:szCs w:val="28"/>
          <w:lang w:val="en-US" w:eastAsia="zh-CN"/>
        </w:rPr>
        <w:t>中国工商银行伊犁察布查尔支行</w:t>
      </w:r>
    </w:p>
    <w:p w14:paraId="15165B8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pacing w:val="-20"/>
          <w:w w:val="100"/>
          <w:kern w:val="2"/>
          <w:sz w:val="28"/>
          <w:szCs w:val="28"/>
          <w:lang w:val="en-US" w:eastAsia="zh-CN" w:bidi="ar-SA"/>
        </w:rPr>
      </w:pPr>
      <w:r>
        <w:rPr>
          <w:rFonts w:hint="eastAsia" w:ascii="仿宋" w:hAnsi="仿宋" w:eastAsia="仿宋" w:cs="仿宋"/>
          <w:spacing w:val="-20"/>
          <w:w w:val="100"/>
          <w:kern w:val="2"/>
          <w:sz w:val="28"/>
          <w:szCs w:val="28"/>
          <w:lang w:val="en-US" w:eastAsia="zh-CN" w:bidi="ar-SA"/>
        </w:rPr>
        <w:t>银行账号：3006022809200112567</w:t>
      </w:r>
    </w:p>
    <w:p w14:paraId="485645C1">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sz w:val="28"/>
          <w:szCs w:val="28"/>
          <w:lang w:val="en-US" w:eastAsia="zh-CN"/>
        </w:rPr>
      </w:pPr>
    </w:p>
    <w:p w14:paraId="607DE3E7">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sz w:val="28"/>
          <w:szCs w:val="28"/>
        </w:rPr>
      </w:pPr>
      <w:r>
        <w:rPr>
          <w:rFonts w:hint="eastAsia" w:ascii="仿宋" w:hAnsi="仿宋" w:eastAsia="仿宋" w:cs="仿宋"/>
          <w:b/>
          <w:bCs/>
          <w:spacing w:val="-20"/>
          <w:w w:val="100"/>
          <w:sz w:val="28"/>
          <w:szCs w:val="28"/>
          <w:lang w:val="en-US" w:eastAsia="zh-CN"/>
        </w:rPr>
        <w:t>乙方</w:t>
      </w:r>
      <w:r>
        <w:rPr>
          <w:rFonts w:hint="eastAsia" w:ascii="仿宋" w:hAnsi="仿宋" w:eastAsia="仿宋" w:cs="仿宋"/>
          <w:b/>
          <w:bCs/>
          <w:spacing w:val="-20"/>
          <w:w w:val="100"/>
          <w:sz w:val="28"/>
          <w:szCs w:val="28"/>
        </w:rPr>
        <w:t>收款信息如下：</w:t>
      </w:r>
    </w:p>
    <w:p w14:paraId="784C606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pacing w:val="-20"/>
          <w:w w:val="100"/>
          <w:kern w:val="2"/>
          <w:sz w:val="28"/>
          <w:szCs w:val="28"/>
          <w:lang w:val="en-US" w:eastAsia="zh-CN" w:bidi="ar-SA"/>
        </w:rPr>
      </w:pPr>
      <w:r>
        <w:rPr>
          <w:rFonts w:hint="eastAsia" w:ascii="仿宋" w:hAnsi="仿宋" w:eastAsia="仿宋" w:cs="仿宋"/>
          <w:spacing w:val="-20"/>
          <w:w w:val="100"/>
          <w:kern w:val="2"/>
          <w:sz w:val="28"/>
          <w:szCs w:val="28"/>
          <w:lang w:val="en-US" w:eastAsia="zh-CN" w:bidi="ar-SA"/>
        </w:rPr>
        <w:t>户名：</w:t>
      </w:r>
    </w:p>
    <w:p w14:paraId="3FAF2FA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kern w:val="2"/>
          <w:sz w:val="28"/>
          <w:szCs w:val="28"/>
          <w:lang w:val="en-US" w:eastAsia="zh-CN" w:bidi="ar-SA"/>
        </w:rPr>
      </w:pPr>
      <w:r>
        <w:rPr>
          <w:rFonts w:hint="eastAsia" w:ascii="仿宋" w:hAnsi="仿宋" w:eastAsia="仿宋" w:cs="仿宋"/>
          <w:spacing w:val="-20"/>
          <w:w w:val="100"/>
          <w:sz w:val="28"/>
          <w:szCs w:val="28"/>
        </w:rPr>
        <w:t>开户</w:t>
      </w:r>
      <w:r>
        <w:rPr>
          <w:rFonts w:hint="eastAsia" w:ascii="仿宋" w:hAnsi="仿宋" w:eastAsia="仿宋" w:cs="仿宋"/>
          <w:spacing w:val="-20"/>
          <w:w w:val="100"/>
          <w:sz w:val="28"/>
          <w:szCs w:val="28"/>
          <w:lang w:val="en-US" w:eastAsia="zh-CN"/>
        </w:rPr>
        <w:t>行</w:t>
      </w:r>
      <w:r>
        <w:rPr>
          <w:rFonts w:hint="eastAsia" w:ascii="仿宋" w:hAnsi="仿宋" w:eastAsia="仿宋" w:cs="仿宋"/>
          <w:spacing w:val="-20"/>
          <w:w w:val="100"/>
          <w:sz w:val="28"/>
          <w:szCs w:val="28"/>
        </w:rPr>
        <w:t>：</w:t>
      </w:r>
    </w:p>
    <w:p w14:paraId="4CF9C02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kern w:val="2"/>
          <w:sz w:val="28"/>
          <w:szCs w:val="28"/>
          <w:lang w:val="en-US" w:eastAsia="zh-CN" w:bidi="ar-SA"/>
        </w:rPr>
      </w:pPr>
      <w:r>
        <w:rPr>
          <w:rFonts w:hint="eastAsia" w:ascii="仿宋" w:hAnsi="仿宋" w:eastAsia="仿宋" w:cs="仿宋"/>
          <w:spacing w:val="-20"/>
          <w:w w:val="100"/>
          <w:kern w:val="2"/>
          <w:sz w:val="28"/>
          <w:szCs w:val="28"/>
          <w:lang w:val="en-US" w:eastAsia="zh-CN" w:bidi="ar-SA"/>
        </w:rPr>
        <w:t>银行账号：</w:t>
      </w:r>
    </w:p>
    <w:p w14:paraId="58C633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第七条：权利和义务</w:t>
      </w:r>
    </w:p>
    <w:p w14:paraId="5861C34E">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sz w:val="28"/>
          <w:szCs w:val="28"/>
          <w:lang w:val="en-US" w:eastAsia="zh-CN"/>
        </w:rPr>
      </w:pPr>
      <w:r>
        <w:rPr>
          <w:rFonts w:hint="eastAsia" w:ascii="仿宋" w:hAnsi="仿宋" w:eastAsia="仿宋" w:cs="仿宋"/>
          <w:b/>
          <w:bCs/>
          <w:spacing w:val="-20"/>
          <w:w w:val="100"/>
          <w:sz w:val="28"/>
          <w:szCs w:val="28"/>
          <w:lang w:val="en-US" w:eastAsia="zh-CN"/>
        </w:rPr>
        <w:t>1.甲方：</w:t>
      </w:r>
    </w:p>
    <w:p w14:paraId="48DD814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（1）甲方有权了解乙方的经营场所、规模、操作模式等信息；有权随时到乙方提供的生产经营场地实地考察、参观，检查乙方的生产、经营、供货、储存、运输等场所及设备是否符合卫生条件等。</w:t>
      </w:r>
    </w:p>
    <w:p w14:paraId="7F76112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（2）甲方在向乙方下单时，须明确告之甲方所需主副食材的品名、规格、数量及要求等信息，以便乙方更好地准备主副食材；</w:t>
      </w:r>
    </w:p>
    <w:p w14:paraId="726B1EA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（3）甲方有权就乙方违反本合同条款做出经济处罚。</w:t>
      </w:r>
    </w:p>
    <w:p w14:paraId="7C8EDF06">
      <w:pPr>
        <w:keepNext w:val="0"/>
        <w:keepLines w:val="0"/>
        <w:pageBreakBefore w:val="0"/>
        <w:widowControl w:val="0"/>
        <w:kinsoku/>
        <w:wordWrap/>
        <w:overflowPunct/>
        <w:topLinePunct w:val="0"/>
        <w:autoSpaceDE/>
        <w:autoSpaceDN/>
        <w:bidi w:val="0"/>
        <w:adjustRightInd/>
        <w:snapToGrid/>
        <w:spacing w:line="560" w:lineRule="exact"/>
        <w:ind w:left="0" w:leftChars="0" w:firstLine="482" w:firstLineChars="200"/>
        <w:textAlignment w:val="auto"/>
        <w:rPr>
          <w:rFonts w:hint="eastAsia" w:ascii="仿宋" w:hAnsi="仿宋" w:eastAsia="仿宋" w:cs="仿宋"/>
          <w:b/>
          <w:bCs/>
          <w:spacing w:val="-20"/>
          <w:w w:val="100"/>
          <w:sz w:val="28"/>
          <w:szCs w:val="28"/>
          <w:lang w:val="en-US" w:eastAsia="zh-CN"/>
        </w:rPr>
      </w:pPr>
      <w:r>
        <w:rPr>
          <w:rFonts w:hint="eastAsia" w:ascii="仿宋" w:hAnsi="仿宋" w:eastAsia="仿宋" w:cs="仿宋"/>
          <w:b/>
          <w:bCs/>
          <w:spacing w:val="-20"/>
          <w:w w:val="100"/>
          <w:sz w:val="28"/>
          <w:szCs w:val="28"/>
          <w:lang w:val="en-US" w:eastAsia="zh-CN"/>
        </w:rPr>
        <w:t>2.乙方：</w:t>
      </w:r>
    </w:p>
    <w:p w14:paraId="091254D5">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（1）乙方须保证按本合同所列的要求向甲方供货。甲方在本合同执行过程中的任何验收、接收、确认行为，均不免除乙方对主副食材及服务的质量、卫生、食品安全应承担的责任。</w:t>
      </w:r>
    </w:p>
    <w:p w14:paraId="5041B3E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（2）乙方及乙方人员在向甲方送货途中所发生的任何交通意外、责任事故等均与甲方无关，乙方自行承担送货至甲方过程中所发生的所有费用及事故责任。</w:t>
      </w:r>
    </w:p>
    <w:p w14:paraId="1DB73DB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（3）乙方在送货至甲方时，须无条件遵守甲方的所有规章制度、管理规范等，无条件接受甲方的管理。</w:t>
      </w:r>
    </w:p>
    <w:p w14:paraId="738CCC1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（4）乙方须主动向甲方提供食品及原材料采购索证等资料；</w:t>
      </w:r>
    </w:p>
    <w:p w14:paraId="568D4B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（5）乙方有义务协助甲方处理未使用的食品及原材料，在不影响第二次销售的前提下，乙方须无条件接受甲方退货。但包装损坏、过期等不能再出售的食品及原材，且非乙方供货过失的，乙方有权拒绝退货。</w:t>
      </w:r>
    </w:p>
    <w:p w14:paraId="3F927BC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（6）乙方不得向甲方任何采购、验收人员送礼、送物，不得造假采购单据、提供虚假购物凭证等。</w:t>
      </w:r>
    </w:p>
    <w:p w14:paraId="655F3BF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（7）乙方不得以甲方名义，对外赊欠主副食材或借贷，凡乙方金钱上一切行为，概与甲方无关。乙方应缴各项税款，应自行缴纳，如有逃税、漏税之事宜，应自行负责。</w:t>
      </w:r>
    </w:p>
    <w:p w14:paraId="280DC87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8）甲方将不定期组织相关人员从伊犁州察布察尔县主要批发市场对乙方所供主副食材价格、品质提供等内容进行抽查、考察和询价，如出现价格高于本合同约定的信息价格或以次充好情况，甲方有权予以处罚。</w:t>
      </w:r>
    </w:p>
    <w:p w14:paraId="4250D0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（9）经考察询价，当日主副食材中产品存在高于市场最高价格的，单日所供所有主副食材不予结算，并可以扣除履约保证金1万元。</w:t>
      </w:r>
    </w:p>
    <w:p w14:paraId="0DB162B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（10） 乙方如出现上述（9）3次以上情形的，甲方有权解除合同并扣除全额履约保证金。</w:t>
      </w:r>
    </w:p>
    <w:p w14:paraId="4393451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第八条：验收标准及退货依据</w:t>
      </w:r>
    </w:p>
    <w:p w14:paraId="01DC5FE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1.合格率：乙方提供的主副食材合格率应达</w:t>
      </w:r>
      <w:r>
        <w:rPr>
          <w:rFonts w:hint="eastAsia" w:ascii="仿宋" w:hAnsi="仿宋" w:eastAsia="仿宋" w:cs="仿宋"/>
          <w:spacing w:val="-20"/>
          <w:w w:val="100"/>
          <w:sz w:val="28"/>
          <w:szCs w:val="28"/>
          <w:highlight w:val="none"/>
          <w:lang w:val="en-US" w:eastAsia="zh-CN"/>
        </w:rPr>
        <w:t>90%。</w:t>
      </w:r>
      <w:r>
        <w:rPr>
          <w:rFonts w:hint="eastAsia" w:ascii="仿宋" w:hAnsi="仿宋" w:eastAsia="仿宋" w:cs="仿宋"/>
          <w:spacing w:val="-20"/>
          <w:w w:val="100"/>
          <w:sz w:val="28"/>
          <w:szCs w:val="28"/>
          <w:lang w:val="en-US" w:eastAsia="zh-CN"/>
        </w:rPr>
        <w:t xml:space="preserve">                                                                                                                                                        </w:t>
      </w:r>
    </w:p>
    <w:p w14:paraId="7D3CE95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2.甲方按照以下标准作为验收标准以及退货依据：</w:t>
      </w:r>
    </w:p>
    <w:p w14:paraId="4C191AC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乙方必须遵守国家《食品安全法》《食品卫生法》《产品质量法》《动物检疫管理办法》等法律法规的规定，供应的商品必须来源于政府许可的正规厂家，在符合国家食品卫生标准和质量标准上，也应当符合本合同或订单约定的质量标准。</w:t>
      </w:r>
    </w:p>
    <w:p w14:paraId="05037F8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（2）严禁配送假冒、变质、过期的商品，否则退货。</w:t>
      </w:r>
    </w:p>
    <w:p w14:paraId="0DF7DD0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（3）货品每次配送必须向甲方提交相关商品供货、生产、代理、经营、批发单位出具的原始凭证，并交由甲方存档溯源。</w:t>
      </w:r>
    </w:p>
    <w:p w14:paraId="4E0FBE6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（4）若因乙方所提供的产品在保质期内，出现的爆袋、漏气、漏油、变质等非人为问题，乙方无条件包退、换货。</w:t>
      </w:r>
    </w:p>
    <w:p w14:paraId="38B212D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（5）若乙方供应的商品出现过期、涨袋、变质、损坏、假冒、不合格等问题，甲方有权自行扣除该商品（对账结算时予以扣除），要求乙方在规定时间配送合格商品，并视情节可以扣除500－1000元的违约金。</w:t>
      </w:r>
    </w:p>
    <w:p w14:paraId="574A189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（6）因不可抗力原因（如上级部门要求停止外出、停止购物）导滞商品滞销，在双方协商的基础上，乙方在一定期限内退、换货，否则，甲方有权终止供货协议。</w:t>
      </w:r>
    </w:p>
    <w:p w14:paraId="4B90713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（7）运送过程必须做好防污染工作，确保清洁卫生。</w:t>
      </w:r>
    </w:p>
    <w:p w14:paraId="198BCB1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3.甲方有随机抽检的权利，并可以要求乙方提供相应的检测证明。</w:t>
      </w:r>
    </w:p>
    <w:p w14:paraId="5874FFD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420"/>
        <w:jc w:val="left"/>
        <w:textAlignment w:val="baseline"/>
        <w:rPr>
          <w:rFonts w:hint="eastAsia" w:ascii="仿宋_GB2312" w:hAnsi="仿宋_GB2312" w:eastAsia="仿宋_GB2312" w:cs="仿宋_GB2312"/>
          <w:b/>
          <w:bCs/>
          <w:i w:val="0"/>
          <w:iCs w:val="0"/>
          <w:caps w:val="0"/>
          <w:color w:val="auto"/>
          <w:spacing w:val="-20"/>
          <w:kern w:val="0"/>
          <w:sz w:val="28"/>
          <w:szCs w:val="28"/>
          <w:shd w:val="clear" w:color="auto" w:fill="auto"/>
          <w:lang w:val="en-US" w:eastAsia="zh-CN" w:bidi="ar-SA"/>
        </w:rPr>
      </w:pPr>
      <w:r>
        <w:rPr>
          <w:rFonts w:hint="eastAsia" w:ascii="仿宋_GB2312" w:hAnsi="仿宋_GB2312" w:eastAsia="仿宋_GB2312" w:cs="仿宋_GB2312"/>
          <w:b/>
          <w:bCs/>
          <w:i w:val="0"/>
          <w:iCs w:val="0"/>
          <w:caps w:val="0"/>
          <w:color w:val="auto"/>
          <w:spacing w:val="-20"/>
          <w:kern w:val="0"/>
          <w:sz w:val="28"/>
          <w:szCs w:val="28"/>
          <w:shd w:val="clear" w:color="auto" w:fill="auto"/>
          <w:lang w:val="en-US" w:eastAsia="zh-CN" w:bidi="ar-SA"/>
        </w:rPr>
        <w:t>主副食品验收标准：</w:t>
      </w:r>
    </w:p>
    <w:tbl>
      <w:tblPr>
        <w:tblStyle w:val="22"/>
        <w:tblW w:w="9141" w:type="dxa"/>
        <w:jc w:val="center"/>
        <w:tblLayout w:type="autofit"/>
        <w:tblCellMar>
          <w:top w:w="0" w:type="dxa"/>
          <w:left w:w="108" w:type="dxa"/>
          <w:bottom w:w="0" w:type="dxa"/>
          <w:right w:w="108" w:type="dxa"/>
        </w:tblCellMar>
      </w:tblPr>
      <w:tblGrid>
        <w:gridCol w:w="631"/>
        <w:gridCol w:w="645"/>
        <w:gridCol w:w="690"/>
        <w:gridCol w:w="2820"/>
        <w:gridCol w:w="1867"/>
        <w:gridCol w:w="2488"/>
      </w:tblGrid>
      <w:tr w14:paraId="1D334082">
        <w:tblPrEx>
          <w:tblCellMar>
            <w:top w:w="0" w:type="dxa"/>
            <w:left w:w="108" w:type="dxa"/>
            <w:bottom w:w="0" w:type="dxa"/>
            <w:right w:w="108" w:type="dxa"/>
          </w:tblCellMar>
        </w:tblPrEx>
        <w:trPr>
          <w:trHeight w:val="478"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92FF7CC">
            <w:pPr>
              <w:keepNext w:val="0"/>
              <w:keepLines w:val="0"/>
              <w:pageBreakBefore w:val="0"/>
              <w:widowControl/>
              <w:kinsoku/>
              <w:wordWrap/>
              <w:overflowPunct/>
              <w:topLinePunct w:val="0"/>
              <w:bidi w:val="0"/>
              <w:snapToGrid/>
              <w:spacing w:line="400" w:lineRule="exact"/>
              <w:jc w:val="center"/>
              <w:textAlignment w:val="center"/>
              <w:rPr>
                <w:rFonts w:hint="eastAsia" w:ascii="宋体" w:hAnsi="宋体" w:eastAsia="宋体" w:cs="宋体"/>
                <w:b/>
                <w:bCs/>
                <w:color w:val="000000"/>
                <w:spacing w:val="-20"/>
                <w:sz w:val="20"/>
                <w:szCs w:val="20"/>
              </w:rPr>
            </w:pPr>
            <w:r>
              <w:rPr>
                <w:rFonts w:hint="eastAsia" w:ascii="宋体" w:hAnsi="宋体" w:eastAsia="宋体" w:cs="宋体"/>
                <w:b/>
                <w:bCs/>
                <w:color w:val="000000"/>
                <w:spacing w:val="-20"/>
                <w:kern w:val="0"/>
                <w:sz w:val="20"/>
                <w:szCs w:val="20"/>
                <w:lang w:bidi="ar"/>
              </w:rPr>
              <w:t>序号</w:t>
            </w:r>
          </w:p>
        </w:tc>
        <w:tc>
          <w:tcPr>
            <w:tcW w:w="1335" w:type="dxa"/>
            <w:gridSpan w:val="2"/>
            <w:tcBorders>
              <w:top w:val="single" w:color="000000" w:sz="4" w:space="0"/>
              <w:left w:val="single" w:color="000000" w:sz="4" w:space="0"/>
              <w:bottom w:val="single" w:color="000000" w:sz="4" w:space="0"/>
              <w:right w:val="single" w:color="000000" w:sz="4" w:space="0"/>
            </w:tcBorders>
            <w:noWrap/>
            <w:vAlign w:val="center"/>
          </w:tcPr>
          <w:p w14:paraId="5E50B3B4">
            <w:pPr>
              <w:keepNext w:val="0"/>
              <w:keepLines w:val="0"/>
              <w:pageBreakBefore w:val="0"/>
              <w:widowControl/>
              <w:kinsoku/>
              <w:wordWrap/>
              <w:overflowPunct/>
              <w:topLinePunct w:val="0"/>
              <w:bidi w:val="0"/>
              <w:snapToGrid/>
              <w:spacing w:line="400" w:lineRule="exact"/>
              <w:jc w:val="center"/>
              <w:textAlignment w:val="center"/>
              <w:rPr>
                <w:rFonts w:hint="eastAsia" w:ascii="宋体" w:hAnsi="宋体" w:eastAsia="宋体" w:cs="宋体"/>
                <w:b/>
                <w:bCs/>
                <w:color w:val="000000"/>
                <w:spacing w:val="-20"/>
                <w:sz w:val="20"/>
                <w:szCs w:val="20"/>
              </w:rPr>
            </w:pPr>
            <w:r>
              <w:rPr>
                <w:rFonts w:hint="eastAsia" w:ascii="宋体" w:hAnsi="宋体" w:eastAsia="宋体" w:cs="宋体"/>
                <w:b/>
                <w:bCs/>
                <w:color w:val="000000"/>
                <w:spacing w:val="-20"/>
                <w:kern w:val="0"/>
                <w:sz w:val="20"/>
                <w:szCs w:val="20"/>
                <w:lang w:bidi="ar"/>
              </w:rPr>
              <w:t>验收类别</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92F65CF">
            <w:pPr>
              <w:keepNext w:val="0"/>
              <w:keepLines w:val="0"/>
              <w:pageBreakBefore w:val="0"/>
              <w:widowControl/>
              <w:kinsoku/>
              <w:wordWrap/>
              <w:overflowPunct/>
              <w:topLinePunct w:val="0"/>
              <w:bidi w:val="0"/>
              <w:snapToGrid/>
              <w:spacing w:line="400" w:lineRule="exact"/>
              <w:jc w:val="center"/>
              <w:textAlignment w:val="center"/>
              <w:rPr>
                <w:rFonts w:hint="eastAsia" w:ascii="宋体" w:hAnsi="宋体" w:eastAsia="宋体" w:cs="宋体"/>
                <w:b/>
                <w:bCs/>
                <w:color w:val="000000"/>
                <w:spacing w:val="-20"/>
                <w:sz w:val="20"/>
                <w:szCs w:val="20"/>
              </w:rPr>
            </w:pPr>
            <w:r>
              <w:rPr>
                <w:rFonts w:hint="eastAsia" w:ascii="宋体" w:hAnsi="宋体" w:eastAsia="宋体" w:cs="宋体"/>
                <w:b/>
                <w:bCs/>
                <w:color w:val="000000"/>
                <w:spacing w:val="-20"/>
                <w:kern w:val="0"/>
                <w:sz w:val="20"/>
                <w:szCs w:val="20"/>
                <w:lang w:bidi="ar"/>
              </w:rPr>
              <w:t>验收内容</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2D8E0F5B">
            <w:pPr>
              <w:keepNext w:val="0"/>
              <w:keepLines w:val="0"/>
              <w:pageBreakBefore w:val="0"/>
              <w:widowControl/>
              <w:kinsoku/>
              <w:wordWrap/>
              <w:overflowPunct/>
              <w:topLinePunct w:val="0"/>
              <w:bidi w:val="0"/>
              <w:snapToGrid/>
              <w:spacing w:line="400" w:lineRule="exact"/>
              <w:jc w:val="center"/>
              <w:textAlignment w:val="center"/>
              <w:rPr>
                <w:rFonts w:hint="eastAsia" w:ascii="宋体" w:hAnsi="宋体" w:eastAsia="宋体" w:cs="宋体"/>
                <w:b/>
                <w:bCs/>
                <w:color w:val="000000"/>
                <w:spacing w:val="-20"/>
                <w:sz w:val="20"/>
                <w:szCs w:val="20"/>
              </w:rPr>
            </w:pPr>
            <w:r>
              <w:rPr>
                <w:rFonts w:hint="eastAsia" w:ascii="宋体" w:hAnsi="宋体" w:eastAsia="宋体" w:cs="宋体"/>
                <w:b/>
                <w:bCs/>
                <w:color w:val="000000"/>
                <w:spacing w:val="-20"/>
                <w:kern w:val="0"/>
                <w:sz w:val="20"/>
                <w:szCs w:val="20"/>
                <w:lang w:bidi="ar"/>
              </w:rPr>
              <w:t>验收方式</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5AD3ED4A">
            <w:pPr>
              <w:keepNext w:val="0"/>
              <w:keepLines w:val="0"/>
              <w:pageBreakBefore w:val="0"/>
              <w:widowControl/>
              <w:kinsoku/>
              <w:wordWrap/>
              <w:overflowPunct/>
              <w:topLinePunct w:val="0"/>
              <w:bidi w:val="0"/>
              <w:snapToGrid/>
              <w:spacing w:line="400" w:lineRule="exact"/>
              <w:jc w:val="center"/>
              <w:textAlignment w:val="center"/>
              <w:rPr>
                <w:rFonts w:hint="eastAsia" w:ascii="宋体" w:hAnsi="宋体" w:eastAsia="宋体" w:cs="宋体"/>
                <w:b/>
                <w:bCs/>
                <w:color w:val="000000"/>
                <w:spacing w:val="-20"/>
                <w:sz w:val="20"/>
                <w:szCs w:val="20"/>
              </w:rPr>
            </w:pPr>
            <w:r>
              <w:rPr>
                <w:rFonts w:hint="eastAsia" w:ascii="宋体" w:hAnsi="宋体" w:eastAsia="宋体" w:cs="宋体"/>
                <w:b/>
                <w:bCs/>
                <w:color w:val="000000"/>
                <w:spacing w:val="-20"/>
                <w:kern w:val="0"/>
                <w:sz w:val="20"/>
                <w:szCs w:val="20"/>
                <w:lang w:bidi="ar"/>
              </w:rPr>
              <w:t>验收标准</w:t>
            </w:r>
          </w:p>
        </w:tc>
      </w:tr>
      <w:tr w14:paraId="422BD32E">
        <w:tblPrEx>
          <w:tblCellMar>
            <w:top w:w="0" w:type="dxa"/>
            <w:left w:w="108" w:type="dxa"/>
            <w:bottom w:w="0" w:type="dxa"/>
            <w:right w:w="108" w:type="dxa"/>
          </w:tblCellMar>
        </w:tblPrEx>
        <w:trPr>
          <w:trHeight w:val="556"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A5A9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1</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6151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货物</w:t>
            </w:r>
          </w:p>
          <w:p w14:paraId="3C0F9C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质量</w:t>
            </w: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C79E9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菜品</w:t>
            </w:r>
          </w:p>
          <w:p w14:paraId="5DFB89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质量</w:t>
            </w:r>
          </w:p>
        </w:tc>
        <w:tc>
          <w:tcPr>
            <w:tcW w:w="2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C179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乙方配送菜品质量是否新鲜，是否符合国家规定相关标准，有无腐烂变质、超出保质期、缺斤少两等</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FAD44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现场称重验收</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00506D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蔬菜供应配送重量可存在的误差为总重量的5%</w:t>
            </w:r>
          </w:p>
        </w:tc>
      </w:tr>
      <w:tr w14:paraId="1B6F386A">
        <w:tblPrEx>
          <w:tblCellMar>
            <w:top w:w="0" w:type="dxa"/>
            <w:left w:w="108" w:type="dxa"/>
            <w:bottom w:w="0" w:type="dxa"/>
            <w:right w:w="108" w:type="dxa"/>
          </w:tblCellMar>
        </w:tblPrEx>
        <w:trPr>
          <w:trHeight w:val="6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E777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2</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4ADE0">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9B403">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4965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8B13E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3"/>
                <w:w w:val="95"/>
                <w:sz w:val="24"/>
                <w:szCs w:val="24"/>
                <w:lang w:val="en-US" w:eastAsia="zh-CN"/>
              </w:rPr>
              <w:t>对照查看送货清单</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56EB73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蔬菜必须保持新鲜，且符合食品卫生安全法要求</w:t>
            </w:r>
          </w:p>
        </w:tc>
      </w:tr>
      <w:tr w14:paraId="0E60AA74">
        <w:tblPrEx>
          <w:tblCellMar>
            <w:top w:w="0" w:type="dxa"/>
            <w:left w:w="108" w:type="dxa"/>
            <w:bottom w:w="0" w:type="dxa"/>
            <w:right w:w="108" w:type="dxa"/>
          </w:tblCellMar>
        </w:tblPrEx>
        <w:trPr>
          <w:trHeight w:val="65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C0F1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3</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233F5">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F329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肉类</w:t>
            </w:r>
          </w:p>
          <w:p w14:paraId="56C0B5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质量</w:t>
            </w:r>
          </w:p>
        </w:tc>
        <w:tc>
          <w:tcPr>
            <w:tcW w:w="2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3D3C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乙方配送肉类必须保证当日屠宰并保持新鲜，无污染、健康肉类</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B871C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现场称重验收</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7BCE5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动物卫生检疫机构检疫合格，加盖检疫印章和屠宰印章</w:t>
            </w:r>
          </w:p>
        </w:tc>
      </w:tr>
      <w:tr w14:paraId="6D6646A7">
        <w:tblPrEx>
          <w:tblCellMar>
            <w:top w:w="0" w:type="dxa"/>
            <w:left w:w="108" w:type="dxa"/>
            <w:bottom w:w="0" w:type="dxa"/>
            <w:right w:w="108" w:type="dxa"/>
          </w:tblCellMar>
        </w:tblPrEx>
        <w:trPr>
          <w:trHeight w:val="548"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09EF1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4</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2D9A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AD313">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64A6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1D6DB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3"/>
                <w:w w:val="95"/>
                <w:sz w:val="24"/>
                <w:szCs w:val="24"/>
                <w:lang w:val="en-US" w:eastAsia="zh-CN"/>
              </w:rPr>
              <w:t>对照查看送货清单</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49036B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查看《动物检疫合格证明》</w:t>
            </w:r>
          </w:p>
        </w:tc>
      </w:tr>
      <w:tr w14:paraId="17EA6FBE">
        <w:tblPrEx>
          <w:tblCellMar>
            <w:top w:w="0" w:type="dxa"/>
            <w:left w:w="108" w:type="dxa"/>
            <w:bottom w:w="0" w:type="dxa"/>
            <w:right w:w="108" w:type="dxa"/>
          </w:tblCellMar>
        </w:tblPrEx>
        <w:trPr>
          <w:trHeight w:val="41"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FB8E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5</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6D1E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BD8A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DF8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乙方配送冻货（禽类、海鲜类）必须保证在保质期内，且不超过保质期三分之一，无污染、无解冻现象</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73218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无需称重验收</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220FDE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包装类、加工类标有净重，按净重验收</w:t>
            </w:r>
          </w:p>
        </w:tc>
      </w:tr>
      <w:tr w14:paraId="21AE0009">
        <w:tblPrEx>
          <w:tblCellMar>
            <w:top w:w="0" w:type="dxa"/>
            <w:left w:w="108" w:type="dxa"/>
            <w:bottom w:w="0" w:type="dxa"/>
            <w:right w:w="108" w:type="dxa"/>
          </w:tblCellMar>
        </w:tblPrEx>
        <w:trPr>
          <w:trHeight w:val="72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654E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6</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57417">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0020C">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AA5C4">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C579E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称重验收</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4192B3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称重时要扣除纸箱重量，以货品净重为准</w:t>
            </w:r>
          </w:p>
        </w:tc>
      </w:tr>
      <w:tr w14:paraId="0A996C77">
        <w:tblPrEx>
          <w:tblCellMar>
            <w:top w:w="0" w:type="dxa"/>
            <w:left w:w="108" w:type="dxa"/>
            <w:bottom w:w="0" w:type="dxa"/>
            <w:right w:w="108" w:type="dxa"/>
          </w:tblCellMar>
        </w:tblPrEx>
        <w:trPr>
          <w:trHeight w:val="62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16B8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7</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19643D">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0ACF8">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DC281">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F959B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3"/>
                <w:w w:val="95"/>
                <w:sz w:val="24"/>
                <w:szCs w:val="24"/>
                <w:lang w:val="en-US" w:eastAsia="zh-CN"/>
              </w:rPr>
              <w:t>对照查看送货清单</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27ED77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动物卫生检疫机构检疫合格，加盖检疫印章和屠宰印章</w:t>
            </w:r>
          </w:p>
        </w:tc>
      </w:tr>
      <w:tr w14:paraId="14E565FC">
        <w:tblPrEx>
          <w:tblCellMar>
            <w:top w:w="0" w:type="dxa"/>
            <w:left w:w="108" w:type="dxa"/>
            <w:bottom w:w="0" w:type="dxa"/>
            <w:right w:w="108" w:type="dxa"/>
          </w:tblCellMar>
        </w:tblPrEx>
        <w:trPr>
          <w:trHeight w:val="488"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A75E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8</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2A8C6">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945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调料</w:t>
            </w:r>
          </w:p>
          <w:p w14:paraId="5E177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质量</w:t>
            </w:r>
          </w:p>
        </w:tc>
        <w:tc>
          <w:tcPr>
            <w:tcW w:w="28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AA4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乙方配送干货类必须保证优质产品，无污染、无杂质现象</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51CDB2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现场称重验收</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559E24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以双方验收实际净重为准</w:t>
            </w:r>
          </w:p>
        </w:tc>
      </w:tr>
      <w:tr w14:paraId="4E6ECDD6">
        <w:tblPrEx>
          <w:tblCellMar>
            <w:top w:w="0" w:type="dxa"/>
            <w:left w:w="108" w:type="dxa"/>
            <w:bottom w:w="0" w:type="dxa"/>
            <w:right w:w="108" w:type="dxa"/>
          </w:tblCellMar>
        </w:tblPrEx>
        <w:trPr>
          <w:trHeight w:val="56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C92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9</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0DA99">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D799F">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1DAD1">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74A9C0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3"/>
                <w:w w:val="95"/>
                <w:sz w:val="24"/>
                <w:szCs w:val="24"/>
                <w:lang w:val="en-US" w:eastAsia="zh-CN"/>
              </w:rPr>
              <w:t>对照查看送货清单</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4D6D53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保持食品本身色泽</w:t>
            </w:r>
          </w:p>
        </w:tc>
      </w:tr>
      <w:tr w14:paraId="29C08440">
        <w:tblPrEx>
          <w:tblCellMar>
            <w:top w:w="0" w:type="dxa"/>
            <w:left w:w="108" w:type="dxa"/>
            <w:bottom w:w="0" w:type="dxa"/>
            <w:right w:w="108" w:type="dxa"/>
          </w:tblCellMar>
        </w:tblPrEx>
        <w:trPr>
          <w:trHeight w:val="69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3F8F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10</w:t>
            </w: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C84C0">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6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CAFDB">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A21C0AA">
            <w:pPr>
              <w:keepNext w:val="0"/>
              <w:keepLines w:val="0"/>
              <w:pageBreakBefore w:val="0"/>
              <w:widowControl w:val="0"/>
              <w:kinsoku/>
              <w:wordWrap/>
              <w:overflowPunct/>
              <w:topLinePunct w:val="0"/>
              <w:autoSpaceDE/>
              <w:autoSpaceDN/>
              <w:bidi w:val="0"/>
              <w:adjustRightInd/>
              <w:snapToGrid/>
              <w:spacing w:line="240" w:lineRule="auto"/>
              <w:ind w:left="0" w:leftChars="0" w:firstLine="400" w:firstLineChars="200"/>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乙方配送瓶装类</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3B5DF5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3"/>
                <w:w w:val="95"/>
                <w:sz w:val="24"/>
                <w:szCs w:val="24"/>
                <w:lang w:val="en-US" w:eastAsia="zh-CN"/>
              </w:rPr>
              <w:t>对照查看送货清单</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4E294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不能出现三无产品、超出保质期及缺斤少两问题</w:t>
            </w:r>
          </w:p>
        </w:tc>
      </w:tr>
      <w:tr w14:paraId="2C262E90">
        <w:tblPrEx>
          <w:tblCellMar>
            <w:top w:w="0" w:type="dxa"/>
            <w:left w:w="108" w:type="dxa"/>
            <w:bottom w:w="0" w:type="dxa"/>
            <w:right w:w="108" w:type="dxa"/>
          </w:tblCellMar>
        </w:tblPrEx>
        <w:trPr>
          <w:trHeight w:val="937"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EB1D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11</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14:paraId="28C58A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货物</w:t>
            </w:r>
          </w:p>
          <w:p w14:paraId="5EF5BC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价格</w:t>
            </w:r>
          </w:p>
        </w:tc>
        <w:tc>
          <w:tcPr>
            <w:tcW w:w="690" w:type="dxa"/>
            <w:tcBorders>
              <w:top w:val="nil"/>
              <w:left w:val="single" w:color="000000" w:sz="4" w:space="0"/>
              <w:bottom w:val="single" w:color="000000" w:sz="4" w:space="0"/>
              <w:right w:val="single" w:color="000000" w:sz="4" w:space="0"/>
            </w:tcBorders>
            <w:noWrap w:val="0"/>
            <w:vAlign w:val="center"/>
          </w:tcPr>
          <w:p w14:paraId="39D626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公示</w:t>
            </w:r>
          </w:p>
          <w:p w14:paraId="2A32B1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价格</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B01BA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乙方按照公示价格配送，货物市场价根据每周公示价格调整(甲方提供）</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606EE4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对照站网页每周公示价格表</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0A7F76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第一次约谈警告，第二次扣除10%履约保证金</w:t>
            </w:r>
          </w:p>
        </w:tc>
      </w:tr>
      <w:tr w14:paraId="06F28BB4">
        <w:tblPrEx>
          <w:tblCellMar>
            <w:top w:w="0" w:type="dxa"/>
            <w:left w:w="108" w:type="dxa"/>
            <w:bottom w:w="0" w:type="dxa"/>
            <w:right w:w="108" w:type="dxa"/>
          </w:tblCellMar>
        </w:tblPrEx>
        <w:trPr>
          <w:trHeight w:val="2259"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E99587C">
            <w:pPr>
              <w:keepNext w:val="0"/>
              <w:keepLines w:val="0"/>
              <w:pageBreakBefore w:val="0"/>
              <w:widowControl/>
              <w:kinsoku/>
              <w:wordWrap/>
              <w:overflowPunct/>
              <w:topLinePunct w:val="0"/>
              <w:bidi w:val="0"/>
              <w:snapToGrid/>
              <w:spacing w:line="400" w:lineRule="exact"/>
              <w:jc w:val="center"/>
              <w:textAlignment w:val="center"/>
              <w:rPr>
                <w:rFonts w:hint="eastAsia" w:asciiTheme="minorEastAsia" w:hAnsiTheme="minorEastAsia" w:eastAsiaTheme="minorEastAsia" w:cstheme="minorEastAsia"/>
                <w:color w:val="000000"/>
                <w:spacing w:val="-20"/>
                <w:sz w:val="21"/>
                <w:szCs w:val="21"/>
              </w:rPr>
            </w:pPr>
            <w:r>
              <w:rPr>
                <w:rFonts w:hint="eastAsia" w:asciiTheme="minorEastAsia" w:hAnsiTheme="minorEastAsia" w:eastAsiaTheme="minorEastAsia" w:cstheme="minorEastAsia"/>
                <w:color w:val="000000"/>
                <w:spacing w:val="-20"/>
                <w:kern w:val="0"/>
                <w:sz w:val="24"/>
                <w:szCs w:val="24"/>
                <w:lang w:bidi="ar"/>
              </w:rPr>
              <w:t>12</w:t>
            </w:r>
          </w:p>
        </w:tc>
        <w:tc>
          <w:tcPr>
            <w:tcW w:w="1335" w:type="dxa"/>
            <w:gridSpan w:val="2"/>
            <w:tcBorders>
              <w:top w:val="nil"/>
              <w:left w:val="single" w:color="000000" w:sz="4" w:space="0"/>
              <w:bottom w:val="single" w:color="000000" w:sz="4" w:space="0"/>
              <w:right w:val="single" w:color="000000" w:sz="4" w:space="0"/>
            </w:tcBorders>
            <w:noWrap w:val="0"/>
            <w:vAlign w:val="center"/>
          </w:tcPr>
          <w:p w14:paraId="6F8DC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配送时间</w:t>
            </w:r>
          </w:p>
          <w:p w14:paraId="281A5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及服务</w:t>
            </w:r>
            <w:r>
              <w:rPr>
                <w:rFonts w:hint="eastAsia" w:ascii="仿宋" w:hAnsi="仿宋" w:eastAsia="仿宋" w:cs="仿宋"/>
                <w:spacing w:val="-20"/>
                <w:w w:val="100"/>
                <w:sz w:val="24"/>
                <w:szCs w:val="24"/>
                <w:lang w:val="en-US" w:eastAsia="zh-CN"/>
              </w:rPr>
              <w:br w:type="textWrapping"/>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A3704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乙方应在甲方规定的时间送达货物，若送货超过30分钟，扣罚当天总菜款的10%；若送货超过60分钟，扣罚当天总菜款的20%；若送货超过90分钟，扣罚当天总菜款的30%。</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141B09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记录在送货清单上</w:t>
            </w:r>
          </w:p>
        </w:tc>
        <w:tc>
          <w:tcPr>
            <w:tcW w:w="2488" w:type="dxa"/>
            <w:tcBorders>
              <w:top w:val="single" w:color="000000" w:sz="4" w:space="0"/>
              <w:left w:val="single" w:color="000000" w:sz="4" w:space="0"/>
              <w:bottom w:val="single" w:color="000000" w:sz="4" w:space="0"/>
              <w:right w:val="single" w:color="000000" w:sz="4" w:space="0"/>
            </w:tcBorders>
            <w:noWrap w:val="0"/>
            <w:vAlign w:val="center"/>
          </w:tcPr>
          <w:p w14:paraId="676A42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spacing w:val="-20"/>
                <w:w w:val="100"/>
                <w:sz w:val="24"/>
                <w:szCs w:val="24"/>
                <w:lang w:val="en-US" w:eastAsia="zh-CN"/>
              </w:rPr>
            </w:pPr>
            <w:r>
              <w:rPr>
                <w:rFonts w:hint="eastAsia" w:ascii="仿宋" w:hAnsi="仿宋" w:eastAsia="仿宋" w:cs="仿宋"/>
                <w:spacing w:val="-20"/>
                <w:w w:val="100"/>
                <w:sz w:val="24"/>
                <w:szCs w:val="24"/>
                <w:lang w:val="en-US" w:eastAsia="zh-CN"/>
              </w:rPr>
              <w:t>配送质量、配送时效、配送人员服务态度等情况，如有不合格情况，第一次约谈警告，第二次扣除10%履约保证金，依次类推，扣完为止，结果公示检查站网页。</w:t>
            </w:r>
          </w:p>
        </w:tc>
      </w:tr>
    </w:tbl>
    <w:p w14:paraId="48C58166">
      <w:pPr>
        <w:rPr>
          <w:rFonts w:hint="eastAsia" w:ascii="黑体" w:hAnsi="黑体" w:eastAsia="黑体" w:cs="黑体"/>
          <w:spacing w:val="-20"/>
          <w:w w:val="100"/>
          <w:sz w:val="28"/>
          <w:szCs w:val="28"/>
          <w:lang w:val="en-US" w:eastAsia="zh-CN"/>
        </w:rPr>
      </w:pPr>
    </w:p>
    <w:p w14:paraId="3E36FD4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第九条：保密约定</w:t>
      </w:r>
    </w:p>
    <w:p w14:paraId="38A8C87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1.乙方不得向第三方透露甲方向乙方采购的任何物品的类别、品质、价位等信息；</w:t>
      </w:r>
    </w:p>
    <w:p w14:paraId="3BEE09B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2.乙方向甲方所提供商品的类别、价位等供货信息，甲方不得向外透露；</w:t>
      </w:r>
    </w:p>
    <w:p w14:paraId="55D8941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第十条：违约责任</w:t>
      </w:r>
    </w:p>
    <w:p w14:paraId="161884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（1）乙方未能在甲方指定的时间内送货到位，甲方有权拒收并由乙方赔偿甲方因此而带来的损失；</w:t>
      </w:r>
    </w:p>
    <w:p w14:paraId="3F64B91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6219F25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乙方向甲方提供本合同第二条所指的主副食材，造成甲方经济、声誉损失及责任事故的，甲方有权终止合同，拒绝支付乙方的全部货款，并要求乙方支付货款总额20%的违约金；如果给甲方及第三方造成损失的，乙方需赔偿全部损失。</w:t>
      </w:r>
    </w:p>
    <w:p w14:paraId="573F79D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（4）有证据证明乙方向甲方采购或验收及相关人员行贿行为的，甲方有权拒付乙方所有货款，并可保留追究乙方的法律责任。</w:t>
      </w:r>
    </w:p>
    <w:p w14:paraId="24E78DE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（5）乙方供给甲方的主副食材出现短斤少两、以次充好，或造假采购单据、供货凭证情形的，一经发现，甲方可立即终止本合同，并有权要求乙方支付货款总额的20%的违约金。</w:t>
      </w:r>
    </w:p>
    <w:p w14:paraId="0C19E6F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（6）乙方透露甲方的采购、经营等信息，给甲方造成经济损失的，甲方有权拒绝支付乙方全部货款，作为乙方对甲方的赔偿。</w:t>
      </w:r>
    </w:p>
    <w:p w14:paraId="3B4A84B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（7）本合同有效期内，非经甲方同意，乙方不得以任何理由擅自停止供货。乙方如擅自停止供货，甲方将视情节轻重予以解约处理，乙方不得异议。</w:t>
      </w:r>
    </w:p>
    <w:p w14:paraId="541595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（8）本合同有效期内，乙方如遇特殊情况欲解约停止供货，必须提前40天书面提出，并经甲方同意。</w:t>
      </w:r>
    </w:p>
    <w:p w14:paraId="3D050A97">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（9）如违反本合同约定，乙方需向甲方支付</w:t>
      </w:r>
      <w:r>
        <w:rPr>
          <w:rFonts w:hint="eastAsia" w:ascii="仿宋" w:hAnsi="仿宋" w:eastAsia="仿宋" w:cs="仿宋"/>
          <w:spacing w:val="-20"/>
          <w:w w:val="100"/>
          <w:sz w:val="28"/>
          <w:szCs w:val="28"/>
          <w:highlight w:val="none"/>
          <w:lang w:val="en-US" w:eastAsia="zh-CN"/>
        </w:rPr>
        <w:t>当月</w:t>
      </w:r>
      <w:r>
        <w:rPr>
          <w:rFonts w:hint="eastAsia" w:ascii="仿宋" w:hAnsi="仿宋" w:eastAsia="仿宋" w:cs="仿宋"/>
          <w:spacing w:val="-20"/>
          <w:w w:val="100"/>
          <w:sz w:val="28"/>
          <w:szCs w:val="28"/>
          <w:lang w:val="en-US" w:eastAsia="zh-CN"/>
        </w:rPr>
        <w:t>货款总金额20%的违约金；如给甲方造成损失的，乙方应当承担全部损失的赔偿责任，损失包括直接损失以及间接损失，即包括但不限于医疗费、误工费、残疾赔偿金、交通费、住宿费、诉讼费、邮寄送达费、律师费等。</w:t>
      </w:r>
    </w:p>
    <w:p w14:paraId="747A64D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0" w:firstLineChars="200"/>
        <w:jc w:val="both"/>
        <w:textAlignment w:val="baseline"/>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（10）乙方供应甲方食品原材料价格严格按照所报下浮率执行，未按规定执行下浮率的，甲方在进行资金结算时有权进行核减。</w:t>
      </w:r>
    </w:p>
    <w:p w14:paraId="249FC70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第十一条：责任免除</w:t>
      </w:r>
    </w:p>
    <w:p w14:paraId="42BE422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乙方因受自然灾害等不可抗力的因素而造成乙方违约，可以免除乙方责任，但乙方有义务协助甲方解决供货及开餐问题。</w:t>
      </w:r>
    </w:p>
    <w:p w14:paraId="6742607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第十二条：合同生效及终止</w:t>
      </w:r>
    </w:p>
    <w:p w14:paraId="5433A11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1.本合同经双方代表签字后，于签订的日期起开始生效，如双方签字日期不一致时，以最后签字方的签字日期为合同的生效日期。</w:t>
      </w:r>
    </w:p>
    <w:p w14:paraId="7A95C90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2.本合同未自行终止或协议终止的，合同一直有效；发生终止的，以最后的供货日期为终止日期。本合同终止后，保密条款、争议解决和双方未了的债权债务不受合同期满的影响，甲方有权提出索赔。</w:t>
      </w:r>
    </w:p>
    <w:p w14:paraId="620034D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第十三条：争议解决</w:t>
      </w:r>
    </w:p>
    <w:p w14:paraId="3C392ADC">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本合同经甲乙双方协商签订，发生争议时，亦应通过友好协商解决。如协商不能解决时，可向</w:t>
      </w:r>
      <w:r>
        <w:rPr>
          <w:rFonts w:hint="eastAsia" w:ascii="仿宋" w:hAnsi="仿宋" w:eastAsia="仿宋" w:cs="仿宋"/>
          <w:spacing w:val="-20"/>
          <w:w w:val="100"/>
          <w:sz w:val="28"/>
          <w:szCs w:val="28"/>
          <w:u w:val="single"/>
          <w:lang w:val="en-US" w:eastAsia="zh-CN"/>
        </w:rPr>
        <w:t>察布查尔县</w:t>
      </w:r>
      <w:r>
        <w:rPr>
          <w:rFonts w:hint="eastAsia" w:ascii="仿宋" w:hAnsi="仿宋" w:eastAsia="仿宋" w:cs="仿宋"/>
          <w:spacing w:val="-20"/>
          <w:w w:val="100"/>
          <w:sz w:val="28"/>
          <w:szCs w:val="28"/>
          <w:lang w:val="en-US" w:eastAsia="zh-CN"/>
        </w:rPr>
        <w:t>人民法院起诉。</w:t>
      </w:r>
    </w:p>
    <w:p w14:paraId="558B56BD">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第十四条：通知</w:t>
      </w:r>
    </w:p>
    <w:p w14:paraId="46508E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2AFF6C1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073A8DC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3.上述发出通知、回复的费用由发出一方承担。</w:t>
      </w:r>
    </w:p>
    <w:p w14:paraId="052CB00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spacing w:val="-20"/>
          <w:w w:val="100"/>
          <w:sz w:val="28"/>
          <w:szCs w:val="28"/>
          <w:lang w:val="en-US" w:eastAsia="zh-CN"/>
        </w:rPr>
      </w:pPr>
      <w:r>
        <w:rPr>
          <w:rFonts w:hint="eastAsia" w:ascii="黑体" w:hAnsi="黑体" w:eastAsia="黑体" w:cs="黑体"/>
          <w:spacing w:val="-20"/>
          <w:w w:val="100"/>
          <w:sz w:val="28"/>
          <w:szCs w:val="28"/>
          <w:lang w:val="en-US" w:eastAsia="zh-CN"/>
        </w:rPr>
        <w:t>第十五条：合同的确认</w:t>
      </w:r>
    </w:p>
    <w:p w14:paraId="64623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1.双方应严格遵守以上合同条款，法律法规和招标文件有明确要求的，响应文件有明确响应内容的，按法律法规、招标文件和响应文件执行；法律法规、招标文件、响应文件没有规定或约定的，经双方友好协商达成一致，可另行以书面形式经双方签字作为本合同补充协议。补充协议与本合同具有同等法律效应，为本合同不可分割的组成部分，对双方具有同等约束力。</w:t>
      </w:r>
    </w:p>
    <w:p w14:paraId="292339C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spacing w:val="-20"/>
          <w:w w:val="100"/>
          <w:sz w:val="28"/>
          <w:szCs w:val="28"/>
          <w:lang w:val="en-US" w:eastAsia="zh-CN"/>
        </w:rPr>
      </w:pPr>
      <w:r>
        <w:rPr>
          <w:rFonts w:hint="eastAsia" w:ascii="仿宋" w:hAnsi="仿宋" w:eastAsia="仿宋" w:cs="仿宋"/>
          <w:spacing w:val="-20"/>
          <w:w w:val="100"/>
          <w:sz w:val="28"/>
          <w:szCs w:val="28"/>
          <w:lang w:val="en-US" w:eastAsia="zh-CN"/>
        </w:rPr>
        <w:t>2.本合同一式四份，甲乙双方各执两份，具有同等法律效力，双方代表签字后生效。</w:t>
      </w:r>
    </w:p>
    <w:p w14:paraId="7EF5FB5F">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 w:hAnsi="仿宋" w:eastAsia="仿宋" w:cs="仿宋"/>
          <w:kern w:val="2"/>
          <w:sz w:val="28"/>
          <w:szCs w:val="28"/>
          <w:lang w:val="en-US" w:eastAsia="zh-CN" w:bidi="ar-SA"/>
        </w:rPr>
      </w:pPr>
    </w:p>
    <w:p w14:paraId="17B99B3B">
      <w:pPr>
        <w:widowControl w:val="0"/>
        <w:ind w:left="2100"/>
        <w:jc w:val="both"/>
        <w:rPr>
          <w:rFonts w:hint="eastAsia" w:ascii="Times New Roman" w:hAnsi="Times New Roman" w:eastAsia="宋体" w:cs="Times New Roman"/>
          <w:kern w:val="2"/>
          <w:sz w:val="28"/>
          <w:szCs w:val="28"/>
          <w:lang w:val="en-US" w:eastAsia="zh-CN" w:bidi="ar-SA"/>
        </w:rPr>
      </w:pPr>
    </w:p>
    <w:tbl>
      <w:tblPr>
        <w:tblStyle w:val="22"/>
        <w:tblW w:w="9315" w:type="dxa"/>
        <w:jc w:val="center"/>
        <w:tblLayout w:type="fixed"/>
        <w:tblCellMar>
          <w:top w:w="0" w:type="dxa"/>
          <w:left w:w="108" w:type="dxa"/>
          <w:bottom w:w="0" w:type="dxa"/>
          <w:right w:w="108" w:type="dxa"/>
        </w:tblCellMar>
      </w:tblPr>
      <w:tblGrid>
        <w:gridCol w:w="4657"/>
        <w:gridCol w:w="4658"/>
      </w:tblGrid>
      <w:tr w14:paraId="3B77869C">
        <w:tblPrEx>
          <w:tblCellMar>
            <w:top w:w="0" w:type="dxa"/>
            <w:left w:w="108" w:type="dxa"/>
            <w:bottom w:w="0" w:type="dxa"/>
            <w:right w:w="108" w:type="dxa"/>
          </w:tblCellMar>
        </w:tblPrEx>
        <w:trPr>
          <w:trHeight w:val="1338" w:hRule="atLeast"/>
          <w:jc w:val="center"/>
        </w:trPr>
        <w:tc>
          <w:tcPr>
            <w:tcW w:w="4657" w:type="dxa"/>
            <w:noWrap w:val="0"/>
            <w:vAlign w:val="top"/>
          </w:tcPr>
          <w:p w14:paraId="108D7F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甲方（盖章）：中华人民共和国都拉塔</w:t>
            </w:r>
          </w:p>
          <w:p w14:paraId="3848C67E">
            <w:pPr>
              <w:keepNext w:val="0"/>
              <w:keepLines w:val="0"/>
              <w:pageBreakBefore w:val="0"/>
              <w:widowControl w:val="0"/>
              <w:kinsoku/>
              <w:wordWrap/>
              <w:overflowPunct/>
              <w:topLinePunct w:val="0"/>
              <w:autoSpaceDE/>
              <w:autoSpaceDN/>
              <w:bidi w:val="0"/>
              <w:adjustRightInd/>
              <w:snapToGrid/>
              <w:spacing w:line="400" w:lineRule="exact"/>
              <w:ind w:firstLine="1920" w:firstLineChars="800"/>
              <w:jc w:val="both"/>
              <w:textAlignment w:val="auto"/>
              <w:rPr>
                <w:rFonts w:hint="default" w:ascii="仿宋" w:hAnsi="仿宋" w:eastAsia="仿宋" w:cs="仿宋"/>
                <w:sz w:val="28"/>
                <w:szCs w:val="28"/>
                <w:lang w:val="en-US" w:eastAsia="zh-CN"/>
              </w:rPr>
            </w:pPr>
            <w:r>
              <w:rPr>
                <w:rFonts w:hint="eastAsia" w:ascii="仿宋" w:hAnsi="仿宋" w:eastAsia="仿宋" w:cs="仿宋"/>
                <w:spacing w:val="-20"/>
                <w:sz w:val="28"/>
                <w:szCs w:val="28"/>
                <w:lang w:val="en-US" w:eastAsia="zh-CN"/>
              </w:rPr>
              <w:t>出入境边防检查站</w:t>
            </w:r>
          </w:p>
        </w:tc>
        <w:tc>
          <w:tcPr>
            <w:tcW w:w="4658" w:type="dxa"/>
            <w:noWrap w:val="0"/>
            <w:vAlign w:val="top"/>
          </w:tcPr>
          <w:p w14:paraId="277601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000000"/>
                <w:spacing w:val="-6"/>
                <w:kern w:val="0"/>
                <w:sz w:val="28"/>
                <w:szCs w:val="28"/>
                <w:lang w:eastAsia="zh-CN"/>
              </w:rPr>
            </w:pPr>
            <w:r>
              <w:rPr>
                <w:rFonts w:hint="eastAsia" w:ascii="仿宋" w:hAnsi="仿宋" w:eastAsia="仿宋" w:cs="仿宋"/>
                <w:spacing w:val="-20"/>
                <w:sz w:val="28"/>
                <w:szCs w:val="28"/>
                <w:lang w:val="en-US" w:eastAsia="zh-CN"/>
              </w:rPr>
              <w:t>乙方（盖章）：</w:t>
            </w:r>
          </w:p>
          <w:p w14:paraId="248B6DC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8"/>
                <w:szCs w:val="28"/>
                <w:lang w:val="en-US" w:eastAsia="zh-CN"/>
              </w:rPr>
            </w:pPr>
          </w:p>
        </w:tc>
      </w:tr>
      <w:tr w14:paraId="73BCC250">
        <w:tblPrEx>
          <w:tblCellMar>
            <w:top w:w="0" w:type="dxa"/>
            <w:left w:w="108" w:type="dxa"/>
            <w:bottom w:w="0" w:type="dxa"/>
            <w:right w:w="108" w:type="dxa"/>
          </w:tblCellMar>
        </w:tblPrEx>
        <w:trPr>
          <w:trHeight w:val="850" w:hRule="exact"/>
          <w:jc w:val="center"/>
        </w:trPr>
        <w:tc>
          <w:tcPr>
            <w:tcW w:w="4657" w:type="dxa"/>
            <w:noWrap w:val="0"/>
            <w:vAlign w:val="center"/>
          </w:tcPr>
          <w:p w14:paraId="4347238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法定代表人：</w:t>
            </w:r>
          </w:p>
        </w:tc>
        <w:tc>
          <w:tcPr>
            <w:tcW w:w="4658" w:type="dxa"/>
            <w:noWrap w:val="0"/>
            <w:vAlign w:val="center"/>
          </w:tcPr>
          <w:p w14:paraId="6C6C80E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w:t>
            </w:r>
          </w:p>
        </w:tc>
      </w:tr>
      <w:tr w14:paraId="41AF82AE">
        <w:tblPrEx>
          <w:tblCellMar>
            <w:top w:w="0" w:type="dxa"/>
            <w:left w:w="108" w:type="dxa"/>
            <w:bottom w:w="0" w:type="dxa"/>
            <w:right w:w="108" w:type="dxa"/>
          </w:tblCellMar>
        </w:tblPrEx>
        <w:trPr>
          <w:trHeight w:val="850" w:hRule="exact"/>
          <w:jc w:val="center"/>
        </w:trPr>
        <w:tc>
          <w:tcPr>
            <w:tcW w:w="4657" w:type="dxa"/>
            <w:noWrap w:val="0"/>
            <w:vAlign w:val="center"/>
          </w:tcPr>
          <w:p w14:paraId="48AECB6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甲方代表（签字）：</w:t>
            </w:r>
          </w:p>
        </w:tc>
        <w:tc>
          <w:tcPr>
            <w:tcW w:w="4658" w:type="dxa"/>
            <w:noWrap w:val="0"/>
            <w:vAlign w:val="center"/>
          </w:tcPr>
          <w:p w14:paraId="19B6C8B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乙方代表（签字）：</w:t>
            </w:r>
          </w:p>
        </w:tc>
      </w:tr>
      <w:tr w14:paraId="15DA4CF9">
        <w:tblPrEx>
          <w:tblCellMar>
            <w:top w:w="0" w:type="dxa"/>
            <w:left w:w="108" w:type="dxa"/>
            <w:bottom w:w="0" w:type="dxa"/>
            <w:right w:w="108" w:type="dxa"/>
          </w:tblCellMar>
        </w:tblPrEx>
        <w:trPr>
          <w:trHeight w:val="850" w:hRule="exact"/>
          <w:jc w:val="center"/>
        </w:trPr>
        <w:tc>
          <w:tcPr>
            <w:tcW w:w="4657" w:type="dxa"/>
            <w:noWrap w:val="0"/>
            <w:vAlign w:val="center"/>
          </w:tcPr>
          <w:p w14:paraId="42D0250D">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地址：</w:t>
            </w:r>
            <w:r>
              <w:rPr>
                <w:rFonts w:hint="eastAsia" w:ascii="仿宋" w:hAnsi="仿宋" w:eastAsia="仿宋" w:cs="仿宋"/>
                <w:spacing w:val="-23"/>
                <w:w w:val="90"/>
                <w:sz w:val="28"/>
                <w:szCs w:val="28"/>
                <w:lang w:val="en-US" w:eastAsia="zh-CN"/>
              </w:rPr>
              <w:t>新疆伊犁州都拉塔口岸迎宾大道13号</w:t>
            </w:r>
          </w:p>
        </w:tc>
        <w:tc>
          <w:tcPr>
            <w:tcW w:w="4658" w:type="dxa"/>
            <w:noWrap w:val="0"/>
            <w:vAlign w:val="center"/>
          </w:tcPr>
          <w:p w14:paraId="62E033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地址：</w:t>
            </w:r>
          </w:p>
        </w:tc>
      </w:tr>
      <w:tr w14:paraId="6EBC3C55">
        <w:tblPrEx>
          <w:tblCellMar>
            <w:top w:w="0" w:type="dxa"/>
            <w:left w:w="108" w:type="dxa"/>
            <w:bottom w:w="0" w:type="dxa"/>
            <w:right w:w="108" w:type="dxa"/>
          </w:tblCellMar>
        </w:tblPrEx>
        <w:trPr>
          <w:trHeight w:val="850" w:hRule="exact"/>
          <w:jc w:val="center"/>
        </w:trPr>
        <w:tc>
          <w:tcPr>
            <w:tcW w:w="4657" w:type="dxa"/>
            <w:noWrap w:val="0"/>
            <w:vAlign w:val="center"/>
          </w:tcPr>
          <w:p w14:paraId="6DCCAC67">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电话：0999-3947300</w:t>
            </w:r>
          </w:p>
        </w:tc>
        <w:tc>
          <w:tcPr>
            <w:tcW w:w="4658" w:type="dxa"/>
            <w:noWrap w:val="0"/>
            <w:vAlign w:val="center"/>
          </w:tcPr>
          <w:p w14:paraId="190065C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电话：</w:t>
            </w:r>
          </w:p>
        </w:tc>
      </w:tr>
      <w:tr w14:paraId="4245BDE8">
        <w:tblPrEx>
          <w:tblCellMar>
            <w:top w:w="0" w:type="dxa"/>
            <w:left w:w="108" w:type="dxa"/>
            <w:bottom w:w="0" w:type="dxa"/>
            <w:right w:w="108" w:type="dxa"/>
          </w:tblCellMar>
        </w:tblPrEx>
        <w:trPr>
          <w:trHeight w:val="850" w:hRule="exact"/>
          <w:jc w:val="center"/>
        </w:trPr>
        <w:tc>
          <w:tcPr>
            <w:tcW w:w="4657" w:type="dxa"/>
            <w:noWrap w:val="0"/>
            <w:vAlign w:val="center"/>
          </w:tcPr>
          <w:p w14:paraId="179ABBB2">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传真：0999-3947300转255</w:t>
            </w:r>
          </w:p>
        </w:tc>
        <w:tc>
          <w:tcPr>
            <w:tcW w:w="4658" w:type="dxa"/>
            <w:noWrap w:val="0"/>
            <w:vAlign w:val="center"/>
          </w:tcPr>
          <w:p w14:paraId="248119F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传真：</w:t>
            </w:r>
          </w:p>
        </w:tc>
      </w:tr>
      <w:tr w14:paraId="10ABD5F7">
        <w:tblPrEx>
          <w:tblCellMar>
            <w:top w:w="0" w:type="dxa"/>
            <w:left w:w="108" w:type="dxa"/>
            <w:bottom w:w="0" w:type="dxa"/>
            <w:right w:w="108" w:type="dxa"/>
          </w:tblCellMar>
        </w:tblPrEx>
        <w:trPr>
          <w:trHeight w:val="850" w:hRule="exact"/>
          <w:jc w:val="center"/>
        </w:trPr>
        <w:tc>
          <w:tcPr>
            <w:tcW w:w="4657" w:type="dxa"/>
            <w:noWrap w:val="0"/>
            <w:vAlign w:val="center"/>
          </w:tcPr>
          <w:p w14:paraId="51A61F1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pacing w:val="-20"/>
                <w:sz w:val="28"/>
                <w:szCs w:val="28"/>
                <w:lang w:val="en-US" w:eastAsia="zh-CN"/>
              </w:rPr>
              <w:t>开户银行：</w:t>
            </w:r>
            <w:r>
              <w:rPr>
                <w:rFonts w:hint="eastAsia" w:ascii="仿宋" w:hAnsi="仿宋" w:eastAsia="仿宋" w:cs="仿宋"/>
                <w:spacing w:val="-23"/>
                <w:w w:val="70"/>
                <w:sz w:val="28"/>
                <w:szCs w:val="28"/>
                <w:lang w:val="en-US" w:eastAsia="zh-CN"/>
              </w:rPr>
              <w:t>中国工商银行股份有限公司伊犁察布查尔支行</w:t>
            </w:r>
          </w:p>
        </w:tc>
        <w:tc>
          <w:tcPr>
            <w:tcW w:w="4658" w:type="dxa"/>
            <w:noWrap w:val="0"/>
            <w:vAlign w:val="center"/>
          </w:tcPr>
          <w:p w14:paraId="51C60E63">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 w:hAnsi="仿宋" w:eastAsia="仿宋" w:cs="仿宋"/>
                <w:sz w:val="28"/>
                <w:szCs w:val="28"/>
                <w:lang w:val="en-US" w:eastAsia="zh-CN"/>
              </w:rPr>
            </w:pPr>
            <w:r>
              <w:rPr>
                <w:rFonts w:hint="eastAsia" w:ascii="仿宋" w:hAnsi="仿宋" w:eastAsia="仿宋" w:cs="仿宋"/>
                <w:spacing w:val="-20"/>
                <w:sz w:val="28"/>
                <w:szCs w:val="28"/>
                <w:lang w:val="en-US" w:eastAsia="zh-CN"/>
              </w:rPr>
              <w:t>开户银行：</w:t>
            </w:r>
          </w:p>
        </w:tc>
      </w:tr>
      <w:tr w14:paraId="54F81666">
        <w:tblPrEx>
          <w:tblCellMar>
            <w:top w:w="0" w:type="dxa"/>
            <w:left w:w="108" w:type="dxa"/>
            <w:bottom w:w="0" w:type="dxa"/>
            <w:right w:w="108" w:type="dxa"/>
          </w:tblCellMar>
        </w:tblPrEx>
        <w:trPr>
          <w:trHeight w:val="850" w:hRule="exact"/>
          <w:jc w:val="center"/>
        </w:trPr>
        <w:tc>
          <w:tcPr>
            <w:tcW w:w="4657" w:type="dxa"/>
            <w:noWrap w:val="0"/>
            <w:vAlign w:val="center"/>
          </w:tcPr>
          <w:p w14:paraId="4657DD79">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账号：3006022809200112567</w:t>
            </w:r>
          </w:p>
        </w:tc>
        <w:tc>
          <w:tcPr>
            <w:tcW w:w="4658" w:type="dxa"/>
            <w:noWrap w:val="0"/>
            <w:vAlign w:val="center"/>
          </w:tcPr>
          <w:p w14:paraId="05953D9E">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账号：</w:t>
            </w:r>
          </w:p>
        </w:tc>
      </w:tr>
      <w:tr w14:paraId="4566DC6F">
        <w:tblPrEx>
          <w:tblCellMar>
            <w:top w:w="0" w:type="dxa"/>
            <w:left w:w="108" w:type="dxa"/>
            <w:bottom w:w="0" w:type="dxa"/>
            <w:right w:w="108" w:type="dxa"/>
          </w:tblCellMar>
        </w:tblPrEx>
        <w:trPr>
          <w:trHeight w:val="850" w:hRule="exact"/>
          <w:jc w:val="center"/>
        </w:trPr>
        <w:tc>
          <w:tcPr>
            <w:tcW w:w="4657" w:type="dxa"/>
            <w:noWrap w:val="0"/>
            <w:vAlign w:val="center"/>
          </w:tcPr>
          <w:p w14:paraId="71123B6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合同订立地点：</w:t>
            </w:r>
            <w:r>
              <w:rPr>
                <w:rFonts w:hint="eastAsia" w:ascii="仿宋" w:hAnsi="仿宋" w:eastAsia="仿宋" w:cs="仿宋"/>
                <w:spacing w:val="-20"/>
                <w:sz w:val="28"/>
                <w:szCs w:val="28"/>
                <w:lang w:val="en-US" w:eastAsia="zh-CN"/>
              </w:rPr>
              <w:t>新疆伊犁州都拉塔口岸</w:t>
            </w:r>
          </w:p>
        </w:tc>
        <w:tc>
          <w:tcPr>
            <w:tcW w:w="4658" w:type="dxa"/>
            <w:noWrap w:val="0"/>
            <w:vAlign w:val="center"/>
          </w:tcPr>
          <w:p w14:paraId="2503E988">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合同订立地点：</w:t>
            </w:r>
            <w:r>
              <w:rPr>
                <w:rFonts w:hint="eastAsia" w:ascii="仿宋" w:hAnsi="仿宋" w:eastAsia="仿宋" w:cs="仿宋"/>
                <w:spacing w:val="-20"/>
                <w:sz w:val="28"/>
                <w:szCs w:val="28"/>
                <w:lang w:val="en-US" w:eastAsia="zh-CN"/>
              </w:rPr>
              <w:t>新疆伊犁州都拉塔口岸</w:t>
            </w:r>
          </w:p>
        </w:tc>
      </w:tr>
      <w:tr w14:paraId="76C961C8">
        <w:tblPrEx>
          <w:tblCellMar>
            <w:top w:w="0" w:type="dxa"/>
            <w:left w:w="108" w:type="dxa"/>
            <w:bottom w:w="0" w:type="dxa"/>
            <w:right w:w="108" w:type="dxa"/>
          </w:tblCellMar>
        </w:tblPrEx>
        <w:trPr>
          <w:trHeight w:val="850" w:hRule="exact"/>
          <w:jc w:val="center"/>
        </w:trPr>
        <w:tc>
          <w:tcPr>
            <w:tcW w:w="4657" w:type="dxa"/>
            <w:noWrap w:val="0"/>
            <w:vAlign w:val="center"/>
          </w:tcPr>
          <w:p w14:paraId="7D89693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合同签订日期：   年  月   日</w:t>
            </w:r>
          </w:p>
        </w:tc>
        <w:tc>
          <w:tcPr>
            <w:tcW w:w="4658" w:type="dxa"/>
            <w:noWrap w:val="0"/>
            <w:vAlign w:val="center"/>
          </w:tcPr>
          <w:p w14:paraId="431E9EB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合同签订日期：    年  月   日</w:t>
            </w:r>
          </w:p>
        </w:tc>
      </w:tr>
    </w:tbl>
    <w:p w14:paraId="29FB2C83">
      <w:pPr>
        <w:rPr>
          <w:rFonts w:ascii="Times New Roman" w:hAnsi="Times New Roman" w:eastAsia="宋体" w:cs="Times New Roman"/>
          <w:sz w:val="18"/>
          <w:szCs w:val="21"/>
        </w:rPr>
      </w:pPr>
    </w:p>
    <w:p w14:paraId="4A40FB56">
      <w:pPr>
        <w:spacing w:after="156" w:line="560" w:lineRule="exact"/>
        <w:ind w:firstLine="480"/>
        <w:rPr>
          <w:rFonts w:ascii="宋体" w:hAnsi="宋体" w:cs="宋体"/>
          <w:color w:val="auto"/>
          <w:highlight w:val="none"/>
        </w:rPr>
      </w:pPr>
    </w:p>
    <w:p w14:paraId="7DAFB445">
      <w:pPr>
        <w:pStyle w:val="4"/>
        <w:spacing w:before="0" w:line="240" w:lineRule="atLeast"/>
        <w:ind w:left="1080" w:leftChars="257" w:hanging="540"/>
        <w:rPr>
          <w:rFonts w:ascii="宋体" w:hAnsi="宋体" w:eastAsia="宋体" w:cs="宋体"/>
          <w:color w:val="auto"/>
          <w:sz w:val="24"/>
          <w:highlight w:val="none"/>
        </w:rPr>
      </w:pPr>
    </w:p>
    <w:p w14:paraId="19688460">
      <w:pPr>
        <w:rPr>
          <w:rFonts w:ascii="宋体" w:hAnsi="宋体" w:cs="宋体"/>
          <w:color w:val="auto"/>
          <w:highlight w:val="none"/>
        </w:rPr>
      </w:pPr>
    </w:p>
    <w:p w14:paraId="4FA1702B">
      <w:pPr>
        <w:pStyle w:val="9"/>
        <w:rPr>
          <w:rFonts w:ascii="宋体" w:hAnsi="宋体" w:cs="宋体"/>
          <w:color w:val="auto"/>
          <w:highlight w:val="none"/>
        </w:rPr>
      </w:pPr>
    </w:p>
    <w:p w14:paraId="749149A0">
      <w:pPr>
        <w:pStyle w:val="10"/>
        <w:rPr>
          <w:rFonts w:ascii="宋体" w:hAnsi="宋体" w:cs="宋体"/>
          <w:color w:val="auto"/>
          <w:highlight w:val="none"/>
        </w:rPr>
      </w:pPr>
    </w:p>
    <w:p w14:paraId="6B1B5E8B">
      <w:pPr>
        <w:pStyle w:val="9"/>
        <w:spacing w:line="360" w:lineRule="auto"/>
        <w:jc w:val="both"/>
        <w:rPr>
          <w:rFonts w:hint="eastAsia" w:ascii="宋体" w:hAnsi="宋体" w:cs="宋体"/>
          <w:b/>
          <w:color w:val="auto"/>
          <w:sz w:val="32"/>
          <w:highlight w:val="none"/>
        </w:rPr>
      </w:pPr>
    </w:p>
    <w:p w14:paraId="60F615DF">
      <w:pPr>
        <w:pStyle w:val="9"/>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 xml:space="preserve">第五章   </w:t>
      </w:r>
      <w:r>
        <w:rPr>
          <w:rFonts w:hint="eastAsia" w:ascii="宋体" w:hAnsi="宋体" w:cs="宋体"/>
          <w:b/>
          <w:color w:val="auto"/>
          <w:sz w:val="32"/>
          <w:highlight w:val="none"/>
          <w:lang w:eastAsia="zh-CN"/>
        </w:rPr>
        <w:t>响应</w:t>
      </w:r>
      <w:r>
        <w:rPr>
          <w:rFonts w:hint="eastAsia" w:ascii="宋体" w:hAnsi="宋体" w:cs="宋体"/>
          <w:b/>
          <w:color w:val="auto"/>
          <w:sz w:val="32"/>
          <w:highlight w:val="none"/>
        </w:rPr>
        <w:t>文件格式</w:t>
      </w:r>
      <w:bookmarkEnd w:id="19"/>
      <w:bookmarkEnd w:id="20"/>
    </w:p>
    <w:p w14:paraId="6A376962">
      <w:pPr>
        <w:spacing w:line="360" w:lineRule="exact"/>
        <w:rPr>
          <w:rFonts w:ascii="宋体" w:hAnsi="宋体" w:cs="宋体"/>
          <w:color w:val="auto"/>
          <w:highlight w:val="none"/>
        </w:rPr>
      </w:pPr>
    </w:p>
    <w:p w14:paraId="74CDE313">
      <w:pPr>
        <w:adjustRightInd w:val="0"/>
        <w:snapToGrid w:val="0"/>
        <w:spacing w:line="400" w:lineRule="atLeast"/>
        <w:jc w:val="center"/>
        <w:rPr>
          <w:rFonts w:ascii="宋体" w:hAnsi="宋体" w:cs="宋体"/>
          <w:bCs/>
          <w:color w:val="auto"/>
          <w:sz w:val="52"/>
          <w:szCs w:val="52"/>
          <w:highlight w:val="none"/>
        </w:rPr>
      </w:pPr>
    </w:p>
    <w:p w14:paraId="2202EB30">
      <w:pPr>
        <w:adjustRightInd w:val="0"/>
        <w:snapToGrid w:val="0"/>
        <w:spacing w:line="400" w:lineRule="atLeast"/>
        <w:jc w:val="center"/>
        <w:rPr>
          <w:rFonts w:ascii="宋体" w:hAnsi="宋体" w:cs="宋体"/>
          <w:bCs/>
          <w:color w:val="auto"/>
          <w:sz w:val="52"/>
          <w:szCs w:val="52"/>
          <w:highlight w:val="none"/>
        </w:rPr>
      </w:pPr>
    </w:p>
    <w:p w14:paraId="1A78F499">
      <w:pPr>
        <w:adjustRightInd w:val="0"/>
        <w:snapToGrid w:val="0"/>
        <w:spacing w:line="400" w:lineRule="atLeast"/>
        <w:jc w:val="center"/>
        <w:rPr>
          <w:rFonts w:ascii="宋体" w:hAnsi="宋体" w:cs="宋体"/>
          <w:b/>
          <w:bCs w:val="0"/>
          <w:color w:val="auto"/>
          <w:sz w:val="72"/>
          <w:szCs w:val="72"/>
          <w:highlight w:val="none"/>
        </w:rPr>
      </w:pPr>
      <w:r>
        <w:rPr>
          <w:rFonts w:hint="eastAsia" w:ascii="宋体" w:hAnsi="宋体" w:cs="宋体"/>
          <w:b/>
          <w:bCs w:val="0"/>
          <w:color w:val="auto"/>
          <w:sz w:val="72"/>
          <w:szCs w:val="72"/>
          <w:highlight w:val="none"/>
          <w:lang w:eastAsia="zh-CN"/>
        </w:rPr>
        <w:t>响</w:t>
      </w:r>
      <w:r>
        <w:rPr>
          <w:rFonts w:hint="eastAsia" w:ascii="宋体" w:hAnsi="宋体" w:cs="宋体"/>
          <w:b/>
          <w:bCs w:val="0"/>
          <w:color w:val="auto"/>
          <w:sz w:val="72"/>
          <w:szCs w:val="72"/>
          <w:highlight w:val="none"/>
        </w:rPr>
        <w:t xml:space="preserve"> </w:t>
      </w:r>
      <w:r>
        <w:rPr>
          <w:rFonts w:hint="eastAsia" w:ascii="宋体" w:hAnsi="宋体" w:cs="宋体"/>
          <w:b/>
          <w:bCs w:val="0"/>
          <w:color w:val="auto"/>
          <w:sz w:val="72"/>
          <w:szCs w:val="72"/>
          <w:highlight w:val="none"/>
          <w:lang w:eastAsia="zh-CN"/>
        </w:rPr>
        <w:t>应</w:t>
      </w:r>
      <w:r>
        <w:rPr>
          <w:rFonts w:hint="eastAsia" w:ascii="宋体" w:hAnsi="宋体" w:cs="宋体"/>
          <w:b/>
          <w:bCs w:val="0"/>
          <w:color w:val="auto"/>
          <w:sz w:val="72"/>
          <w:szCs w:val="72"/>
          <w:highlight w:val="none"/>
        </w:rPr>
        <w:t xml:space="preserve"> 文 件</w:t>
      </w:r>
    </w:p>
    <w:p w14:paraId="3C788646">
      <w:pPr>
        <w:snapToGrid w:val="0"/>
        <w:spacing w:before="120" w:beforeLines="50" w:after="5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（正本/副本）</w:t>
      </w:r>
    </w:p>
    <w:p w14:paraId="2FBFAF42">
      <w:pPr>
        <w:spacing w:before="240" w:beforeLines="100"/>
        <w:jc w:val="center"/>
        <w:rPr>
          <w:rFonts w:ascii="宋体" w:hAnsi="宋体" w:cs="宋体"/>
          <w:b/>
          <w:color w:val="auto"/>
          <w:sz w:val="44"/>
          <w:szCs w:val="44"/>
          <w:highlight w:val="none"/>
        </w:rPr>
      </w:pPr>
    </w:p>
    <w:p w14:paraId="26F79C48">
      <w:pPr>
        <w:tabs>
          <w:tab w:val="center" w:pos="4572"/>
          <w:tab w:val="left" w:pos="8082"/>
        </w:tabs>
        <w:spacing w:before="240" w:beforeLines="10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36"/>
          <w:szCs w:val="36"/>
          <w:highlight w:val="none"/>
          <w:lang w:eastAsia="zh-CN"/>
        </w:rPr>
        <w:tab/>
      </w:r>
      <w:r>
        <w:rPr>
          <w:rFonts w:hint="eastAsia" w:ascii="宋体" w:hAnsi="宋体" w:cs="宋体"/>
          <w:b/>
          <w:color w:val="auto"/>
          <w:sz w:val="36"/>
          <w:szCs w:val="36"/>
          <w:highlight w:val="none"/>
        </w:rPr>
        <w:t xml:space="preserve"> </w:t>
      </w:r>
      <w:r>
        <w:rPr>
          <w:rFonts w:hint="eastAsia" w:ascii="宋体" w:hAnsi="宋体" w:cs="宋体"/>
          <w:b/>
          <w:color w:val="auto"/>
          <w:sz w:val="36"/>
          <w:szCs w:val="36"/>
          <w:highlight w:val="none"/>
          <w:lang w:eastAsia="zh-CN"/>
        </w:rPr>
        <w:tab/>
      </w:r>
    </w:p>
    <w:p w14:paraId="47C12A27">
      <w:pPr>
        <w:rPr>
          <w:rFonts w:ascii="宋体" w:hAnsi="宋体" w:cs="宋体"/>
          <w:color w:val="auto"/>
          <w:sz w:val="28"/>
          <w:szCs w:val="28"/>
          <w:highlight w:val="none"/>
        </w:rPr>
      </w:pPr>
    </w:p>
    <w:p w14:paraId="5171EAD0">
      <w:pPr>
        <w:snapToGrid w:val="0"/>
        <w:spacing w:before="240" w:beforeLines="100" w:after="240" w:afterLines="100" w:line="360" w:lineRule="auto"/>
        <w:ind w:firstLine="993" w:firstLineChars="412"/>
        <w:rPr>
          <w:rFonts w:ascii="宋体" w:hAnsi="宋体" w:cs="宋体"/>
          <w:b/>
          <w:bCs/>
          <w:color w:val="auto"/>
          <w:sz w:val="24"/>
          <w:highlight w:val="none"/>
        </w:rPr>
      </w:pPr>
      <w:r>
        <w:rPr>
          <w:rFonts w:hint="eastAsia" w:ascii="宋体" w:hAnsi="宋体" w:cs="宋体"/>
          <w:b/>
          <w:bCs/>
          <w:color w:val="auto"/>
          <w:sz w:val="24"/>
          <w:highlight w:val="none"/>
        </w:rPr>
        <w:t>项目名称：</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14:paraId="117F1B48">
      <w:pPr>
        <w:snapToGrid w:val="0"/>
        <w:spacing w:before="240" w:beforeLines="100" w:after="240" w:afterLines="100" w:line="360" w:lineRule="auto"/>
        <w:ind w:firstLine="985" w:firstLineChars="409"/>
        <w:rPr>
          <w:rFonts w:ascii="宋体" w:hAnsi="宋体" w:cs="宋体"/>
          <w:b/>
          <w:bCs/>
          <w:color w:val="auto"/>
          <w:sz w:val="24"/>
          <w:highlight w:val="none"/>
        </w:rPr>
      </w:pP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w:t>
      </w:r>
      <w:r>
        <w:rPr>
          <w:rFonts w:hint="eastAsia" w:ascii="宋体" w:hAnsi="宋体"/>
          <w:b/>
          <w:bCs/>
          <w:color w:val="auto"/>
          <w:sz w:val="24"/>
          <w:highlight w:val="none"/>
        </w:rPr>
        <w:t>标项号）</w:t>
      </w:r>
      <w:r>
        <w:rPr>
          <w:rFonts w:hint="eastAsia" w:ascii="宋体" w:hAnsi="宋体" w:cs="宋体"/>
          <w:b/>
          <w:bCs/>
          <w:color w:val="auto"/>
          <w:sz w:val="24"/>
          <w:highlight w:val="none"/>
        </w:rPr>
        <w:t>：</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 xml:space="preserve"> </w:t>
      </w:r>
    </w:p>
    <w:p w14:paraId="14E496DA">
      <w:pPr>
        <w:pStyle w:val="6"/>
        <w:snapToGrid w:val="0"/>
        <w:spacing w:before="240" w:beforeLines="100" w:after="240" w:afterLines="100" w:line="360" w:lineRule="auto"/>
        <w:ind w:firstLine="981" w:firstLineChars="407"/>
        <w:rPr>
          <w:rFonts w:ascii="宋体" w:hAnsi="宋体" w:cs="宋体"/>
          <w:b/>
          <w:bCs/>
          <w:color w:val="auto"/>
          <w:sz w:val="24"/>
          <w:szCs w:val="24"/>
          <w:highlight w:val="none"/>
        </w:rPr>
      </w:pPr>
      <w:r>
        <w:rPr>
          <w:rFonts w:hint="eastAsia" w:ascii="宋体" w:hAnsi="宋体" w:cs="宋体"/>
          <w:b/>
          <w:bCs/>
          <w:color w:val="auto"/>
          <w:sz w:val="24"/>
          <w:szCs w:val="24"/>
          <w:highlight w:val="none"/>
        </w:rPr>
        <w:t>供应商名称：</w:t>
      </w:r>
      <w:r>
        <w:rPr>
          <w:rFonts w:hint="eastAsia" w:ascii="宋体" w:hAnsi="宋体" w:cs="宋体"/>
          <w:b/>
          <w:bCs/>
          <w:color w:val="auto"/>
          <w:sz w:val="24"/>
          <w:szCs w:val="24"/>
          <w:highlight w:val="none"/>
          <w:u w:val="single"/>
        </w:rPr>
        <w:t xml:space="preserve">                      （加盖公章）</w:t>
      </w:r>
    </w:p>
    <w:p w14:paraId="3809C990">
      <w:pPr>
        <w:pStyle w:val="6"/>
        <w:snapToGrid w:val="0"/>
        <w:spacing w:before="240" w:beforeLines="100" w:after="240" w:afterLines="100" w:line="360" w:lineRule="auto"/>
        <w:ind w:firstLine="985" w:firstLineChars="409"/>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供应商地址：</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p>
    <w:p w14:paraId="55522E4C">
      <w:pPr>
        <w:pStyle w:val="6"/>
        <w:snapToGrid w:val="0"/>
        <w:spacing w:before="240" w:beforeLines="100" w:after="240" w:afterLines="100" w:line="360" w:lineRule="auto"/>
        <w:ind w:firstLine="985" w:firstLineChars="409"/>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联系人：</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电话:</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p>
    <w:p w14:paraId="75F08396">
      <w:pPr>
        <w:snapToGrid w:val="0"/>
        <w:spacing w:before="120" w:beforeLines="50" w:after="50"/>
        <w:ind w:firstLine="626" w:firstLineChars="261"/>
        <w:rPr>
          <w:rFonts w:ascii="宋体" w:hAnsi="宋体" w:cs="宋体"/>
          <w:bCs/>
          <w:color w:val="auto"/>
          <w:sz w:val="24"/>
          <w:highlight w:val="none"/>
        </w:rPr>
      </w:pPr>
    </w:p>
    <w:p w14:paraId="233F9A6D">
      <w:pPr>
        <w:pStyle w:val="9"/>
        <w:rPr>
          <w:rFonts w:ascii="宋体" w:hAnsi="宋体" w:cs="宋体"/>
          <w:bCs/>
          <w:color w:val="auto"/>
          <w:sz w:val="24"/>
          <w:highlight w:val="none"/>
        </w:rPr>
      </w:pPr>
    </w:p>
    <w:p w14:paraId="54B0DCAA">
      <w:pPr>
        <w:pStyle w:val="10"/>
        <w:rPr>
          <w:rFonts w:ascii="宋体" w:hAnsi="宋体" w:cs="宋体"/>
          <w:bCs/>
          <w:color w:val="auto"/>
          <w:sz w:val="24"/>
          <w:highlight w:val="none"/>
        </w:rPr>
      </w:pPr>
    </w:p>
    <w:p w14:paraId="02D68F26">
      <w:pPr>
        <w:rPr>
          <w:rFonts w:ascii="宋体" w:hAnsi="宋体" w:cs="宋体"/>
          <w:bCs/>
          <w:color w:val="auto"/>
          <w:sz w:val="24"/>
          <w:highlight w:val="none"/>
        </w:rPr>
      </w:pPr>
    </w:p>
    <w:p w14:paraId="186FA49C">
      <w:pPr>
        <w:pStyle w:val="9"/>
        <w:rPr>
          <w:rFonts w:ascii="宋体" w:hAnsi="宋体" w:cs="宋体"/>
          <w:bCs/>
          <w:color w:val="auto"/>
          <w:sz w:val="24"/>
          <w:highlight w:val="none"/>
        </w:rPr>
      </w:pPr>
    </w:p>
    <w:p w14:paraId="29CC687E">
      <w:pPr>
        <w:pStyle w:val="10"/>
        <w:rPr>
          <w:rFonts w:ascii="宋体" w:hAnsi="宋体" w:cs="宋体"/>
          <w:bCs/>
          <w:color w:val="auto"/>
          <w:sz w:val="24"/>
          <w:highlight w:val="none"/>
        </w:rPr>
      </w:pPr>
    </w:p>
    <w:p w14:paraId="0C514823">
      <w:pPr>
        <w:rPr>
          <w:rFonts w:ascii="宋体" w:hAnsi="宋体" w:cs="宋体"/>
          <w:bCs/>
          <w:color w:val="auto"/>
          <w:sz w:val="24"/>
          <w:highlight w:val="none"/>
        </w:rPr>
      </w:pPr>
    </w:p>
    <w:p w14:paraId="6A42A3D8">
      <w:pPr>
        <w:pStyle w:val="9"/>
      </w:pPr>
    </w:p>
    <w:p w14:paraId="490F5DF5">
      <w:pPr>
        <w:autoSpaceDE w:val="0"/>
        <w:autoSpaceDN w:val="0"/>
        <w:adjustRightInd w:val="0"/>
        <w:snapToGrid w:val="0"/>
        <w:spacing w:before="120" w:beforeLines="50" w:after="120" w:afterLines="50" w:line="360" w:lineRule="auto"/>
        <w:ind w:firstLine="3120" w:firstLineChars="1300"/>
        <w:jc w:val="both"/>
        <w:rPr>
          <w:rFonts w:ascii="宋体" w:hAnsi="宋体" w:cs="宋体"/>
          <w:b/>
          <w:color w:val="auto"/>
          <w:sz w:val="28"/>
          <w:szCs w:val="28"/>
          <w:highlight w:val="none"/>
        </w:rPr>
      </w:pPr>
      <w:r>
        <w:rPr>
          <w:rFonts w:hint="eastAsia" w:ascii="宋体" w:hAnsi="宋体" w:cs="宋体"/>
          <w:bCs/>
          <w:color w:val="auto"/>
          <w:sz w:val="24"/>
          <w:highlight w:val="none"/>
        </w:rPr>
        <w:t xml:space="preserve"> </w:t>
      </w:r>
      <w:bookmarkStart w:id="23" w:name="_Toc430714682"/>
      <w:r>
        <w:rPr>
          <w:rFonts w:hint="eastAsia" w:ascii="宋体" w:hAnsi="宋体" w:cs="宋体"/>
          <w:bCs/>
          <w:color w:val="auto"/>
          <w:sz w:val="24"/>
          <w:highlight w:val="none"/>
        </w:rPr>
        <w:t>年   月   日</w:t>
      </w:r>
      <w:bookmarkEnd w:id="23"/>
    </w:p>
    <w:p w14:paraId="23BD2784">
      <w:pPr>
        <w:spacing w:line="360" w:lineRule="auto"/>
        <w:jc w:val="center"/>
        <w:rPr>
          <w:rFonts w:hint="eastAsia" w:ascii="宋体" w:hAnsi="宋体" w:cs="宋体"/>
          <w:b/>
          <w:color w:val="auto"/>
          <w:sz w:val="28"/>
          <w:szCs w:val="28"/>
          <w:highlight w:val="none"/>
        </w:rPr>
      </w:pPr>
    </w:p>
    <w:p w14:paraId="1859FD3A">
      <w:pPr>
        <w:spacing w:line="360" w:lineRule="auto"/>
        <w:jc w:val="center"/>
        <w:rPr>
          <w:rFonts w:hint="eastAsia" w:ascii="宋体" w:hAnsi="宋体" w:cs="宋体"/>
          <w:b/>
          <w:color w:val="auto"/>
          <w:sz w:val="28"/>
          <w:szCs w:val="28"/>
          <w:highlight w:val="none"/>
        </w:rPr>
      </w:pPr>
    </w:p>
    <w:p w14:paraId="15FA973E">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响应文件目录</w:t>
      </w:r>
    </w:p>
    <w:p w14:paraId="1B5DF8DD">
      <w:pPr>
        <w:spacing w:line="360" w:lineRule="auto"/>
        <w:jc w:val="center"/>
        <w:rPr>
          <w:rFonts w:ascii="宋体" w:hAnsi="宋体" w:cs="宋体"/>
          <w:b/>
          <w:color w:val="auto"/>
          <w:sz w:val="28"/>
          <w:szCs w:val="28"/>
          <w:highlight w:val="none"/>
        </w:rPr>
      </w:pPr>
    </w:p>
    <w:p w14:paraId="64D12EE6">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附件1-响应函</w:t>
      </w:r>
    </w:p>
    <w:p w14:paraId="76A91986">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附件2-法定代表人身份证明书</w:t>
      </w:r>
    </w:p>
    <w:p w14:paraId="5EACEE3A">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附件3-法定代表人授权书</w:t>
      </w:r>
    </w:p>
    <w:p w14:paraId="44C73A4F">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附件4-响应报价一览表（附：投标报价明细表）</w:t>
      </w:r>
    </w:p>
    <w:p w14:paraId="70149A45">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5</w:t>
      </w:r>
      <w:r>
        <w:rPr>
          <w:rFonts w:hint="eastAsia" w:ascii="宋体" w:hAnsi="宋体" w:eastAsia="宋体" w:cs="宋体"/>
          <w:b/>
          <w:color w:val="auto"/>
          <w:sz w:val="24"/>
          <w:highlight w:val="none"/>
          <w:lang w:val="zh-CN"/>
        </w:rPr>
        <w:t>-资格证明文件</w:t>
      </w:r>
    </w:p>
    <w:p w14:paraId="3901FB2E">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lang w:val="zh-CN"/>
        </w:rPr>
        <w:t>-供应商承诺函</w:t>
      </w:r>
    </w:p>
    <w:p w14:paraId="1BA06126">
      <w:pPr>
        <w:adjustRightInd w:val="0"/>
        <w:snapToGrid w:val="0"/>
        <w:spacing w:line="360" w:lineRule="auto"/>
        <w:ind w:firstLine="482" w:firstLineChars="200"/>
        <w:jc w:val="left"/>
        <w:rPr>
          <w:rFonts w:hint="eastAsia" w:ascii="宋体" w:hAnsi="宋体" w:cs="宋体" w:eastAsiaTheme="minorEastAsia"/>
          <w:b/>
          <w:bCs/>
          <w:color w:val="auto"/>
          <w:sz w:val="24"/>
          <w:szCs w:val="24"/>
          <w:highlight w:val="none"/>
          <w:lang w:val="en-US" w:eastAsia="zh-CN"/>
        </w:rPr>
      </w:pPr>
      <w:r>
        <w:rPr>
          <w:rFonts w:hint="eastAsia" w:ascii="宋体" w:hAnsi="宋体" w:cs="宋体"/>
          <w:b/>
          <w:bCs/>
          <w:color w:val="auto"/>
          <w:sz w:val="24"/>
          <w:szCs w:val="24"/>
          <w:highlight w:val="none"/>
          <w:lang w:val="zh-CN"/>
        </w:rPr>
        <w:t>附件7</w:t>
      </w:r>
      <w:r>
        <w:rPr>
          <w:rFonts w:hint="eastAsia" w:ascii="宋体" w:hAnsi="宋体" w:cs="宋体"/>
          <w:b/>
          <w:bCs/>
          <w:color w:val="auto"/>
          <w:sz w:val="24"/>
          <w:szCs w:val="24"/>
          <w:highlight w:val="none"/>
          <w:lang w:val="en-US" w:eastAsia="zh-CN"/>
        </w:rPr>
        <w:t>-商务条款偏离表</w:t>
      </w:r>
    </w:p>
    <w:p w14:paraId="27EE0BD7">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cs="宋体"/>
          <w:b/>
          <w:bCs/>
          <w:color w:val="000000" w:themeColor="text1"/>
          <w:sz w:val="24"/>
          <w:szCs w:val="24"/>
          <w:highlight w:val="none"/>
          <w:lang w:val="zh-CN"/>
          <w14:textFill>
            <w14:solidFill>
              <w14:schemeClr w14:val="tx1"/>
            </w14:solidFill>
          </w14:textFill>
        </w:rPr>
        <w:t>附件8-</w:t>
      </w:r>
      <w:r>
        <w:rPr>
          <w:rFonts w:hint="eastAsia" w:ascii="宋体" w:hAnsi="宋体" w:cs="宋体"/>
          <w:b/>
          <w:bCs/>
          <w:color w:val="000000" w:themeColor="text1"/>
          <w:sz w:val="24"/>
          <w:szCs w:val="24"/>
          <w:highlight w:val="none"/>
          <w:lang w:val="zh-CN" w:eastAsia="zh-CN"/>
          <w14:textFill>
            <w14:solidFill>
              <w14:schemeClr w14:val="tx1"/>
            </w14:solidFill>
          </w14:textFill>
        </w:rPr>
        <w:t>技术条款偏离表</w:t>
      </w:r>
    </w:p>
    <w:p w14:paraId="6D74E675">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lang w:val="zh-CN"/>
        </w:rPr>
        <w:t>-本项目拟派出项目负责人履历表</w:t>
      </w:r>
    </w:p>
    <w:p w14:paraId="61B6FCCD">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lang w:val="en-US" w:eastAsia="zh-CN"/>
        </w:rPr>
        <w:t>10</w:t>
      </w:r>
      <w:r>
        <w:rPr>
          <w:rFonts w:hint="eastAsia" w:ascii="宋体" w:hAnsi="宋体" w:eastAsia="宋体" w:cs="宋体"/>
          <w:b/>
          <w:color w:val="auto"/>
          <w:sz w:val="24"/>
          <w:highlight w:val="none"/>
          <w:lang w:val="zh-CN"/>
        </w:rPr>
        <w:t>-本项目拟投入人员基本情况表</w:t>
      </w:r>
    </w:p>
    <w:p w14:paraId="60F48AD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lang w:val="en-US" w:eastAsia="zh-CN"/>
        </w:rPr>
        <w:t>11</w:t>
      </w:r>
      <w:r>
        <w:rPr>
          <w:rFonts w:hint="eastAsia" w:ascii="宋体" w:hAnsi="宋体" w:eastAsia="宋体" w:cs="宋体"/>
          <w:b/>
          <w:color w:val="auto"/>
          <w:sz w:val="24"/>
          <w:highlight w:val="none"/>
        </w:rPr>
        <w:t>-近三年类似业绩</w:t>
      </w:r>
    </w:p>
    <w:p w14:paraId="7E8BE81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-服务承诺</w:t>
      </w:r>
    </w:p>
    <w:p w14:paraId="4C51EF10">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-项目组织方案及实施方案</w:t>
      </w:r>
    </w:p>
    <w:p w14:paraId="2BED42EA">
      <w:pPr>
        <w:spacing w:line="360" w:lineRule="auto"/>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附件</w:t>
      </w: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zh-CN"/>
        </w:rPr>
        <w:t>供应商认为有必要提供的其它材料</w:t>
      </w:r>
    </w:p>
    <w:p w14:paraId="31487F62">
      <w:pPr>
        <w:pStyle w:val="9"/>
        <w:rPr>
          <w:rFonts w:hint="eastAsia"/>
          <w:b/>
          <w:color w:val="auto"/>
          <w:sz w:val="24"/>
          <w:highlight w:val="none"/>
          <w:lang w:val="zh-CN"/>
        </w:rPr>
      </w:pPr>
    </w:p>
    <w:p w14:paraId="462ACC21">
      <w:pPr>
        <w:pStyle w:val="10"/>
        <w:rPr>
          <w:rFonts w:hint="default" w:eastAsia="宋体"/>
          <w:color w:val="auto"/>
          <w:highlight w:val="none"/>
          <w:lang w:val="en-US" w:eastAsia="zh-CN"/>
        </w:rPr>
      </w:pPr>
      <w:r>
        <w:rPr>
          <w:rFonts w:hint="eastAsia" w:ascii="方正仿宋_GB2312" w:hAnsi="方正仿宋_GB2312" w:eastAsia="方正仿宋_GB2312" w:cs="方正仿宋_GB2312"/>
          <w:b/>
          <w:color w:val="auto"/>
          <w:sz w:val="28"/>
          <w:szCs w:val="28"/>
          <w:highlight w:val="none"/>
          <w:lang w:eastAsia="zh-CN"/>
        </w:rPr>
        <w:t>响应</w:t>
      </w:r>
      <w:r>
        <w:rPr>
          <w:rFonts w:hint="eastAsia"/>
          <w:b/>
          <w:color w:val="auto"/>
          <w:sz w:val="24"/>
          <w:highlight w:val="none"/>
          <w:lang w:val="en-US" w:eastAsia="zh-CN"/>
        </w:rPr>
        <w:t>文件组成部分包括但不仅限于以上内容，供应商可根据本项目评标标准自行添加认为有必要提供的其他内容。</w:t>
      </w:r>
    </w:p>
    <w:p w14:paraId="1B9C787B">
      <w:pPr>
        <w:keepNext/>
        <w:keepLines/>
        <w:autoSpaceDE w:val="0"/>
        <w:autoSpaceDN w:val="0"/>
        <w:adjustRightInd w:val="0"/>
        <w:spacing w:before="260" w:after="260" w:line="360" w:lineRule="auto"/>
        <w:jc w:val="left"/>
        <w:rPr>
          <w:rFonts w:hint="eastAsia" w:ascii="宋体" w:cs="宋体"/>
          <w:color w:val="auto"/>
          <w:kern w:val="0"/>
          <w:sz w:val="24"/>
          <w:highlight w:val="none"/>
          <w:lang w:val="zh-CN"/>
        </w:rPr>
      </w:pPr>
    </w:p>
    <w:p w14:paraId="6ACC6F0F">
      <w:pPr>
        <w:pStyle w:val="9"/>
        <w:rPr>
          <w:rFonts w:hint="eastAsia" w:ascii="宋体" w:cs="宋体"/>
          <w:color w:val="auto"/>
          <w:kern w:val="0"/>
          <w:sz w:val="24"/>
          <w:highlight w:val="none"/>
          <w:lang w:val="zh-CN"/>
        </w:rPr>
      </w:pPr>
    </w:p>
    <w:p w14:paraId="1EAD0FB6">
      <w:pPr>
        <w:rPr>
          <w:rFonts w:hint="eastAsia" w:ascii="宋体" w:cs="宋体"/>
          <w:color w:val="auto"/>
          <w:kern w:val="0"/>
          <w:sz w:val="24"/>
          <w:highlight w:val="none"/>
          <w:lang w:val="zh-CN"/>
        </w:rPr>
      </w:pPr>
    </w:p>
    <w:p w14:paraId="5BCD011C">
      <w:pPr>
        <w:pStyle w:val="5"/>
        <w:rPr>
          <w:rFonts w:hint="eastAsia" w:ascii="宋体" w:cs="宋体"/>
          <w:color w:val="auto"/>
          <w:kern w:val="0"/>
          <w:sz w:val="24"/>
          <w:highlight w:val="none"/>
          <w:lang w:val="zh-CN"/>
        </w:rPr>
      </w:pPr>
    </w:p>
    <w:p w14:paraId="4FC2BB50">
      <w:pPr>
        <w:pStyle w:val="6"/>
        <w:rPr>
          <w:rFonts w:hint="eastAsia" w:ascii="宋体" w:cs="宋体"/>
          <w:color w:val="auto"/>
          <w:kern w:val="0"/>
          <w:sz w:val="24"/>
          <w:highlight w:val="none"/>
          <w:lang w:val="zh-CN"/>
        </w:rPr>
      </w:pPr>
    </w:p>
    <w:p w14:paraId="46E3FA38">
      <w:pPr>
        <w:rPr>
          <w:rFonts w:hint="eastAsia"/>
          <w:color w:val="auto"/>
          <w:highlight w:val="none"/>
          <w:lang w:val="zh-CN"/>
        </w:rPr>
      </w:pPr>
    </w:p>
    <w:p w14:paraId="19C8426F">
      <w:pPr>
        <w:pStyle w:val="10"/>
        <w:rPr>
          <w:rFonts w:hint="eastAsia"/>
          <w:color w:val="auto"/>
          <w:highlight w:val="none"/>
          <w:lang w:val="zh-CN"/>
        </w:rPr>
      </w:pPr>
    </w:p>
    <w:p w14:paraId="5A29CFEB">
      <w:pPr>
        <w:pStyle w:val="9"/>
        <w:rPr>
          <w:rFonts w:hint="eastAsia"/>
          <w:color w:val="auto"/>
          <w:highlight w:val="none"/>
          <w:lang w:val="zh-CN"/>
        </w:rPr>
      </w:pPr>
    </w:p>
    <w:p w14:paraId="18EAE250">
      <w:pPr>
        <w:keepNext/>
        <w:keepLines/>
        <w:autoSpaceDE w:val="0"/>
        <w:autoSpaceDN w:val="0"/>
        <w:adjustRightInd w:val="0"/>
        <w:spacing w:before="260" w:after="260" w:line="360" w:lineRule="auto"/>
        <w:jc w:val="left"/>
        <w:rPr>
          <w:rFonts w:hint="eastAsia" w:ascii="宋体" w:cs="宋体"/>
          <w:color w:val="auto"/>
          <w:kern w:val="0"/>
          <w:sz w:val="24"/>
          <w:highlight w:val="none"/>
          <w:lang w:val="zh-CN"/>
        </w:rPr>
      </w:pPr>
    </w:p>
    <w:p w14:paraId="42C9F996">
      <w:pPr>
        <w:keepNext/>
        <w:keepLines/>
        <w:autoSpaceDE w:val="0"/>
        <w:autoSpaceDN w:val="0"/>
        <w:adjustRightInd w:val="0"/>
        <w:spacing w:before="260" w:after="260" w:line="360" w:lineRule="auto"/>
        <w:jc w:val="left"/>
        <w:rPr>
          <w:rFonts w:ascii="Arial" w:hAnsi="Arial" w:cs="Arial"/>
          <w:b/>
          <w:bCs/>
          <w:color w:val="auto"/>
          <w:kern w:val="0"/>
          <w:sz w:val="28"/>
          <w:szCs w:val="28"/>
          <w:highlight w:val="none"/>
        </w:rPr>
      </w:pPr>
      <w:r>
        <w:rPr>
          <w:rFonts w:hint="eastAsia" w:ascii="宋体" w:cs="宋体"/>
          <w:color w:val="auto"/>
          <w:kern w:val="0"/>
          <w:sz w:val="24"/>
          <w:highlight w:val="none"/>
          <w:lang w:val="zh-CN"/>
        </w:rPr>
        <w:t>附件</w:t>
      </w:r>
      <w:r>
        <w:rPr>
          <w:rFonts w:hint="eastAsia" w:ascii="Arial" w:hAnsi="Arial" w:cs="Arial"/>
          <w:color w:val="auto"/>
          <w:kern w:val="0"/>
          <w:sz w:val="24"/>
          <w:highlight w:val="none"/>
          <w:lang w:val="en-US" w:eastAsia="zh-CN"/>
        </w:rPr>
        <w:t>1</w:t>
      </w:r>
      <w:r>
        <w:rPr>
          <w:rFonts w:hint="eastAsia" w:ascii="Arial" w:hAnsi="Arial" w:cs="Arial"/>
          <w:color w:val="auto"/>
          <w:kern w:val="0"/>
          <w:sz w:val="24"/>
          <w:highlight w:val="none"/>
        </w:rPr>
        <w:t xml:space="preserve">                             </w:t>
      </w:r>
      <w:r>
        <w:rPr>
          <w:rFonts w:hint="eastAsia" w:ascii="Arial" w:hAnsi="Arial" w:cs="Arial"/>
          <w:b/>
          <w:bCs/>
          <w:color w:val="auto"/>
          <w:kern w:val="0"/>
          <w:sz w:val="28"/>
          <w:szCs w:val="28"/>
          <w:highlight w:val="none"/>
        </w:rPr>
        <w:t xml:space="preserve"> </w:t>
      </w:r>
    </w:p>
    <w:p w14:paraId="1BCFC6D3">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响</w:t>
      </w:r>
      <w:r>
        <w:rPr>
          <w:rFonts w:hint="eastAsia" w:ascii="宋体" w:hAnsi="Arial" w:cs="宋体"/>
          <w:b/>
          <w:bCs/>
          <w:color w:val="auto"/>
          <w:kern w:val="0"/>
          <w:sz w:val="28"/>
          <w:szCs w:val="28"/>
          <w:highlight w:val="none"/>
        </w:rPr>
        <w:t xml:space="preserve"> </w:t>
      </w:r>
      <w:r>
        <w:rPr>
          <w:rFonts w:hint="eastAsia" w:ascii="宋体" w:hAnsi="Arial" w:cs="宋体"/>
          <w:b/>
          <w:bCs/>
          <w:color w:val="auto"/>
          <w:kern w:val="0"/>
          <w:sz w:val="28"/>
          <w:szCs w:val="28"/>
          <w:highlight w:val="none"/>
          <w:lang w:val="zh-CN"/>
        </w:rPr>
        <w:t>应</w:t>
      </w:r>
      <w:r>
        <w:rPr>
          <w:rFonts w:hint="eastAsia" w:ascii="宋体" w:hAnsi="Arial" w:cs="宋体"/>
          <w:b/>
          <w:bCs/>
          <w:color w:val="auto"/>
          <w:kern w:val="0"/>
          <w:sz w:val="28"/>
          <w:szCs w:val="28"/>
          <w:highlight w:val="none"/>
        </w:rPr>
        <w:t xml:space="preserve"> </w:t>
      </w:r>
      <w:r>
        <w:rPr>
          <w:rFonts w:hint="eastAsia" w:ascii="宋体" w:hAnsi="Arial" w:cs="宋体"/>
          <w:b/>
          <w:bCs/>
          <w:color w:val="auto"/>
          <w:kern w:val="0"/>
          <w:sz w:val="28"/>
          <w:szCs w:val="28"/>
          <w:highlight w:val="none"/>
          <w:lang w:val="zh-CN"/>
        </w:rPr>
        <w:t>函</w:t>
      </w:r>
    </w:p>
    <w:p w14:paraId="22958004">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致 </w:t>
      </w:r>
      <w:r>
        <w:rPr>
          <w:rFonts w:hint="eastAsia" w:ascii="宋体" w:cs="宋体"/>
          <w:color w:val="auto"/>
          <w:kern w:val="0"/>
          <w:sz w:val="24"/>
          <w:highlight w:val="none"/>
          <w:u w:val="single"/>
          <w:lang w:val="zh-CN"/>
        </w:rPr>
        <w:t xml:space="preserve">            </w:t>
      </w:r>
      <w:r>
        <w:rPr>
          <w:rFonts w:hint="eastAsia" w:ascii="宋体" w:cs="宋体"/>
          <w:color w:val="auto"/>
          <w:kern w:val="0"/>
          <w:sz w:val="24"/>
          <w:highlight w:val="none"/>
          <w:lang w:val="zh-CN"/>
        </w:rPr>
        <w:t>(采购人)：</w:t>
      </w:r>
    </w:p>
    <w:p w14:paraId="69C7BFEC">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ind w:firstLine="480" w:firstLineChars="200"/>
        <w:jc w:val="left"/>
        <w:textAlignment w:val="auto"/>
        <w:rPr>
          <w:rFonts w:ascii="宋体" w:cs="宋体"/>
          <w:color w:val="auto"/>
          <w:kern w:val="0"/>
          <w:sz w:val="24"/>
          <w:highlight w:val="none"/>
          <w:lang w:val="zh-CN"/>
        </w:rPr>
      </w:pPr>
      <w:r>
        <w:rPr>
          <w:rFonts w:hint="eastAsia" w:ascii="宋体" w:cs="宋体"/>
          <w:color w:val="auto"/>
          <w:kern w:val="0"/>
          <w:sz w:val="24"/>
          <w:highlight w:val="none"/>
          <w:lang w:val="zh-CN"/>
        </w:rPr>
        <w:t>我方己仔细研究了</w:t>
      </w:r>
      <w:r>
        <w:rPr>
          <w:rFonts w:hint="eastAsia" w:ascii="宋体" w:cs="宋体"/>
          <w:color w:val="auto"/>
          <w:kern w:val="0"/>
          <w:sz w:val="24"/>
          <w:highlight w:val="none"/>
          <w:u w:val="single"/>
          <w:lang w:val="zh-CN"/>
        </w:rPr>
        <w:t xml:space="preserve">                 </w:t>
      </w:r>
      <w:r>
        <w:rPr>
          <w:rFonts w:hint="eastAsia" w:ascii="宋体" w:cs="宋体"/>
          <w:color w:val="auto"/>
          <w:kern w:val="0"/>
          <w:sz w:val="24"/>
          <w:highlight w:val="none"/>
          <w:lang w:val="zh-CN"/>
        </w:rPr>
        <w:t>(</w:t>
      </w:r>
      <w:r>
        <w:rPr>
          <w:rFonts w:hint="eastAsia" w:ascii="宋体" w:hAnsi="宋体" w:cs="宋体"/>
          <w:color w:val="auto"/>
          <w:sz w:val="24"/>
          <w:highlight w:val="none"/>
          <w:lang w:val="zh-CN"/>
        </w:rPr>
        <w:t>项目标项名称</w:t>
      </w:r>
      <w:r>
        <w:rPr>
          <w:rFonts w:hint="eastAsia" w:ascii="宋体" w:cs="宋体"/>
          <w:color w:val="auto"/>
          <w:kern w:val="0"/>
          <w:sz w:val="24"/>
          <w:highlight w:val="none"/>
          <w:lang w:val="zh-CN"/>
        </w:rPr>
        <w:t>)的采购文件（</w:t>
      </w:r>
      <w:r>
        <w:rPr>
          <w:rFonts w:hint="eastAsia" w:ascii="宋体" w:hAnsi="宋体" w:eastAsia="宋体" w:cs="宋体"/>
          <w:color w:val="auto"/>
          <w:sz w:val="24"/>
          <w:szCs w:val="24"/>
          <w:highlight w:val="none"/>
          <w:u w:val="single"/>
          <w:lang w:eastAsia="zh-CN"/>
        </w:rPr>
        <w:t>项目标项编号：</w:t>
      </w:r>
      <w:r>
        <w:rPr>
          <w:rFonts w:hint="eastAsia" w:ascii="宋体" w:hAnsi="宋体" w:cs="宋体"/>
          <w:color w:val="auto"/>
          <w:sz w:val="24"/>
          <w:szCs w:val="24"/>
          <w:highlight w:val="none"/>
          <w:u w:val="single"/>
          <w:lang w:val="en-US" w:eastAsia="zh-CN"/>
        </w:rPr>
        <w:t xml:space="preserve">        </w:t>
      </w:r>
      <w:r>
        <w:rPr>
          <w:rFonts w:hint="eastAsia" w:ascii="宋体" w:cs="宋体"/>
          <w:color w:val="auto"/>
          <w:kern w:val="0"/>
          <w:sz w:val="24"/>
          <w:highlight w:val="none"/>
          <w:lang w:val="zh-CN"/>
        </w:rPr>
        <w:t>）的全部内容，知悉参加投标的风险，我方承诺接受采购文件的全部条款且无任何异议。</w:t>
      </w:r>
    </w:p>
    <w:p w14:paraId="581947F4">
      <w:pPr>
        <w:keepNext w:val="0"/>
        <w:keepLines w:val="0"/>
        <w:pageBreakBefore w:val="0"/>
        <w:widowControl w:val="0"/>
        <w:tabs>
          <w:tab w:val="left" w:pos="5580"/>
        </w:tabs>
        <w:kinsoku/>
        <w:wordWrap w:val="0"/>
        <w:overflowPunct/>
        <w:topLinePunct w:val="0"/>
        <w:autoSpaceDE w:val="0"/>
        <w:autoSpaceDN w:val="0"/>
        <w:bidi w:val="0"/>
        <w:adjustRightInd w:val="0"/>
        <w:snapToGrid/>
        <w:spacing w:line="480" w:lineRule="auto"/>
        <w:jc w:val="left"/>
        <w:textAlignment w:val="auto"/>
        <w:rPr>
          <w:rFonts w:ascii="宋体" w:cs="宋体"/>
          <w:color w:val="auto"/>
          <w:kern w:val="0"/>
          <w:sz w:val="24"/>
          <w:highlight w:val="none"/>
          <w:lang w:val="zh-CN"/>
        </w:rPr>
      </w:pPr>
      <w:r>
        <w:rPr>
          <w:rFonts w:hint="eastAsia" w:ascii="宋体" w:cs="宋体"/>
          <w:color w:val="auto"/>
          <w:kern w:val="0"/>
          <w:sz w:val="24"/>
          <w:highlight w:val="none"/>
          <w:lang w:val="zh-CN"/>
        </w:rPr>
        <w:t>一、我方同意在采购文件中规定的提交响应文件截止时间起</w:t>
      </w:r>
      <w:r>
        <w:rPr>
          <w:rFonts w:hint="eastAsia" w:ascii="宋体" w:cs="宋体"/>
          <w:color w:val="auto"/>
          <w:kern w:val="0"/>
          <w:sz w:val="24"/>
          <w:highlight w:val="none"/>
          <w:lang w:val="en-US" w:eastAsia="zh-CN"/>
        </w:rPr>
        <w:t>60</w:t>
      </w:r>
      <w:r>
        <w:rPr>
          <w:rFonts w:hint="eastAsia" w:ascii="宋体" w:cs="宋体"/>
          <w:color w:val="auto"/>
          <w:kern w:val="0"/>
          <w:sz w:val="24"/>
          <w:highlight w:val="none"/>
          <w:lang w:val="zh-CN"/>
        </w:rPr>
        <w:t>日内(响应文件有效期)遵守本响应文件中的承诺且在此期限期满之前均具有法律约束力。</w:t>
      </w:r>
    </w:p>
    <w:p w14:paraId="33F20A3D">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二、提交</w:t>
      </w:r>
      <w:r>
        <w:rPr>
          <w:rFonts w:hint="eastAsia" w:ascii="宋体" w:cs="宋体"/>
          <w:color w:val="auto"/>
          <w:kern w:val="0"/>
          <w:sz w:val="24"/>
          <w:highlight w:val="none"/>
          <w:lang w:val="zh-CN" w:eastAsia="zh-CN"/>
        </w:rPr>
        <w:t>响应</w:t>
      </w:r>
      <w:r>
        <w:rPr>
          <w:rFonts w:hint="eastAsia" w:ascii="宋体" w:cs="宋体"/>
          <w:color w:val="auto"/>
          <w:kern w:val="0"/>
          <w:sz w:val="24"/>
          <w:highlight w:val="none"/>
          <w:lang w:val="zh-CN"/>
        </w:rPr>
        <w:t>文件响应文件电子版1份，不留密码，无病毒，并保证响应文件提供的数据和材料是真实、准确的。否则，愿承担《中华人民共和国政府采购法》第七十七条规定的法律责任。</w:t>
      </w:r>
    </w:p>
    <w:p w14:paraId="144D22C3">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三、我方愿意向贵方提供任何与本项采购有关的数据、情况和技术资料。若贵方需要，我方愿意提供我方作出的一切承诺的证明材料。</w:t>
      </w:r>
    </w:p>
    <w:p w14:paraId="041D7660">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四、我方承诺遵守《中华人民共和国政府采购法》的有关规定，保证在获得成交资格后，按照采购文件确定的事项签订政府采购合同，履行双方所签订的合同，并承担合同规定的责任和义务。</w:t>
      </w:r>
    </w:p>
    <w:p w14:paraId="6118CD28">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4ED7218B">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7DD3A6E4">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771D358B">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0194D5CB">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1ACB9E30">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14:paraId="0AF12E2B">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14:paraId="6AC815D4">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451044E6">
      <w:pPr>
        <w:tabs>
          <w:tab w:val="left" w:pos="1260"/>
        </w:tabs>
        <w:spacing w:line="440" w:lineRule="exact"/>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附件2 </w:t>
      </w:r>
    </w:p>
    <w:p w14:paraId="21EAB508">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法定代表人资格证明书</w:t>
      </w:r>
    </w:p>
    <w:p w14:paraId="6B6649BE">
      <w:pPr>
        <w:tabs>
          <w:tab w:val="left" w:pos="1260"/>
        </w:tabs>
        <w:spacing w:line="440" w:lineRule="exact"/>
        <w:rPr>
          <w:rFonts w:ascii="宋体" w:hAnsi="宋体" w:cs="宋体"/>
          <w:b/>
          <w:bCs/>
          <w:color w:val="auto"/>
          <w:sz w:val="28"/>
          <w:szCs w:val="28"/>
          <w:highlight w:val="none"/>
        </w:rPr>
      </w:pPr>
    </w:p>
    <w:p w14:paraId="1C5B5250">
      <w:pPr>
        <w:tabs>
          <w:tab w:val="left" w:pos="1260"/>
        </w:tabs>
        <w:spacing w:line="56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单位名称：</w:t>
      </w:r>
      <w:r>
        <w:rPr>
          <w:rFonts w:hint="eastAsia" w:ascii="宋体" w:hAnsi="宋体" w:cs="宋体"/>
          <w:bCs/>
          <w:color w:val="auto"/>
          <w:sz w:val="24"/>
          <w:highlight w:val="none"/>
          <w:u w:val="single"/>
        </w:rPr>
        <w:t xml:space="preserve">                                              </w:t>
      </w:r>
    </w:p>
    <w:p w14:paraId="137CB829">
      <w:pPr>
        <w:tabs>
          <w:tab w:val="left" w:pos="1260"/>
        </w:tabs>
        <w:spacing w:line="56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单位性质：</w:t>
      </w:r>
      <w:r>
        <w:rPr>
          <w:rFonts w:hint="eastAsia" w:ascii="宋体" w:hAnsi="宋体" w:cs="宋体"/>
          <w:bCs/>
          <w:color w:val="auto"/>
          <w:sz w:val="24"/>
          <w:highlight w:val="none"/>
          <w:u w:val="single"/>
        </w:rPr>
        <w:t xml:space="preserve">                                              </w:t>
      </w:r>
    </w:p>
    <w:p w14:paraId="245518A2">
      <w:pPr>
        <w:tabs>
          <w:tab w:val="left" w:pos="1260"/>
        </w:tabs>
        <w:spacing w:line="560" w:lineRule="exact"/>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地    址：</w:t>
      </w:r>
      <w:r>
        <w:rPr>
          <w:rFonts w:hint="eastAsia" w:ascii="宋体" w:hAnsi="宋体" w:cs="宋体"/>
          <w:bCs/>
          <w:color w:val="auto"/>
          <w:sz w:val="24"/>
          <w:highlight w:val="none"/>
          <w:u w:val="single"/>
        </w:rPr>
        <w:t xml:space="preserve">                                              </w:t>
      </w:r>
    </w:p>
    <w:p w14:paraId="2B06D2CA">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成立时间：</w:t>
      </w:r>
      <w:r>
        <w:rPr>
          <w:rFonts w:hint="eastAsia" w:ascii="宋体" w:hAnsi="宋体" w:cs="宋体"/>
          <w:bCs/>
          <w:color w:val="auto"/>
          <w:sz w:val="24"/>
          <w:highlight w:val="none"/>
          <w:u w:val="single"/>
        </w:rPr>
        <w:t xml:space="preserve">                                              </w:t>
      </w:r>
    </w:p>
    <w:p w14:paraId="1F1BD410">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经营期限：</w:t>
      </w:r>
      <w:r>
        <w:rPr>
          <w:rFonts w:hint="eastAsia" w:ascii="宋体" w:hAnsi="宋体" w:cs="宋体"/>
          <w:bCs/>
          <w:color w:val="auto"/>
          <w:sz w:val="24"/>
          <w:highlight w:val="none"/>
          <w:u w:val="single"/>
        </w:rPr>
        <w:t xml:space="preserve">                                              </w:t>
      </w:r>
    </w:p>
    <w:p w14:paraId="7B429E10">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姓    名：</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性别：</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年龄：</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职务：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2840377A">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 xml:space="preserve">系 </w:t>
      </w:r>
      <w:r>
        <w:rPr>
          <w:rFonts w:hint="eastAsia" w:ascii="宋体" w:hAnsi="宋体" w:cs="宋体"/>
          <w:bCs/>
          <w:color w:val="auto"/>
          <w:sz w:val="24"/>
          <w:highlight w:val="none"/>
          <w:u w:val="single"/>
        </w:rPr>
        <w:t xml:space="preserve">       （投标供应商单位名称）       </w:t>
      </w:r>
      <w:r>
        <w:rPr>
          <w:rFonts w:hint="eastAsia" w:ascii="宋体" w:hAnsi="宋体" w:cs="宋体"/>
          <w:bCs/>
          <w:color w:val="auto"/>
          <w:sz w:val="24"/>
          <w:highlight w:val="none"/>
        </w:rPr>
        <w:t>的法定代表人。</w:t>
      </w:r>
    </w:p>
    <w:p w14:paraId="68DE9DC2">
      <w:pPr>
        <w:tabs>
          <w:tab w:val="left" w:pos="1260"/>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特此证明。</w:t>
      </w:r>
    </w:p>
    <w:p w14:paraId="376EDCF4">
      <w:pPr>
        <w:tabs>
          <w:tab w:val="left" w:pos="1260"/>
        </w:tabs>
        <w:spacing w:line="440" w:lineRule="exact"/>
        <w:rPr>
          <w:rFonts w:ascii="宋体" w:hAnsi="宋体" w:cs="宋体"/>
          <w:bCs/>
          <w:color w:val="auto"/>
          <w:sz w:val="24"/>
          <w:highlight w:val="none"/>
        </w:rPr>
      </w:pPr>
    </w:p>
    <w:p w14:paraId="2D56822E">
      <w:pPr>
        <w:autoSpaceDE w:val="0"/>
        <w:autoSpaceDN w:val="0"/>
        <w:adjustRightInd w:val="0"/>
        <w:spacing w:line="360" w:lineRule="auto"/>
        <w:jc w:val="left"/>
        <w:rPr>
          <w:rFonts w:ascii="宋体" w:cs="宋体"/>
          <w:color w:val="auto"/>
          <w:kern w:val="0"/>
          <w:sz w:val="24"/>
          <w:highlight w:val="none"/>
          <w:lang w:val="zh-CN"/>
        </w:rPr>
      </w:pPr>
    </w:p>
    <w:p w14:paraId="70F75C7A">
      <w:pPr>
        <w:autoSpaceDE w:val="0"/>
        <w:autoSpaceDN w:val="0"/>
        <w:adjustRightInd w:val="0"/>
        <w:spacing w:line="360" w:lineRule="auto"/>
        <w:jc w:val="left"/>
        <w:rPr>
          <w:color w:val="auto"/>
          <w:kern w:val="0"/>
          <w:sz w:val="24"/>
          <w:highlight w:val="none"/>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104594BA">
      <w:pPr>
        <w:tabs>
          <w:tab w:val="left" w:pos="1260"/>
        </w:tabs>
        <w:spacing w:line="440" w:lineRule="exact"/>
        <w:jc w:val="right"/>
        <w:rPr>
          <w:rFonts w:ascii="宋体" w:hAnsi="宋体" w:cs="宋体"/>
          <w:bCs/>
          <w:color w:val="auto"/>
          <w:sz w:val="24"/>
          <w:highlight w:val="none"/>
        </w:rPr>
      </w:pPr>
    </w:p>
    <w:p w14:paraId="74704C29">
      <w:pPr>
        <w:pStyle w:val="13"/>
        <w:snapToGrid w:val="0"/>
        <w:ind w:firstLine="960" w:firstLineChars="400"/>
        <w:rPr>
          <w:color w:val="auto"/>
          <w:sz w:val="24"/>
          <w:highlight w:val="none"/>
        </w:rPr>
      </w:pPr>
      <w:r>
        <w:rPr>
          <w:rFonts w:hint="eastAsia" w:cs="宋体"/>
          <w:color w:val="auto"/>
          <w:kern w:val="0"/>
          <w:sz w:val="24"/>
          <w:highlight w:val="none"/>
          <w:lang w:val="zh-CN"/>
        </w:rPr>
        <w:t xml:space="preserve"> </w:t>
      </w: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14:paraId="6004F01B">
      <w:pPr>
        <w:autoSpaceDE w:val="0"/>
        <w:autoSpaceDN w:val="0"/>
        <w:adjustRightInd w:val="0"/>
        <w:spacing w:line="480" w:lineRule="auto"/>
        <w:ind w:firstLine="5280" w:firstLineChars="2200"/>
        <w:jc w:val="left"/>
        <w:rPr>
          <w:color w:val="auto"/>
          <w:kern w:val="0"/>
          <w:sz w:val="24"/>
          <w:highlight w:val="none"/>
        </w:rPr>
      </w:pPr>
    </w:p>
    <w:p w14:paraId="400A6767">
      <w:pPr>
        <w:tabs>
          <w:tab w:val="left" w:pos="1260"/>
        </w:tabs>
        <w:spacing w:line="440" w:lineRule="exact"/>
        <w:jc w:val="center"/>
        <w:rPr>
          <w:rFonts w:ascii="宋体" w:hAnsi="宋体" w:cs="宋体"/>
          <w:b/>
          <w:bCs/>
          <w:color w:val="auto"/>
          <w:sz w:val="24"/>
          <w:highlight w:val="none"/>
        </w:rPr>
      </w:pPr>
    </w:p>
    <w:p w14:paraId="18780660">
      <w:pPr>
        <w:tabs>
          <w:tab w:val="left" w:pos="1260"/>
        </w:tabs>
        <w:spacing w:line="440" w:lineRule="exact"/>
        <w:jc w:val="center"/>
        <w:rPr>
          <w:rFonts w:ascii="宋体" w:hAnsi="宋体" w:cs="宋体"/>
          <w:b/>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1388110</wp:posOffset>
                </wp:positionH>
                <wp:positionV relativeFrom="paragraph">
                  <wp:posOffset>433070</wp:posOffset>
                </wp:positionV>
                <wp:extent cx="3067050" cy="1783080"/>
                <wp:effectExtent l="4445" t="4445" r="14605" b="22225"/>
                <wp:wrapNone/>
                <wp:docPr id="4" name="矩形 4"/>
                <wp:cNvGraphicFramePr/>
                <a:graphic xmlns:a="http://schemas.openxmlformats.org/drawingml/2006/main">
                  <a:graphicData uri="http://schemas.microsoft.com/office/word/2010/wordprocessingShape">
                    <wps:wsp>
                      <wps:cNvSpPr/>
                      <wps:spPr>
                        <a:xfrm>
                          <a:off x="0" y="0"/>
                          <a:ext cx="3067050" cy="1783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3E3913">
                            <w:pPr>
                              <w:jc w:val="center"/>
                            </w:pPr>
                          </w:p>
                          <w:p w14:paraId="0C2343E0">
                            <w:pPr>
                              <w:jc w:val="center"/>
                            </w:pPr>
                          </w:p>
                          <w:p w14:paraId="631C9A25">
                            <w:pPr>
                              <w:jc w:val="center"/>
                            </w:pPr>
                          </w:p>
                          <w:p w14:paraId="0F56866B">
                            <w:pPr>
                              <w:jc w:val="center"/>
                              <w:rPr>
                                <w:sz w:val="24"/>
                              </w:rPr>
                            </w:pPr>
                            <w:r>
                              <w:rPr>
                                <w:rFonts w:hint="eastAsia"/>
                                <w:sz w:val="24"/>
                              </w:rPr>
                              <w:t>身份证正反面复印件</w:t>
                            </w:r>
                          </w:p>
                          <w:p w14:paraId="36FCE511">
                            <w:pPr>
                              <w:jc w:val="center"/>
                              <w:rPr>
                                <w:sz w:val="24"/>
                              </w:rPr>
                            </w:pPr>
                          </w:p>
                        </w:txbxContent>
                      </wps:txbx>
                      <wps:bodyPr upright="1"/>
                    </wps:wsp>
                  </a:graphicData>
                </a:graphic>
              </wp:anchor>
            </w:drawing>
          </mc:Choice>
          <mc:Fallback>
            <w:pict>
              <v:rect id="_x0000_s1026" o:spid="_x0000_s1026" o:spt="1" style="position:absolute;left:0pt;margin-left:109.3pt;margin-top:34.1pt;height:140.4pt;width:241.5pt;z-index:251659264;mso-width-relative:page;mso-height-relative:page;" fillcolor="#FFFFFF" filled="t" stroked="t" coordsize="21600,21600" o:gfxdata="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7Vcp2AAAAAoBAAAPAAAAAAAAAAEAIAAAACIAAABk&#10;cnMvZG93bnJldi54bWxQSwECFAAUAAAACACHTuJA/6VU2QYCAAAqBAAADgAAAAAAAAABACAAAAAn&#10;AQAAZHJzL2Uyb0RvYy54bWxQSwUGAAAAAAYABgBZAQAAnwUAAAAA&#10;">
                <v:fill on="t" focussize="0,0"/>
                <v:stroke color="#000000" joinstyle="miter"/>
                <v:imagedata o:title=""/>
                <o:lock v:ext="edit" aspectratio="f"/>
                <v:textbox>
                  <w:txbxContent>
                    <w:p w14:paraId="1E3E3913">
                      <w:pPr>
                        <w:jc w:val="center"/>
                      </w:pPr>
                    </w:p>
                    <w:p w14:paraId="0C2343E0">
                      <w:pPr>
                        <w:jc w:val="center"/>
                      </w:pPr>
                    </w:p>
                    <w:p w14:paraId="631C9A25">
                      <w:pPr>
                        <w:jc w:val="center"/>
                      </w:pPr>
                    </w:p>
                    <w:p w14:paraId="0F56866B">
                      <w:pPr>
                        <w:jc w:val="center"/>
                        <w:rPr>
                          <w:sz w:val="24"/>
                        </w:rPr>
                      </w:pPr>
                      <w:r>
                        <w:rPr>
                          <w:rFonts w:hint="eastAsia"/>
                          <w:sz w:val="24"/>
                        </w:rPr>
                        <w:t>身份证正反面复印件</w:t>
                      </w:r>
                    </w:p>
                    <w:p w14:paraId="36FCE511">
                      <w:pPr>
                        <w:jc w:val="center"/>
                        <w:rPr>
                          <w:sz w:val="24"/>
                        </w:rPr>
                      </w:pPr>
                    </w:p>
                  </w:txbxContent>
                </v:textbox>
              </v:rect>
            </w:pict>
          </mc:Fallback>
        </mc:AlternateContent>
      </w:r>
    </w:p>
    <w:p w14:paraId="3ED453E0">
      <w:pPr>
        <w:tabs>
          <w:tab w:val="left" w:pos="1260"/>
        </w:tabs>
        <w:spacing w:line="440" w:lineRule="exact"/>
        <w:jc w:val="center"/>
        <w:rPr>
          <w:rFonts w:ascii="宋体" w:hAnsi="宋体" w:cs="宋体"/>
          <w:b/>
          <w:bCs/>
          <w:color w:val="auto"/>
          <w:sz w:val="24"/>
          <w:highlight w:val="none"/>
        </w:rPr>
      </w:pPr>
    </w:p>
    <w:p w14:paraId="3554DB63">
      <w:pPr>
        <w:tabs>
          <w:tab w:val="left" w:pos="1260"/>
        </w:tabs>
        <w:spacing w:line="440" w:lineRule="exact"/>
        <w:jc w:val="center"/>
        <w:rPr>
          <w:rFonts w:ascii="宋体" w:hAnsi="宋体" w:cs="宋体"/>
          <w:b/>
          <w:bCs/>
          <w:color w:val="auto"/>
          <w:sz w:val="24"/>
          <w:highlight w:val="none"/>
        </w:rPr>
      </w:pPr>
    </w:p>
    <w:p w14:paraId="19AC4001">
      <w:pPr>
        <w:tabs>
          <w:tab w:val="left" w:pos="1260"/>
        </w:tabs>
        <w:spacing w:line="440" w:lineRule="exact"/>
        <w:jc w:val="center"/>
        <w:rPr>
          <w:rFonts w:ascii="宋体" w:hAnsi="宋体" w:cs="宋体"/>
          <w:b/>
          <w:bCs/>
          <w:color w:val="auto"/>
          <w:sz w:val="24"/>
          <w:highlight w:val="none"/>
        </w:rPr>
      </w:pPr>
    </w:p>
    <w:p w14:paraId="63AB7049">
      <w:pPr>
        <w:tabs>
          <w:tab w:val="left" w:pos="1260"/>
        </w:tabs>
        <w:spacing w:line="440" w:lineRule="exact"/>
        <w:jc w:val="center"/>
        <w:rPr>
          <w:rFonts w:ascii="宋体" w:hAnsi="宋体" w:cs="宋体"/>
          <w:b/>
          <w:bCs/>
          <w:color w:val="auto"/>
          <w:sz w:val="24"/>
          <w:highlight w:val="none"/>
        </w:rPr>
      </w:pPr>
    </w:p>
    <w:p w14:paraId="69687CFE">
      <w:pPr>
        <w:tabs>
          <w:tab w:val="left" w:pos="1260"/>
        </w:tabs>
        <w:spacing w:line="440" w:lineRule="exact"/>
        <w:jc w:val="center"/>
        <w:rPr>
          <w:rFonts w:ascii="宋体" w:hAnsi="宋体" w:cs="宋体"/>
          <w:b/>
          <w:bCs/>
          <w:color w:val="auto"/>
          <w:sz w:val="24"/>
          <w:highlight w:val="none"/>
        </w:rPr>
      </w:pPr>
    </w:p>
    <w:p w14:paraId="56346F9D">
      <w:pPr>
        <w:tabs>
          <w:tab w:val="left" w:pos="1260"/>
        </w:tabs>
        <w:spacing w:line="440" w:lineRule="exact"/>
        <w:jc w:val="center"/>
        <w:rPr>
          <w:rFonts w:ascii="宋体" w:hAnsi="宋体" w:cs="宋体"/>
          <w:b/>
          <w:bCs/>
          <w:color w:val="auto"/>
          <w:sz w:val="24"/>
          <w:highlight w:val="none"/>
        </w:rPr>
      </w:pPr>
    </w:p>
    <w:p w14:paraId="5D6A32F2">
      <w:pPr>
        <w:tabs>
          <w:tab w:val="left" w:pos="1260"/>
        </w:tabs>
        <w:spacing w:line="440" w:lineRule="exact"/>
        <w:jc w:val="center"/>
        <w:rPr>
          <w:rFonts w:ascii="宋体" w:hAnsi="宋体" w:cs="宋体"/>
          <w:b/>
          <w:bCs/>
          <w:color w:val="auto"/>
          <w:sz w:val="24"/>
          <w:highlight w:val="none"/>
        </w:rPr>
      </w:pPr>
    </w:p>
    <w:p w14:paraId="45361A81">
      <w:pPr>
        <w:tabs>
          <w:tab w:val="left" w:pos="1260"/>
        </w:tabs>
        <w:spacing w:line="440" w:lineRule="exact"/>
        <w:jc w:val="left"/>
        <w:rPr>
          <w:rFonts w:ascii="宋体" w:cs="宋体"/>
          <w:color w:val="auto"/>
          <w:kern w:val="0"/>
          <w:sz w:val="24"/>
          <w:highlight w:val="none"/>
          <w:lang w:val="zh-CN"/>
        </w:rPr>
      </w:pPr>
    </w:p>
    <w:p w14:paraId="3098EDFA">
      <w:pPr>
        <w:tabs>
          <w:tab w:val="left" w:pos="1260"/>
        </w:tabs>
        <w:spacing w:line="440" w:lineRule="exact"/>
        <w:jc w:val="left"/>
        <w:rPr>
          <w:rFonts w:hint="eastAsia" w:ascii="宋体" w:cs="宋体"/>
          <w:color w:val="auto"/>
          <w:kern w:val="0"/>
          <w:sz w:val="24"/>
          <w:highlight w:val="none"/>
          <w:lang w:val="zh-CN"/>
        </w:rPr>
      </w:pPr>
    </w:p>
    <w:p w14:paraId="1163B8BA">
      <w:pPr>
        <w:tabs>
          <w:tab w:val="left" w:pos="1260"/>
        </w:tabs>
        <w:spacing w:line="440" w:lineRule="exact"/>
        <w:jc w:val="left"/>
        <w:rPr>
          <w:rFonts w:hint="eastAsia" w:ascii="宋体" w:cs="宋体"/>
          <w:color w:val="auto"/>
          <w:kern w:val="0"/>
          <w:sz w:val="24"/>
          <w:highlight w:val="none"/>
          <w:lang w:val="zh-CN"/>
        </w:rPr>
      </w:pPr>
    </w:p>
    <w:p w14:paraId="25812C7B">
      <w:pPr>
        <w:tabs>
          <w:tab w:val="left" w:pos="1260"/>
        </w:tabs>
        <w:spacing w:line="440" w:lineRule="exact"/>
        <w:jc w:val="left"/>
        <w:rPr>
          <w:rFonts w:ascii="宋体" w:cs="宋体"/>
          <w:color w:val="auto"/>
          <w:kern w:val="0"/>
          <w:sz w:val="24"/>
          <w:highlight w:val="none"/>
          <w:lang w:val="zh-CN"/>
        </w:rPr>
      </w:pPr>
      <w:r>
        <w:rPr>
          <w:rFonts w:hint="eastAsia" w:ascii="宋体" w:cs="宋体"/>
          <w:color w:val="auto"/>
          <w:kern w:val="0"/>
          <w:sz w:val="24"/>
          <w:highlight w:val="none"/>
          <w:lang w:val="zh-CN"/>
        </w:rPr>
        <w:t>附件</w:t>
      </w:r>
      <w:r>
        <w:rPr>
          <w:rFonts w:hint="eastAsia" w:ascii="宋体" w:cs="宋体"/>
          <w:color w:val="auto"/>
          <w:kern w:val="0"/>
          <w:sz w:val="24"/>
          <w:highlight w:val="none"/>
        </w:rPr>
        <w:t>3</w:t>
      </w:r>
    </w:p>
    <w:p w14:paraId="58541FC5">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法定代表人授权委托书</w:t>
      </w:r>
    </w:p>
    <w:p w14:paraId="7F0A4FE1">
      <w:pPr>
        <w:tabs>
          <w:tab w:val="left" w:pos="5580"/>
        </w:tabs>
        <w:autoSpaceDE w:val="0"/>
        <w:autoSpaceDN w:val="0"/>
        <w:adjustRightInd w:val="0"/>
        <w:spacing w:line="480" w:lineRule="auto"/>
        <w:jc w:val="left"/>
        <w:rPr>
          <w:rFonts w:ascii="宋体" w:cs="宋体"/>
          <w:color w:val="auto"/>
          <w:kern w:val="0"/>
          <w:sz w:val="24"/>
          <w:highlight w:val="none"/>
          <w:lang w:val="zh-CN"/>
        </w:rPr>
      </w:pPr>
    </w:p>
    <w:p w14:paraId="1910B43A">
      <w:pPr>
        <w:tabs>
          <w:tab w:val="left" w:pos="5580"/>
        </w:tabs>
        <w:autoSpaceDE w:val="0"/>
        <w:autoSpaceDN w:val="0"/>
        <w:adjustRightInd w:val="0"/>
        <w:spacing w:line="480" w:lineRule="auto"/>
        <w:jc w:val="left"/>
        <w:rPr>
          <w:rFonts w:ascii="宋体" w:cs="宋体"/>
          <w:color w:val="auto"/>
          <w:kern w:val="0"/>
          <w:sz w:val="24"/>
          <w:highlight w:val="none"/>
          <w:lang w:val="zh-CN"/>
        </w:rPr>
      </w:pPr>
      <w:r>
        <w:rPr>
          <w:rFonts w:ascii="宋体" w:cs="宋体"/>
          <w:color w:val="auto"/>
          <w:kern w:val="0"/>
          <w:sz w:val="24"/>
          <w:highlight w:val="none"/>
          <w:lang w:val="zh-CN"/>
        </w:rPr>
        <w:t xml:space="preserve">    我</w:t>
      </w:r>
      <w:r>
        <w:rPr>
          <w:rFonts w:ascii="宋体" w:cs="宋体"/>
          <w:color w:val="auto"/>
          <w:kern w:val="0"/>
          <w:sz w:val="24"/>
          <w:highlight w:val="none"/>
          <w:u w:val="single"/>
          <w:lang w:val="zh-CN"/>
        </w:rPr>
        <w:t xml:space="preserve"> </w:t>
      </w:r>
      <w:r>
        <w:rPr>
          <w:rFonts w:hint="eastAsia" w:ascii="宋体" w:cs="宋体"/>
          <w:color w:val="auto"/>
          <w:kern w:val="0"/>
          <w:sz w:val="24"/>
          <w:highlight w:val="none"/>
          <w:u w:val="single"/>
        </w:rPr>
        <w:t>（法定代表人</w:t>
      </w:r>
      <w:r>
        <w:rPr>
          <w:rFonts w:hint="eastAsia" w:ascii="宋体" w:cs="宋体"/>
          <w:color w:val="auto"/>
          <w:kern w:val="0"/>
          <w:sz w:val="24"/>
          <w:highlight w:val="none"/>
          <w:u w:val="single"/>
          <w:lang w:val="zh-CN"/>
        </w:rPr>
        <w:t>姓名</w:t>
      </w:r>
      <w:r>
        <w:rPr>
          <w:rFonts w:hint="eastAsia" w:ascii="宋体" w:cs="宋体"/>
          <w:color w:val="auto"/>
          <w:kern w:val="0"/>
          <w:sz w:val="24"/>
          <w:highlight w:val="none"/>
          <w:u w:val="single"/>
        </w:rPr>
        <w:t xml:space="preserve">） </w:t>
      </w:r>
      <w:r>
        <w:rPr>
          <w:rFonts w:ascii="宋体" w:cs="宋体"/>
          <w:color w:val="auto"/>
          <w:kern w:val="0"/>
          <w:sz w:val="24"/>
          <w:highlight w:val="none"/>
          <w:lang w:val="zh-CN"/>
        </w:rPr>
        <w:t>是</w:t>
      </w:r>
      <w:r>
        <w:rPr>
          <w:rFonts w:ascii="宋体" w:cs="宋体"/>
          <w:color w:val="auto"/>
          <w:kern w:val="0"/>
          <w:sz w:val="24"/>
          <w:highlight w:val="none"/>
          <w:u w:val="single"/>
          <w:lang w:val="zh-CN"/>
        </w:rPr>
        <w:t xml:space="preserve"> </w:t>
      </w:r>
      <w:r>
        <w:rPr>
          <w:rFonts w:hint="eastAsia" w:ascii="宋体" w:cs="宋体"/>
          <w:color w:val="auto"/>
          <w:kern w:val="0"/>
          <w:sz w:val="24"/>
          <w:highlight w:val="none"/>
          <w:u w:val="single"/>
          <w:lang w:val="zh-CN"/>
        </w:rPr>
        <w:t>（供应商名称）</w:t>
      </w:r>
      <w:r>
        <w:rPr>
          <w:rFonts w:hint="eastAsia" w:ascii="宋体" w:cs="宋体"/>
          <w:color w:val="auto"/>
          <w:kern w:val="0"/>
          <w:sz w:val="24"/>
          <w:highlight w:val="none"/>
          <w:u w:val="single"/>
        </w:rPr>
        <w:t xml:space="preserve">  </w:t>
      </w:r>
      <w:r>
        <w:rPr>
          <w:rFonts w:ascii="宋体" w:cs="宋体"/>
          <w:color w:val="auto"/>
          <w:kern w:val="0"/>
          <w:sz w:val="24"/>
          <w:highlight w:val="none"/>
          <w:lang w:val="zh-CN"/>
        </w:rPr>
        <w:t>的法定代表人</w:t>
      </w:r>
      <w:r>
        <w:rPr>
          <w:rFonts w:hint="eastAsia" w:ascii="宋体" w:cs="宋体"/>
          <w:color w:val="auto"/>
          <w:kern w:val="0"/>
          <w:sz w:val="24"/>
          <w:highlight w:val="none"/>
          <w:lang w:val="zh-CN"/>
        </w:rPr>
        <w:t>，</w:t>
      </w:r>
      <w:r>
        <w:rPr>
          <w:rFonts w:ascii="宋体" w:cs="宋体"/>
          <w:color w:val="auto"/>
          <w:kern w:val="0"/>
          <w:sz w:val="24"/>
          <w:highlight w:val="none"/>
          <w:lang w:val="zh-CN"/>
        </w:rPr>
        <w:t>为办理我（单位）参加</w:t>
      </w:r>
      <w:r>
        <w:rPr>
          <w:rFonts w:hint="eastAsia" w:ascii="宋体" w:cs="宋体"/>
          <w:color w:val="auto"/>
          <w:kern w:val="0"/>
          <w:sz w:val="24"/>
          <w:highlight w:val="none"/>
          <w:u w:val="single"/>
        </w:rPr>
        <w:t xml:space="preserve">     (项目标项名称)</w:t>
      </w:r>
      <w:r>
        <w:rPr>
          <w:rFonts w:hint="eastAsia" w:ascii="宋体" w:cs="宋体"/>
          <w:color w:val="auto"/>
          <w:kern w:val="0"/>
          <w:sz w:val="24"/>
          <w:highlight w:val="none"/>
          <w:u w:val="single"/>
          <w:lang w:eastAsia="zh-CN"/>
        </w:rPr>
        <w:t>、（项目标项编号）</w:t>
      </w:r>
      <w:r>
        <w:rPr>
          <w:rFonts w:hint="eastAsia" w:ascii="宋体" w:cs="宋体"/>
          <w:color w:val="auto"/>
          <w:kern w:val="0"/>
          <w:sz w:val="24"/>
          <w:highlight w:val="none"/>
          <w:u w:val="single"/>
        </w:rPr>
        <w:t xml:space="preserve">       </w:t>
      </w:r>
      <w:r>
        <w:rPr>
          <w:rFonts w:hint="eastAsia" w:ascii="宋体" w:cs="宋体"/>
          <w:color w:val="auto"/>
          <w:kern w:val="0"/>
          <w:sz w:val="24"/>
          <w:highlight w:val="none"/>
          <w:lang w:val="zh-CN"/>
        </w:rPr>
        <w:t>，特授权我单位</w:t>
      </w:r>
      <w:r>
        <w:rPr>
          <w:rFonts w:hint="eastAsia" w:ascii="宋体" w:cs="宋体"/>
          <w:color w:val="auto"/>
          <w:kern w:val="0"/>
          <w:sz w:val="24"/>
          <w:highlight w:val="none"/>
          <w:u w:val="single"/>
          <w:lang w:val="zh-CN"/>
        </w:rPr>
        <w:t xml:space="preserve"> （被授权人姓名）</w:t>
      </w:r>
      <w:r>
        <w:rPr>
          <w:rFonts w:hint="eastAsia" w:ascii="宋体" w:cs="宋体"/>
          <w:color w:val="auto"/>
          <w:kern w:val="0"/>
          <w:sz w:val="24"/>
          <w:highlight w:val="none"/>
          <w:u w:val="single"/>
        </w:rPr>
        <w:t xml:space="preserve"> </w:t>
      </w:r>
      <w:r>
        <w:rPr>
          <w:rFonts w:hint="eastAsia" w:ascii="宋体" w:cs="宋体"/>
          <w:color w:val="auto"/>
          <w:kern w:val="0"/>
          <w:sz w:val="24"/>
          <w:highlight w:val="none"/>
          <w:lang w:val="zh-CN"/>
        </w:rPr>
        <w:t>（职务：</w:t>
      </w:r>
      <w:r>
        <w:rPr>
          <w:rFonts w:hint="eastAsia" w:ascii="宋体" w:cs="宋体"/>
          <w:color w:val="auto"/>
          <w:kern w:val="0"/>
          <w:sz w:val="24"/>
          <w:highlight w:val="none"/>
          <w:u w:val="single"/>
        </w:rPr>
        <w:t xml:space="preserve">         </w:t>
      </w:r>
      <w:r>
        <w:rPr>
          <w:rFonts w:hint="eastAsia" w:ascii="宋体" w:cs="宋体"/>
          <w:color w:val="auto"/>
          <w:kern w:val="0"/>
          <w:sz w:val="24"/>
          <w:highlight w:val="none"/>
          <w:u w:val="single"/>
          <w:lang w:val="zh-CN"/>
        </w:rPr>
        <w:t xml:space="preserve"> </w:t>
      </w:r>
      <w:r>
        <w:rPr>
          <w:rFonts w:hint="eastAsia" w:ascii="宋体" w:cs="宋体"/>
          <w:color w:val="auto"/>
          <w:kern w:val="0"/>
          <w:sz w:val="24"/>
          <w:highlight w:val="none"/>
          <w:lang w:val="zh-CN"/>
        </w:rPr>
        <w:t>）为我（单位）的授权代理人，全权代表我（单位）办理上述事项中的一切有关事宜。代理人在办理上述事项中所签署的一切有关文件，我（单位）均予承认，并承担相应的法律责任。</w:t>
      </w:r>
    </w:p>
    <w:p w14:paraId="384A5301">
      <w:pPr>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本授权书于</w:t>
      </w:r>
      <w:r>
        <w:rPr>
          <w:rFonts w:hint="eastAsia" w:ascii="宋体" w:cs="宋体"/>
          <w:color w:val="auto"/>
          <w:kern w:val="0"/>
          <w:sz w:val="24"/>
          <w:highlight w:val="none"/>
          <w:lang w:eastAsia="zh-CN"/>
        </w:rPr>
        <w:t>202</w:t>
      </w:r>
      <w:r>
        <w:rPr>
          <w:rFonts w:hint="eastAsia" w:ascii="宋体" w:cs="宋体"/>
          <w:color w:val="auto"/>
          <w:kern w:val="0"/>
          <w:sz w:val="24"/>
          <w:highlight w:val="none"/>
          <w:lang w:val="en-US" w:eastAsia="zh-CN"/>
        </w:rPr>
        <w:t>6</w:t>
      </w:r>
      <w:r>
        <w:rPr>
          <w:rFonts w:hint="eastAsia" w:ascii="宋体" w:cs="宋体"/>
          <w:color w:val="auto"/>
          <w:kern w:val="0"/>
          <w:sz w:val="24"/>
          <w:highlight w:val="none"/>
          <w:lang w:val="zh-CN"/>
        </w:rPr>
        <w:t>年</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日签字生效</w:t>
      </w:r>
      <w:r>
        <w:rPr>
          <w:rFonts w:ascii="宋体" w:cs="宋体"/>
          <w:color w:val="auto"/>
          <w:kern w:val="0"/>
          <w:sz w:val="24"/>
          <w:highlight w:val="none"/>
          <w:lang w:val="zh-CN"/>
        </w:rPr>
        <w:t>,</w:t>
      </w:r>
      <w:r>
        <w:rPr>
          <w:rFonts w:hint="eastAsia" w:ascii="宋体" w:cs="宋体"/>
          <w:color w:val="auto"/>
          <w:kern w:val="0"/>
          <w:sz w:val="24"/>
          <w:highlight w:val="none"/>
          <w:lang w:val="zh-CN"/>
        </w:rPr>
        <w:t>特此声明。</w:t>
      </w:r>
    </w:p>
    <w:p w14:paraId="1CA1C927">
      <w:pPr>
        <w:autoSpaceDE w:val="0"/>
        <w:autoSpaceDN w:val="0"/>
        <w:adjustRightInd w:val="0"/>
        <w:spacing w:line="360" w:lineRule="auto"/>
        <w:jc w:val="left"/>
        <w:rPr>
          <w:rFonts w:ascii="宋体" w:cs="宋体"/>
          <w:color w:val="auto"/>
          <w:kern w:val="0"/>
          <w:sz w:val="24"/>
          <w:highlight w:val="none"/>
          <w:lang w:val="zh-CN"/>
        </w:rPr>
      </w:pPr>
    </w:p>
    <w:p w14:paraId="1E3BD9A9">
      <w:pPr>
        <w:autoSpaceDE w:val="0"/>
        <w:autoSpaceDN w:val="0"/>
        <w:adjustRightInd w:val="0"/>
        <w:spacing w:line="360" w:lineRule="auto"/>
        <w:jc w:val="left"/>
        <w:rPr>
          <w:rFonts w:hint="eastAsia" w:ascii="宋体" w:cs="宋体"/>
          <w:color w:val="auto"/>
          <w:kern w:val="0"/>
          <w:sz w:val="24"/>
          <w:highlight w:val="none"/>
          <w:lang w:val="zh-CN"/>
        </w:rPr>
      </w:pPr>
      <w:r>
        <w:rPr>
          <w:rFonts w:hint="eastAsia" w:ascii="宋体" w:cs="宋体"/>
          <w:color w:val="auto"/>
          <w:kern w:val="0"/>
          <w:sz w:val="24"/>
          <w:highlight w:val="none"/>
          <w:lang w:val="zh-CN"/>
        </w:rPr>
        <w:t>后附被授权委托人身份证。</w:t>
      </w:r>
    </w:p>
    <w:p w14:paraId="70CB6011">
      <w:pPr>
        <w:pStyle w:val="9"/>
        <w:rPr>
          <w:color w:val="auto"/>
          <w:highlight w:val="none"/>
          <w:lang w:val="zh-CN"/>
        </w:rPr>
      </w:pPr>
    </w:p>
    <w:p w14:paraId="3DF60111">
      <w:pPr>
        <w:pStyle w:val="9"/>
        <w:rPr>
          <w:color w:val="auto"/>
          <w:highlight w:val="none"/>
          <w:lang w:val="zh-CN"/>
        </w:rPr>
      </w:pPr>
    </w:p>
    <w:p w14:paraId="55AA6FEF">
      <w:pPr>
        <w:autoSpaceDE w:val="0"/>
        <w:autoSpaceDN w:val="0"/>
        <w:adjustRightInd w:val="0"/>
        <w:spacing w:line="360" w:lineRule="auto"/>
        <w:jc w:val="left"/>
        <w:rPr>
          <w:rFonts w:ascii="宋体" w:cs="宋体"/>
          <w:color w:val="auto"/>
          <w:kern w:val="0"/>
          <w:sz w:val="24"/>
          <w:highlight w:val="none"/>
          <w:lang w:val="zh-CN"/>
        </w:rPr>
      </w:pPr>
    </w:p>
    <w:p w14:paraId="7ADF5894">
      <w:pPr>
        <w:autoSpaceDE w:val="0"/>
        <w:autoSpaceDN w:val="0"/>
        <w:adjustRightInd w:val="0"/>
        <w:spacing w:line="360" w:lineRule="auto"/>
        <w:jc w:val="left"/>
        <w:rPr>
          <w:color w:val="auto"/>
          <w:kern w:val="0"/>
          <w:sz w:val="24"/>
          <w:highlight w:val="none"/>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681BF52D">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4308DCE5">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w:t>
      </w:r>
      <w:r>
        <w:rPr>
          <w:rFonts w:hint="eastAsia" w:ascii="宋体" w:cs="宋体"/>
          <w:color w:val="auto"/>
          <w:kern w:val="0"/>
          <w:sz w:val="24"/>
          <w:highlight w:val="non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141EC39B">
      <w:pPr>
        <w:tabs>
          <w:tab w:val="left" w:pos="5580"/>
        </w:tabs>
        <w:autoSpaceDE w:val="0"/>
        <w:autoSpaceDN w:val="0"/>
        <w:adjustRightInd w:val="0"/>
        <w:spacing w:line="360" w:lineRule="auto"/>
        <w:jc w:val="left"/>
        <w:rPr>
          <w:color w:val="auto"/>
          <w:kern w:val="0"/>
          <w:sz w:val="24"/>
          <w:highlight w:val="none"/>
        </w:rPr>
      </w:pPr>
    </w:p>
    <w:p w14:paraId="4B7FA1FB">
      <w:pPr>
        <w:tabs>
          <w:tab w:val="left" w:pos="5580"/>
        </w:tabs>
        <w:autoSpaceDE w:val="0"/>
        <w:autoSpaceDN w:val="0"/>
        <w:adjustRightInd w:val="0"/>
        <w:spacing w:line="360" w:lineRule="auto"/>
        <w:jc w:val="left"/>
        <w:rPr>
          <w:color w:val="auto"/>
          <w:kern w:val="0"/>
          <w:sz w:val="24"/>
          <w:highlight w:val="none"/>
          <w:u w:val="single"/>
        </w:rPr>
      </w:pPr>
      <w:r>
        <w:rPr>
          <w:rFonts w:hint="eastAsia"/>
          <w:color w:val="auto"/>
          <w:kern w:val="0"/>
          <w:sz w:val="24"/>
          <w:highlight w:val="none"/>
        </w:rPr>
        <w:t>被授权人签字：</w:t>
      </w:r>
      <w:r>
        <w:rPr>
          <w:rFonts w:hint="eastAsia"/>
          <w:color w:val="auto"/>
          <w:kern w:val="0"/>
          <w:sz w:val="24"/>
          <w:highlight w:val="none"/>
          <w:u w:val="single"/>
        </w:rPr>
        <w:t xml:space="preserve"> </w:t>
      </w:r>
      <w:r>
        <w:rPr>
          <w:color w:val="auto"/>
          <w:kern w:val="0"/>
          <w:sz w:val="24"/>
          <w:highlight w:val="none"/>
          <w:u w:val="single"/>
        </w:rPr>
        <w:t xml:space="preserve">  </w:t>
      </w:r>
      <w:r>
        <w:rPr>
          <w:rFonts w:hint="eastAsia"/>
          <w:color w:val="auto"/>
          <w:kern w:val="0"/>
          <w:sz w:val="24"/>
          <w:highlight w:val="none"/>
          <w:u w:val="single"/>
        </w:rPr>
        <w:t xml:space="preserve">         （</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01BAF3A7">
      <w:pPr>
        <w:tabs>
          <w:tab w:val="left" w:pos="5580"/>
        </w:tabs>
        <w:autoSpaceDE w:val="0"/>
        <w:autoSpaceDN w:val="0"/>
        <w:adjustRightInd w:val="0"/>
        <w:spacing w:line="480" w:lineRule="auto"/>
        <w:ind w:firstLine="480"/>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14:paraId="07CDBC31">
      <w:pPr>
        <w:autoSpaceDE w:val="0"/>
        <w:autoSpaceDN w:val="0"/>
        <w:adjustRightInd w:val="0"/>
        <w:spacing w:line="48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14:paraId="792C06F9">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14:paraId="481F97B7">
      <w:pPr>
        <w:keepNext/>
        <w:keepLines/>
        <w:autoSpaceDE w:val="0"/>
        <w:autoSpaceDN w:val="0"/>
        <w:adjustRightInd w:val="0"/>
        <w:spacing w:before="260" w:after="260" w:line="416" w:lineRule="atLeast"/>
        <w:jc w:val="left"/>
        <w:rPr>
          <w:rFonts w:hint="eastAsia" w:ascii="宋体" w:cs="宋体"/>
          <w:color w:val="auto"/>
          <w:kern w:val="0"/>
          <w:sz w:val="24"/>
          <w:highlight w:val="none"/>
          <w:lang w:val="zh-CN"/>
        </w:rPr>
      </w:pPr>
    </w:p>
    <w:p w14:paraId="45BA009F">
      <w:pPr>
        <w:keepNext/>
        <w:keepLines/>
        <w:autoSpaceDE w:val="0"/>
        <w:autoSpaceDN w:val="0"/>
        <w:adjustRightInd w:val="0"/>
        <w:spacing w:before="260" w:after="260" w:line="416" w:lineRule="atLeast"/>
        <w:jc w:val="left"/>
        <w:rPr>
          <w:rFonts w:hint="eastAsia" w:ascii="宋体" w:cs="宋体"/>
          <w:color w:val="auto"/>
          <w:kern w:val="0"/>
          <w:sz w:val="24"/>
          <w:highlight w:val="none"/>
          <w:lang w:val="zh-CN"/>
        </w:rPr>
      </w:pPr>
    </w:p>
    <w:p w14:paraId="58150AAC">
      <w:pPr>
        <w:keepNext/>
        <w:keepLines/>
        <w:autoSpaceDE w:val="0"/>
        <w:autoSpaceDN w:val="0"/>
        <w:adjustRightInd w:val="0"/>
        <w:spacing w:before="260" w:after="260" w:line="416" w:lineRule="atLeast"/>
        <w:jc w:val="left"/>
        <w:rPr>
          <w:rFonts w:ascii="宋体" w:cs="宋体"/>
          <w:color w:val="auto"/>
          <w:kern w:val="0"/>
          <w:sz w:val="24"/>
          <w:highlight w:val="none"/>
          <w:lang w:val="zh-CN"/>
        </w:rPr>
      </w:pPr>
      <w:r>
        <w:rPr>
          <w:rFonts w:hint="eastAsia" w:ascii="宋体" w:cs="宋体"/>
          <w:color w:val="auto"/>
          <w:kern w:val="0"/>
          <w:sz w:val="24"/>
          <w:highlight w:val="none"/>
          <w:lang w:val="zh-CN"/>
        </w:rPr>
        <w:t>附件</w:t>
      </w:r>
      <w:r>
        <w:rPr>
          <w:rFonts w:hint="eastAsia" w:ascii="宋体" w:cs="宋体"/>
          <w:color w:val="auto"/>
          <w:kern w:val="0"/>
          <w:sz w:val="24"/>
          <w:highlight w:val="none"/>
        </w:rPr>
        <w:t>4</w:t>
      </w:r>
    </w:p>
    <w:p w14:paraId="13E1C275">
      <w:pPr>
        <w:keepNext/>
        <w:keepLines/>
        <w:autoSpaceDE w:val="0"/>
        <w:autoSpaceDN w:val="0"/>
        <w:adjustRightInd w:val="0"/>
        <w:spacing w:before="260" w:after="260" w:line="416" w:lineRule="atLeas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响应报价一览表</w:t>
      </w:r>
    </w:p>
    <w:p w14:paraId="0DFBE91C">
      <w:pPr>
        <w:autoSpaceDE w:val="0"/>
        <w:autoSpaceDN w:val="0"/>
        <w:adjustRightInd w:val="0"/>
        <w:jc w:val="center"/>
        <w:rPr>
          <w:rFonts w:ascii="宋体" w:hAnsi="Arial" w:cs="宋体"/>
          <w:color w:val="auto"/>
          <w:kern w:val="0"/>
          <w:sz w:val="24"/>
          <w:highlight w:val="none"/>
          <w:lang w:val="zh-CN"/>
        </w:rPr>
      </w:pPr>
    </w:p>
    <w:p w14:paraId="45524C3C">
      <w:pPr>
        <w:spacing w:line="360" w:lineRule="exact"/>
        <w:rPr>
          <w:rFonts w:hint="eastAsia" w:ascii="仿宋_GB2312" w:hAnsi="宋体" w:eastAsia="仿宋_GB2312"/>
          <w:color w:val="auto"/>
          <w:sz w:val="28"/>
          <w:szCs w:val="28"/>
          <w:highlight w:val="none"/>
        </w:rPr>
      </w:pPr>
      <w:r>
        <w:rPr>
          <w:rFonts w:hint="eastAsia" w:ascii="仿宋_GB2312" w:hAnsi="宋体" w:eastAsia="仿宋_GB2312"/>
          <w:color w:val="auto"/>
          <w:sz w:val="24"/>
          <w:highlight w:val="none"/>
        </w:rPr>
        <w:t xml:space="preserve">  </w:t>
      </w:r>
      <w:r>
        <w:rPr>
          <w:rFonts w:hint="eastAsia" w:asciiTheme="minorEastAsia" w:hAnsiTheme="minorEastAsia" w:eastAsiaTheme="minorEastAsia" w:cstheme="minorEastAsia"/>
          <w:sz w:val="24"/>
          <w:szCs w:val="24"/>
        </w:rPr>
        <w:t>项目名称：</w:t>
      </w:r>
      <w:r>
        <w:rPr>
          <w:rFonts w:hint="eastAsia" w:ascii="仿宋_GB2312" w:hAnsi="宋体" w:eastAsia="仿宋_GB2312"/>
          <w:color w:val="auto"/>
          <w:sz w:val="32"/>
          <w:szCs w:val="32"/>
          <w:highlight w:val="none"/>
        </w:rPr>
        <w:t xml:space="preserve">  </w:t>
      </w:r>
    </w:p>
    <w:tbl>
      <w:tblPr>
        <w:tblStyle w:val="22"/>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14:paraId="4216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732" w:type="dxa"/>
            <w:vAlign w:val="center"/>
          </w:tcPr>
          <w:p w14:paraId="67DA28B2">
            <w:pPr>
              <w:shd w:val="clear" w:color="auto" w:fill="FFFFFF"/>
              <w:tabs>
                <w:tab w:val="left" w:pos="3780"/>
              </w:tabs>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4778" w:type="dxa"/>
            <w:vAlign w:val="center"/>
          </w:tcPr>
          <w:p w14:paraId="7C6FE875">
            <w:pPr>
              <w:shd w:val="clear" w:color="auto" w:fill="FFFFFF"/>
              <w:tabs>
                <w:tab w:val="left" w:pos="3780"/>
              </w:tabs>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内容</w:t>
            </w:r>
          </w:p>
        </w:tc>
      </w:tr>
      <w:tr w14:paraId="59FE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vAlign w:val="center"/>
          </w:tcPr>
          <w:p w14:paraId="62875377">
            <w:pPr>
              <w:shd w:val="clear" w:color="auto" w:fill="FFFFFF"/>
              <w:tabs>
                <w:tab w:val="left" w:pos="3780"/>
              </w:tabs>
              <w:spacing w:line="36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折扣率</w:t>
            </w:r>
            <w:r>
              <w:rPr>
                <w:rFonts w:hint="eastAsia" w:asciiTheme="minorEastAsia" w:hAnsiTheme="minorEastAsia" w:cstheme="minorEastAsia"/>
                <w:sz w:val="24"/>
                <w:szCs w:val="24"/>
                <w:lang w:val="en-US" w:eastAsia="zh-CN"/>
              </w:rPr>
              <w:t>（%）</w:t>
            </w:r>
          </w:p>
        </w:tc>
        <w:tc>
          <w:tcPr>
            <w:tcW w:w="4778" w:type="dxa"/>
            <w:vAlign w:val="center"/>
          </w:tcPr>
          <w:p w14:paraId="51192E60">
            <w:pPr>
              <w:shd w:val="clear" w:color="auto" w:fill="FFFFFF"/>
              <w:spacing w:line="36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p>
        </w:tc>
      </w:tr>
      <w:tr w14:paraId="38E7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732" w:type="dxa"/>
            <w:vAlign w:val="center"/>
          </w:tcPr>
          <w:p w14:paraId="08314DD2">
            <w:pPr>
              <w:shd w:val="clear" w:color="auto" w:fill="FFFFFF"/>
              <w:tabs>
                <w:tab w:val="left" w:pos="3780"/>
              </w:tabs>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合同履约期限</w:t>
            </w:r>
          </w:p>
        </w:tc>
        <w:tc>
          <w:tcPr>
            <w:tcW w:w="4778" w:type="dxa"/>
            <w:vAlign w:val="center"/>
          </w:tcPr>
          <w:p w14:paraId="21E083D1">
            <w:pPr>
              <w:shd w:val="clear" w:color="auto" w:fill="FFFFFF"/>
              <w:spacing w:line="360" w:lineRule="exact"/>
              <w:rPr>
                <w:rFonts w:hint="eastAsia" w:asciiTheme="minorEastAsia" w:hAnsiTheme="minorEastAsia" w:eastAsiaTheme="minorEastAsia" w:cstheme="minorEastAsia"/>
                <w:sz w:val="24"/>
                <w:szCs w:val="24"/>
              </w:rPr>
            </w:pPr>
          </w:p>
        </w:tc>
      </w:tr>
      <w:tr w14:paraId="089E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732" w:type="dxa"/>
            <w:vAlign w:val="center"/>
          </w:tcPr>
          <w:p w14:paraId="4FD9EF88">
            <w:pPr>
              <w:shd w:val="clear" w:color="auto" w:fill="FFFFFF"/>
              <w:tabs>
                <w:tab w:val="left" w:pos="3780"/>
              </w:tabs>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质量标准</w:t>
            </w:r>
          </w:p>
        </w:tc>
        <w:tc>
          <w:tcPr>
            <w:tcW w:w="4778" w:type="dxa"/>
            <w:vAlign w:val="center"/>
          </w:tcPr>
          <w:p w14:paraId="75B8ED98">
            <w:pPr>
              <w:shd w:val="clear" w:color="auto" w:fill="FFFFFF"/>
              <w:spacing w:line="360" w:lineRule="exact"/>
              <w:rPr>
                <w:rFonts w:hint="eastAsia" w:asciiTheme="minorEastAsia" w:hAnsiTheme="minorEastAsia" w:eastAsiaTheme="minorEastAsia" w:cstheme="minorEastAsia"/>
                <w:sz w:val="24"/>
                <w:szCs w:val="24"/>
              </w:rPr>
            </w:pPr>
          </w:p>
        </w:tc>
      </w:tr>
      <w:tr w14:paraId="69DE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14:paraId="2A4245CD">
            <w:pPr>
              <w:shd w:val="clear" w:color="auto" w:fill="FFFFFF"/>
              <w:tabs>
                <w:tab w:val="left" w:pos="3780"/>
              </w:tabs>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bl>
    <w:p w14:paraId="3076E79C">
      <w:pPr>
        <w:spacing w:line="360" w:lineRule="exact"/>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w:t>
      </w:r>
    </w:p>
    <w:p w14:paraId="445DA5E1">
      <w:pPr>
        <w:tabs>
          <w:tab w:val="left" w:pos="5580"/>
        </w:tabs>
        <w:autoSpaceDE w:val="0"/>
        <w:autoSpaceDN w:val="0"/>
        <w:adjustRightInd w:val="0"/>
        <w:ind w:left="538" w:leftChars="132" w:hanging="261" w:hangingChars="109"/>
        <w:rPr>
          <w:rFonts w:hint="eastAsia" w:ascii="宋体" w:cs="宋体"/>
          <w:color w:val="auto"/>
          <w:kern w:val="0"/>
          <w:sz w:val="24"/>
          <w:highlight w:val="none"/>
          <w:lang w:val="zh-CN"/>
        </w:rPr>
      </w:pPr>
    </w:p>
    <w:p w14:paraId="620E2FC8">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1" w:leftChars="0" w:hanging="261" w:hangingChars="109"/>
        <w:textAlignment w:val="auto"/>
        <w:rPr>
          <w:rFonts w:hint="eastAsia" w:ascii="宋体" w:hAnsi="宋体" w:eastAsia="宋体" w:cs="宋体"/>
          <w:color w:val="auto"/>
          <w:sz w:val="24"/>
          <w:szCs w:val="24"/>
          <w:highlight w:val="none"/>
          <w:lang w:val="zh-CN"/>
        </w:rPr>
      </w:pPr>
      <w:r>
        <w:rPr>
          <w:rFonts w:hint="eastAsia" w:ascii="宋体" w:cs="宋体"/>
          <w:color w:val="auto"/>
          <w:kern w:val="0"/>
          <w:sz w:val="24"/>
          <w:highlight w:val="none"/>
          <w:lang w:val="zh-CN"/>
        </w:rPr>
        <w:t>注：</w:t>
      </w:r>
      <w:r>
        <w:rPr>
          <w:rFonts w:hint="eastAsia" w:ascii="宋体" w:hAnsi="宋体" w:eastAsia="宋体" w:cs="宋体"/>
          <w:color w:val="auto"/>
          <w:sz w:val="24"/>
          <w:szCs w:val="24"/>
          <w:highlight w:val="none"/>
          <w:lang w:val="zh-CN"/>
        </w:rPr>
        <w:t>1、响应报价是供应商为完成本项目、满足采购需求的所有费用。</w:t>
      </w:r>
      <w:r>
        <w:rPr>
          <w:rFonts w:hint="eastAsia" w:ascii="宋体" w:hAnsi="宋体" w:eastAsia="宋体" w:cs="宋体"/>
          <w:color w:val="auto"/>
          <w:sz w:val="24"/>
          <w:szCs w:val="24"/>
          <w:highlight w:val="none"/>
          <w:lang w:val="en-US" w:eastAsia="zh-CN"/>
        </w:rPr>
        <w:t>本次报价为折扣率报价，</w:t>
      </w:r>
      <w:r>
        <w:rPr>
          <w:rFonts w:hint="eastAsia" w:ascii="宋体" w:hAnsi="宋体" w:eastAsia="宋体" w:cs="宋体"/>
          <w:color w:val="auto"/>
          <w:sz w:val="24"/>
          <w:szCs w:val="24"/>
          <w:highlight w:val="none"/>
        </w:rPr>
        <w:t>投标总价均应包括</w:t>
      </w:r>
      <w:r>
        <w:rPr>
          <w:rFonts w:hint="eastAsia" w:ascii="宋体" w:hAnsi="宋体" w:eastAsia="宋体" w:cs="宋体"/>
          <w:color w:val="auto"/>
          <w:sz w:val="24"/>
          <w:szCs w:val="24"/>
          <w:highlight w:val="none"/>
          <w:lang w:eastAsia="zh-CN"/>
        </w:rPr>
        <w:t>成本</w:t>
      </w:r>
      <w:r>
        <w:rPr>
          <w:rFonts w:hint="eastAsia" w:ascii="宋体" w:hAnsi="宋体" w:eastAsia="宋体" w:cs="宋体"/>
          <w:color w:val="auto"/>
          <w:sz w:val="24"/>
          <w:szCs w:val="24"/>
          <w:highlight w:val="none"/>
        </w:rPr>
        <w:t>、包装费、运输、</w:t>
      </w:r>
      <w:r>
        <w:rPr>
          <w:rFonts w:hint="eastAsia" w:ascii="宋体" w:hAnsi="宋体" w:eastAsia="宋体" w:cs="宋体"/>
          <w:color w:val="auto"/>
          <w:sz w:val="24"/>
          <w:szCs w:val="24"/>
          <w:highlight w:val="none"/>
          <w:lang w:eastAsia="zh-CN"/>
        </w:rPr>
        <w:t>养护、施工、</w:t>
      </w:r>
      <w:r>
        <w:rPr>
          <w:rFonts w:hint="eastAsia" w:ascii="宋体" w:hAnsi="宋体" w:eastAsia="宋体" w:cs="宋体"/>
          <w:color w:val="auto"/>
          <w:sz w:val="24"/>
          <w:szCs w:val="24"/>
          <w:highlight w:val="none"/>
        </w:rPr>
        <w:t>安装、调试、培训、技术服务、</w:t>
      </w:r>
      <w:r>
        <w:rPr>
          <w:rFonts w:hint="eastAsia" w:ascii="宋体" w:hAnsi="宋体" w:eastAsia="宋体" w:cs="宋体"/>
          <w:color w:val="auto"/>
          <w:sz w:val="24"/>
          <w:szCs w:val="24"/>
          <w:highlight w:val="none"/>
          <w:lang w:val="en-US" w:eastAsia="zh-CN"/>
        </w:rPr>
        <w:t>检疫</w:t>
      </w:r>
      <w:r>
        <w:rPr>
          <w:rFonts w:hint="eastAsia" w:ascii="宋体" w:hAnsi="宋体" w:eastAsia="宋体" w:cs="宋体"/>
          <w:color w:val="auto"/>
          <w:sz w:val="24"/>
          <w:szCs w:val="24"/>
          <w:highlight w:val="none"/>
        </w:rPr>
        <w:t>、专用工具等费用，以及已支付或将支付的营业税和其他税费等。</w:t>
      </w:r>
    </w:p>
    <w:p w14:paraId="421614EB">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1" w:leftChars="0" w:hanging="261" w:hangingChars="10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2、投标总价为投标人最终报价，包含一切税费及相关费用。与详细报价表中相应包的投标总价一致；</w:t>
      </w:r>
    </w:p>
    <w:p w14:paraId="3D25AC11">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1" w:leftChars="0" w:hanging="261" w:hangingChars="10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3、上述日期均以日历日为单位，包括法定节假日；</w:t>
      </w:r>
    </w:p>
    <w:p w14:paraId="6E0C5451">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1" w:leftChars="0" w:hanging="261" w:hangingChars="109"/>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4、对含糊不清或不确定的报价将视为无效报价。</w:t>
      </w:r>
    </w:p>
    <w:p w14:paraId="0F670E50">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1" w:leftChars="0" w:hanging="261" w:hangingChars="109"/>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 xml:space="preserve">折扣率为 xx.xx%(保留小数点后二位)。如报价下浮 15.34%，则折扣率填写为“84.66%”； </w:t>
      </w:r>
    </w:p>
    <w:p w14:paraId="57B0585C">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3" w:leftChars="0" w:hanging="263" w:hangingChars="109"/>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、如报价下浮 15.34%，折扣率填写为“15.34%”，作为废标处理；</w:t>
      </w:r>
    </w:p>
    <w:p w14:paraId="094908A2">
      <w:pPr>
        <w:keepNext w:val="0"/>
        <w:keepLines w:val="0"/>
        <w:pageBreakBefore w:val="0"/>
        <w:widowControl w:val="0"/>
        <w:tabs>
          <w:tab w:val="left" w:pos="5580"/>
        </w:tabs>
        <w:kinsoku/>
        <w:wordWrap/>
        <w:overflowPunct/>
        <w:topLinePunct w:val="0"/>
        <w:autoSpaceDE w:val="0"/>
        <w:autoSpaceDN w:val="0"/>
        <w:bidi w:val="0"/>
        <w:adjustRightInd w:val="0"/>
        <w:snapToGrid/>
        <w:spacing w:line="240" w:lineRule="auto"/>
        <w:ind w:left="263" w:leftChars="0" w:hanging="263" w:hangingChars="109"/>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 如折扣率为-84.66%都作为废标处理。</w:t>
      </w:r>
    </w:p>
    <w:p w14:paraId="408764A8">
      <w:pPr>
        <w:keepNext w:val="0"/>
        <w:keepLines w:val="0"/>
        <w:pageBreakBefore w:val="0"/>
        <w:widowControl w:val="0"/>
        <w:kinsoku/>
        <w:wordWrap/>
        <w:overflowPunct/>
        <w:topLinePunct w:val="0"/>
        <w:bidi w:val="0"/>
        <w:snapToGrid/>
        <w:spacing w:line="240" w:lineRule="auto"/>
        <w:ind w:left="0" w:leftChars="0"/>
        <w:textAlignment w:val="auto"/>
        <w:rPr>
          <w:b/>
          <w:bCs/>
          <w:sz w:val="24"/>
        </w:rPr>
        <w:sectPr>
          <w:headerReference r:id="rId12" w:type="default"/>
          <w:footerReference r:id="rId13" w:type="default"/>
          <w:pgSz w:w="11906" w:h="16838"/>
          <w:pgMar w:top="1191" w:right="1418" w:bottom="1191" w:left="1418" w:header="737" w:footer="737" w:gutter="0"/>
          <w:pgNumType w:fmt="decimal"/>
          <w:cols w:space="720" w:num="1"/>
          <w:docGrid w:linePitch="312" w:charSpace="0"/>
        </w:sectPr>
      </w:pPr>
    </w:p>
    <w:p w14:paraId="37CF589B">
      <w:pPr>
        <w:pStyle w:val="13"/>
        <w:snapToGrid w:val="0"/>
        <w:ind w:firstLine="960" w:firstLineChars="400"/>
        <w:rPr>
          <w:color w:val="auto"/>
          <w:sz w:val="24"/>
          <w:highlight w:val="none"/>
          <w:lang w:val="zh-CN"/>
        </w:rPr>
      </w:pPr>
    </w:p>
    <w:p w14:paraId="3BE98A40">
      <w:pPr>
        <w:keepNext/>
        <w:keepLines/>
        <w:autoSpaceDE w:val="0"/>
        <w:autoSpaceDN w:val="0"/>
        <w:adjustRightInd w:val="0"/>
        <w:spacing w:before="260" w:after="260" w:line="416" w:lineRule="atLeast"/>
        <w:jc w:val="center"/>
        <w:rPr>
          <w:rFonts w:hint="eastAsia" w:ascii="宋体" w:cs="宋体"/>
          <w:color w:val="auto"/>
          <w:kern w:val="0"/>
          <w:sz w:val="24"/>
          <w:highlight w:val="none"/>
          <w:lang w:val="zh-CN"/>
        </w:rPr>
      </w:pPr>
      <w:r>
        <w:rPr>
          <w:rFonts w:hint="eastAsia" w:ascii="宋体" w:hAnsi="Arial" w:cs="宋体"/>
          <w:b/>
          <w:bCs/>
          <w:color w:val="auto"/>
          <w:kern w:val="0"/>
          <w:sz w:val="28"/>
          <w:szCs w:val="28"/>
          <w:highlight w:val="none"/>
          <w:lang w:val="zh-CN"/>
        </w:rPr>
        <w:t>投标报价明细表（</w:t>
      </w:r>
      <w:r>
        <w:rPr>
          <w:rFonts w:hint="eastAsia" w:ascii="宋体" w:hAnsi="Arial" w:cs="宋体"/>
          <w:b/>
          <w:bCs/>
          <w:color w:val="auto"/>
          <w:kern w:val="0"/>
          <w:sz w:val="28"/>
          <w:szCs w:val="28"/>
          <w:highlight w:val="none"/>
          <w:lang w:val="en-US" w:eastAsia="zh-CN"/>
        </w:rPr>
        <w:t>格式自拟</w:t>
      </w:r>
      <w:r>
        <w:rPr>
          <w:rFonts w:hint="eastAsia" w:ascii="宋体" w:hAnsi="Arial" w:cs="宋体"/>
          <w:b/>
          <w:bCs/>
          <w:color w:val="auto"/>
          <w:kern w:val="0"/>
          <w:sz w:val="28"/>
          <w:szCs w:val="28"/>
          <w:highlight w:val="none"/>
          <w:lang w:val="zh-CN"/>
        </w:rPr>
        <w:t>）</w:t>
      </w:r>
    </w:p>
    <w:p w14:paraId="1BC7BB73">
      <w:pPr>
        <w:rPr>
          <w:rFonts w:hint="eastAsia" w:ascii="宋体" w:hAnsi="宋体" w:eastAsia="宋体" w:cs="宋体"/>
          <w:color w:val="auto"/>
          <w:sz w:val="24"/>
          <w:szCs w:val="24"/>
          <w:highlight w:val="none"/>
        </w:rPr>
      </w:pPr>
    </w:p>
    <w:p w14:paraId="00D03C27">
      <w:pPr>
        <w:pStyle w:val="10"/>
        <w:rPr>
          <w:rFonts w:hint="eastAsia" w:ascii="宋体" w:cs="宋体"/>
          <w:color w:val="auto"/>
          <w:kern w:val="0"/>
          <w:sz w:val="24"/>
          <w:highlight w:val="none"/>
          <w:lang w:val="zh-CN"/>
        </w:rPr>
      </w:pPr>
    </w:p>
    <w:p w14:paraId="0F14FFB4">
      <w:pPr>
        <w:rPr>
          <w:rFonts w:hint="eastAsia"/>
          <w:color w:val="auto"/>
          <w:highlight w:val="none"/>
          <w:lang w:val="zh-CN"/>
        </w:rPr>
      </w:pPr>
    </w:p>
    <w:p w14:paraId="5A264CD3">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715A4989">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378E6026">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6B4035FF">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14:paraId="50912D15">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14:paraId="372A0E0B">
      <w:pPr>
        <w:pStyle w:val="18"/>
        <w:keepNext w:val="0"/>
        <w:keepLines w:val="0"/>
        <w:pageBreakBefore w:val="0"/>
        <w:kinsoku/>
        <w:wordWrap w:val="0"/>
        <w:overflowPunct/>
        <w:topLinePunct w:val="0"/>
        <w:autoSpaceDE/>
        <w:autoSpaceDN/>
        <w:bidi w:val="0"/>
        <w:adjustRightInd/>
        <w:snapToGrid/>
        <w:spacing w:before="0" w:beforeAutospacing="0" w:after="0" w:afterAutospacing="0" w:line="240" w:lineRule="auto"/>
        <w:jc w:val="both"/>
        <w:textAlignment w:val="auto"/>
        <w:rPr>
          <w:rFonts w:hint="eastAsia" w:hAnsi="Arial"/>
          <w:b/>
          <w:bCs/>
          <w:color w:val="auto"/>
          <w:sz w:val="28"/>
          <w:szCs w:val="28"/>
          <w:highlight w:val="none"/>
          <w:lang w:val="zh-CN"/>
        </w:rPr>
      </w:pPr>
      <w:r>
        <w:rPr>
          <w:rFonts w:hint="eastAsia" w:hAnsi="宋体" w:cs="宋体"/>
          <w:color w:val="auto"/>
          <w:sz w:val="24"/>
          <w:highlight w:val="none"/>
        </w:rPr>
        <w:br w:type="page"/>
      </w:r>
      <w:r>
        <w:rPr>
          <w:rFonts w:hint="eastAsia" w:ascii="Times New Roman" w:hAnsi="Times New Roman"/>
          <w:bCs/>
          <w:color w:val="auto"/>
          <w:sz w:val="24"/>
          <w:highlight w:val="none"/>
          <w:lang w:val="zh-CN"/>
        </w:rPr>
        <w:t>附件</w:t>
      </w:r>
      <w:r>
        <w:rPr>
          <w:rFonts w:hint="eastAsia" w:ascii="Times New Roman" w:hAnsi="Times New Roman"/>
          <w:bCs/>
          <w:color w:val="auto"/>
          <w:sz w:val="24"/>
          <w:highlight w:val="none"/>
        </w:rPr>
        <w:t>5</w:t>
      </w:r>
      <w:r>
        <w:rPr>
          <w:rFonts w:hint="eastAsia" w:ascii="Times New Roman" w:hAnsi="Times New Roman"/>
          <w:bCs/>
          <w:color w:val="auto"/>
          <w:sz w:val="24"/>
          <w:highlight w:val="none"/>
          <w:lang w:val="en-US" w:eastAsia="zh-CN"/>
        </w:rPr>
        <w:t xml:space="preserve">             </w:t>
      </w:r>
      <w:r>
        <w:rPr>
          <w:rFonts w:hint="eastAsia" w:hAnsi="Arial"/>
          <w:b/>
          <w:bCs/>
          <w:color w:val="auto"/>
          <w:sz w:val="28"/>
          <w:szCs w:val="28"/>
          <w:highlight w:val="none"/>
          <w:lang w:val="zh-CN"/>
        </w:rPr>
        <w:t>资格证明文件（必须提供）</w:t>
      </w:r>
    </w:p>
    <w:tbl>
      <w:tblPr>
        <w:tblStyle w:val="22"/>
        <w:tblpPr w:leftFromText="180" w:rightFromText="180" w:vertAnchor="text" w:horzAnchor="page" w:tblpX="1013" w:tblpY="306"/>
        <w:tblOverlap w:val="never"/>
        <w:tblW w:w="10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23"/>
        <w:gridCol w:w="2668"/>
        <w:gridCol w:w="5878"/>
      </w:tblGrid>
      <w:tr w14:paraId="66A9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40" w:type="dxa"/>
            <w:noWrap w:val="0"/>
            <w:vAlign w:val="center"/>
          </w:tcPr>
          <w:p w14:paraId="5E924490">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序号</w:t>
            </w:r>
          </w:p>
        </w:tc>
        <w:tc>
          <w:tcPr>
            <w:tcW w:w="3891" w:type="dxa"/>
            <w:gridSpan w:val="2"/>
            <w:noWrap w:val="0"/>
            <w:vAlign w:val="center"/>
          </w:tcPr>
          <w:p w14:paraId="7D76A84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检查因素</w:t>
            </w:r>
          </w:p>
        </w:tc>
        <w:tc>
          <w:tcPr>
            <w:tcW w:w="5878" w:type="dxa"/>
            <w:noWrap w:val="0"/>
            <w:vAlign w:val="center"/>
          </w:tcPr>
          <w:p w14:paraId="0AFF609F">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kern w:val="0"/>
                <w:sz w:val="24"/>
                <w:szCs w:val="24"/>
                <w:highlight w:val="none"/>
              </w:rPr>
            </w:pPr>
            <w:r>
              <w:rPr>
                <w:rFonts w:hint="eastAsia" w:ascii="宋体" w:hAnsi="宋体" w:cs="宋体"/>
                <w:color w:val="auto"/>
                <w:spacing w:val="-20"/>
                <w:kern w:val="0"/>
                <w:sz w:val="24"/>
                <w:szCs w:val="24"/>
                <w:highlight w:val="none"/>
              </w:rPr>
              <w:t>检查内容</w:t>
            </w:r>
          </w:p>
        </w:tc>
      </w:tr>
      <w:tr w14:paraId="71AF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40" w:type="dxa"/>
            <w:vMerge w:val="restart"/>
            <w:noWrap w:val="0"/>
            <w:vAlign w:val="center"/>
          </w:tcPr>
          <w:p w14:paraId="0D5005D9">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w:t>
            </w:r>
          </w:p>
        </w:tc>
        <w:tc>
          <w:tcPr>
            <w:tcW w:w="1223" w:type="dxa"/>
            <w:vMerge w:val="restart"/>
            <w:noWrap w:val="0"/>
            <w:vAlign w:val="center"/>
          </w:tcPr>
          <w:p w14:paraId="18FF89F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lang w:val="zh-CN"/>
              </w:rPr>
            </w:pPr>
            <w:r>
              <w:rPr>
                <w:rFonts w:hint="eastAsia" w:ascii="宋体" w:hAnsi="宋体" w:eastAsia="宋体" w:cs="宋体"/>
                <w:color w:val="auto"/>
                <w:kern w:val="2"/>
                <w:sz w:val="24"/>
                <w:szCs w:val="20"/>
                <w:highlight w:val="none"/>
                <w:lang w:val="zh-CN" w:eastAsia="zh-CN" w:bidi="ar-SA"/>
              </w:rPr>
              <w:t>《中华人民共和国政府采购法》第二十二条规定</w:t>
            </w:r>
          </w:p>
        </w:tc>
        <w:tc>
          <w:tcPr>
            <w:tcW w:w="2668" w:type="dxa"/>
            <w:noWrap w:val="0"/>
            <w:vAlign w:val="center"/>
          </w:tcPr>
          <w:p w14:paraId="78B6A87D">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cs="宋体"/>
                <w:color w:val="auto"/>
                <w:spacing w:val="-20"/>
                <w:sz w:val="24"/>
                <w:szCs w:val="24"/>
                <w:highlight w:val="none"/>
              </w:rPr>
            </w:pPr>
            <w:r>
              <w:rPr>
                <w:rFonts w:hint="eastAsia" w:ascii="宋体" w:hAnsi="宋体" w:eastAsia="宋体" w:cs="宋体"/>
                <w:color w:val="auto"/>
                <w:kern w:val="2"/>
                <w:sz w:val="24"/>
                <w:szCs w:val="20"/>
                <w:highlight w:val="none"/>
                <w:lang w:val="en-US" w:eastAsia="zh-CN" w:bidi="ar-SA"/>
              </w:rPr>
              <w:t>具有独立承担民事责任的能力</w:t>
            </w:r>
          </w:p>
        </w:tc>
        <w:tc>
          <w:tcPr>
            <w:tcW w:w="5878" w:type="dxa"/>
            <w:noWrap w:val="0"/>
            <w:vAlign w:val="center"/>
          </w:tcPr>
          <w:p w14:paraId="73E27200">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default" w:ascii="宋体" w:hAnsi="宋体" w:eastAsia="宋体" w:cs="宋体"/>
                <w:color w:val="auto"/>
                <w:spacing w:val="-20"/>
                <w:sz w:val="24"/>
                <w:szCs w:val="24"/>
                <w:highlight w:val="none"/>
                <w:lang w:val="en-US" w:eastAsia="zh-CN"/>
              </w:rPr>
            </w:pPr>
            <w:r>
              <w:rPr>
                <w:rFonts w:hint="eastAsia" w:ascii="宋体" w:hAnsi="宋体" w:eastAsia="宋体" w:cs="宋体"/>
                <w:color w:val="auto"/>
                <w:kern w:val="2"/>
                <w:sz w:val="24"/>
                <w:szCs w:val="20"/>
                <w:highlight w:val="none"/>
                <w:lang w:val="en-US" w:eastAsia="zh-CN" w:bidi="ar-SA"/>
              </w:rPr>
              <w:t>提供有效的营业执照</w:t>
            </w:r>
          </w:p>
        </w:tc>
      </w:tr>
      <w:tr w14:paraId="61C8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2" w:hRule="atLeast"/>
        </w:trPr>
        <w:tc>
          <w:tcPr>
            <w:tcW w:w="740" w:type="dxa"/>
            <w:vMerge w:val="continue"/>
            <w:noWrap w:val="0"/>
            <w:vAlign w:val="center"/>
          </w:tcPr>
          <w:p w14:paraId="47A90A8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223" w:type="dxa"/>
            <w:vMerge w:val="continue"/>
            <w:noWrap w:val="0"/>
            <w:vAlign w:val="center"/>
          </w:tcPr>
          <w:p w14:paraId="3BE77CB7">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lang w:val="zh-CN"/>
              </w:rPr>
            </w:pPr>
          </w:p>
        </w:tc>
        <w:tc>
          <w:tcPr>
            <w:tcW w:w="2668" w:type="dxa"/>
            <w:noWrap w:val="0"/>
            <w:vAlign w:val="center"/>
          </w:tcPr>
          <w:p w14:paraId="19C1C4F5">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cs="宋体"/>
                <w:color w:val="auto"/>
                <w:spacing w:val="-20"/>
                <w:sz w:val="24"/>
                <w:szCs w:val="24"/>
                <w:highlight w:val="none"/>
                <w:lang w:val="zh-CN"/>
              </w:rPr>
            </w:pPr>
            <w:r>
              <w:rPr>
                <w:rFonts w:hint="eastAsia" w:ascii="宋体" w:hAnsi="宋体" w:eastAsia="宋体" w:cs="宋体"/>
                <w:color w:val="auto"/>
                <w:kern w:val="2"/>
                <w:sz w:val="24"/>
                <w:szCs w:val="20"/>
                <w:highlight w:val="none"/>
                <w:lang w:val="zh-CN" w:eastAsia="zh-CN" w:bidi="ar-SA"/>
              </w:rPr>
              <w:t>具有良好的商业信誉和健全的财务会计制度</w:t>
            </w:r>
          </w:p>
        </w:tc>
        <w:tc>
          <w:tcPr>
            <w:tcW w:w="5878" w:type="dxa"/>
            <w:noWrap w:val="0"/>
            <w:vAlign w:val="center"/>
          </w:tcPr>
          <w:p w14:paraId="1F88A6A2">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spacing w:val="-20"/>
                <w:sz w:val="24"/>
                <w:szCs w:val="24"/>
                <w:highlight w:val="none"/>
                <w:lang w:eastAsia="zh-CN"/>
              </w:rPr>
            </w:pPr>
            <w:r>
              <w:rPr>
                <w:rFonts w:hint="eastAsia" w:ascii="宋体" w:hAnsi="宋体" w:eastAsia="宋体" w:cs="宋体"/>
                <w:color w:val="auto"/>
                <w:kern w:val="2"/>
                <w:sz w:val="24"/>
                <w:szCs w:val="20"/>
                <w:highlight w:val="none"/>
                <w:lang w:val="en-US" w:eastAsia="zh-CN" w:bidi="ar-SA"/>
              </w:rPr>
              <w:t>提供2024年或2025年度财务审计报告复印件，并加盖投标人公章。如投标人无法提供审计报告，则须提供银行出具的资信证明或健全的财务会计制度或提供承诺函。</w:t>
            </w:r>
          </w:p>
        </w:tc>
      </w:tr>
      <w:tr w14:paraId="2A30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740" w:type="dxa"/>
            <w:vMerge w:val="continue"/>
            <w:noWrap w:val="0"/>
            <w:vAlign w:val="center"/>
          </w:tcPr>
          <w:p w14:paraId="1FE3EC5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223" w:type="dxa"/>
            <w:vMerge w:val="continue"/>
            <w:noWrap w:val="0"/>
            <w:vAlign w:val="center"/>
          </w:tcPr>
          <w:p w14:paraId="295CDA3B">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lang w:val="zh-CN"/>
              </w:rPr>
            </w:pPr>
          </w:p>
        </w:tc>
        <w:tc>
          <w:tcPr>
            <w:tcW w:w="2668" w:type="dxa"/>
            <w:noWrap w:val="0"/>
            <w:vAlign w:val="center"/>
          </w:tcPr>
          <w:p w14:paraId="662628C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cs="宋体"/>
                <w:color w:val="auto"/>
                <w:spacing w:val="-20"/>
                <w:sz w:val="24"/>
                <w:szCs w:val="24"/>
                <w:highlight w:val="none"/>
                <w:lang w:val="zh-CN"/>
              </w:rPr>
            </w:pPr>
            <w:r>
              <w:rPr>
                <w:rFonts w:hint="eastAsia" w:ascii="宋体" w:hAnsi="宋体" w:eastAsia="宋体" w:cs="宋体"/>
                <w:color w:val="auto"/>
                <w:kern w:val="2"/>
                <w:sz w:val="24"/>
                <w:szCs w:val="20"/>
                <w:highlight w:val="none"/>
                <w:lang w:val="zh-CN" w:eastAsia="zh-CN" w:bidi="ar-SA"/>
              </w:rPr>
              <w:t>具有履行合同所必须的设备和专业技术能力</w:t>
            </w:r>
          </w:p>
        </w:tc>
        <w:tc>
          <w:tcPr>
            <w:tcW w:w="5878" w:type="dxa"/>
            <w:noWrap w:val="0"/>
            <w:vAlign w:val="center"/>
          </w:tcPr>
          <w:p w14:paraId="6493E9B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cs="宋体"/>
                <w:color w:val="auto"/>
                <w:spacing w:val="-20"/>
                <w:sz w:val="24"/>
                <w:szCs w:val="24"/>
                <w:highlight w:val="none"/>
              </w:rPr>
            </w:pPr>
            <w:r>
              <w:rPr>
                <w:rFonts w:hint="eastAsia" w:ascii="宋体" w:hAnsi="宋体" w:eastAsia="宋体" w:cs="宋体"/>
                <w:color w:val="auto"/>
                <w:kern w:val="2"/>
                <w:sz w:val="24"/>
                <w:szCs w:val="20"/>
                <w:highlight w:val="none"/>
                <w:lang w:val="en-US" w:eastAsia="zh-CN" w:bidi="ar-SA"/>
              </w:rPr>
              <w:t>提供承诺书</w:t>
            </w:r>
          </w:p>
        </w:tc>
      </w:tr>
      <w:tr w14:paraId="13DD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740" w:type="dxa"/>
            <w:vMerge w:val="continue"/>
            <w:noWrap w:val="0"/>
            <w:vAlign w:val="center"/>
          </w:tcPr>
          <w:p w14:paraId="12CDB01B">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223" w:type="dxa"/>
            <w:vMerge w:val="continue"/>
            <w:noWrap w:val="0"/>
            <w:vAlign w:val="center"/>
          </w:tcPr>
          <w:p w14:paraId="407A8B0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lang w:val="zh-CN"/>
              </w:rPr>
            </w:pPr>
          </w:p>
        </w:tc>
        <w:tc>
          <w:tcPr>
            <w:tcW w:w="2668" w:type="dxa"/>
            <w:noWrap w:val="0"/>
            <w:vAlign w:val="center"/>
          </w:tcPr>
          <w:p w14:paraId="482697DA">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cs="宋体"/>
                <w:color w:val="auto"/>
                <w:spacing w:val="-20"/>
                <w:sz w:val="24"/>
                <w:szCs w:val="24"/>
                <w:highlight w:val="none"/>
                <w:lang w:val="zh-CN"/>
              </w:rPr>
            </w:pPr>
            <w:r>
              <w:rPr>
                <w:rFonts w:hint="eastAsia" w:ascii="宋体" w:hAnsi="宋体" w:eastAsia="宋体" w:cs="宋体"/>
                <w:color w:val="auto"/>
                <w:kern w:val="2"/>
                <w:sz w:val="24"/>
                <w:szCs w:val="20"/>
                <w:highlight w:val="none"/>
                <w:lang w:val="zh-CN" w:eastAsia="zh-CN" w:bidi="ar-SA"/>
              </w:rPr>
              <w:t>有依法缴纳税收和社会保障金的良好记录</w:t>
            </w:r>
          </w:p>
        </w:tc>
        <w:tc>
          <w:tcPr>
            <w:tcW w:w="5878" w:type="dxa"/>
            <w:noWrap w:val="0"/>
            <w:vAlign w:val="center"/>
          </w:tcPr>
          <w:p w14:paraId="48164131">
            <w:pPr>
              <w:pStyle w:val="8"/>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color w:val="auto"/>
                <w:spacing w:val="-20"/>
                <w:sz w:val="24"/>
                <w:highlight w:val="none"/>
                <w:lang w:eastAsia="zh-CN"/>
              </w:rPr>
            </w:pPr>
            <w:r>
              <w:rPr>
                <w:rFonts w:hint="eastAsia" w:ascii="宋体" w:hAnsi="宋体" w:eastAsia="宋体" w:cs="宋体"/>
                <w:color w:val="auto"/>
                <w:kern w:val="2"/>
                <w:sz w:val="24"/>
                <w:szCs w:val="20"/>
                <w:highlight w:val="none"/>
                <w:lang w:val="en-US" w:eastAsia="zh-CN" w:bidi="ar-SA"/>
              </w:rPr>
              <w:t>有依法缴纳税收和社会保障资金的良好记录；（1、投标人依法缴纳税收的证明材料：本项目投标截止时间前6个月内（连续3个月）缴纳税收的凭据（完税证明、缴款书、印花税票、银行代扣（代缴）转账凭证等均可）；2、依法免税的投标人，须提供相应文件证明其依法免税。3、投标人依法缴纳社会保障资金的证明材料：本项目投标截止时间前6个月内（连续3个月）缴纳社会保险的凭据（专用收据或社会保险交纳清单）；4、投标人为其他组织或自然人的，也需要按此项规定提供缴纳税收的凭据和交纳社会保险的凭据。5、依法不需要缴纳社会保障资金的投标人，须提供相应文件证明其依法不需要缴纳社会保障资金）</w:t>
            </w:r>
          </w:p>
        </w:tc>
      </w:tr>
      <w:tr w14:paraId="343F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740" w:type="dxa"/>
            <w:vMerge w:val="continue"/>
            <w:noWrap w:val="0"/>
            <w:vAlign w:val="center"/>
          </w:tcPr>
          <w:p w14:paraId="4B4AE82E">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223" w:type="dxa"/>
            <w:vMerge w:val="continue"/>
            <w:noWrap w:val="0"/>
            <w:vAlign w:val="center"/>
          </w:tcPr>
          <w:p w14:paraId="6B56E784">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lang w:val="zh-CN"/>
              </w:rPr>
            </w:pPr>
          </w:p>
        </w:tc>
        <w:tc>
          <w:tcPr>
            <w:tcW w:w="2668" w:type="dxa"/>
            <w:noWrap w:val="0"/>
            <w:vAlign w:val="center"/>
          </w:tcPr>
          <w:p w14:paraId="0F40C20E">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cs="宋体"/>
                <w:color w:val="auto"/>
                <w:spacing w:val="-20"/>
                <w:sz w:val="24"/>
                <w:szCs w:val="24"/>
                <w:highlight w:val="none"/>
                <w:lang w:val="zh-CN"/>
              </w:rPr>
            </w:pPr>
            <w:r>
              <w:rPr>
                <w:rFonts w:hint="eastAsia" w:ascii="宋体" w:hAnsi="宋体" w:eastAsia="宋体" w:cs="宋体"/>
                <w:color w:val="auto"/>
                <w:kern w:val="2"/>
                <w:sz w:val="24"/>
                <w:szCs w:val="20"/>
                <w:highlight w:val="none"/>
                <w:lang w:val="zh-CN" w:eastAsia="zh-CN" w:bidi="ar-SA"/>
              </w:rPr>
              <w:t>参加政府采购活动近3年内，在经营活动中没有重大违法记录</w:t>
            </w:r>
          </w:p>
        </w:tc>
        <w:tc>
          <w:tcPr>
            <w:tcW w:w="5878" w:type="dxa"/>
            <w:noWrap w:val="0"/>
            <w:vAlign w:val="center"/>
          </w:tcPr>
          <w:p w14:paraId="5E0A677B">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cs="宋体"/>
                <w:color w:val="auto"/>
                <w:spacing w:val="-20"/>
                <w:sz w:val="24"/>
                <w:szCs w:val="24"/>
                <w:highlight w:val="none"/>
              </w:rPr>
            </w:pPr>
            <w:r>
              <w:rPr>
                <w:rFonts w:hint="eastAsia" w:ascii="宋体" w:hAnsi="宋体" w:eastAsia="宋体" w:cs="宋体"/>
                <w:color w:val="auto"/>
                <w:kern w:val="2"/>
                <w:sz w:val="24"/>
                <w:szCs w:val="20"/>
                <w:highlight w:val="none"/>
                <w:lang w:val="en-US" w:eastAsia="zh-CN" w:bidi="ar-SA"/>
              </w:rPr>
              <w:t>提供书面声明。</w:t>
            </w:r>
          </w:p>
        </w:tc>
      </w:tr>
      <w:tr w14:paraId="157D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40" w:type="dxa"/>
            <w:vMerge w:val="continue"/>
            <w:noWrap w:val="0"/>
            <w:vAlign w:val="center"/>
          </w:tcPr>
          <w:p w14:paraId="08CB2012">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rPr>
            </w:pPr>
          </w:p>
        </w:tc>
        <w:tc>
          <w:tcPr>
            <w:tcW w:w="1223" w:type="dxa"/>
            <w:vMerge w:val="continue"/>
            <w:noWrap w:val="0"/>
            <w:vAlign w:val="center"/>
          </w:tcPr>
          <w:p w14:paraId="022F0D65">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eastAsia" w:ascii="宋体" w:hAnsi="宋体" w:cs="宋体"/>
                <w:color w:val="auto"/>
                <w:spacing w:val="-20"/>
                <w:sz w:val="24"/>
                <w:szCs w:val="24"/>
                <w:highlight w:val="none"/>
                <w:lang w:val="zh-CN"/>
              </w:rPr>
            </w:pPr>
          </w:p>
        </w:tc>
        <w:tc>
          <w:tcPr>
            <w:tcW w:w="2668" w:type="dxa"/>
            <w:noWrap w:val="0"/>
            <w:vAlign w:val="center"/>
          </w:tcPr>
          <w:p w14:paraId="35DDDA09">
            <w:pPr>
              <w:keepNext w:val="0"/>
              <w:keepLines w:val="0"/>
              <w:pageBreakBefore w:val="0"/>
              <w:widowControl/>
              <w:kinsoku/>
              <w:wordWrap/>
              <w:overflowPunct/>
              <w:topLinePunct w:val="0"/>
              <w:autoSpaceDE w:val="0"/>
              <w:autoSpaceDN w:val="0"/>
              <w:bidi w:val="0"/>
              <w:adjustRightInd w:val="0"/>
              <w:snapToGrid w:val="0"/>
              <w:spacing w:line="400" w:lineRule="exact"/>
              <w:jc w:val="left"/>
              <w:textAlignment w:val="baseline"/>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信用情况</w:t>
            </w:r>
          </w:p>
        </w:tc>
        <w:tc>
          <w:tcPr>
            <w:tcW w:w="5878" w:type="dxa"/>
            <w:noWrap w:val="0"/>
            <w:vAlign w:val="center"/>
          </w:tcPr>
          <w:p w14:paraId="73E6D1A3">
            <w:pPr>
              <w:widowControl/>
              <w:jc w:val="lef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未被“信用中国(www.creditchina.gov.cn)、中国政府采购网(www.ccgp.gov.cn)列入失信被执行人、重大税收违法案件当事人名单、政府采购严重违法失信行为记录名单。（以采购人或采购代理机构现场查询为准）</w:t>
            </w:r>
          </w:p>
        </w:tc>
      </w:tr>
      <w:tr w14:paraId="4F0D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740" w:type="dxa"/>
            <w:noWrap w:val="0"/>
            <w:vAlign w:val="center"/>
          </w:tcPr>
          <w:p w14:paraId="310293F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color w:val="auto"/>
                <w:spacing w:val="-20"/>
                <w:sz w:val="24"/>
                <w:szCs w:val="24"/>
                <w:highlight w:val="none"/>
                <w:lang w:eastAsia="zh-CN"/>
              </w:rPr>
            </w:pPr>
            <w:r>
              <w:rPr>
                <w:rFonts w:hint="eastAsia" w:ascii="宋体" w:hAnsi="宋体" w:cs="宋体"/>
                <w:color w:val="auto"/>
                <w:spacing w:val="-20"/>
                <w:sz w:val="24"/>
                <w:szCs w:val="24"/>
                <w:highlight w:val="none"/>
                <w:lang w:val="en-US" w:eastAsia="zh-CN"/>
              </w:rPr>
              <w:t>2</w:t>
            </w:r>
          </w:p>
        </w:tc>
        <w:tc>
          <w:tcPr>
            <w:tcW w:w="1223" w:type="dxa"/>
            <w:noWrap w:val="0"/>
            <w:vAlign w:val="center"/>
          </w:tcPr>
          <w:p w14:paraId="4A7C242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cs="宋体"/>
                <w:color w:val="auto"/>
                <w:spacing w:val="-20"/>
                <w:sz w:val="24"/>
                <w:szCs w:val="24"/>
                <w:highlight w:val="none"/>
                <w:lang w:val="zh-CN"/>
              </w:rPr>
            </w:pPr>
            <w:r>
              <w:rPr>
                <w:rFonts w:hint="eastAsia" w:ascii="宋体" w:hAnsi="宋体" w:eastAsia="宋体" w:cs="宋体"/>
                <w:color w:val="auto"/>
                <w:kern w:val="2"/>
                <w:sz w:val="24"/>
                <w:szCs w:val="20"/>
                <w:highlight w:val="none"/>
                <w:lang w:val="zh-CN" w:eastAsia="zh-CN" w:bidi="ar-SA"/>
              </w:rPr>
              <w:t>特定资格要求</w:t>
            </w:r>
          </w:p>
        </w:tc>
        <w:tc>
          <w:tcPr>
            <w:tcW w:w="8546" w:type="dxa"/>
            <w:gridSpan w:val="2"/>
            <w:noWrap w:val="0"/>
            <w:vAlign w:val="center"/>
          </w:tcPr>
          <w:p w14:paraId="17D451C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outlineLvl w:val="9"/>
              <w:rPr>
                <w:rFonts w:hint="eastAsia" w:ascii="宋体" w:hAnsi="宋体" w:cs="宋体"/>
                <w:color w:val="auto"/>
                <w:spacing w:val="-20"/>
                <w:sz w:val="24"/>
                <w:szCs w:val="24"/>
                <w:highlight w:val="none"/>
                <w:lang w:val="zh-CN" w:eastAsia="zh-CN"/>
              </w:rPr>
            </w:pPr>
            <w:r>
              <w:rPr>
                <w:rFonts w:hint="eastAsia" w:ascii="宋体" w:hAnsi="宋体" w:eastAsia="宋体" w:cs="宋体"/>
                <w:color w:val="auto"/>
                <w:kern w:val="2"/>
                <w:sz w:val="24"/>
                <w:szCs w:val="20"/>
                <w:highlight w:val="none"/>
                <w:lang w:val="zh-CN" w:eastAsia="zh-CN" w:bidi="ar-SA"/>
              </w:rPr>
              <w:t>具有有效期内的《食品经营许可证》或《食品生产许可证》；</w:t>
            </w:r>
          </w:p>
        </w:tc>
      </w:tr>
      <w:tr w14:paraId="663C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740" w:type="dxa"/>
            <w:noWrap w:val="0"/>
            <w:vAlign w:val="center"/>
          </w:tcPr>
          <w:p w14:paraId="235F652C">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outlineLvl w:val="9"/>
              <w:rPr>
                <w:rFonts w:hint="default"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3</w:t>
            </w:r>
          </w:p>
        </w:tc>
        <w:tc>
          <w:tcPr>
            <w:tcW w:w="1223" w:type="dxa"/>
            <w:noWrap w:val="0"/>
            <w:vAlign w:val="center"/>
          </w:tcPr>
          <w:p w14:paraId="59BCCAE6">
            <w:pPr>
              <w:keepNext w:val="0"/>
              <w:keepLines w:val="0"/>
              <w:pageBreakBefore w:val="0"/>
              <w:widowControl/>
              <w:kinsoku/>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auto"/>
                <w:spacing w:val="-20"/>
                <w:kern w:val="0"/>
                <w:sz w:val="24"/>
                <w:szCs w:val="24"/>
                <w:highlight w:val="none"/>
                <w:lang w:val="zh-CN" w:eastAsia="en-US" w:bidi="ar-SA"/>
              </w:rPr>
            </w:pPr>
            <w:r>
              <w:rPr>
                <w:rFonts w:hint="eastAsia" w:ascii="宋体" w:hAnsi="宋体" w:eastAsia="宋体" w:cs="宋体"/>
                <w:color w:val="auto"/>
                <w:kern w:val="2"/>
                <w:sz w:val="24"/>
                <w:szCs w:val="20"/>
                <w:highlight w:val="none"/>
                <w:lang w:val="en-US" w:eastAsia="zh-CN" w:bidi="ar-SA"/>
              </w:rPr>
              <w:t>政府采购政策</w:t>
            </w:r>
          </w:p>
        </w:tc>
        <w:tc>
          <w:tcPr>
            <w:tcW w:w="8546" w:type="dxa"/>
            <w:gridSpan w:val="2"/>
            <w:noWrap w:val="0"/>
            <w:vAlign w:val="center"/>
          </w:tcPr>
          <w:p w14:paraId="5C2B35E8">
            <w:pPr>
              <w:keepNext w:val="0"/>
              <w:keepLines w:val="0"/>
              <w:pageBreakBefore w:val="0"/>
              <w:widowControl/>
              <w:kinsoku/>
              <w:wordWrap/>
              <w:overflowPunct/>
              <w:topLinePunct w:val="0"/>
              <w:autoSpaceDE w:val="0"/>
              <w:autoSpaceDN w:val="0"/>
              <w:bidi w:val="0"/>
              <w:adjustRightInd w:val="0"/>
              <w:snapToGrid w:val="0"/>
              <w:spacing w:line="400" w:lineRule="exact"/>
              <w:textAlignment w:val="baseline"/>
              <w:rPr>
                <w:rFonts w:hint="eastAsia" w:ascii="宋体" w:hAnsi="宋体" w:eastAsia="宋体" w:cs="宋体"/>
                <w:snapToGrid w:val="0"/>
                <w:color w:val="auto"/>
                <w:spacing w:val="-20"/>
                <w:kern w:val="0"/>
                <w:sz w:val="24"/>
                <w:szCs w:val="24"/>
                <w:highlight w:val="none"/>
                <w:lang w:val="en-US" w:eastAsia="zh-CN" w:bidi="ar-SA"/>
              </w:rPr>
            </w:pPr>
            <w:r>
              <w:rPr>
                <w:rFonts w:hint="eastAsia" w:ascii="宋体" w:hAnsi="宋体" w:eastAsia="宋体" w:cs="宋体"/>
                <w:color w:val="auto"/>
                <w:kern w:val="2"/>
                <w:sz w:val="24"/>
                <w:szCs w:val="20"/>
                <w:highlight w:val="none"/>
                <w:lang w:val="en-US" w:eastAsia="zh-CN" w:bidi="ar-SA"/>
              </w:rPr>
              <w:t>本项目为专门面向中小企业采购的项目，投标人须提供《中小企业声明函》（复印件加盖公章）。</w:t>
            </w:r>
          </w:p>
        </w:tc>
      </w:tr>
    </w:tbl>
    <w:p w14:paraId="6C94E629">
      <w:pPr>
        <w:spacing w:line="240" w:lineRule="auto"/>
        <w:jc w:val="left"/>
        <w:rPr>
          <w:rFonts w:ascii="宋体" w:hAnsi="宋体" w:cs="宋体"/>
          <w:color w:val="auto"/>
          <w:kern w:val="0"/>
          <w:sz w:val="22"/>
          <w:szCs w:val="22"/>
          <w:highlight w:val="none"/>
        </w:rPr>
      </w:pPr>
      <w:r>
        <w:rPr>
          <w:rFonts w:hint="eastAsia" w:ascii="宋体" w:hAnsi="宋体" w:cs="宋体"/>
          <w:b/>
          <w:bCs/>
          <w:color w:val="auto"/>
          <w:kern w:val="0"/>
          <w:sz w:val="21"/>
          <w:szCs w:val="21"/>
          <w:highlight w:val="none"/>
        </w:rPr>
        <w:t>以上为必备条件，年检章应清晰，所提供的材料必须在有效期内，如有一项未提供或所提供的材料不在有效期内，在资格性审查时将视其为不合格投标供应商，其投标为无效</w:t>
      </w:r>
      <w:r>
        <w:rPr>
          <w:rFonts w:hint="eastAsia" w:ascii="宋体" w:hAnsi="宋体" w:cs="宋体"/>
          <w:b/>
          <w:bCs/>
          <w:color w:val="auto"/>
          <w:kern w:val="0"/>
          <w:sz w:val="22"/>
          <w:szCs w:val="22"/>
          <w:highlight w:val="none"/>
        </w:rPr>
        <w:t>投标。</w:t>
      </w:r>
    </w:p>
    <w:p w14:paraId="76FA2D65">
      <w:pPr>
        <w:pStyle w:val="12"/>
        <w:spacing w:line="360" w:lineRule="auto"/>
        <w:jc w:val="left"/>
        <w:rPr>
          <w:rFonts w:hint="eastAsia" w:ascii="Times New Roman" w:hAnsi="Times New Roman" w:eastAsia="宋体" w:cs="Times New Roman"/>
          <w:bCs/>
          <w:color w:val="auto"/>
          <w:sz w:val="24"/>
          <w:highlight w:val="none"/>
          <w:lang w:val="zh-CN"/>
        </w:rPr>
      </w:pPr>
    </w:p>
    <w:p w14:paraId="3F79CC85">
      <w:pPr>
        <w:pStyle w:val="12"/>
        <w:spacing w:line="360" w:lineRule="auto"/>
        <w:jc w:val="left"/>
        <w:rPr>
          <w:rFonts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val="zh-CN"/>
        </w:rPr>
        <w:t>附件</w:t>
      </w:r>
      <w:r>
        <w:rPr>
          <w:rFonts w:hint="eastAsia" w:ascii="Times New Roman" w:hAnsi="Times New Roman" w:cs="Times New Roman"/>
          <w:bCs/>
          <w:color w:val="auto"/>
          <w:sz w:val="24"/>
          <w:highlight w:val="none"/>
        </w:rPr>
        <w:t>6</w:t>
      </w:r>
    </w:p>
    <w:p w14:paraId="2979DEAF">
      <w:pPr>
        <w:pStyle w:val="12"/>
        <w:spacing w:line="360" w:lineRule="auto"/>
        <w:jc w:val="center"/>
        <w:rPr>
          <w:rFonts w:hAnsi="Arial" w:eastAsia="宋体" w:cs="宋体"/>
          <w:b/>
          <w:bCs/>
          <w:color w:val="auto"/>
          <w:kern w:val="0"/>
          <w:sz w:val="28"/>
          <w:szCs w:val="28"/>
          <w:highlight w:val="none"/>
          <w:lang w:val="zh-CN"/>
        </w:rPr>
      </w:pPr>
      <w:r>
        <w:rPr>
          <w:rFonts w:hint="eastAsia" w:hAnsi="Arial" w:eastAsia="宋体" w:cs="宋体"/>
          <w:b/>
          <w:bCs/>
          <w:color w:val="auto"/>
          <w:kern w:val="0"/>
          <w:sz w:val="28"/>
          <w:szCs w:val="28"/>
          <w:highlight w:val="none"/>
          <w:lang w:val="zh-CN"/>
        </w:rPr>
        <w:t>供应商承诺函</w:t>
      </w:r>
    </w:p>
    <w:p w14:paraId="21BA090A">
      <w:pPr>
        <w:autoSpaceDE w:val="0"/>
        <w:autoSpaceDN w:val="0"/>
        <w:adjustRightInd w:val="0"/>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致：采购人</w:t>
      </w:r>
    </w:p>
    <w:p w14:paraId="25FCEF9B">
      <w:pPr>
        <w:autoSpaceDE w:val="0"/>
        <w:autoSpaceDN w:val="0"/>
        <w:adjustRightInd w:val="0"/>
        <w:spacing w:line="400" w:lineRule="exact"/>
        <w:rPr>
          <w:rFonts w:ascii="宋体" w:hAnsi="宋体" w:cs="宋体"/>
          <w:color w:val="auto"/>
          <w:kern w:val="0"/>
          <w:sz w:val="24"/>
          <w:szCs w:val="24"/>
          <w:highlight w:val="none"/>
          <w:lang w:val="zh-CN"/>
        </w:rPr>
      </w:pPr>
      <w:bookmarkStart w:id="24" w:name="_Toc7119"/>
      <w:bookmarkStart w:id="25" w:name="_Toc22430"/>
      <w:bookmarkStart w:id="26" w:name="_Toc7720"/>
      <w:r>
        <w:rPr>
          <w:rFonts w:hint="eastAsia" w:ascii="宋体" w:hAnsi="宋体" w:cs="宋体"/>
          <w:color w:val="auto"/>
          <w:kern w:val="0"/>
          <w:sz w:val="24"/>
          <w:szCs w:val="24"/>
          <w:highlight w:val="none"/>
          <w:lang w:val="zh-CN"/>
        </w:rPr>
        <w:t xml:space="preserve">    我公司作为本次采购项目的竞标人，根据采购文件要求，现郑重承诺如下：</w:t>
      </w:r>
      <w:bookmarkEnd w:id="24"/>
      <w:bookmarkEnd w:id="25"/>
      <w:bookmarkEnd w:id="26"/>
    </w:p>
    <w:p w14:paraId="7EA80791">
      <w:pPr>
        <w:autoSpaceDE w:val="0"/>
        <w:autoSpaceDN w:val="0"/>
        <w:adjustRightInd w:val="0"/>
        <w:spacing w:line="400" w:lineRule="exact"/>
        <w:rPr>
          <w:rFonts w:ascii="宋体" w:hAnsi="宋体" w:cs="宋体"/>
          <w:color w:val="auto"/>
          <w:kern w:val="0"/>
          <w:sz w:val="24"/>
          <w:szCs w:val="24"/>
          <w:highlight w:val="none"/>
          <w:lang w:val="zh-CN"/>
        </w:rPr>
      </w:pPr>
      <w:bookmarkStart w:id="27" w:name="_Toc18575"/>
      <w:bookmarkStart w:id="28" w:name="_Toc10209"/>
      <w:bookmarkStart w:id="29" w:name="_Toc1527"/>
      <w:r>
        <w:rPr>
          <w:rFonts w:hint="eastAsia" w:ascii="宋体" w:hAnsi="宋体" w:cs="宋体"/>
          <w:color w:val="auto"/>
          <w:kern w:val="0"/>
          <w:sz w:val="24"/>
          <w:szCs w:val="24"/>
          <w:highlight w:val="none"/>
          <w:lang w:val="zh-CN"/>
        </w:rPr>
        <w:t xml:space="preserve">    一、具备《中华人民共和国政府采购法》第二十二条第一款和本项目规定的条件：</w:t>
      </w:r>
      <w:bookmarkEnd w:id="27"/>
      <w:bookmarkEnd w:id="28"/>
      <w:bookmarkEnd w:id="29"/>
    </w:p>
    <w:p w14:paraId="428D3EC9">
      <w:pPr>
        <w:autoSpaceDE w:val="0"/>
        <w:autoSpaceDN w:val="0"/>
        <w:adjustRightInd w:val="0"/>
        <w:spacing w:line="400" w:lineRule="exact"/>
        <w:rPr>
          <w:rFonts w:hint="eastAsia" w:ascii="宋体" w:hAnsi="宋体" w:cs="宋体"/>
          <w:color w:val="auto"/>
          <w:kern w:val="0"/>
          <w:sz w:val="24"/>
          <w:szCs w:val="24"/>
          <w:highlight w:val="none"/>
          <w:lang w:val="zh-CN"/>
        </w:rPr>
      </w:pPr>
      <w:bookmarkStart w:id="30" w:name="_Toc23652"/>
      <w:bookmarkStart w:id="31" w:name="_Toc979"/>
      <w:bookmarkStart w:id="32" w:name="_Toc3381"/>
      <w:r>
        <w:rPr>
          <w:rFonts w:hint="eastAsia" w:ascii="宋体" w:hAnsi="宋体" w:cs="宋体"/>
          <w:color w:val="auto"/>
          <w:kern w:val="0"/>
          <w:sz w:val="24"/>
          <w:szCs w:val="24"/>
          <w:highlight w:val="none"/>
          <w:lang w:val="zh-CN"/>
        </w:rPr>
        <w:t xml:space="preserve">    （一）具有独立承担民事责任的能力； </w:t>
      </w:r>
    </w:p>
    <w:p w14:paraId="17E00873">
      <w:pPr>
        <w:autoSpaceDE w:val="0"/>
        <w:autoSpaceDN w:val="0"/>
        <w:adjustRightInd w:val="0"/>
        <w:spacing w:line="4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（二）具有良好的商业信誉和健全的财务会计制度； </w:t>
      </w:r>
    </w:p>
    <w:p w14:paraId="574D2A08">
      <w:pPr>
        <w:autoSpaceDE w:val="0"/>
        <w:autoSpaceDN w:val="0"/>
        <w:adjustRightInd w:val="0"/>
        <w:spacing w:line="4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（三）具有履行合同所必需的设备和专业技术能力； </w:t>
      </w:r>
    </w:p>
    <w:p w14:paraId="3EA057FA">
      <w:pPr>
        <w:autoSpaceDE w:val="0"/>
        <w:autoSpaceDN w:val="0"/>
        <w:adjustRightInd w:val="0"/>
        <w:spacing w:line="400" w:lineRule="exac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　　（四）有依法缴纳税收和社会保障资金的良好记录； </w:t>
      </w:r>
    </w:p>
    <w:p w14:paraId="7C2EEBF9">
      <w:pPr>
        <w:autoSpaceDE w:val="0"/>
        <w:autoSpaceDN w:val="0"/>
        <w:adjustRightInd w:val="0"/>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（五）参加政府采购活动前三年内，在经营活动中没有重大违法记录；</w:t>
      </w:r>
      <w:bookmarkEnd w:id="30"/>
      <w:bookmarkEnd w:id="31"/>
      <w:bookmarkEnd w:id="32"/>
    </w:p>
    <w:p w14:paraId="0FC39529">
      <w:pPr>
        <w:autoSpaceDE w:val="0"/>
        <w:autoSpaceDN w:val="0"/>
        <w:adjustRightInd w:val="0"/>
        <w:spacing w:line="400" w:lineRule="exact"/>
        <w:rPr>
          <w:rFonts w:ascii="宋体" w:hAnsi="宋体" w:cs="宋体"/>
          <w:color w:val="auto"/>
          <w:kern w:val="0"/>
          <w:sz w:val="24"/>
          <w:szCs w:val="24"/>
          <w:highlight w:val="none"/>
          <w:lang w:val="zh-CN"/>
        </w:rPr>
      </w:pPr>
      <w:bookmarkStart w:id="33" w:name="_Toc3184"/>
      <w:bookmarkStart w:id="34" w:name="_Toc7985"/>
      <w:bookmarkStart w:id="35" w:name="_Toc22240"/>
      <w:r>
        <w:rPr>
          <w:rFonts w:hint="eastAsia" w:ascii="宋体" w:hAnsi="宋体" w:cs="宋体"/>
          <w:color w:val="auto"/>
          <w:kern w:val="0"/>
          <w:sz w:val="24"/>
          <w:szCs w:val="24"/>
          <w:highlight w:val="none"/>
          <w:lang w:val="zh-CN"/>
        </w:rPr>
        <w:t xml:space="preserve">    （六）法律、行政法规规定的其他条件；</w:t>
      </w:r>
      <w:bookmarkEnd w:id="33"/>
      <w:bookmarkEnd w:id="34"/>
      <w:bookmarkEnd w:id="35"/>
    </w:p>
    <w:p w14:paraId="00EA1A3A">
      <w:pPr>
        <w:autoSpaceDE w:val="0"/>
        <w:autoSpaceDN w:val="0"/>
        <w:adjustRightInd w:val="0"/>
        <w:spacing w:line="400" w:lineRule="exact"/>
        <w:rPr>
          <w:rFonts w:ascii="宋体" w:hAnsi="宋体" w:cs="宋体"/>
          <w:color w:val="auto"/>
          <w:kern w:val="0"/>
          <w:sz w:val="24"/>
          <w:szCs w:val="24"/>
          <w:highlight w:val="none"/>
          <w:lang w:val="zh-CN"/>
        </w:rPr>
      </w:pPr>
      <w:bookmarkStart w:id="36" w:name="_Toc16198"/>
      <w:bookmarkStart w:id="37" w:name="_Toc7435"/>
      <w:bookmarkStart w:id="38" w:name="_Toc30930"/>
      <w:r>
        <w:rPr>
          <w:rFonts w:hint="eastAsia" w:ascii="宋体" w:hAnsi="宋体" w:cs="宋体"/>
          <w:color w:val="auto"/>
          <w:kern w:val="0"/>
          <w:sz w:val="24"/>
          <w:szCs w:val="24"/>
          <w:highlight w:val="none"/>
          <w:lang w:val="zh-CN"/>
        </w:rPr>
        <w:t xml:space="preserve">    （七）根据采购项目提出的特殊条件。</w:t>
      </w:r>
      <w:bookmarkEnd w:id="36"/>
      <w:bookmarkEnd w:id="37"/>
      <w:bookmarkEnd w:id="38"/>
    </w:p>
    <w:p w14:paraId="6860D1E7">
      <w:pPr>
        <w:autoSpaceDE w:val="0"/>
        <w:autoSpaceDN w:val="0"/>
        <w:adjustRightInd w:val="0"/>
        <w:spacing w:line="400" w:lineRule="exact"/>
        <w:rPr>
          <w:rFonts w:ascii="宋体" w:hAnsi="宋体" w:cs="宋体"/>
          <w:color w:val="auto"/>
          <w:kern w:val="0"/>
          <w:sz w:val="24"/>
          <w:szCs w:val="24"/>
          <w:highlight w:val="none"/>
          <w:lang w:val="zh-CN"/>
        </w:rPr>
      </w:pPr>
      <w:bookmarkStart w:id="39" w:name="_Toc11396"/>
      <w:bookmarkStart w:id="40" w:name="_Toc15208"/>
      <w:bookmarkStart w:id="41" w:name="_Toc32438"/>
      <w:r>
        <w:rPr>
          <w:rFonts w:hint="eastAsia" w:ascii="宋体" w:hAnsi="宋体" w:cs="宋体"/>
          <w:color w:val="auto"/>
          <w:kern w:val="0"/>
          <w:sz w:val="24"/>
          <w:szCs w:val="24"/>
          <w:highlight w:val="none"/>
          <w:lang w:val="zh-CN"/>
        </w:rPr>
        <w:t xml:space="preserve">    二、完全接受和满足本项目采购文件中规定的实质性要求，如对采购文件有异议，已在响应文件提交截止时间届满前依法进行维权救济，不存在对采购文件有异议的同时又参加</w:t>
      </w:r>
      <w:r>
        <w:rPr>
          <w:rFonts w:hint="eastAsia" w:ascii="宋体" w:hAnsi="宋体" w:cs="宋体"/>
          <w:color w:val="auto"/>
          <w:kern w:val="0"/>
          <w:sz w:val="24"/>
          <w:szCs w:val="24"/>
          <w:highlight w:val="none"/>
          <w:lang w:val="en-US" w:eastAsia="zh-CN"/>
        </w:rPr>
        <w:t>投标</w:t>
      </w:r>
      <w:r>
        <w:rPr>
          <w:rFonts w:hint="eastAsia" w:ascii="宋体" w:hAnsi="宋体" w:cs="宋体"/>
          <w:color w:val="auto"/>
          <w:kern w:val="0"/>
          <w:sz w:val="24"/>
          <w:szCs w:val="24"/>
          <w:highlight w:val="none"/>
          <w:lang w:val="zh-CN"/>
        </w:rPr>
        <w:t>活动以求侥幸成交或者为实现其他非法目的的行为。</w:t>
      </w:r>
      <w:bookmarkEnd w:id="39"/>
      <w:bookmarkEnd w:id="40"/>
      <w:bookmarkEnd w:id="41"/>
    </w:p>
    <w:p w14:paraId="77476B12">
      <w:pPr>
        <w:autoSpaceDE w:val="0"/>
        <w:autoSpaceDN w:val="0"/>
        <w:adjustRightInd w:val="0"/>
        <w:spacing w:line="400" w:lineRule="exact"/>
        <w:rPr>
          <w:rFonts w:ascii="宋体" w:hAnsi="宋体" w:cs="宋体"/>
          <w:color w:val="auto"/>
          <w:kern w:val="0"/>
          <w:sz w:val="24"/>
          <w:szCs w:val="24"/>
          <w:highlight w:val="none"/>
          <w:lang w:val="zh-CN"/>
        </w:rPr>
      </w:pPr>
      <w:bookmarkStart w:id="42" w:name="_Toc13743"/>
      <w:bookmarkStart w:id="43" w:name="_Toc22801"/>
      <w:bookmarkStart w:id="44" w:name="_Toc2572"/>
      <w:r>
        <w:rPr>
          <w:rFonts w:hint="eastAsia" w:ascii="宋体" w:hAnsi="宋体" w:cs="宋体"/>
          <w:color w:val="auto"/>
          <w:kern w:val="0"/>
          <w:sz w:val="24"/>
          <w:szCs w:val="24"/>
          <w:highlight w:val="none"/>
          <w:lang w:val="zh-CN"/>
        </w:rPr>
        <w:t xml:space="preserve">    三、参加本次采购活动，不存在与单位负责人为同一人或者存在直接控股、管理关系的其他供应商参与同一合同项下的政府采购活动的行为。</w:t>
      </w:r>
      <w:bookmarkEnd w:id="42"/>
      <w:bookmarkEnd w:id="43"/>
      <w:bookmarkEnd w:id="44"/>
    </w:p>
    <w:p w14:paraId="6C64DDC7">
      <w:pPr>
        <w:autoSpaceDE w:val="0"/>
        <w:autoSpaceDN w:val="0"/>
        <w:adjustRightInd w:val="0"/>
        <w:spacing w:line="400" w:lineRule="exact"/>
        <w:rPr>
          <w:rFonts w:ascii="宋体" w:hAnsi="宋体" w:cs="宋体"/>
          <w:color w:val="auto"/>
          <w:kern w:val="0"/>
          <w:sz w:val="24"/>
          <w:szCs w:val="24"/>
          <w:highlight w:val="none"/>
          <w:lang w:val="zh-CN"/>
        </w:rPr>
      </w:pPr>
      <w:bookmarkStart w:id="45" w:name="_Toc5206"/>
      <w:bookmarkStart w:id="46" w:name="_Toc12407"/>
      <w:bookmarkStart w:id="47" w:name="_Toc16665"/>
      <w:r>
        <w:rPr>
          <w:rFonts w:hint="eastAsia" w:ascii="宋体" w:hAnsi="宋体" w:cs="宋体"/>
          <w:color w:val="auto"/>
          <w:kern w:val="0"/>
          <w:sz w:val="24"/>
          <w:szCs w:val="24"/>
          <w:highlight w:val="none"/>
          <w:lang w:val="zh-CN"/>
        </w:rPr>
        <w:t xml:space="preserve">    四、参加本次采购活动，不存在和其他供应商在同一合同项下的采购项目中，同时委托同一个自然人、同一家庭的人员、同一单位的人员作为代理人的行为。</w:t>
      </w:r>
      <w:bookmarkEnd w:id="45"/>
      <w:bookmarkEnd w:id="46"/>
      <w:bookmarkEnd w:id="47"/>
    </w:p>
    <w:p w14:paraId="77526496">
      <w:pPr>
        <w:autoSpaceDE w:val="0"/>
        <w:autoSpaceDN w:val="0"/>
        <w:adjustRightInd w:val="0"/>
        <w:spacing w:line="400" w:lineRule="exact"/>
        <w:rPr>
          <w:rFonts w:ascii="宋体" w:hAnsi="宋体" w:cs="宋体"/>
          <w:color w:val="auto"/>
          <w:kern w:val="0"/>
          <w:sz w:val="24"/>
          <w:szCs w:val="24"/>
          <w:highlight w:val="none"/>
          <w:lang w:val="zh-CN"/>
        </w:rPr>
      </w:pPr>
      <w:bookmarkStart w:id="48" w:name="_Toc21948"/>
      <w:bookmarkStart w:id="49" w:name="_Toc25142"/>
      <w:bookmarkStart w:id="50" w:name="_Toc2005"/>
      <w:r>
        <w:rPr>
          <w:rFonts w:hint="eastAsia" w:ascii="宋体" w:hAnsi="宋体" w:cs="宋体"/>
          <w:color w:val="auto"/>
          <w:kern w:val="0"/>
          <w:sz w:val="24"/>
          <w:szCs w:val="24"/>
          <w:highlight w:val="none"/>
          <w:lang w:val="zh-CN"/>
        </w:rPr>
        <w:t xml:space="preserve">    五、响应文件中提供的能够给予我公司带来优惠的任何材料和技术、服务、商务等响应承诺情况都是真实的、有效的、合法的。</w:t>
      </w:r>
      <w:bookmarkEnd w:id="48"/>
      <w:bookmarkEnd w:id="49"/>
      <w:bookmarkEnd w:id="50"/>
    </w:p>
    <w:p w14:paraId="27BC92DE">
      <w:pPr>
        <w:autoSpaceDE w:val="0"/>
        <w:autoSpaceDN w:val="0"/>
        <w:adjustRightInd w:val="0"/>
        <w:spacing w:line="400" w:lineRule="exact"/>
        <w:rPr>
          <w:rFonts w:ascii="宋体" w:hAnsi="宋体" w:cs="宋体"/>
          <w:color w:val="auto"/>
          <w:kern w:val="0"/>
          <w:sz w:val="24"/>
          <w:szCs w:val="24"/>
          <w:highlight w:val="none"/>
          <w:lang w:val="zh-CN"/>
        </w:rPr>
      </w:pPr>
      <w:bookmarkStart w:id="51" w:name="_Toc7871"/>
      <w:bookmarkStart w:id="52" w:name="_Toc10356"/>
      <w:bookmarkStart w:id="53" w:name="_Toc11089"/>
      <w:r>
        <w:rPr>
          <w:rFonts w:hint="eastAsia" w:ascii="宋体" w:hAnsi="宋体" w:cs="宋体"/>
          <w:color w:val="auto"/>
          <w:kern w:val="0"/>
          <w:sz w:val="24"/>
          <w:szCs w:val="24"/>
          <w:highlight w:val="none"/>
          <w:lang w:val="zh-CN"/>
        </w:rPr>
        <w:t xml:space="preserve">    六、如本项目评审过程中需要提供样品，则我公司提供的样品即为成交后将要提供的成交产品，我公司对提供样品的性能和质量负责，因样品存在缺陷或者不符合采购文件要求导致未能成交的，我公司愿意承担相应不利后果。</w:t>
      </w:r>
      <w:bookmarkEnd w:id="51"/>
      <w:bookmarkEnd w:id="52"/>
      <w:bookmarkEnd w:id="53"/>
    </w:p>
    <w:p w14:paraId="2C9D1473">
      <w:pPr>
        <w:autoSpaceDE w:val="0"/>
        <w:autoSpaceDN w:val="0"/>
        <w:adjustRightInd w:val="0"/>
        <w:spacing w:line="400" w:lineRule="exact"/>
        <w:rPr>
          <w:rFonts w:ascii="宋体" w:hAnsi="宋体" w:cs="宋体"/>
          <w:color w:val="auto"/>
          <w:kern w:val="0"/>
          <w:sz w:val="24"/>
          <w:szCs w:val="24"/>
          <w:highlight w:val="none"/>
          <w:lang w:val="zh-CN"/>
        </w:rPr>
      </w:pPr>
      <w:bookmarkStart w:id="54" w:name="_Toc21187"/>
      <w:bookmarkStart w:id="55" w:name="_Toc1862"/>
      <w:bookmarkStart w:id="56" w:name="_Toc29952"/>
      <w:r>
        <w:rPr>
          <w:rFonts w:hint="eastAsia" w:ascii="宋体" w:hAnsi="宋体" w:cs="宋体"/>
          <w:color w:val="auto"/>
          <w:kern w:val="0"/>
          <w:sz w:val="24"/>
          <w:szCs w:val="24"/>
          <w:highlight w:val="none"/>
          <w:lang w:val="zh-CN"/>
        </w:rPr>
        <w:t xml:space="preserve">    本公司对上述承诺的内容事项真实性负责。如经查实上述承诺的内容事项存在虚假，我公司愿意接受以提供虚假材料谋取成交的法律责任。</w:t>
      </w:r>
      <w:bookmarkEnd w:id="54"/>
      <w:bookmarkEnd w:id="55"/>
      <w:bookmarkEnd w:id="56"/>
    </w:p>
    <w:p w14:paraId="18CB5942">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3760343D">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17713C7E">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2E7AA2C0">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0F0905E9">
      <w:pPr>
        <w:tabs>
          <w:tab w:val="left" w:pos="5580"/>
        </w:tabs>
        <w:autoSpaceDE w:val="0"/>
        <w:autoSpaceDN w:val="0"/>
        <w:adjustRightInd w:val="0"/>
        <w:spacing w:line="360" w:lineRule="auto"/>
        <w:jc w:val="left"/>
        <w:rPr>
          <w:color w:val="auto"/>
          <w:sz w:val="24"/>
          <w:szCs w:val="24"/>
          <w:highlight w:val="none"/>
        </w:rPr>
      </w:pPr>
      <w:r>
        <w:rPr>
          <w:rFonts w:hint="eastAsia" w:ascii="宋体" w:cs="宋体"/>
          <w:color w:val="auto"/>
          <w:kern w:val="0"/>
          <w:sz w:val="24"/>
          <w:highlight w:val="none"/>
          <w:lang w:val="zh-CN"/>
        </w:rPr>
        <w:t xml:space="preserve">      </w:t>
      </w:r>
      <w:r>
        <w:rPr>
          <w:rFonts w:hint="eastAsia"/>
          <w:color w:val="auto"/>
          <w:sz w:val="24"/>
          <w:szCs w:val="24"/>
          <w:highlight w:val="none"/>
        </w:rPr>
        <w:t>年  月   日</w:t>
      </w:r>
    </w:p>
    <w:p w14:paraId="7ECE70DC">
      <w:pPr>
        <w:pStyle w:val="12"/>
        <w:spacing w:line="360" w:lineRule="auto"/>
        <w:jc w:val="left"/>
        <w:rPr>
          <w:rFonts w:hint="eastAsia" w:ascii="方正仿宋_GB2312" w:hAnsi="方正仿宋_GB2312" w:eastAsia="方正仿宋_GB2312" w:cs="方正仿宋_GB2312"/>
          <w:bCs/>
          <w:color w:val="auto"/>
          <w:sz w:val="24"/>
          <w:highlight w:val="none"/>
          <w:lang w:eastAsia="zh-CN"/>
        </w:rPr>
      </w:pPr>
      <w:r>
        <w:rPr>
          <w:rFonts w:ascii="Arial" w:hAnsi="Arial" w:cs="Arial"/>
          <w:b/>
          <w:bCs/>
          <w:color w:val="auto"/>
          <w:kern w:val="0"/>
          <w:sz w:val="32"/>
          <w:szCs w:val="32"/>
          <w:highlight w:val="none"/>
        </w:rPr>
        <w:br w:type="page"/>
      </w:r>
      <w:r>
        <w:rPr>
          <w:rFonts w:hint="eastAsia" w:ascii="Times New Roman" w:hAnsi="Times New Roman" w:eastAsia="宋体" w:cs="Times New Roman"/>
          <w:bCs/>
          <w:color w:val="auto"/>
          <w:sz w:val="24"/>
          <w:highlight w:val="none"/>
          <w:lang w:val="en-US" w:eastAsia="zh-CN"/>
        </w:rPr>
        <w:t xml:space="preserve"> </w:t>
      </w:r>
      <w:r>
        <w:rPr>
          <w:rFonts w:hint="eastAsia" w:ascii="Times New Roman" w:hAnsi="Times New Roman" w:eastAsia="宋体" w:cs="Times New Roman"/>
          <w:bCs/>
          <w:color w:val="auto"/>
          <w:sz w:val="24"/>
          <w:highlight w:val="none"/>
          <w:lang w:val="zh-CN"/>
        </w:rPr>
        <w:t>附件</w:t>
      </w:r>
      <w:r>
        <w:rPr>
          <w:rFonts w:hint="eastAsia" w:ascii="Times New Roman" w:hAnsi="Times New Roman" w:eastAsia="宋体" w:cs="Times New Roman"/>
          <w:bCs/>
          <w:color w:val="auto"/>
          <w:sz w:val="24"/>
          <w:highlight w:val="none"/>
          <w:lang w:val="en-US" w:eastAsia="zh-CN"/>
        </w:rPr>
        <w:t>7</w:t>
      </w:r>
    </w:p>
    <w:p w14:paraId="42C18FBF">
      <w:pPr>
        <w:keepNext w:val="0"/>
        <w:keepLines w:val="0"/>
        <w:pageBreakBefore w:val="0"/>
        <w:widowControl w:val="0"/>
        <w:numPr>
          <w:ilvl w:val="0"/>
          <w:numId w:val="0"/>
        </w:numPr>
        <w:kinsoku/>
        <w:wordWrap w:val="0"/>
        <w:overflowPunct/>
        <w:topLinePunct w:val="0"/>
        <w:bidi w:val="0"/>
        <w:snapToGrid/>
        <w:spacing w:line="460" w:lineRule="exact"/>
        <w:ind w:left="0" w:leftChars="0" w:firstLine="0" w:firstLineChars="0"/>
        <w:jc w:val="center"/>
        <w:textAlignment w:val="auto"/>
        <w:outlineLvl w:val="9"/>
        <w:rPr>
          <w:rFonts w:hint="eastAsia" w:ascii="方正仿宋_GB2312" w:hAnsi="方正仿宋_GB2312" w:eastAsia="方正仿宋_GB2312" w:cs="方正仿宋_GB2312"/>
          <w:b/>
          <w:bCs/>
          <w:color w:val="auto"/>
          <w:kern w:val="0"/>
          <w:sz w:val="28"/>
          <w:szCs w:val="28"/>
          <w:highlight w:val="none"/>
          <w:lang w:val="zh-CN" w:eastAsia="zh-CN" w:bidi="ar-SA"/>
        </w:rPr>
      </w:pPr>
      <w:r>
        <w:rPr>
          <w:rFonts w:hint="eastAsia" w:ascii="方正仿宋_GB2312" w:hAnsi="方正仿宋_GB2312" w:eastAsia="方正仿宋_GB2312" w:cs="方正仿宋_GB2312"/>
          <w:b/>
          <w:bCs/>
          <w:color w:val="auto"/>
          <w:kern w:val="0"/>
          <w:sz w:val="28"/>
          <w:szCs w:val="28"/>
          <w:highlight w:val="none"/>
          <w:lang w:val="zh-CN" w:eastAsia="zh-CN" w:bidi="ar-SA"/>
        </w:rPr>
        <w:t>商务条款偏离表</w:t>
      </w:r>
    </w:p>
    <w:p w14:paraId="64C5DFFB">
      <w:pPr>
        <w:keepNext w:val="0"/>
        <w:keepLines w:val="0"/>
        <w:pageBreakBefore w:val="0"/>
        <w:widowControl w:val="0"/>
        <w:kinsoku/>
        <w:wordWrap w:val="0"/>
        <w:overflowPunct/>
        <w:topLinePunct w:val="0"/>
        <w:autoSpaceDE/>
        <w:autoSpaceDN/>
        <w:bidi w:val="0"/>
        <w:adjustRightInd/>
        <w:snapToGrid/>
        <w:spacing w:after="157" w:afterLines="50"/>
        <w:ind w:left="0" w:hanging="480" w:hangingChars="200"/>
        <w:jc w:val="both"/>
        <w:textAlignment w:val="auto"/>
        <w:rPr>
          <w:rFonts w:hint="default" w:ascii="Times New Roman" w:hAnsi="Times New Roman" w:eastAsia="宋体" w:cs="Times New Roman"/>
          <w:color w:val="auto"/>
          <w:spacing w:val="0"/>
          <w:w w:val="100"/>
          <w:kern w:val="2"/>
          <w:sz w:val="21"/>
          <w:highlight w:val="none"/>
          <w:lang w:val="en-US" w:eastAsia="zh-CN" w:bidi="ar-SA"/>
        </w:rPr>
      </w:pPr>
      <w:r>
        <w:rPr>
          <w:rFonts w:hint="eastAsia" w:ascii="宋体" w:hAnsi="宋体" w:eastAsia="宋体" w:cs="宋体"/>
          <w:b w:val="0"/>
          <w:bCs w:val="0"/>
          <w:color w:val="auto"/>
          <w:spacing w:val="0"/>
          <w:w w:val="100"/>
          <w:kern w:val="2"/>
          <w:position w:val="0"/>
          <w:sz w:val="24"/>
          <w:szCs w:val="24"/>
          <w:highlight w:val="none"/>
          <w:lang w:val="en-US" w:eastAsia="zh-CN" w:bidi="ar-SA"/>
        </w:rPr>
        <w:t>项目名称：</w:t>
      </w:r>
      <w:r>
        <w:rPr>
          <w:rFonts w:hint="eastAsia" w:ascii="宋体" w:hAnsi="宋体" w:eastAsia="宋体" w:cs="宋体"/>
          <w:color w:val="auto"/>
          <w:spacing w:val="0"/>
          <w:w w:val="100"/>
          <w:kern w:val="2"/>
          <w:sz w:val="24"/>
          <w:szCs w:val="24"/>
          <w:highlight w:val="none"/>
          <w:u w:val="single"/>
          <w:lang w:val="en-US" w:eastAsia="zh-CN" w:bidi="ar-SA"/>
        </w:rPr>
        <w:t xml:space="preserve">                            </w:t>
      </w:r>
      <w:r>
        <w:rPr>
          <w:rFonts w:hint="eastAsia" w:ascii="宋体" w:hAnsi="宋体" w:eastAsia="宋体" w:cs="宋体"/>
          <w:color w:val="auto"/>
          <w:spacing w:val="0"/>
          <w:w w:val="100"/>
          <w:kern w:val="2"/>
          <w:sz w:val="24"/>
          <w:szCs w:val="24"/>
          <w:highlight w:val="none"/>
          <w:lang w:val="en-US" w:eastAsia="zh-CN" w:bidi="ar-SA"/>
        </w:rPr>
        <w:t xml:space="preserve"> </w:t>
      </w:r>
    </w:p>
    <w:tbl>
      <w:tblPr>
        <w:tblStyle w:val="22"/>
        <w:tblW w:w="9205"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47"/>
        <w:gridCol w:w="4989"/>
        <w:gridCol w:w="1384"/>
        <w:gridCol w:w="1140"/>
      </w:tblGrid>
      <w:tr w14:paraId="66DA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trPr>
        <w:tc>
          <w:tcPr>
            <w:tcW w:w="545" w:type="dxa"/>
            <w:noWrap w:val="0"/>
            <w:vAlign w:val="center"/>
          </w:tcPr>
          <w:p w14:paraId="6ECB6D1B">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序号</w:t>
            </w:r>
          </w:p>
        </w:tc>
        <w:tc>
          <w:tcPr>
            <w:tcW w:w="1147" w:type="dxa"/>
            <w:noWrap w:val="0"/>
            <w:vAlign w:val="center"/>
          </w:tcPr>
          <w:p w14:paraId="166EA598">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类  别</w:t>
            </w:r>
          </w:p>
        </w:tc>
        <w:tc>
          <w:tcPr>
            <w:tcW w:w="4989" w:type="dxa"/>
            <w:noWrap w:val="0"/>
            <w:vAlign w:val="center"/>
          </w:tcPr>
          <w:p w14:paraId="24BBB0FA">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内               容</w:t>
            </w:r>
          </w:p>
        </w:tc>
        <w:tc>
          <w:tcPr>
            <w:tcW w:w="1384" w:type="dxa"/>
            <w:noWrap w:val="0"/>
            <w:vAlign w:val="center"/>
          </w:tcPr>
          <w:p w14:paraId="7923A668">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偏离</w:t>
            </w:r>
          </w:p>
        </w:tc>
        <w:tc>
          <w:tcPr>
            <w:tcW w:w="1140" w:type="dxa"/>
            <w:noWrap w:val="0"/>
            <w:vAlign w:val="center"/>
          </w:tcPr>
          <w:p w14:paraId="1BAC19C1">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备注</w:t>
            </w:r>
          </w:p>
        </w:tc>
      </w:tr>
      <w:tr w14:paraId="47A3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7F8EB4BD">
            <w:pPr>
              <w:keepNext w:val="0"/>
              <w:keepLines w:val="0"/>
              <w:pageBreakBefore w:val="0"/>
              <w:widowControl w:val="0"/>
              <w:numPr>
                <w:ilvl w:val="0"/>
                <w:numId w:val="0"/>
              </w:numPr>
              <w:kinsoku/>
              <w:wordWrap w:val="0"/>
              <w:overflowPunct/>
              <w:topLinePunct w:val="0"/>
              <w:bidi w:val="0"/>
              <w:snapToGrid/>
              <w:spacing w:line="340" w:lineRule="exact"/>
              <w:ind w:left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w:t>
            </w:r>
          </w:p>
        </w:tc>
        <w:tc>
          <w:tcPr>
            <w:tcW w:w="1147" w:type="dxa"/>
            <w:noWrap w:val="0"/>
            <w:vAlign w:val="center"/>
          </w:tcPr>
          <w:p w14:paraId="2B3E95C9">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项目地点</w:t>
            </w:r>
          </w:p>
        </w:tc>
        <w:tc>
          <w:tcPr>
            <w:tcW w:w="4989" w:type="dxa"/>
            <w:noWrap w:val="0"/>
            <w:vAlign w:val="center"/>
          </w:tcPr>
          <w:p w14:paraId="036DFD89">
            <w:pPr>
              <w:keepNext w:val="0"/>
              <w:keepLines w:val="0"/>
              <w:pageBreakBefore w:val="0"/>
              <w:widowControl w:val="0"/>
              <w:kinsoku/>
              <w:wordWrap w:val="0"/>
              <w:overflowPunct/>
              <w:topLinePunct w:val="0"/>
              <w:bidi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7DFBA6E3">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c>
          <w:tcPr>
            <w:tcW w:w="1140" w:type="dxa"/>
            <w:noWrap w:val="0"/>
            <w:vAlign w:val="center"/>
          </w:tcPr>
          <w:p w14:paraId="008B9FF1">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r>
      <w:tr w14:paraId="2CB2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48FF5AF2">
            <w:pPr>
              <w:keepNext w:val="0"/>
              <w:keepLines w:val="0"/>
              <w:pageBreakBefore w:val="0"/>
              <w:widowControl w:val="0"/>
              <w:numPr>
                <w:ilvl w:val="0"/>
                <w:numId w:val="0"/>
              </w:numPr>
              <w:kinsoku/>
              <w:wordWrap w:val="0"/>
              <w:overflowPunct/>
              <w:topLinePunct w:val="0"/>
              <w:bidi w:val="0"/>
              <w:snapToGrid/>
              <w:spacing w:line="340" w:lineRule="exact"/>
              <w:ind w:leftChars="0"/>
              <w:jc w:val="center"/>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w:t>
            </w:r>
          </w:p>
        </w:tc>
        <w:tc>
          <w:tcPr>
            <w:tcW w:w="1147" w:type="dxa"/>
            <w:noWrap w:val="0"/>
            <w:vAlign w:val="center"/>
          </w:tcPr>
          <w:p w14:paraId="294CCD5C">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采购范围</w:t>
            </w:r>
          </w:p>
        </w:tc>
        <w:tc>
          <w:tcPr>
            <w:tcW w:w="4989" w:type="dxa"/>
            <w:noWrap w:val="0"/>
            <w:vAlign w:val="center"/>
          </w:tcPr>
          <w:p w14:paraId="643CC7C6">
            <w:pPr>
              <w:keepNext w:val="0"/>
              <w:keepLines w:val="0"/>
              <w:pageBreakBefore w:val="0"/>
              <w:widowControl w:val="0"/>
              <w:kinsoku/>
              <w:wordWrap w:val="0"/>
              <w:overflowPunct/>
              <w:topLinePunct w:val="0"/>
              <w:bidi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6D6D8AC9">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c>
          <w:tcPr>
            <w:tcW w:w="1140" w:type="dxa"/>
            <w:noWrap w:val="0"/>
            <w:vAlign w:val="center"/>
          </w:tcPr>
          <w:p w14:paraId="70B32824">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0"/>
                <w:position w:val="0"/>
                <w:sz w:val="21"/>
                <w:szCs w:val="21"/>
                <w:highlight w:val="none"/>
              </w:rPr>
            </w:pPr>
          </w:p>
        </w:tc>
      </w:tr>
      <w:tr w14:paraId="49ED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3695E3DB">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3</w:t>
            </w:r>
          </w:p>
        </w:tc>
        <w:tc>
          <w:tcPr>
            <w:tcW w:w="1147" w:type="dxa"/>
            <w:noWrap w:val="0"/>
            <w:vAlign w:val="center"/>
          </w:tcPr>
          <w:p w14:paraId="00DC5A99">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采购内容</w:t>
            </w:r>
          </w:p>
        </w:tc>
        <w:tc>
          <w:tcPr>
            <w:tcW w:w="4989" w:type="dxa"/>
            <w:noWrap w:val="0"/>
            <w:vAlign w:val="center"/>
          </w:tcPr>
          <w:p w14:paraId="48D74E81">
            <w:pPr>
              <w:keepNext w:val="0"/>
              <w:keepLines w:val="0"/>
              <w:pageBreakBefore w:val="0"/>
              <w:widowControl w:val="0"/>
              <w:kinsoku/>
              <w:wordWrap w:val="0"/>
              <w:overflowPunct/>
              <w:topLinePunct w:val="0"/>
              <w:bidi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63B1A746">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550949FC">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4A9B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420F8C98">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4</w:t>
            </w:r>
          </w:p>
        </w:tc>
        <w:tc>
          <w:tcPr>
            <w:tcW w:w="1147" w:type="dxa"/>
            <w:noWrap w:val="0"/>
            <w:vAlign w:val="center"/>
          </w:tcPr>
          <w:p w14:paraId="7FAAE2E0">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合同履约期限</w:t>
            </w:r>
          </w:p>
        </w:tc>
        <w:tc>
          <w:tcPr>
            <w:tcW w:w="4989" w:type="dxa"/>
            <w:noWrap w:val="0"/>
            <w:vAlign w:val="center"/>
          </w:tcPr>
          <w:p w14:paraId="1EE73DAF">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18840C64">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637FD518">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1FA9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3262508E">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5</w:t>
            </w:r>
          </w:p>
        </w:tc>
        <w:tc>
          <w:tcPr>
            <w:tcW w:w="1147" w:type="dxa"/>
            <w:noWrap w:val="0"/>
            <w:vAlign w:val="center"/>
          </w:tcPr>
          <w:p w14:paraId="731CBF14">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质量标准</w:t>
            </w:r>
          </w:p>
        </w:tc>
        <w:tc>
          <w:tcPr>
            <w:tcW w:w="4989" w:type="dxa"/>
            <w:noWrap w:val="0"/>
            <w:vAlign w:val="center"/>
          </w:tcPr>
          <w:p w14:paraId="75A2BD55">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637175A1">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60919A7B">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2255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5AE7836F">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6</w:t>
            </w:r>
          </w:p>
        </w:tc>
        <w:tc>
          <w:tcPr>
            <w:tcW w:w="1147" w:type="dxa"/>
            <w:noWrap w:val="0"/>
            <w:vAlign w:val="center"/>
          </w:tcPr>
          <w:p w14:paraId="58A124D6">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投标有效期</w:t>
            </w:r>
          </w:p>
        </w:tc>
        <w:tc>
          <w:tcPr>
            <w:tcW w:w="4989" w:type="dxa"/>
            <w:noWrap w:val="0"/>
            <w:vAlign w:val="center"/>
          </w:tcPr>
          <w:p w14:paraId="4E8BA394">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3112B83A">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6E79C690">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r w14:paraId="0037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5" w:type="dxa"/>
            <w:noWrap w:val="0"/>
            <w:vAlign w:val="center"/>
          </w:tcPr>
          <w:p w14:paraId="38BA44DF">
            <w:pPr>
              <w:keepNext w:val="0"/>
              <w:keepLines w:val="0"/>
              <w:pageBreakBefore w:val="0"/>
              <w:widowControl w:val="0"/>
              <w:numPr>
                <w:ilvl w:val="0"/>
                <w:numId w:val="0"/>
              </w:numPr>
              <w:kinsoku/>
              <w:wordWrap w:val="0"/>
              <w:overflowPunct/>
              <w:topLinePunct w:val="0"/>
              <w:bidi w:val="0"/>
              <w:snapToGrid/>
              <w:spacing w:line="340" w:lineRule="exact"/>
              <w:jc w:val="center"/>
              <w:textAlignment w:val="auto"/>
              <w:rPr>
                <w:rFonts w:hint="default"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7</w:t>
            </w:r>
          </w:p>
        </w:tc>
        <w:tc>
          <w:tcPr>
            <w:tcW w:w="1147" w:type="dxa"/>
            <w:noWrap w:val="0"/>
            <w:vAlign w:val="center"/>
          </w:tcPr>
          <w:p w14:paraId="20E40D50">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kern w:val="2"/>
                <w:position w:val="0"/>
                <w:sz w:val="21"/>
                <w:szCs w:val="21"/>
                <w:highlight w:val="none"/>
                <w:lang w:val="en-US" w:eastAsia="zh-CN" w:bidi="ar-SA"/>
              </w:rPr>
            </w:pPr>
            <w:r>
              <w:rPr>
                <w:rFonts w:hint="eastAsia" w:ascii="宋体" w:hAnsi="宋体" w:eastAsia="宋体" w:cs="宋体"/>
                <w:color w:val="auto"/>
                <w:spacing w:val="0"/>
                <w:w w:val="100"/>
                <w:kern w:val="2"/>
                <w:position w:val="0"/>
                <w:sz w:val="21"/>
                <w:szCs w:val="21"/>
                <w:highlight w:val="none"/>
                <w:lang w:val="en-US" w:eastAsia="zh-CN" w:bidi="ar-SA"/>
              </w:rPr>
              <w:t>履约保证金</w:t>
            </w:r>
          </w:p>
        </w:tc>
        <w:tc>
          <w:tcPr>
            <w:tcW w:w="4989" w:type="dxa"/>
            <w:noWrap w:val="0"/>
            <w:vAlign w:val="center"/>
          </w:tcPr>
          <w:p w14:paraId="7E38F0CE">
            <w:pPr>
              <w:keepNext w:val="0"/>
              <w:keepLines w:val="0"/>
              <w:pageBreakBefore w:val="0"/>
              <w:widowControl w:val="0"/>
              <w:kinsoku/>
              <w:wordWrap w:val="0"/>
              <w:overflowPunct/>
              <w:topLinePunct w:val="0"/>
              <w:autoSpaceDE w:val="0"/>
              <w:autoSpaceDN w:val="0"/>
              <w:bidi w:val="0"/>
              <w:adjustRightInd w:val="0"/>
              <w:snapToGrid/>
              <w:spacing w:line="340" w:lineRule="exact"/>
              <w:ind w:left="0" w:leftChars="0" w:firstLine="0" w:firstLineChars="0"/>
              <w:jc w:val="left"/>
              <w:textAlignment w:val="auto"/>
              <w:rPr>
                <w:rFonts w:hint="eastAsia" w:ascii="宋体" w:hAnsi="宋体" w:eastAsia="宋体" w:cs="宋体"/>
                <w:color w:val="auto"/>
                <w:spacing w:val="0"/>
                <w:w w:val="100"/>
                <w:kern w:val="2"/>
                <w:position w:val="0"/>
                <w:sz w:val="21"/>
                <w:szCs w:val="21"/>
                <w:highlight w:val="none"/>
                <w:lang w:val="en-US" w:eastAsia="zh-CN" w:bidi="ar-SA"/>
              </w:rPr>
            </w:pPr>
          </w:p>
        </w:tc>
        <w:tc>
          <w:tcPr>
            <w:tcW w:w="1384" w:type="dxa"/>
            <w:noWrap w:val="0"/>
            <w:vAlign w:val="center"/>
          </w:tcPr>
          <w:p w14:paraId="21E3053A">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c>
          <w:tcPr>
            <w:tcW w:w="1140" w:type="dxa"/>
            <w:noWrap w:val="0"/>
            <w:vAlign w:val="center"/>
          </w:tcPr>
          <w:p w14:paraId="3D18385B">
            <w:pPr>
              <w:keepNext w:val="0"/>
              <w:keepLines w:val="0"/>
              <w:pageBreakBefore w:val="0"/>
              <w:widowControl w:val="0"/>
              <w:kinsoku/>
              <w:wordWrap w:val="0"/>
              <w:overflowPunct/>
              <w:topLinePunct w:val="0"/>
              <w:bidi w:val="0"/>
              <w:snapToGrid/>
              <w:spacing w:line="340" w:lineRule="exact"/>
              <w:ind w:left="0" w:leftChars="0" w:firstLine="0" w:firstLineChars="0"/>
              <w:jc w:val="center"/>
              <w:textAlignment w:val="auto"/>
              <w:rPr>
                <w:rFonts w:hint="eastAsia" w:ascii="宋体" w:hAnsi="宋体" w:eastAsia="宋体" w:cs="宋体"/>
                <w:color w:val="auto"/>
                <w:spacing w:val="0"/>
                <w:w w:val="100"/>
                <w:position w:val="0"/>
                <w:sz w:val="21"/>
                <w:szCs w:val="21"/>
                <w:highlight w:val="none"/>
              </w:rPr>
            </w:pPr>
          </w:p>
        </w:tc>
      </w:tr>
    </w:tbl>
    <w:p w14:paraId="577249B2">
      <w:pPr>
        <w:keepNext w:val="0"/>
        <w:keepLines w:val="0"/>
        <w:pageBreakBefore w:val="0"/>
        <w:widowControl w:val="0"/>
        <w:kinsoku/>
        <w:wordWrap w:val="0"/>
        <w:overflowPunct/>
        <w:topLinePunct w:val="0"/>
        <w:autoSpaceDE/>
        <w:autoSpaceDN/>
        <w:bidi w:val="0"/>
        <w:adjustRightInd/>
        <w:snapToGrid/>
        <w:spacing w:after="120" w:line="460" w:lineRule="exact"/>
        <w:ind w:left="0" w:leftChars="0" w:firstLine="0" w:firstLineChars="0"/>
        <w:jc w:val="both"/>
        <w:textAlignment w:val="auto"/>
        <w:rPr>
          <w:rFonts w:hint="eastAsia" w:ascii="Times New Roman" w:hAnsi="Times New Roman" w:eastAsia="宋体" w:cs="Times New Roman"/>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注：</w:t>
      </w:r>
      <w:r>
        <w:rPr>
          <w:rFonts w:hint="eastAsia" w:ascii="宋体" w:hAnsi="宋体" w:eastAsia="宋体" w:cs="宋体"/>
          <w:b/>
          <w:bCs/>
          <w:i w:val="0"/>
          <w:iCs w:val="0"/>
          <w:color w:val="auto"/>
          <w:spacing w:val="0"/>
          <w:w w:val="100"/>
          <w:kern w:val="2"/>
          <w:position w:val="0"/>
          <w:sz w:val="21"/>
          <w:szCs w:val="21"/>
          <w:highlight w:val="none"/>
          <w:lang w:val="en-US" w:eastAsia="zh-CN" w:bidi="ar-SA"/>
        </w:rPr>
        <w:t>如响应文件对商务条款无任何偏差，供应商</w:t>
      </w:r>
      <w:r>
        <w:rPr>
          <w:rFonts w:hint="eastAsia" w:ascii="宋体" w:hAnsi="宋体" w:eastAsia="宋体" w:cs="宋体"/>
          <w:b/>
          <w:bCs/>
          <w:color w:val="auto"/>
          <w:spacing w:val="0"/>
          <w:w w:val="100"/>
          <w:kern w:val="2"/>
          <w:position w:val="0"/>
          <w:sz w:val="21"/>
          <w:szCs w:val="21"/>
          <w:highlight w:val="none"/>
          <w:lang w:val="en-US" w:eastAsia="zh-CN" w:bidi="ar-SA"/>
        </w:rPr>
        <w:t>在本偏离表中填写“无偏离”即可。以上条款为商务部分实质性要求条款（即重要条款），对其中任何一条的偏离，在评审时将其视为无效投标。</w:t>
      </w:r>
    </w:p>
    <w:p w14:paraId="42FFD7EE">
      <w:pPr>
        <w:keepNext w:val="0"/>
        <w:keepLines w:val="0"/>
        <w:pageBreakBefore w:val="0"/>
        <w:widowControl w:val="0"/>
        <w:kinsoku/>
        <w:wordWrap w:val="0"/>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auto"/>
          <w:spacing w:val="0"/>
          <w:w w:val="100"/>
          <w:position w:val="0"/>
          <w:sz w:val="24"/>
          <w:szCs w:val="24"/>
          <w:highlight w:val="none"/>
          <w:lang w:val="en-US" w:eastAsia="zh-CN"/>
        </w:rPr>
      </w:pPr>
    </w:p>
    <w:p w14:paraId="76082073">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3D7031B5">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3062F9DD">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1CDB381B">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56E57754">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sz w:val="24"/>
          <w:szCs w:val="24"/>
          <w:highlight w:val="none"/>
        </w:rPr>
        <w:t>年  月   日</w:t>
      </w:r>
    </w:p>
    <w:p w14:paraId="5CF980B0">
      <w:pPr>
        <w:pageBreakBefore w:val="0"/>
        <w:widowControl w:val="0"/>
        <w:wordWrap w:val="0"/>
        <w:overflowPunct/>
        <w:bidi w:val="0"/>
        <w:spacing w:after="120" w:line="240" w:lineRule="auto"/>
        <w:jc w:val="both"/>
        <w:rPr>
          <w:rFonts w:hint="eastAsia" w:ascii="宋体" w:hAnsi="宋体" w:eastAsia="宋体" w:cs="宋体"/>
          <w:color w:val="auto"/>
          <w:spacing w:val="0"/>
          <w:w w:val="100"/>
          <w:kern w:val="2"/>
          <w:position w:val="0"/>
          <w:sz w:val="21"/>
          <w:szCs w:val="21"/>
          <w:highlight w:val="none"/>
          <w:lang w:val="en-US" w:eastAsia="zh-CN" w:bidi="ar-SA"/>
        </w:rPr>
      </w:pPr>
    </w:p>
    <w:p w14:paraId="322AB8BF">
      <w:pPr>
        <w:pageBreakBefore w:val="0"/>
        <w:tabs>
          <w:tab w:val="left" w:pos="420"/>
        </w:tabs>
        <w:wordWrap w:val="0"/>
        <w:overflowPunct/>
        <w:bidi w:val="0"/>
        <w:spacing w:before="0"/>
        <w:jc w:val="left"/>
        <w:outlineLvl w:val="9"/>
        <w:rPr>
          <w:rFonts w:hint="eastAsia" w:ascii="宋体" w:hAnsi="宋体" w:eastAsia="方正仿宋_GB2312" w:cs="宋体"/>
          <w:b/>
          <w:bCs/>
          <w:color w:val="auto"/>
          <w:spacing w:val="0"/>
          <w:w w:val="100"/>
          <w:position w:val="0"/>
          <w:sz w:val="24"/>
          <w:szCs w:val="24"/>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br w:type="page"/>
      </w:r>
      <w:r>
        <w:rPr>
          <w:rFonts w:hint="eastAsia" w:ascii="方正仿宋_GB2312" w:hAnsi="方正仿宋_GB2312" w:eastAsia="方正仿宋_GB2312" w:cs="方正仿宋_GB2312"/>
          <w:bCs/>
          <w:color w:val="auto"/>
          <w:sz w:val="24"/>
          <w:highlight w:val="none"/>
          <w:lang w:val="zh-CN"/>
        </w:rPr>
        <w:t>附件</w:t>
      </w:r>
      <w:r>
        <w:rPr>
          <w:rFonts w:hint="eastAsia" w:ascii="方正仿宋_GB2312" w:hAnsi="方正仿宋_GB2312" w:eastAsia="方正仿宋_GB2312" w:cs="方正仿宋_GB2312"/>
          <w:bCs/>
          <w:color w:val="auto"/>
          <w:sz w:val="24"/>
          <w:highlight w:val="none"/>
          <w:lang w:val="en-US" w:eastAsia="zh-CN"/>
        </w:rPr>
        <w:t>8</w:t>
      </w:r>
    </w:p>
    <w:p w14:paraId="1C746E61">
      <w:pPr>
        <w:keepNext w:val="0"/>
        <w:keepLines w:val="0"/>
        <w:pageBreakBefore w:val="0"/>
        <w:widowControl w:val="0"/>
        <w:numPr>
          <w:ilvl w:val="0"/>
          <w:numId w:val="0"/>
        </w:numPr>
        <w:kinsoku/>
        <w:wordWrap w:val="0"/>
        <w:overflowPunct/>
        <w:topLinePunct w:val="0"/>
        <w:bidi w:val="0"/>
        <w:snapToGrid/>
        <w:spacing w:line="460" w:lineRule="exact"/>
        <w:ind w:left="0" w:leftChars="0" w:firstLine="0" w:firstLineChars="0"/>
        <w:jc w:val="center"/>
        <w:textAlignment w:val="auto"/>
        <w:outlineLvl w:val="9"/>
        <w:rPr>
          <w:rFonts w:hint="eastAsia" w:ascii="方正仿宋_GB2312" w:hAnsi="方正仿宋_GB2312" w:eastAsia="方正仿宋_GB2312" w:cs="方正仿宋_GB2312"/>
          <w:b/>
          <w:bCs/>
          <w:color w:val="auto"/>
          <w:kern w:val="0"/>
          <w:sz w:val="28"/>
          <w:szCs w:val="28"/>
          <w:highlight w:val="none"/>
          <w:lang w:val="zh-CN" w:eastAsia="zh-CN" w:bidi="ar-SA"/>
        </w:rPr>
      </w:pPr>
      <w:r>
        <w:rPr>
          <w:rFonts w:hint="eastAsia" w:ascii="方正仿宋_GB2312" w:hAnsi="方正仿宋_GB2312" w:eastAsia="方正仿宋_GB2312" w:cs="方正仿宋_GB2312"/>
          <w:b/>
          <w:bCs/>
          <w:color w:val="auto"/>
          <w:kern w:val="0"/>
          <w:sz w:val="28"/>
          <w:szCs w:val="28"/>
          <w:highlight w:val="none"/>
          <w:lang w:val="zh-CN" w:eastAsia="zh-CN" w:bidi="ar-SA"/>
        </w:rPr>
        <w:t>技术条款偏离表</w:t>
      </w:r>
    </w:p>
    <w:p w14:paraId="52BE9255">
      <w:pPr>
        <w:pageBreakBefore w:val="0"/>
        <w:wordWrap w:val="0"/>
        <w:overflowPunct/>
        <w:bidi w:val="0"/>
        <w:adjustRightInd w:val="0"/>
        <w:snapToGrid w:val="0"/>
        <w:spacing w:after="120" w:line="440" w:lineRule="exact"/>
        <w:rPr>
          <w:rFonts w:hint="eastAsia" w:ascii="宋体" w:hAnsi="宋体" w:eastAsia="宋体" w:cs="宋体"/>
          <w:color w:val="auto"/>
          <w:spacing w:val="0"/>
          <w:w w:val="100"/>
          <w:sz w:val="24"/>
          <w:szCs w:val="24"/>
          <w:highlight w:val="none"/>
        </w:rPr>
      </w:pPr>
      <w:r>
        <w:rPr>
          <w:rFonts w:hint="eastAsia" w:ascii="宋体" w:hAnsi="宋体" w:eastAsia="宋体" w:cs="宋体"/>
          <w:b w:val="0"/>
          <w:bCs w:val="0"/>
          <w:color w:val="auto"/>
          <w:spacing w:val="0"/>
          <w:w w:val="100"/>
          <w:kern w:val="2"/>
          <w:position w:val="0"/>
          <w:sz w:val="24"/>
          <w:szCs w:val="24"/>
          <w:highlight w:val="none"/>
          <w:lang w:val="en-US" w:eastAsia="zh-CN" w:bidi="ar-SA"/>
        </w:rPr>
        <w:t>项目</w:t>
      </w:r>
      <w:r>
        <w:rPr>
          <w:rFonts w:hint="eastAsia" w:ascii="宋体" w:hAnsi="宋体" w:eastAsia="宋体" w:cs="宋体"/>
          <w:color w:val="auto"/>
          <w:spacing w:val="0"/>
          <w:w w:val="100"/>
          <w:sz w:val="24"/>
          <w:szCs w:val="24"/>
          <w:highlight w:val="none"/>
          <w:lang w:eastAsia="zh-CN"/>
        </w:rPr>
        <w:t>名称</w:t>
      </w:r>
      <w:r>
        <w:rPr>
          <w:rFonts w:hint="eastAsia"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u w:val="single"/>
        </w:rPr>
        <w:t xml:space="preserve">                            </w:t>
      </w:r>
      <w:r>
        <w:rPr>
          <w:rFonts w:hint="eastAsia" w:ascii="宋体" w:hAnsi="宋体" w:eastAsia="宋体" w:cs="宋体"/>
          <w:color w:val="auto"/>
          <w:spacing w:val="0"/>
          <w:w w:val="100"/>
          <w:sz w:val="24"/>
          <w:szCs w:val="24"/>
          <w:highlight w:val="none"/>
        </w:rPr>
        <w:t xml:space="preserve"> </w:t>
      </w:r>
    </w:p>
    <w:tbl>
      <w:tblPr>
        <w:tblStyle w:val="22"/>
        <w:tblW w:w="0" w:type="auto"/>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5"/>
        <w:gridCol w:w="1978"/>
        <w:gridCol w:w="2501"/>
        <w:gridCol w:w="2758"/>
        <w:gridCol w:w="1544"/>
      </w:tblGrid>
      <w:tr w14:paraId="41C73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57133C16">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序号</w:t>
            </w:r>
          </w:p>
        </w:tc>
        <w:tc>
          <w:tcPr>
            <w:tcW w:w="1978" w:type="dxa"/>
            <w:noWrap w:val="0"/>
            <w:vAlign w:val="center"/>
          </w:tcPr>
          <w:p w14:paraId="4B7282AD">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磋商</w:t>
            </w:r>
            <w:r>
              <w:rPr>
                <w:rFonts w:hint="eastAsia" w:ascii="宋体" w:hAnsi="宋体" w:eastAsia="宋体" w:cs="宋体"/>
                <w:color w:val="auto"/>
                <w:spacing w:val="0"/>
                <w:w w:val="100"/>
                <w:sz w:val="24"/>
                <w:szCs w:val="24"/>
                <w:highlight w:val="none"/>
              </w:rPr>
              <w:t>文件条目号</w:t>
            </w:r>
          </w:p>
        </w:tc>
        <w:tc>
          <w:tcPr>
            <w:tcW w:w="2501" w:type="dxa"/>
            <w:noWrap w:val="0"/>
            <w:vAlign w:val="center"/>
          </w:tcPr>
          <w:p w14:paraId="17D20715">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文件的技术条款</w:t>
            </w:r>
          </w:p>
        </w:tc>
        <w:tc>
          <w:tcPr>
            <w:tcW w:w="2758" w:type="dxa"/>
            <w:noWrap w:val="0"/>
            <w:vAlign w:val="center"/>
          </w:tcPr>
          <w:p w14:paraId="5AA85975">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lang w:eastAsia="zh-CN"/>
              </w:rPr>
              <w:t>响应</w:t>
            </w:r>
            <w:r>
              <w:rPr>
                <w:rFonts w:hint="eastAsia" w:ascii="宋体" w:hAnsi="宋体" w:eastAsia="宋体" w:cs="宋体"/>
                <w:color w:val="auto"/>
                <w:spacing w:val="0"/>
                <w:w w:val="100"/>
                <w:sz w:val="24"/>
                <w:szCs w:val="24"/>
                <w:highlight w:val="none"/>
              </w:rPr>
              <w:t>文件偏离情况</w:t>
            </w:r>
          </w:p>
        </w:tc>
        <w:tc>
          <w:tcPr>
            <w:tcW w:w="1544" w:type="dxa"/>
            <w:noWrap w:val="0"/>
            <w:vAlign w:val="center"/>
          </w:tcPr>
          <w:p w14:paraId="49B64132">
            <w:pPr>
              <w:pageBreakBefore w:val="0"/>
              <w:wordWrap w:val="0"/>
              <w:overflowPunct/>
              <w:bidi w:val="0"/>
              <w:adjustRightInd w:val="0"/>
              <w:snapToGrid w:val="0"/>
              <w:spacing w:line="440" w:lineRule="exact"/>
              <w:jc w:val="center"/>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说明</w:t>
            </w:r>
          </w:p>
        </w:tc>
      </w:tr>
      <w:tr w14:paraId="76C23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3532EE01">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377BE925">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32FE526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76C006CD">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2D0CEE50">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3A047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6DDACFE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30EA3B36">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129F0BFB">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7648DD0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0154A868">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0D6E5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227AA53E">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7FCCE761">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6692155B">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15D23F2A">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4D5CD5A0">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40A8B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44A7BE40">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1D088AAE">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1BFE7967">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0631A83E">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4C25ACF7">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338FE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trPr>
        <w:tc>
          <w:tcPr>
            <w:tcW w:w="775" w:type="dxa"/>
            <w:noWrap w:val="0"/>
            <w:vAlign w:val="center"/>
          </w:tcPr>
          <w:p w14:paraId="7AD95B7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19B7F23B">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4A8170F5">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35B960BE">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70E296DE">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r w14:paraId="59B53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9" w:hRule="atLeast"/>
        </w:trPr>
        <w:tc>
          <w:tcPr>
            <w:tcW w:w="775" w:type="dxa"/>
            <w:noWrap w:val="0"/>
            <w:vAlign w:val="center"/>
          </w:tcPr>
          <w:p w14:paraId="694F7B69">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978" w:type="dxa"/>
            <w:noWrap w:val="0"/>
            <w:vAlign w:val="center"/>
          </w:tcPr>
          <w:p w14:paraId="1C25BA03">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501" w:type="dxa"/>
            <w:noWrap w:val="0"/>
            <w:vAlign w:val="center"/>
          </w:tcPr>
          <w:p w14:paraId="0800ED97">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2758" w:type="dxa"/>
            <w:noWrap w:val="0"/>
            <w:vAlign w:val="center"/>
          </w:tcPr>
          <w:p w14:paraId="6BA3A2A9">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c>
          <w:tcPr>
            <w:tcW w:w="1544" w:type="dxa"/>
            <w:noWrap w:val="0"/>
            <w:vAlign w:val="center"/>
          </w:tcPr>
          <w:p w14:paraId="4E58931A">
            <w:pPr>
              <w:pageBreakBefore w:val="0"/>
              <w:wordWrap w:val="0"/>
              <w:overflowPunct/>
              <w:bidi w:val="0"/>
              <w:adjustRightInd w:val="0"/>
              <w:snapToGrid w:val="0"/>
              <w:spacing w:line="440" w:lineRule="exact"/>
              <w:rPr>
                <w:rFonts w:hint="eastAsia" w:ascii="宋体" w:hAnsi="宋体" w:eastAsia="宋体" w:cs="宋体"/>
                <w:color w:val="auto"/>
                <w:spacing w:val="0"/>
                <w:w w:val="100"/>
                <w:sz w:val="24"/>
                <w:szCs w:val="24"/>
                <w:highlight w:val="none"/>
              </w:rPr>
            </w:pPr>
          </w:p>
        </w:tc>
      </w:tr>
    </w:tbl>
    <w:p w14:paraId="59FFF2BD">
      <w:pPr>
        <w:keepNext w:val="0"/>
        <w:keepLines w:val="0"/>
        <w:pageBreakBefore w:val="0"/>
        <w:widowControl w:val="0"/>
        <w:kinsoku/>
        <w:wordWrap w:val="0"/>
        <w:overflowPunct/>
        <w:topLinePunct w:val="0"/>
        <w:autoSpaceDE/>
        <w:autoSpaceDN/>
        <w:bidi w:val="0"/>
        <w:adjustRightInd/>
        <w:snapToGrid/>
        <w:spacing w:after="120" w:line="400" w:lineRule="exact"/>
        <w:ind w:left="0" w:leftChars="0" w:firstLine="0" w:firstLineChars="0"/>
        <w:jc w:val="both"/>
        <w:textAlignment w:val="auto"/>
        <w:rPr>
          <w:rFonts w:hint="eastAsia" w:ascii="Times New Roman" w:hAnsi="Times New Roman" w:eastAsia="宋体" w:cs="Times New Roman"/>
          <w:b/>
          <w:bCs/>
          <w:color w:val="auto"/>
          <w:spacing w:val="0"/>
          <w:w w:val="100"/>
          <w:kern w:val="2"/>
          <w:position w:val="0"/>
          <w:sz w:val="21"/>
          <w:szCs w:val="21"/>
          <w:highlight w:val="none"/>
          <w:lang w:val="en-US" w:eastAsia="zh-CN" w:bidi="ar-SA"/>
        </w:rPr>
      </w:pPr>
      <w:r>
        <w:rPr>
          <w:rFonts w:hint="eastAsia" w:ascii="宋体" w:hAnsi="宋体" w:eastAsia="宋体" w:cs="宋体"/>
          <w:b/>
          <w:bCs/>
          <w:color w:val="auto"/>
          <w:spacing w:val="0"/>
          <w:w w:val="100"/>
          <w:kern w:val="2"/>
          <w:position w:val="0"/>
          <w:sz w:val="21"/>
          <w:szCs w:val="21"/>
          <w:highlight w:val="none"/>
          <w:lang w:val="en-US" w:eastAsia="zh-CN" w:bidi="ar-SA"/>
        </w:rPr>
        <w:t>注：</w:t>
      </w:r>
      <w:r>
        <w:rPr>
          <w:rFonts w:hint="eastAsia" w:ascii="宋体" w:hAnsi="宋体" w:eastAsia="宋体" w:cs="宋体"/>
          <w:b/>
          <w:bCs/>
          <w:i w:val="0"/>
          <w:iCs w:val="0"/>
          <w:color w:val="auto"/>
          <w:spacing w:val="0"/>
          <w:w w:val="100"/>
          <w:kern w:val="2"/>
          <w:position w:val="0"/>
          <w:sz w:val="21"/>
          <w:szCs w:val="21"/>
          <w:highlight w:val="none"/>
          <w:lang w:val="en-US" w:eastAsia="zh-CN" w:bidi="ar-SA"/>
        </w:rPr>
        <w:t>如响应文件对第六章采购需求无任何偏差，投标人在本偏离表中填写“无偏离”。以上条款为技术部分实质性要求条款（即重要条款），对其中任何一条的偏离，在评审时将其视为无效投标。</w:t>
      </w:r>
    </w:p>
    <w:p w14:paraId="0C5511C2">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29C38EE0">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6C6E004E">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r>
        <w:rPr>
          <w:rFonts w:hint="eastAsia" w:ascii="方正仿宋_GB2312" w:hAnsi="方正仿宋_GB2312" w:eastAsia="方正仿宋_GB2312" w:cs="方正仿宋_GB2312"/>
          <w:color w:val="auto"/>
          <w:kern w:val="0"/>
          <w:sz w:val="24"/>
          <w:highlight w:val="none"/>
          <w:lang w:val="zh-CN"/>
        </w:rPr>
        <w:t>供应商名称：</w:t>
      </w:r>
      <w:r>
        <w:rPr>
          <w:rFonts w:hint="eastAsia" w:ascii="方正仿宋_GB2312" w:hAnsi="方正仿宋_GB2312" w:eastAsia="方正仿宋_GB2312" w:cs="方正仿宋_GB2312"/>
          <w:color w:val="auto"/>
          <w:kern w:val="0"/>
          <w:sz w:val="24"/>
          <w:highlight w:val="none"/>
          <w:u w:val="single"/>
        </w:rPr>
        <w:t xml:space="preserve">                       （盖章） </w:t>
      </w:r>
    </w:p>
    <w:p w14:paraId="69A42DC6">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lang w:val="zh-CN"/>
        </w:rPr>
      </w:pPr>
    </w:p>
    <w:p w14:paraId="38F66106">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kern w:val="0"/>
          <w:sz w:val="24"/>
          <w:highlight w:val="none"/>
          <w:u w:val="single"/>
        </w:rPr>
      </w:pPr>
      <w:r>
        <w:rPr>
          <w:rFonts w:hint="eastAsia" w:ascii="方正仿宋_GB2312" w:hAnsi="方正仿宋_GB2312" w:eastAsia="方正仿宋_GB2312" w:cs="方正仿宋_GB2312"/>
          <w:color w:val="auto"/>
          <w:kern w:val="0"/>
          <w:sz w:val="24"/>
          <w:highlight w:val="none"/>
          <w:lang w:val="zh-CN"/>
        </w:rPr>
        <w:t>法定代表人或其委托代理人：</w:t>
      </w:r>
      <w:r>
        <w:rPr>
          <w:rFonts w:hint="eastAsia" w:ascii="方正仿宋_GB2312" w:hAnsi="方正仿宋_GB2312" w:eastAsia="方正仿宋_GB2312" w:cs="方正仿宋_GB2312"/>
          <w:color w:val="auto"/>
          <w:kern w:val="0"/>
          <w:sz w:val="24"/>
          <w:highlight w:val="none"/>
          <w:u w:val="single"/>
        </w:rPr>
        <w:t xml:space="preserve">              （ 签字或盖章）   </w:t>
      </w:r>
    </w:p>
    <w:p w14:paraId="4838DD32">
      <w:pPr>
        <w:tabs>
          <w:tab w:val="left" w:pos="5580"/>
        </w:tabs>
        <w:autoSpaceDE w:val="0"/>
        <w:autoSpaceDN w:val="0"/>
        <w:adjustRightInd w:val="0"/>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highlight w:val="none"/>
          <w:lang w:val="zh-CN"/>
        </w:rPr>
        <w:t xml:space="preserve">      </w:t>
      </w:r>
      <w:r>
        <w:rPr>
          <w:rFonts w:hint="eastAsia" w:ascii="方正仿宋_GB2312" w:hAnsi="方正仿宋_GB2312" w:eastAsia="方正仿宋_GB2312" w:cs="方正仿宋_GB2312"/>
          <w:color w:val="auto"/>
          <w:sz w:val="24"/>
          <w:szCs w:val="24"/>
          <w:highlight w:val="none"/>
        </w:rPr>
        <w:t>年  月   日</w:t>
      </w:r>
    </w:p>
    <w:p w14:paraId="47165EAB">
      <w:pPr>
        <w:rPr>
          <w:rFonts w:ascii="Arial" w:hAnsi="Arial" w:cs="Arial"/>
          <w:b/>
          <w:bCs/>
          <w:color w:val="auto"/>
          <w:kern w:val="0"/>
          <w:sz w:val="32"/>
          <w:szCs w:val="32"/>
          <w:highlight w:val="none"/>
        </w:rPr>
      </w:pPr>
      <w:r>
        <w:rPr>
          <w:rFonts w:ascii="Arial" w:hAnsi="Arial" w:cs="Arial"/>
          <w:b/>
          <w:bCs/>
          <w:color w:val="auto"/>
          <w:kern w:val="0"/>
          <w:sz w:val="32"/>
          <w:szCs w:val="32"/>
          <w:highlight w:val="none"/>
        </w:rPr>
        <w:br w:type="page"/>
      </w:r>
    </w:p>
    <w:p w14:paraId="7AB208D0">
      <w:pPr>
        <w:keepNext/>
        <w:keepLines/>
        <w:autoSpaceDE w:val="0"/>
        <w:autoSpaceDN w:val="0"/>
        <w:adjustRightInd w:val="0"/>
        <w:spacing w:after="260" w:line="360" w:lineRule="auto"/>
        <w:rPr>
          <w:rFonts w:hint="eastAsia" w:eastAsiaTheme="minorEastAsia"/>
          <w:bCs/>
          <w:color w:val="auto"/>
          <w:sz w:val="24"/>
          <w:highlight w:val="none"/>
          <w:lang w:eastAsia="zh-CN"/>
        </w:rPr>
      </w:pPr>
      <w:r>
        <w:rPr>
          <w:rFonts w:hint="eastAsia"/>
          <w:bCs/>
          <w:color w:val="auto"/>
          <w:sz w:val="24"/>
          <w:highlight w:val="none"/>
          <w:lang w:val="zh-CN"/>
        </w:rPr>
        <w:t>附件</w:t>
      </w:r>
      <w:r>
        <w:rPr>
          <w:rFonts w:hint="eastAsia"/>
          <w:bCs/>
          <w:color w:val="auto"/>
          <w:sz w:val="24"/>
          <w:highlight w:val="none"/>
          <w:lang w:val="en-US" w:eastAsia="zh-CN"/>
        </w:rPr>
        <w:t>9</w:t>
      </w:r>
    </w:p>
    <w:p w14:paraId="272B3AE0">
      <w:pPr>
        <w:tabs>
          <w:tab w:val="left" w:pos="1260"/>
        </w:tabs>
        <w:spacing w:line="440" w:lineRule="exac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本项目拟派出项目负责人履历表</w:t>
      </w:r>
    </w:p>
    <w:p w14:paraId="710556F8">
      <w:pPr>
        <w:tabs>
          <w:tab w:val="left" w:pos="1260"/>
        </w:tabs>
        <w:spacing w:line="440" w:lineRule="exact"/>
        <w:rPr>
          <w:rFonts w:ascii="宋体" w:hAnsi="Arial" w:cs="宋体"/>
          <w:b/>
          <w:bCs/>
          <w:color w:val="auto"/>
          <w:kern w:val="0"/>
          <w:sz w:val="28"/>
          <w:szCs w:val="28"/>
          <w:highlight w:val="none"/>
          <w:lang w:val="zh-CN"/>
        </w:rPr>
      </w:pPr>
    </w:p>
    <w:tbl>
      <w:tblPr>
        <w:tblStyle w:val="2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470"/>
        <w:gridCol w:w="1470"/>
        <w:gridCol w:w="1470"/>
        <w:gridCol w:w="1470"/>
        <w:gridCol w:w="1470"/>
      </w:tblGrid>
      <w:tr w14:paraId="5781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830" w:type="dxa"/>
            <w:vAlign w:val="center"/>
          </w:tcPr>
          <w:p w14:paraId="57954B66">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姓名</w:t>
            </w:r>
          </w:p>
        </w:tc>
        <w:tc>
          <w:tcPr>
            <w:tcW w:w="1470" w:type="dxa"/>
            <w:vAlign w:val="center"/>
          </w:tcPr>
          <w:p w14:paraId="0A7B4C81">
            <w:pPr>
              <w:tabs>
                <w:tab w:val="left" w:pos="1260"/>
              </w:tabs>
              <w:spacing w:line="440" w:lineRule="exact"/>
              <w:jc w:val="center"/>
              <w:rPr>
                <w:rFonts w:ascii="宋体" w:hAnsi="宋体" w:cs="宋体"/>
                <w:bCs/>
                <w:color w:val="auto"/>
                <w:szCs w:val="21"/>
                <w:highlight w:val="none"/>
              </w:rPr>
            </w:pPr>
          </w:p>
        </w:tc>
        <w:tc>
          <w:tcPr>
            <w:tcW w:w="1470" w:type="dxa"/>
            <w:vAlign w:val="center"/>
          </w:tcPr>
          <w:p w14:paraId="1D04F40D">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性别</w:t>
            </w:r>
          </w:p>
        </w:tc>
        <w:tc>
          <w:tcPr>
            <w:tcW w:w="1470" w:type="dxa"/>
            <w:vAlign w:val="center"/>
          </w:tcPr>
          <w:p w14:paraId="114ED1AC">
            <w:pPr>
              <w:tabs>
                <w:tab w:val="left" w:pos="1260"/>
              </w:tabs>
              <w:spacing w:line="440" w:lineRule="exact"/>
              <w:jc w:val="center"/>
              <w:rPr>
                <w:rFonts w:ascii="宋体" w:hAnsi="宋体" w:cs="宋体"/>
                <w:bCs/>
                <w:color w:val="auto"/>
                <w:szCs w:val="21"/>
                <w:highlight w:val="none"/>
              </w:rPr>
            </w:pPr>
          </w:p>
        </w:tc>
        <w:tc>
          <w:tcPr>
            <w:tcW w:w="1470" w:type="dxa"/>
            <w:vAlign w:val="center"/>
          </w:tcPr>
          <w:p w14:paraId="617B9101">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出生年月</w:t>
            </w:r>
          </w:p>
        </w:tc>
        <w:tc>
          <w:tcPr>
            <w:tcW w:w="1470" w:type="dxa"/>
            <w:vAlign w:val="center"/>
          </w:tcPr>
          <w:p w14:paraId="0F346686">
            <w:pPr>
              <w:tabs>
                <w:tab w:val="left" w:pos="1260"/>
              </w:tabs>
              <w:spacing w:line="440" w:lineRule="exact"/>
              <w:jc w:val="center"/>
              <w:rPr>
                <w:rFonts w:ascii="宋体" w:hAnsi="宋体" w:cs="宋体"/>
                <w:bCs/>
                <w:color w:val="auto"/>
                <w:szCs w:val="21"/>
                <w:highlight w:val="none"/>
              </w:rPr>
            </w:pPr>
          </w:p>
        </w:tc>
      </w:tr>
      <w:tr w14:paraId="5805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14:paraId="5B4E592E">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职称</w:t>
            </w:r>
          </w:p>
        </w:tc>
        <w:tc>
          <w:tcPr>
            <w:tcW w:w="1470" w:type="dxa"/>
            <w:vAlign w:val="center"/>
          </w:tcPr>
          <w:p w14:paraId="4E9F67FD">
            <w:pPr>
              <w:tabs>
                <w:tab w:val="left" w:pos="1260"/>
              </w:tabs>
              <w:spacing w:line="440" w:lineRule="exact"/>
              <w:jc w:val="center"/>
              <w:rPr>
                <w:rFonts w:ascii="宋体" w:hAnsi="宋体" w:cs="宋体"/>
                <w:bCs/>
                <w:color w:val="auto"/>
                <w:szCs w:val="21"/>
                <w:highlight w:val="none"/>
              </w:rPr>
            </w:pPr>
          </w:p>
        </w:tc>
        <w:tc>
          <w:tcPr>
            <w:tcW w:w="1470" w:type="dxa"/>
            <w:vAlign w:val="center"/>
          </w:tcPr>
          <w:p w14:paraId="01DCC23E">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职务</w:t>
            </w:r>
          </w:p>
        </w:tc>
        <w:tc>
          <w:tcPr>
            <w:tcW w:w="4410" w:type="dxa"/>
            <w:gridSpan w:val="3"/>
            <w:vAlign w:val="center"/>
          </w:tcPr>
          <w:p w14:paraId="2E5C6EA7">
            <w:pPr>
              <w:tabs>
                <w:tab w:val="left" w:pos="1260"/>
              </w:tabs>
              <w:spacing w:line="440" w:lineRule="exact"/>
              <w:jc w:val="center"/>
              <w:rPr>
                <w:rFonts w:ascii="宋体" w:hAnsi="宋体" w:cs="宋体"/>
                <w:bCs/>
                <w:color w:val="auto"/>
                <w:szCs w:val="21"/>
                <w:highlight w:val="none"/>
              </w:rPr>
            </w:pPr>
          </w:p>
        </w:tc>
      </w:tr>
      <w:tr w14:paraId="609A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830" w:type="dxa"/>
            <w:vAlign w:val="center"/>
          </w:tcPr>
          <w:p w14:paraId="79467362">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证书注册号或上岗证号</w:t>
            </w:r>
          </w:p>
        </w:tc>
        <w:tc>
          <w:tcPr>
            <w:tcW w:w="7350" w:type="dxa"/>
            <w:gridSpan w:val="5"/>
            <w:vAlign w:val="center"/>
          </w:tcPr>
          <w:p w14:paraId="334E30A0">
            <w:pPr>
              <w:tabs>
                <w:tab w:val="left" w:pos="1260"/>
              </w:tabs>
              <w:spacing w:line="440" w:lineRule="exact"/>
              <w:jc w:val="center"/>
              <w:rPr>
                <w:rFonts w:ascii="宋体" w:hAnsi="宋体" w:cs="宋体"/>
                <w:bCs/>
                <w:color w:val="auto"/>
                <w:szCs w:val="21"/>
                <w:highlight w:val="none"/>
              </w:rPr>
            </w:pPr>
          </w:p>
        </w:tc>
      </w:tr>
      <w:tr w14:paraId="5F67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14:paraId="2BC55E7D">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专业</w:t>
            </w:r>
          </w:p>
        </w:tc>
        <w:tc>
          <w:tcPr>
            <w:tcW w:w="7350" w:type="dxa"/>
            <w:gridSpan w:val="5"/>
            <w:vAlign w:val="center"/>
          </w:tcPr>
          <w:p w14:paraId="24E8F232">
            <w:pPr>
              <w:tabs>
                <w:tab w:val="left" w:pos="1260"/>
              </w:tabs>
              <w:spacing w:line="440" w:lineRule="exact"/>
              <w:jc w:val="center"/>
              <w:rPr>
                <w:rFonts w:ascii="宋体" w:hAnsi="宋体" w:cs="宋体"/>
                <w:bCs/>
                <w:color w:val="auto"/>
                <w:szCs w:val="21"/>
                <w:highlight w:val="none"/>
              </w:rPr>
            </w:pPr>
          </w:p>
        </w:tc>
      </w:tr>
      <w:tr w14:paraId="43F5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14:paraId="39EC0784">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毕业时间、学校、专业、最终学历</w:t>
            </w:r>
          </w:p>
        </w:tc>
        <w:tc>
          <w:tcPr>
            <w:tcW w:w="7350" w:type="dxa"/>
            <w:gridSpan w:val="5"/>
            <w:vAlign w:val="center"/>
          </w:tcPr>
          <w:p w14:paraId="4B9FD36A">
            <w:pPr>
              <w:tabs>
                <w:tab w:val="left" w:pos="1260"/>
              </w:tabs>
              <w:spacing w:line="440" w:lineRule="exact"/>
              <w:jc w:val="center"/>
              <w:rPr>
                <w:rFonts w:ascii="宋体" w:hAnsi="宋体" w:cs="宋体"/>
                <w:bCs/>
                <w:color w:val="auto"/>
                <w:szCs w:val="21"/>
                <w:highlight w:val="none"/>
              </w:rPr>
            </w:pPr>
          </w:p>
        </w:tc>
      </w:tr>
      <w:tr w14:paraId="103C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1830" w:type="dxa"/>
            <w:vAlign w:val="center"/>
          </w:tcPr>
          <w:p w14:paraId="0F60EAB1">
            <w:pPr>
              <w:tabs>
                <w:tab w:val="left" w:pos="126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工作年限</w:t>
            </w:r>
          </w:p>
        </w:tc>
        <w:tc>
          <w:tcPr>
            <w:tcW w:w="7350" w:type="dxa"/>
            <w:gridSpan w:val="5"/>
            <w:vAlign w:val="center"/>
          </w:tcPr>
          <w:p w14:paraId="4ACDDDFC">
            <w:pPr>
              <w:tabs>
                <w:tab w:val="left" w:pos="1260"/>
              </w:tabs>
              <w:spacing w:line="440" w:lineRule="exact"/>
              <w:jc w:val="center"/>
              <w:rPr>
                <w:rFonts w:ascii="宋体" w:hAnsi="宋体" w:cs="宋体"/>
                <w:bCs/>
                <w:color w:val="auto"/>
                <w:szCs w:val="21"/>
                <w:highlight w:val="none"/>
              </w:rPr>
            </w:pPr>
          </w:p>
        </w:tc>
      </w:tr>
      <w:tr w14:paraId="14EF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180" w:type="dxa"/>
            <w:gridSpan w:val="6"/>
          </w:tcPr>
          <w:p w14:paraId="09BCBFE3">
            <w:pPr>
              <w:tabs>
                <w:tab w:val="left" w:pos="1260"/>
              </w:tabs>
              <w:spacing w:line="440" w:lineRule="exact"/>
              <w:rPr>
                <w:rFonts w:ascii="宋体" w:hAnsi="宋体" w:cs="宋体"/>
                <w:bCs/>
                <w:color w:val="auto"/>
                <w:szCs w:val="21"/>
                <w:highlight w:val="none"/>
              </w:rPr>
            </w:pPr>
          </w:p>
        </w:tc>
      </w:tr>
    </w:tbl>
    <w:p w14:paraId="0C8ED661">
      <w:pPr>
        <w:tabs>
          <w:tab w:val="left" w:pos="1260"/>
        </w:tabs>
        <w:spacing w:line="440" w:lineRule="exact"/>
        <w:ind w:left="778" w:leftChars="-85" w:hanging="956" w:hangingChars="340"/>
        <w:rPr>
          <w:rFonts w:ascii="宋体" w:hAnsi="宋体" w:cs="宋体"/>
          <w:b/>
          <w:bCs/>
          <w:color w:val="auto"/>
          <w:sz w:val="28"/>
          <w:szCs w:val="28"/>
          <w:highlight w:val="none"/>
        </w:rPr>
      </w:pPr>
    </w:p>
    <w:p w14:paraId="4EF3FFFB">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08CB5C39">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4519E428">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6426C146">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53F449B0">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14:paraId="3F42F4D9">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14:paraId="7203257C">
      <w:pPr>
        <w:jc w:val="center"/>
        <w:rPr>
          <w:rFonts w:ascii="宋体" w:hAnsi="宋体" w:cs="宋体"/>
          <w:b/>
          <w:color w:val="auto"/>
          <w:sz w:val="28"/>
          <w:szCs w:val="28"/>
          <w:highlight w:val="none"/>
        </w:rPr>
      </w:pPr>
    </w:p>
    <w:p w14:paraId="1C8D15DE">
      <w:pPr>
        <w:spacing w:line="360" w:lineRule="exact"/>
        <w:rPr>
          <w:rFonts w:hint="eastAsia"/>
          <w:bCs/>
          <w:color w:val="auto"/>
          <w:sz w:val="24"/>
          <w:highlight w:val="none"/>
          <w:lang w:val="zh-CN"/>
        </w:rPr>
      </w:pPr>
    </w:p>
    <w:p w14:paraId="6AC2D0CA">
      <w:pPr>
        <w:spacing w:line="360" w:lineRule="exact"/>
        <w:rPr>
          <w:rFonts w:hint="eastAsia"/>
          <w:bCs/>
          <w:color w:val="auto"/>
          <w:sz w:val="24"/>
          <w:highlight w:val="none"/>
          <w:lang w:val="zh-CN"/>
        </w:rPr>
      </w:pPr>
    </w:p>
    <w:p w14:paraId="14A6E2E1">
      <w:pPr>
        <w:spacing w:line="360" w:lineRule="exact"/>
        <w:rPr>
          <w:rFonts w:hint="eastAsia"/>
          <w:bCs/>
          <w:color w:val="auto"/>
          <w:sz w:val="24"/>
          <w:highlight w:val="none"/>
          <w:lang w:val="zh-CN"/>
        </w:rPr>
      </w:pPr>
    </w:p>
    <w:p w14:paraId="7F280692">
      <w:pPr>
        <w:spacing w:line="360" w:lineRule="exact"/>
        <w:rPr>
          <w:rFonts w:hint="default" w:eastAsiaTheme="minorEastAsia"/>
          <w:bCs/>
          <w:color w:val="auto"/>
          <w:sz w:val="24"/>
          <w:highlight w:val="none"/>
          <w:lang w:val="en-US" w:eastAsia="zh-CN"/>
        </w:rPr>
      </w:pPr>
      <w:r>
        <w:rPr>
          <w:rFonts w:hint="eastAsia"/>
          <w:bCs/>
          <w:color w:val="auto"/>
          <w:sz w:val="24"/>
          <w:highlight w:val="none"/>
          <w:lang w:val="zh-CN"/>
        </w:rPr>
        <w:t>附件</w:t>
      </w:r>
      <w:r>
        <w:rPr>
          <w:rFonts w:hint="eastAsia"/>
          <w:bCs/>
          <w:color w:val="auto"/>
          <w:sz w:val="24"/>
          <w:highlight w:val="none"/>
          <w:lang w:val="en-US" w:eastAsia="zh-CN"/>
        </w:rPr>
        <w:t>10</w:t>
      </w:r>
    </w:p>
    <w:p w14:paraId="02E19541">
      <w:pPr>
        <w:tabs>
          <w:tab w:val="left" w:pos="1260"/>
        </w:tabs>
        <w:spacing w:line="440" w:lineRule="exact"/>
        <w:jc w:val="center"/>
        <w:rPr>
          <w:rFonts w:ascii="宋体" w:hAnsi="Arial" w:cs="宋体"/>
          <w:b/>
          <w:bCs/>
          <w:color w:val="auto"/>
          <w:kern w:val="0"/>
          <w:sz w:val="28"/>
          <w:szCs w:val="28"/>
          <w:highlight w:val="none"/>
          <w:lang w:val="zh-CN"/>
        </w:rPr>
      </w:pPr>
      <w:r>
        <w:rPr>
          <w:rFonts w:hint="eastAsia" w:ascii="宋体" w:hAnsi="Arial" w:cs="宋体"/>
          <w:b/>
          <w:bCs/>
          <w:color w:val="auto"/>
          <w:kern w:val="0"/>
          <w:sz w:val="28"/>
          <w:szCs w:val="28"/>
          <w:highlight w:val="none"/>
          <w:lang w:val="zh-CN"/>
        </w:rPr>
        <w:t>拟投入人员基本情况表</w:t>
      </w:r>
    </w:p>
    <w:p w14:paraId="71B0640A">
      <w:pPr>
        <w:rPr>
          <w:rFonts w:ascii="宋体" w:hAnsi="宋体" w:cs="宋体"/>
          <w:color w:val="auto"/>
          <w:sz w:val="24"/>
          <w:szCs w:val="24"/>
          <w:highlight w:val="none"/>
        </w:rPr>
      </w:pPr>
    </w:p>
    <w:tbl>
      <w:tblPr>
        <w:tblStyle w:val="22"/>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056"/>
        <w:gridCol w:w="852"/>
        <w:gridCol w:w="852"/>
        <w:gridCol w:w="853"/>
        <w:gridCol w:w="852"/>
        <w:gridCol w:w="852"/>
        <w:gridCol w:w="852"/>
        <w:gridCol w:w="1439"/>
      </w:tblGrid>
      <w:tr w14:paraId="1116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52" w:type="dxa"/>
            <w:vAlign w:val="center"/>
          </w:tcPr>
          <w:p w14:paraId="422C4F5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序号</w:t>
            </w:r>
          </w:p>
        </w:tc>
        <w:tc>
          <w:tcPr>
            <w:tcW w:w="1056" w:type="dxa"/>
            <w:vAlign w:val="center"/>
          </w:tcPr>
          <w:p w14:paraId="14AECEDB">
            <w:pPr>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2" w:type="dxa"/>
            <w:vAlign w:val="center"/>
          </w:tcPr>
          <w:p w14:paraId="4E57F6FF">
            <w:pPr>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852" w:type="dxa"/>
            <w:vAlign w:val="center"/>
          </w:tcPr>
          <w:p w14:paraId="3D13DAAD">
            <w:pPr>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853" w:type="dxa"/>
            <w:vAlign w:val="center"/>
          </w:tcPr>
          <w:p w14:paraId="7B2448D3">
            <w:pPr>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852" w:type="dxa"/>
            <w:vAlign w:val="center"/>
          </w:tcPr>
          <w:p w14:paraId="60DD919D">
            <w:pPr>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852" w:type="dxa"/>
            <w:vAlign w:val="center"/>
          </w:tcPr>
          <w:p w14:paraId="7E7A8AFF">
            <w:pPr>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852" w:type="dxa"/>
            <w:vAlign w:val="center"/>
          </w:tcPr>
          <w:p w14:paraId="5D34D7C9">
            <w:pPr>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1439" w:type="dxa"/>
            <w:vAlign w:val="center"/>
          </w:tcPr>
          <w:p w14:paraId="1E1E14A4">
            <w:pPr>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证书</w:t>
            </w:r>
            <w:r>
              <w:rPr>
                <w:rFonts w:hint="eastAsia" w:ascii="宋体" w:hAnsi="宋体" w:cs="宋体"/>
                <w:color w:val="auto"/>
                <w:sz w:val="24"/>
                <w:szCs w:val="24"/>
                <w:highlight w:val="none"/>
              </w:rPr>
              <w:t>编号</w:t>
            </w:r>
          </w:p>
        </w:tc>
      </w:tr>
      <w:tr w14:paraId="582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4C872904">
            <w:pPr>
              <w:jc w:val="center"/>
              <w:rPr>
                <w:rFonts w:ascii="宋体" w:hAnsi="宋体" w:cs="宋体"/>
                <w:color w:val="auto"/>
                <w:sz w:val="24"/>
                <w:szCs w:val="24"/>
                <w:highlight w:val="none"/>
              </w:rPr>
            </w:pPr>
          </w:p>
        </w:tc>
        <w:tc>
          <w:tcPr>
            <w:tcW w:w="1056" w:type="dxa"/>
          </w:tcPr>
          <w:p w14:paraId="1A2DB379">
            <w:pPr>
              <w:jc w:val="center"/>
              <w:rPr>
                <w:rFonts w:ascii="宋体" w:hAnsi="宋体" w:cs="宋体"/>
                <w:color w:val="auto"/>
                <w:sz w:val="24"/>
                <w:szCs w:val="24"/>
                <w:highlight w:val="none"/>
              </w:rPr>
            </w:pPr>
          </w:p>
        </w:tc>
        <w:tc>
          <w:tcPr>
            <w:tcW w:w="852" w:type="dxa"/>
          </w:tcPr>
          <w:p w14:paraId="7277200D">
            <w:pPr>
              <w:jc w:val="center"/>
              <w:rPr>
                <w:rFonts w:ascii="宋体" w:hAnsi="宋体" w:cs="宋体"/>
                <w:color w:val="auto"/>
                <w:sz w:val="24"/>
                <w:szCs w:val="24"/>
                <w:highlight w:val="none"/>
              </w:rPr>
            </w:pPr>
          </w:p>
        </w:tc>
        <w:tc>
          <w:tcPr>
            <w:tcW w:w="852" w:type="dxa"/>
          </w:tcPr>
          <w:p w14:paraId="08F9DEA0">
            <w:pPr>
              <w:jc w:val="center"/>
              <w:rPr>
                <w:rFonts w:ascii="宋体" w:hAnsi="宋体" w:cs="宋体"/>
                <w:color w:val="auto"/>
                <w:sz w:val="24"/>
                <w:szCs w:val="24"/>
                <w:highlight w:val="none"/>
              </w:rPr>
            </w:pPr>
          </w:p>
        </w:tc>
        <w:tc>
          <w:tcPr>
            <w:tcW w:w="853" w:type="dxa"/>
          </w:tcPr>
          <w:p w14:paraId="10B5D10B">
            <w:pPr>
              <w:jc w:val="center"/>
              <w:rPr>
                <w:rFonts w:ascii="宋体" w:hAnsi="宋体" w:cs="宋体"/>
                <w:color w:val="auto"/>
                <w:sz w:val="24"/>
                <w:szCs w:val="24"/>
                <w:highlight w:val="none"/>
              </w:rPr>
            </w:pPr>
          </w:p>
        </w:tc>
        <w:tc>
          <w:tcPr>
            <w:tcW w:w="852" w:type="dxa"/>
          </w:tcPr>
          <w:p w14:paraId="3B319830">
            <w:pPr>
              <w:jc w:val="center"/>
              <w:rPr>
                <w:rFonts w:ascii="宋体" w:hAnsi="宋体" w:cs="宋体"/>
                <w:color w:val="auto"/>
                <w:sz w:val="24"/>
                <w:szCs w:val="24"/>
                <w:highlight w:val="none"/>
              </w:rPr>
            </w:pPr>
          </w:p>
        </w:tc>
        <w:tc>
          <w:tcPr>
            <w:tcW w:w="852" w:type="dxa"/>
          </w:tcPr>
          <w:p w14:paraId="5385D82E">
            <w:pPr>
              <w:jc w:val="center"/>
              <w:rPr>
                <w:rFonts w:ascii="宋体" w:hAnsi="宋体" w:cs="宋体"/>
                <w:color w:val="auto"/>
                <w:sz w:val="24"/>
                <w:szCs w:val="24"/>
                <w:highlight w:val="none"/>
              </w:rPr>
            </w:pPr>
          </w:p>
        </w:tc>
        <w:tc>
          <w:tcPr>
            <w:tcW w:w="852" w:type="dxa"/>
          </w:tcPr>
          <w:p w14:paraId="1C92CB85">
            <w:pPr>
              <w:jc w:val="center"/>
              <w:rPr>
                <w:rFonts w:ascii="宋体" w:hAnsi="宋体" w:cs="宋体"/>
                <w:color w:val="auto"/>
                <w:sz w:val="24"/>
                <w:szCs w:val="24"/>
                <w:highlight w:val="none"/>
              </w:rPr>
            </w:pPr>
          </w:p>
        </w:tc>
        <w:tc>
          <w:tcPr>
            <w:tcW w:w="1439" w:type="dxa"/>
          </w:tcPr>
          <w:p w14:paraId="02CFA2E2">
            <w:pPr>
              <w:jc w:val="center"/>
              <w:rPr>
                <w:rFonts w:ascii="宋体" w:hAnsi="宋体" w:cs="宋体"/>
                <w:color w:val="auto"/>
                <w:sz w:val="24"/>
                <w:szCs w:val="24"/>
                <w:highlight w:val="none"/>
              </w:rPr>
            </w:pPr>
          </w:p>
        </w:tc>
      </w:tr>
      <w:tr w14:paraId="02F4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5A80711A">
            <w:pPr>
              <w:jc w:val="center"/>
              <w:rPr>
                <w:rFonts w:ascii="宋体" w:hAnsi="宋体" w:cs="宋体"/>
                <w:color w:val="auto"/>
                <w:sz w:val="24"/>
                <w:szCs w:val="24"/>
                <w:highlight w:val="none"/>
              </w:rPr>
            </w:pPr>
          </w:p>
        </w:tc>
        <w:tc>
          <w:tcPr>
            <w:tcW w:w="1056" w:type="dxa"/>
          </w:tcPr>
          <w:p w14:paraId="05C40578">
            <w:pPr>
              <w:jc w:val="center"/>
              <w:rPr>
                <w:rFonts w:ascii="宋体" w:hAnsi="宋体" w:cs="宋体"/>
                <w:color w:val="auto"/>
                <w:sz w:val="24"/>
                <w:szCs w:val="24"/>
                <w:highlight w:val="none"/>
              </w:rPr>
            </w:pPr>
          </w:p>
        </w:tc>
        <w:tc>
          <w:tcPr>
            <w:tcW w:w="852" w:type="dxa"/>
          </w:tcPr>
          <w:p w14:paraId="7F0472B9">
            <w:pPr>
              <w:jc w:val="center"/>
              <w:rPr>
                <w:rFonts w:ascii="宋体" w:hAnsi="宋体" w:cs="宋体"/>
                <w:color w:val="auto"/>
                <w:sz w:val="24"/>
                <w:szCs w:val="24"/>
                <w:highlight w:val="none"/>
              </w:rPr>
            </w:pPr>
          </w:p>
        </w:tc>
        <w:tc>
          <w:tcPr>
            <w:tcW w:w="852" w:type="dxa"/>
          </w:tcPr>
          <w:p w14:paraId="225088A8">
            <w:pPr>
              <w:jc w:val="center"/>
              <w:rPr>
                <w:rFonts w:ascii="宋体" w:hAnsi="宋体" w:cs="宋体"/>
                <w:color w:val="auto"/>
                <w:sz w:val="24"/>
                <w:szCs w:val="24"/>
                <w:highlight w:val="none"/>
              </w:rPr>
            </w:pPr>
          </w:p>
        </w:tc>
        <w:tc>
          <w:tcPr>
            <w:tcW w:w="853" w:type="dxa"/>
          </w:tcPr>
          <w:p w14:paraId="1183655C">
            <w:pPr>
              <w:jc w:val="center"/>
              <w:rPr>
                <w:rFonts w:ascii="宋体" w:hAnsi="宋体" w:cs="宋体"/>
                <w:color w:val="auto"/>
                <w:sz w:val="24"/>
                <w:szCs w:val="24"/>
                <w:highlight w:val="none"/>
              </w:rPr>
            </w:pPr>
          </w:p>
        </w:tc>
        <w:tc>
          <w:tcPr>
            <w:tcW w:w="852" w:type="dxa"/>
          </w:tcPr>
          <w:p w14:paraId="0CF6B4D6">
            <w:pPr>
              <w:jc w:val="center"/>
              <w:rPr>
                <w:rFonts w:ascii="宋体" w:hAnsi="宋体" w:cs="宋体"/>
                <w:color w:val="auto"/>
                <w:sz w:val="24"/>
                <w:szCs w:val="24"/>
                <w:highlight w:val="none"/>
              </w:rPr>
            </w:pPr>
          </w:p>
        </w:tc>
        <w:tc>
          <w:tcPr>
            <w:tcW w:w="852" w:type="dxa"/>
          </w:tcPr>
          <w:p w14:paraId="308D3129">
            <w:pPr>
              <w:jc w:val="center"/>
              <w:rPr>
                <w:rFonts w:ascii="宋体" w:hAnsi="宋体" w:cs="宋体"/>
                <w:color w:val="auto"/>
                <w:sz w:val="24"/>
                <w:szCs w:val="24"/>
                <w:highlight w:val="none"/>
              </w:rPr>
            </w:pPr>
          </w:p>
        </w:tc>
        <w:tc>
          <w:tcPr>
            <w:tcW w:w="852" w:type="dxa"/>
          </w:tcPr>
          <w:p w14:paraId="21F45969">
            <w:pPr>
              <w:jc w:val="center"/>
              <w:rPr>
                <w:rFonts w:ascii="宋体" w:hAnsi="宋体" w:cs="宋体"/>
                <w:color w:val="auto"/>
                <w:sz w:val="24"/>
                <w:szCs w:val="24"/>
                <w:highlight w:val="none"/>
              </w:rPr>
            </w:pPr>
          </w:p>
        </w:tc>
        <w:tc>
          <w:tcPr>
            <w:tcW w:w="1439" w:type="dxa"/>
          </w:tcPr>
          <w:p w14:paraId="2205D6F7">
            <w:pPr>
              <w:jc w:val="center"/>
              <w:rPr>
                <w:rFonts w:ascii="宋体" w:hAnsi="宋体" w:cs="宋体"/>
                <w:color w:val="auto"/>
                <w:sz w:val="24"/>
                <w:szCs w:val="24"/>
                <w:highlight w:val="none"/>
              </w:rPr>
            </w:pPr>
          </w:p>
        </w:tc>
      </w:tr>
      <w:tr w14:paraId="2778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456F966A">
            <w:pPr>
              <w:jc w:val="center"/>
              <w:rPr>
                <w:rFonts w:ascii="宋体" w:hAnsi="宋体" w:cs="宋体"/>
                <w:color w:val="auto"/>
                <w:sz w:val="24"/>
                <w:szCs w:val="24"/>
                <w:highlight w:val="none"/>
              </w:rPr>
            </w:pPr>
          </w:p>
        </w:tc>
        <w:tc>
          <w:tcPr>
            <w:tcW w:w="1056" w:type="dxa"/>
          </w:tcPr>
          <w:p w14:paraId="1DD09791">
            <w:pPr>
              <w:jc w:val="center"/>
              <w:rPr>
                <w:rFonts w:ascii="宋体" w:hAnsi="宋体" w:cs="宋体"/>
                <w:color w:val="auto"/>
                <w:sz w:val="24"/>
                <w:szCs w:val="24"/>
                <w:highlight w:val="none"/>
              </w:rPr>
            </w:pPr>
          </w:p>
        </w:tc>
        <w:tc>
          <w:tcPr>
            <w:tcW w:w="852" w:type="dxa"/>
          </w:tcPr>
          <w:p w14:paraId="04DE3160">
            <w:pPr>
              <w:jc w:val="center"/>
              <w:rPr>
                <w:rFonts w:ascii="宋体" w:hAnsi="宋体" w:cs="宋体"/>
                <w:color w:val="auto"/>
                <w:sz w:val="24"/>
                <w:szCs w:val="24"/>
                <w:highlight w:val="none"/>
              </w:rPr>
            </w:pPr>
          </w:p>
        </w:tc>
        <w:tc>
          <w:tcPr>
            <w:tcW w:w="852" w:type="dxa"/>
          </w:tcPr>
          <w:p w14:paraId="7CD92926">
            <w:pPr>
              <w:jc w:val="center"/>
              <w:rPr>
                <w:rFonts w:ascii="宋体" w:hAnsi="宋体" w:cs="宋体"/>
                <w:color w:val="auto"/>
                <w:sz w:val="24"/>
                <w:szCs w:val="24"/>
                <w:highlight w:val="none"/>
              </w:rPr>
            </w:pPr>
          </w:p>
        </w:tc>
        <w:tc>
          <w:tcPr>
            <w:tcW w:w="853" w:type="dxa"/>
          </w:tcPr>
          <w:p w14:paraId="34588666">
            <w:pPr>
              <w:jc w:val="center"/>
              <w:rPr>
                <w:rFonts w:ascii="宋体" w:hAnsi="宋体" w:cs="宋体"/>
                <w:color w:val="auto"/>
                <w:sz w:val="24"/>
                <w:szCs w:val="24"/>
                <w:highlight w:val="none"/>
              </w:rPr>
            </w:pPr>
          </w:p>
        </w:tc>
        <w:tc>
          <w:tcPr>
            <w:tcW w:w="852" w:type="dxa"/>
          </w:tcPr>
          <w:p w14:paraId="339E5DA4">
            <w:pPr>
              <w:jc w:val="center"/>
              <w:rPr>
                <w:rFonts w:ascii="宋体" w:hAnsi="宋体" w:cs="宋体"/>
                <w:color w:val="auto"/>
                <w:sz w:val="24"/>
                <w:szCs w:val="24"/>
                <w:highlight w:val="none"/>
              </w:rPr>
            </w:pPr>
          </w:p>
        </w:tc>
        <w:tc>
          <w:tcPr>
            <w:tcW w:w="852" w:type="dxa"/>
          </w:tcPr>
          <w:p w14:paraId="7BA1DD17">
            <w:pPr>
              <w:jc w:val="center"/>
              <w:rPr>
                <w:rFonts w:ascii="宋体" w:hAnsi="宋体" w:cs="宋体"/>
                <w:color w:val="auto"/>
                <w:sz w:val="24"/>
                <w:szCs w:val="24"/>
                <w:highlight w:val="none"/>
              </w:rPr>
            </w:pPr>
          </w:p>
        </w:tc>
        <w:tc>
          <w:tcPr>
            <w:tcW w:w="852" w:type="dxa"/>
          </w:tcPr>
          <w:p w14:paraId="72EE5E17">
            <w:pPr>
              <w:jc w:val="center"/>
              <w:rPr>
                <w:rFonts w:ascii="宋体" w:hAnsi="宋体" w:cs="宋体"/>
                <w:color w:val="auto"/>
                <w:sz w:val="24"/>
                <w:szCs w:val="24"/>
                <w:highlight w:val="none"/>
              </w:rPr>
            </w:pPr>
          </w:p>
        </w:tc>
        <w:tc>
          <w:tcPr>
            <w:tcW w:w="1439" w:type="dxa"/>
          </w:tcPr>
          <w:p w14:paraId="2CE8F161">
            <w:pPr>
              <w:jc w:val="center"/>
              <w:rPr>
                <w:rFonts w:ascii="宋体" w:hAnsi="宋体" w:cs="宋体"/>
                <w:color w:val="auto"/>
                <w:sz w:val="24"/>
                <w:szCs w:val="24"/>
                <w:highlight w:val="none"/>
              </w:rPr>
            </w:pPr>
          </w:p>
        </w:tc>
      </w:tr>
      <w:tr w14:paraId="0F0B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48059D65">
            <w:pPr>
              <w:jc w:val="center"/>
              <w:rPr>
                <w:rFonts w:ascii="宋体" w:hAnsi="宋体" w:cs="宋体"/>
                <w:color w:val="auto"/>
                <w:sz w:val="24"/>
                <w:szCs w:val="24"/>
                <w:highlight w:val="none"/>
              </w:rPr>
            </w:pPr>
          </w:p>
        </w:tc>
        <w:tc>
          <w:tcPr>
            <w:tcW w:w="1056" w:type="dxa"/>
          </w:tcPr>
          <w:p w14:paraId="61EB7E35">
            <w:pPr>
              <w:jc w:val="center"/>
              <w:rPr>
                <w:rFonts w:ascii="宋体" w:hAnsi="宋体" w:cs="宋体"/>
                <w:color w:val="auto"/>
                <w:sz w:val="24"/>
                <w:szCs w:val="24"/>
                <w:highlight w:val="none"/>
              </w:rPr>
            </w:pPr>
          </w:p>
        </w:tc>
        <w:tc>
          <w:tcPr>
            <w:tcW w:w="852" w:type="dxa"/>
          </w:tcPr>
          <w:p w14:paraId="381F3ABF">
            <w:pPr>
              <w:jc w:val="center"/>
              <w:rPr>
                <w:rFonts w:ascii="宋体" w:hAnsi="宋体" w:cs="宋体"/>
                <w:color w:val="auto"/>
                <w:sz w:val="24"/>
                <w:szCs w:val="24"/>
                <w:highlight w:val="none"/>
              </w:rPr>
            </w:pPr>
          </w:p>
        </w:tc>
        <w:tc>
          <w:tcPr>
            <w:tcW w:w="852" w:type="dxa"/>
          </w:tcPr>
          <w:p w14:paraId="12D88716">
            <w:pPr>
              <w:jc w:val="center"/>
              <w:rPr>
                <w:rFonts w:ascii="宋体" w:hAnsi="宋体" w:cs="宋体"/>
                <w:color w:val="auto"/>
                <w:sz w:val="24"/>
                <w:szCs w:val="24"/>
                <w:highlight w:val="none"/>
              </w:rPr>
            </w:pPr>
          </w:p>
        </w:tc>
        <w:tc>
          <w:tcPr>
            <w:tcW w:w="853" w:type="dxa"/>
          </w:tcPr>
          <w:p w14:paraId="208E8383">
            <w:pPr>
              <w:jc w:val="center"/>
              <w:rPr>
                <w:rFonts w:ascii="宋体" w:hAnsi="宋体" w:cs="宋体"/>
                <w:color w:val="auto"/>
                <w:sz w:val="24"/>
                <w:szCs w:val="24"/>
                <w:highlight w:val="none"/>
              </w:rPr>
            </w:pPr>
          </w:p>
        </w:tc>
        <w:tc>
          <w:tcPr>
            <w:tcW w:w="852" w:type="dxa"/>
          </w:tcPr>
          <w:p w14:paraId="1356B837">
            <w:pPr>
              <w:jc w:val="center"/>
              <w:rPr>
                <w:rFonts w:ascii="宋体" w:hAnsi="宋体" w:cs="宋体"/>
                <w:color w:val="auto"/>
                <w:sz w:val="24"/>
                <w:szCs w:val="24"/>
                <w:highlight w:val="none"/>
              </w:rPr>
            </w:pPr>
          </w:p>
        </w:tc>
        <w:tc>
          <w:tcPr>
            <w:tcW w:w="852" w:type="dxa"/>
          </w:tcPr>
          <w:p w14:paraId="7060FF35">
            <w:pPr>
              <w:jc w:val="center"/>
              <w:rPr>
                <w:rFonts w:ascii="宋体" w:hAnsi="宋体" w:cs="宋体"/>
                <w:color w:val="auto"/>
                <w:sz w:val="24"/>
                <w:szCs w:val="24"/>
                <w:highlight w:val="none"/>
              </w:rPr>
            </w:pPr>
          </w:p>
        </w:tc>
        <w:tc>
          <w:tcPr>
            <w:tcW w:w="852" w:type="dxa"/>
          </w:tcPr>
          <w:p w14:paraId="6C52949E">
            <w:pPr>
              <w:jc w:val="center"/>
              <w:rPr>
                <w:rFonts w:ascii="宋体" w:hAnsi="宋体" w:cs="宋体"/>
                <w:color w:val="auto"/>
                <w:sz w:val="24"/>
                <w:szCs w:val="24"/>
                <w:highlight w:val="none"/>
              </w:rPr>
            </w:pPr>
          </w:p>
        </w:tc>
        <w:tc>
          <w:tcPr>
            <w:tcW w:w="1439" w:type="dxa"/>
          </w:tcPr>
          <w:p w14:paraId="2B7415CC">
            <w:pPr>
              <w:jc w:val="center"/>
              <w:rPr>
                <w:rFonts w:ascii="宋体" w:hAnsi="宋体" w:cs="宋体"/>
                <w:color w:val="auto"/>
                <w:sz w:val="24"/>
                <w:szCs w:val="24"/>
                <w:highlight w:val="none"/>
              </w:rPr>
            </w:pPr>
          </w:p>
        </w:tc>
      </w:tr>
      <w:tr w14:paraId="2499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253B28D1">
            <w:pPr>
              <w:jc w:val="center"/>
              <w:rPr>
                <w:rFonts w:ascii="宋体" w:hAnsi="宋体" w:cs="宋体"/>
                <w:color w:val="auto"/>
                <w:sz w:val="24"/>
                <w:szCs w:val="24"/>
                <w:highlight w:val="none"/>
              </w:rPr>
            </w:pPr>
          </w:p>
        </w:tc>
        <w:tc>
          <w:tcPr>
            <w:tcW w:w="1056" w:type="dxa"/>
          </w:tcPr>
          <w:p w14:paraId="0275AB8D">
            <w:pPr>
              <w:jc w:val="center"/>
              <w:rPr>
                <w:rFonts w:ascii="宋体" w:hAnsi="宋体" w:cs="宋体"/>
                <w:color w:val="auto"/>
                <w:sz w:val="24"/>
                <w:szCs w:val="24"/>
                <w:highlight w:val="none"/>
              </w:rPr>
            </w:pPr>
          </w:p>
        </w:tc>
        <w:tc>
          <w:tcPr>
            <w:tcW w:w="852" w:type="dxa"/>
          </w:tcPr>
          <w:p w14:paraId="457995E4">
            <w:pPr>
              <w:jc w:val="center"/>
              <w:rPr>
                <w:rFonts w:ascii="宋体" w:hAnsi="宋体" w:cs="宋体"/>
                <w:color w:val="auto"/>
                <w:sz w:val="24"/>
                <w:szCs w:val="24"/>
                <w:highlight w:val="none"/>
              </w:rPr>
            </w:pPr>
          </w:p>
        </w:tc>
        <w:tc>
          <w:tcPr>
            <w:tcW w:w="852" w:type="dxa"/>
          </w:tcPr>
          <w:p w14:paraId="354A9470">
            <w:pPr>
              <w:jc w:val="center"/>
              <w:rPr>
                <w:rFonts w:ascii="宋体" w:hAnsi="宋体" w:cs="宋体"/>
                <w:color w:val="auto"/>
                <w:sz w:val="24"/>
                <w:szCs w:val="24"/>
                <w:highlight w:val="none"/>
              </w:rPr>
            </w:pPr>
          </w:p>
        </w:tc>
        <w:tc>
          <w:tcPr>
            <w:tcW w:w="853" w:type="dxa"/>
          </w:tcPr>
          <w:p w14:paraId="784696EC">
            <w:pPr>
              <w:jc w:val="center"/>
              <w:rPr>
                <w:rFonts w:ascii="宋体" w:hAnsi="宋体" w:cs="宋体"/>
                <w:color w:val="auto"/>
                <w:sz w:val="24"/>
                <w:szCs w:val="24"/>
                <w:highlight w:val="none"/>
              </w:rPr>
            </w:pPr>
          </w:p>
        </w:tc>
        <w:tc>
          <w:tcPr>
            <w:tcW w:w="852" w:type="dxa"/>
          </w:tcPr>
          <w:p w14:paraId="6E5E6A8F">
            <w:pPr>
              <w:jc w:val="center"/>
              <w:rPr>
                <w:rFonts w:ascii="宋体" w:hAnsi="宋体" w:cs="宋体"/>
                <w:color w:val="auto"/>
                <w:sz w:val="24"/>
                <w:szCs w:val="24"/>
                <w:highlight w:val="none"/>
              </w:rPr>
            </w:pPr>
          </w:p>
        </w:tc>
        <w:tc>
          <w:tcPr>
            <w:tcW w:w="852" w:type="dxa"/>
          </w:tcPr>
          <w:p w14:paraId="7AE8C15D">
            <w:pPr>
              <w:jc w:val="center"/>
              <w:rPr>
                <w:rFonts w:ascii="宋体" w:hAnsi="宋体" w:cs="宋体"/>
                <w:color w:val="auto"/>
                <w:sz w:val="24"/>
                <w:szCs w:val="24"/>
                <w:highlight w:val="none"/>
              </w:rPr>
            </w:pPr>
          </w:p>
        </w:tc>
        <w:tc>
          <w:tcPr>
            <w:tcW w:w="852" w:type="dxa"/>
          </w:tcPr>
          <w:p w14:paraId="15C8E516">
            <w:pPr>
              <w:jc w:val="center"/>
              <w:rPr>
                <w:rFonts w:ascii="宋体" w:hAnsi="宋体" w:cs="宋体"/>
                <w:color w:val="auto"/>
                <w:sz w:val="24"/>
                <w:szCs w:val="24"/>
                <w:highlight w:val="none"/>
              </w:rPr>
            </w:pPr>
          </w:p>
        </w:tc>
        <w:tc>
          <w:tcPr>
            <w:tcW w:w="1439" w:type="dxa"/>
          </w:tcPr>
          <w:p w14:paraId="206BB4F3">
            <w:pPr>
              <w:jc w:val="center"/>
              <w:rPr>
                <w:rFonts w:ascii="宋体" w:hAnsi="宋体" w:cs="宋体"/>
                <w:color w:val="auto"/>
                <w:sz w:val="24"/>
                <w:szCs w:val="24"/>
                <w:highlight w:val="none"/>
              </w:rPr>
            </w:pPr>
          </w:p>
        </w:tc>
      </w:tr>
      <w:tr w14:paraId="3672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16613C3A">
            <w:pPr>
              <w:jc w:val="center"/>
              <w:rPr>
                <w:rFonts w:ascii="宋体" w:hAnsi="宋体" w:cs="宋体"/>
                <w:color w:val="auto"/>
                <w:sz w:val="24"/>
                <w:szCs w:val="24"/>
                <w:highlight w:val="none"/>
              </w:rPr>
            </w:pPr>
          </w:p>
        </w:tc>
        <w:tc>
          <w:tcPr>
            <w:tcW w:w="1056" w:type="dxa"/>
          </w:tcPr>
          <w:p w14:paraId="576D87F7">
            <w:pPr>
              <w:jc w:val="center"/>
              <w:rPr>
                <w:rFonts w:ascii="宋体" w:hAnsi="宋体" w:cs="宋体"/>
                <w:color w:val="auto"/>
                <w:sz w:val="24"/>
                <w:szCs w:val="24"/>
                <w:highlight w:val="none"/>
              </w:rPr>
            </w:pPr>
          </w:p>
        </w:tc>
        <w:tc>
          <w:tcPr>
            <w:tcW w:w="852" w:type="dxa"/>
          </w:tcPr>
          <w:p w14:paraId="118EA6C2">
            <w:pPr>
              <w:jc w:val="center"/>
              <w:rPr>
                <w:rFonts w:ascii="宋体" w:hAnsi="宋体" w:cs="宋体"/>
                <w:color w:val="auto"/>
                <w:sz w:val="24"/>
                <w:szCs w:val="24"/>
                <w:highlight w:val="none"/>
              </w:rPr>
            </w:pPr>
          </w:p>
        </w:tc>
        <w:tc>
          <w:tcPr>
            <w:tcW w:w="852" w:type="dxa"/>
          </w:tcPr>
          <w:p w14:paraId="7E8CC224">
            <w:pPr>
              <w:jc w:val="center"/>
              <w:rPr>
                <w:rFonts w:ascii="宋体" w:hAnsi="宋体" w:cs="宋体"/>
                <w:color w:val="auto"/>
                <w:sz w:val="24"/>
                <w:szCs w:val="24"/>
                <w:highlight w:val="none"/>
              </w:rPr>
            </w:pPr>
          </w:p>
        </w:tc>
        <w:tc>
          <w:tcPr>
            <w:tcW w:w="853" w:type="dxa"/>
          </w:tcPr>
          <w:p w14:paraId="6B4B7301">
            <w:pPr>
              <w:jc w:val="center"/>
              <w:rPr>
                <w:rFonts w:ascii="宋体" w:hAnsi="宋体" w:cs="宋体"/>
                <w:color w:val="auto"/>
                <w:sz w:val="24"/>
                <w:szCs w:val="24"/>
                <w:highlight w:val="none"/>
              </w:rPr>
            </w:pPr>
          </w:p>
        </w:tc>
        <w:tc>
          <w:tcPr>
            <w:tcW w:w="852" w:type="dxa"/>
          </w:tcPr>
          <w:p w14:paraId="38B91859">
            <w:pPr>
              <w:jc w:val="center"/>
              <w:rPr>
                <w:rFonts w:ascii="宋体" w:hAnsi="宋体" w:cs="宋体"/>
                <w:color w:val="auto"/>
                <w:sz w:val="24"/>
                <w:szCs w:val="24"/>
                <w:highlight w:val="none"/>
              </w:rPr>
            </w:pPr>
          </w:p>
        </w:tc>
        <w:tc>
          <w:tcPr>
            <w:tcW w:w="852" w:type="dxa"/>
          </w:tcPr>
          <w:p w14:paraId="23896B77">
            <w:pPr>
              <w:jc w:val="center"/>
              <w:rPr>
                <w:rFonts w:ascii="宋体" w:hAnsi="宋体" w:cs="宋体"/>
                <w:color w:val="auto"/>
                <w:sz w:val="24"/>
                <w:szCs w:val="24"/>
                <w:highlight w:val="none"/>
              </w:rPr>
            </w:pPr>
          </w:p>
        </w:tc>
        <w:tc>
          <w:tcPr>
            <w:tcW w:w="852" w:type="dxa"/>
          </w:tcPr>
          <w:p w14:paraId="07302414">
            <w:pPr>
              <w:jc w:val="center"/>
              <w:rPr>
                <w:rFonts w:ascii="宋体" w:hAnsi="宋体" w:cs="宋体"/>
                <w:color w:val="auto"/>
                <w:sz w:val="24"/>
                <w:szCs w:val="24"/>
                <w:highlight w:val="none"/>
              </w:rPr>
            </w:pPr>
          </w:p>
        </w:tc>
        <w:tc>
          <w:tcPr>
            <w:tcW w:w="1439" w:type="dxa"/>
          </w:tcPr>
          <w:p w14:paraId="1539640B">
            <w:pPr>
              <w:jc w:val="center"/>
              <w:rPr>
                <w:rFonts w:ascii="宋体" w:hAnsi="宋体" w:cs="宋体"/>
                <w:color w:val="auto"/>
                <w:sz w:val="24"/>
                <w:szCs w:val="24"/>
                <w:highlight w:val="none"/>
              </w:rPr>
            </w:pPr>
          </w:p>
        </w:tc>
      </w:tr>
      <w:tr w14:paraId="0DFA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713679B1">
            <w:pPr>
              <w:jc w:val="center"/>
              <w:rPr>
                <w:rFonts w:ascii="宋体" w:hAnsi="宋体" w:cs="宋体"/>
                <w:color w:val="auto"/>
                <w:sz w:val="24"/>
                <w:szCs w:val="24"/>
                <w:highlight w:val="none"/>
              </w:rPr>
            </w:pPr>
          </w:p>
        </w:tc>
        <w:tc>
          <w:tcPr>
            <w:tcW w:w="1056" w:type="dxa"/>
          </w:tcPr>
          <w:p w14:paraId="6ADE49B4">
            <w:pPr>
              <w:jc w:val="center"/>
              <w:rPr>
                <w:rFonts w:ascii="宋体" w:hAnsi="宋体" w:cs="宋体"/>
                <w:color w:val="auto"/>
                <w:sz w:val="24"/>
                <w:szCs w:val="24"/>
                <w:highlight w:val="none"/>
              </w:rPr>
            </w:pPr>
          </w:p>
        </w:tc>
        <w:tc>
          <w:tcPr>
            <w:tcW w:w="852" w:type="dxa"/>
          </w:tcPr>
          <w:p w14:paraId="5BE69D58">
            <w:pPr>
              <w:jc w:val="center"/>
              <w:rPr>
                <w:rFonts w:ascii="宋体" w:hAnsi="宋体" w:cs="宋体"/>
                <w:color w:val="auto"/>
                <w:sz w:val="24"/>
                <w:szCs w:val="24"/>
                <w:highlight w:val="none"/>
              </w:rPr>
            </w:pPr>
          </w:p>
        </w:tc>
        <w:tc>
          <w:tcPr>
            <w:tcW w:w="852" w:type="dxa"/>
          </w:tcPr>
          <w:p w14:paraId="5FE9B39F">
            <w:pPr>
              <w:jc w:val="center"/>
              <w:rPr>
                <w:rFonts w:ascii="宋体" w:hAnsi="宋体" w:cs="宋体"/>
                <w:color w:val="auto"/>
                <w:sz w:val="24"/>
                <w:szCs w:val="24"/>
                <w:highlight w:val="none"/>
              </w:rPr>
            </w:pPr>
          </w:p>
        </w:tc>
        <w:tc>
          <w:tcPr>
            <w:tcW w:w="853" w:type="dxa"/>
          </w:tcPr>
          <w:p w14:paraId="5A49C789">
            <w:pPr>
              <w:jc w:val="center"/>
              <w:rPr>
                <w:rFonts w:ascii="宋体" w:hAnsi="宋体" w:cs="宋体"/>
                <w:color w:val="auto"/>
                <w:sz w:val="24"/>
                <w:szCs w:val="24"/>
                <w:highlight w:val="none"/>
              </w:rPr>
            </w:pPr>
          </w:p>
        </w:tc>
        <w:tc>
          <w:tcPr>
            <w:tcW w:w="852" w:type="dxa"/>
          </w:tcPr>
          <w:p w14:paraId="05C763B7">
            <w:pPr>
              <w:jc w:val="center"/>
              <w:rPr>
                <w:rFonts w:ascii="宋体" w:hAnsi="宋体" w:cs="宋体"/>
                <w:color w:val="auto"/>
                <w:sz w:val="24"/>
                <w:szCs w:val="24"/>
                <w:highlight w:val="none"/>
              </w:rPr>
            </w:pPr>
          </w:p>
        </w:tc>
        <w:tc>
          <w:tcPr>
            <w:tcW w:w="852" w:type="dxa"/>
          </w:tcPr>
          <w:p w14:paraId="7E99230F">
            <w:pPr>
              <w:jc w:val="center"/>
              <w:rPr>
                <w:rFonts w:ascii="宋体" w:hAnsi="宋体" w:cs="宋体"/>
                <w:color w:val="auto"/>
                <w:sz w:val="24"/>
                <w:szCs w:val="24"/>
                <w:highlight w:val="none"/>
              </w:rPr>
            </w:pPr>
          </w:p>
        </w:tc>
        <w:tc>
          <w:tcPr>
            <w:tcW w:w="852" w:type="dxa"/>
          </w:tcPr>
          <w:p w14:paraId="6932736E">
            <w:pPr>
              <w:jc w:val="center"/>
              <w:rPr>
                <w:rFonts w:ascii="宋体" w:hAnsi="宋体" w:cs="宋体"/>
                <w:color w:val="auto"/>
                <w:sz w:val="24"/>
                <w:szCs w:val="24"/>
                <w:highlight w:val="none"/>
              </w:rPr>
            </w:pPr>
          </w:p>
        </w:tc>
        <w:tc>
          <w:tcPr>
            <w:tcW w:w="1439" w:type="dxa"/>
          </w:tcPr>
          <w:p w14:paraId="063E43D5">
            <w:pPr>
              <w:jc w:val="center"/>
              <w:rPr>
                <w:rFonts w:ascii="宋体" w:hAnsi="宋体" w:cs="宋体"/>
                <w:color w:val="auto"/>
                <w:sz w:val="24"/>
                <w:szCs w:val="24"/>
                <w:highlight w:val="none"/>
              </w:rPr>
            </w:pPr>
          </w:p>
        </w:tc>
      </w:tr>
      <w:tr w14:paraId="5FBC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52" w:type="dxa"/>
          </w:tcPr>
          <w:p w14:paraId="4C11A1AF">
            <w:pPr>
              <w:jc w:val="center"/>
              <w:rPr>
                <w:rFonts w:ascii="宋体" w:hAnsi="宋体" w:cs="宋体"/>
                <w:color w:val="auto"/>
                <w:sz w:val="24"/>
                <w:szCs w:val="24"/>
                <w:highlight w:val="none"/>
              </w:rPr>
            </w:pPr>
          </w:p>
        </w:tc>
        <w:tc>
          <w:tcPr>
            <w:tcW w:w="1056" w:type="dxa"/>
          </w:tcPr>
          <w:p w14:paraId="778E6530">
            <w:pPr>
              <w:jc w:val="center"/>
              <w:rPr>
                <w:rFonts w:ascii="宋体" w:hAnsi="宋体" w:cs="宋体"/>
                <w:color w:val="auto"/>
                <w:sz w:val="24"/>
                <w:szCs w:val="24"/>
                <w:highlight w:val="none"/>
              </w:rPr>
            </w:pPr>
          </w:p>
        </w:tc>
        <w:tc>
          <w:tcPr>
            <w:tcW w:w="852" w:type="dxa"/>
          </w:tcPr>
          <w:p w14:paraId="52245A71">
            <w:pPr>
              <w:jc w:val="center"/>
              <w:rPr>
                <w:rFonts w:ascii="宋体" w:hAnsi="宋体" w:cs="宋体"/>
                <w:color w:val="auto"/>
                <w:sz w:val="24"/>
                <w:szCs w:val="24"/>
                <w:highlight w:val="none"/>
              </w:rPr>
            </w:pPr>
          </w:p>
        </w:tc>
        <w:tc>
          <w:tcPr>
            <w:tcW w:w="852" w:type="dxa"/>
          </w:tcPr>
          <w:p w14:paraId="13952AAB">
            <w:pPr>
              <w:jc w:val="center"/>
              <w:rPr>
                <w:rFonts w:ascii="宋体" w:hAnsi="宋体" w:cs="宋体"/>
                <w:color w:val="auto"/>
                <w:sz w:val="24"/>
                <w:szCs w:val="24"/>
                <w:highlight w:val="none"/>
              </w:rPr>
            </w:pPr>
          </w:p>
        </w:tc>
        <w:tc>
          <w:tcPr>
            <w:tcW w:w="853" w:type="dxa"/>
          </w:tcPr>
          <w:p w14:paraId="2E5B5010">
            <w:pPr>
              <w:jc w:val="center"/>
              <w:rPr>
                <w:rFonts w:ascii="宋体" w:hAnsi="宋体" w:cs="宋体"/>
                <w:color w:val="auto"/>
                <w:sz w:val="24"/>
                <w:szCs w:val="24"/>
                <w:highlight w:val="none"/>
              </w:rPr>
            </w:pPr>
          </w:p>
        </w:tc>
        <w:tc>
          <w:tcPr>
            <w:tcW w:w="852" w:type="dxa"/>
          </w:tcPr>
          <w:p w14:paraId="2E875755">
            <w:pPr>
              <w:jc w:val="center"/>
              <w:rPr>
                <w:rFonts w:ascii="宋体" w:hAnsi="宋体" w:cs="宋体"/>
                <w:color w:val="auto"/>
                <w:sz w:val="24"/>
                <w:szCs w:val="24"/>
                <w:highlight w:val="none"/>
              </w:rPr>
            </w:pPr>
          </w:p>
        </w:tc>
        <w:tc>
          <w:tcPr>
            <w:tcW w:w="852" w:type="dxa"/>
          </w:tcPr>
          <w:p w14:paraId="0676BA24">
            <w:pPr>
              <w:jc w:val="center"/>
              <w:rPr>
                <w:rFonts w:ascii="宋体" w:hAnsi="宋体" w:cs="宋体"/>
                <w:color w:val="auto"/>
                <w:sz w:val="24"/>
                <w:szCs w:val="24"/>
                <w:highlight w:val="none"/>
              </w:rPr>
            </w:pPr>
          </w:p>
        </w:tc>
        <w:tc>
          <w:tcPr>
            <w:tcW w:w="852" w:type="dxa"/>
          </w:tcPr>
          <w:p w14:paraId="614D1E8E">
            <w:pPr>
              <w:jc w:val="center"/>
              <w:rPr>
                <w:rFonts w:ascii="宋体" w:hAnsi="宋体" w:cs="宋体"/>
                <w:color w:val="auto"/>
                <w:sz w:val="24"/>
                <w:szCs w:val="24"/>
                <w:highlight w:val="none"/>
              </w:rPr>
            </w:pPr>
          </w:p>
        </w:tc>
        <w:tc>
          <w:tcPr>
            <w:tcW w:w="1439" w:type="dxa"/>
          </w:tcPr>
          <w:p w14:paraId="01475C2C">
            <w:pPr>
              <w:jc w:val="center"/>
              <w:rPr>
                <w:rFonts w:ascii="宋体" w:hAnsi="宋体" w:cs="宋体"/>
                <w:color w:val="auto"/>
                <w:sz w:val="24"/>
                <w:szCs w:val="24"/>
                <w:highlight w:val="none"/>
              </w:rPr>
            </w:pPr>
          </w:p>
        </w:tc>
      </w:tr>
      <w:tr w14:paraId="78AA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2" w:type="dxa"/>
          </w:tcPr>
          <w:p w14:paraId="5222EA76">
            <w:pPr>
              <w:jc w:val="center"/>
              <w:rPr>
                <w:rFonts w:ascii="宋体" w:hAnsi="宋体" w:cs="宋体"/>
                <w:color w:val="auto"/>
                <w:sz w:val="24"/>
                <w:szCs w:val="24"/>
                <w:highlight w:val="none"/>
              </w:rPr>
            </w:pPr>
          </w:p>
        </w:tc>
        <w:tc>
          <w:tcPr>
            <w:tcW w:w="1056" w:type="dxa"/>
          </w:tcPr>
          <w:p w14:paraId="742B9711">
            <w:pPr>
              <w:jc w:val="center"/>
              <w:rPr>
                <w:rFonts w:ascii="宋体" w:hAnsi="宋体" w:cs="宋体"/>
                <w:color w:val="auto"/>
                <w:sz w:val="24"/>
                <w:szCs w:val="24"/>
                <w:highlight w:val="none"/>
              </w:rPr>
            </w:pPr>
          </w:p>
        </w:tc>
        <w:tc>
          <w:tcPr>
            <w:tcW w:w="852" w:type="dxa"/>
          </w:tcPr>
          <w:p w14:paraId="6EF4F4B9">
            <w:pPr>
              <w:jc w:val="center"/>
              <w:rPr>
                <w:rFonts w:ascii="宋体" w:hAnsi="宋体" w:cs="宋体"/>
                <w:color w:val="auto"/>
                <w:sz w:val="24"/>
                <w:szCs w:val="24"/>
                <w:highlight w:val="none"/>
              </w:rPr>
            </w:pPr>
          </w:p>
        </w:tc>
        <w:tc>
          <w:tcPr>
            <w:tcW w:w="852" w:type="dxa"/>
          </w:tcPr>
          <w:p w14:paraId="76058A51">
            <w:pPr>
              <w:jc w:val="center"/>
              <w:rPr>
                <w:rFonts w:ascii="宋体" w:hAnsi="宋体" w:cs="宋体"/>
                <w:color w:val="auto"/>
                <w:sz w:val="24"/>
                <w:szCs w:val="24"/>
                <w:highlight w:val="none"/>
              </w:rPr>
            </w:pPr>
          </w:p>
        </w:tc>
        <w:tc>
          <w:tcPr>
            <w:tcW w:w="853" w:type="dxa"/>
          </w:tcPr>
          <w:p w14:paraId="39A4BA05">
            <w:pPr>
              <w:jc w:val="center"/>
              <w:rPr>
                <w:rFonts w:ascii="宋体" w:hAnsi="宋体" w:cs="宋体"/>
                <w:color w:val="auto"/>
                <w:sz w:val="24"/>
                <w:szCs w:val="24"/>
                <w:highlight w:val="none"/>
              </w:rPr>
            </w:pPr>
          </w:p>
        </w:tc>
        <w:tc>
          <w:tcPr>
            <w:tcW w:w="852" w:type="dxa"/>
          </w:tcPr>
          <w:p w14:paraId="559D1EC6">
            <w:pPr>
              <w:jc w:val="center"/>
              <w:rPr>
                <w:rFonts w:ascii="宋体" w:hAnsi="宋体" w:cs="宋体"/>
                <w:color w:val="auto"/>
                <w:sz w:val="24"/>
                <w:szCs w:val="24"/>
                <w:highlight w:val="none"/>
              </w:rPr>
            </w:pPr>
          </w:p>
        </w:tc>
        <w:tc>
          <w:tcPr>
            <w:tcW w:w="852" w:type="dxa"/>
          </w:tcPr>
          <w:p w14:paraId="68DEED1B">
            <w:pPr>
              <w:jc w:val="center"/>
              <w:rPr>
                <w:rFonts w:ascii="宋体" w:hAnsi="宋体" w:cs="宋体"/>
                <w:color w:val="auto"/>
                <w:sz w:val="24"/>
                <w:szCs w:val="24"/>
                <w:highlight w:val="none"/>
              </w:rPr>
            </w:pPr>
          </w:p>
        </w:tc>
        <w:tc>
          <w:tcPr>
            <w:tcW w:w="852" w:type="dxa"/>
          </w:tcPr>
          <w:p w14:paraId="5188CAFB">
            <w:pPr>
              <w:jc w:val="center"/>
              <w:rPr>
                <w:rFonts w:ascii="宋体" w:hAnsi="宋体" w:cs="宋体"/>
                <w:color w:val="auto"/>
                <w:sz w:val="24"/>
                <w:szCs w:val="24"/>
                <w:highlight w:val="none"/>
              </w:rPr>
            </w:pPr>
          </w:p>
        </w:tc>
        <w:tc>
          <w:tcPr>
            <w:tcW w:w="1439" w:type="dxa"/>
          </w:tcPr>
          <w:p w14:paraId="68EE172C">
            <w:pPr>
              <w:jc w:val="center"/>
              <w:rPr>
                <w:rFonts w:ascii="宋体" w:hAnsi="宋体" w:cs="宋体"/>
                <w:color w:val="auto"/>
                <w:sz w:val="24"/>
                <w:szCs w:val="24"/>
                <w:highlight w:val="none"/>
              </w:rPr>
            </w:pPr>
          </w:p>
        </w:tc>
      </w:tr>
    </w:tbl>
    <w:p w14:paraId="4DFF5EEE">
      <w:pPr>
        <w:jc w:val="center"/>
        <w:rPr>
          <w:rFonts w:ascii="宋体" w:hAnsi="宋体" w:cs="宋体"/>
          <w:color w:val="auto"/>
          <w:highlight w:val="none"/>
        </w:rPr>
      </w:pPr>
    </w:p>
    <w:p w14:paraId="666756ED">
      <w:pPr>
        <w:tabs>
          <w:tab w:val="left" w:pos="5580"/>
        </w:tabs>
        <w:autoSpaceDE w:val="0"/>
        <w:autoSpaceDN w:val="0"/>
        <w:adjustRightInd w:val="0"/>
        <w:spacing w:line="360" w:lineRule="auto"/>
        <w:jc w:val="left"/>
        <w:rPr>
          <w:rFonts w:hint="eastAsia" w:ascii="宋体" w:cs="宋体"/>
          <w:color w:val="auto"/>
          <w:kern w:val="0"/>
          <w:sz w:val="24"/>
          <w:highlight w:val="none"/>
          <w:lang w:val="zh-CN"/>
        </w:rPr>
      </w:pPr>
    </w:p>
    <w:p w14:paraId="2F58DFA1">
      <w:pPr>
        <w:tabs>
          <w:tab w:val="left" w:pos="5580"/>
        </w:tabs>
        <w:autoSpaceDE w:val="0"/>
        <w:autoSpaceDN w:val="0"/>
        <w:adjustRightInd w:val="0"/>
        <w:spacing w:line="360" w:lineRule="auto"/>
        <w:jc w:val="left"/>
        <w:rPr>
          <w:rFonts w:hint="eastAsia" w:ascii="宋体" w:cs="宋体"/>
          <w:color w:val="auto"/>
          <w:kern w:val="0"/>
          <w:sz w:val="24"/>
          <w:highlight w:val="none"/>
          <w:lang w:val="zh-CN"/>
        </w:rPr>
      </w:pPr>
    </w:p>
    <w:p w14:paraId="4D7E3E25">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供应商名称：</w:t>
      </w:r>
      <w:r>
        <w:rPr>
          <w:color w:val="auto"/>
          <w:kern w:val="0"/>
          <w:sz w:val="24"/>
          <w:highlight w:val="none"/>
          <w:u w:val="single"/>
        </w:rPr>
        <w:t xml:space="preserve">                       </w:t>
      </w:r>
      <w:r>
        <w:rPr>
          <w:rFonts w:hint="eastAsia"/>
          <w:color w:val="auto"/>
          <w:kern w:val="0"/>
          <w:sz w:val="24"/>
          <w:highlight w:val="none"/>
          <w:u w:val="single"/>
        </w:rPr>
        <w:t>（盖章）</w:t>
      </w:r>
      <w:r>
        <w:rPr>
          <w:color w:val="auto"/>
          <w:kern w:val="0"/>
          <w:sz w:val="24"/>
          <w:highlight w:val="none"/>
          <w:u w:val="single"/>
        </w:rPr>
        <w:t xml:space="preserve"> </w:t>
      </w:r>
    </w:p>
    <w:p w14:paraId="77DD65B2">
      <w:pPr>
        <w:tabs>
          <w:tab w:val="left" w:pos="5580"/>
        </w:tabs>
        <w:autoSpaceDE w:val="0"/>
        <w:autoSpaceDN w:val="0"/>
        <w:adjustRightInd w:val="0"/>
        <w:spacing w:line="360" w:lineRule="auto"/>
        <w:jc w:val="left"/>
        <w:rPr>
          <w:rFonts w:ascii="宋体" w:cs="宋体"/>
          <w:color w:val="auto"/>
          <w:kern w:val="0"/>
          <w:sz w:val="24"/>
          <w:highlight w:val="none"/>
          <w:lang w:val="zh-CN"/>
        </w:rPr>
      </w:pPr>
    </w:p>
    <w:p w14:paraId="4242CAC2">
      <w:pPr>
        <w:tabs>
          <w:tab w:val="left" w:pos="5580"/>
        </w:tabs>
        <w:autoSpaceDE w:val="0"/>
        <w:autoSpaceDN w:val="0"/>
        <w:adjustRightInd w:val="0"/>
        <w:spacing w:line="360" w:lineRule="auto"/>
        <w:jc w:val="left"/>
        <w:rPr>
          <w:color w:val="auto"/>
          <w:kern w:val="0"/>
          <w:sz w:val="24"/>
          <w:highlight w:val="none"/>
          <w:u w:val="single"/>
        </w:rPr>
      </w:pPr>
      <w:r>
        <w:rPr>
          <w:rFonts w:hint="eastAsia" w:ascii="宋体" w:cs="宋体"/>
          <w:color w:val="auto"/>
          <w:kern w:val="0"/>
          <w:sz w:val="24"/>
          <w:highlight w:val="none"/>
          <w:lang w:val="zh-CN"/>
        </w:rPr>
        <w:t>法定代表人或其委托代理人：</w:t>
      </w:r>
      <w:r>
        <w:rPr>
          <w:rFonts w:hint="eastAsia" w:ascii="宋体" w:cs="宋体"/>
          <w:color w:val="auto"/>
          <w:kern w:val="0"/>
          <w:sz w:val="24"/>
          <w:highlight w:val="none"/>
          <w:u w:val="single"/>
        </w:rPr>
        <w:t xml:space="preserve">              </w:t>
      </w:r>
      <w:r>
        <w:rPr>
          <w:rFonts w:hint="eastAsia"/>
          <w:color w:val="auto"/>
          <w:kern w:val="0"/>
          <w:sz w:val="24"/>
          <w:highlight w:val="none"/>
          <w:u w:val="single"/>
        </w:rPr>
        <w:t>（</w:t>
      </w:r>
      <w:r>
        <w:rPr>
          <w:rFonts w:hint="eastAsia" w:ascii="宋体" w:cs="宋体"/>
          <w:color w:val="auto"/>
          <w:kern w:val="0"/>
          <w:sz w:val="24"/>
          <w:highlight w:val="none"/>
          <w:u w:val="single"/>
        </w:rPr>
        <w:t xml:space="preserve"> </w:t>
      </w:r>
      <w:r>
        <w:rPr>
          <w:rFonts w:hint="eastAsia"/>
          <w:color w:val="auto"/>
          <w:kern w:val="0"/>
          <w:sz w:val="24"/>
          <w:highlight w:val="none"/>
          <w:u w:val="single"/>
        </w:rPr>
        <w:t>签字或盖章）</w:t>
      </w:r>
      <w:r>
        <w:rPr>
          <w:color w:val="auto"/>
          <w:kern w:val="0"/>
          <w:sz w:val="24"/>
          <w:highlight w:val="none"/>
          <w:u w:val="single"/>
        </w:rPr>
        <w:t xml:space="preserve">   </w:t>
      </w:r>
    </w:p>
    <w:p w14:paraId="5506716D">
      <w:pPr>
        <w:tabs>
          <w:tab w:val="left" w:pos="5580"/>
        </w:tabs>
        <w:autoSpaceDE w:val="0"/>
        <w:autoSpaceDN w:val="0"/>
        <w:adjustRightInd w:val="0"/>
        <w:spacing w:line="360" w:lineRule="auto"/>
        <w:jc w:val="left"/>
        <w:rPr>
          <w:rFonts w:ascii="宋体" w:cs="宋体"/>
          <w:color w:val="auto"/>
          <w:kern w:val="0"/>
          <w:sz w:val="24"/>
          <w:highlight w:val="none"/>
          <w:lang w:val="zh-CN"/>
        </w:rPr>
      </w:pPr>
      <w:r>
        <w:rPr>
          <w:rFonts w:hint="eastAsia" w:ascii="宋体" w:cs="宋体"/>
          <w:color w:val="auto"/>
          <w:kern w:val="0"/>
          <w:sz w:val="24"/>
          <w:highlight w:val="none"/>
          <w:lang w:val="zh-CN"/>
        </w:rPr>
        <w:t xml:space="preserve">            </w:t>
      </w:r>
    </w:p>
    <w:p w14:paraId="0912D627">
      <w:pPr>
        <w:pStyle w:val="13"/>
        <w:snapToGrid w:val="0"/>
        <w:ind w:firstLine="960" w:firstLineChars="400"/>
        <w:rPr>
          <w:color w:val="auto"/>
          <w:sz w:val="24"/>
          <w:highlight w:val="none"/>
        </w:rPr>
      </w:pPr>
      <w:r>
        <w:rPr>
          <w:rFonts w:hint="eastAsia"/>
          <w:color w:val="auto"/>
          <w:sz w:val="24"/>
          <w:highlight w:val="none"/>
        </w:rPr>
        <w:t xml:space="preserve">年  </w:t>
      </w:r>
      <w:r>
        <w:rPr>
          <w:rFonts w:hint="eastAsia"/>
          <w:color w:val="auto"/>
          <w:sz w:val="24"/>
          <w:highlight w:val="none"/>
        </w:rPr>
        <w:tab/>
      </w:r>
      <w:r>
        <w:rPr>
          <w:rFonts w:hint="eastAsia"/>
          <w:color w:val="auto"/>
          <w:sz w:val="24"/>
          <w:highlight w:val="none"/>
        </w:rPr>
        <w:t>月</w:t>
      </w:r>
      <w:r>
        <w:rPr>
          <w:rFonts w:hint="eastAsia"/>
          <w:color w:val="auto"/>
          <w:sz w:val="24"/>
          <w:highlight w:val="none"/>
        </w:rPr>
        <w:tab/>
      </w:r>
      <w:r>
        <w:rPr>
          <w:rFonts w:hint="eastAsia"/>
          <w:color w:val="auto"/>
          <w:sz w:val="24"/>
          <w:highlight w:val="none"/>
        </w:rPr>
        <w:t xml:space="preserve">   日</w:t>
      </w:r>
    </w:p>
    <w:p w14:paraId="53D47808">
      <w:pPr>
        <w:jc w:val="center"/>
        <w:rPr>
          <w:rFonts w:ascii="宋体" w:hAnsi="宋体" w:cs="宋体"/>
          <w:b/>
          <w:color w:val="auto"/>
          <w:sz w:val="28"/>
          <w:szCs w:val="28"/>
          <w:highlight w:val="none"/>
        </w:rPr>
      </w:pPr>
    </w:p>
    <w:p w14:paraId="2D0B5274">
      <w:pPr>
        <w:tabs>
          <w:tab w:val="left" w:pos="1260"/>
        </w:tabs>
        <w:spacing w:line="440" w:lineRule="exact"/>
        <w:ind w:left="536" w:leftChars="-85" w:hanging="714" w:hangingChars="340"/>
        <w:rPr>
          <w:rFonts w:ascii="宋体" w:hAnsi="宋体" w:cs="宋体"/>
          <w:bCs/>
          <w:color w:val="auto"/>
          <w:szCs w:val="21"/>
          <w:highlight w:val="none"/>
        </w:rPr>
      </w:pPr>
    </w:p>
    <w:p w14:paraId="30903386">
      <w:pPr>
        <w:keepNext/>
        <w:keepLines/>
        <w:autoSpaceDE w:val="0"/>
        <w:autoSpaceDN w:val="0"/>
        <w:adjustRightInd w:val="0"/>
        <w:spacing w:after="260" w:line="360" w:lineRule="auto"/>
        <w:jc w:val="center"/>
        <w:rPr>
          <w:rFonts w:ascii="宋体" w:hAnsi="Arial" w:cs="宋体"/>
          <w:b/>
          <w:bCs/>
          <w:color w:val="auto"/>
          <w:kern w:val="0"/>
          <w:sz w:val="28"/>
          <w:szCs w:val="28"/>
          <w:highlight w:val="none"/>
          <w:lang w:val="zh-CN"/>
        </w:rPr>
      </w:pPr>
    </w:p>
    <w:p w14:paraId="118A2318">
      <w:pPr>
        <w:keepNext/>
        <w:keepLines/>
        <w:autoSpaceDE w:val="0"/>
        <w:autoSpaceDN w:val="0"/>
        <w:adjustRightInd w:val="0"/>
        <w:spacing w:after="260" w:line="360" w:lineRule="auto"/>
        <w:rPr>
          <w:rFonts w:ascii="宋体" w:cs="宋体"/>
          <w:color w:val="auto"/>
          <w:kern w:val="0"/>
          <w:sz w:val="24"/>
          <w:highlight w:val="none"/>
          <w:lang w:val="zh-CN"/>
        </w:rPr>
      </w:pPr>
    </w:p>
    <w:p w14:paraId="69131936">
      <w:pPr>
        <w:keepNext/>
        <w:keepLines/>
        <w:autoSpaceDE w:val="0"/>
        <w:autoSpaceDN w:val="0"/>
        <w:adjustRightInd w:val="0"/>
        <w:spacing w:after="260" w:line="360" w:lineRule="auto"/>
        <w:rPr>
          <w:rFonts w:ascii="宋体" w:cs="宋体"/>
          <w:color w:val="auto"/>
          <w:kern w:val="0"/>
          <w:sz w:val="24"/>
          <w:highlight w:val="none"/>
          <w:lang w:val="zh-CN"/>
        </w:rPr>
      </w:pPr>
    </w:p>
    <w:p w14:paraId="75DF3B97">
      <w:pPr>
        <w:keepNext/>
        <w:keepLines/>
        <w:autoSpaceDE w:val="0"/>
        <w:autoSpaceDN w:val="0"/>
        <w:adjustRightInd w:val="0"/>
        <w:spacing w:after="260" w:line="360" w:lineRule="auto"/>
        <w:rPr>
          <w:rFonts w:ascii="宋体" w:cs="宋体"/>
          <w:color w:val="auto"/>
          <w:kern w:val="0"/>
          <w:sz w:val="24"/>
          <w:highlight w:val="none"/>
          <w:lang w:val="zh-CN"/>
        </w:rPr>
      </w:pPr>
    </w:p>
    <w:p w14:paraId="27B1B78D">
      <w:pPr>
        <w:pStyle w:val="9"/>
        <w:rPr>
          <w:color w:val="auto"/>
          <w:highlight w:val="none"/>
          <w:lang w:val="zh-CN"/>
        </w:rPr>
      </w:pPr>
    </w:p>
    <w:p w14:paraId="504FF82B">
      <w:pPr>
        <w:keepNext/>
        <w:keepLines/>
        <w:autoSpaceDE w:val="0"/>
        <w:autoSpaceDN w:val="0"/>
        <w:adjustRightInd w:val="0"/>
        <w:spacing w:after="260" w:line="360" w:lineRule="auto"/>
        <w:rPr>
          <w:rFonts w:hint="default" w:eastAsia="宋体"/>
          <w:bCs/>
          <w:color w:val="auto"/>
          <w:sz w:val="24"/>
          <w:highlight w:val="none"/>
          <w:lang w:val="en-US" w:eastAsia="zh-CN"/>
        </w:rPr>
      </w:pPr>
      <w:r>
        <w:rPr>
          <w:rFonts w:hint="eastAsia"/>
          <w:bCs/>
          <w:color w:val="auto"/>
          <w:sz w:val="24"/>
          <w:highlight w:val="none"/>
          <w:lang w:val="zh-CN"/>
        </w:rPr>
        <w:t>附件</w:t>
      </w:r>
      <w:r>
        <w:rPr>
          <w:rFonts w:hint="eastAsia"/>
          <w:bCs/>
          <w:color w:val="auto"/>
          <w:sz w:val="24"/>
          <w:highlight w:val="none"/>
          <w:lang w:val="en-US" w:eastAsia="zh-CN"/>
        </w:rPr>
        <w:t>11</w:t>
      </w:r>
    </w:p>
    <w:p w14:paraId="7F55FB58">
      <w:pPr>
        <w:tabs>
          <w:tab w:val="left" w:pos="1260"/>
        </w:tabs>
        <w:spacing w:line="440" w:lineRule="exact"/>
        <w:jc w:val="center"/>
        <w:rPr>
          <w:rFonts w:ascii="宋体" w:hAnsi="Arial" w:cs="宋体"/>
          <w:b/>
          <w:bCs/>
          <w:color w:val="auto"/>
          <w:kern w:val="0"/>
          <w:sz w:val="28"/>
          <w:szCs w:val="28"/>
          <w:highlight w:val="none"/>
        </w:rPr>
      </w:pPr>
      <w:r>
        <w:rPr>
          <w:rFonts w:hint="eastAsia" w:ascii="宋体" w:hAnsi="Arial" w:cs="宋体"/>
          <w:b/>
          <w:bCs/>
          <w:color w:val="auto"/>
          <w:kern w:val="0"/>
          <w:sz w:val="28"/>
          <w:szCs w:val="28"/>
          <w:highlight w:val="none"/>
        </w:rPr>
        <w:t>近三年类似业绩</w:t>
      </w:r>
    </w:p>
    <w:p w14:paraId="0DFCF584">
      <w:pPr>
        <w:keepNext/>
        <w:keepLines/>
        <w:autoSpaceDE w:val="0"/>
        <w:autoSpaceDN w:val="0"/>
        <w:adjustRightInd w:val="0"/>
        <w:spacing w:after="260" w:line="360" w:lineRule="auto"/>
        <w:jc w:val="center"/>
        <w:rPr>
          <w:bCs/>
          <w:color w:val="auto"/>
          <w:sz w:val="24"/>
          <w:highlight w:val="none"/>
        </w:rPr>
      </w:pPr>
      <w:r>
        <w:rPr>
          <w:rFonts w:hint="eastAsia"/>
          <w:bCs/>
          <w:color w:val="auto"/>
          <w:sz w:val="24"/>
          <w:highlight w:val="none"/>
        </w:rPr>
        <w:t>（格式自拟，需后附</w:t>
      </w:r>
      <w:r>
        <w:rPr>
          <w:rFonts w:hint="eastAsia"/>
          <w:bCs/>
          <w:color w:val="auto"/>
          <w:sz w:val="24"/>
          <w:highlight w:val="none"/>
          <w:lang w:eastAsia="zh-CN"/>
        </w:rPr>
        <w:t>中标</w:t>
      </w:r>
      <w:r>
        <w:rPr>
          <w:rFonts w:hint="eastAsia"/>
          <w:bCs/>
          <w:color w:val="auto"/>
          <w:sz w:val="24"/>
          <w:highlight w:val="none"/>
        </w:rPr>
        <w:t>（成交）通知书或合同）</w:t>
      </w:r>
    </w:p>
    <w:p w14:paraId="40A9995E">
      <w:pPr>
        <w:keepNext/>
        <w:keepLines/>
        <w:autoSpaceDE w:val="0"/>
        <w:autoSpaceDN w:val="0"/>
        <w:adjustRightInd w:val="0"/>
        <w:spacing w:after="260" w:line="360" w:lineRule="auto"/>
        <w:rPr>
          <w:bCs/>
          <w:color w:val="auto"/>
          <w:sz w:val="24"/>
          <w:highlight w:val="none"/>
          <w:lang w:val="zh-CN"/>
        </w:rPr>
      </w:pPr>
    </w:p>
    <w:p w14:paraId="3B706F52">
      <w:pPr>
        <w:keepNext/>
        <w:keepLines/>
        <w:autoSpaceDE w:val="0"/>
        <w:autoSpaceDN w:val="0"/>
        <w:adjustRightInd w:val="0"/>
        <w:spacing w:after="260" w:line="360" w:lineRule="auto"/>
        <w:rPr>
          <w:rFonts w:hint="eastAsia"/>
          <w:bCs/>
          <w:color w:val="auto"/>
          <w:sz w:val="24"/>
          <w:highlight w:val="none"/>
          <w:lang w:val="zh-CN"/>
        </w:rPr>
      </w:pPr>
    </w:p>
    <w:p w14:paraId="5D15643A">
      <w:pPr>
        <w:keepNext/>
        <w:keepLines/>
        <w:autoSpaceDE w:val="0"/>
        <w:autoSpaceDN w:val="0"/>
        <w:adjustRightInd w:val="0"/>
        <w:spacing w:after="260" w:line="360" w:lineRule="auto"/>
        <w:rPr>
          <w:rFonts w:hint="eastAsia" w:eastAsia="宋体"/>
          <w:bCs/>
          <w:color w:val="auto"/>
          <w:sz w:val="24"/>
          <w:highlight w:val="none"/>
          <w:lang w:eastAsia="zh-CN"/>
        </w:rPr>
      </w:pPr>
      <w:r>
        <w:rPr>
          <w:rFonts w:hint="eastAsia"/>
          <w:bCs/>
          <w:color w:val="auto"/>
          <w:sz w:val="24"/>
          <w:highlight w:val="none"/>
          <w:lang w:val="zh-CN"/>
        </w:rPr>
        <w:t>附件</w:t>
      </w:r>
      <w:r>
        <w:rPr>
          <w:rFonts w:hint="eastAsia"/>
          <w:bCs/>
          <w:color w:val="auto"/>
          <w:sz w:val="24"/>
          <w:highlight w:val="none"/>
        </w:rPr>
        <w:t>1</w:t>
      </w:r>
      <w:r>
        <w:rPr>
          <w:rFonts w:hint="eastAsia"/>
          <w:bCs/>
          <w:color w:val="auto"/>
          <w:sz w:val="24"/>
          <w:highlight w:val="none"/>
          <w:lang w:val="en-US" w:eastAsia="zh-CN"/>
        </w:rPr>
        <w:t>2</w:t>
      </w:r>
    </w:p>
    <w:p w14:paraId="496158A7">
      <w:pPr>
        <w:pStyle w:val="9"/>
        <w:jc w:val="center"/>
        <w:rPr>
          <w:rFonts w:hint="eastAsia" w:ascii="宋体" w:hAnsi="Arial" w:cs="宋体"/>
          <w:b/>
          <w:bCs/>
          <w:color w:val="auto"/>
          <w:kern w:val="0"/>
          <w:sz w:val="28"/>
          <w:szCs w:val="28"/>
          <w:highlight w:val="none"/>
        </w:rPr>
      </w:pPr>
      <w:r>
        <w:rPr>
          <w:rFonts w:hint="eastAsia" w:ascii="宋体" w:hAnsi="Arial" w:cs="宋体"/>
          <w:b/>
          <w:bCs/>
          <w:color w:val="auto"/>
          <w:kern w:val="0"/>
          <w:sz w:val="28"/>
          <w:szCs w:val="28"/>
          <w:highlight w:val="none"/>
        </w:rPr>
        <w:t>服务承诺</w:t>
      </w:r>
    </w:p>
    <w:p w14:paraId="4F5415B6">
      <w:pPr>
        <w:pStyle w:val="10"/>
        <w:ind w:left="0" w:leftChars="0" w:firstLine="0" w:firstLineChars="0"/>
        <w:jc w:val="center"/>
        <w:rPr>
          <w:rFonts w:hint="eastAsia" w:eastAsia="宋体"/>
          <w:color w:val="auto"/>
          <w:highlight w:val="none"/>
          <w:lang w:eastAsia="zh-CN"/>
        </w:rPr>
      </w:pPr>
      <w:r>
        <w:rPr>
          <w:rFonts w:hint="eastAsia"/>
          <w:bCs/>
          <w:color w:val="auto"/>
          <w:sz w:val="24"/>
          <w:highlight w:val="none"/>
        </w:rPr>
        <w:t>（格式自拟</w:t>
      </w:r>
      <w:r>
        <w:rPr>
          <w:rFonts w:hint="eastAsia"/>
          <w:bCs/>
          <w:color w:val="auto"/>
          <w:sz w:val="24"/>
          <w:highlight w:val="none"/>
          <w:lang w:eastAsia="zh-CN"/>
        </w:rPr>
        <w:t>）</w:t>
      </w:r>
    </w:p>
    <w:p w14:paraId="04140858">
      <w:pPr>
        <w:tabs>
          <w:tab w:val="left" w:pos="1260"/>
        </w:tabs>
        <w:spacing w:line="440" w:lineRule="exact"/>
        <w:rPr>
          <w:rFonts w:hint="eastAsia"/>
          <w:bCs/>
          <w:color w:val="auto"/>
          <w:sz w:val="24"/>
          <w:highlight w:val="none"/>
          <w:lang w:val="zh-CN"/>
        </w:rPr>
      </w:pPr>
    </w:p>
    <w:p w14:paraId="7A3586DC">
      <w:pPr>
        <w:tabs>
          <w:tab w:val="left" w:pos="1260"/>
        </w:tabs>
        <w:spacing w:line="440" w:lineRule="exact"/>
        <w:rPr>
          <w:rFonts w:hint="eastAsia"/>
          <w:bCs/>
          <w:color w:val="auto"/>
          <w:sz w:val="24"/>
          <w:highlight w:val="none"/>
          <w:lang w:val="zh-CN"/>
        </w:rPr>
      </w:pPr>
    </w:p>
    <w:p w14:paraId="4DFD70AE">
      <w:pPr>
        <w:tabs>
          <w:tab w:val="left" w:pos="1260"/>
        </w:tabs>
        <w:spacing w:line="440" w:lineRule="exact"/>
        <w:rPr>
          <w:rFonts w:hint="eastAsia"/>
          <w:bCs/>
          <w:color w:val="auto"/>
          <w:sz w:val="24"/>
          <w:highlight w:val="none"/>
          <w:lang w:val="zh-CN"/>
        </w:rPr>
      </w:pPr>
    </w:p>
    <w:p w14:paraId="280A57C5">
      <w:pPr>
        <w:tabs>
          <w:tab w:val="left" w:pos="1260"/>
        </w:tabs>
        <w:spacing w:line="440" w:lineRule="exact"/>
        <w:rPr>
          <w:rFonts w:hint="default" w:eastAsia="宋体"/>
          <w:bCs/>
          <w:color w:val="auto"/>
          <w:sz w:val="24"/>
          <w:highlight w:val="none"/>
          <w:lang w:val="en-US" w:eastAsia="zh-CN"/>
        </w:rPr>
      </w:pPr>
      <w:r>
        <w:rPr>
          <w:rFonts w:hint="eastAsia"/>
          <w:bCs/>
          <w:color w:val="auto"/>
          <w:sz w:val="24"/>
          <w:highlight w:val="none"/>
          <w:lang w:val="zh-CN"/>
        </w:rPr>
        <w:t>附件</w:t>
      </w:r>
      <w:r>
        <w:rPr>
          <w:rFonts w:hint="eastAsia"/>
          <w:bCs/>
          <w:color w:val="auto"/>
          <w:sz w:val="24"/>
          <w:highlight w:val="none"/>
        </w:rPr>
        <w:t>1</w:t>
      </w:r>
      <w:r>
        <w:rPr>
          <w:rFonts w:hint="eastAsia"/>
          <w:bCs/>
          <w:color w:val="auto"/>
          <w:sz w:val="24"/>
          <w:highlight w:val="none"/>
          <w:lang w:val="en-US" w:eastAsia="zh-CN"/>
        </w:rPr>
        <w:t>3</w:t>
      </w:r>
    </w:p>
    <w:p w14:paraId="04892669">
      <w:pPr>
        <w:tabs>
          <w:tab w:val="left" w:pos="1260"/>
        </w:tabs>
        <w:spacing w:line="440" w:lineRule="exact"/>
        <w:jc w:val="center"/>
        <w:rPr>
          <w:rFonts w:hint="eastAsia" w:ascii="宋体" w:hAnsi="Arial" w:cs="宋体" w:eastAsiaTheme="minorEastAsia"/>
          <w:b/>
          <w:bCs/>
          <w:color w:val="auto"/>
          <w:kern w:val="0"/>
          <w:sz w:val="28"/>
          <w:szCs w:val="28"/>
          <w:highlight w:val="none"/>
          <w:lang w:val="en-US" w:eastAsia="zh-CN"/>
        </w:rPr>
      </w:pPr>
      <w:r>
        <w:rPr>
          <w:rFonts w:hint="eastAsia" w:ascii="宋体" w:hAnsi="Arial" w:cs="宋体"/>
          <w:b/>
          <w:bCs/>
          <w:color w:val="auto"/>
          <w:kern w:val="0"/>
          <w:sz w:val="28"/>
          <w:szCs w:val="28"/>
          <w:highlight w:val="none"/>
          <w:lang w:val="en-US" w:eastAsia="zh-CN"/>
        </w:rPr>
        <w:t xml:space="preserve">项目组织方案及实施方案 </w:t>
      </w:r>
    </w:p>
    <w:p w14:paraId="1AB2ADBD">
      <w:pPr>
        <w:spacing w:line="360" w:lineRule="auto"/>
        <w:rPr>
          <w:rFonts w:ascii="宋体" w:hAnsi="宋体" w:cs="宋体"/>
          <w:b/>
          <w:bCs/>
          <w:color w:val="auto"/>
          <w:sz w:val="24"/>
          <w:highlight w:val="none"/>
        </w:rPr>
      </w:pPr>
    </w:p>
    <w:p w14:paraId="4BA582B0">
      <w:pPr>
        <w:keepNext/>
        <w:keepLines/>
        <w:autoSpaceDE w:val="0"/>
        <w:autoSpaceDN w:val="0"/>
        <w:adjustRightInd w:val="0"/>
        <w:spacing w:after="260" w:line="360" w:lineRule="auto"/>
        <w:jc w:val="left"/>
        <w:rPr>
          <w:bCs/>
          <w:color w:val="auto"/>
          <w:sz w:val="24"/>
          <w:highlight w:val="none"/>
        </w:rPr>
      </w:pPr>
      <w:r>
        <w:rPr>
          <w:rFonts w:hint="eastAsia"/>
          <w:bCs/>
          <w:color w:val="auto"/>
          <w:sz w:val="24"/>
          <w:highlight w:val="none"/>
        </w:rPr>
        <w:t>项目组织方案组成</w:t>
      </w:r>
    </w:p>
    <w:p w14:paraId="5B31A194">
      <w:pPr>
        <w:keepNext/>
        <w:keepLines/>
        <w:autoSpaceDE w:val="0"/>
        <w:autoSpaceDN w:val="0"/>
        <w:adjustRightInd w:val="0"/>
        <w:spacing w:after="260" w:line="360" w:lineRule="auto"/>
        <w:jc w:val="left"/>
        <w:rPr>
          <w:rFonts w:hint="default" w:ascii="Times New Roman" w:hAnsi="Times New Roman" w:eastAsia="宋体" w:cs="Times New Roman"/>
          <w:bCs/>
          <w:color w:val="auto"/>
          <w:sz w:val="24"/>
          <w:highlight w:val="none"/>
          <w:lang w:val="en-US" w:eastAsia="zh-CN"/>
        </w:rPr>
      </w:pPr>
      <w:r>
        <w:rPr>
          <w:rFonts w:hint="eastAsia"/>
          <w:bCs/>
          <w:color w:val="auto"/>
          <w:sz w:val="24"/>
          <w:highlight w:val="none"/>
          <w:lang w:val="en-GB"/>
        </w:rPr>
        <w:t>投标供应商应按采购文件</w:t>
      </w:r>
      <w:r>
        <w:rPr>
          <w:rFonts w:hint="eastAsia" w:ascii="Times New Roman" w:hAnsi="Times New Roman" w:eastAsia="宋体" w:cs="Times New Roman"/>
          <w:bCs/>
          <w:color w:val="auto"/>
          <w:sz w:val="24"/>
          <w:highlight w:val="none"/>
          <w:lang w:val="en-GB"/>
        </w:rPr>
        <w:t>要求的内容和顺序，对完成整个项目提出相应的实施方案</w:t>
      </w:r>
      <w:r>
        <w:rPr>
          <w:rFonts w:hint="eastAsia" w:ascii="Times New Roman" w:hAnsi="Times New Roman" w:eastAsia="宋体" w:cs="Times New Roman"/>
          <w:bCs/>
          <w:color w:val="auto"/>
          <w:sz w:val="24"/>
          <w:highlight w:val="none"/>
          <w:lang w:val="en-US" w:eastAsia="zh-CN"/>
        </w:rPr>
        <w:t>.(格式自拟)</w:t>
      </w:r>
    </w:p>
    <w:p w14:paraId="4AE2B615">
      <w:pPr>
        <w:keepNext/>
        <w:keepLines/>
        <w:autoSpaceDE w:val="0"/>
        <w:autoSpaceDN w:val="0"/>
        <w:adjustRightInd w:val="0"/>
        <w:spacing w:after="260" w:line="360" w:lineRule="auto"/>
        <w:jc w:val="left"/>
        <w:rPr>
          <w:bCs/>
          <w:color w:val="auto"/>
          <w:sz w:val="24"/>
          <w:highlight w:val="none"/>
        </w:rPr>
      </w:pPr>
      <w:r>
        <w:rPr>
          <w:rFonts w:hint="eastAsia" w:ascii="Times New Roman" w:hAnsi="Times New Roman" w:eastAsia="宋体" w:cs="Times New Roman"/>
          <w:bCs/>
          <w:color w:val="auto"/>
          <w:sz w:val="24"/>
          <w:highlight w:val="none"/>
          <w:lang w:val="en-US" w:eastAsia="zh-CN"/>
        </w:rPr>
        <w:t>各投标供应商根据评标标准相关内容自行添加内容，</w:t>
      </w:r>
      <w:r>
        <w:rPr>
          <w:rFonts w:hint="eastAsia" w:ascii="Times New Roman" w:hAnsi="Times New Roman" w:eastAsia="宋体" w:cs="Times New Roman"/>
          <w:bCs/>
          <w:color w:val="auto"/>
          <w:sz w:val="24"/>
          <w:highlight w:val="none"/>
        </w:rPr>
        <w:t>包含不仅限</w:t>
      </w:r>
      <w:r>
        <w:rPr>
          <w:rFonts w:hint="eastAsia"/>
          <w:bCs/>
          <w:color w:val="auto"/>
          <w:sz w:val="24"/>
          <w:highlight w:val="none"/>
        </w:rPr>
        <w:t>于以上内容。</w:t>
      </w:r>
    </w:p>
    <w:p w14:paraId="28AD2F60">
      <w:pPr>
        <w:tabs>
          <w:tab w:val="left" w:pos="1260"/>
        </w:tabs>
        <w:spacing w:line="440" w:lineRule="exact"/>
        <w:rPr>
          <w:rFonts w:hint="eastAsia"/>
          <w:bCs/>
          <w:color w:val="auto"/>
          <w:sz w:val="24"/>
          <w:highlight w:val="none"/>
          <w:lang w:val="zh-CN"/>
        </w:rPr>
      </w:pPr>
    </w:p>
    <w:p w14:paraId="33FF8CEE">
      <w:pPr>
        <w:tabs>
          <w:tab w:val="left" w:pos="1260"/>
        </w:tabs>
        <w:spacing w:line="440" w:lineRule="exact"/>
        <w:rPr>
          <w:rFonts w:hint="eastAsia"/>
          <w:bCs/>
          <w:color w:val="auto"/>
          <w:sz w:val="24"/>
          <w:highlight w:val="none"/>
          <w:lang w:val="zh-CN"/>
        </w:rPr>
      </w:pPr>
    </w:p>
    <w:p w14:paraId="656F40DC">
      <w:pPr>
        <w:tabs>
          <w:tab w:val="left" w:pos="1260"/>
        </w:tabs>
        <w:spacing w:line="440" w:lineRule="exact"/>
        <w:rPr>
          <w:rFonts w:hint="eastAsia"/>
          <w:bCs/>
          <w:color w:val="auto"/>
          <w:sz w:val="24"/>
          <w:highlight w:val="none"/>
          <w:lang w:val="zh-CN"/>
        </w:rPr>
      </w:pPr>
    </w:p>
    <w:p w14:paraId="6FB8D0D6">
      <w:pPr>
        <w:tabs>
          <w:tab w:val="left" w:pos="1260"/>
        </w:tabs>
        <w:spacing w:line="440" w:lineRule="exact"/>
        <w:rPr>
          <w:rFonts w:hint="eastAsia"/>
          <w:bCs/>
          <w:color w:val="auto"/>
          <w:sz w:val="24"/>
          <w:highlight w:val="none"/>
          <w:lang w:val="zh-CN"/>
        </w:rPr>
      </w:pPr>
    </w:p>
    <w:p w14:paraId="7448F191">
      <w:pPr>
        <w:tabs>
          <w:tab w:val="left" w:pos="1260"/>
        </w:tabs>
        <w:spacing w:line="440" w:lineRule="exact"/>
        <w:rPr>
          <w:rFonts w:hint="eastAsia"/>
          <w:bCs/>
          <w:color w:val="auto"/>
          <w:sz w:val="24"/>
          <w:highlight w:val="none"/>
          <w:lang w:val="zh-CN"/>
        </w:rPr>
      </w:pPr>
    </w:p>
    <w:p w14:paraId="6D324CF1">
      <w:pPr>
        <w:tabs>
          <w:tab w:val="left" w:pos="1260"/>
        </w:tabs>
        <w:spacing w:line="440" w:lineRule="exact"/>
        <w:rPr>
          <w:rFonts w:hint="eastAsia"/>
          <w:bCs/>
          <w:color w:val="auto"/>
          <w:sz w:val="24"/>
          <w:highlight w:val="none"/>
          <w:lang w:val="zh-CN"/>
        </w:rPr>
      </w:pPr>
    </w:p>
    <w:p w14:paraId="155277C4">
      <w:pPr>
        <w:tabs>
          <w:tab w:val="left" w:pos="1260"/>
        </w:tabs>
        <w:spacing w:line="440" w:lineRule="exact"/>
        <w:rPr>
          <w:rFonts w:hint="eastAsia"/>
          <w:bCs/>
          <w:color w:val="auto"/>
          <w:sz w:val="24"/>
          <w:highlight w:val="none"/>
          <w:lang w:val="zh-CN"/>
        </w:rPr>
      </w:pPr>
    </w:p>
    <w:p w14:paraId="70548D51">
      <w:pPr>
        <w:tabs>
          <w:tab w:val="left" w:pos="1260"/>
        </w:tabs>
        <w:spacing w:line="440" w:lineRule="exact"/>
        <w:rPr>
          <w:rFonts w:hint="default" w:eastAsia="宋体"/>
          <w:bCs/>
          <w:color w:val="auto"/>
          <w:sz w:val="24"/>
          <w:highlight w:val="none"/>
          <w:lang w:val="en-US" w:eastAsia="zh-CN"/>
        </w:rPr>
      </w:pPr>
      <w:r>
        <w:rPr>
          <w:rFonts w:hint="eastAsia"/>
          <w:bCs/>
          <w:color w:val="auto"/>
          <w:sz w:val="24"/>
          <w:highlight w:val="none"/>
          <w:lang w:val="zh-CN"/>
        </w:rPr>
        <w:t>附件</w:t>
      </w:r>
      <w:r>
        <w:rPr>
          <w:rFonts w:hint="eastAsia"/>
          <w:bCs/>
          <w:color w:val="auto"/>
          <w:sz w:val="24"/>
          <w:highlight w:val="none"/>
          <w:lang w:val="en-US" w:eastAsia="zh-CN"/>
        </w:rPr>
        <w:t>14</w:t>
      </w:r>
    </w:p>
    <w:p w14:paraId="21445128">
      <w:pPr>
        <w:tabs>
          <w:tab w:val="left" w:pos="1260"/>
        </w:tabs>
        <w:spacing w:line="440" w:lineRule="exact"/>
        <w:jc w:val="center"/>
        <w:rPr>
          <w:rFonts w:hint="eastAsia" w:ascii="宋体" w:hAnsi="Arial" w:cs="宋体"/>
          <w:b/>
          <w:bCs/>
          <w:color w:val="auto"/>
          <w:kern w:val="0"/>
          <w:sz w:val="28"/>
          <w:szCs w:val="28"/>
          <w:highlight w:val="none"/>
        </w:rPr>
      </w:pPr>
      <w:r>
        <w:rPr>
          <w:rFonts w:hint="eastAsia" w:ascii="宋体" w:hAnsi="Arial" w:cs="宋体"/>
          <w:b/>
          <w:bCs/>
          <w:color w:val="auto"/>
          <w:kern w:val="0"/>
          <w:sz w:val="28"/>
          <w:szCs w:val="28"/>
          <w:highlight w:val="none"/>
        </w:rPr>
        <w:t>投标供应商认为需要提供的其它资料</w:t>
      </w:r>
    </w:p>
    <w:p w14:paraId="3806023A">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US" w:eastAsia="zh-CN"/>
        </w:rPr>
      </w:pPr>
    </w:p>
    <w:p w14:paraId="21ECB673">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各投标供应商根据评标标准相关内容自行添加内容</w:t>
      </w:r>
    </w:p>
    <w:p w14:paraId="47247551">
      <w:pPr>
        <w:keepNext/>
        <w:keepLines/>
        <w:autoSpaceDE w:val="0"/>
        <w:autoSpaceDN w:val="0"/>
        <w:adjustRightInd w:val="0"/>
        <w:spacing w:after="260" w:line="360" w:lineRule="auto"/>
        <w:rPr>
          <w:bCs/>
          <w:color w:val="auto"/>
          <w:sz w:val="24"/>
          <w:highlight w:val="none"/>
          <w:lang w:val="zh-CN"/>
        </w:rPr>
      </w:pPr>
      <w:r>
        <w:rPr>
          <w:rFonts w:hint="eastAsia"/>
          <w:bCs/>
          <w:color w:val="auto"/>
          <w:sz w:val="24"/>
          <w:highlight w:val="none"/>
          <w:lang w:val="zh-CN"/>
        </w:rPr>
        <w:t xml:space="preserve">   </w:t>
      </w:r>
    </w:p>
    <w:p w14:paraId="0D68CDF2">
      <w:pPr>
        <w:pStyle w:val="9"/>
        <w:rPr>
          <w:bCs/>
          <w:color w:val="auto"/>
          <w:sz w:val="24"/>
          <w:szCs w:val="20"/>
          <w:highlight w:val="none"/>
          <w:lang w:val="zh-CN"/>
        </w:rPr>
      </w:pPr>
    </w:p>
    <w:p w14:paraId="2940C511">
      <w:pPr>
        <w:rPr>
          <w:bCs/>
          <w:color w:val="auto"/>
          <w:sz w:val="24"/>
          <w:szCs w:val="20"/>
          <w:highlight w:val="none"/>
          <w:lang w:val="zh-CN"/>
        </w:rPr>
      </w:pPr>
    </w:p>
    <w:p w14:paraId="3FF70773">
      <w:pPr>
        <w:pStyle w:val="5"/>
        <w:rPr>
          <w:color w:val="auto"/>
          <w:highlight w:val="none"/>
          <w:lang w:val="zh-CN"/>
        </w:rPr>
      </w:pPr>
    </w:p>
    <w:p w14:paraId="59B6ED90">
      <w:pPr>
        <w:keepNext/>
        <w:keepLines/>
        <w:autoSpaceDE w:val="0"/>
        <w:autoSpaceDN w:val="0"/>
        <w:adjustRightInd w:val="0"/>
        <w:spacing w:after="260" w:line="360" w:lineRule="auto"/>
        <w:ind w:firstLine="480" w:firstLineChars="200"/>
        <w:jc w:val="left"/>
        <w:rPr>
          <w:rFonts w:hint="eastAsia"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bidi="ar-SA"/>
        </w:rPr>
        <w:t>其他材料（</w:t>
      </w:r>
      <w:r>
        <w:rPr>
          <w:rFonts w:hint="eastAsia" w:ascii="宋体" w:hAnsi="宋体" w:eastAsia="宋体" w:cs="宋体"/>
          <w:color w:val="auto"/>
          <w:kern w:val="2"/>
          <w:sz w:val="24"/>
          <w:szCs w:val="22"/>
          <w:highlight w:val="none"/>
          <w:lang w:val="en-US" w:eastAsia="zh-CN" w:bidi="ar-SA"/>
        </w:rPr>
        <w:t>供应商为中小企业,本项目为专门面向中小企业预留份额的项目，落实</w:t>
      </w:r>
      <w:r>
        <w:rPr>
          <w:rFonts w:hint="eastAsia" w:ascii="宋体" w:hAnsi="宋体" w:eastAsia="宋体" w:cs="宋体"/>
          <w:color w:val="auto"/>
          <w:kern w:val="2"/>
          <w:sz w:val="24"/>
          <w:szCs w:val="22"/>
          <w:highlight w:val="none"/>
          <w:lang w:val="en-US" w:bidi="ar-SA"/>
        </w:rPr>
        <w:t>《政府采购促进中小企业发展管理办法》（财库〔2020〕46号）、《关于进一步加大政府采购支持中小企业力度的通知》（财库〔2022〕19号）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《关于落实好政府采购支持中小企业发展的通知》（新财购〔2022〕22号）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《财政部、司法部关于政府采购支持监狱企业发展有关问题的通知》（财库〔2014〕68号）</w:t>
      </w:r>
      <w:r>
        <w:rPr>
          <w:rFonts w:hint="eastAsia" w:ascii="宋体" w:hAnsi="宋体" w:eastAsia="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bidi="ar-SA"/>
        </w:rPr>
        <w:t>《财政部 民政部 中国残疾人联合会关于促进残疾人就业政府采购政策的通知》财库〔2017〕141号</w:t>
      </w:r>
      <w:r>
        <w:rPr>
          <w:rFonts w:hint="eastAsia" w:ascii="宋体" w:hAnsi="宋体" w:eastAsia="宋体" w:cs="宋体"/>
          <w:color w:val="auto"/>
          <w:kern w:val="2"/>
          <w:sz w:val="24"/>
          <w:szCs w:val="22"/>
          <w:highlight w:val="none"/>
          <w:lang w:val="en-US" w:eastAsia="zh-CN" w:bidi="ar-SA"/>
        </w:rPr>
        <w:t>以及相关规定</w:t>
      </w:r>
      <w:r>
        <w:rPr>
          <w:rFonts w:hint="eastAsia" w:cs="宋体"/>
          <w:color w:val="auto"/>
          <w:kern w:val="2"/>
          <w:sz w:val="24"/>
          <w:szCs w:val="22"/>
          <w:highlight w:val="none"/>
          <w:lang w:val="en-US" w:eastAsia="zh-CN" w:bidi="ar-SA"/>
        </w:rPr>
        <w:t>；</w:t>
      </w:r>
    </w:p>
    <w:p w14:paraId="7CA5005C">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color w:val="auto"/>
          <w:sz w:val="24"/>
          <w:highlight w:val="none"/>
          <w:lang w:val="en-US" w:eastAsia="zh-CN"/>
        </w:rPr>
      </w:pPr>
    </w:p>
    <w:p w14:paraId="70ADFA19">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（1）</w:t>
      </w:r>
      <w:r>
        <w:rPr>
          <w:rFonts w:hint="eastAsia" w:ascii="Times New Roman" w:hAnsi="Times New Roman" w:eastAsia="宋体" w:cs="Times New Roman"/>
          <w:bCs/>
          <w:color w:val="auto"/>
          <w:sz w:val="24"/>
          <w:highlight w:val="none"/>
          <w:lang w:val="en-US"/>
        </w:rPr>
        <w:t>中小企业声明函</w:t>
      </w:r>
      <w:r>
        <w:rPr>
          <w:rFonts w:hint="eastAsia" w:ascii="Times New Roman" w:hAnsi="Times New Roman" w:eastAsia="宋体" w:cs="Times New Roman"/>
          <w:bCs/>
          <w:color w:val="auto"/>
          <w:sz w:val="24"/>
          <w:highlight w:val="none"/>
          <w:lang w:val="en-US" w:eastAsia="zh-CN"/>
        </w:rPr>
        <w:t>；</w:t>
      </w:r>
    </w:p>
    <w:p w14:paraId="1D420EF9">
      <w:pPr>
        <w:keepNext/>
        <w:keepLines/>
        <w:autoSpaceDE w:val="0"/>
        <w:autoSpaceDN w:val="0"/>
        <w:adjustRightInd w:val="0"/>
        <w:spacing w:after="260" w:line="360" w:lineRule="auto"/>
        <w:ind w:firstLine="480" w:firstLineChars="200"/>
        <w:jc w:val="left"/>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（2）</w:t>
      </w:r>
      <w:r>
        <w:rPr>
          <w:rFonts w:hint="eastAsia" w:ascii="Times New Roman" w:hAnsi="Times New Roman" w:eastAsia="宋体" w:cs="Times New Roman"/>
          <w:bCs/>
          <w:color w:val="auto"/>
          <w:sz w:val="24"/>
          <w:highlight w:val="none"/>
          <w:lang w:val="en-US"/>
        </w:rPr>
        <w:t>残疾人福利性单位声明函</w:t>
      </w:r>
      <w:r>
        <w:rPr>
          <w:rFonts w:hint="eastAsia" w:ascii="Times New Roman" w:hAnsi="Times New Roman" w:eastAsia="宋体" w:cs="Times New Roman"/>
          <w:bCs/>
          <w:color w:val="auto"/>
          <w:sz w:val="24"/>
          <w:highlight w:val="none"/>
          <w:lang w:val="en-US" w:eastAsia="zh-CN"/>
        </w:rPr>
        <w:t>；</w:t>
      </w:r>
    </w:p>
    <w:p w14:paraId="79A5CD81">
      <w:pPr>
        <w:keepNext/>
        <w:keepLines/>
        <w:autoSpaceDE w:val="0"/>
        <w:autoSpaceDN w:val="0"/>
        <w:adjustRightInd w:val="0"/>
        <w:spacing w:after="260" w:line="360" w:lineRule="auto"/>
        <w:ind w:firstLine="720" w:firstLineChars="300"/>
        <w:jc w:val="left"/>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w:t>
      </w:r>
    </w:p>
    <w:p w14:paraId="5B10B2D4">
      <w:pPr>
        <w:keepNext/>
        <w:keepLines/>
        <w:autoSpaceDE w:val="0"/>
        <w:autoSpaceDN w:val="0"/>
        <w:adjustRightInd w:val="0"/>
        <w:spacing w:after="260" w:line="360" w:lineRule="auto"/>
        <w:jc w:val="left"/>
        <w:rPr>
          <w:rFonts w:hint="eastAsia" w:ascii="Times New Roman" w:hAnsi="Times New Roman" w:eastAsia="宋体" w:cs="Times New Roman"/>
          <w:bCs/>
          <w:color w:val="auto"/>
          <w:sz w:val="24"/>
          <w:highlight w:val="none"/>
          <w:lang w:val="en-GB"/>
        </w:rPr>
      </w:pPr>
    </w:p>
    <w:p w14:paraId="505DF077">
      <w:pPr>
        <w:snapToGrid w:val="0"/>
        <w:spacing w:line="360" w:lineRule="auto"/>
        <w:rPr>
          <w:rFonts w:hint="eastAsia" w:ascii="宋体" w:hAnsi="宋体" w:eastAsia="宋体" w:cs="宋体"/>
          <w:color w:val="auto"/>
          <w:kern w:val="2"/>
          <w:sz w:val="24"/>
          <w:szCs w:val="24"/>
          <w:highlight w:val="none"/>
          <w:lang w:bidi="ar-SA"/>
        </w:rPr>
      </w:pPr>
    </w:p>
    <w:p w14:paraId="7E286C2E">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bookmarkStart w:id="57" w:name="_Toc19164_WPSOffice_Level2"/>
      <w:bookmarkStart w:id="58" w:name="_Toc4541_WPSOffice_Level2"/>
    </w:p>
    <w:p w14:paraId="06536B41">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p w14:paraId="37E67316">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bookmarkEnd w:id="57"/>
      <w:bookmarkEnd w:id="58"/>
    </w:p>
    <w:p w14:paraId="046DEF11">
      <w:pPr>
        <w:widowControl/>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郑重声明，根据《政府采购促进中小企业发展</w:t>
      </w:r>
      <w:r>
        <w:rPr>
          <w:rFonts w:hint="eastAsia" w:ascii="宋体" w:hAnsi="宋体" w:eastAsia="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rPr>
        <w:t>办法》（财库[20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46</w:t>
      </w:r>
      <w:r>
        <w:rPr>
          <w:rFonts w:hint="eastAsia" w:ascii="宋体" w:hAnsi="宋体" w:eastAsia="宋体" w:cs="宋体"/>
          <w:color w:val="auto"/>
          <w:kern w:val="0"/>
          <w:sz w:val="21"/>
          <w:szCs w:val="21"/>
          <w:highlight w:val="none"/>
        </w:rPr>
        <w:t>号）的规定，本公司</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联合体</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参加</w:t>
      </w:r>
      <w:r>
        <w:rPr>
          <w:rFonts w:hint="eastAsia" w:ascii="宋体" w:hAnsi="宋体" w:eastAsia="宋体" w:cs="宋体"/>
          <w:color w:val="auto"/>
          <w:kern w:val="0"/>
          <w:sz w:val="21"/>
          <w:szCs w:val="21"/>
          <w:highlight w:val="none"/>
          <w:u w:val="single"/>
          <w:lang w:val="en-US" w:eastAsia="zh-CN"/>
        </w:rPr>
        <w:t>（单位名称）</w:t>
      </w:r>
      <w:r>
        <w:rPr>
          <w:rFonts w:hint="eastAsia" w:ascii="宋体" w:hAnsi="宋体" w:eastAsia="宋体" w:cs="宋体"/>
          <w:color w:val="auto"/>
          <w:kern w:val="0"/>
          <w:sz w:val="21"/>
          <w:szCs w:val="21"/>
          <w:highlight w:val="none"/>
          <w:u w:val="none"/>
          <w:lang w:val="en-US" w:eastAsia="zh-CN"/>
        </w:rPr>
        <w:t>的</w:t>
      </w:r>
      <w:r>
        <w:rPr>
          <w:rFonts w:hint="eastAsia" w:ascii="宋体" w:hAnsi="宋体" w:eastAsia="宋体" w:cs="宋体"/>
          <w:color w:val="auto"/>
          <w:kern w:val="0"/>
          <w:sz w:val="21"/>
          <w:szCs w:val="21"/>
          <w:highlight w:val="none"/>
          <w:u w:val="single"/>
          <w:lang w:val="en-US" w:eastAsia="zh-CN"/>
        </w:rPr>
        <w:t>（项目名称）</w:t>
      </w:r>
      <w:r>
        <w:rPr>
          <w:rFonts w:hint="eastAsia" w:ascii="宋体" w:hAnsi="宋体" w:eastAsia="宋体" w:cs="宋体"/>
          <w:color w:val="auto"/>
          <w:kern w:val="0"/>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DB509BF">
      <w:pPr>
        <w:widowControl/>
        <w:numPr>
          <w:ilvl w:val="0"/>
          <w:numId w:val="6"/>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Cs w:val="21"/>
          <w:highlight w:val="none"/>
          <w:lang w:val="zh-CN"/>
        </w:rPr>
        <w:t>万</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position w:val="-4"/>
          <w:szCs w:val="21"/>
          <w:highlight w:val="none"/>
          <w:lang w:val="zh-CN"/>
        </w:rPr>
        <w:object>
          <v:shape id="_x0000_i1025" o:spt="75" type="#_x0000_t75" style="height:15pt;width:6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14:paraId="04C21386">
      <w:pPr>
        <w:widowControl/>
        <w:numPr>
          <w:ilvl w:val="0"/>
          <w:numId w:val="6"/>
        </w:numPr>
        <w:spacing w:line="360" w:lineRule="auto"/>
        <w:ind w:firstLine="420" w:firstLineChars="20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single"/>
          <w:lang w:val="en-US" w:eastAsia="zh-CN"/>
        </w:rPr>
        <w:t>（标的名称）</w:t>
      </w:r>
      <w:r>
        <w:rPr>
          <w:rFonts w:hint="eastAsia" w:ascii="宋体" w:hAnsi="宋体" w:eastAsia="宋体" w:cs="宋体"/>
          <w:color w:val="auto"/>
          <w:kern w:val="0"/>
          <w:sz w:val="21"/>
          <w:szCs w:val="21"/>
          <w:highlight w:val="none"/>
          <w:u w:val="none"/>
          <w:lang w:val="en-US" w:eastAsia="zh-CN"/>
        </w:rPr>
        <w:t>，属于</w:t>
      </w:r>
      <w:r>
        <w:rPr>
          <w:rFonts w:hint="eastAsia" w:ascii="宋体" w:hAnsi="宋体" w:eastAsia="宋体" w:cs="宋体"/>
          <w:color w:val="auto"/>
          <w:kern w:val="0"/>
          <w:sz w:val="21"/>
          <w:szCs w:val="21"/>
          <w:highlight w:val="none"/>
          <w:u w:val="single"/>
          <w:lang w:val="en-US" w:eastAsia="zh-CN"/>
        </w:rPr>
        <w:t>（采购文件中明确的所属行业）</w:t>
      </w:r>
      <w:r>
        <w:rPr>
          <w:rFonts w:hint="eastAsia" w:ascii="宋体" w:hAnsi="宋体" w:eastAsia="宋体" w:cs="宋体"/>
          <w:color w:val="auto"/>
          <w:kern w:val="0"/>
          <w:sz w:val="21"/>
          <w:szCs w:val="21"/>
          <w:highlight w:val="none"/>
          <w:u w:val="none"/>
          <w:lang w:val="en-US" w:eastAsia="zh-CN"/>
        </w:rPr>
        <w:t>；承建（承接）企业为</w:t>
      </w:r>
      <w:r>
        <w:rPr>
          <w:rFonts w:hint="eastAsia" w:ascii="宋体" w:hAnsi="宋体" w:eastAsia="宋体" w:cs="宋体"/>
          <w:color w:val="auto"/>
          <w:kern w:val="0"/>
          <w:sz w:val="21"/>
          <w:szCs w:val="21"/>
          <w:highlight w:val="none"/>
          <w:u w:val="single"/>
          <w:lang w:val="en-US" w:eastAsia="zh-CN"/>
        </w:rPr>
        <w:t>（企业名称）</w:t>
      </w:r>
      <w:r>
        <w:rPr>
          <w:rFonts w:hint="eastAsia" w:ascii="宋体" w:hAnsi="宋体" w:eastAsia="宋体" w:cs="宋体"/>
          <w:color w:val="auto"/>
          <w:kern w:val="0"/>
          <w:sz w:val="21"/>
          <w:szCs w:val="21"/>
          <w:highlight w:val="none"/>
          <w:u w:val="none"/>
          <w:lang w:val="en-US" w:eastAsia="zh-CN"/>
        </w:rPr>
        <w:t>，从业人员</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人，营业收入为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万元，资产总额为</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万元，属于</w:t>
      </w:r>
      <w:r>
        <w:rPr>
          <w:rFonts w:hint="eastAsia" w:ascii="宋体" w:hAnsi="宋体" w:eastAsia="宋体" w:cs="宋体"/>
          <w:color w:val="auto"/>
          <w:kern w:val="0"/>
          <w:sz w:val="21"/>
          <w:szCs w:val="21"/>
          <w:highlight w:val="none"/>
          <w:u w:val="single"/>
          <w:lang w:val="en-US" w:eastAsia="zh-CN"/>
        </w:rPr>
        <w:t>（中型企业、小型企业、微型企业）</w:t>
      </w:r>
      <w:r>
        <w:rPr>
          <w:rFonts w:hint="eastAsia" w:ascii="宋体" w:hAnsi="宋体" w:eastAsia="宋体" w:cs="宋体"/>
          <w:color w:val="auto"/>
          <w:kern w:val="0"/>
          <w:sz w:val="21"/>
          <w:szCs w:val="21"/>
          <w:highlight w:val="none"/>
          <w:u w:val="none"/>
          <w:lang w:val="en-US" w:eastAsia="zh-CN"/>
        </w:rPr>
        <w:t>；</w:t>
      </w:r>
    </w:p>
    <w:p w14:paraId="3D22BFA5">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p>
    <w:p w14:paraId="6C3E849D">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以上企业，不属于大企业的分支机构，不存在控股股东为大企业的情形，也不存在与大企业的负责人为同一人的情形。</w:t>
      </w:r>
    </w:p>
    <w:p w14:paraId="367604C4">
      <w:pPr>
        <w:widowControl/>
        <w:numPr>
          <w:ilvl w:val="0"/>
          <w:numId w:val="0"/>
        </w:numPr>
        <w:spacing w:line="360" w:lineRule="auto"/>
        <w:ind w:firstLine="42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本企业对上述声明内容的真实性负责。如有虚假，将依法承担相应责任。</w:t>
      </w:r>
    </w:p>
    <w:p w14:paraId="40313421">
      <w:pPr>
        <w:autoSpaceDN w:val="0"/>
        <w:spacing w:line="440" w:lineRule="exact"/>
        <w:ind w:right="170"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3EF95BB">
      <w:pPr>
        <w:adjustRightInd w:val="0"/>
        <w:snapToGrid w:val="0"/>
        <w:spacing w:line="360" w:lineRule="auto"/>
        <w:ind w:right="105" w:rightChars="50" w:firstLine="476" w:firstLineChars="227"/>
        <w:jc w:val="left"/>
        <w:rPr>
          <w:rFonts w:hint="eastAsia" w:ascii="宋体" w:hAnsi="宋体" w:eastAsia="宋体" w:cs="宋体"/>
          <w:color w:val="auto"/>
          <w:sz w:val="21"/>
          <w:szCs w:val="21"/>
          <w:highlight w:val="none"/>
        </w:rPr>
      </w:pPr>
    </w:p>
    <w:p w14:paraId="1982B140">
      <w:pPr>
        <w:adjustRightInd w:val="0"/>
        <w:snapToGrid w:val="0"/>
        <w:spacing w:line="480" w:lineRule="auto"/>
        <w:ind w:right="105" w:right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名称（盖章）：</w:t>
      </w:r>
    </w:p>
    <w:p w14:paraId="721649F8">
      <w:pPr>
        <w:adjustRightInd w:val="0"/>
        <w:snapToGrid w:val="0"/>
        <w:spacing w:line="480" w:lineRule="auto"/>
        <w:ind w:right="105" w:rightChars="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p>
    <w:p w14:paraId="1ED8ED1B">
      <w:pPr>
        <w:pStyle w:val="35"/>
        <w:ind w:left="0" w:leftChars="0" w:firstLine="0" w:firstLineChars="0"/>
        <w:rPr>
          <w:rFonts w:hint="eastAsia" w:ascii="宋体" w:hAnsi="宋体" w:eastAsia="宋体" w:cs="宋体"/>
          <w:color w:val="auto"/>
          <w:szCs w:val="21"/>
          <w:highlight w:val="none"/>
          <w:u w:val="single"/>
        </w:rPr>
      </w:pPr>
    </w:p>
    <w:p w14:paraId="7714515B">
      <w:pPr>
        <w:pStyle w:val="35"/>
        <w:rPr>
          <w:rFonts w:hint="eastAsia" w:ascii="宋体" w:hAnsi="宋体" w:eastAsia="宋体" w:cs="宋体"/>
          <w:color w:val="auto"/>
          <w:szCs w:val="21"/>
          <w:highlight w:val="none"/>
          <w:u w:val="single"/>
        </w:rPr>
      </w:pPr>
    </w:p>
    <w:p w14:paraId="6C6CF6CA">
      <w:pPr>
        <w:pStyle w:val="35"/>
        <w:rPr>
          <w:rFonts w:hint="eastAsia" w:ascii="宋体" w:hAnsi="宋体" w:eastAsia="宋体" w:cs="宋体"/>
          <w:color w:val="auto"/>
          <w:szCs w:val="21"/>
          <w:highlight w:val="none"/>
          <w:u w:val="single"/>
        </w:rPr>
      </w:pPr>
    </w:p>
    <w:p w14:paraId="51AA28D4">
      <w:pPr>
        <w:keepNext w:val="0"/>
        <w:keepLines w:val="0"/>
        <w:widowControl/>
        <w:suppressLineNumbers w:val="0"/>
        <w:jc w:val="left"/>
        <w:rPr>
          <w:rFonts w:hint="eastAsia" w:ascii="宋体" w:hAnsi="宋体" w:eastAsia="宋体" w:cs="宋体"/>
          <w:color w:val="auto"/>
          <w:kern w:val="0"/>
          <w:sz w:val="11"/>
          <w:szCs w:val="11"/>
          <w:highlight w:val="none"/>
          <w:lang w:val="en-US" w:eastAsia="zh-CN" w:bidi="ar"/>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07D84C02">
      <w:pPr>
        <w:keepNext w:val="0"/>
        <w:keepLines w:val="0"/>
        <w:widowControl/>
        <w:suppressLineNumbers w:val="0"/>
        <w:jc w:val="left"/>
        <w:rPr>
          <w:rFonts w:hint="eastAsia" w:ascii="宋体" w:hAnsi="宋体" w:eastAsia="宋体" w:cs="宋体"/>
          <w:b/>
          <w:bCs/>
          <w:color w:val="auto"/>
          <w:sz w:val="32"/>
          <w:szCs w:val="32"/>
          <w:highlight w:val="none"/>
        </w:rPr>
      </w:pPr>
      <w:r>
        <w:rPr>
          <w:rFonts w:hint="eastAsia" w:ascii="宋体" w:hAnsi="宋体" w:eastAsia="宋体" w:cs="宋体"/>
          <w:color w:val="auto"/>
          <w:position w:val="-4"/>
          <w:sz w:val="11"/>
          <w:szCs w:val="11"/>
          <w:highlight w:val="none"/>
          <w:lang w:val="zh-CN"/>
        </w:rPr>
        <w:object>
          <v:shape id="_x0000_i1026" o:spt="75" type="#_x0000_t75" style="height:15pt;width:6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7">
            <o:LockedField>false</o:LockedField>
          </o:OLEObject>
        </w:object>
      </w:r>
      <w:r>
        <w:rPr>
          <w:rFonts w:hint="eastAsia" w:ascii="宋体" w:hAnsi="宋体" w:eastAsia="宋体" w:cs="宋体"/>
          <w:color w:val="auto"/>
          <w:kern w:val="0"/>
          <w:sz w:val="18"/>
          <w:szCs w:val="18"/>
          <w:highlight w:val="none"/>
          <w:lang w:val="en-US" w:eastAsia="zh-CN" w:bidi="ar"/>
        </w:rPr>
        <w:t>从业人员、营业收入、资产总额填报上一年度数据，无上一年度数据的新成立企业可不填报。</w:t>
      </w:r>
      <w:bookmarkStart w:id="59" w:name="_Toc29880_WPSOffice_Level2"/>
      <w:bookmarkStart w:id="60" w:name="_Toc13566_WPSOffice_Level2"/>
    </w:p>
    <w:p w14:paraId="3DC80C3F">
      <w:pPr>
        <w:adjustRightInd w:val="0"/>
        <w:snapToGrid w:val="0"/>
        <w:spacing w:before="319" w:beforeLines="100" w:after="319" w:afterLines="100" w:line="360" w:lineRule="auto"/>
        <w:ind w:right="105" w:rightChars="50"/>
        <w:jc w:val="center"/>
        <w:rPr>
          <w:rFonts w:hint="eastAsia" w:ascii="宋体" w:hAnsi="宋体" w:eastAsia="宋体" w:cs="宋体"/>
          <w:b/>
          <w:bCs/>
          <w:color w:val="auto"/>
          <w:sz w:val="32"/>
          <w:szCs w:val="32"/>
          <w:highlight w:val="none"/>
        </w:rPr>
      </w:pPr>
    </w:p>
    <w:bookmarkEnd w:id="59"/>
    <w:bookmarkEnd w:id="60"/>
    <w:p w14:paraId="0DB240B2">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p>
    <w:p w14:paraId="0A114457">
      <w:pPr>
        <w:adjustRightInd w:val="0"/>
        <w:snapToGrid w:val="0"/>
        <w:spacing w:before="319" w:beforeLines="100" w:after="319" w:afterLines="100" w:line="360" w:lineRule="auto"/>
        <w:ind w:right="105" w:rightChars="50"/>
        <w:jc w:val="center"/>
        <w:rPr>
          <w:rFonts w:hint="eastAsia" w:ascii="方正仿宋_GB2312" w:hAnsi="方正仿宋_GB2312" w:eastAsia="方正仿宋_GB2312" w:cs="方正仿宋_GB2312"/>
          <w:b/>
          <w:bCs/>
          <w:color w:val="auto"/>
          <w:sz w:val="32"/>
          <w:szCs w:val="32"/>
          <w:highlight w:val="none"/>
        </w:rPr>
      </w:pPr>
      <w:r>
        <w:rPr>
          <w:rFonts w:hint="eastAsia" w:ascii="方正仿宋_GB2312" w:hAnsi="方正仿宋_GB2312" w:eastAsia="方正仿宋_GB2312" w:cs="方正仿宋_GB2312"/>
          <w:b/>
          <w:bCs/>
          <w:color w:val="auto"/>
          <w:sz w:val="32"/>
          <w:szCs w:val="32"/>
          <w:highlight w:val="none"/>
        </w:rPr>
        <w:t>残疾人福利性单位声明函</w:t>
      </w:r>
    </w:p>
    <w:p w14:paraId="10CABD90">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本单位郑重声明，根据《财政部 民政部 中国残疾人联合会关于促进残疾人就业政府采购政策的通知》（财库〔2017〕141 号）的规定，本单位为符合条件的残疾人福利性单位，且本单位参加</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单位的</w:t>
      </w:r>
      <w:r>
        <w:rPr>
          <w:rFonts w:hint="eastAsia" w:ascii="方正仿宋_GB2312" w:hAnsi="方正仿宋_GB2312" w:eastAsia="方正仿宋_GB2312" w:cs="方正仿宋_GB2312"/>
          <w:color w:val="auto"/>
          <w:szCs w:val="21"/>
          <w:highlight w:val="none"/>
          <w:u w:val="single"/>
        </w:rPr>
        <w:t xml:space="preserve">     </w:t>
      </w:r>
      <w:r>
        <w:rPr>
          <w:rFonts w:hint="eastAsia" w:ascii="方正仿宋_GB2312" w:hAnsi="方正仿宋_GB2312" w:eastAsia="方正仿宋_GB2312" w:cs="方正仿宋_GB2312"/>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27926E3">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本单位对上述声明的真实性负责。如有虚假，将依法承担相应责任。</w:t>
      </w:r>
    </w:p>
    <w:p w14:paraId="2ED4F93C">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2742BD99">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40E65D4C">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73CCFEE3">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324D5BEA">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1B87B3FA">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177A4155">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459EEDD5">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5A470B41">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p>
    <w:p w14:paraId="45E1330B">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注：1、供应商为非残疾人福利性单位的，无需填写此声明函。</w:t>
      </w:r>
    </w:p>
    <w:p w14:paraId="5679934A">
      <w:pPr>
        <w:adjustRightInd w:val="0"/>
        <w:snapToGrid w:val="0"/>
        <w:spacing w:line="360" w:lineRule="auto"/>
        <w:ind w:right="105" w:rightChars="50" w:firstLine="476" w:firstLineChars="227"/>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 xml:space="preserve">   </w:t>
      </w:r>
    </w:p>
    <w:p w14:paraId="7C53FF1E">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rPr>
      </w:pPr>
    </w:p>
    <w:p w14:paraId="088D5D0F">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rPr>
      </w:pPr>
    </w:p>
    <w:p w14:paraId="605EC79E">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rPr>
      </w:pPr>
    </w:p>
    <w:p w14:paraId="7DC5CACB">
      <w:pPr>
        <w:adjustRightInd w:val="0"/>
        <w:snapToGrid w:val="0"/>
        <w:spacing w:line="480" w:lineRule="auto"/>
        <w:ind w:right="105" w:rightChars="50"/>
        <w:jc w:val="left"/>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lang w:eastAsia="zh-CN"/>
        </w:rPr>
        <w:t>供应商</w:t>
      </w:r>
      <w:r>
        <w:rPr>
          <w:rFonts w:hint="eastAsia" w:ascii="方正仿宋_GB2312" w:hAnsi="方正仿宋_GB2312" w:eastAsia="方正仿宋_GB2312" w:cs="方正仿宋_GB2312"/>
          <w:color w:val="auto"/>
          <w:szCs w:val="21"/>
          <w:highlight w:val="none"/>
        </w:rPr>
        <w:t>名称（加盖单位公章）：</w:t>
      </w:r>
      <w:r>
        <w:rPr>
          <w:rFonts w:hint="eastAsia" w:ascii="方正仿宋_GB2312" w:hAnsi="方正仿宋_GB2312" w:eastAsia="方正仿宋_GB2312" w:cs="方正仿宋_GB2312"/>
          <w:color w:val="auto"/>
          <w:szCs w:val="21"/>
          <w:highlight w:val="none"/>
          <w:u w:val="single"/>
        </w:rPr>
        <w:t xml:space="preserve">              </w:t>
      </w:r>
    </w:p>
    <w:p w14:paraId="7EF2FE8F">
      <w:pPr>
        <w:adjustRightInd w:val="0"/>
        <w:snapToGrid w:val="0"/>
        <w:spacing w:line="480" w:lineRule="auto"/>
        <w:ind w:right="105" w:rightChars="50"/>
        <w:jc w:val="left"/>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szCs w:val="21"/>
          <w:highlight w:val="none"/>
        </w:rPr>
        <w:t>日 期：</w:t>
      </w:r>
      <w:r>
        <w:rPr>
          <w:rFonts w:hint="eastAsia" w:ascii="方正仿宋_GB2312" w:hAnsi="方正仿宋_GB2312" w:eastAsia="方正仿宋_GB2312" w:cs="方正仿宋_GB2312"/>
          <w:color w:val="auto"/>
          <w:szCs w:val="21"/>
          <w:highlight w:val="none"/>
          <w:u w:val="single"/>
        </w:rPr>
        <w:t xml:space="preserve">              </w:t>
      </w:r>
    </w:p>
    <w:p w14:paraId="7256E060">
      <w:pPr>
        <w:adjustRightInd w:val="0"/>
        <w:snapToGrid w:val="0"/>
        <w:spacing w:line="360" w:lineRule="auto"/>
        <w:ind w:right="105" w:rightChars="50"/>
        <w:jc w:val="left"/>
        <w:rPr>
          <w:rFonts w:hint="eastAsia" w:ascii="方正仿宋_GB2312" w:hAnsi="方正仿宋_GB2312" w:eastAsia="方正仿宋_GB2312" w:cs="方正仿宋_GB2312"/>
          <w:color w:val="auto"/>
          <w:szCs w:val="21"/>
          <w:highlight w:val="none"/>
          <w:u w:val="single"/>
        </w:rPr>
      </w:pPr>
    </w:p>
    <w:p w14:paraId="486332BA">
      <w:pPr>
        <w:rPr>
          <w:rFonts w:hint="eastAsia" w:ascii="宋体" w:hAnsi="宋体" w:cs="宋体"/>
          <w:b/>
          <w:color w:val="auto"/>
          <w:sz w:val="32"/>
          <w:highlight w:val="none"/>
        </w:rPr>
      </w:pPr>
      <w:r>
        <w:rPr>
          <w:rFonts w:hint="eastAsia" w:ascii="宋体" w:hAnsi="宋体" w:cs="宋体"/>
          <w:b/>
          <w:color w:val="auto"/>
          <w:sz w:val="32"/>
          <w:highlight w:val="none"/>
        </w:rPr>
        <w:br w:type="page"/>
      </w:r>
    </w:p>
    <w:p w14:paraId="3C16C4A5">
      <w:pPr>
        <w:pStyle w:val="3"/>
        <w:keepLines w:val="0"/>
        <w:numPr>
          <w:ilvl w:val="0"/>
          <w:numId w:val="0"/>
        </w:numPr>
        <w:spacing w:before="0" w:after="0" w:line="360" w:lineRule="auto"/>
        <w:ind w:leftChars="0" w:right="-441" w:rightChars="-210"/>
        <w:jc w:val="center"/>
        <w:rPr>
          <w:rFonts w:hAnsi="宋体"/>
          <w:color w:val="auto"/>
          <w:kern w:val="2"/>
          <w:sz w:val="48"/>
          <w:szCs w:val="48"/>
        </w:rPr>
      </w:pPr>
      <w:r>
        <w:rPr>
          <w:rFonts w:hint="eastAsia" w:ascii="宋体" w:hAnsi="宋体" w:cs="宋体"/>
          <w:b/>
          <w:color w:val="auto"/>
          <w:sz w:val="32"/>
          <w:highlight w:val="none"/>
        </w:rPr>
        <w:t>第</w:t>
      </w:r>
      <w:r>
        <w:rPr>
          <w:rFonts w:hint="eastAsia" w:ascii="宋体" w:hAnsi="宋体" w:cs="宋体"/>
          <w:b/>
          <w:color w:val="auto"/>
          <w:sz w:val="32"/>
          <w:highlight w:val="none"/>
          <w:lang w:eastAsia="zh-CN"/>
        </w:rPr>
        <w:t>六</w:t>
      </w:r>
      <w:r>
        <w:rPr>
          <w:rFonts w:hint="eastAsia" w:ascii="宋体" w:hAnsi="宋体" w:cs="宋体"/>
          <w:b/>
          <w:color w:val="auto"/>
          <w:sz w:val="32"/>
          <w:highlight w:val="none"/>
        </w:rPr>
        <w:t>章</w:t>
      </w:r>
      <w:r>
        <w:rPr>
          <w:rFonts w:hint="eastAsia" w:ascii="宋体" w:hAnsi="宋体" w:cs="宋体"/>
          <w:b/>
          <w:color w:val="auto"/>
          <w:sz w:val="32"/>
          <w:highlight w:val="none"/>
          <w:lang w:val="en-US" w:eastAsia="zh-CN"/>
        </w:rPr>
        <w:t xml:space="preserve"> </w:t>
      </w:r>
      <w:r>
        <w:rPr>
          <w:rFonts w:hint="eastAsia" w:ascii="宋体" w:hAnsi="宋体" w:cs="宋体"/>
          <w:b/>
          <w:color w:val="auto"/>
          <w:sz w:val="32"/>
          <w:highlight w:val="none"/>
        </w:rPr>
        <w:t>采购人需求</w:t>
      </w:r>
    </w:p>
    <w:p w14:paraId="7F578B2E">
      <w:pPr>
        <w:spacing w:line="4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一、项目概述及相关情况说明</w:t>
      </w:r>
    </w:p>
    <w:p w14:paraId="32A4F5E1">
      <w:pPr>
        <w:spacing w:line="4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cstheme="minorEastAsia"/>
          <w:color w:val="auto"/>
          <w:sz w:val="24"/>
          <w:szCs w:val="24"/>
          <w:lang w:val="en-US" w:eastAsia="zh-CN"/>
        </w:rPr>
        <w:t>中华人民共和国都拉塔出入境边防检查站主副食品集中配送服务项目（二次）</w:t>
      </w:r>
      <w:r>
        <w:rPr>
          <w:rFonts w:hint="eastAsia" w:asciiTheme="minorEastAsia" w:hAnsiTheme="minorEastAsia" w:eastAsiaTheme="minorEastAsia" w:cstheme="minorEastAsia"/>
          <w:color w:val="auto"/>
          <w:sz w:val="24"/>
          <w:szCs w:val="24"/>
        </w:rPr>
        <w:t>，服务地点：</w:t>
      </w:r>
      <w:r>
        <w:rPr>
          <w:rFonts w:hint="eastAsia" w:asciiTheme="minorEastAsia" w:hAnsiTheme="minorEastAsia" w:eastAsiaTheme="minorEastAsia" w:cstheme="minorEastAsia"/>
          <w:color w:val="auto"/>
          <w:sz w:val="24"/>
          <w:szCs w:val="24"/>
          <w:lang w:val="en-US" w:eastAsia="zh-CN"/>
        </w:rPr>
        <w:t>中华人民共和国都拉塔出入境边防检查站</w:t>
      </w:r>
      <w:r>
        <w:rPr>
          <w:rFonts w:hint="eastAsia" w:asciiTheme="minorEastAsia" w:hAnsiTheme="minorEastAsia" w:eastAsiaTheme="minorEastAsia" w:cstheme="minorEastAsia"/>
          <w:color w:val="auto"/>
          <w:sz w:val="24"/>
          <w:szCs w:val="24"/>
        </w:rPr>
        <w:t>。</w:t>
      </w:r>
    </w:p>
    <w:p w14:paraId="3DE1F9C5">
      <w:pPr>
        <w:spacing w:line="48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2.项目基本概况：为都拉塔出入境边防检查站提供主副食品配送服务，供货地点新疆伊犁州都拉塔口岸，配送种类包括但不限于蔬菜、水果、肉类、鱼、禽类、禽蛋、大米、面粉、清油及调料等主副食品。</w:t>
      </w:r>
    </w:p>
    <w:p w14:paraId="044AF95A">
      <w:pPr>
        <w:spacing w:line="4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二</w:t>
      </w:r>
      <w:r>
        <w:rPr>
          <w:rFonts w:hint="eastAsia" w:asciiTheme="minorEastAsia" w:hAnsiTheme="minorEastAsia" w:eastAsiaTheme="minorEastAsia" w:cstheme="minorEastAsia"/>
          <w:color w:val="auto"/>
          <w:sz w:val="24"/>
          <w:szCs w:val="24"/>
        </w:rPr>
        <w:t>、项目金额</w:t>
      </w:r>
    </w:p>
    <w:p w14:paraId="5894A6FA">
      <w:pPr>
        <w:spacing w:line="48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具体金额以实际发生为准</w:t>
      </w:r>
      <w:r>
        <w:rPr>
          <w:rFonts w:hint="eastAsia" w:asciiTheme="minorEastAsia" w:hAnsiTheme="minorEastAsia" w:eastAsiaTheme="minorEastAsia" w:cstheme="minorEastAsia"/>
          <w:color w:val="auto"/>
          <w:sz w:val="24"/>
          <w:szCs w:val="24"/>
        </w:rPr>
        <w:t>。</w:t>
      </w:r>
    </w:p>
    <w:p w14:paraId="2D9C4F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三、食材分类及质量要求</w:t>
      </w:r>
    </w:p>
    <w:p w14:paraId="28EA52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cstheme="minorEastAsia"/>
          <w:color w:val="auto"/>
          <w:sz w:val="24"/>
          <w:szCs w:val="24"/>
          <w:lang w:val="en-US" w:eastAsia="zh-CN"/>
        </w:rPr>
        <w:t>（一）米面杂粮分类及相应质量要求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2105"/>
        <w:gridCol w:w="4759"/>
      </w:tblGrid>
      <w:tr w14:paraId="2DD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29551F9A">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品  名</w:t>
            </w:r>
          </w:p>
        </w:tc>
        <w:tc>
          <w:tcPr>
            <w:tcW w:w="2105" w:type="dxa"/>
            <w:vAlign w:val="center"/>
          </w:tcPr>
          <w:p w14:paraId="50A5BCC5">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分  类</w:t>
            </w:r>
          </w:p>
        </w:tc>
        <w:tc>
          <w:tcPr>
            <w:tcW w:w="4759" w:type="dxa"/>
            <w:vAlign w:val="center"/>
          </w:tcPr>
          <w:p w14:paraId="6DBA9531">
            <w:pPr>
              <w:numPr>
                <w:ilvl w:val="0"/>
                <w:numId w:val="0"/>
              </w:numPr>
              <w:spacing w:line="480" w:lineRule="exact"/>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质量要求</w:t>
            </w:r>
          </w:p>
        </w:tc>
      </w:tr>
      <w:tr w14:paraId="198A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42486756">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大米</w:t>
            </w:r>
          </w:p>
        </w:tc>
        <w:tc>
          <w:tcPr>
            <w:tcW w:w="2105" w:type="dxa"/>
            <w:vAlign w:val="center"/>
          </w:tcPr>
          <w:p w14:paraId="46CF109A">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w:t>
            </w:r>
          </w:p>
        </w:tc>
        <w:tc>
          <w:tcPr>
            <w:tcW w:w="4759" w:type="dxa"/>
            <w:vMerge w:val="restart"/>
            <w:vAlign w:val="center"/>
          </w:tcPr>
          <w:p w14:paraId="753CE6A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标签标识符合GB7718和GB28050；</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包装完好，表面无污渍，商标、厂址、重量等齐全；</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具有固有色泽，无异味或霉味（变），无虫蛀结块挂丝或杂质异物；</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剩余保存期不少于保质期的三分之二。</w:t>
            </w:r>
          </w:p>
        </w:tc>
      </w:tr>
      <w:tr w14:paraId="2658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3FDAFDDA">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面粉</w:t>
            </w:r>
          </w:p>
        </w:tc>
        <w:tc>
          <w:tcPr>
            <w:tcW w:w="2105" w:type="dxa"/>
            <w:vAlign w:val="center"/>
          </w:tcPr>
          <w:p w14:paraId="53D86441">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w:t>
            </w:r>
          </w:p>
        </w:tc>
        <w:tc>
          <w:tcPr>
            <w:tcW w:w="4759" w:type="dxa"/>
            <w:vMerge w:val="continue"/>
          </w:tcPr>
          <w:p w14:paraId="2C5CE419">
            <w:pPr>
              <w:numPr>
                <w:ilvl w:val="0"/>
                <w:numId w:val="0"/>
              </w:numPr>
              <w:spacing w:line="480" w:lineRule="exact"/>
              <w:rPr>
                <w:rFonts w:hint="default" w:asciiTheme="minorEastAsia" w:hAnsiTheme="minorEastAsia" w:eastAsiaTheme="minorEastAsia" w:cstheme="minorEastAsia"/>
                <w:sz w:val="24"/>
                <w:szCs w:val="24"/>
                <w:vertAlign w:val="baseline"/>
                <w:lang w:val="en-US"/>
              </w:rPr>
            </w:pPr>
          </w:p>
        </w:tc>
      </w:tr>
      <w:tr w14:paraId="57AE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8" w:type="dxa"/>
            <w:vAlign w:val="center"/>
          </w:tcPr>
          <w:p w14:paraId="62F50EFF">
            <w:pPr>
              <w:numPr>
                <w:ilvl w:val="0"/>
                <w:numId w:val="0"/>
              </w:numPr>
              <w:spacing w:line="480" w:lineRule="exact"/>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杂粮</w:t>
            </w:r>
          </w:p>
        </w:tc>
        <w:tc>
          <w:tcPr>
            <w:tcW w:w="2105" w:type="dxa"/>
            <w:vAlign w:val="center"/>
          </w:tcPr>
          <w:p w14:paraId="6285912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荞麦、燕麦、薏仁、绿豆、小豆（红小豆、绿小豆）、黑豆等</w:t>
            </w:r>
          </w:p>
        </w:tc>
        <w:tc>
          <w:tcPr>
            <w:tcW w:w="4759" w:type="dxa"/>
            <w:vMerge w:val="continue"/>
          </w:tcPr>
          <w:p w14:paraId="35FC7831">
            <w:pPr>
              <w:numPr>
                <w:ilvl w:val="0"/>
                <w:numId w:val="0"/>
              </w:numPr>
              <w:spacing w:line="480" w:lineRule="exact"/>
              <w:rPr>
                <w:rFonts w:hint="default" w:asciiTheme="minorEastAsia" w:hAnsiTheme="minorEastAsia" w:eastAsiaTheme="minorEastAsia" w:cstheme="minorEastAsia"/>
                <w:sz w:val="24"/>
                <w:szCs w:val="24"/>
                <w:vertAlign w:val="baseline"/>
                <w:lang w:val="en-US"/>
              </w:rPr>
            </w:pPr>
          </w:p>
        </w:tc>
      </w:tr>
    </w:tbl>
    <w:p w14:paraId="646A06E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（二）食用油分类及相应质量要求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091"/>
        <w:gridCol w:w="4759"/>
      </w:tblGrid>
      <w:tr w14:paraId="22FF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shd w:val="clear" w:color="auto" w:fill="auto"/>
            <w:vAlign w:val="center"/>
          </w:tcPr>
          <w:p w14:paraId="1529B323">
            <w:pPr>
              <w:numPr>
                <w:ilvl w:val="0"/>
                <w:numId w:val="0"/>
              </w:numPr>
              <w:spacing w:line="480" w:lineRule="exact"/>
              <w:ind w:left="0" w:leftChars="0" w:firstLine="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品  名</w:t>
            </w:r>
          </w:p>
        </w:tc>
        <w:tc>
          <w:tcPr>
            <w:tcW w:w="2091" w:type="dxa"/>
            <w:shd w:val="clear" w:color="auto" w:fill="auto"/>
            <w:vAlign w:val="center"/>
          </w:tcPr>
          <w:p w14:paraId="5A5D8469">
            <w:pPr>
              <w:numPr>
                <w:ilvl w:val="0"/>
                <w:numId w:val="0"/>
              </w:numPr>
              <w:spacing w:line="480" w:lineRule="exact"/>
              <w:ind w:left="0" w:leftChars="0" w:firstLine="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分  类</w:t>
            </w:r>
          </w:p>
        </w:tc>
        <w:tc>
          <w:tcPr>
            <w:tcW w:w="4759" w:type="dxa"/>
            <w:shd w:val="clear" w:color="auto" w:fill="auto"/>
            <w:vAlign w:val="center"/>
          </w:tcPr>
          <w:p w14:paraId="764A1938">
            <w:pPr>
              <w:numPr>
                <w:ilvl w:val="0"/>
                <w:numId w:val="0"/>
              </w:numPr>
              <w:spacing w:line="480" w:lineRule="exact"/>
              <w:ind w:left="0" w:leftChars="0" w:firstLine="0" w:firstLineChars="0"/>
              <w:jc w:val="center"/>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质量要求</w:t>
            </w:r>
          </w:p>
        </w:tc>
      </w:tr>
      <w:tr w14:paraId="5F5F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672" w:type="dxa"/>
            <w:vAlign w:val="center"/>
          </w:tcPr>
          <w:p w14:paraId="48803A7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食用油</w:t>
            </w:r>
          </w:p>
        </w:tc>
        <w:tc>
          <w:tcPr>
            <w:tcW w:w="2091" w:type="dxa"/>
            <w:vAlign w:val="center"/>
          </w:tcPr>
          <w:p w14:paraId="5A1BD48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菜油、大豆油、花生油等</w:t>
            </w:r>
          </w:p>
        </w:tc>
        <w:tc>
          <w:tcPr>
            <w:tcW w:w="4759" w:type="dxa"/>
          </w:tcPr>
          <w:p w14:paraId="43BA84F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非转基因产品；</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标签标识符合GB7718和GB28050；</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具有产品合格证，有QS标志，标明品名、厂名、生产日期、保质期、质量等级及加工工艺（即用浸出发生产，还是用压榨法生产）；</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正常的植物油色泽、透明度、气味，无焦臭、酸败及其他异味；</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剩余保存期不少于保质期的三分之二。</w:t>
            </w:r>
          </w:p>
        </w:tc>
      </w:tr>
    </w:tbl>
    <w:p w14:paraId="291887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cstheme="minorEastAsia"/>
          <w:sz w:val="24"/>
          <w:szCs w:val="24"/>
          <w:lang w:val="en-US" w:eastAsia="zh-CN"/>
        </w:rPr>
        <w:t>（三）肉禽蛋类（含鲜肉、冷冻肉）分类及相应质量要求</w:t>
      </w:r>
    </w:p>
    <w:tbl>
      <w:tblPr>
        <w:tblStyle w:val="23"/>
        <w:tblpPr w:leftFromText="180" w:rightFromText="180" w:vertAnchor="text" w:horzAnchor="page" w:tblpX="1776" w:tblpY="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2091"/>
        <w:gridCol w:w="4749"/>
      </w:tblGrid>
      <w:tr w14:paraId="66DA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shd w:val="clear" w:color="auto" w:fill="auto"/>
            <w:vAlign w:val="center"/>
          </w:tcPr>
          <w:p w14:paraId="19128F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品  名</w:t>
            </w:r>
          </w:p>
        </w:tc>
        <w:tc>
          <w:tcPr>
            <w:tcW w:w="2091" w:type="dxa"/>
            <w:shd w:val="clear" w:color="auto" w:fill="auto"/>
            <w:vAlign w:val="center"/>
          </w:tcPr>
          <w:p w14:paraId="1AE441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分  类</w:t>
            </w:r>
          </w:p>
        </w:tc>
        <w:tc>
          <w:tcPr>
            <w:tcW w:w="4749" w:type="dxa"/>
            <w:shd w:val="clear" w:color="auto" w:fill="auto"/>
            <w:vAlign w:val="center"/>
          </w:tcPr>
          <w:p w14:paraId="1E43C4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质量要求</w:t>
            </w:r>
          </w:p>
        </w:tc>
      </w:tr>
      <w:tr w14:paraId="7B88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center"/>
          </w:tcPr>
          <w:p w14:paraId="7FF5B1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猪肉</w:t>
            </w:r>
          </w:p>
        </w:tc>
        <w:tc>
          <w:tcPr>
            <w:tcW w:w="2091" w:type="dxa"/>
            <w:vAlign w:val="center"/>
          </w:tcPr>
          <w:p w14:paraId="4D141E2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五花肉、廋肉（</w:t>
            </w:r>
            <w:r>
              <w:rPr>
                <w:rFonts w:hint="eastAsia" w:ascii="宋体" w:hAnsi="宋体" w:eastAsia="宋体" w:cs="宋体"/>
                <w:sz w:val="24"/>
                <w:szCs w:val="24"/>
                <w:vertAlign w:val="baseline"/>
                <w:lang w:val="en-US" w:eastAsia="zh-CN"/>
              </w:rPr>
              <w:t>Ⅱ号肉或Ⅳ号肉）、排骨、脊骨、棒骨等</w:t>
            </w:r>
          </w:p>
        </w:tc>
        <w:tc>
          <w:tcPr>
            <w:tcW w:w="4749" w:type="dxa"/>
          </w:tcPr>
          <w:p w14:paraId="4260DB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表面呈均匀红色，脂肪洁白，有光泽，肉质紧密有弹性，外表微湿润或微干；</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无粘液，不粘手，无异味，无注水，冷冻食品解冻时间为4小时以内（室温20</w:t>
            </w:r>
            <w:r>
              <w:rPr>
                <w:rFonts w:hint="eastAsia" w:ascii="宋体" w:hAnsi="宋体" w:eastAsia="宋体" w:cs="宋体"/>
                <w:sz w:val="24"/>
                <w:szCs w:val="24"/>
                <w:vertAlign w:val="baseline"/>
                <w:lang w:val="en-US" w:eastAsia="zh-CN"/>
              </w:rPr>
              <w:t>℃），解冻后净重不少于85%；</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无种猪，无病、死猪，无廋肉精残留。</w:t>
            </w:r>
          </w:p>
        </w:tc>
      </w:tr>
      <w:tr w14:paraId="7F4A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center"/>
          </w:tcPr>
          <w:p w14:paraId="7D7127A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牛肉</w:t>
            </w:r>
          </w:p>
        </w:tc>
        <w:tc>
          <w:tcPr>
            <w:tcW w:w="2091" w:type="dxa"/>
            <w:vAlign w:val="center"/>
          </w:tcPr>
          <w:p w14:paraId="0AB99F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牛里脊、牛腩、牛腱子等</w:t>
            </w:r>
          </w:p>
        </w:tc>
        <w:tc>
          <w:tcPr>
            <w:tcW w:w="4749" w:type="dxa"/>
          </w:tcPr>
          <w:p w14:paraId="70C3A73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表面呈鲜红状或暗红状，脂肪白色或淡黄色，有光泽，有正常油脂分泌，肌肉结构紧密，肌纤维任性强，外表微干或有风干膜；</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切面湿润不黏手，挤压无水溢出，无寄生虫，无注水，冷冻食品解冻时间为4小时以内（室温20</w:t>
            </w:r>
            <w:r>
              <w:rPr>
                <w:rFonts w:hint="eastAsia" w:ascii="宋体" w:hAnsi="宋体" w:eastAsia="宋体" w:cs="宋体"/>
                <w:sz w:val="24"/>
                <w:szCs w:val="24"/>
                <w:vertAlign w:val="baseline"/>
                <w:lang w:val="en-US" w:eastAsia="zh-CN"/>
              </w:rPr>
              <w:t>℃），解冻后净重不少于85%；</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无发酸发臭气味，无腐坏变色。</w:t>
            </w:r>
          </w:p>
        </w:tc>
      </w:tr>
      <w:tr w14:paraId="1477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center"/>
          </w:tcPr>
          <w:p w14:paraId="5A7DE1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羊肉</w:t>
            </w:r>
          </w:p>
        </w:tc>
        <w:tc>
          <w:tcPr>
            <w:tcW w:w="2091" w:type="dxa"/>
            <w:vAlign w:val="center"/>
          </w:tcPr>
          <w:p w14:paraId="0F253E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羊肉、羊肉卷、羊腿、羊蝎子等</w:t>
            </w:r>
          </w:p>
        </w:tc>
        <w:tc>
          <w:tcPr>
            <w:tcW w:w="4749" w:type="dxa"/>
          </w:tcPr>
          <w:p w14:paraId="09DB0DD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cstheme="minorEastAsia"/>
                <w:sz w:val="24"/>
                <w:szCs w:val="24"/>
                <w:vertAlign w:val="baseline"/>
                <w:lang w:val="en-US" w:eastAsia="zh-CN"/>
              </w:rPr>
              <w:t>表面呈鲜红或深红色，脂肪白色或淡黄色，有光泽，肉质紧密细腻，有弹性，外表微干或有风干膜；</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切面湿润不黏手，挤压无水溢出，无注水，冷冻食品解冻时间为4小时以内（室温20</w:t>
            </w:r>
            <w:r>
              <w:rPr>
                <w:rFonts w:hint="eastAsia" w:ascii="宋体" w:hAnsi="宋体" w:eastAsia="宋体" w:cs="宋体"/>
                <w:sz w:val="24"/>
                <w:szCs w:val="24"/>
                <w:vertAlign w:val="baseline"/>
                <w:lang w:val="en-US" w:eastAsia="zh-CN"/>
              </w:rPr>
              <w:t>℃），解冻后净重不少于85%；</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无异味，无腐坏变色。</w:t>
            </w:r>
          </w:p>
        </w:tc>
      </w:tr>
      <w:tr w14:paraId="49C1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center"/>
          </w:tcPr>
          <w:p w14:paraId="0DEEF6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禽类</w:t>
            </w:r>
          </w:p>
        </w:tc>
        <w:tc>
          <w:tcPr>
            <w:tcW w:w="2091" w:type="dxa"/>
            <w:vAlign w:val="center"/>
          </w:tcPr>
          <w:p w14:paraId="4D2560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鸡、鸭、鹅等</w:t>
            </w:r>
          </w:p>
        </w:tc>
        <w:tc>
          <w:tcPr>
            <w:tcW w:w="4749" w:type="dxa"/>
          </w:tcPr>
          <w:p w14:paraId="0BE4DF9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表面呈固有颜色，有光泽，有弹性，无残羽；</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眼球无干缩凹陷或晶体状浑浊；</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切面湿润不发粘，冷冻食品解冻时间为4小时以内（室温20</w:t>
            </w:r>
            <w:r>
              <w:rPr>
                <w:rFonts w:hint="eastAsia" w:ascii="宋体" w:hAnsi="宋体" w:eastAsia="宋体" w:cs="宋体"/>
                <w:sz w:val="24"/>
                <w:szCs w:val="24"/>
                <w:vertAlign w:val="baseline"/>
                <w:lang w:val="en-US" w:eastAsia="zh-CN"/>
              </w:rPr>
              <w:t>℃），解冻后净重不少于85%；</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无异味，无异常颜色，无破损，无残缺。</w:t>
            </w:r>
          </w:p>
        </w:tc>
      </w:tr>
      <w:tr w14:paraId="4B15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2" w:type="dxa"/>
            <w:vAlign w:val="center"/>
          </w:tcPr>
          <w:p w14:paraId="783AB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蛋类</w:t>
            </w:r>
          </w:p>
        </w:tc>
        <w:tc>
          <w:tcPr>
            <w:tcW w:w="2091" w:type="dxa"/>
            <w:vAlign w:val="center"/>
          </w:tcPr>
          <w:p w14:paraId="051EB3D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鸡蛋、鸭蛋、鹌鹑蛋等</w:t>
            </w:r>
          </w:p>
        </w:tc>
        <w:tc>
          <w:tcPr>
            <w:tcW w:w="4749" w:type="dxa"/>
          </w:tcPr>
          <w:p w14:paraId="37DAC20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表面颜色正常，大小均匀完整；</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打破后蛋黄凸起完整，有韧性，蛋白澄清透明，稀稠分明；</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无破损，无残留土、泥、粪污物，无异味。</w:t>
            </w:r>
          </w:p>
        </w:tc>
      </w:tr>
    </w:tbl>
    <w:p w14:paraId="3641C2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br w:type="textWrapping"/>
      </w:r>
      <w:r>
        <w:rPr>
          <w:rFonts w:hint="eastAsia" w:asciiTheme="minorEastAsia" w:hAnsiTheme="minorEastAsia" w:cstheme="minorEastAsia"/>
          <w:sz w:val="24"/>
          <w:szCs w:val="24"/>
          <w:lang w:val="en-US" w:eastAsia="zh-CN"/>
        </w:rPr>
        <w:t xml:space="preserve">    （四）蔬菜水果分类及相应质量要求</w:t>
      </w:r>
      <w:r>
        <w:rPr>
          <w:rFonts w:hint="default" w:asciiTheme="minorEastAsia" w:hAnsiTheme="minorEastAsia" w:eastAsiaTheme="minorEastAsia" w:cstheme="minorEastAsia"/>
          <w:sz w:val="24"/>
          <w:szCs w:val="24"/>
          <w:lang w:val="en-US"/>
        </w:rPr>
        <w:br w:type="textWrapping"/>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091"/>
        <w:gridCol w:w="4759"/>
      </w:tblGrid>
      <w:tr w14:paraId="077C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shd w:val="clear" w:color="auto" w:fill="auto"/>
            <w:vAlign w:val="center"/>
          </w:tcPr>
          <w:p w14:paraId="5661CF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品  名</w:t>
            </w:r>
          </w:p>
        </w:tc>
        <w:tc>
          <w:tcPr>
            <w:tcW w:w="2091" w:type="dxa"/>
            <w:shd w:val="clear" w:color="auto" w:fill="auto"/>
            <w:vAlign w:val="center"/>
          </w:tcPr>
          <w:p w14:paraId="62B498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分  类</w:t>
            </w:r>
          </w:p>
        </w:tc>
        <w:tc>
          <w:tcPr>
            <w:tcW w:w="4759" w:type="dxa"/>
            <w:shd w:val="clear" w:color="auto" w:fill="auto"/>
            <w:vAlign w:val="center"/>
          </w:tcPr>
          <w:p w14:paraId="783478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质量要求</w:t>
            </w:r>
          </w:p>
        </w:tc>
      </w:tr>
      <w:tr w14:paraId="6AC1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restart"/>
            <w:textDirection w:val="tbLrV"/>
            <w:vAlign w:val="center"/>
          </w:tcPr>
          <w:p w14:paraId="26F54377">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left="113" w:right="113" w:firstLine="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蔬       菜</w:t>
            </w:r>
          </w:p>
        </w:tc>
        <w:tc>
          <w:tcPr>
            <w:tcW w:w="2091" w:type="dxa"/>
            <w:vAlign w:val="center"/>
          </w:tcPr>
          <w:p w14:paraId="7A8A11AD">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叶菜类（大白菜、小白菜、菠菜、甘蓝、荠菜、空心菜、茼蒿、苋菜、芹菜等）</w:t>
            </w:r>
          </w:p>
        </w:tc>
        <w:tc>
          <w:tcPr>
            <w:tcW w:w="4759" w:type="dxa"/>
            <w:vAlign w:val="center"/>
          </w:tcPr>
          <w:p w14:paraId="2A01CABE">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肉质鲜嫩形态好，色泽正常，茎基部削平，无枯黄叶、病叶、泥土、明显机械伤和病虫害伤，无烧心焦边、腐烂等现象，无抽苔（菜心除外），无异味，结球叶菜要结球适度，花椰菜应新鲜洁白，不带叶麸，无畸形花。</w:t>
            </w:r>
          </w:p>
        </w:tc>
      </w:tr>
      <w:tr w14:paraId="78D1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75BEE275">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5278166F">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茄果类（番茄、茄子、甜椒、辣椒等）</w:t>
            </w:r>
          </w:p>
        </w:tc>
        <w:tc>
          <w:tcPr>
            <w:tcW w:w="4759" w:type="dxa"/>
            <w:vAlign w:val="center"/>
          </w:tcPr>
          <w:p w14:paraId="60726C80">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果实整洁，成熟度适中，无裂果及空洞现象，茄果不能有裂蒂及果皮变硬现象，无腐烂、异味，无明显机械伤。</w:t>
            </w:r>
          </w:p>
        </w:tc>
      </w:tr>
      <w:tr w14:paraId="3E22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3267F9D4">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2D007EB6">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瓜果类（黄瓜、冬瓜、丝瓜、苦瓜、南瓜、毛节瓜）</w:t>
            </w:r>
          </w:p>
        </w:tc>
        <w:tc>
          <w:tcPr>
            <w:tcW w:w="4759" w:type="dxa"/>
            <w:vAlign w:val="center"/>
          </w:tcPr>
          <w:p w14:paraId="5C926F71">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色泽一致，无疤点，无断裂，无腐烂、异味、明显机械伤，不带泥土。</w:t>
            </w:r>
          </w:p>
        </w:tc>
      </w:tr>
      <w:tr w14:paraId="42BC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114E5BDB">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28680548">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根菜类（萝卜、胡萝卜等）</w:t>
            </w:r>
          </w:p>
        </w:tc>
        <w:tc>
          <w:tcPr>
            <w:tcW w:w="4759" w:type="dxa"/>
            <w:vAlign w:val="center"/>
          </w:tcPr>
          <w:p w14:paraId="4D5EE772">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皮细光滑，肉质脆嫩致密新鲜，无腐烂、裂痕、糠心、异味，不带泥沙，不带茎叶和须根。</w:t>
            </w:r>
          </w:p>
        </w:tc>
      </w:tr>
      <w:tr w14:paraId="1184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480CF9EA">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639C8733">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薯芋类（马铃薯、芋、姜等）</w:t>
            </w:r>
          </w:p>
        </w:tc>
        <w:tc>
          <w:tcPr>
            <w:tcW w:w="4759" w:type="dxa"/>
            <w:vAlign w:val="center"/>
          </w:tcPr>
          <w:p w14:paraId="786854C6">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色泽一致，不带泥沙，不带须根、茎叶，不干瘪，无腐烂、异味、明显机械伤、病虫害斑，马铃薯无发芽，皮不变绿。</w:t>
            </w:r>
          </w:p>
        </w:tc>
      </w:tr>
      <w:tr w14:paraId="63FA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2887EEA8">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32ADDD83">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葱蒜类（葱、蒜、韭菜、洋葱等）</w:t>
            </w:r>
          </w:p>
        </w:tc>
        <w:tc>
          <w:tcPr>
            <w:tcW w:w="4759" w:type="dxa"/>
            <w:vAlign w:val="center"/>
          </w:tcPr>
          <w:p w14:paraId="1DA9973E">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允许葱、青蒜类保留干净须根，葱蒜韭菜不带老叶，蒜头、洋葱去须根枯叶，可食部分新鲜幼嫩，无腐烂、异味。</w:t>
            </w:r>
          </w:p>
        </w:tc>
      </w:tr>
      <w:tr w14:paraId="47F0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50F21E10">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57E26F4C">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水生菜类（藕、马蹄、菱等）</w:t>
            </w:r>
          </w:p>
        </w:tc>
        <w:tc>
          <w:tcPr>
            <w:tcW w:w="4759" w:type="dxa"/>
            <w:vAlign w:val="center"/>
          </w:tcPr>
          <w:p w14:paraId="67473848">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肉质嫩，成熟度适中，无腐烂、异味，无明细机械伤，不带泥土和杂质，不干瘪。</w:t>
            </w:r>
          </w:p>
        </w:tc>
      </w:tr>
      <w:tr w14:paraId="36B5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3BE2D425">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0B920005">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芽苗类（绿豆芽、黄豆芽、香椿苗等）</w:t>
            </w:r>
          </w:p>
        </w:tc>
        <w:tc>
          <w:tcPr>
            <w:tcW w:w="4759" w:type="dxa"/>
            <w:vAlign w:val="center"/>
          </w:tcPr>
          <w:p w14:paraId="6B1C39D5">
            <w:pPr>
              <w:keepNext w:val="0"/>
              <w:keepLines w:val="0"/>
              <w:pageBreakBefore w:val="0"/>
              <w:widowControl w:val="0"/>
              <w:numPr>
                <w:ilvl w:val="0"/>
                <w:numId w:val="0"/>
              </w:numPr>
              <w:kinsoku/>
              <w:wordWrap/>
              <w:overflowPunct/>
              <w:topLinePunct w:val="0"/>
              <w:autoSpaceDE/>
              <w:autoSpaceDN/>
              <w:bidi w:val="0"/>
              <w:adjustRightInd/>
              <w:snapToGrid/>
              <w:spacing w:line="49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芽苗幼嫩，不带豆壳杂质，新鲜，不浸水，无腐烂、异味。</w:t>
            </w:r>
          </w:p>
        </w:tc>
      </w:tr>
      <w:tr w14:paraId="7918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restart"/>
            <w:textDirection w:val="tbLrV"/>
            <w:vAlign w:val="center"/>
          </w:tcPr>
          <w:p w14:paraId="06A0E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113" w:right="113" w:firstLine="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水    果</w:t>
            </w:r>
          </w:p>
        </w:tc>
        <w:tc>
          <w:tcPr>
            <w:tcW w:w="2091" w:type="dxa"/>
            <w:vAlign w:val="center"/>
          </w:tcPr>
          <w:p w14:paraId="183B45F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浆果类（葡萄、猕猴桃、树莓、草莓、石榴等）</w:t>
            </w:r>
          </w:p>
        </w:tc>
        <w:tc>
          <w:tcPr>
            <w:tcW w:w="4759" w:type="dxa"/>
            <w:vMerge w:val="restart"/>
            <w:vAlign w:val="center"/>
          </w:tcPr>
          <w:p w14:paraId="555122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外观饱满，无空壳，皱皮，干涩；</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色泽鲜亮，无变色；</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软硬适中；无外力造成的机械伤（挤伤、压伤、碰伤、切口，裂伤等）；</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无病虫害，表面无虫眼，中间无虫卵遗留；</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成熟度适中，无过熟，未熟情况；</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无污染残留农药；</w:t>
            </w:r>
          </w:p>
        </w:tc>
      </w:tr>
      <w:tr w14:paraId="57FF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5A1D792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294BF14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瓜果类（西瓜、哈密瓜、甜瓜等）</w:t>
            </w:r>
          </w:p>
        </w:tc>
        <w:tc>
          <w:tcPr>
            <w:tcW w:w="4759" w:type="dxa"/>
            <w:vMerge w:val="continue"/>
            <w:vAlign w:val="center"/>
          </w:tcPr>
          <w:p w14:paraId="470A596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rPr>
            </w:pPr>
          </w:p>
        </w:tc>
      </w:tr>
      <w:tr w14:paraId="1474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58750B2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66A0F79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柑橘类（柑、橘、橙、柚、柠檬等）</w:t>
            </w:r>
          </w:p>
        </w:tc>
        <w:tc>
          <w:tcPr>
            <w:tcW w:w="4759" w:type="dxa"/>
            <w:vMerge w:val="continue"/>
            <w:vAlign w:val="center"/>
          </w:tcPr>
          <w:p w14:paraId="7527B93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rPr>
            </w:pPr>
          </w:p>
        </w:tc>
      </w:tr>
      <w:tr w14:paraId="6B9A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01697CC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rPr>
            </w:pPr>
          </w:p>
        </w:tc>
        <w:tc>
          <w:tcPr>
            <w:tcW w:w="2091" w:type="dxa"/>
            <w:vAlign w:val="center"/>
          </w:tcPr>
          <w:p w14:paraId="78087A3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核果类（苹果、梨、桃、杏、樱桃、梅子等）</w:t>
            </w:r>
          </w:p>
        </w:tc>
        <w:tc>
          <w:tcPr>
            <w:tcW w:w="4759" w:type="dxa"/>
            <w:vMerge w:val="continue"/>
            <w:vAlign w:val="center"/>
          </w:tcPr>
          <w:p w14:paraId="361E2D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sz w:val="24"/>
                <w:szCs w:val="24"/>
                <w:vertAlign w:val="baseline"/>
                <w:lang w:val="en-US"/>
              </w:rPr>
            </w:pPr>
          </w:p>
        </w:tc>
      </w:tr>
    </w:tbl>
    <w:p w14:paraId="2FD7EB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Theme="minorEastAsia" w:hAnsiTheme="minorEastAsia" w:eastAsiaTheme="minorEastAsia" w:cstheme="minorEastAsia"/>
          <w:sz w:val="24"/>
          <w:szCs w:val="24"/>
          <w:vertAlign w:val="baseline"/>
          <w:lang w:val="en-US"/>
        </w:rPr>
      </w:pPr>
      <w:r>
        <w:rPr>
          <w:rFonts w:hint="eastAsia" w:asciiTheme="minorEastAsia" w:hAnsiTheme="minorEastAsia" w:cstheme="minorEastAsia"/>
          <w:sz w:val="24"/>
          <w:szCs w:val="24"/>
          <w:lang w:val="en-US" w:eastAsia="zh-CN"/>
        </w:rPr>
        <w:t>（五）冻货水产分类及相应质量要求</w:t>
      </w:r>
      <w:r>
        <w:rPr>
          <w:rFonts w:hint="default" w:asciiTheme="minorEastAsia" w:hAnsiTheme="minorEastAsia" w:eastAsiaTheme="minorEastAsia" w:cstheme="minorEastAsia"/>
          <w:sz w:val="24"/>
          <w:szCs w:val="24"/>
          <w:lang w:val="en-US"/>
        </w:rPr>
        <w:br w:type="textWrapping"/>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091"/>
        <w:gridCol w:w="4759"/>
      </w:tblGrid>
      <w:tr w14:paraId="0D82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shd w:val="clear" w:color="auto" w:fill="auto"/>
            <w:vAlign w:val="center"/>
          </w:tcPr>
          <w:p w14:paraId="20CE5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品  名</w:t>
            </w:r>
          </w:p>
        </w:tc>
        <w:tc>
          <w:tcPr>
            <w:tcW w:w="2091" w:type="dxa"/>
            <w:shd w:val="clear" w:color="auto" w:fill="auto"/>
            <w:vAlign w:val="center"/>
          </w:tcPr>
          <w:p w14:paraId="58A193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分  类</w:t>
            </w:r>
          </w:p>
        </w:tc>
        <w:tc>
          <w:tcPr>
            <w:tcW w:w="4759" w:type="dxa"/>
            <w:shd w:val="clear" w:color="auto" w:fill="auto"/>
            <w:vAlign w:val="center"/>
          </w:tcPr>
          <w:p w14:paraId="20604D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质量要求</w:t>
            </w:r>
          </w:p>
        </w:tc>
      </w:tr>
      <w:tr w14:paraId="2711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14:paraId="7E8A458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冻货</w:t>
            </w:r>
          </w:p>
        </w:tc>
        <w:tc>
          <w:tcPr>
            <w:tcW w:w="2091" w:type="dxa"/>
            <w:vAlign w:val="center"/>
          </w:tcPr>
          <w:p w14:paraId="2D34138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速冻水饺、混沌、汤圆等</w:t>
            </w:r>
          </w:p>
        </w:tc>
        <w:tc>
          <w:tcPr>
            <w:tcW w:w="4759" w:type="dxa"/>
          </w:tcPr>
          <w:p w14:paraId="3143EF0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包装具有《预包装食品标签通则》（GB7718-2004）强制标示，列出食品名称、配料清单、配料的定量标示，净含量和沥干物（固形物）含量、生产厂商名称和地址、日期标示和贮藏说明、产品标准号、质量（品质）等级等。</w:t>
            </w:r>
          </w:p>
        </w:tc>
      </w:tr>
      <w:tr w14:paraId="5990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restart"/>
            <w:vAlign w:val="center"/>
          </w:tcPr>
          <w:p w14:paraId="0340162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水产</w:t>
            </w:r>
          </w:p>
        </w:tc>
        <w:tc>
          <w:tcPr>
            <w:tcW w:w="2091" w:type="dxa"/>
            <w:vMerge w:val="restart"/>
            <w:vAlign w:val="center"/>
          </w:tcPr>
          <w:p w14:paraId="79DB8CE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鱼、虾等</w:t>
            </w:r>
          </w:p>
        </w:tc>
        <w:tc>
          <w:tcPr>
            <w:tcW w:w="4759" w:type="dxa"/>
          </w:tcPr>
          <w:p w14:paraId="60DE47E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鲜活水产体表粘液清洁、透明；</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眼睛澄清、明亮、饱满，眼球黑白界限分明；</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鱼鳞或外壳有光泽，紧贴鱼体，轮层明显、完整而无脱落；</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肉质坚实有弹性，用手指压凹陷处能立即复原；</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具有水产特有的咸腥味，无腐臭味。</w:t>
            </w:r>
          </w:p>
        </w:tc>
      </w:tr>
      <w:tr w14:paraId="20E9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Merge w:val="continue"/>
          </w:tcPr>
          <w:p w14:paraId="4F423A5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cstheme="minorEastAsia"/>
                <w:sz w:val="24"/>
                <w:szCs w:val="24"/>
                <w:vertAlign w:val="baseline"/>
                <w:lang w:val="en-US" w:eastAsia="zh-CN"/>
              </w:rPr>
            </w:pPr>
          </w:p>
        </w:tc>
        <w:tc>
          <w:tcPr>
            <w:tcW w:w="2091" w:type="dxa"/>
            <w:vMerge w:val="continue"/>
          </w:tcPr>
          <w:p w14:paraId="2E2B738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cstheme="minorEastAsia"/>
                <w:sz w:val="24"/>
                <w:szCs w:val="24"/>
                <w:vertAlign w:val="baseline"/>
                <w:lang w:val="en-US" w:eastAsia="zh-CN"/>
              </w:rPr>
            </w:pPr>
          </w:p>
        </w:tc>
        <w:tc>
          <w:tcPr>
            <w:tcW w:w="4759" w:type="dxa"/>
          </w:tcPr>
          <w:p w14:paraId="2C8C0A3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冷冻水产解冻时间为4小时以内（室温20℃），解冻后净重量不少于85%；</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 xml:space="preserve">包装应当列出产品品牌、规格、类型、包装方式、包装净重，含冰量等。  </w:t>
            </w:r>
          </w:p>
        </w:tc>
      </w:tr>
    </w:tbl>
    <w:p w14:paraId="75359C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asciiTheme="minorEastAsia" w:hAnsiTheme="minorEastAsia" w:eastAsiaTheme="minorEastAsia" w:cstheme="minorEastAsia"/>
          <w:sz w:val="24"/>
          <w:szCs w:val="24"/>
          <w:vertAlign w:val="baseline"/>
          <w:lang w:val="en-US"/>
        </w:rPr>
      </w:pPr>
      <w:r>
        <w:rPr>
          <w:rFonts w:hint="default" w:asciiTheme="minorEastAsia" w:hAnsiTheme="minorEastAsia" w:eastAsiaTheme="minorEastAsia" w:cstheme="minorEastAsia"/>
          <w:sz w:val="24"/>
          <w:szCs w:val="24"/>
          <w:lang w:val="en-US"/>
        </w:rPr>
        <w:br w:type="textWrapping"/>
      </w:r>
      <w:r>
        <w:rPr>
          <w:rFonts w:hint="eastAsia" w:asciiTheme="minorEastAsia" w:hAnsiTheme="minorEastAsia" w:cstheme="minorEastAsia"/>
          <w:sz w:val="24"/>
          <w:szCs w:val="24"/>
          <w:lang w:val="en-US" w:eastAsia="zh-CN"/>
        </w:rPr>
        <w:t>（六）副食调料分类及相应质量要求</w:t>
      </w:r>
      <w:r>
        <w:rPr>
          <w:rFonts w:hint="default" w:asciiTheme="minorEastAsia" w:hAnsiTheme="minorEastAsia" w:eastAsiaTheme="minorEastAsia" w:cstheme="minorEastAsia"/>
          <w:sz w:val="24"/>
          <w:szCs w:val="24"/>
          <w:lang w:val="en-US"/>
        </w:rPr>
        <w:br w:type="textWrapping"/>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2091"/>
        <w:gridCol w:w="4759"/>
      </w:tblGrid>
      <w:tr w14:paraId="01E5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shd w:val="clear" w:color="auto" w:fill="auto"/>
            <w:vAlign w:val="center"/>
          </w:tcPr>
          <w:p w14:paraId="547969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品  名</w:t>
            </w:r>
          </w:p>
        </w:tc>
        <w:tc>
          <w:tcPr>
            <w:tcW w:w="2091" w:type="dxa"/>
            <w:shd w:val="clear" w:color="auto" w:fill="auto"/>
            <w:vAlign w:val="center"/>
          </w:tcPr>
          <w:p w14:paraId="041AE9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分  类</w:t>
            </w:r>
          </w:p>
        </w:tc>
        <w:tc>
          <w:tcPr>
            <w:tcW w:w="4759" w:type="dxa"/>
            <w:shd w:val="clear" w:color="auto" w:fill="auto"/>
            <w:vAlign w:val="center"/>
          </w:tcPr>
          <w:p w14:paraId="6B227A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cstheme="minorEastAsia"/>
                <w:sz w:val="24"/>
                <w:szCs w:val="24"/>
                <w:vertAlign w:val="baseline"/>
                <w:lang w:val="en-US" w:eastAsia="zh-CN"/>
              </w:rPr>
              <w:t>质量要求</w:t>
            </w:r>
          </w:p>
        </w:tc>
      </w:tr>
      <w:tr w14:paraId="3B95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14:paraId="06308EF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副食品</w:t>
            </w:r>
          </w:p>
        </w:tc>
        <w:tc>
          <w:tcPr>
            <w:tcW w:w="2091" w:type="dxa"/>
            <w:vAlign w:val="center"/>
          </w:tcPr>
          <w:p w14:paraId="5D49429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豆制品、方便食品、菌菇类（干湿）、罐头、淀粉制品等</w:t>
            </w:r>
          </w:p>
        </w:tc>
        <w:tc>
          <w:tcPr>
            <w:tcW w:w="4759" w:type="dxa"/>
            <w:vMerge w:val="restart"/>
            <w:vAlign w:val="center"/>
          </w:tcPr>
          <w:p w14:paraId="57FAFDB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包装具有《预包装食品标签通则》（GB7718-2004）强制标示，列出食品名称、配料清单、配料的定量标示，净含量和沥干物（固形物）含量、生产厂商名称和地址、日期标示和贮藏说明、产品标准号、质量（品质）等级等；</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外观形态、色泽、气味、滋味和硬度（稠度）符合食品品种应有要求；</w:t>
            </w:r>
            <w:r>
              <w:rPr>
                <w:rFonts w:hint="eastAsia" w:asciiTheme="minorEastAsia" w:hAnsiTheme="minorEastAsia" w:cstheme="minorEastAsia"/>
                <w:sz w:val="24"/>
                <w:szCs w:val="24"/>
                <w:vertAlign w:val="baseline"/>
                <w:lang w:val="en-US" w:eastAsia="zh-CN"/>
              </w:rPr>
              <w:br w:type="textWrapping"/>
            </w:r>
            <w:r>
              <w:rPr>
                <w:rFonts w:hint="eastAsia" w:asciiTheme="minorEastAsia" w:hAnsiTheme="minorEastAsia" w:cstheme="minorEastAsia"/>
                <w:sz w:val="24"/>
                <w:szCs w:val="24"/>
                <w:vertAlign w:val="baseline"/>
                <w:lang w:val="en-US" w:eastAsia="zh-CN"/>
              </w:rPr>
              <w:t>无杂质，无变质，无异味。</w:t>
            </w:r>
          </w:p>
        </w:tc>
      </w:tr>
      <w:tr w14:paraId="69B5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2" w:type="dxa"/>
            <w:vAlign w:val="center"/>
          </w:tcPr>
          <w:p w14:paraId="3772395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调料</w:t>
            </w:r>
          </w:p>
        </w:tc>
        <w:tc>
          <w:tcPr>
            <w:tcW w:w="2091" w:type="dxa"/>
            <w:vAlign w:val="center"/>
          </w:tcPr>
          <w:p w14:paraId="6187A5B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味精、食盐、糖、酱油、醋、料酒、酱腌菜、辛辣料（五香粉、胡椒粉、花椒粉、咖喱粉、芥末粉等，主要原料有八角、花椒、胡椒、桂皮、小茴香、大茴香、辣椒、孜然等）等</w:t>
            </w:r>
          </w:p>
        </w:tc>
        <w:tc>
          <w:tcPr>
            <w:tcW w:w="4759" w:type="dxa"/>
            <w:vMerge w:val="continue"/>
          </w:tcPr>
          <w:p w14:paraId="680709B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eastAsiaTheme="minorEastAsia" w:cstheme="minorEastAsia"/>
                <w:sz w:val="24"/>
                <w:szCs w:val="24"/>
                <w:vertAlign w:val="baseline"/>
                <w:lang w:val="en-US"/>
              </w:rPr>
            </w:pPr>
          </w:p>
        </w:tc>
      </w:tr>
    </w:tbl>
    <w:p w14:paraId="108E89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eastAsia" w:ascii="宋体" w:hAnsi="宋体" w:eastAsia="宋体" w:cs="宋体"/>
          <w:b/>
          <w:bCs/>
          <w:color w:val="auto"/>
          <w:highlight w:val="none"/>
          <w:lang w:val="en-US" w:eastAsia="zh-CN"/>
        </w:rPr>
      </w:pPr>
      <w:r>
        <w:rPr>
          <w:rFonts w:hint="default" w:asciiTheme="minorEastAsia" w:hAnsiTheme="minorEastAsia" w:eastAsiaTheme="minorEastAsia" w:cstheme="minorEastAsia"/>
          <w:sz w:val="24"/>
          <w:szCs w:val="24"/>
          <w:lang w:val="en-US"/>
        </w:rPr>
        <w:br w:type="textWrapping"/>
      </w:r>
      <w:r>
        <w:rPr>
          <w:rFonts w:hint="eastAsia" w:ascii="宋体" w:hAnsi="宋体" w:eastAsia="宋体" w:cs="宋体"/>
          <w:b/>
          <w:bCs/>
          <w:color w:val="auto"/>
          <w:highlight w:val="none"/>
        </w:rPr>
        <w:t>备注：</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所供肉制品</w:t>
      </w:r>
      <w:r>
        <w:rPr>
          <w:rFonts w:hint="eastAsia" w:ascii="宋体" w:hAnsi="宋体" w:eastAsia="宋体" w:cs="宋体"/>
          <w:b/>
          <w:bCs/>
          <w:color w:val="auto"/>
          <w:highlight w:val="none"/>
          <w:lang w:val="en-US" w:eastAsia="zh-CN"/>
        </w:rPr>
        <w:t>须</w:t>
      </w:r>
      <w:r>
        <w:rPr>
          <w:rFonts w:hint="eastAsia" w:ascii="宋体" w:hAnsi="宋体" w:eastAsia="宋体" w:cs="宋体"/>
          <w:b/>
          <w:bCs/>
          <w:color w:val="auto"/>
          <w:highlight w:val="none"/>
        </w:rPr>
        <w:t>提供《动物检疫合格证》 和《肉品品质检验合格证》或近期的检疫检验合格证明材料</w:t>
      </w:r>
      <w:r>
        <w:rPr>
          <w:rFonts w:hint="eastAsia" w:ascii="宋体" w:hAnsi="宋体" w:eastAsia="宋体" w:cs="宋体"/>
          <w:b/>
          <w:bCs/>
          <w:color w:val="auto"/>
          <w:highlight w:val="none"/>
          <w:lang w:eastAsia="zh-CN"/>
        </w:rPr>
        <w:t>；</w:t>
      </w:r>
    </w:p>
    <w:p w14:paraId="13403C12">
      <w:pPr>
        <w:spacing w:line="480" w:lineRule="exact"/>
        <w:ind w:firstLine="422" w:firstLineChars="200"/>
        <w:rPr>
          <w:rFonts w:hint="eastAsia" w:ascii="仿宋_GB2312" w:eastAsia="仿宋_GB2312"/>
          <w:b/>
          <w:bCs/>
          <w:color w:val="auto"/>
          <w:sz w:val="28"/>
          <w:szCs w:val="28"/>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以上品种为日常需求品种，实际配送品种按招标人出具的采购配送订单为准，以实际配送量为准，配送时间达到合同条款的规定</w:t>
      </w:r>
      <w:r>
        <w:rPr>
          <w:rFonts w:hint="eastAsia" w:ascii="宋体" w:hAnsi="宋体" w:eastAsia="宋体" w:cs="宋体"/>
          <w:b/>
          <w:bCs/>
          <w:color w:val="auto"/>
          <w:highlight w:val="none"/>
          <w:lang w:eastAsia="zh-CN"/>
        </w:rPr>
        <w:t>。</w:t>
      </w:r>
    </w:p>
    <w:bookmarkEnd w:id="14"/>
    <w:p w14:paraId="0972D2BF">
      <w:pPr>
        <w:pStyle w:val="20"/>
        <w:rPr>
          <w:rFonts w:hint="eastAsia" w:ascii="宋体" w:hAnsi="宋体" w:eastAsia="宋体" w:cs="宋体"/>
          <w:b/>
          <w:bCs/>
          <w:color w:val="auto"/>
          <w:highlight w:val="none"/>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940599-8026-4108-A6F9-33DC9F9DAACE}"/>
  </w:font>
  <w:font w:name="黑体">
    <w:panose1 w:val="02010609060101010101"/>
    <w:charset w:val="86"/>
    <w:family w:val="auto"/>
    <w:pitch w:val="default"/>
    <w:sig w:usb0="800002BF" w:usb1="38CF7CFA" w:usb2="00000016" w:usb3="00000000" w:csb0="00040001" w:csb1="00000000"/>
    <w:embedRegular r:id="rId2" w:fontKey="{DED3D698-67F3-4FE4-B767-270C29EA3B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7A1E2D5D-15A1-4595-82E8-0A4EF79128AA}"/>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embedRegular r:id="rId4" w:fontKey="{EBD60250-F584-41E6-8C78-2379CB9969C6}"/>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2FDCD446-7F71-4E5A-B3BC-24EE05FA3429}"/>
  </w:font>
  <w:font w:name="PMingLiU">
    <w:panose1 w:val="02020500000000000000"/>
    <w:charset w:val="88"/>
    <w:family w:val="roman"/>
    <w:pitch w:val="default"/>
    <w:sig w:usb0="A00002FF" w:usb1="28CFFCFA" w:usb2="00000016" w:usb3="00000000" w:csb0="00100001" w:csb1="00000000"/>
  </w:font>
  <w:font w:name="方正仿宋_GB2312">
    <w:altName w:val="仿宋"/>
    <w:panose1 w:val="02000000000000000000"/>
    <w:charset w:val="86"/>
    <w:family w:val="auto"/>
    <w:pitch w:val="default"/>
    <w:sig w:usb0="00000000" w:usb1="00000000" w:usb2="00000012" w:usb3="00000000" w:csb0="00040001" w:csb1="00000000"/>
    <w:embedRegular r:id="rId6" w:fontKey="{739FEDA7-7577-4AFE-8D71-7F30E524C2C1}"/>
  </w:font>
  <w:font w:name="楷体_GB2312">
    <w:altName w:val="楷体"/>
    <w:panose1 w:val="02010609030101010101"/>
    <w:charset w:val="86"/>
    <w:family w:val="modern"/>
    <w:pitch w:val="default"/>
    <w:sig w:usb0="00000000" w:usb1="00000000" w:usb2="00000000" w:usb3="00000000" w:csb0="00040000" w:csb1="00000000"/>
    <w:embedRegular r:id="rId7" w:fontKey="{1F50A5CD-95DF-451C-B947-0EA39620758F}"/>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embedRegular r:id="rId8" w:fontKey="{B163DA82-F429-4455-A391-CCAA205D85B4}"/>
  </w:font>
  <w:font w:name="Wingdings 2">
    <w:altName w:val="Wingdings"/>
    <w:panose1 w:val="05020102010507070707"/>
    <w:charset w:val="02"/>
    <w:family w:val="auto"/>
    <w:pitch w:val="default"/>
    <w:sig w:usb0="00000000" w:usb1="00000000" w:usb2="00000000" w:usb3="00000000" w:csb0="80000000" w:csb1="00000000"/>
    <w:embedRegular r:id="rId9" w:fontKey="{78A037B5-D95E-4454-B0FF-60B3921EAD0A}"/>
  </w:font>
  <w:font w:name="汉仪细圆B5">
    <w:altName w:val="仿宋"/>
    <w:panose1 w:val="00000000000000000000"/>
    <w:charset w:val="00"/>
    <w:family w:val="auto"/>
    <w:pitch w:val="default"/>
    <w:sig w:usb0="00000000" w:usb1="00000000" w:usb2="00000000" w:usb3="00000000" w:csb0="00000000" w:csb1="00000000"/>
    <w:embedRegular r:id="rId10" w:fontKey="{6953415F-E31A-470A-9484-927D825A63BA}"/>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67AB0">
    <w:pPr>
      <w:pStyle w:val="14"/>
      <w:jc w:val="both"/>
      <w:rPr>
        <w:rFonts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A20A">
    <w:pPr>
      <w:pStyle w:val="14"/>
      <w:framePr w:wrap="around" w:vAnchor="text" w:hAnchor="margin" w:xAlign="center" w:y="1"/>
      <w:rPr>
        <w:rStyle w:val="25"/>
      </w:rPr>
    </w:pPr>
    <w:r>
      <w:fldChar w:fldCharType="begin"/>
    </w:r>
    <w:r>
      <w:rPr>
        <w:rStyle w:val="25"/>
        <w:sz w:val="21"/>
      </w:rPr>
      <w:instrText xml:space="preserve">PAGE  </w:instrText>
    </w:r>
    <w:r>
      <w:fldChar w:fldCharType="end"/>
    </w:r>
  </w:p>
  <w:p w14:paraId="1ED75EA3">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18EA">
    <w:pPr>
      <w:pStyle w:val="14"/>
      <w:tabs>
        <w:tab w:val="left" w:pos="5166"/>
      </w:tabs>
      <w:ind w:left="180" w:hanging="180" w:hangingChars="100"/>
      <w:jc w:val="left"/>
      <w:rPr>
        <w:rFonts w:hint="eastAsia" w:eastAsia="楷体_GB2312"/>
        <w:lang w:eastAsia="zh-CN"/>
      </w:rPr>
    </w:pPr>
    <w:r>
      <w:rPr>
        <w:rFonts w:hint="eastAsia" w:eastAsia="楷体_GB2312"/>
        <w:lang w:eastAsia="zh-CN"/>
      </w:rPr>
      <w:tab/>
    </w:r>
    <w:r>
      <w:rPr>
        <w:rFonts w:hint="eastAsia" w:eastAsia="楷体_GB2312"/>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61ED">
    <w:pPr>
      <w:pStyle w:val="14"/>
      <w:tabs>
        <w:tab w:val="left" w:pos="5032"/>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9F7F2">
    <w:pPr>
      <w:pStyle w:val="14"/>
      <w:tabs>
        <w:tab w:val="left" w:pos="5032"/>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AA9CF1">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BAA9CF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C2FA">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7F09F">
                          <w:pPr>
                            <w:pStyle w:val="1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F7F09F">
                    <w:pPr>
                      <w:pStyle w:val="14"/>
                    </w:pPr>
                    <w:r>
                      <w:fldChar w:fldCharType="begin"/>
                    </w:r>
                    <w:r>
                      <w:instrText xml:space="preserve"> PAGE  \* MERGEFORMAT </w:instrText>
                    </w:r>
                    <w:r>
                      <w:fldChar w:fldCharType="separate"/>
                    </w:r>
                    <w:r>
                      <w:t>33</w:t>
                    </w:r>
                    <w:r>
                      <w:fldChar w:fldCharType="end"/>
                    </w:r>
                  </w:p>
                </w:txbxContent>
              </v:textbox>
            </v:shape>
          </w:pict>
        </mc:Fallback>
      </mc:AlternateContent>
    </w:r>
  </w:p>
  <w:p w14:paraId="694E5BDA">
    <w:pPr>
      <w:pStyle w:val="1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0D2D">
    <w:pPr>
      <w:pStyle w:val="4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AC71BD">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14:paraId="26AC71BD">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5D6">
    <w:pPr>
      <w:pStyle w:val="15"/>
      <w:pBdr>
        <w:bottom w:val="none" w:color="auto" w:sz="0" w:space="0"/>
      </w:pBdr>
      <w:jc w:val="right"/>
    </w:pPr>
    <w:r>
      <w:rPr>
        <w:rFonts w:hint="eastAsia"/>
        <w:b/>
        <w:bCs/>
        <w:sz w:val="22"/>
        <w:szCs w:val="24"/>
      </w:rP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4653">
    <w:pPr>
      <w:pStyle w:val="15"/>
      <w:pBdr>
        <w:bottom w:val="none" w:color="auto" w:sz="0" w:space="0"/>
      </w:pBdr>
      <w:jc w:val="right"/>
    </w:pPr>
    <w:r>
      <w:rPr>
        <w:rFonts w:hint="eastAsia"/>
        <w:b/>
        <w:bCs/>
        <w:sz w:val="22"/>
        <w:szCs w:val="24"/>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7B65">
    <w:pPr>
      <w:pStyle w:val="15"/>
      <w:tabs>
        <w:tab w:val="center" w:pos="4139"/>
        <w:tab w:val="right" w:pos="8399"/>
      </w:tabs>
      <w:jc w:val="left"/>
    </w:pP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C3D0">
    <w:pPr>
      <w:pStyle w:val="15"/>
      <w:tabs>
        <w:tab w:val="center" w:pos="4139"/>
        <w:tab w:val="right" w:pos="8399"/>
      </w:tabs>
      <w:jc w:val="left"/>
    </w:pPr>
    <w:r>
      <w:rPr>
        <w:rFonts w:hint="eastAsia"/>
        <w:lang w:eastAsia="zh-CN"/>
      </w:rPr>
      <w:tab/>
    </w:r>
    <w:r>
      <w:rPr>
        <w:rFonts w:hint="eastAsia"/>
        <w:lang w:val="en-US" w:eastAsia="zh-CN"/>
      </w:rPr>
      <w:t xml:space="preserve">                                </w:t>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3A21"/>
    <w:multiLevelType w:val="singleLevel"/>
    <w:tmpl w:val="84CA3A21"/>
    <w:lvl w:ilvl="0" w:tentative="0">
      <w:start w:val="1"/>
      <w:numFmt w:val="chineseCounting"/>
      <w:suff w:val="nothing"/>
      <w:lvlText w:val="%1、"/>
      <w:lvlJc w:val="left"/>
      <w:rPr>
        <w:rFonts w:hint="eastAsia"/>
      </w:rPr>
    </w:lvl>
  </w:abstractNum>
  <w:abstractNum w:abstractNumId="1">
    <w:nsid w:val="EE8E3184"/>
    <w:multiLevelType w:val="singleLevel"/>
    <w:tmpl w:val="EE8E3184"/>
    <w:lvl w:ilvl="0" w:tentative="0">
      <w:start w:val="1"/>
      <w:numFmt w:val="decimal"/>
      <w:suff w:val="nothing"/>
      <w:lvlText w:val="（%1）"/>
      <w:lvlJc w:val="left"/>
    </w:lvl>
  </w:abstractNum>
  <w:abstractNum w:abstractNumId="2">
    <w:nsid w:val="06FCC4D6"/>
    <w:multiLevelType w:val="singleLevel"/>
    <w:tmpl w:val="06FCC4D6"/>
    <w:lvl w:ilvl="0" w:tentative="0">
      <w:start w:val="1"/>
      <w:numFmt w:val="chineseCounting"/>
      <w:suff w:val="nothing"/>
      <w:lvlText w:val="（%1）"/>
      <w:lvlJc w:val="left"/>
      <w:rPr>
        <w:rFonts w:hint="eastAsia"/>
      </w:rPr>
    </w:lvl>
  </w:abstractNum>
  <w:abstractNum w:abstractNumId="3">
    <w:nsid w:val="1BC04BB8"/>
    <w:multiLevelType w:val="multilevel"/>
    <w:tmpl w:val="1BC04BB8"/>
    <w:lvl w:ilvl="0" w:tentative="0">
      <w:start w:val="1"/>
      <w:numFmt w:val="decimal"/>
      <w:pStyle w:val="3"/>
      <w:lvlText w:val="%1"/>
      <w:lvlJc w:val="left"/>
      <w:pPr>
        <w:ind w:left="425" w:hanging="425"/>
      </w:pPr>
      <w:rPr>
        <w:rFonts w:hint="eastAsia"/>
        <w:b/>
      </w:rPr>
    </w:lvl>
    <w:lvl w:ilvl="1" w:tentative="0">
      <w:start w:val="1"/>
      <w:numFmt w:val="decimal"/>
      <w:lvlText w:val="%1.%2"/>
      <w:lvlJc w:val="left"/>
      <w:pPr>
        <w:ind w:left="567" w:hanging="567"/>
      </w:pPr>
      <w:rPr>
        <w:rFonts w:hint="eastAsia" w:eastAsia="宋体" w:asciiTheme="majorEastAsia" w:hAnsiTheme="majorEastAsia"/>
      </w:rPr>
    </w:lvl>
    <w:lvl w:ilvl="2" w:tentative="0">
      <w:start w:val="1"/>
      <w:numFmt w:val="decimal"/>
      <w:lvlText w:val="%1.%2.%3"/>
      <w:lvlJc w:val="left"/>
      <w:pPr>
        <w:ind w:left="1418" w:hanging="567"/>
      </w:pPr>
      <w:rPr>
        <w:rFonts w:hint="eastAsia" w:eastAsia="宋体" w:asciiTheme="minorEastAsia" w:hAnsiTheme="minorEastAsia"/>
      </w:rPr>
    </w:lvl>
    <w:lvl w:ilvl="3" w:tentative="0">
      <w:start w:val="1"/>
      <w:numFmt w:val="decimal"/>
      <w:lvlText w:val="%4、"/>
      <w:lvlJc w:val="left"/>
      <w:pPr>
        <w:ind w:left="1636" w:hanging="36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24E409BB"/>
    <w:multiLevelType w:val="multilevel"/>
    <w:tmpl w:val="24E409BB"/>
    <w:lvl w:ilvl="0" w:tentative="0">
      <w:start w:val="1"/>
      <w:numFmt w:val="decimal"/>
      <w:pStyle w:val="4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314C4CC"/>
    <w:multiLevelType w:val="singleLevel"/>
    <w:tmpl w:val="7314C4CC"/>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ZDhmMDg3MDBmOWYzN2UxMjI4ZmU0NWIyMjc5MGYifQ=="/>
  </w:docVars>
  <w:rsids>
    <w:rsidRoot w:val="68240207"/>
    <w:rsid w:val="018309A3"/>
    <w:rsid w:val="02BA5767"/>
    <w:rsid w:val="052E4F7D"/>
    <w:rsid w:val="053E27A6"/>
    <w:rsid w:val="06273A85"/>
    <w:rsid w:val="067D5F0F"/>
    <w:rsid w:val="0882661C"/>
    <w:rsid w:val="09630F59"/>
    <w:rsid w:val="0B654C1F"/>
    <w:rsid w:val="0C2030B4"/>
    <w:rsid w:val="0C521E8F"/>
    <w:rsid w:val="0C7759AB"/>
    <w:rsid w:val="0E6715BF"/>
    <w:rsid w:val="0F216D58"/>
    <w:rsid w:val="0F87170C"/>
    <w:rsid w:val="112B1601"/>
    <w:rsid w:val="125A3098"/>
    <w:rsid w:val="13D54A41"/>
    <w:rsid w:val="166F1AD2"/>
    <w:rsid w:val="167B37D7"/>
    <w:rsid w:val="191F5D7A"/>
    <w:rsid w:val="1A0C5DB0"/>
    <w:rsid w:val="1A7063FC"/>
    <w:rsid w:val="1B2B74BE"/>
    <w:rsid w:val="1BB9498B"/>
    <w:rsid w:val="1BCB0589"/>
    <w:rsid w:val="1C154BDC"/>
    <w:rsid w:val="1CC24092"/>
    <w:rsid w:val="1CF75746"/>
    <w:rsid w:val="1D3369BF"/>
    <w:rsid w:val="1D5C0843"/>
    <w:rsid w:val="1E4D5066"/>
    <w:rsid w:val="1E8F0776"/>
    <w:rsid w:val="1F0365F0"/>
    <w:rsid w:val="205639A3"/>
    <w:rsid w:val="21813D5E"/>
    <w:rsid w:val="22713A70"/>
    <w:rsid w:val="23A61C99"/>
    <w:rsid w:val="241F37F9"/>
    <w:rsid w:val="259056C5"/>
    <w:rsid w:val="264C474C"/>
    <w:rsid w:val="272C4BAB"/>
    <w:rsid w:val="27E41E47"/>
    <w:rsid w:val="27FC12C4"/>
    <w:rsid w:val="28340819"/>
    <w:rsid w:val="284E57C8"/>
    <w:rsid w:val="2A55FD65"/>
    <w:rsid w:val="2A642137"/>
    <w:rsid w:val="2AC3661D"/>
    <w:rsid w:val="2BB31C5C"/>
    <w:rsid w:val="2BB5469E"/>
    <w:rsid w:val="2DEE51D2"/>
    <w:rsid w:val="2E501D56"/>
    <w:rsid w:val="2F261EE0"/>
    <w:rsid w:val="2F7A6F55"/>
    <w:rsid w:val="308C2CB6"/>
    <w:rsid w:val="30B61550"/>
    <w:rsid w:val="34E9715E"/>
    <w:rsid w:val="352B1CBD"/>
    <w:rsid w:val="35480E14"/>
    <w:rsid w:val="35FC547C"/>
    <w:rsid w:val="367B7CEB"/>
    <w:rsid w:val="370F3AFB"/>
    <w:rsid w:val="386511F1"/>
    <w:rsid w:val="39176F08"/>
    <w:rsid w:val="3B5A16C6"/>
    <w:rsid w:val="3C617AD3"/>
    <w:rsid w:val="3C854832"/>
    <w:rsid w:val="3D033860"/>
    <w:rsid w:val="3E526345"/>
    <w:rsid w:val="3EDE05CF"/>
    <w:rsid w:val="3EEF324A"/>
    <w:rsid w:val="3FAE03FB"/>
    <w:rsid w:val="3FC25C55"/>
    <w:rsid w:val="40BB2551"/>
    <w:rsid w:val="41850CE8"/>
    <w:rsid w:val="419A23FF"/>
    <w:rsid w:val="42674891"/>
    <w:rsid w:val="42761BF9"/>
    <w:rsid w:val="42B81A6C"/>
    <w:rsid w:val="433F173E"/>
    <w:rsid w:val="44056110"/>
    <w:rsid w:val="49AD4A66"/>
    <w:rsid w:val="4ACC53D9"/>
    <w:rsid w:val="4D616765"/>
    <w:rsid w:val="4DA7185A"/>
    <w:rsid w:val="4E8455C7"/>
    <w:rsid w:val="4E99765C"/>
    <w:rsid w:val="4FCF3870"/>
    <w:rsid w:val="52F516E5"/>
    <w:rsid w:val="537E3C2A"/>
    <w:rsid w:val="540C5D72"/>
    <w:rsid w:val="55230D8E"/>
    <w:rsid w:val="55255504"/>
    <w:rsid w:val="565D6960"/>
    <w:rsid w:val="56BE59F3"/>
    <w:rsid w:val="56D94CF5"/>
    <w:rsid w:val="56F20776"/>
    <w:rsid w:val="57B27183"/>
    <w:rsid w:val="59BA37F5"/>
    <w:rsid w:val="5A985067"/>
    <w:rsid w:val="5D494E68"/>
    <w:rsid w:val="5E6F9BB1"/>
    <w:rsid w:val="5F4D06D2"/>
    <w:rsid w:val="5FB6A3EA"/>
    <w:rsid w:val="5FCA136C"/>
    <w:rsid w:val="61317B79"/>
    <w:rsid w:val="626F7358"/>
    <w:rsid w:val="62761B04"/>
    <w:rsid w:val="630F6929"/>
    <w:rsid w:val="63A0130A"/>
    <w:rsid w:val="64055C95"/>
    <w:rsid w:val="6412053C"/>
    <w:rsid w:val="6468651B"/>
    <w:rsid w:val="65254CEC"/>
    <w:rsid w:val="66174201"/>
    <w:rsid w:val="667FC075"/>
    <w:rsid w:val="675F31BD"/>
    <w:rsid w:val="67CF3254"/>
    <w:rsid w:val="68240207"/>
    <w:rsid w:val="6AB541FC"/>
    <w:rsid w:val="6B885739"/>
    <w:rsid w:val="6C97174C"/>
    <w:rsid w:val="6E3C7CB4"/>
    <w:rsid w:val="6EF77497"/>
    <w:rsid w:val="6F045E13"/>
    <w:rsid w:val="6FB05FAF"/>
    <w:rsid w:val="6FB41971"/>
    <w:rsid w:val="7056082F"/>
    <w:rsid w:val="70744DA7"/>
    <w:rsid w:val="70D50710"/>
    <w:rsid w:val="71416DC6"/>
    <w:rsid w:val="7298621E"/>
    <w:rsid w:val="72CE228B"/>
    <w:rsid w:val="73326672"/>
    <w:rsid w:val="74C01C07"/>
    <w:rsid w:val="767400A8"/>
    <w:rsid w:val="78B45F15"/>
    <w:rsid w:val="78D0698F"/>
    <w:rsid w:val="78D84AFC"/>
    <w:rsid w:val="796B7926"/>
    <w:rsid w:val="7ADE9E9F"/>
    <w:rsid w:val="7AE021ED"/>
    <w:rsid w:val="7B1E74DC"/>
    <w:rsid w:val="7BF3E55C"/>
    <w:rsid w:val="7DDB187D"/>
    <w:rsid w:val="7DFD12BE"/>
    <w:rsid w:val="AD1D2A47"/>
    <w:rsid w:val="BFEFD44F"/>
    <w:rsid w:val="DCFE0569"/>
    <w:rsid w:val="DFDB0494"/>
    <w:rsid w:val="DFDF0CB8"/>
    <w:rsid w:val="E6FD2395"/>
    <w:rsid w:val="EC3F4AAE"/>
    <w:rsid w:val="ED9D78EE"/>
    <w:rsid w:val="F8EFDF5C"/>
    <w:rsid w:val="FBAF8E22"/>
    <w:rsid w:val="FBF704DD"/>
    <w:rsid w:val="FE532D61"/>
    <w:rsid w:val="FEFB17BC"/>
    <w:rsid w:val="FF7B3197"/>
    <w:rsid w:val="FFDBC983"/>
    <w:rsid w:val="FFF53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widowControl/>
      <w:numPr>
        <w:ilvl w:val="0"/>
        <w:numId w:val="1"/>
      </w:numPr>
      <w:spacing w:before="120" w:after="120" w:line="360" w:lineRule="auto"/>
      <w:jc w:val="left"/>
      <w:outlineLvl w:val="0"/>
    </w:pPr>
    <w:rPr>
      <w:rFonts w:ascii="Times New Roman" w:hAnsi="Times New Roman" w:cs="Times New Roman"/>
      <w:b/>
      <w:bCs/>
      <w:kern w:val="44"/>
      <w:sz w:val="2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00"/>
      <w:outlineLvl w:val="3"/>
    </w:pPr>
    <w:rPr>
      <w:i/>
      <w:iCs/>
      <w:color w:val="4F81BD"/>
      <w:sz w:val="20"/>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Times New Roman"/>
      <w:kern w:val="2"/>
      <w:sz w:val="24"/>
      <w:szCs w:val="24"/>
      <w:lang w:val="en-US" w:eastAsia="zh-CN" w:bidi="ar-SA"/>
    </w:rPr>
  </w:style>
  <w:style w:type="paragraph" w:styleId="6">
    <w:name w:val="Normal Indent"/>
    <w:basedOn w:val="1"/>
    <w:qFormat/>
    <w:uiPriority w:val="0"/>
    <w:pPr>
      <w:widowControl/>
      <w:ind w:firstLine="420"/>
      <w:jc w:val="left"/>
    </w:pPr>
    <w:rPr>
      <w:kern w:val="0"/>
      <w:sz w:val="20"/>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w:basedOn w:val="1"/>
    <w:next w:val="10"/>
    <w:qFormat/>
    <w:uiPriority w:val="0"/>
    <w:pPr>
      <w:spacing w:after="120"/>
    </w:pPr>
    <w:rPr>
      <w:szCs w:val="24"/>
    </w:rPr>
  </w:style>
  <w:style w:type="paragraph" w:styleId="10">
    <w:name w:val="Date"/>
    <w:basedOn w:val="1"/>
    <w:next w:val="1"/>
    <w:qFormat/>
    <w:uiPriority w:val="0"/>
    <w:pPr>
      <w:adjustRightInd w:val="0"/>
      <w:spacing w:line="360" w:lineRule="atLeast"/>
      <w:ind w:firstLine="454"/>
      <w:textAlignment w:val="baseline"/>
    </w:pPr>
    <w:rPr>
      <w:kern w:val="0"/>
    </w:rPr>
  </w:style>
  <w:style w:type="paragraph" w:styleId="11">
    <w:name w:val="Body Text Indent"/>
    <w:basedOn w:val="1"/>
    <w:next w:val="7"/>
    <w:qFormat/>
    <w:uiPriority w:val="0"/>
    <w:pPr>
      <w:spacing w:after="120"/>
      <w:ind w:left="420" w:leftChars="200"/>
    </w:pPr>
  </w:style>
  <w:style w:type="paragraph" w:styleId="12">
    <w:name w:val="Plain Text"/>
    <w:basedOn w:val="1"/>
    <w:qFormat/>
    <w:uiPriority w:val="0"/>
    <w:rPr>
      <w:rFonts w:ascii="宋体" w:hAnsi="Courier New" w:eastAsiaTheme="minorEastAsia" w:cstheme="minorBidi"/>
      <w:szCs w:val="22"/>
    </w:rPr>
  </w:style>
  <w:style w:type="paragraph" w:styleId="13">
    <w:name w:val="Body Text Indent 2"/>
    <w:basedOn w:val="1"/>
    <w:qFormat/>
    <w:uiPriority w:val="0"/>
    <w:pPr>
      <w:ind w:firstLine="480"/>
    </w:pPr>
    <w:rPr>
      <w:rFonts w:ascii="宋体" w:hAnsi="宋体"/>
      <w:sz w:val="30"/>
      <w:szCs w:val="24"/>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List"/>
    <w:basedOn w:val="1"/>
    <w:qFormat/>
    <w:uiPriority w:val="0"/>
    <w:pPr>
      <w:ind w:left="200" w:hanging="200" w:hangingChars="200"/>
    </w:pPr>
    <w:rPr>
      <w:rFonts w:ascii="Times New Roman" w:hAnsi="Times New Roman"/>
      <w:szCs w:val="20"/>
    </w:r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9">
    <w:name w:val="Title"/>
    <w:basedOn w:val="1"/>
    <w:next w:val="1"/>
    <w:qFormat/>
    <w:uiPriority w:val="0"/>
    <w:pPr>
      <w:spacing w:before="240" w:after="60"/>
      <w:jc w:val="center"/>
      <w:outlineLvl w:val="0"/>
    </w:pPr>
    <w:rPr>
      <w:rFonts w:ascii="Cambria" w:hAnsi="Cambria"/>
      <w:b/>
      <w:sz w:val="32"/>
      <w:szCs w:val="24"/>
    </w:rPr>
  </w:style>
  <w:style w:type="paragraph" w:styleId="20">
    <w:name w:val="Body Text First Indent"/>
    <w:basedOn w:val="9"/>
    <w:unhideWhenUsed/>
    <w:qFormat/>
    <w:uiPriority w:val="99"/>
    <w:pPr>
      <w:ind w:firstLine="420" w:firstLineChars="100"/>
    </w:pPr>
  </w:style>
  <w:style w:type="paragraph" w:styleId="21">
    <w:name w:val="Body Text First Indent 2"/>
    <w:basedOn w:val="11"/>
    <w:qFormat/>
    <w:uiPriority w:val="99"/>
    <w:pPr>
      <w:ind w:firstLine="420" w:firstLineChars="200"/>
    </w:pPr>
    <w:rPr>
      <w:rFonts w:ascii="仿宋_GB2312" w:hAnsi="Calibri" w:eastAsia="Times New Roman"/>
      <w:color w:val="000000"/>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paragraph" w:customStyle="1" w:styleId="2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9">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Normal_1"/>
    <w:qFormat/>
    <w:uiPriority w:val="0"/>
    <w:rPr>
      <w:rFonts w:ascii="Times New Roman" w:hAnsi="Times New Roman" w:eastAsia="Times New Roman" w:cs="Times New Roman"/>
      <w:sz w:val="24"/>
      <w:szCs w:val="24"/>
      <w:lang w:val="en-US" w:eastAsia="zh-CN" w:bidi="ar-SA"/>
    </w:rPr>
  </w:style>
  <w:style w:type="paragraph" w:customStyle="1" w:styleId="31">
    <w:name w:val="表格文字"/>
    <w:basedOn w:val="1"/>
    <w:qFormat/>
    <w:uiPriority w:val="0"/>
    <w:pPr>
      <w:spacing w:before="25" w:after="25"/>
      <w:jc w:val="left"/>
    </w:pPr>
    <w:rPr>
      <w:bCs/>
      <w:spacing w:val="10"/>
      <w:kern w:val="0"/>
      <w:sz w:val="24"/>
    </w:rPr>
  </w:style>
  <w:style w:type="paragraph" w:customStyle="1" w:styleId="32">
    <w:name w:val="正文缩进1"/>
    <w:basedOn w:val="1"/>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33">
    <w:name w:val="索引 11"/>
    <w:basedOn w:val="1"/>
    <w:next w:val="1"/>
    <w:qFormat/>
    <w:uiPriority w:val="0"/>
    <w:pPr>
      <w:spacing w:line="360" w:lineRule="auto"/>
    </w:pPr>
    <w:rPr>
      <w:rFonts w:ascii="仿宋_GB2312" w:eastAsia="仿宋_GB2312"/>
      <w:sz w:val="24"/>
    </w:rPr>
  </w:style>
  <w:style w:type="paragraph" w:customStyle="1" w:styleId="34">
    <w:name w:val="纯文本1"/>
    <w:basedOn w:val="1"/>
    <w:qFormat/>
    <w:uiPriority w:val="0"/>
    <w:rPr>
      <w:rFonts w:ascii="宋体" w:hAnsi="Courier New" w:eastAsiaTheme="minorEastAsia" w:cstheme="minorBidi"/>
      <w:szCs w:val="22"/>
    </w:rPr>
  </w:style>
  <w:style w:type="paragraph" w:customStyle="1" w:styleId="35">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styleId="36">
    <w:name w:val="List Paragraph"/>
    <w:basedOn w:val="1"/>
    <w:qFormat/>
    <w:uiPriority w:val="34"/>
    <w:pPr>
      <w:widowControl/>
      <w:ind w:firstLine="420" w:firstLineChars="200"/>
      <w:jc w:val="left"/>
    </w:pPr>
    <w:rPr>
      <w:rFonts w:ascii="Calibri" w:hAnsi="Calibri" w:cs="Times New Roman"/>
      <w:kern w:val="0"/>
      <w:sz w:val="24"/>
    </w:rPr>
  </w:style>
  <w:style w:type="paragraph" w:customStyle="1" w:styleId="37">
    <w:name w:val="Table Paragraph"/>
    <w:basedOn w:val="1"/>
    <w:qFormat/>
    <w:uiPriority w:val="1"/>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MSG_EN_FONT_STYLE_NAME_TEMPLATE_ROLE_NUMBER MSG_EN_FONT_STYLE_NAME_BY_ROLE_TEXT 21"/>
    <w:basedOn w:val="1"/>
    <w:unhideWhenUsed/>
    <w:qFormat/>
    <w:uiPriority w:val="99"/>
    <w:pPr>
      <w:shd w:val="clear" w:color="auto" w:fill="FFFFFF"/>
      <w:spacing w:before="540" w:beforeLines="0" w:after="360" w:afterLines="0" w:line="280" w:lineRule="exact"/>
      <w:ind w:hanging="1980"/>
    </w:pPr>
    <w:rPr>
      <w:rFonts w:hint="eastAsia" w:ascii="PMingLiU" w:eastAsia="PMingLiU"/>
      <w:spacing w:val="30"/>
      <w:sz w:val="28"/>
      <w:lang w:val="en-US"/>
    </w:rPr>
  </w:style>
  <w:style w:type="paragraph" w:customStyle="1" w:styleId="40">
    <w:name w:val="表名称"/>
    <w:basedOn w:val="6"/>
    <w:qFormat/>
    <w:uiPriority w:val="0"/>
    <w:pPr>
      <w:numPr>
        <w:ilvl w:val="0"/>
        <w:numId w:val="2"/>
      </w:numPr>
      <w:ind w:firstLine="0" w:firstLineChars="0"/>
      <w:jc w:val="center"/>
    </w:pPr>
  </w:style>
  <w:style w:type="paragraph" w:customStyle="1" w:styleId="41">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2722</Words>
  <Characters>3097</Characters>
  <Lines>0</Lines>
  <Paragraphs>0</Paragraphs>
  <TotalTime>68</TotalTime>
  <ScaleCrop>false</ScaleCrop>
  <LinksUpToDate>false</LinksUpToDate>
  <CharactersWithSpaces>3197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2024-04-09T05:03:00Z</dcterms:created>
  <dc:creator>s.c.u.m</dc:creator>
  <cp:lastModifiedBy>李萌@</cp:lastModifiedBy>
  <dcterms:modified xsi:type="dcterms:W3CDTF">2026-05-25T11:13:50Z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DB9856B34E5F4680BD3D1A922D4B6DBB_13</vt:lpwstr>
  </property>
  <property fmtid="{D5CDD505-2E9C-101B-9397-08002B2CF9AE}" pid="4" name="KSOTemplateDocerSaveRecord">
    <vt:lpwstr>eyJoZGlkIjoiZTdkYTdjYjQ5ZGE0YmZmNGU4YmMzYTBhY2FlM2JkYTYiLCJ1c2VySWQiOiIzMTgzMjk0MjcifQ==</vt:lpwstr>
  </property>
  <property fmtid="{D5CDD505-2E9C-101B-9397-08002B2CF9AE}" pid="5" name="5B77E7CEEC58BC6AFAE8886BEB80DBEB">
    <vt:lpwstr>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</vt:lpwstr>
  </property>
</Properties>
</file>