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07460">
      <w:pPr>
        <w:spacing w:line="360" w:lineRule="auto"/>
        <w:jc w:val="center"/>
        <w:rPr>
          <w:rFonts w:hint="eastAsia" w:ascii="宋体" w:hAnsi="宋体" w:eastAsia="宋体" w:cs="宋体"/>
          <w:b/>
          <w:bCs/>
          <w:color w:val="auto"/>
          <w:sz w:val="48"/>
          <w:szCs w:val="48"/>
          <w:highlight w:val="none"/>
        </w:rPr>
      </w:pPr>
    </w:p>
    <w:p w14:paraId="6A8DAA10">
      <w:pPr>
        <w:spacing w:line="360" w:lineRule="auto"/>
        <w:jc w:val="center"/>
        <w:rPr>
          <w:rFonts w:ascii="宋体" w:hAnsi="宋体" w:eastAsia="宋体" w:cs="宋体"/>
          <w:b/>
          <w:bCs/>
          <w:color w:val="auto"/>
          <w:sz w:val="24"/>
          <w:szCs w:val="24"/>
          <w:highlight w:val="none"/>
          <w:lang w:val="en-US"/>
        </w:rPr>
      </w:pPr>
      <w:r>
        <w:rPr>
          <w:rFonts w:hint="eastAsia" w:ascii="宋体" w:hAnsi="宋体" w:eastAsia="宋体" w:cs="宋体"/>
          <w:b/>
          <w:bCs/>
          <w:color w:val="auto"/>
          <w:sz w:val="52"/>
          <w:szCs w:val="52"/>
          <w:highlight w:val="none"/>
          <w:lang w:val="en-US"/>
        </w:rPr>
        <w:t xml:space="preserve"> </w:t>
      </w:r>
    </w:p>
    <w:p w14:paraId="44B4910B">
      <w:pPr>
        <w:spacing w:before="120" w:beforeLines="50" w:line="900" w:lineRule="exact"/>
        <w:jc w:val="center"/>
        <w:rPr>
          <w:rFonts w:hint="eastAsia" w:ascii="黑体" w:hAnsi="黑体" w:eastAsia="黑体" w:cs="黑体"/>
          <w:b/>
          <w:bCs/>
          <w:color w:val="auto"/>
          <w:sz w:val="56"/>
          <w:szCs w:val="56"/>
          <w:highlight w:val="none"/>
          <w:lang w:eastAsia="zh-CN" w:bidi="ar-SA"/>
        </w:rPr>
      </w:pPr>
      <w:r>
        <w:rPr>
          <w:rFonts w:hint="eastAsia" w:ascii="黑体" w:hAnsi="黑体" w:eastAsia="黑体" w:cs="黑体"/>
          <w:b/>
          <w:bCs/>
          <w:color w:val="auto"/>
          <w:sz w:val="56"/>
          <w:szCs w:val="56"/>
          <w:highlight w:val="none"/>
          <w:lang w:eastAsia="zh-CN" w:bidi="ar-SA"/>
        </w:rPr>
        <w:t>普洱市医保数据专区建设项目</w:t>
      </w:r>
    </w:p>
    <w:p w14:paraId="4C9DFDD1">
      <w:pPr>
        <w:spacing w:before="120" w:beforeLines="50" w:line="900" w:lineRule="exact"/>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项目编号：</w:t>
      </w:r>
      <w:r>
        <w:rPr>
          <w:rFonts w:hint="eastAsia" w:ascii="宋体" w:hAnsi="宋体" w:eastAsia="宋体" w:cs="宋体"/>
          <w:b/>
          <w:bCs/>
          <w:color w:val="auto"/>
          <w:sz w:val="32"/>
          <w:szCs w:val="32"/>
          <w:highlight w:val="none"/>
          <w:lang w:val="en-US" w:eastAsia="zh-CN"/>
        </w:rPr>
        <w:t>PEZC2026-G3-00431-YNPZ-0011</w:t>
      </w:r>
    </w:p>
    <w:p w14:paraId="0FFE3515">
      <w:pPr>
        <w:spacing w:before="120" w:beforeLines="50" w:line="900" w:lineRule="exact"/>
        <w:jc w:val="center"/>
        <w:rPr>
          <w:rFonts w:ascii="宋体" w:hAnsi="宋体" w:eastAsia="宋体" w:cs="宋体"/>
          <w:b/>
          <w:bCs/>
          <w:color w:val="auto"/>
          <w:sz w:val="32"/>
          <w:szCs w:val="32"/>
          <w:highlight w:val="none"/>
          <w:lang w:val="en-US"/>
        </w:rPr>
      </w:pPr>
    </w:p>
    <w:p w14:paraId="49A1B7F6">
      <w:pPr>
        <w:spacing w:line="360" w:lineRule="auto"/>
        <w:jc w:val="center"/>
        <w:rPr>
          <w:rFonts w:ascii="宋体" w:hAnsi="宋体" w:eastAsia="宋体" w:cs="宋体"/>
          <w:b/>
          <w:bCs/>
          <w:color w:val="auto"/>
          <w:sz w:val="48"/>
          <w:szCs w:val="48"/>
          <w:highlight w:val="none"/>
        </w:rPr>
      </w:pPr>
    </w:p>
    <w:p w14:paraId="2DA5B9EB">
      <w:pPr>
        <w:jc w:val="center"/>
        <w:rPr>
          <w:rFonts w:ascii="宋体" w:hAnsi="宋体" w:eastAsia="宋体" w:cs="宋体"/>
          <w:b/>
          <w:color w:val="auto"/>
          <w:sz w:val="72"/>
          <w:szCs w:val="72"/>
          <w:highlight w:val="none"/>
        </w:rPr>
      </w:pPr>
    </w:p>
    <w:p w14:paraId="7974ED1C">
      <w:pPr>
        <w:jc w:val="center"/>
        <w:rPr>
          <w:rFonts w:ascii="宋体" w:hAnsi="宋体" w:eastAsia="宋体" w:cs="宋体"/>
          <w:b/>
          <w:color w:val="auto"/>
          <w:sz w:val="44"/>
          <w:szCs w:val="44"/>
          <w:highlight w:val="none"/>
        </w:rPr>
      </w:pPr>
    </w:p>
    <w:p w14:paraId="048E24D2">
      <w:pPr>
        <w:autoSpaceDE/>
        <w:autoSpaceDN/>
        <w:spacing w:line="360" w:lineRule="auto"/>
        <w:jc w:val="center"/>
        <w:rPr>
          <w:rFonts w:ascii="宋体" w:hAnsi="宋体" w:eastAsia="宋体" w:cs="宋体"/>
          <w:b/>
          <w:color w:val="auto"/>
          <w:sz w:val="96"/>
          <w:szCs w:val="84"/>
          <w:highlight w:val="none"/>
          <w:lang w:val="en-US" w:bidi="ar-SA"/>
        </w:rPr>
      </w:pPr>
      <w:r>
        <w:rPr>
          <w:rFonts w:hint="eastAsia" w:ascii="宋体" w:hAnsi="宋体" w:eastAsia="宋体" w:cs="宋体"/>
          <w:b/>
          <w:color w:val="auto"/>
          <w:sz w:val="96"/>
          <w:szCs w:val="84"/>
          <w:highlight w:val="none"/>
          <w:lang w:val="en-US" w:bidi="ar-SA"/>
        </w:rPr>
        <w:t>招 标 文 件</w:t>
      </w:r>
    </w:p>
    <w:p w14:paraId="752BD536">
      <w:pPr>
        <w:spacing w:line="360" w:lineRule="auto"/>
        <w:ind w:firstLine="227" w:firstLineChars="71"/>
        <w:jc w:val="center"/>
        <w:rPr>
          <w:rFonts w:ascii="宋体" w:hAnsi="宋体" w:eastAsia="宋体" w:cs="宋体"/>
          <w:bCs/>
          <w:color w:val="auto"/>
          <w:sz w:val="32"/>
          <w:szCs w:val="32"/>
          <w:highlight w:val="none"/>
        </w:rPr>
      </w:pPr>
    </w:p>
    <w:p w14:paraId="3A2D6F14">
      <w:pPr>
        <w:pStyle w:val="16"/>
        <w:autoSpaceDE/>
        <w:autoSpaceDN/>
        <w:spacing w:line="700" w:lineRule="exact"/>
        <w:jc w:val="center"/>
        <w:rPr>
          <w:rFonts w:hAnsi="宋体" w:cs="宋体"/>
          <w:b/>
          <w:bCs/>
          <w:color w:val="auto"/>
          <w:sz w:val="32"/>
          <w:szCs w:val="32"/>
          <w:highlight w:val="none"/>
        </w:rPr>
      </w:pPr>
    </w:p>
    <w:p w14:paraId="67894F96">
      <w:pPr>
        <w:pStyle w:val="16"/>
        <w:autoSpaceDE/>
        <w:autoSpaceDN/>
        <w:spacing w:line="700" w:lineRule="exact"/>
        <w:jc w:val="center"/>
        <w:rPr>
          <w:rFonts w:hAnsi="宋体" w:cs="宋体"/>
          <w:b/>
          <w:bCs/>
          <w:color w:val="auto"/>
          <w:sz w:val="32"/>
          <w:szCs w:val="32"/>
          <w:highlight w:val="none"/>
        </w:rPr>
      </w:pPr>
    </w:p>
    <w:p w14:paraId="16DFE040">
      <w:pPr>
        <w:pStyle w:val="16"/>
        <w:autoSpaceDE/>
        <w:autoSpaceDN/>
        <w:spacing w:line="700" w:lineRule="exact"/>
        <w:jc w:val="center"/>
        <w:rPr>
          <w:rFonts w:hint="eastAsia" w:hAnsi="宋体" w:eastAsia="宋体" w:cs="宋体"/>
          <w:b/>
          <w:bCs/>
          <w:color w:val="auto"/>
          <w:sz w:val="32"/>
          <w:szCs w:val="32"/>
          <w:highlight w:val="none"/>
          <w:lang w:val="en-US" w:eastAsia="zh-CN"/>
        </w:rPr>
      </w:pPr>
      <w:r>
        <w:rPr>
          <w:rFonts w:hint="eastAsia" w:hAnsi="宋体" w:cs="宋体"/>
          <w:b/>
          <w:bCs/>
          <w:color w:val="auto"/>
          <w:sz w:val="32"/>
          <w:szCs w:val="32"/>
          <w:highlight w:val="none"/>
        </w:rPr>
        <w:t>采购人：</w:t>
      </w:r>
      <w:r>
        <w:rPr>
          <w:rFonts w:hint="eastAsia" w:hAnsi="宋体" w:cs="宋体"/>
          <w:b/>
          <w:bCs/>
          <w:color w:val="auto"/>
          <w:sz w:val="32"/>
          <w:szCs w:val="32"/>
          <w:highlight w:val="none"/>
          <w:lang w:val="en-US" w:eastAsia="zh-CN"/>
        </w:rPr>
        <w:t>普洱市医疗保障局</w:t>
      </w:r>
    </w:p>
    <w:p w14:paraId="2B3A8EAC">
      <w:pPr>
        <w:pStyle w:val="16"/>
        <w:autoSpaceDE/>
        <w:autoSpaceDN/>
        <w:spacing w:line="700" w:lineRule="exact"/>
        <w:jc w:val="center"/>
        <w:rPr>
          <w:rFonts w:hAnsi="宋体" w:cs="宋体"/>
          <w:b/>
          <w:bCs/>
          <w:color w:val="auto"/>
          <w:sz w:val="32"/>
          <w:szCs w:val="32"/>
          <w:highlight w:val="none"/>
        </w:rPr>
      </w:pPr>
      <w:r>
        <w:rPr>
          <w:rFonts w:hint="eastAsia" w:hAnsi="宋体" w:cs="宋体"/>
          <w:b/>
          <w:bCs/>
          <w:color w:val="auto"/>
          <w:sz w:val="32"/>
          <w:szCs w:val="32"/>
          <w:highlight w:val="none"/>
        </w:rPr>
        <w:t>采购代理机构：云南普招项目咨询有限公司</w:t>
      </w:r>
    </w:p>
    <w:p w14:paraId="79CC0459">
      <w:pPr>
        <w:spacing w:line="900" w:lineRule="exact"/>
        <w:jc w:val="center"/>
        <w:rPr>
          <w:rFonts w:ascii="宋体" w:hAnsi="宋体" w:eastAsia="宋体" w:cs="宋体"/>
          <w:b/>
          <w:bCs/>
          <w:color w:val="auto"/>
          <w:sz w:val="32"/>
          <w:szCs w:val="32"/>
          <w:highlight w:val="none"/>
          <w:lang w:val="en-US" w:bidi="ar-SA"/>
        </w:rPr>
      </w:pPr>
      <w:r>
        <w:rPr>
          <w:rFonts w:hint="eastAsia" w:ascii="宋体" w:hAnsi="宋体" w:eastAsia="宋体" w:cs="宋体"/>
          <w:b/>
          <w:bCs/>
          <w:color w:val="auto"/>
          <w:sz w:val="32"/>
          <w:szCs w:val="32"/>
          <w:highlight w:val="none"/>
          <w:lang w:val="en-US" w:bidi="ar-SA"/>
        </w:rPr>
        <w:t>二〇二</w:t>
      </w:r>
      <w:r>
        <w:rPr>
          <w:rFonts w:hint="eastAsia" w:ascii="宋体" w:hAnsi="宋体" w:eastAsia="宋体" w:cs="宋体"/>
          <w:b/>
          <w:bCs/>
          <w:color w:val="auto"/>
          <w:sz w:val="32"/>
          <w:szCs w:val="32"/>
          <w:highlight w:val="none"/>
          <w:lang w:val="en-US" w:eastAsia="zh-CN" w:bidi="ar-SA"/>
        </w:rPr>
        <w:t>六</w:t>
      </w:r>
      <w:r>
        <w:rPr>
          <w:rFonts w:hint="eastAsia" w:ascii="宋体" w:hAnsi="宋体" w:eastAsia="宋体" w:cs="宋体"/>
          <w:b/>
          <w:bCs/>
          <w:color w:val="auto"/>
          <w:sz w:val="32"/>
          <w:szCs w:val="32"/>
          <w:highlight w:val="none"/>
          <w:lang w:val="en-US" w:bidi="ar-SA"/>
        </w:rPr>
        <w:t>年</w:t>
      </w:r>
      <w:r>
        <w:rPr>
          <w:rFonts w:hint="eastAsia" w:ascii="宋体" w:hAnsi="宋体" w:eastAsia="宋体" w:cs="宋体"/>
          <w:b/>
          <w:bCs/>
          <w:color w:val="auto"/>
          <w:sz w:val="32"/>
          <w:szCs w:val="32"/>
          <w:highlight w:val="none"/>
          <w:lang w:val="en-US" w:eastAsia="zh-CN" w:bidi="ar-SA"/>
        </w:rPr>
        <w:t>五</w:t>
      </w:r>
      <w:r>
        <w:rPr>
          <w:rFonts w:hint="eastAsia" w:ascii="宋体" w:hAnsi="宋体" w:eastAsia="宋体" w:cs="宋体"/>
          <w:b/>
          <w:bCs/>
          <w:color w:val="auto"/>
          <w:sz w:val="32"/>
          <w:szCs w:val="32"/>
          <w:highlight w:val="none"/>
          <w:lang w:val="en-US" w:bidi="ar-SA"/>
        </w:rPr>
        <w:t>月</w:t>
      </w:r>
    </w:p>
    <w:p w14:paraId="393E6F97">
      <w:pPr>
        <w:rPr>
          <w:rFonts w:ascii="宋体" w:hAnsi="宋体" w:eastAsia="宋体" w:cs="宋体"/>
          <w:color w:val="auto"/>
          <w:highlight w:val="none"/>
        </w:rPr>
        <w:sectPr>
          <w:headerReference r:id="rId3" w:type="default"/>
          <w:footerReference r:id="rId4" w:type="default"/>
          <w:pgSz w:w="11911" w:h="16838"/>
          <w:pgMar w:top="1134" w:right="1134" w:bottom="1134" w:left="1134" w:header="850" w:footer="850" w:gutter="0"/>
          <w:pgNumType w:start="1"/>
          <w:cols w:space="720" w:num="1"/>
          <w:docGrid w:linePitch="312" w:charSpace="0"/>
        </w:sectPr>
      </w:pPr>
    </w:p>
    <w:p w14:paraId="0B66E494">
      <w:pPr>
        <w:rPr>
          <w:rFonts w:ascii="宋体" w:hAnsi="宋体" w:eastAsia="宋体" w:cs="宋体"/>
          <w:color w:val="auto"/>
          <w:highlight w:val="none"/>
        </w:rPr>
      </w:pPr>
      <w:bookmarkStart w:id="0" w:name="_Toc15562"/>
    </w:p>
    <w:p w14:paraId="0CD3F24A">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录</w:t>
      </w:r>
    </w:p>
    <w:p w14:paraId="2F98D878">
      <w:pPr>
        <w:pStyle w:val="20"/>
        <w:tabs>
          <w:tab w:val="right" w:leader="dot" w:pos="9473"/>
        </w:tabs>
        <w:spacing w:line="360" w:lineRule="auto"/>
        <w:ind w:right="1066"/>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"1-2" \h \u </w:instrText>
      </w:r>
      <w:r>
        <w:rPr>
          <w:rFonts w:hint="eastAsia" w:ascii="宋体" w:hAnsi="宋体" w:eastAsia="宋体" w:cs="宋体"/>
          <w:b w:val="0"/>
          <w:bCs w:val="0"/>
          <w:color w:val="auto"/>
          <w:sz w:val="28"/>
          <w:szCs w:val="28"/>
          <w:highlight w:val="none"/>
        </w:rPr>
        <w:fldChar w:fldCharType="separate"/>
      </w:r>
      <w:r>
        <w:rPr>
          <w:color w:val="auto"/>
          <w:highlight w:val="none"/>
        </w:rPr>
        <w:fldChar w:fldCharType="begin"/>
      </w:r>
      <w:r>
        <w:rPr>
          <w:color w:val="auto"/>
          <w:highlight w:val="none"/>
        </w:rPr>
        <w:instrText xml:space="preserve"> HYPERLINK \l "_Toc11367" </w:instrText>
      </w:r>
      <w:r>
        <w:rPr>
          <w:color w:val="auto"/>
          <w:highlight w:val="none"/>
        </w:rPr>
        <w:fldChar w:fldCharType="separate"/>
      </w:r>
      <w:r>
        <w:rPr>
          <w:rFonts w:hint="eastAsia" w:ascii="宋体" w:hAnsi="宋体" w:eastAsia="宋体" w:cs="宋体"/>
          <w:b w:val="0"/>
          <w:bCs w:val="0"/>
          <w:color w:val="auto"/>
          <w:sz w:val="24"/>
          <w:szCs w:val="24"/>
          <w:highlight w:val="none"/>
        </w:rPr>
        <w:t>第一章 招标采购公告</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_Toc11367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4ED53EA4">
      <w:pPr>
        <w:pStyle w:val="20"/>
        <w:tabs>
          <w:tab w:val="right" w:leader="dot" w:pos="9473"/>
        </w:tabs>
        <w:spacing w:line="360" w:lineRule="auto"/>
        <w:ind w:right="1066"/>
        <w:rPr>
          <w:rFonts w:ascii="宋体" w:hAnsi="宋体" w:eastAsia="宋体" w:cs="宋体"/>
          <w:b w:val="0"/>
          <w:bCs w:val="0"/>
          <w:color w:val="auto"/>
          <w:sz w:val="24"/>
          <w:szCs w:val="24"/>
          <w:highlight w:val="none"/>
        </w:rPr>
      </w:pPr>
      <w:r>
        <w:rPr>
          <w:color w:val="auto"/>
          <w:highlight w:val="none"/>
        </w:rPr>
        <w:fldChar w:fldCharType="begin"/>
      </w:r>
      <w:r>
        <w:rPr>
          <w:color w:val="auto"/>
          <w:highlight w:val="none"/>
        </w:rPr>
        <w:instrText xml:space="preserve"> HYPERLINK \l "_Toc28785" </w:instrText>
      </w:r>
      <w:r>
        <w:rPr>
          <w:color w:val="auto"/>
          <w:highlight w:val="none"/>
        </w:rPr>
        <w:fldChar w:fldCharType="separate"/>
      </w:r>
      <w:r>
        <w:rPr>
          <w:rFonts w:hint="eastAsia" w:ascii="宋体" w:hAnsi="宋体" w:eastAsia="宋体" w:cs="宋体"/>
          <w:b w:val="0"/>
          <w:bCs w:val="0"/>
          <w:color w:val="auto"/>
          <w:sz w:val="24"/>
          <w:szCs w:val="24"/>
          <w:highlight w:val="none"/>
        </w:rPr>
        <w:t>第二章 投标人须知</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_Toc28785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- 6 -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0E877721">
      <w:pPr>
        <w:pStyle w:val="20"/>
        <w:tabs>
          <w:tab w:val="right" w:leader="dot" w:pos="9473"/>
        </w:tabs>
        <w:spacing w:line="360" w:lineRule="auto"/>
        <w:ind w:right="1066"/>
        <w:rPr>
          <w:rFonts w:ascii="宋体" w:hAnsi="宋体" w:eastAsia="宋体" w:cs="宋体"/>
          <w:b w:val="0"/>
          <w:bCs w:val="0"/>
          <w:color w:val="auto"/>
          <w:sz w:val="24"/>
          <w:szCs w:val="24"/>
          <w:highlight w:val="none"/>
          <w:lang w:val="en-US"/>
        </w:rPr>
      </w:pPr>
      <w:r>
        <w:rPr>
          <w:color w:val="auto"/>
          <w:highlight w:val="none"/>
        </w:rPr>
        <w:fldChar w:fldCharType="begin"/>
      </w:r>
      <w:r>
        <w:rPr>
          <w:color w:val="auto"/>
          <w:highlight w:val="none"/>
        </w:rPr>
        <w:instrText xml:space="preserve"> HYPERLINK \l "_Toc27946" </w:instrText>
      </w:r>
      <w:r>
        <w:rPr>
          <w:color w:val="auto"/>
          <w:highlight w:val="none"/>
        </w:rPr>
        <w:fldChar w:fldCharType="separate"/>
      </w:r>
      <w:r>
        <w:rPr>
          <w:rFonts w:hint="eastAsia" w:ascii="宋体" w:hAnsi="宋体" w:eastAsia="宋体" w:cs="宋体"/>
          <w:b w:val="0"/>
          <w:bCs w:val="0"/>
          <w:color w:val="auto"/>
          <w:sz w:val="24"/>
          <w:szCs w:val="24"/>
          <w:highlight w:val="none"/>
        </w:rPr>
        <w:t>第三章 合同书样式及主要条款</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_Toc27946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21</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lang w:val="en-US"/>
        </w:rPr>
        <w:t xml:space="preserve">- </w:t>
      </w:r>
    </w:p>
    <w:p w14:paraId="6AA0BB59">
      <w:pPr>
        <w:pStyle w:val="20"/>
        <w:tabs>
          <w:tab w:val="right" w:leader="dot" w:pos="9473"/>
        </w:tabs>
        <w:spacing w:line="360" w:lineRule="auto"/>
        <w:ind w:right="1066"/>
        <w:rPr>
          <w:rFonts w:ascii="宋体" w:hAnsi="宋体" w:eastAsia="宋体" w:cs="宋体"/>
          <w:b w:val="0"/>
          <w:bCs w:val="0"/>
          <w:color w:val="auto"/>
          <w:sz w:val="24"/>
          <w:szCs w:val="24"/>
          <w:highlight w:val="none"/>
        </w:rPr>
      </w:pPr>
      <w:r>
        <w:rPr>
          <w:color w:val="auto"/>
          <w:highlight w:val="none"/>
        </w:rPr>
        <w:fldChar w:fldCharType="begin"/>
      </w:r>
      <w:r>
        <w:rPr>
          <w:color w:val="auto"/>
          <w:highlight w:val="none"/>
        </w:rPr>
        <w:instrText xml:space="preserve"> HYPERLINK \l "_Toc27967" </w:instrText>
      </w:r>
      <w:r>
        <w:rPr>
          <w:color w:val="auto"/>
          <w:highlight w:val="none"/>
        </w:rPr>
        <w:fldChar w:fldCharType="separate"/>
      </w:r>
      <w:r>
        <w:rPr>
          <w:rFonts w:hint="eastAsia" w:ascii="宋体" w:hAnsi="宋体" w:eastAsia="宋体" w:cs="宋体"/>
          <w:b w:val="0"/>
          <w:bCs w:val="0"/>
          <w:color w:val="auto"/>
          <w:sz w:val="24"/>
          <w:szCs w:val="24"/>
          <w:highlight w:val="none"/>
        </w:rPr>
        <w:t>第四章</w:t>
      </w:r>
      <w:r>
        <w:rPr>
          <w:rFonts w:hint="eastAsia"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szCs w:val="24"/>
          <w:highlight w:val="none"/>
        </w:rPr>
        <w:t>投标文件格式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_Toc27967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- 29 -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6052FD72">
      <w:pPr>
        <w:pStyle w:val="20"/>
        <w:tabs>
          <w:tab w:val="right" w:leader="dot" w:pos="9473"/>
        </w:tabs>
        <w:spacing w:line="360" w:lineRule="auto"/>
        <w:ind w:right="1066"/>
        <w:rPr>
          <w:rFonts w:ascii="宋体" w:hAnsi="宋体" w:eastAsia="宋体" w:cs="宋体"/>
          <w:b w:val="0"/>
          <w:bCs w:val="0"/>
          <w:color w:val="auto"/>
          <w:sz w:val="24"/>
          <w:szCs w:val="24"/>
          <w:highlight w:val="none"/>
        </w:rPr>
      </w:pPr>
      <w:r>
        <w:rPr>
          <w:color w:val="auto"/>
          <w:highlight w:val="none"/>
        </w:rPr>
        <w:fldChar w:fldCharType="begin"/>
      </w:r>
      <w:r>
        <w:rPr>
          <w:color w:val="auto"/>
          <w:highlight w:val="none"/>
        </w:rPr>
        <w:instrText xml:space="preserve"> HYPERLINK \l "_Toc3605" </w:instrText>
      </w:r>
      <w:r>
        <w:rPr>
          <w:color w:val="auto"/>
          <w:highlight w:val="none"/>
        </w:rPr>
        <w:fldChar w:fldCharType="separate"/>
      </w:r>
      <w:r>
        <w:rPr>
          <w:rFonts w:hint="eastAsia" w:ascii="宋体" w:hAnsi="宋体" w:eastAsia="宋体" w:cs="宋体"/>
          <w:b w:val="0"/>
          <w:bCs w:val="0"/>
          <w:color w:val="auto"/>
          <w:sz w:val="24"/>
          <w:szCs w:val="24"/>
          <w:highlight w:val="none"/>
          <w:lang w:val="en-US"/>
        </w:rPr>
        <w:t xml:space="preserve">第五章 </w:t>
      </w:r>
      <w:r>
        <w:rPr>
          <w:rFonts w:hint="eastAsia" w:ascii="宋体" w:hAnsi="宋体" w:eastAsia="宋体" w:cs="宋体"/>
          <w:b w:val="0"/>
          <w:bCs w:val="0"/>
          <w:color w:val="auto"/>
          <w:sz w:val="24"/>
          <w:szCs w:val="24"/>
          <w:highlight w:val="none"/>
        </w:rPr>
        <w:t>采购需求</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_Toc3605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- 62 -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5D04F25A">
      <w:pPr>
        <w:pStyle w:val="20"/>
        <w:tabs>
          <w:tab w:val="right" w:leader="dot" w:pos="9473"/>
        </w:tabs>
        <w:spacing w:line="360" w:lineRule="auto"/>
        <w:ind w:right="1066"/>
        <w:rPr>
          <w:rFonts w:ascii="宋体" w:hAnsi="宋体" w:eastAsia="宋体" w:cs="宋体"/>
          <w:b w:val="0"/>
          <w:bCs w:val="0"/>
          <w:color w:val="auto"/>
          <w:sz w:val="24"/>
          <w:szCs w:val="24"/>
          <w:highlight w:val="none"/>
        </w:rPr>
      </w:pPr>
      <w:r>
        <w:rPr>
          <w:color w:val="auto"/>
          <w:highlight w:val="none"/>
        </w:rPr>
        <w:fldChar w:fldCharType="begin"/>
      </w:r>
      <w:r>
        <w:rPr>
          <w:color w:val="auto"/>
          <w:highlight w:val="none"/>
        </w:rPr>
        <w:instrText xml:space="preserve"> HYPERLINK \l "_Toc28877" </w:instrText>
      </w:r>
      <w:r>
        <w:rPr>
          <w:color w:val="auto"/>
          <w:highlight w:val="none"/>
        </w:rPr>
        <w:fldChar w:fldCharType="separate"/>
      </w:r>
      <w:r>
        <w:rPr>
          <w:rFonts w:hint="eastAsia" w:ascii="宋体" w:hAnsi="宋体" w:eastAsia="宋体" w:cs="宋体"/>
          <w:b w:val="0"/>
          <w:bCs w:val="0"/>
          <w:color w:val="auto"/>
          <w:sz w:val="24"/>
          <w:szCs w:val="24"/>
          <w:highlight w:val="none"/>
        </w:rPr>
        <w:t>第六章 资格</w:t>
      </w:r>
      <w:r>
        <w:rPr>
          <w:rFonts w:hint="eastAsia" w:ascii="宋体" w:hAnsi="宋体" w:eastAsia="宋体" w:cs="宋体"/>
          <w:b w:val="0"/>
          <w:bCs w:val="0"/>
          <w:color w:val="auto"/>
          <w:sz w:val="24"/>
          <w:szCs w:val="24"/>
          <w:highlight w:val="none"/>
          <w:lang w:val="en-US"/>
        </w:rPr>
        <w:t>审查</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_Toc28877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- 63 -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403369C4">
      <w:pPr>
        <w:pStyle w:val="20"/>
        <w:tabs>
          <w:tab w:val="right" w:leader="dot" w:pos="9473"/>
        </w:tabs>
        <w:spacing w:line="360" w:lineRule="auto"/>
        <w:ind w:right="1066"/>
        <w:rPr>
          <w:rFonts w:ascii="宋体" w:hAnsi="宋体" w:eastAsia="宋体" w:cs="宋体"/>
          <w:b w:val="0"/>
          <w:bCs w:val="0"/>
          <w:color w:val="auto"/>
          <w:sz w:val="24"/>
          <w:szCs w:val="24"/>
          <w:highlight w:val="none"/>
        </w:rPr>
      </w:pPr>
      <w:r>
        <w:rPr>
          <w:color w:val="auto"/>
          <w:highlight w:val="none"/>
        </w:rPr>
        <w:fldChar w:fldCharType="begin"/>
      </w:r>
      <w:r>
        <w:rPr>
          <w:color w:val="auto"/>
          <w:highlight w:val="none"/>
        </w:rPr>
        <w:instrText xml:space="preserve"> HYPERLINK \l "_Toc1650" </w:instrText>
      </w:r>
      <w:r>
        <w:rPr>
          <w:color w:val="auto"/>
          <w:highlight w:val="none"/>
        </w:rPr>
        <w:fldChar w:fldCharType="separate"/>
      </w:r>
      <w:r>
        <w:rPr>
          <w:rFonts w:hint="eastAsia" w:ascii="宋体" w:hAnsi="宋体" w:eastAsia="宋体" w:cs="宋体"/>
          <w:b w:val="0"/>
          <w:bCs w:val="0"/>
          <w:color w:val="auto"/>
          <w:sz w:val="24"/>
          <w:szCs w:val="24"/>
          <w:highlight w:val="none"/>
        </w:rPr>
        <w:t>第七章 评审办法</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_Toc1650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- 73 -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44336FAD">
      <w:pPr>
        <w:spacing w:line="360" w:lineRule="auto"/>
        <w:rPr>
          <w:rFonts w:ascii="宋体" w:hAnsi="宋体" w:eastAsia="宋体" w:cs="宋体"/>
          <w:color w:val="auto"/>
          <w:highlight w:val="none"/>
        </w:rPr>
      </w:pPr>
      <w:r>
        <w:rPr>
          <w:rFonts w:hint="eastAsia" w:ascii="宋体" w:hAnsi="宋体" w:eastAsia="宋体" w:cs="宋体"/>
          <w:color w:val="auto"/>
          <w:sz w:val="21"/>
          <w:szCs w:val="28"/>
          <w:highlight w:val="none"/>
        </w:rPr>
        <w:fldChar w:fldCharType="end"/>
      </w:r>
    </w:p>
    <w:p w14:paraId="46C9AEE1">
      <w:pPr>
        <w:pStyle w:val="3"/>
        <w:rPr>
          <w:rFonts w:eastAsia="宋体" w:cs="宋体"/>
          <w:color w:val="auto"/>
          <w:highlight w:val="none"/>
        </w:rPr>
        <w:sectPr>
          <w:footerReference r:id="rId5" w:type="default"/>
          <w:pgSz w:w="11911" w:h="16838"/>
          <w:pgMar w:top="1134" w:right="1134" w:bottom="1134" w:left="1134" w:header="850" w:footer="850" w:gutter="0"/>
          <w:pgNumType w:fmt="numberInDash" w:start="1"/>
          <w:cols w:space="720" w:num="1"/>
          <w:docGrid w:linePitch="312" w:charSpace="0"/>
        </w:sectPr>
      </w:pPr>
      <w:bookmarkStart w:id="1" w:name="_Toc15108"/>
    </w:p>
    <w:bookmarkEnd w:id="0"/>
    <w:bookmarkEnd w:id="1"/>
    <w:p w14:paraId="141B28AB">
      <w:pPr>
        <w:pStyle w:val="3"/>
        <w:ind w:left="0"/>
        <w:rPr>
          <w:color w:val="auto"/>
          <w:highlight w:val="none"/>
        </w:rPr>
      </w:pPr>
      <w:bookmarkStart w:id="2" w:name="第一章招标公告"/>
      <w:bookmarkEnd w:id="2"/>
      <w:bookmarkStart w:id="3" w:name="_Toc11367"/>
      <w:r>
        <w:rPr>
          <w:rFonts w:hint="eastAsia" w:cs="宋体"/>
          <w:color w:val="auto"/>
          <w:highlight w:val="none"/>
          <w:lang w:bidi="ar"/>
        </w:rPr>
        <w:t xml:space="preserve">第一章 </w:t>
      </w:r>
      <w:r>
        <w:rPr>
          <w:rFonts w:hint="eastAsia"/>
          <w:color w:val="auto"/>
          <w:highlight w:val="none"/>
        </w:rPr>
        <w:t>招标公告</w:t>
      </w:r>
      <w:bookmarkEnd w:id="3"/>
    </w:p>
    <w:p w14:paraId="71D08A5E">
      <w:pPr>
        <w:rPr>
          <w:rFonts w:ascii="宋体" w:hAnsi="宋体" w:eastAsia="宋体" w:cs="宋体"/>
          <w:color w:val="auto"/>
          <w:highlight w:val="none"/>
        </w:rPr>
      </w:pPr>
    </w:p>
    <w:p w14:paraId="791753C1">
      <w:pPr>
        <w:pBdr>
          <w:top w:val="single" w:color="auto" w:sz="4" w:space="1"/>
          <w:left w:val="single" w:color="auto" w:sz="4" w:space="4"/>
          <w:bottom w:val="single" w:color="auto" w:sz="4" w:space="1"/>
          <w:right w:val="single" w:color="auto" w:sz="4" w:space="4"/>
        </w:pBdr>
        <w:spacing w:line="360" w:lineRule="auto"/>
        <w:rPr>
          <w:rFonts w:ascii="宋体" w:hAnsi="宋体" w:eastAsia="宋体" w:cs="宋体"/>
          <w:b/>
          <w:bCs/>
          <w:color w:val="auto"/>
          <w:sz w:val="24"/>
          <w:szCs w:val="24"/>
          <w:highlight w:val="none"/>
        </w:rPr>
      </w:pPr>
      <w:bookmarkStart w:id="4" w:name="_Toc22955"/>
      <w:r>
        <w:rPr>
          <w:rFonts w:hint="eastAsia" w:ascii="宋体" w:hAnsi="宋体" w:eastAsia="宋体" w:cs="宋体"/>
          <w:b/>
          <w:bCs/>
          <w:color w:val="auto"/>
          <w:sz w:val="24"/>
          <w:szCs w:val="24"/>
          <w:highlight w:val="none"/>
        </w:rPr>
        <w:t>项目概况</w:t>
      </w:r>
    </w:p>
    <w:p w14:paraId="7D74457F">
      <w:pPr>
        <w:pBdr>
          <w:top w:val="single" w:color="auto" w:sz="4" w:space="1"/>
          <w:left w:val="single" w:color="auto" w:sz="4" w:space="4"/>
          <w:bottom w:val="single" w:color="auto" w:sz="4" w:space="1"/>
          <w:right w:val="single" w:color="auto" w:sz="4" w:space="4"/>
        </w:pBdr>
        <w:spacing w:line="360" w:lineRule="auto"/>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普洱市医保数据专区建设项目</w:t>
      </w:r>
      <w:r>
        <w:rPr>
          <w:rFonts w:hint="eastAsia" w:ascii="宋体" w:hAnsi="宋体" w:eastAsia="宋体" w:cs="宋体"/>
          <w:color w:val="auto"/>
          <w:sz w:val="24"/>
          <w:szCs w:val="24"/>
          <w:highlight w:val="none"/>
          <w:lang w:val="en-US"/>
        </w:rPr>
        <w:t>招标项目的潜在投标人应在政采云平台（https://www.zcygov.cn/）获取招标文件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28</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点00分</w:t>
      </w:r>
      <w:r>
        <w:rPr>
          <w:rFonts w:hint="eastAsia" w:ascii="宋体" w:hAnsi="宋体" w:eastAsia="宋体" w:cs="宋体"/>
          <w:bCs/>
          <w:color w:val="auto"/>
          <w:sz w:val="24"/>
          <w:szCs w:val="24"/>
          <w:highlight w:val="none"/>
        </w:rPr>
        <w:t>（北京时间）前提交投标文件</w:t>
      </w:r>
      <w:r>
        <w:rPr>
          <w:rFonts w:hint="eastAsia" w:ascii="宋体" w:hAnsi="宋体" w:eastAsia="宋体" w:cs="宋体"/>
          <w:color w:val="auto"/>
          <w:sz w:val="24"/>
          <w:szCs w:val="24"/>
          <w:highlight w:val="none"/>
        </w:rPr>
        <w:t>。</w:t>
      </w:r>
    </w:p>
    <w:p w14:paraId="70E3BE7A">
      <w:pPr>
        <w:spacing w:line="360" w:lineRule="auto"/>
        <w:outlineLvl w:val="1"/>
        <w:rPr>
          <w:rFonts w:ascii="宋体" w:hAnsi="宋体" w:eastAsia="宋体" w:cs="宋体"/>
          <w:b/>
          <w:bCs/>
          <w:color w:val="auto"/>
          <w:sz w:val="24"/>
          <w:szCs w:val="24"/>
          <w:highlight w:val="none"/>
        </w:rPr>
      </w:pPr>
      <w:bookmarkStart w:id="5" w:name="_Toc18230"/>
      <w:bookmarkStart w:id="6" w:name="_Toc24117"/>
      <w:bookmarkStart w:id="7" w:name="_Toc12703"/>
      <w:bookmarkStart w:id="8" w:name="_Toc31814"/>
      <w:bookmarkStart w:id="9" w:name="_Toc19491"/>
      <w:bookmarkStart w:id="10" w:name="_Toc9386"/>
      <w:bookmarkStart w:id="11" w:name="_Toc20914"/>
      <w:r>
        <w:rPr>
          <w:rFonts w:hint="eastAsia" w:ascii="宋体" w:hAnsi="宋体" w:eastAsia="宋体" w:cs="宋体"/>
          <w:color w:val="auto"/>
          <w:sz w:val="24"/>
          <w:szCs w:val="24"/>
          <w:highlight w:val="none"/>
          <w:lang w:val="en-US"/>
        </w:rPr>
        <w:t>一</w:t>
      </w:r>
      <w:r>
        <w:rPr>
          <w:rFonts w:hint="eastAsia" w:ascii="宋体" w:hAnsi="宋体" w:eastAsia="宋体" w:cs="宋体"/>
          <w:b/>
          <w:bCs/>
          <w:color w:val="auto"/>
          <w:sz w:val="24"/>
          <w:szCs w:val="24"/>
          <w:highlight w:val="none"/>
        </w:rPr>
        <w:t>、</w:t>
      </w:r>
      <w:bookmarkEnd w:id="4"/>
      <w:r>
        <w:rPr>
          <w:rFonts w:hint="eastAsia" w:ascii="宋体" w:hAnsi="宋体" w:eastAsia="宋体" w:cs="宋体"/>
          <w:b/>
          <w:bCs/>
          <w:color w:val="auto"/>
          <w:sz w:val="24"/>
          <w:szCs w:val="24"/>
          <w:highlight w:val="none"/>
          <w:lang w:val="en-US"/>
        </w:rPr>
        <w:t>项目基本情况</w:t>
      </w:r>
      <w:bookmarkEnd w:id="5"/>
      <w:bookmarkEnd w:id="6"/>
      <w:bookmarkEnd w:id="7"/>
      <w:bookmarkEnd w:id="8"/>
      <w:bookmarkEnd w:id="9"/>
      <w:bookmarkEnd w:id="10"/>
      <w:bookmarkEnd w:id="11"/>
    </w:p>
    <w:p w14:paraId="6ED9207D">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.项目编号：</w:t>
      </w:r>
      <w:r>
        <w:rPr>
          <w:rFonts w:hint="eastAsia" w:ascii="宋体" w:hAnsi="宋体" w:eastAsia="宋体" w:cs="宋体"/>
          <w:color w:val="auto"/>
          <w:sz w:val="24"/>
          <w:szCs w:val="24"/>
          <w:highlight w:val="none"/>
          <w:lang w:val="en-US" w:eastAsia="zh-CN"/>
        </w:rPr>
        <w:t>PEZC2026-G3-00431-YNPZ-0011</w:t>
      </w:r>
      <w:r>
        <w:rPr>
          <w:rFonts w:hint="eastAsia" w:ascii="宋体" w:hAnsi="宋体" w:eastAsia="宋体" w:cs="宋体"/>
          <w:color w:val="auto"/>
          <w:sz w:val="24"/>
          <w:szCs w:val="24"/>
          <w:highlight w:val="none"/>
          <w:lang w:val="en-US"/>
        </w:rPr>
        <w:t>；</w:t>
      </w:r>
    </w:p>
    <w:p w14:paraId="5BB0452D">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.项目名称：</w:t>
      </w:r>
      <w:r>
        <w:rPr>
          <w:rFonts w:hint="eastAsia" w:ascii="宋体" w:hAnsi="宋体" w:eastAsia="宋体" w:cs="宋体"/>
          <w:color w:val="auto"/>
          <w:sz w:val="24"/>
          <w:szCs w:val="24"/>
          <w:highlight w:val="none"/>
          <w:lang w:val="en-US" w:eastAsia="zh-CN"/>
        </w:rPr>
        <w:t>普洱市医保数据专区建设项目</w:t>
      </w:r>
      <w:r>
        <w:rPr>
          <w:rFonts w:hint="eastAsia" w:ascii="宋体" w:hAnsi="宋体" w:eastAsia="宋体" w:cs="宋体"/>
          <w:color w:val="auto"/>
          <w:sz w:val="24"/>
          <w:szCs w:val="24"/>
          <w:highlight w:val="none"/>
          <w:lang w:val="en-US"/>
        </w:rPr>
        <w:t>；</w:t>
      </w:r>
    </w:p>
    <w:p w14:paraId="19FBF4AE">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.采购方式：公开招标；</w:t>
      </w:r>
    </w:p>
    <w:p w14:paraId="2220BB49">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.预算金额（万元）：</w:t>
      </w:r>
      <w:r>
        <w:rPr>
          <w:rFonts w:hint="eastAsia" w:asciiTheme="majorEastAsia" w:hAnsiTheme="majorEastAsia" w:eastAsiaTheme="majorEastAsia" w:cstheme="majorEastAsia"/>
          <w:color w:val="auto"/>
          <w:sz w:val="24"/>
          <w:szCs w:val="24"/>
          <w:highlight w:val="none"/>
          <w:lang w:val="en-US" w:eastAsia="zh-CN"/>
        </w:rPr>
        <w:t>180.00</w:t>
      </w:r>
      <w:r>
        <w:rPr>
          <w:rFonts w:hint="eastAsia" w:ascii="宋体" w:hAnsi="宋体" w:eastAsia="宋体" w:cs="宋体"/>
          <w:color w:val="auto"/>
          <w:sz w:val="24"/>
          <w:szCs w:val="24"/>
          <w:highlight w:val="none"/>
          <w:lang w:val="en-US"/>
        </w:rPr>
        <w:t>；</w:t>
      </w:r>
    </w:p>
    <w:p w14:paraId="4F1C279C">
      <w:pPr>
        <w:spacing w:after="100" w:line="360" w:lineRule="auto"/>
        <w:ind w:firstLine="480" w:firstLineChars="200"/>
        <w:jc w:val="both"/>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.最高限价（万元）：</w:t>
      </w:r>
      <w:r>
        <w:rPr>
          <w:rFonts w:hint="eastAsia" w:asciiTheme="majorEastAsia" w:hAnsiTheme="majorEastAsia" w:eastAsiaTheme="majorEastAsia" w:cstheme="majorEastAsia"/>
          <w:color w:val="auto"/>
          <w:sz w:val="24"/>
          <w:szCs w:val="24"/>
          <w:highlight w:val="none"/>
          <w:lang w:val="en-US" w:eastAsia="zh-CN"/>
        </w:rPr>
        <w:t>180.00</w:t>
      </w:r>
      <w:r>
        <w:rPr>
          <w:rFonts w:hint="eastAsia" w:asciiTheme="majorEastAsia" w:hAnsiTheme="majorEastAsia" w:eastAsiaTheme="majorEastAsia" w:cstheme="majorEastAsia"/>
          <w:color w:val="auto"/>
          <w:sz w:val="24"/>
          <w:szCs w:val="24"/>
          <w:highlight w:val="none"/>
          <w:lang w:val="en-US"/>
        </w:rPr>
        <w:t>；</w:t>
      </w:r>
    </w:p>
    <w:p w14:paraId="0005B8CB">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6</w:t>
      </w:r>
      <w:r>
        <w:rPr>
          <w:rFonts w:hint="eastAsia" w:ascii="宋体" w:hAnsi="宋体" w:eastAsia="宋体" w:cs="宋体"/>
          <w:color w:val="auto"/>
          <w:sz w:val="24"/>
          <w:szCs w:val="24"/>
          <w:highlight w:val="none"/>
          <w:lang w:val="en-US"/>
        </w:rPr>
        <w:t>.采购需求：依据《医保数据“两结合三赋能”工作方案》，结合国家智能监管改革试点工作，依托云南省医疗保障局数据专区，开展普洱市医保数据专区服务应用，满足普洱市医疗保障通过数据分析，强化参保扩面、医疗价格服务、支付方式改革、医保基金监管、基金运行监测等方面需求。</w:t>
      </w:r>
    </w:p>
    <w:p w14:paraId="1967649C">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注：本项目共设一个标段，投标人必须对所投标段内所有内容进行完整报价，不得缺项、漏项，否则投标文件将按无效处理。具体要求等详见本招标文件第五章《采购需求》。</w:t>
      </w:r>
    </w:p>
    <w:p w14:paraId="68940A9A">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eastAsia="zh-CN"/>
        </w:rPr>
        <w:t>7</w:t>
      </w:r>
      <w:r>
        <w:rPr>
          <w:rFonts w:hint="eastAsia" w:ascii="宋体" w:hAnsi="宋体" w:eastAsia="宋体" w:cs="宋体"/>
          <w:color w:val="auto"/>
          <w:sz w:val="24"/>
          <w:szCs w:val="24"/>
          <w:highlight w:val="none"/>
          <w:lang w:val="en-US"/>
        </w:rPr>
        <w:t>.合同履约期限（服务期限）：</w:t>
      </w:r>
      <w:r>
        <w:rPr>
          <w:rFonts w:hint="eastAsia" w:asciiTheme="majorEastAsia" w:hAnsiTheme="majorEastAsia" w:eastAsiaTheme="majorEastAsia" w:cstheme="majorEastAsia"/>
          <w:color w:val="auto"/>
          <w:sz w:val="24"/>
          <w:szCs w:val="24"/>
          <w:highlight w:val="none"/>
          <w:lang w:val="en-US" w:eastAsia="zh-CN"/>
        </w:rPr>
        <w:t>合同签订后，60日内上线运行，验收通过之后进入驻场服务期，驻场服务期为1年。驻场服务期结束后，进入日常运维保障期。</w:t>
      </w:r>
    </w:p>
    <w:p w14:paraId="0C95B1C3">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rPr>
        <w:t>.质量要求：</w:t>
      </w:r>
      <w:r>
        <w:rPr>
          <w:rFonts w:hint="eastAsia" w:ascii="宋体" w:hAnsi="宋体" w:eastAsia="宋体" w:cs="宋体"/>
          <w:color w:val="auto"/>
          <w:sz w:val="24"/>
          <w:szCs w:val="24"/>
          <w:highlight w:val="none"/>
          <w:lang w:val="en-US" w:eastAsia="zh-CN"/>
        </w:rPr>
        <w:t>符合现行国家相关规定及行业标准、要求，满足采购人要求；</w:t>
      </w:r>
    </w:p>
    <w:p w14:paraId="52ABAEE1">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.服务地点：</w:t>
      </w:r>
      <w:r>
        <w:rPr>
          <w:rFonts w:hint="eastAsia" w:ascii="宋体" w:hAnsi="宋体" w:eastAsia="宋体" w:cs="宋体"/>
          <w:color w:val="auto"/>
          <w:sz w:val="24"/>
          <w:szCs w:val="24"/>
          <w:highlight w:val="none"/>
          <w:lang w:val="en-US" w:eastAsia="zh-CN"/>
        </w:rPr>
        <w:t>普洱市医疗保障局</w:t>
      </w:r>
      <w:r>
        <w:rPr>
          <w:rFonts w:hint="eastAsia" w:ascii="宋体" w:hAnsi="宋体" w:eastAsia="宋体" w:cs="宋体"/>
          <w:color w:val="auto"/>
          <w:sz w:val="24"/>
          <w:szCs w:val="24"/>
          <w:highlight w:val="none"/>
          <w:lang w:val="en-US"/>
        </w:rPr>
        <w:t>及采购人指定地点；</w:t>
      </w:r>
    </w:p>
    <w:p w14:paraId="457B2662">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eastAsia="zh-CN"/>
        </w:rPr>
        <w:t>10</w:t>
      </w:r>
      <w:r>
        <w:rPr>
          <w:rFonts w:hint="eastAsia" w:ascii="宋体" w:hAnsi="宋体" w:eastAsia="宋体" w:cs="宋体"/>
          <w:color w:val="auto"/>
          <w:sz w:val="24"/>
          <w:szCs w:val="24"/>
          <w:highlight w:val="none"/>
          <w:lang w:val="en-US"/>
        </w:rPr>
        <w:t>.本项目（否）接受联合体。</w:t>
      </w:r>
    </w:p>
    <w:p w14:paraId="0A85E109">
      <w:pPr>
        <w:spacing w:line="360" w:lineRule="auto"/>
        <w:outlineLvl w:val="1"/>
        <w:rPr>
          <w:rFonts w:ascii="宋体" w:hAnsi="宋体" w:eastAsia="宋体" w:cs="宋体"/>
          <w:b/>
          <w:bCs/>
          <w:color w:val="auto"/>
          <w:sz w:val="24"/>
          <w:szCs w:val="24"/>
          <w:highlight w:val="none"/>
        </w:rPr>
      </w:pPr>
      <w:bookmarkStart w:id="12" w:name="_Toc7657"/>
      <w:bookmarkStart w:id="13" w:name="_Toc26399"/>
      <w:bookmarkStart w:id="14" w:name="_Toc16839"/>
      <w:bookmarkStart w:id="15" w:name="_Toc18176"/>
      <w:bookmarkStart w:id="16" w:name="_Toc28874"/>
      <w:bookmarkStart w:id="17" w:name="_Toc27286"/>
      <w:bookmarkStart w:id="18" w:name="_Toc15596"/>
      <w:bookmarkStart w:id="19" w:name="_Toc14805"/>
      <w:r>
        <w:rPr>
          <w:rFonts w:hint="eastAsia" w:ascii="宋体" w:hAnsi="宋体" w:eastAsia="宋体" w:cs="宋体"/>
          <w:b/>
          <w:bCs/>
          <w:color w:val="auto"/>
          <w:sz w:val="24"/>
          <w:szCs w:val="24"/>
          <w:highlight w:val="none"/>
          <w:lang w:val="en-US"/>
        </w:rPr>
        <w:t>二</w:t>
      </w:r>
      <w:r>
        <w:rPr>
          <w:rFonts w:hint="eastAsia" w:ascii="宋体" w:hAnsi="宋体" w:eastAsia="宋体" w:cs="宋体"/>
          <w:b/>
          <w:bCs/>
          <w:color w:val="auto"/>
          <w:sz w:val="24"/>
          <w:szCs w:val="24"/>
          <w:highlight w:val="none"/>
        </w:rPr>
        <w:t>、投标人资格要求</w:t>
      </w:r>
      <w:bookmarkEnd w:id="12"/>
      <w:bookmarkEnd w:id="13"/>
      <w:bookmarkEnd w:id="14"/>
      <w:bookmarkEnd w:id="15"/>
      <w:bookmarkEnd w:id="16"/>
      <w:bookmarkEnd w:id="17"/>
      <w:bookmarkEnd w:id="18"/>
      <w:bookmarkEnd w:id="19"/>
    </w:p>
    <w:p w14:paraId="62738D91">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.满足《中华人民共和国政府采购法》第二十二条规定；</w:t>
      </w:r>
    </w:p>
    <w:p w14:paraId="176690A2">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.落实政府采购政策需满足的资格要求：本项目非专门面向中小企业采购项目；</w:t>
      </w:r>
    </w:p>
    <w:p w14:paraId="31C20BE1">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.本项目特定的资格要求：</w:t>
      </w:r>
      <w:bookmarkStart w:id="20" w:name="_Toc23187"/>
      <w:bookmarkStart w:id="21" w:name="_Toc11845"/>
      <w:bookmarkStart w:id="22" w:name="_Toc25123"/>
      <w:r>
        <w:rPr>
          <w:rFonts w:hint="eastAsia" w:ascii="宋体" w:hAnsi="宋体" w:eastAsia="宋体" w:cs="宋体"/>
          <w:color w:val="auto"/>
          <w:sz w:val="24"/>
          <w:szCs w:val="24"/>
          <w:highlight w:val="none"/>
          <w:lang w:val="en-US"/>
        </w:rPr>
        <w:t>单位负责人为同一人或者存在直接控股、管理关系的不同投标人，不得参加同一合同项下的政府采购活动，提供承诺书；</w:t>
      </w:r>
    </w:p>
    <w:p w14:paraId="7E9E042A">
      <w:pPr>
        <w:spacing w:line="360" w:lineRule="auto"/>
        <w:outlineLvl w:val="1"/>
        <w:rPr>
          <w:rFonts w:ascii="宋体" w:hAnsi="宋体" w:eastAsia="宋体" w:cs="宋体"/>
          <w:b/>
          <w:bCs/>
          <w:color w:val="auto"/>
          <w:sz w:val="24"/>
          <w:szCs w:val="24"/>
          <w:highlight w:val="none"/>
          <w:lang w:val="en-US"/>
        </w:rPr>
      </w:pPr>
      <w:bookmarkStart w:id="23" w:name="_Toc7879"/>
      <w:bookmarkStart w:id="24" w:name="_Toc23087"/>
      <w:bookmarkStart w:id="25" w:name="_Toc24281"/>
      <w:bookmarkStart w:id="26" w:name="_Toc21391"/>
      <w:bookmarkStart w:id="27" w:name="_Toc1246"/>
      <w:r>
        <w:rPr>
          <w:rFonts w:hint="eastAsia" w:ascii="宋体" w:hAnsi="宋体" w:eastAsia="宋体" w:cs="宋体"/>
          <w:b/>
          <w:bCs/>
          <w:color w:val="auto"/>
          <w:sz w:val="24"/>
          <w:szCs w:val="24"/>
          <w:highlight w:val="none"/>
          <w:lang w:val="en-US"/>
        </w:rPr>
        <w:t>三</w:t>
      </w:r>
      <w:r>
        <w:rPr>
          <w:rFonts w:hint="eastAsia" w:ascii="宋体" w:hAnsi="宋体" w:eastAsia="宋体" w:cs="宋体"/>
          <w:b/>
          <w:bCs/>
          <w:color w:val="auto"/>
          <w:sz w:val="24"/>
          <w:szCs w:val="24"/>
          <w:highlight w:val="none"/>
        </w:rPr>
        <w:t>、</w:t>
      </w:r>
      <w:bookmarkEnd w:id="20"/>
      <w:r>
        <w:rPr>
          <w:rFonts w:hint="eastAsia" w:ascii="宋体" w:hAnsi="宋体" w:eastAsia="宋体" w:cs="宋体"/>
          <w:b/>
          <w:bCs/>
          <w:color w:val="auto"/>
          <w:sz w:val="24"/>
          <w:szCs w:val="24"/>
          <w:highlight w:val="none"/>
          <w:lang w:val="en-US"/>
        </w:rPr>
        <w:t>获取</w:t>
      </w:r>
      <w:bookmarkEnd w:id="21"/>
      <w:bookmarkEnd w:id="22"/>
      <w:bookmarkEnd w:id="23"/>
      <w:bookmarkEnd w:id="24"/>
      <w:r>
        <w:rPr>
          <w:rFonts w:hint="eastAsia" w:ascii="宋体" w:hAnsi="宋体" w:eastAsia="宋体" w:cs="宋体"/>
          <w:b/>
          <w:bCs/>
          <w:color w:val="auto"/>
          <w:sz w:val="24"/>
          <w:szCs w:val="24"/>
          <w:highlight w:val="none"/>
          <w:lang w:val="en-US"/>
        </w:rPr>
        <w:t>招标文件</w:t>
      </w:r>
      <w:bookmarkEnd w:id="25"/>
      <w:bookmarkEnd w:id="26"/>
      <w:bookmarkEnd w:id="27"/>
    </w:p>
    <w:p w14:paraId="77A8E76C">
      <w:pPr>
        <w:spacing w:after="100" w:line="360" w:lineRule="auto"/>
        <w:ind w:firstLine="480" w:firstLineChars="200"/>
        <w:jc w:val="both"/>
        <w:rPr>
          <w:rFonts w:ascii="宋体" w:hAnsi="宋体" w:eastAsia="宋体" w:cs="宋体"/>
          <w:color w:val="auto"/>
          <w:sz w:val="24"/>
          <w:szCs w:val="24"/>
          <w:highlight w:val="none"/>
          <w:lang w:val="en-US"/>
        </w:rPr>
      </w:pPr>
      <w:bookmarkStart w:id="28" w:name="_Toc24036"/>
      <w:bookmarkStart w:id="29" w:name="_Toc17487"/>
      <w:bookmarkStart w:id="30" w:name="_Toc10818"/>
      <w:bookmarkStart w:id="31" w:name="_Toc14825"/>
      <w:bookmarkStart w:id="32" w:name="_Toc11134"/>
      <w:bookmarkStart w:id="33" w:name="_Toc25902"/>
      <w:bookmarkStart w:id="34" w:name="_Toc23512771"/>
      <w:bookmarkStart w:id="35" w:name="_Toc24041"/>
      <w:bookmarkStart w:id="36" w:name="_Toc25946"/>
      <w:bookmarkStart w:id="37" w:name="_Toc24032"/>
      <w:bookmarkStart w:id="38" w:name="_Toc5786"/>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val="en-US"/>
        </w:rPr>
        <w:t>日每天上午06:00至12:00，下午12:00至23:59（北京时间）。</w:t>
      </w:r>
    </w:p>
    <w:p w14:paraId="7D80E37A">
      <w:pPr>
        <w:spacing w:after="100" w:line="360" w:lineRule="auto"/>
        <w:ind w:firstLine="480" w:firstLineChars="200"/>
        <w:jc w:val="both"/>
        <w:rPr>
          <w:rFonts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2.地点：政府采购云平台（</w:t>
      </w:r>
      <w:bookmarkStart w:id="39" w:name="OLE_LINK303"/>
      <w:r>
        <w:rPr>
          <w:rFonts w:hint="eastAsia" w:asciiTheme="majorEastAsia" w:hAnsiTheme="majorEastAsia" w:eastAsiaTheme="majorEastAsia" w:cstheme="majorEastAsia"/>
          <w:color w:val="auto"/>
          <w:sz w:val="24"/>
          <w:szCs w:val="24"/>
          <w:highlight w:val="none"/>
          <w:lang w:val="en-US"/>
        </w:rPr>
        <w:t>https://www.zcygov.cn/</w:t>
      </w:r>
      <w:bookmarkEnd w:id="39"/>
      <w:r>
        <w:rPr>
          <w:rFonts w:hint="eastAsia" w:asciiTheme="majorEastAsia" w:hAnsiTheme="majorEastAsia" w:eastAsiaTheme="majorEastAsia" w:cstheme="majorEastAsia"/>
          <w:color w:val="auto"/>
          <w:sz w:val="24"/>
          <w:szCs w:val="24"/>
          <w:highlight w:val="none"/>
          <w:lang w:val="en-US"/>
        </w:rPr>
        <w:t>）（操作路径：登录政府采购云平台-项目采购-获取招标文件 -找到本项目-点击“申请获取招标文件”）。</w:t>
      </w:r>
    </w:p>
    <w:p w14:paraId="1C78B7B5">
      <w:pPr>
        <w:spacing w:after="100" w:line="360" w:lineRule="auto"/>
        <w:ind w:firstLine="480" w:firstLineChars="200"/>
        <w:jc w:val="both"/>
        <w:rPr>
          <w:rFonts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方式：1.凡有意参加本项目投标的潜在投标人，须在政府采购云平台办理数字证书（CA），并在政采云绑定数字证书（CA）后线上获取招标文件及其他采购资料。CA申领链接：http：//yzt.ynsmartcert.cn/cms/yztynzzhw.html（壹证通客服热线：0871-67276028＜紧急可拨19988166369&gt;）或https：//middle.zcygov.cn/ca/apply/list?_app_=zcy.sys（政采云），CA申领后需</w:t>
      </w:r>
      <w:bookmarkStart w:id="40" w:name="OLE_LINK304"/>
      <w:r>
        <w:rPr>
          <w:rFonts w:hint="eastAsia" w:asciiTheme="majorEastAsia" w:hAnsiTheme="majorEastAsia" w:eastAsiaTheme="majorEastAsia" w:cstheme="majorEastAsia"/>
          <w:color w:val="auto"/>
          <w:sz w:val="24"/>
          <w:szCs w:val="24"/>
          <w:highlight w:val="none"/>
          <w:lang w:val="en-US"/>
        </w:rPr>
        <w:t>登录政府采购云平台完成数字证书（CA）绑定才可以使用，数字证书</w:t>
      </w:r>
      <w:bookmarkEnd w:id="40"/>
      <w:r>
        <w:rPr>
          <w:rFonts w:hint="eastAsia" w:asciiTheme="majorEastAsia" w:hAnsiTheme="majorEastAsia" w:eastAsiaTheme="majorEastAsia" w:cstheme="majorEastAsia"/>
          <w:color w:val="auto"/>
          <w:sz w:val="24"/>
          <w:szCs w:val="24"/>
          <w:highlight w:val="none"/>
          <w:lang w:val="en-US"/>
        </w:rPr>
        <w:t>（CA）详见其办理流程。注：</w:t>
      </w:r>
      <w:bookmarkStart w:id="41" w:name="OLE_LINK305"/>
      <w:r>
        <w:rPr>
          <w:rFonts w:hint="eastAsia" w:asciiTheme="majorEastAsia" w:hAnsiTheme="majorEastAsia" w:eastAsiaTheme="majorEastAsia" w:cstheme="majorEastAsia"/>
          <w:color w:val="auto"/>
          <w:sz w:val="24"/>
          <w:szCs w:val="24"/>
          <w:highlight w:val="none"/>
          <w:lang w:val="en-US"/>
        </w:rPr>
        <w:t>云南本地供应商如之前已在云南CA在线数字证书办理网进行过注册并办理过企业数字证书</w:t>
      </w:r>
      <w:bookmarkEnd w:id="41"/>
      <w:r>
        <w:rPr>
          <w:rFonts w:hint="eastAsia" w:asciiTheme="majorEastAsia" w:hAnsiTheme="majorEastAsia" w:eastAsiaTheme="majorEastAsia" w:cstheme="majorEastAsia"/>
          <w:color w:val="auto"/>
          <w:sz w:val="24"/>
          <w:szCs w:val="24"/>
          <w:highlight w:val="none"/>
          <w:lang w:val="en-US"/>
        </w:rPr>
        <w:t>（CA），直接绑定即可，无需重复办理（2022年1月1日前办理的云南CA需到云南CA办理处进行升级）。外省供应商在政府采购云平台办理的其他CA可直接使用，无需重复办理；2.按上述要求获取招标文件的潜在投标人视为合法获取了本项目招标文件，可以参与本项目投标。</w:t>
      </w:r>
    </w:p>
    <w:p w14:paraId="3F5269FA">
      <w:pPr>
        <w:spacing w:after="100" w:line="360" w:lineRule="auto"/>
        <w:ind w:firstLine="480" w:firstLineChars="200"/>
        <w:jc w:val="both"/>
        <w:rPr>
          <w:rFonts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4.售价：0元。</w:t>
      </w:r>
    </w:p>
    <w:p w14:paraId="61486A70">
      <w:pPr>
        <w:pStyle w:val="4"/>
        <w:tabs>
          <w:tab w:val="left" w:pos="720"/>
        </w:tabs>
        <w:spacing w:before="0" w:beforeAutospacing="0" w:after="0" w:afterAutospacing="0" w:line="360" w:lineRule="auto"/>
        <w:jc w:val="left"/>
        <w:rPr>
          <w:rFonts w:hint="default" w:eastAsia="宋体" w:cs="宋体"/>
          <w:color w:val="auto"/>
          <w:sz w:val="24"/>
          <w:szCs w:val="24"/>
          <w:highlight w:val="none"/>
        </w:rPr>
      </w:pPr>
      <w:bookmarkStart w:id="42" w:name="_Toc30022"/>
      <w:bookmarkStart w:id="43" w:name="_Toc30020"/>
      <w:bookmarkStart w:id="44" w:name="_Toc30128"/>
      <w:bookmarkStart w:id="45" w:name="_Toc16733"/>
      <w:bookmarkStart w:id="46" w:name="_Toc17089"/>
      <w:r>
        <w:rPr>
          <w:rFonts w:eastAsia="宋体" w:cs="宋体"/>
          <w:color w:val="auto"/>
          <w:sz w:val="24"/>
          <w:szCs w:val="24"/>
          <w:highlight w:val="none"/>
        </w:rPr>
        <w:t>四</w:t>
      </w:r>
      <w:bookmarkEnd w:id="28"/>
      <w:bookmarkEnd w:id="29"/>
      <w:bookmarkEnd w:id="30"/>
      <w:bookmarkEnd w:id="31"/>
      <w:bookmarkEnd w:id="32"/>
      <w:bookmarkEnd w:id="33"/>
      <w:bookmarkEnd w:id="34"/>
      <w:bookmarkEnd w:id="35"/>
      <w:bookmarkEnd w:id="36"/>
      <w:r>
        <w:rPr>
          <w:rFonts w:eastAsia="宋体" w:cs="宋体"/>
          <w:color w:val="auto"/>
          <w:sz w:val="24"/>
          <w:szCs w:val="24"/>
          <w:highlight w:val="none"/>
        </w:rPr>
        <w:t>、</w:t>
      </w:r>
      <w:bookmarkEnd w:id="37"/>
      <w:bookmarkEnd w:id="38"/>
      <w:bookmarkEnd w:id="42"/>
      <w:bookmarkEnd w:id="43"/>
      <w:bookmarkEnd w:id="44"/>
      <w:r>
        <w:rPr>
          <w:rFonts w:eastAsia="宋体" w:cs="宋体"/>
          <w:color w:val="auto"/>
          <w:sz w:val="24"/>
          <w:szCs w:val="24"/>
          <w:highlight w:val="none"/>
        </w:rPr>
        <w:t>提交投标文件截止时间、开标时间和地点</w:t>
      </w:r>
      <w:bookmarkEnd w:id="45"/>
      <w:bookmarkEnd w:id="46"/>
    </w:p>
    <w:p w14:paraId="2ED82200">
      <w:pPr>
        <w:spacing w:line="360" w:lineRule="auto"/>
        <w:ind w:firstLine="480" w:firstLineChars="200"/>
        <w:jc w:val="both"/>
        <w:rPr>
          <w:rFonts w:ascii="宋体" w:hAnsi="宋体" w:eastAsia="宋体" w:cs="宋体"/>
          <w:color w:val="auto"/>
          <w:sz w:val="24"/>
          <w:szCs w:val="24"/>
          <w:highlight w:val="none"/>
          <w:lang w:val="en-US"/>
        </w:rPr>
      </w:pPr>
      <w:bookmarkStart w:id="47" w:name="_Toc5203"/>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.时间：</w:t>
      </w:r>
      <w:r>
        <w:rPr>
          <w:rFonts w:hint="eastAsia" w:asciiTheme="majorEastAsia" w:hAnsiTheme="majorEastAsia" w:eastAsiaTheme="majorEastAsia" w:cstheme="majorEastAsia"/>
          <w:color w:val="auto"/>
          <w:sz w:val="24"/>
          <w:szCs w:val="24"/>
          <w:highlight w:val="none"/>
          <w:lang w:val="en-US"/>
        </w:rPr>
        <w:t>202</w:t>
      </w:r>
      <w:r>
        <w:rPr>
          <w:rFonts w:hint="eastAsia" w:asciiTheme="majorEastAsia" w:hAnsiTheme="majorEastAsia" w:eastAsiaTheme="majorEastAsia" w:cstheme="majorEastAsia"/>
          <w:color w:val="auto"/>
          <w:sz w:val="24"/>
          <w:szCs w:val="24"/>
          <w:highlight w:val="none"/>
          <w:lang w:val="en-US" w:eastAsia="zh-CN"/>
        </w:rPr>
        <w:t>6</w:t>
      </w:r>
      <w:r>
        <w:rPr>
          <w:rFonts w:hint="eastAsia" w:ascii="宋体" w:hAnsi="宋体" w:eastAsia="宋体" w:cs="宋体"/>
          <w:color w:val="auto"/>
          <w:sz w:val="24"/>
          <w:szCs w:val="24"/>
          <w:highlight w:val="none"/>
          <w:lang w:val="en-US"/>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lang w:val="en-US"/>
        </w:rPr>
        <w:t>日</w:t>
      </w:r>
      <w:r>
        <w:rPr>
          <w:rFonts w:hint="eastAsia" w:asciiTheme="majorEastAsia" w:hAnsiTheme="majorEastAsia" w:eastAsiaTheme="majorEastAsia" w:cstheme="majorEastAsia"/>
          <w:color w:val="auto"/>
          <w:sz w:val="24"/>
          <w:szCs w:val="24"/>
          <w:highlight w:val="none"/>
          <w:lang w:val="en-US" w:eastAsia="zh-CN"/>
        </w:rPr>
        <w:t>15</w:t>
      </w:r>
      <w:r>
        <w:rPr>
          <w:rFonts w:hint="eastAsia" w:ascii="宋体" w:hAnsi="宋体" w:eastAsia="宋体" w:cs="宋体"/>
          <w:color w:val="auto"/>
          <w:sz w:val="24"/>
          <w:szCs w:val="24"/>
          <w:highlight w:val="none"/>
          <w:lang w:val="en-US"/>
        </w:rPr>
        <w:t>时</w:t>
      </w:r>
      <w:r>
        <w:rPr>
          <w:rFonts w:hint="eastAsia" w:asciiTheme="majorEastAsia" w:hAnsiTheme="majorEastAsia" w:eastAsiaTheme="majorEastAsia" w:cstheme="majorEastAsia"/>
          <w:color w:val="auto"/>
          <w:sz w:val="24"/>
          <w:szCs w:val="24"/>
          <w:highlight w:val="none"/>
          <w:lang w:val="en-US"/>
        </w:rPr>
        <w:t>00</w:t>
      </w:r>
      <w:r>
        <w:rPr>
          <w:rFonts w:hint="eastAsia" w:ascii="宋体" w:hAnsi="宋体" w:eastAsia="宋体" w:cs="宋体"/>
          <w:color w:val="auto"/>
          <w:sz w:val="24"/>
          <w:szCs w:val="24"/>
          <w:highlight w:val="none"/>
          <w:lang w:val="en-US"/>
        </w:rPr>
        <w:t>分（北京时间）</w:t>
      </w:r>
    </w:p>
    <w:p w14:paraId="47366A93">
      <w:pPr>
        <w:spacing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地点：投标人应按照本项目采购文件和“政采云”平台的要求编制、加密后在投标文件提交截止时间前上传至“政采云”平台，投标文件提交截止时间前未完成投标文件上传的，视为撤回投标文件。投标人在“政采云”平台提交电子版响应文件时，请填写参加远程采购活动经办人联系方式。在递交投标文件截止时间后，由采购代理机构在“政采云”平台下达解密投标文件命令投标人须在规定时间内（</w:t>
      </w:r>
      <w:r>
        <w:rPr>
          <w:rFonts w:hint="eastAsia" w:asciiTheme="majorEastAsia" w:hAnsiTheme="majorEastAsia" w:eastAsiaTheme="majorEastAsia" w:cstheme="majorEastAsia"/>
          <w:color w:val="auto"/>
          <w:sz w:val="24"/>
          <w:szCs w:val="24"/>
          <w:highlight w:val="none"/>
          <w:lang w:val="en-US"/>
        </w:rPr>
        <w:t>30</w:t>
      </w:r>
      <w:r>
        <w:rPr>
          <w:rFonts w:hint="eastAsia" w:ascii="宋体" w:hAnsi="宋体" w:eastAsia="宋体" w:cs="宋体"/>
          <w:color w:val="auto"/>
          <w:sz w:val="24"/>
          <w:szCs w:val="24"/>
          <w:highlight w:val="none"/>
          <w:lang w:val="en-US"/>
        </w:rPr>
        <w:t>分钟）完成解密，否则视为撤回投标文件，不再进入评标阶段。</w:t>
      </w:r>
    </w:p>
    <w:p w14:paraId="430D033C">
      <w:pPr>
        <w:spacing w:line="360" w:lineRule="auto"/>
        <w:rPr>
          <w:rFonts w:ascii="宋体" w:hAnsi="宋体" w:eastAsia="宋体" w:cs="宋体"/>
          <w:b/>
          <w:bCs/>
          <w:color w:val="auto"/>
          <w:sz w:val="24"/>
          <w:szCs w:val="24"/>
          <w:highlight w:val="none"/>
          <w:lang w:val="en-US"/>
        </w:rPr>
      </w:pPr>
      <w:bookmarkStart w:id="48" w:name="_Toc23606"/>
      <w:bookmarkStart w:id="49" w:name="_Toc17718"/>
      <w:bookmarkStart w:id="50" w:name="_Toc10141"/>
      <w:r>
        <w:rPr>
          <w:rFonts w:hint="eastAsia" w:ascii="宋体" w:hAnsi="宋体" w:eastAsia="宋体" w:cs="宋体"/>
          <w:b/>
          <w:bCs/>
          <w:color w:val="auto"/>
          <w:sz w:val="24"/>
          <w:szCs w:val="24"/>
          <w:highlight w:val="none"/>
          <w:lang w:val="en-US"/>
        </w:rPr>
        <w:t>五、</w:t>
      </w:r>
      <w:bookmarkEnd w:id="47"/>
      <w:bookmarkEnd w:id="48"/>
      <w:bookmarkEnd w:id="49"/>
      <w:bookmarkEnd w:id="50"/>
      <w:bookmarkStart w:id="51" w:name="_Toc35393803"/>
      <w:bookmarkStart w:id="52" w:name="_Toc27318"/>
      <w:bookmarkStart w:id="53" w:name="_Toc19701"/>
      <w:bookmarkStart w:id="54" w:name="_Toc28359094"/>
      <w:bookmarkStart w:id="55" w:name="_Toc35393634"/>
      <w:bookmarkStart w:id="56" w:name="_Toc28359017"/>
      <w:bookmarkStart w:id="57" w:name="_Toc3731"/>
      <w:bookmarkStart w:id="58" w:name="_Toc29910"/>
      <w:bookmarkStart w:id="59" w:name="_Toc23512773"/>
      <w:bookmarkStart w:id="60" w:name="_Toc17649"/>
      <w:bookmarkStart w:id="61" w:name="_Toc20427"/>
      <w:bookmarkStart w:id="62" w:name="_Toc3616"/>
      <w:bookmarkStart w:id="63" w:name="_Toc2650"/>
      <w:bookmarkStart w:id="64" w:name="_Toc427306784"/>
      <w:bookmarkStart w:id="65" w:name="_Toc30051"/>
      <w:bookmarkStart w:id="66" w:name="_Toc12034"/>
      <w:bookmarkStart w:id="67" w:name="_Toc21117"/>
      <w:bookmarkStart w:id="68" w:name="_Toc427339165"/>
      <w:r>
        <w:rPr>
          <w:rFonts w:hint="eastAsia" w:ascii="宋体" w:hAnsi="宋体" w:eastAsia="宋体" w:cs="宋体"/>
          <w:b/>
          <w:bCs/>
          <w:color w:val="auto"/>
          <w:sz w:val="24"/>
          <w:szCs w:val="24"/>
          <w:highlight w:val="none"/>
          <w:lang w:val="en-US"/>
        </w:rPr>
        <w:t>公告期限</w:t>
      </w:r>
      <w:bookmarkEnd w:id="51"/>
      <w:bookmarkEnd w:id="52"/>
      <w:bookmarkEnd w:id="53"/>
      <w:bookmarkEnd w:id="54"/>
      <w:bookmarkEnd w:id="55"/>
      <w:bookmarkEnd w:id="56"/>
    </w:p>
    <w:p w14:paraId="0741395B">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自本公告发布之日起</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个工作日。</w:t>
      </w:r>
    </w:p>
    <w:p w14:paraId="289D962A">
      <w:pPr>
        <w:spacing w:line="360" w:lineRule="auto"/>
        <w:rPr>
          <w:rFonts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六、其他补充事宜</w:t>
      </w:r>
    </w:p>
    <w:p w14:paraId="185ACE6F">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开标方式：网上开标；</w:t>
      </w:r>
    </w:p>
    <w:p w14:paraId="1E47070D">
      <w:pPr>
        <w:spacing w:after="100" w:line="360" w:lineRule="auto"/>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是否需要缴纳投标保证金：是；</w:t>
      </w:r>
    </w:p>
    <w:p w14:paraId="3C278A4C">
      <w:pPr>
        <w:spacing w:after="100" w:line="360" w:lineRule="auto"/>
        <w:jc w:val="both"/>
        <w:rPr>
          <w:rFonts w:ascii="宋体" w:hAnsi="宋体" w:eastAsia="宋体" w:cs="宋体"/>
          <w:b/>
          <w:bCs/>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普洱市医保数据专区建设项目</w:t>
      </w:r>
      <w:r>
        <w:rPr>
          <w:rFonts w:hint="eastAsia" w:ascii="宋体" w:hAnsi="宋体" w:eastAsia="宋体" w:cs="宋体"/>
          <w:color w:val="auto"/>
          <w:sz w:val="24"/>
          <w:szCs w:val="24"/>
          <w:highlight w:val="none"/>
          <w:lang w:val="en-US"/>
        </w:rPr>
        <w:t>；</w:t>
      </w:r>
    </w:p>
    <w:p w14:paraId="4EE4F174">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保证金金额：</w:t>
      </w:r>
      <w:r>
        <w:rPr>
          <w:rFonts w:hint="eastAsia" w:ascii="宋体" w:hAnsi="宋体" w:eastAsia="宋体" w:cs="宋体"/>
          <w:color w:val="auto"/>
          <w:sz w:val="24"/>
          <w:szCs w:val="24"/>
          <w:highlight w:val="none"/>
          <w:lang w:val="en-US" w:eastAsia="zh-CN"/>
        </w:rPr>
        <w:t>18</w:t>
      </w:r>
      <w:r>
        <w:rPr>
          <w:rFonts w:hint="eastAsia" w:asciiTheme="majorEastAsia" w:hAnsiTheme="majorEastAsia" w:eastAsiaTheme="majorEastAsia" w:cstheme="majorEastAsia"/>
          <w:color w:val="auto"/>
          <w:sz w:val="24"/>
          <w:szCs w:val="24"/>
          <w:highlight w:val="none"/>
          <w:lang w:val="en-US"/>
        </w:rPr>
        <w:t>000</w:t>
      </w:r>
      <w:r>
        <w:rPr>
          <w:rFonts w:hint="eastAsia" w:ascii="宋体" w:hAnsi="宋体" w:eastAsia="宋体" w:cs="宋体"/>
          <w:color w:val="auto"/>
          <w:sz w:val="24"/>
          <w:szCs w:val="24"/>
          <w:highlight w:val="none"/>
          <w:lang w:val="en-US"/>
        </w:rPr>
        <w:t>（元）</w:t>
      </w:r>
    </w:p>
    <w:p w14:paraId="19245653">
      <w:pPr>
        <w:spacing w:after="10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保证金缴纳方式：支票、汇票、本票、保函、电汇、网银转账、保证保险、银行保函或者金融机构、担保机构出具的保函等非现金形式交纳</w:t>
      </w:r>
      <w:r>
        <w:rPr>
          <w:rFonts w:hint="eastAsia" w:ascii="宋体" w:hAnsi="宋体" w:eastAsia="宋体" w:cs="宋体"/>
          <w:color w:val="auto"/>
          <w:sz w:val="24"/>
          <w:szCs w:val="24"/>
          <w:highlight w:val="none"/>
          <w:lang w:val="en-US" w:eastAsia="zh-CN"/>
        </w:rPr>
        <w:t>。</w:t>
      </w:r>
    </w:p>
    <w:p w14:paraId="5484CA0D">
      <w:pPr>
        <w:spacing w:after="100" w:line="360" w:lineRule="auto"/>
        <w:ind w:firstLine="480" w:firstLineChars="200"/>
        <w:jc w:val="both"/>
        <w:rPr>
          <w:rFonts w:ascii="宋体" w:hAnsi="宋体" w:eastAsia="宋体" w:cs="宋体"/>
          <w:strike/>
          <w:color w:val="auto"/>
          <w:sz w:val="24"/>
          <w:szCs w:val="24"/>
          <w:highlight w:val="none"/>
          <w:lang w:val="en-US"/>
        </w:rPr>
      </w:pPr>
      <w:r>
        <w:rPr>
          <w:rFonts w:hint="eastAsia" w:ascii="宋体" w:hAnsi="宋体" w:eastAsia="宋体" w:cs="宋体"/>
          <w:color w:val="auto"/>
          <w:sz w:val="24"/>
          <w:szCs w:val="24"/>
          <w:highlight w:val="none"/>
          <w:lang w:val="en-US"/>
        </w:rPr>
        <w:t>保证金缴纳截止时间：202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en-US"/>
        </w:rPr>
        <w:t>：00</w:t>
      </w:r>
    </w:p>
    <w:p w14:paraId="053C45E0">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.其他：</w:t>
      </w:r>
    </w:p>
    <w:p w14:paraId="6A79CB23">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本项目公告发布媒体：本次招标公告在《云南省政府采购网》《政府采购云平台》上发布，采购人及采购代理机构对其他网站发布或转载的公告内容不承担任何责任。</w:t>
      </w:r>
    </w:p>
    <w:p w14:paraId="6DF884B6">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本项目需要落实的政府采购政策：政府采购促进中小企业发展政策、政府采购支持监狱企业发展政策、政府采购促进残疾人就业、乡村产业振兴、政府采购节能产品、环境标志产品政策等。</w:t>
      </w:r>
    </w:p>
    <w:p w14:paraId="0572BB5A">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本项目采购标的对应所属行业为：</w:t>
      </w:r>
      <w:r>
        <w:rPr>
          <w:rFonts w:hint="eastAsia" w:ascii="宋体" w:hAnsi="宋体" w:eastAsia="宋体" w:cs="宋体"/>
          <w:b/>
          <w:bCs/>
          <w:color w:val="auto"/>
          <w:sz w:val="24"/>
          <w:szCs w:val="24"/>
          <w:highlight w:val="none"/>
          <w:lang w:val="en-US"/>
        </w:rPr>
        <w:t>软件和信息技术服务业。</w:t>
      </w:r>
      <w:r>
        <w:rPr>
          <w:rFonts w:hint="eastAsia" w:ascii="宋体" w:hAnsi="宋体" w:eastAsia="宋体" w:cs="宋体"/>
          <w:color w:val="auto"/>
          <w:sz w:val="24"/>
          <w:szCs w:val="24"/>
          <w:highlight w:val="none"/>
          <w:lang w:val="en-US"/>
        </w:rPr>
        <w:t>参照《关于印发中小企业划型标准规定的通知》（工信部联企业〔</w:t>
      </w:r>
      <w:r>
        <w:rPr>
          <w:rFonts w:hint="eastAsia" w:asciiTheme="majorEastAsia" w:hAnsiTheme="majorEastAsia" w:eastAsiaTheme="majorEastAsia" w:cstheme="majorEastAsia"/>
          <w:color w:val="auto"/>
          <w:sz w:val="24"/>
          <w:szCs w:val="24"/>
          <w:highlight w:val="none"/>
          <w:lang w:val="en-US"/>
        </w:rPr>
        <w:t>2011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300</w:t>
      </w:r>
      <w:r>
        <w:rPr>
          <w:rFonts w:hint="eastAsia" w:ascii="宋体" w:hAnsi="宋体" w:eastAsia="宋体" w:cs="宋体"/>
          <w:color w:val="auto"/>
          <w:sz w:val="24"/>
          <w:szCs w:val="24"/>
          <w:highlight w:val="none"/>
          <w:lang w:val="en-US"/>
        </w:rPr>
        <w:t>号）。</w:t>
      </w:r>
    </w:p>
    <w:p w14:paraId="2563A0AD">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.注意事项：</w:t>
      </w:r>
    </w:p>
    <w:p w14:paraId="387DCB47">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本项目为不见面开标，投标单位无需到达现场；</w:t>
      </w:r>
    </w:p>
    <w:p w14:paraId="31AF35AA">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本项目实行网上投标，采用电子投标文件；</w:t>
      </w:r>
    </w:p>
    <w:p w14:paraId="11777CDD">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各投标人在开标前应确保成为政采云平台投标人，并完成CA数字证书申领。因未注册入库、未办理CA数字证书等原因造成无法投标或投标失败等后果由投标人自行承担。 凡有意参加投标的投标人，须在政采云平台办理数字证书（CA）CA申领链接：https://middle.zcygov.cn/ca/apply/list?_app_=zcy.sys，并通过政采云绑定数字证书（CA）后在网上获取采购文件及其它采购资料，数字证书（CA）详见其办理流程；</w:t>
      </w:r>
    </w:p>
    <w:p w14:paraId="5011F941">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投标人将政采云电子交易客户端下载、安装完成后，可通过账号密码或CA登录客户端进行投标文件的制作。在使用政采云投标客户端时，建议使用WIN</w:t>
      </w:r>
      <w:r>
        <w:rPr>
          <w:rFonts w:hint="eastAsia" w:asciiTheme="majorEastAsia" w:hAnsiTheme="majorEastAsia" w:eastAsiaTheme="majorEastAsia" w:cstheme="majorEastAsia"/>
          <w:color w:val="auto"/>
          <w:sz w:val="24"/>
          <w:szCs w:val="24"/>
          <w:highlight w:val="none"/>
          <w:lang w:val="en-US"/>
        </w:rPr>
        <w:t>7</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64</w:t>
      </w:r>
      <w:r>
        <w:rPr>
          <w:rFonts w:hint="eastAsia" w:ascii="宋体" w:hAnsi="宋体" w:eastAsia="宋体" w:cs="宋体"/>
          <w:color w:val="auto"/>
          <w:sz w:val="24"/>
          <w:szCs w:val="24"/>
          <w:highlight w:val="none"/>
          <w:lang w:val="en-US"/>
        </w:rPr>
        <w:t>位）及以上操作系统。客户端请至政采云公司网站（https://edu.zcygov.cn/luban/yunnan-dzjy-gys）进行查看下载，如有问题可拨打政采云客户服务热线</w:t>
      </w:r>
      <w:r>
        <w:rPr>
          <w:rFonts w:hint="eastAsia" w:asciiTheme="majorEastAsia" w:hAnsiTheme="majorEastAsia" w:eastAsiaTheme="majorEastAsia" w:cstheme="majorEastAsia"/>
          <w:color w:val="auto"/>
          <w:sz w:val="24"/>
          <w:szCs w:val="24"/>
          <w:highlight w:val="none"/>
          <w:lang w:val="en-US"/>
        </w:rPr>
        <w:t>400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881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7190</w:t>
      </w:r>
      <w:r>
        <w:rPr>
          <w:rFonts w:hint="eastAsia" w:ascii="宋体" w:hAnsi="宋体" w:eastAsia="宋体" w:cs="宋体"/>
          <w:color w:val="auto"/>
          <w:sz w:val="24"/>
          <w:szCs w:val="24"/>
          <w:highlight w:val="none"/>
          <w:lang w:val="en-US"/>
        </w:rPr>
        <w:t>进行咨询以及云南CA操作问题：请致电云南CA，</w:t>
      </w:r>
      <w:r>
        <w:rPr>
          <w:rFonts w:hint="eastAsia" w:asciiTheme="majorEastAsia" w:hAnsiTheme="majorEastAsia" w:eastAsiaTheme="majorEastAsia" w:cstheme="majorEastAsia"/>
          <w:color w:val="auto"/>
          <w:sz w:val="24"/>
          <w:szCs w:val="24"/>
          <w:highlight w:val="none"/>
          <w:lang w:val="en-US"/>
        </w:rPr>
        <w:t>4006727666</w:t>
      </w:r>
      <w:r>
        <w:rPr>
          <w:rFonts w:hint="eastAsia" w:ascii="宋体" w:hAnsi="宋体" w:eastAsia="宋体" w:cs="宋体"/>
          <w:color w:val="auto"/>
          <w:sz w:val="24"/>
          <w:szCs w:val="24"/>
          <w:highlight w:val="none"/>
          <w:lang w:val="en-US"/>
        </w:rPr>
        <w:t>； 云南CA紧急联系方式：</w:t>
      </w:r>
      <w:r>
        <w:rPr>
          <w:rFonts w:hint="eastAsia" w:asciiTheme="majorEastAsia" w:hAnsiTheme="majorEastAsia" w:eastAsiaTheme="majorEastAsia" w:cstheme="majorEastAsia"/>
          <w:color w:val="auto"/>
          <w:sz w:val="24"/>
          <w:szCs w:val="24"/>
          <w:highlight w:val="none"/>
          <w:lang w:val="en-US"/>
        </w:rPr>
        <w:t>15288315056</w:t>
      </w:r>
      <w:r>
        <w:rPr>
          <w:rFonts w:hint="eastAsia" w:ascii="宋体" w:hAnsi="宋体" w:eastAsia="宋体" w:cs="宋体"/>
          <w:color w:val="auto"/>
          <w:sz w:val="24"/>
          <w:szCs w:val="24"/>
          <w:highlight w:val="none"/>
          <w:lang w:val="en-US"/>
        </w:rPr>
        <w:t>。如因投标人自身原因导致在规定时间内无法正常解密的（如：浏览器故障、未安装相关驱动、网络故障、加密CA与解密CA不一致等），代理机构不予异常处理，视为投标人自动弃标。</w:t>
      </w:r>
    </w:p>
    <w:p w14:paraId="4CF35B4F">
      <w:pPr>
        <w:spacing w:line="360" w:lineRule="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七</w:t>
      </w:r>
      <w:r>
        <w:rPr>
          <w:rFonts w:hint="eastAsia" w:ascii="宋体" w:hAnsi="宋体" w:eastAsia="宋体" w:cs="宋体"/>
          <w:b/>
          <w:bCs/>
          <w:color w:val="auto"/>
          <w:sz w:val="24"/>
          <w:szCs w:val="24"/>
          <w:highlight w:val="none"/>
          <w:lang w:val="en-US" w:eastAsia="zh-CN"/>
        </w:rPr>
        <w:t>、</w:t>
      </w:r>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eastAsia="宋体" w:cs="宋体"/>
          <w:b/>
          <w:bCs/>
          <w:color w:val="auto"/>
          <w:sz w:val="24"/>
          <w:szCs w:val="24"/>
          <w:highlight w:val="none"/>
          <w:lang w:val="en-US"/>
        </w:rPr>
        <w:t>凡对本次采购提出询问，请按以下方式联系</w:t>
      </w:r>
    </w:p>
    <w:p w14:paraId="734DE3C9">
      <w:pPr>
        <w:spacing w:after="100" w:line="360" w:lineRule="auto"/>
        <w:ind w:firstLine="480" w:firstLineChars="200"/>
        <w:jc w:val="both"/>
        <w:rPr>
          <w:rFonts w:ascii="宋体" w:hAnsi="宋体" w:eastAsia="宋体" w:cs="宋体"/>
          <w:color w:val="auto"/>
          <w:sz w:val="24"/>
          <w:szCs w:val="24"/>
          <w:highlight w:val="none"/>
          <w:lang w:val="en-US"/>
        </w:rPr>
      </w:pPr>
      <w:bookmarkStart w:id="69" w:name="_Toc35393637"/>
      <w:bookmarkStart w:id="70" w:name="_Toc35393806"/>
      <w:bookmarkStart w:id="71" w:name="_Toc28359019"/>
      <w:bookmarkStart w:id="72" w:name="_Toc28359096"/>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.采购人信息</w:t>
      </w:r>
      <w:bookmarkEnd w:id="69"/>
      <w:bookmarkEnd w:id="70"/>
      <w:bookmarkEnd w:id="71"/>
      <w:bookmarkEnd w:id="72"/>
    </w:p>
    <w:p w14:paraId="33EEBC61">
      <w:pPr>
        <w:spacing w:after="10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名称：</w:t>
      </w:r>
      <w:r>
        <w:rPr>
          <w:rFonts w:hint="eastAsia" w:ascii="宋体" w:hAnsi="宋体" w:eastAsia="宋体" w:cs="宋体"/>
          <w:color w:val="auto"/>
          <w:sz w:val="24"/>
          <w:szCs w:val="24"/>
          <w:highlight w:val="none"/>
          <w:lang w:val="en-US" w:eastAsia="zh-CN"/>
        </w:rPr>
        <w:t>普洱市医疗保障局</w:t>
      </w:r>
    </w:p>
    <w:p w14:paraId="482C00D9">
      <w:pPr>
        <w:spacing w:after="10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地址：</w:t>
      </w:r>
      <w:r>
        <w:rPr>
          <w:rFonts w:hint="eastAsia" w:ascii="宋体" w:hAnsi="宋体" w:eastAsia="宋体" w:cs="宋体"/>
          <w:color w:val="auto"/>
          <w:sz w:val="24"/>
          <w:szCs w:val="24"/>
          <w:highlight w:val="none"/>
          <w:lang w:val="en-US" w:eastAsia="zh-CN"/>
        </w:rPr>
        <w:t>普洱市思茅区月光路1号</w:t>
      </w:r>
    </w:p>
    <w:p w14:paraId="56AF6D9F">
      <w:pPr>
        <w:spacing w:after="10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联系方式：</w:t>
      </w:r>
      <w:r>
        <w:rPr>
          <w:rFonts w:hint="eastAsia" w:asciiTheme="majorEastAsia" w:hAnsiTheme="majorEastAsia" w:eastAsiaTheme="majorEastAsia" w:cstheme="majorEastAsia"/>
          <w:color w:val="auto"/>
          <w:sz w:val="24"/>
          <w:szCs w:val="24"/>
          <w:highlight w:val="none"/>
          <w:lang w:val="en-US" w:eastAsia="zh-CN"/>
        </w:rPr>
        <w:t>0879-2178626</w:t>
      </w:r>
    </w:p>
    <w:p w14:paraId="79517C14">
      <w:pPr>
        <w:spacing w:after="100" w:line="360" w:lineRule="auto"/>
        <w:ind w:firstLine="480" w:firstLineChars="200"/>
        <w:jc w:val="both"/>
        <w:rPr>
          <w:rFonts w:ascii="宋体" w:hAnsi="宋体" w:eastAsia="宋体" w:cs="宋体"/>
          <w:color w:val="auto"/>
          <w:sz w:val="24"/>
          <w:szCs w:val="24"/>
          <w:highlight w:val="none"/>
          <w:lang w:val="en-US"/>
        </w:rPr>
      </w:pPr>
      <w:bookmarkStart w:id="73" w:name="_Toc28359097"/>
      <w:bookmarkStart w:id="74" w:name="_Toc28359020"/>
      <w:bookmarkStart w:id="75" w:name="_Toc35393638"/>
      <w:bookmarkStart w:id="76" w:name="_Toc35393807"/>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.采购代理机构信息</w:t>
      </w:r>
      <w:bookmarkEnd w:id="73"/>
      <w:bookmarkEnd w:id="74"/>
      <w:bookmarkEnd w:id="75"/>
      <w:bookmarkEnd w:id="76"/>
      <w:r>
        <w:rPr>
          <w:rFonts w:hint="eastAsia" w:ascii="宋体" w:hAnsi="宋体" w:eastAsia="宋体" w:cs="宋体"/>
          <w:color w:val="auto"/>
          <w:sz w:val="24"/>
          <w:szCs w:val="24"/>
          <w:highlight w:val="none"/>
          <w:lang w:val="en-US"/>
        </w:rPr>
        <w:t xml:space="preserve"> </w:t>
      </w:r>
    </w:p>
    <w:p w14:paraId="70D08D6B">
      <w:pPr>
        <w:spacing w:after="100" w:line="360" w:lineRule="auto"/>
        <w:ind w:firstLine="480" w:firstLineChars="200"/>
        <w:jc w:val="both"/>
        <w:rPr>
          <w:rFonts w:ascii="宋体" w:hAnsi="宋体" w:eastAsia="宋体" w:cs="宋体"/>
          <w:color w:val="auto"/>
          <w:sz w:val="24"/>
          <w:szCs w:val="24"/>
          <w:highlight w:val="none"/>
          <w:lang w:val="en-US"/>
        </w:rPr>
      </w:pPr>
      <w:bookmarkStart w:id="77" w:name="_Toc28359098"/>
      <w:bookmarkStart w:id="78" w:name="_Toc35393808"/>
      <w:bookmarkStart w:id="79" w:name="_Toc35393639"/>
      <w:bookmarkStart w:id="80" w:name="_Toc28359021"/>
      <w:r>
        <w:rPr>
          <w:rFonts w:hint="eastAsia" w:ascii="宋体" w:hAnsi="宋体" w:eastAsia="宋体" w:cs="宋体"/>
          <w:color w:val="auto"/>
          <w:sz w:val="24"/>
          <w:szCs w:val="24"/>
          <w:highlight w:val="none"/>
          <w:lang w:val="en-US"/>
        </w:rPr>
        <w:t>名称：云南普招项目咨询有限公司</w:t>
      </w:r>
    </w:p>
    <w:p w14:paraId="7EC32EAB">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地址：云南省普洱市思茅区思茅街道茶马古镇A区1号路C组A2户型9幢1号</w:t>
      </w:r>
    </w:p>
    <w:p w14:paraId="1D5F7DA9">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联系方式：</w:t>
      </w:r>
      <w:r>
        <w:rPr>
          <w:rFonts w:hint="eastAsia" w:asciiTheme="majorEastAsia" w:hAnsiTheme="majorEastAsia" w:eastAsiaTheme="majorEastAsia" w:cstheme="majorEastAsia"/>
          <w:color w:val="auto"/>
          <w:sz w:val="24"/>
          <w:szCs w:val="24"/>
          <w:highlight w:val="none"/>
          <w:lang w:val="en-US"/>
        </w:rPr>
        <w:t>0879</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2302022</w:t>
      </w:r>
    </w:p>
    <w:p w14:paraId="793BF5F4">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.项目联系方式</w:t>
      </w:r>
      <w:bookmarkEnd w:id="77"/>
      <w:bookmarkEnd w:id="78"/>
      <w:bookmarkEnd w:id="79"/>
      <w:bookmarkEnd w:id="80"/>
    </w:p>
    <w:p w14:paraId="04A1269F">
      <w:pPr>
        <w:spacing w:after="100" w:line="360" w:lineRule="auto"/>
        <w:ind w:firstLine="480" w:firstLineChars="2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项目联系人：罗霄</w:t>
      </w:r>
    </w:p>
    <w:p w14:paraId="7BC51143">
      <w:pPr>
        <w:spacing w:after="100" w:line="360" w:lineRule="auto"/>
        <w:ind w:firstLine="480" w:firstLineChars="200"/>
        <w:jc w:val="both"/>
        <w:rPr>
          <w:rFonts w:ascii="宋体" w:hAnsi="宋体" w:eastAsia="宋体" w:cs="宋体"/>
          <w:color w:val="auto"/>
          <w:sz w:val="28"/>
          <w:szCs w:val="28"/>
          <w:highlight w:val="none"/>
        </w:rPr>
      </w:pPr>
      <w:r>
        <w:rPr>
          <w:rFonts w:hint="eastAsia" w:ascii="宋体" w:hAnsi="宋体" w:eastAsia="宋体" w:cs="宋体"/>
          <w:color w:val="auto"/>
          <w:sz w:val="24"/>
          <w:szCs w:val="24"/>
          <w:highlight w:val="none"/>
          <w:lang w:val="en-US"/>
        </w:rPr>
        <w:t>电话：</w:t>
      </w:r>
      <w:r>
        <w:rPr>
          <w:rFonts w:hint="eastAsia" w:asciiTheme="majorEastAsia" w:hAnsiTheme="majorEastAsia" w:eastAsiaTheme="majorEastAsia" w:cstheme="majorEastAsia"/>
          <w:color w:val="auto"/>
          <w:sz w:val="24"/>
          <w:szCs w:val="24"/>
          <w:highlight w:val="none"/>
          <w:lang w:val="en-US"/>
        </w:rPr>
        <w:t>0879</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2302022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18387711113</w:t>
      </w:r>
      <w:r>
        <w:rPr>
          <w:rFonts w:hint="eastAsia" w:ascii="宋体" w:hAnsi="宋体" w:eastAsia="宋体" w:cs="宋体"/>
          <w:color w:val="auto"/>
          <w:sz w:val="28"/>
          <w:szCs w:val="28"/>
          <w:highlight w:val="none"/>
        </w:rPr>
        <w:t>　</w:t>
      </w:r>
    </w:p>
    <w:p w14:paraId="7D5A3B69">
      <w:pPr>
        <w:pStyle w:val="11"/>
        <w:rPr>
          <w:rFonts w:ascii="宋体" w:hAnsi="宋体" w:eastAsia="宋体" w:cs="宋体"/>
          <w:color w:val="auto"/>
          <w:highlight w:val="none"/>
        </w:rPr>
      </w:pPr>
    </w:p>
    <w:p w14:paraId="1A2A82AD">
      <w:pPr>
        <w:pStyle w:val="3"/>
        <w:numPr>
          <w:ilvl w:val="0"/>
          <w:numId w:val="2"/>
        </w:numPr>
        <w:ind w:left="0"/>
        <w:rPr>
          <w:rFonts w:eastAsia="宋体" w:cs="宋体"/>
          <w:color w:val="auto"/>
          <w:highlight w:val="none"/>
        </w:rPr>
        <w:sectPr>
          <w:footerReference r:id="rId6" w:type="default"/>
          <w:pgSz w:w="11911" w:h="16838"/>
          <w:pgMar w:top="1134" w:right="1134" w:bottom="1134" w:left="1134" w:header="850" w:footer="850" w:gutter="0"/>
          <w:pgNumType w:fmt="numberInDash"/>
          <w:cols w:space="720" w:num="1"/>
          <w:docGrid w:linePitch="1" w:charSpace="0"/>
        </w:sectPr>
      </w:pPr>
      <w:bookmarkStart w:id="81" w:name="第二章_投标人须知"/>
      <w:bookmarkEnd w:id="81"/>
      <w:bookmarkStart w:id="82" w:name="_Toc4090"/>
      <w:bookmarkStart w:id="83" w:name="_Toc7294"/>
      <w:bookmarkStart w:id="84" w:name="_Toc11501"/>
      <w:bookmarkStart w:id="85" w:name="_Toc10148"/>
    </w:p>
    <w:p w14:paraId="17009CE7">
      <w:pPr>
        <w:pStyle w:val="3"/>
        <w:ind w:left="0"/>
        <w:rPr>
          <w:color w:val="auto"/>
          <w:highlight w:val="none"/>
        </w:rPr>
      </w:pPr>
      <w:r>
        <w:rPr>
          <w:rFonts w:hint="eastAsia" w:cs="宋体"/>
          <w:color w:val="auto"/>
          <w:highlight w:val="none"/>
          <w:lang w:bidi="ar"/>
        </w:rPr>
        <w:t>第二章</w:t>
      </w:r>
      <w:r>
        <w:rPr>
          <w:rFonts w:hint="eastAsia"/>
          <w:color w:val="auto"/>
          <w:highlight w:val="none"/>
        </w:rPr>
        <w:t xml:space="preserve"> </w:t>
      </w:r>
      <w:bookmarkStart w:id="86" w:name="_Toc28785"/>
      <w:r>
        <w:rPr>
          <w:rFonts w:hint="eastAsia"/>
          <w:color w:val="auto"/>
          <w:highlight w:val="none"/>
        </w:rPr>
        <w:t>投标人须知</w:t>
      </w:r>
      <w:bookmarkEnd w:id="82"/>
      <w:bookmarkEnd w:id="83"/>
      <w:bookmarkEnd w:id="84"/>
      <w:bookmarkEnd w:id="85"/>
      <w:bookmarkEnd w:id="86"/>
      <w:bookmarkStart w:id="550" w:name="_GoBack"/>
      <w:bookmarkEnd w:id="550"/>
    </w:p>
    <w:p w14:paraId="7385DBEA">
      <w:pPr>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投标人须知前附表</w:t>
      </w:r>
    </w:p>
    <w:tbl>
      <w:tblPr>
        <w:tblStyle w:val="28"/>
        <w:tblW w:w="101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1"/>
        <w:gridCol w:w="2250"/>
        <w:gridCol w:w="6925"/>
      </w:tblGrid>
      <w:tr w14:paraId="5D0D2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981" w:type="dxa"/>
            <w:tcBorders>
              <w:top w:val="single" w:color="auto" w:sz="4" w:space="0"/>
              <w:left w:val="single" w:color="auto" w:sz="4" w:space="0"/>
              <w:bottom w:val="single" w:color="auto" w:sz="4" w:space="0"/>
              <w:right w:val="single" w:color="auto" w:sz="4" w:space="0"/>
            </w:tcBorders>
            <w:vAlign w:val="center"/>
          </w:tcPr>
          <w:p w14:paraId="048E90B0">
            <w:pPr>
              <w:spacing w:line="4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250" w:type="dxa"/>
            <w:tcBorders>
              <w:top w:val="single" w:color="auto" w:sz="4" w:space="0"/>
              <w:left w:val="single" w:color="auto" w:sz="4" w:space="0"/>
              <w:bottom w:val="single" w:color="auto" w:sz="4" w:space="0"/>
              <w:right w:val="single" w:color="auto" w:sz="4" w:space="0"/>
            </w:tcBorders>
            <w:vAlign w:val="center"/>
          </w:tcPr>
          <w:p w14:paraId="63F80003">
            <w:pPr>
              <w:spacing w:line="4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c>
          <w:tcPr>
            <w:tcW w:w="6925" w:type="dxa"/>
            <w:tcBorders>
              <w:top w:val="single" w:color="auto" w:sz="4" w:space="0"/>
              <w:left w:val="single" w:color="auto" w:sz="4" w:space="0"/>
              <w:bottom w:val="single" w:color="auto" w:sz="4" w:space="0"/>
              <w:right w:val="single" w:color="auto" w:sz="4" w:space="0"/>
            </w:tcBorders>
            <w:vAlign w:val="center"/>
          </w:tcPr>
          <w:p w14:paraId="0C6A97E3">
            <w:pPr>
              <w:spacing w:line="4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14:paraId="4D435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vMerge w:val="restart"/>
            <w:tcBorders>
              <w:top w:val="single" w:color="auto" w:sz="4" w:space="0"/>
              <w:left w:val="single" w:color="auto" w:sz="4" w:space="0"/>
              <w:right w:val="single" w:color="auto" w:sz="4" w:space="0"/>
            </w:tcBorders>
            <w:vAlign w:val="center"/>
          </w:tcPr>
          <w:p w14:paraId="38F89976">
            <w:pPr>
              <w:spacing w:line="420" w:lineRule="exact"/>
              <w:jc w:val="center"/>
              <w:rPr>
                <w:rFonts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1</w:t>
            </w:r>
          </w:p>
        </w:tc>
        <w:tc>
          <w:tcPr>
            <w:tcW w:w="2250" w:type="dxa"/>
            <w:tcBorders>
              <w:top w:val="single" w:color="auto" w:sz="4" w:space="0"/>
              <w:left w:val="single" w:color="auto" w:sz="4" w:space="0"/>
              <w:bottom w:val="single" w:color="auto" w:sz="4" w:space="0"/>
              <w:right w:val="single" w:color="auto" w:sz="4" w:space="0"/>
            </w:tcBorders>
            <w:vAlign w:val="center"/>
          </w:tcPr>
          <w:p w14:paraId="61329764">
            <w:pPr>
              <w:spacing w:after="1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925" w:type="dxa"/>
            <w:tcBorders>
              <w:top w:val="single" w:color="auto" w:sz="4" w:space="0"/>
              <w:left w:val="single" w:color="auto" w:sz="4" w:space="0"/>
              <w:bottom w:val="single" w:color="auto" w:sz="4" w:space="0"/>
              <w:right w:val="single" w:color="auto" w:sz="4" w:space="0"/>
            </w:tcBorders>
            <w:vAlign w:val="center"/>
          </w:tcPr>
          <w:p w14:paraId="51152F36">
            <w:pPr>
              <w:spacing w:after="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普洱市医疗保障局</w:t>
            </w:r>
          </w:p>
        </w:tc>
      </w:tr>
      <w:tr w14:paraId="5D587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vMerge w:val="continue"/>
            <w:tcBorders>
              <w:left w:val="single" w:color="auto" w:sz="4" w:space="0"/>
              <w:right w:val="single" w:color="auto" w:sz="4" w:space="0"/>
            </w:tcBorders>
            <w:vAlign w:val="center"/>
          </w:tcPr>
          <w:p w14:paraId="5CFF5A2B">
            <w:pPr>
              <w:spacing w:line="420" w:lineRule="exact"/>
              <w:jc w:val="center"/>
              <w:rPr>
                <w:rFonts w:ascii="宋体" w:hAnsi="宋体" w:eastAsia="宋体" w:cs="宋体"/>
                <w:color w:val="auto"/>
                <w:sz w:val="24"/>
                <w:szCs w:val="24"/>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14:paraId="0950E12E">
            <w:pPr>
              <w:spacing w:after="1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925" w:type="dxa"/>
            <w:tcBorders>
              <w:top w:val="single" w:color="auto" w:sz="4" w:space="0"/>
              <w:left w:val="single" w:color="auto" w:sz="4" w:space="0"/>
              <w:bottom w:val="single" w:color="auto" w:sz="4" w:space="0"/>
              <w:right w:val="single" w:color="auto" w:sz="4" w:space="0"/>
            </w:tcBorders>
            <w:vAlign w:val="center"/>
          </w:tcPr>
          <w:p w14:paraId="0558DA6E">
            <w:pPr>
              <w:spacing w:after="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云南普招项目咨询有限公司</w:t>
            </w:r>
          </w:p>
        </w:tc>
      </w:tr>
      <w:tr w14:paraId="3203E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vMerge w:val="continue"/>
            <w:tcBorders>
              <w:left w:val="single" w:color="auto" w:sz="4" w:space="0"/>
              <w:bottom w:val="single" w:color="auto" w:sz="4" w:space="0"/>
              <w:right w:val="single" w:color="auto" w:sz="4" w:space="0"/>
            </w:tcBorders>
            <w:vAlign w:val="center"/>
          </w:tcPr>
          <w:p w14:paraId="2B68ACE5">
            <w:pPr>
              <w:spacing w:line="420" w:lineRule="exact"/>
              <w:jc w:val="center"/>
              <w:rPr>
                <w:rFonts w:ascii="宋体" w:hAnsi="宋体" w:eastAsia="宋体" w:cs="宋体"/>
                <w:color w:val="auto"/>
                <w:sz w:val="24"/>
                <w:szCs w:val="24"/>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14:paraId="351F7D26">
            <w:pPr>
              <w:spacing w:after="1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925" w:type="dxa"/>
            <w:tcBorders>
              <w:top w:val="single" w:color="auto" w:sz="4" w:space="0"/>
              <w:left w:val="single" w:color="auto" w:sz="4" w:space="0"/>
              <w:bottom w:val="single" w:color="auto" w:sz="4" w:space="0"/>
              <w:right w:val="single" w:color="auto" w:sz="4" w:space="0"/>
            </w:tcBorders>
            <w:vAlign w:val="center"/>
          </w:tcPr>
          <w:p w14:paraId="6B523583">
            <w:pPr>
              <w:spacing w:after="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项目名称：</w:t>
            </w:r>
            <w:r>
              <w:rPr>
                <w:rFonts w:hint="eastAsia" w:ascii="宋体" w:hAnsi="宋体" w:eastAsia="宋体" w:cs="宋体"/>
                <w:color w:val="auto"/>
                <w:sz w:val="24"/>
                <w:szCs w:val="24"/>
                <w:highlight w:val="none"/>
                <w:lang w:val="en-US" w:eastAsia="zh-CN"/>
              </w:rPr>
              <w:t>普洱市医保数据专区建设项目</w:t>
            </w:r>
          </w:p>
          <w:p w14:paraId="32F14CF8">
            <w:pPr>
              <w:pStyle w:val="1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rPr>
              <w:t>项目编号：</w:t>
            </w:r>
            <w:r>
              <w:rPr>
                <w:rFonts w:hint="eastAsia" w:ascii="宋体" w:hAnsi="宋体" w:eastAsia="宋体" w:cs="宋体"/>
                <w:color w:val="auto"/>
                <w:highlight w:val="none"/>
                <w:lang w:val="en-US" w:eastAsia="zh-CN"/>
              </w:rPr>
              <w:t>PEZC2026-G3-00431-YNPZ-0011</w:t>
            </w:r>
          </w:p>
        </w:tc>
      </w:tr>
      <w:tr w14:paraId="634CF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2B3AC319">
            <w:pPr>
              <w:spacing w:line="420" w:lineRule="exact"/>
              <w:jc w:val="center"/>
              <w:rPr>
                <w:rFonts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lang w:val="en-US"/>
              </w:rPr>
              <w:t>2</w:t>
            </w:r>
          </w:p>
        </w:tc>
        <w:tc>
          <w:tcPr>
            <w:tcW w:w="2250" w:type="dxa"/>
            <w:tcBorders>
              <w:top w:val="single" w:color="auto" w:sz="4" w:space="0"/>
              <w:left w:val="single" w:color="auto" w:sz="4" w:space="0"/>
              <w:bottom w:val="single" w:color="auto" w:sz="4" w:space="0"/>
              <w:right w:val="single" w:color="auto" w:sz="4" w:space="0"/>
            </w:tcBorders>
            <w:vAlign w:val="center"/>
          </w:tcPr>
          <w:p w14:paraId="3C12EDB6">
            <w:pPr>
              <w:spacing w:after="10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资金落实情况</w:t>
            </w:r>
          </w:p>
        </w:tc>
        <w:tc>
          <w:tcPr>
            <w:tcW w:w="6925" w:type="dxa"/>
            <w:tcBorders>
              <w:top w:val="single" w:color="auto" w:sz="4" w:space="0"/>
              <w:left w:val="single" w:color="auto" w:sz="4" w:space="0"/>
              <w:bottom w:val="single" w:color="auto" w:sz="4" w:space="0"/>
              <w:right w:val="single" w:color="auto" w:sz="4" w:space="0"/>
            </w:tcBorders>
            <w:vAlign w:val="center"/>
          </w:tcPr>
          <w:p w14:paraId="0DAE3592">
            <w:pPr>
              <w:spacing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已落实</w:t>
            </w:r>
          </w:p>
        </w:tc>
      </w:tr>
      <w:tr w14:paraId="3C61A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1CFF7028">
            <w:pPr>
              <w:spacing w:line="420" w:lineRule="exact"/>
              <w:jc w:val="center"/>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p>
        </w:tc>
        <w:tc>
          <w:tcPr>
            <w:tcW w:w="2250" w:type="dxa"/>
            <w:tcBorders>
              <w:top w:val="single" w:color="auto" w:sz="4" w:space="0"/>
              <w:left w:val="single" w:color="auto" w:sz="4" w:space="0"/>
              <w:bottom w:val="single" w:color="auto" w:sz="4" w:space="0"/>
              <w:right w:val="single" w:color="auto" w:sz="4" w:space="0"/>
            </w:tcBorders>
            <w:vAlign w:val="center"/>
          </w:tcPr>
          <w:p w14:paraId="7F0CDB16">
            <w:pPr>
              <w:spacing w:after="10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采购需求</w:t>
            </w:r>
          </w:p>
        </w:tc>
        <w:tc>
          <w:tcPr>
            <w:tcW w:w="6925" w:type="dxa"/>
            <w:tcBorders>
              <w:top w:val="single" w:color="auto" w:sz="4" w:space="0"/>
              <w:left w:val="single" w:color="auto" w:sz="4" w:space="0"/>
              <w:bottom w:val="single" w:color="auto" w:sz="4" w:space="0"/>
              <w:right w:val="single" w:color="auto" w:sz="4" w:space="0"/>
            </w:tcBorders>
            <w:vAlign w:val="center"/>
          </w:tcPr>
          <w:p w14:paraId="00E8BA2E">
            <w:pPr>
              <w:spacing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bidi="ar"/>
              </w:rPr>
              <w:t>详见招标</w:t>
            </w:r>
            <w:r>
              <w:rPr>
                <w:rFonts w:hint="eastAsia" w:ascii="宋体" w:hAnsi="宋体" w:eastAsia="宋体" w:cs="宋体"/>
                <w:color w:val="auto"/>
                <w:sz w:val="24"/>
                <w:szCs w:val="24"/>
                <w:highlight w:val="none"/>
                <w:lang w:val="en-US"/>
              </w:rPr>
              <w:t>文件第五章</w:t>
            </w:r>
            <w:r>
              <w:rPr>
                <w:rFonts w:hint="eastAsia" w:ascii="宋体" w:hAnsi="宋体" w:eastAsia="宋体" w:cs="宋体"/>
                <w:color w:val="auto"/>
                <w:sz w:val="24"/>
                <w:szCs w:val="24"/>
                <w:highlight w:val="none"/>
                <w:lang w:val="en-US" w:bidi="ar"/>
              </w:rPr>
              <w:t>《采购需求》</w:t>
            </w:r>
          </w:p>
        </w:tc>
      </w:tr>
      <w:tr w14:paraId="0AAE8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497BCE55">
            <w:pPr>
              <w:spacing w:line="420" w:lineRule="exact"/>
              <w:jc w:val="center"/>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p>
        </w:tc>
        <w:tc>
          <w:tcPr>
            <w:tcW w:w="2250" w:type="dxa"/>
            <w:tcBorders>
              <w:top w:val="single" w:color="auto" w:sz="4" w:space="0"/>
              <w:left w:val="single" w:color="auto" w:sz="4" w:space="0"/>
              <w:bottom w:val="single" w:color="auto" w:sz="4" w:space="0"/>
              <w:right w:val="single" w:color="auto" w:sz="4" w:space="0"/>
            </w:tcBorders>
            <w:vAlign w:val="center"/>
          </w:tcPr>
          <w:p w14:paraId="7D931128">
            <w:pPr>
              <w:spacing w:after="10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合同履行期限（服务期限）、质量要求、服务地点</w:t>
            </w:r>
          </w:p>
        </w:tc>
        <w:tc>
          <w:tcPr>
            <w:tcW w:w="6925" w:type="dxa"/>
            <w:tcBorders>
              <w:top w:val="single" w:color="auto" w:sz="4" w:space="0"/>
              <w:left w:val="single" w:color="auto" w:sz="4" w:space="0"/>
              <w:bottom w:val="single" w:color="auto" w:sz="4" w:space="0"/>
              <w:right w:val="single" w:color="auto" w:sz="4" w:space="0"/>
            </w:tcBorders>
            <w:vAlign w:val="center"/>
          </w:tcPr>
          <w:p w14:paraId="246E5BC7">
            <w:pPr>
              <w:spacing w:after="1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见招标文件第一章“招标公告”。</w:t>
            </w:r>
          </w:p>
        </w:tc>
      </w:tr>
      <w:tr w14:paraId="0B653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0348C633">
            <w:pPr>
              <w:spacing w:line="420" w:lineRule="exact"/>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p>
        </w:tc>
        <w:tc>
          <w:tcPr>
            <w:tcW w:w="2250" w:type="dxa"/>
            <w:tcBorders>
              <w:top w:val="single" w:color="auto" w:sz="4" w:space="0"/>
              <w:left w:val="single" w:color="auto" w:sz="4" w:space="0"/>
              <w:bottom w:val="single" w:color="auto" w:sz="4" w:space="0"/>
              <w:right w:val="single" w:color="auto" w:sz="4" w:space="0"/>
            </w:tcBorders>
            <w:vAlign w:val="center"/>
          </w:tcPr>
          <w:p w14:paraId="1E022715">
            <w:pPr>
              <w:spacing w:after="10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投标人资格要求</w:t>
            </w:r>
          </w:p>
        </w:tc>
        <w:tc>
          <w:tcPr>
            <w:tcW w:w="6925" w:type="dxa"/>
            <w:tcBorders>
              <w:top w:val="single" w:color="auto" w:sz="4" w:space="0"/>
              <w:left w:val="single" w:color="auto" w:sz="4" w:space="0"/>
              <w:bottom w:val="single" w:color="auto" w:sz="4" w:space="0"/>
              <w:right w:val="single" w:color="auto" w:sz="4" w:space="0"/>
            </w:tcBorders>
            <w:vAlign w:val="center"/>
          </w:tcPr>
          <w:p w14:paraId="6CB9BF1C">
            <w:pPr>
              <w:numPr>
                <w:ilvl w:val="0"/>
                <w:numId w:val="3"/>
              </w:numPr>
              <w:spacing w:after="100"/>
              <w:jc w:val="both"/>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满足《中华人民共和国政府采购法》第二十二条规定</w:t>
            </w:r>
          </w:p>
          <w:p w14:paraId="3771620B">
            <w:pPr>
              <w:spacing w:after="1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具有独立承担民事责任的能力：</w:t>
            </w:r>
            <w:r>
              <w:rPr>
                <w:rFonts w:hint="eastAsia" w:ascii="宋体" w:hAnsi="宋体" w:eastAsia="宋体" w:cs="宋体"/>
                <w:color w:val="auto"/>
                <w:sz w:val="24"/>
                <w:szCs w:val="24"/>
                <w:highlight w:val="none"/>
                <w:lang w:val="en-US" w:eastAsia="zh-CN"/>
              </w:rPr>
              <w:t>投标人为企业（包括合伙企业）的，应提供有效的“营业执照 ”；投标人为事业单位的，应提供有效的“事业单位法人证书 ”；投标人是非企业机构的，应提供有效的“执业许可证”、“登记证书”等证明文件；投标人是个体工商户的，应提供有效的“个体工商户营业执照 ”；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扫描件加盖电子公章）。</w:t>
            </w:r>
          </w:p>
          <w:p w14:paraId="6FCC88EF">
            <w:pPr>
              <w:spacing w:after="1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具有良好的商业信誉和健全的财务会计制度：</w:t>
            </w:r>
          </w:p>
          <w:p w14:paraId="73BAE004">
            <w:pPr>
              <w:spacing w:after="100"/>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（1）投标截止时间前三个月内基本户开户银行出具的资信证明（扫描件）；</w:t>
            </w:r>
          </w:p>
          <w:p w14:paraId="1226DA9E">
            <w:pPr>
              <w:spacing w:after="100"/>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（2）2022年度</w:t>
            </w:r>
            <w:r>
              <w:rPr>
                <w:rFonts w:hint="eastAsia" w:ascii="宋体" w:hAnsi="宋体" w:eastAsia="宋体" w:cs="宋体"/>
                <w:color w:val="auto"/>
                <w:sz w:val="24"/>
                <w:szCs w:val="24"/>
                <w:highlight w:val="none"/>
                <w:lang w:val="en-US" w:eastAsia="zh-CN"/>
              </w:rPr>
              <w:t>至今</w:t>
            </w:r>
            <w:r>
              <w:rPr>
                <w:rFonts w:hint="eastAsia" w:ascii="宋体" w:hAnsi="宋体" w:eastAsia="宋体" w:cs="宋体"/>
                <w:color w:val="auto"/>
                <w:sz w:val="24"/>
                <w:szCs w:val="24"/>
                <w:highlight w:val="none"/>
                <w:lang w:val="en-US"/>
              </w:rPr>
              <w:t>度任意一年经第三方审计的审计报告及财务报表，财务报表须包括资产负债表、利润表、现金流量表、所有者权益变动表及财务报表附注（扫描件）。若投标人成立时间不足1年的，可根据自身实际情况提供成立至今的财务报表（扫描件）；</w:t>
            </w:r>
          </w:p>
          <w:p w14:paraId="3B647789">
            <w:pPr>
              <w:spacing w:after="100"/>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（3）经财政部门认可政府采购专业担保机构出具的投标担保函，同时还须提供专业担保机构经财政部门认可的证明文件（扫描件）；</w:t>
            </w:r>
          </w:p>
          <w:p w14:paraId="7B858726">
            <w:pPr>
              <w:spacing w:after="1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注：投标人根据自身情况提供以上任意一种证明材料即可（扫描件加盖电子公章）。</w:t>
            </w:r>
          </w:p>
          <w:p w14:paraId="3C03BC31">
            <w:pPr>
              <w:spacing w:after="1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具有履行合同所必需的设备和专业技术能力：投标人提供具有履行合同所必需的设备和专业技术能力证明材料（扫描件加盖电子公章）或承诺书（格式自拟，原件加盖电子公章）。</w:t>
            </w:r>
          </w:p>
          <w:p w14:paraId="679CF459">
            <w:pPr>
              <w:spacing w:after="1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具有依法缴纳税收和社会保障资金的良好记录：</w:t>
            </w:r>
          </w:p>
          <w:p w14:paraId="04A88FA8">
            <w:pPr>
              <w:spacing w:after="100"/>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（1）投标人提供202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年01月至本项目投标文件提交截止时间前任意3个月的税务局税收通用缴款书或银行电子缴税（费）凭证或税务局出具纳税情况的相关证明，依法免税的，应提供依法免税的相关证明文件；新成立的企业若无法提供需书面说明情况（扫描件加盖电子公章）；</w:t>
            </w:r>
          </w:p>
          <w:p w14:paraId="1EBF3515">
            <w:pPr>
              <w:spacing w:after="100"/>
              <w:ind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（2）投标人提供202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年01月至本项目投标文件提交截止时间前任意3个月的社会保险费缴款书或银行电子缴税（费）凭证或社保管理部门出具的有效的缴款证明，依法免缴的，应提供依法免缴的相关证明文件；新成立的企业若无法提供需书面说明情况（扫描件加盖电子公章））；</w:t>
            </w:r>
          </w:p>
          <w:p w14:paraId="0A9CACF9">
            <w:pPr>
              <w:spacing w:after="1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参加政府采购活动前三年内，在经营活动中没有重大违法记录：投标人提供参加政府采购活动前三年内，在经营活动中没有重大违法记录（重大违法记录，是指投标人因违法经营受到刑事处罚或者责令停产停业、吊销许可证或者执照、较大数额罚款等行政处罚）的书面声明（格式自拟，原件加盖电子公章）。</w:t>
            </w:r>
          </w:p>
          <w:p w14:paraId="0B50AA7E">
            <w:pPr>
              <w:spacing w:after="1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val="en-US"/>
              </w:rPr>
              <w:t>投标人未被列入政府采购严重违法失信行为记录名单（以在中国政府采购网（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rPr>
              <w:t>www.ccgp.gov.cn</w:t>
            </w:r>
            <w:r>
              <w:rPr>
                <w:rFonts w:hint="eastAsia" w:ascii="宋体" w:hAnsi="宋体" w:eastAsia="宋体" w:cs="宋体"/>
                <w:color w:val="auto"/>
                <w:sz w:val="24"/>
                <w:szCs w:val="24"/>
                <w:highlight w:val="none"/>
                <w:lang w:val="en-US"/>
              </w:rPr>
              <w:fldChar w:fldCharType="end"/>
            </w:r>
            <w:r>
              <w:rPr>
                <w:rFonts w:hint="eastAsia" w:ascii="宋体" w:hAnsi="宋体" w:eastAsia="宋体" w:cs="宋体"/>
                <w:color w:val="auto"/>
                <w:sz w:val="24"/>
                <w:szCs w:val="24"/>
                <w:highlight w:val="none"/>
                <w:lang w:val="en-US"/>
              </w:rPr>
              <w:t>）查询的信用记录为准、被禁止在一定期限内参加政府采购活动但期限届满的除外），提供承诺函（格式自拟，原件加盖电子公章）。</w:t>
            </w:r>
          </w:p>
        </w:tc>
      </w:tr>
      <w:tr w14:paraId="2701C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021AAA20">
            <w:pPr>
              <w:spacing w:after="10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rPr>
              <w:t>4</w:t>
            </w: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rPr>
              <w:t>3</w:t>
            </w:r>
          </w:p>
        </w:tc>
        <w:tc>
          <w:tcPr>
            <w:tcW w:w="2250" w:type="dxa"/>
            <w:tcBorders>
              <w:top w:val="single" w:color="auto" w:sz="4" w:space="0"/>
              <w:left w:val="single" w:color="auto" w:sz="4" w:space="0"/>
              <w:bottom w:val="single" w:color="auto" w:sz="4" w:space="0"/>
              <w:right w:val="single" w:color="auto" w:sz="4" w:space="0"/>
            </w:tcBorders>
            <w:vAlign w:val="center"/>
          </w:tcPr>
          <w:p w14:paraId="75CA34A5">
            <w:pPr>
              <w:spacing w:after="1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本项目的特定资格要求</w:t>
            </w:r>
          </w:p>
        </w:tc>
        <w:tc>
          <w:tcPr>
            <w:tcW w:w="6925" w:type="dxa"/>
            <w:tcBorders>
              <w:top w:val="single" w:color="auto" w:sz="4" w:space="0"/>
              <w:left w:val="single" w:color="auto" w:sz="4" w:space="0"/>
              <w:bottom w:val="single" w:color="auto" w:sz="4" w:space="0"/>
              <w:right w:val="single" w:color="auto" w:sz="4" w:space="0"/>
            </w:tcBorders>
            <w:vAlign w:val="center"/>
          </w:tcPr>
          <w:p w14:paraId="4AD943C3">
            <w:pPr>
              <w:spacing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见招标文件第一章“招标公告”二、投标人资格要求。</w:t>
            </w:r>
          </w:p>
        </w:tc>
      </w:tr>
      <w:tr w14:paraId="11EF7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33DA2159">
            <w:pPr>
              <w:spacing w:line="420" w:lineRule="exact"/>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5</w:t>
            </w:r>
          </w:p>
        </w:tc>
        <w:tc>
          <w:tcPr>
            <w:tcW w:w="2250" w:type="dxa"/>
            <w:tcBorders>
              <w:top w:val="single" w:color="auto" w:sz="4" w:space="0"/>
              <w:left w:val="single" w:color="auto" w:sz="4" w:space="0"/>
              <w:bottom w:val="single" w:color="auto" w:sz="4" w:space="0"/>
              <w:right w:val="single" w:color="auto" w:sz="4" w:space="0"/>
            </w:tcBorders>
            <w:vAlign w:val="center"/>
          </w:tcPr>
          <w:p w14:paraId="7210FFCE">
            <w:pPr>
              <w:spacing w:after="1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6925" w:type="dxa"/>
            <w:tcBorders>
              <w:top w:val="single" w:color="auto" w:sz="4" w:space="0"/>
              <w:left w:val="single" w:color="auto" w:sz="4" w:space="0"/>
              <w:bottom w:val="single" w:color="auto" w:sz="4" w:space="0"/>
              <w:right w:val="single" w:color="auto" w:sz="4" w:space="0"/>
            </w:tcBorders>
            <w:vAlign w:val="center"/>
          </w:tcPr>
          <w:p w14:paraId="7CB3AAFE">
            <w:pPr>
              <w:spacing w:after="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p w14:paraId="1CD40031">
            <w:pPr>
              <w:spacing w:after="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□接受</w:t>
            </w:r>
          </w:p>
        </w:tc>
      </w:tr>
      <w:tr w14:paraId="0CF7D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1D32B0F4">
            <w:pPr>
              <w:spacing w:line="420" w:lineRule="exact"/>
              <w:jc w:val="center"/>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9</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p>
        </w:tc>
        <w:tc>
          <w:tcPr>
            <w:tcW w:w="2250" w:type="dxa"/>
            <w:tcBorders>
              <w:top w:val="single" w:color="auto" w:sz="4" w:space="0"/>
              <w:left w:val="single" w:color="auto" w:sz="4" w:space="0"/>
              <w:bottom w:val="single" w:color="auto" w:sz="4" w:space="0"/>
              <w:right w:val="single" w:color="auto" w:sz="4" w:space="0"/>
            </w:tcBorders>
            <w:vAlign w:val="center"/>
          </w:tcPr>
          <w:p w14:paraId="7EC62846">
            <w:pPr>
              <w:spacing w:after="1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招标文件澄清截止时间</w:t>
            </w:r>
          </w:p>
        </w:tc>
        <w:tc>
          <w:tcPr>
            <w:tcW w:w="6925" w:type="dxa"/>
            <w:tcBorders>
              <w:top w:val="single" w:color="auto" w:sz="4" w:space="0"/>
              <w:left w:val="single" w:color="auto" w:sz="4" w:space="0"/>
              <w:bottom w:val="single" w:color="auto" w:sz="4" w:space="0"/>
              <w:right w:val="single" w:color="auto" w:sz="4" w:space="0"/>
            </w:tcBorders>
            <w:vAlign w:val="center"/>
          </w:tcPr>
          <w:p w14:paraId="19550ED8">
            <w:pPr>
              <w:spacing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提交投标文件截止时间十五日前</w:t>
            </w:r>
          </w:p>
        </w:tc>
      </w:tr>
      <w:tr w14:paraId="62783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36FB857B">
            <w:pPr>
              <w:spacing w:line="420" w:lineRule="exact"/>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15</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p>
        </w:tc>
        <w:tc>
          <w:tcPr>
            <w:tcW w:w="2250" w:type="dxa"/>
            <w:tcBorders>
              <w:top w:val="single" w:color="auto" w:sz="4" w:space="0"/>
              <w:left w:val="single" w:color="auto" w:sz="4" w:space="0"/>
              <w:bottom w:val="single" w:color="auto" w:sz="4" w:space="0"/>
              <w:right w:val="single" w:color="auto" w:sz="4" w:space="0"/>
            </w:tcBorders>
            <w:vAlign w:val="center"/>
          </w:tcPr>
          <w:p w14:paraId="3B8FF653">
            <w:pPr>
              <w:spacing w:line="4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本项目预算金额及最高限价</w:t>
            </w:r>
          </w:p>
        </w:tc>
        <w:tc>
          <w:tcPr>
            <w:tcW w:w="6925" w:type="dxa"/>
            <w:tcBorders>
              <w:top w:val="single" w:color="auto" w:sz="4" w:space="0"/>
              <w:left w:val="single" w:color="auto" w:sz="4" w:space="0"/>
              <w:bottom w:val="single" w:color="auto" w:sz="4" w:space="0"/>
              <w:right w:val="single" w:color="auto" w:sz="4" w:space="0"/>
            </w:tcBorders>
            <w:vAlign w:val="center"/>
          </w:tcPr>
          <w:p w14:paraId="396CE120">
            <w:pPr>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rPr>
              <w:t>见第一章“招标公告”。</w:t>
            </w:r>
          </w:p>
        </w:tc>
      </w:tr>
      <w:tr w14:paraId="43D9A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0E21CDD2">
            <w:pPr>
              <w:spacing w:line="420" w:lineRule="exact"/>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17</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p>
        </w:tc>
        <w:tc>
          <w:tcPr>
            <w:tcW w:w="2250" w:type="dxa"/>
            <w:tcBorders>
              <w:top w:val="single" w:color="auto" w:sz="4" w:space="0"/>
              <w:left w:val="single" w:color="auto" w:sz="4" w:space="0"/>
              <w:bottom w:val="single" w:color="auto" w:sz="4" w:space="0"/>
              <w:right w:val="single" w:color="auto" w:sz="4" w:space="0"/>
            </w:tcBorders>
            <w:vAlign w:val="center"/>
          </w:tcPr>
          <w:p w14:paraId="5A6EF73D">
            <w:pPr>
              <w:spacing w:after="1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925" w:type="dxa"/>
            <w:tcBorders>
              <w:top w:val="single" w:color="auto" w:sz="4" w:space="0"/>
              <w:left w:val="single" w:color="auto" w:sz="4" w:space="0"/>
              <w:bottom w:val="single" w:color="auto" w:sz="4" w:space="0"/>
              <w:right w:val="single" w:color="auto" w:sz="4" w:space="0"/>
            </w:tcBorders>
            <w:vAlign w:val="center"/>
          </w:tcPr>
          <w:p w14:paraId="451D5F30">
            <w:pPr>
              <w:spacing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投标有效期为</w:t>
            </w:r>
            <w:r>
              <w:rPr>
                <w:rFonts w:hint="eastAsia" w:ascii="宋体" w:hAnsi="宋体" w:eastAsia="宋体" w:cs="宋体"/>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日历天(从投标截止之日算起)。</w:t>
            </w:r>
          </w:p>
        </w:tc>
      </w:tr>
      <w:tr w14:paraId="79D5A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1401DD14">
            <w:pPr>
              <w:spacing w:line="420" w:lineRule="exact"/>
              <w:jc w:val="center"/>
              <w:rPr>
                <w:rFonts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18</w:t>
            </w: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rPr>
              <w:t>1</w:t>
            </w:r>
          </w:p>
        </w:tc>
        <w:tc>
          <w:tcPr>
            <w:tcW w:w="2250" w:type="dxa"/>
            <w:tcBorders>
              <w:top w:val="single" w:color="auto" w:sz="4" w:space="0"/>
              <w:left w:val="single" w:color="auto" w:sz="4" w:space="0"/>
              <w:bottom w:val="single" w:color="auto" w:sz="4" w:space="0"/>
              <w:right w:val="single" w:color="auto" w:sz="4" w:space="0"/>
            </w:tcBorders>
            <w:vAlign w:val="center"/>
          </w:tcPr>
          <w:p w14:paraId="50C2E483">
            <w:pPr>
              <w:spacing w:after="10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分包</w:t>
            </w:r>
          </w:p>
        </w:tc>
        <w:tc>
          <w:tcPr>
            <w:tcW w:w="6925" w:type="dxa"/>
            <w:tcBorders>
              <w:top w:val="single" w:color="auto" w:sz="4" w:space="0"/>
              <w:left w:val="single" w:color="auto" w:sz="4" w:space="0"/>
              <w:bottom w:val="single" w:color="auto" w:sz="4" w:space="0"/>
              <w:right w:val="single" w:color="auto" w:sz="4" w:space="0"/>
            </w:tcBorders>
            <w:vAlign w:val="center"/>
          </w:tcPr>
          <w:p w14:paraId="6F998582">
            <w:pPr>
              <w:spacing w:after="1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☑本项目不得分包。</w:t>
            </w:r>
          </w:p>
          <w:p w14:paraId="22173F57">
            <w:pPr>
              <w:spacing w:after="1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□本项目中，可以分包。</w:t>
            </w:r>
          </w:p>
        </w:tc>
      </w:tr>
      <w:tr w14:paraId="0D63D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3BABECB7">
            <w:pPr>
              <w:spacing w:line="420" w:lineRule="exact"/>
              <w:jc w:val="center"/>
              <w:rPr>
                <w:rFonts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20</w:t>
            </w:r>
          </w:p>
        </w:tc>
        <w:tc>
          <w:tcPr>
            <w:tcW w:w="2250" w:type="dxa"/>
            <w:tcBorders>
              <w:top w:val="single" w:color="auto" w:sz="4" w:space="0"/>
              <w:left w:val="single" w:color="auto" w:sz="4" w:space="0"/>
              <w:bottom w:val="single" w:color="auto" w:sz="4" w:space="0"/>
              <w:right w:val="single" w:color="auto" w:sz="4" w:space="0"/>
            </w:tcBorders>
            <w:vAlign w:val="center"/>
          </w:tcPr>
          <w:p w14:paraId="600A03CE">
            <w:pPr>
              <w:spacing w:line="420" w:lineRule="exact"/>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投标文件的编制</w:t>
            </w:r>
          </w:p>
        </w:tc>
        <w:tc>
          <w:tcPr>
            <w:tcW w:w="6925" w:type="dxa"/>
            <w:tcBorders>
              <w:top w:val="single" w:color="auto" w:sz="4" w:space="0"/>
              <w:left w:val="single" w:color="auto" w:sz="4" w:space="0"/>
              <w:bottom w:val="single" w:color="auto" w:sz="4" w:space="0"/>
              <w:right w:val="single" w:color="auto" w:sz="4" w:space="0"/>
            </w:tcBorders>
            <w:vAlign w:val="center"/>
          </w:tcPr>
          <w:p w14:paraId="37F77C0A">
            <w:pPr>
              <w:pStyle w:val="16"/>
              <w:rPr>
                <w:rFonts w:hAnsi="宋体" w:cs="宋体"/>
                <w:color w:val="auto"/>
                <w:sz w:val="24"/>
                <w:szCs w:val="24"/>
                <w:highlight w:val="none"/>
                <w:lang w:val="en-US"/>
              </w:rPr>
            </w:pPr>
            <w:r>
              <w:rPr>
                <w:rFonts w:hint="eastAsia" w:hAnsi="宋体" w:cs="宋体"/>
                <w:color w:val="auto"/>
                <w:sz w:val="24"/>
                <w:szCs w:val="24"/>
                <w:highlight w:val="none"/>
                <w:lang w:val="en-US"/>
              </w:rPr>
              <w:t>投标文件全部采用电子文档，投标人应安装客户端软件—“政采云电子交易客户端”，并按照招标文件和政采云电子交易平台的要求编制，编制后应进行电子签名及加密。</w:t>
            </w:r>
          </w:p>
        </w:tc>
      </w:tr>
      <w:tr w14:paraId="152F9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5226BDBC">
            <w:pPr>
              <w:spacing w:line="420" w:lineRule="exact"/>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p>
        </w:tc>
        <w:tc>
          <w:tcPr>
            <w:tcW w:w="2250" w:type="dxa"/>
            <w:tcBorders>
              <w:top w:val="single" w:color="auto" w:sz="4" w:space="0"/>
              <w:left w:val="single" w:color="auto" w:sz="4" w:space="0"/>
              <w:bottom w:val="single" w:color="auto" w:sz="4" w:space="0"/>
              <w:right w:val="single" w:color="auto" w:sz="4" w:space="0"/>
            </w:tcBorders>
            <w:vAlign w:val="center"/>
          </w:tcPr>
          <w:p w14:paraId="5EA23706">
            <w:pPr>
              <w:spacing w:line="420" w:lineRule="exact"/>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投标保证金</w:t>
            </w:r>
          </w:p>
        </w:tc>
        <w:tc>
          <w:tcPr>
            <w:tcW w:w="6925" w:type="dxa"/>
            <w:tcBorders>
              <w:top w:val="single" w:color="auto" w:sz="4" w:space="0"/>
              <w:left w:val="single" w:color="auto" w:sz="4" w:space="0"/>
              <w:bottom w:val="single" w:color="auto" w:sz="4" w:space="0"/>
              <w:right w:val="single" w:color="auto" w:sz="4" w:space="0"/>
            </w:tcBorders>
            <w:vAlign w:val="center"/>
          </w:tcPr>
          <w:p w14:paraId="7BDAE133">
            <w:pPr>
              <w:spacing w:after="1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缴纳方式：支票、汇票、本票、保函、电汇、网银转账、保证保险、银行保函或者金融机构、担保机构出具的保函等非现金形式交纳；</w:t>
            </w:r>
          </w:p>
          <w:p w14:paraId="4CDF264C">
            <w:pPr>
              <w:spacing w:after="1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保证金金额：¥</w:t>
            </w:r>
            <w:r>
              <w:rPr>
                <w:rFonts w:hint="eastAsia" w:asciiTheme="majorEastAsia" w:hAnsiTheme="majorEastAsia" w:eastAsiaTheme="majorEastAsia" w:cstheme="majorEastAsia"/>
                <w:color w:val="auto"/>
                <w:sz w:val="24"/>
                <w:szCs w:val="24"/>
                <w:highlight w:val="none"/>
                <w:lang w:val="en-US" w:eastAsia="zh-CN"/>
              </w:rPr>
              <w:t>18</w:t>
            </w:r>
            <w:r>
              <w:rPr>
                <w:rFonts w:hint="eastAsia" w:asciiTheme="majorEastAsia" w:hAnsiTheme="majorEastAsia" w:eastAsiaTheme="majorEastAsia" w:cstheme="majorEastAsia"/>
                <w:color w:val="auto"/>
                <w:sz w:val="24"/>
                <w:szCs w:val="24"/>
                <w:highlight w:val="none"/>
                <w:lang w:val="en-US"/>
              </w:rPr>
              <w:t>000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00</w:t>
            </w:r>
            <w:r>
              <w:rPr>
                <w:rFonts w:hint="eastAsia" w:ascii="宋体" w:hAnsi="宋体" w:eastAsia="宋体" w:cs="宋体"/>
                <w:color w:val="auto"/>
                <w:sz w:val="24"/>
                <w:szCs w:val="24"/>
                <w:highlight w:val="none"/>
                <w:lang w:val="en-US"/>
              </w:rPr>
              <w:t>元（人民币</w:t>
            </w:r>
            <w:r>
              <w:rPr>
                <w:rFonts w:hint="eastAsia" w:ascii="宋体" w:hAnsi="宋体" w:eastAsia="宋体" w:cs="宋体"/>
                <w:color w:val="auto"/>
                <w:sz w:val="24"/>
                <w:szCs w:val="24"/>
                <w:highlight w:val="none"/>
                <w:lang w:val="en-US" w:eastAsia="zh-CN"/>
              </w:rPr>
              <w:t>壹万捌仟元整</w:t>
            </w:r>
            <w:r>
              <w:rPr>
                <w:rFonts w:hint="eastAsia" w:ascii="宋体" w:hAnsi="宋体" w:eastAsia="宋体" w:cs="宋体"/>
                <w:color w:val="auto"/>
                <w:sz w:val="24"/>
                <w:szCs w:val="24"/>
                <w:highlight w:val="none"/>
                <w:lang w:val="en-US"/>
              </w:rPr>
              <w:t>）</w:t>
            </w:r>
          </w:p>
          <w:p w14:paraId="7FE696C6">
            <w:pPr>
              <w:spacing w:after="1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缴纳时间：到账截止时间为投标文件递交截止时间，到账时间以项目专项账户实际到账时间为准，未按时到账的保证金视为未提交。</w:t>
            </w:r>
          </w:p>
          <w:p w14:paraId="377B1D74">
            <w:pPr>
              <w:spacing w:after="100"/>
              <w:jc w:val="both"/>
              <w:rPr>
                <w:rFonts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开户名称：云南普招项目咨询有限公司；</w:t>
            </w:r>
          </w:p>
          <w:p w14:paraId="3220C652">
            <w:pPr>
              <w:spacing w:after="100"/>
              <w:jc w:val="both"/>
              <w:rPr>
                <w:rFonts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开户银行：中国建设银行股份有限公司普洱茶苑路支行；</w:t>
            </w:r>
          </w:p>
          <w:p w14:paraId="5B0B3140">
            <w:pPr>
              <w:spacing w:after="100"/>
              <w:jc w:val="both"/>
              <w:rPr>
                <w:rFonts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开户账号：</w:t>
            </w:r>
            <w:r>
              <w:rPr>
                <w:rFonts w:hint="eastAsia" w:asciiTheme="majorEastAsia" w:hAnsiTheme="majorEastAsia" w:eastAsiaTheme="majorEastAsia" w:cstheme="majorEastAsia"/>
                <w:b/>
                <w:bCs/>
                <w:color w:val="auto"/>
                <w:sz w:val="24"/>
                <w:szCs w:val="24"/>
                <w:highlight w:val="none"/>
                <w:lang w:val="en-US"/>
              </w:rPr>
              <w:t>53050168614000000434</w:t>
            </w:r>
            <w:r>
              <w:rPr>
                <w:rFonts w:hint="eastAsia" w:ascii="宋体" w:hAnsi="宋体" w:eastAsia="宋体" w:cs="宋体"/>
                <w:b/>
                <w:bCs/>
                <w:color w:val="auto"/>
                <w:sz w:val="24"/>
                <w:szCs w:val="24"/>
                <w:highlight w:val="none"/>
                <w:lang w:val="en-US"/>
              </w:rPr>
              <w:t>；</w:t>
            </w:r>
          </w:p>
          <w:p w14:paraId="42C05C16">
            <w:pPr>
              <w:spacing w:after="1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注：</w:t>
            </w:r>
          </w:p>
          <w:p w14:paraId="674C7E2C">
            <w:pPr>
              <w:spacing w:after="1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、保证金应从对公账户中转出。</w:t>
            </w:r>
          </w:p>
          <w:p w14:paraId="1BFF560D">
            <w:pPr>
              <w:spacing w:after="1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、保证金可缴纳至上述银行账户中。</w:t>
            </w:r>
          </w:p>
          <w:p w14:paraId="21B1F309">
            <w:pPr>
              <w:spacing w:after="1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、每项目、每标段的投标保证金均不相同，请缴纳保证金时注意，备注标段名称及标段号。</w:t>
            </w:r>
          </w:p>
          <w:p w14:paraId="328BDD4F">
            <w:pPr>
              <w:spacing w:after="1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、请在汇款时按完整的银行账号进行汇款。</w:t>
            </w:r>
          </w:p>
        </w:tc>
      </w:tr>
      <w:tr w14:paraId="2F415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6E3DD5CE">
            <w:pPr>
              <w:pStyle w:val="16"/>
              <w:spacing w:line="360" w:lineRule="auto"/>
              <w:jc w:val="center"/>
              <w:rPr>
                <w:rFonts w:hAnsi="宋体" w:cs="宋体"/>
                <w:color w:val="auto"/>
                <w:sz w:val="24"/>
                <w:szCs w:val="24"/>
                <w:highlight w:val="none"/>
              </w:rPr>
            </w:pPr>
            <w:r>
              <w:rPr>
                <w:rFonts w:hint="eastAsia" w:asciiTheme="majorEastAsia" w:hAnsiTheme="majorEastAsia" w:eastAsiaTheme="majorEastAsia" w:cstheme="majorEastAsia"/>
                <w:color w:val="auto"/>
                <w:sz w:val="24"/>
                <w:szCs w:val="24"/>
                <w:highlight w:val="none"/>
                <w:lang w:val="en-US"/>
              </w:rPr>
              <w:t>22</w:t>
            </w:r>
            <w:r>
              <w:rPr>
                <w:rFonts w:hint="eastAsia" w:hAnsi="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p>
        </w:tc>
        <w:tc>
          <w:tcPr>
            <w:tcW w:w="2250" w:type="dxa"/>
            <w:tcBorders>
              <w:top w:val="single" w:color="auto" w:sz="4" w:space="0"/>
              <w:left w:val="single" w:color="auto" w:sz="4" w:space="0"/>
              <w:bottom w:val="single" w:color="auto" w:sz="4" w:space="0"/>
              <w:right w:val="single" w:color="auto" w:sz="4" w:space="0"/>
            </w:tcBorders>
            <w:vAlign w:val="center"/>
          </w:tcPr>
          <w:p w14:paraId="6119CAC9">
            <w:pPr>
              <w:pStyle w:val="16"/>
              <w:spacing w:line="360" w:lineRule="auto"/>
              <w:rPr>
                <w:rFonts w:hAnsi="宋体" w:cs="宋体"/>
                <w:color w:val="auto"/>
                <w:sz w:val="24"/>
                <w:szCs w:val="24"/>
                <w:highlight w:val="none"/>
              </w:rPr>
            </w:pPr>
            <w:r>
              <w:rPr>
                <w:rFonts w:hint="eastAsia" w:hAnsi="宋体" w:cs="宋体"/>
                <w:color w:val="auto"/>
                <w:sz w:val="24"/>
                <w:szCs w:val="24"/>
                <w:highlight w:val="none"/>
                <w:lang w:val="en-US"/>
              </w:rPr>
              <w:t>投标文件的提交</w:t>
            </w:r>
          </w:p>
        </w:tc>
        <w:tc>
          <w:tcPr>
            <w:tcW w:w="6925" w:type="dxa"/>
            <w:tcBorders>
              <w:top w:val="single" w:color="auto" w:sz="4" w:space="0"/>
              <w:left w:val="single" w:color="auto" w:sz="4" w:space="0"/>
              <w:bottom w:val="single" w:color="auto" w:sz="4" w:space="0"/>
              <w:right w:val="single" w:color="auto" w:sz="4" w:space="0"/>
            </w:tcBorders>
          </w:tcPr>
          <w:p w14:paraId="2C44FFE8">
            <w:pPr>
              <w:pStyle w:val="16"/>
              <w:rPr>
                <w:rFonts w:hAnsi="宋体" w:cs="宋体"/>
                <w:color w:val="auto"/>
                <w:sz w:val="24"/>
                <w:szCs w:val="24"/>
                <w:highlight w:val="none"/>
                <w:lang w:val="en-US"/>
              </w:rPr>
            </w:pPr>
            <w:r>
              <w:rPr>
                <w:rFonts w:hint="eastAsia" w:hAnsi="宋体" w:cs="宋体"/>
                <w:color w:val="auto"/>
                <w:sz w:val="24"/>
                <w:szCs w:val="24"/>
                <w:highlight w:val="none"/>
                <w:lang w:val="en-US"/>
              </w:rPr>
              <w:t>本项目为电子化采购项目，投标文件的提交、开启等程序均通过政府采购云平台进行，投标人无需提交纸质文件、无需到达招标现场。</w:t>
            </w:r>
          </w:p>
          <w:p w14:paraId="648CB1AF">
            <w:pPr>
              <w:pStyle w:val="16"/>
              <w:rPr>
                <w:rFonts w:hAnsi="宋体" w:cs="宋体"/>
                <w:color w:val="auto"/>
                <w:sz w:val="24"/>
                <w:szCs w:val="24"/>
                <w:highlight w:val="none"/>
              </w:rPr>
            </w:pPr>
            <w:r>
              <w:rPr>
                <w:rFonts w:hint="eastAsia" w:hAnsi="宋体" w:cs="宋体"/>
                <w:b/>
                <w:bCs/>
                <w:color w:val="auto"/>
                <w:sz w:val="24"/>
                <w:szCs w:val="24"/>
                <w:highlight w:val="none"/>
                <w:lang w:val="en-US"/>
              </w:rPr>
              <w:t>注：中标单位在中标后需打印</w:t>
            </w:r>
            <w:r>
              <w:rPr>
                <w:rFonts w:hint="eastAsia" w:asciiTheme="majorEastAsia" w:hAnsiTheme="majorEastAsia" w:eastAsiaTheme="majorEastAsia" w:cstheme="majorEastAsia"/>
                <w:b/>
                <w:bCs/>
                <w:color w:val="auto"/>
                <w:sz w:val="24"/>
                <w:szCs w:val="24"/>
                <w:highlight w:val="none"/>
                <w:lang w:val="en-US"/>
              </w:rPr>
              <w:t>2</w:t>
            </w:r>
            <w:r>
              <w:rPr>
                <w:rFonts w:hint="eastAsia" w:hAnsi="宋体" w:cs="宋体"/>
                <w:b/>
                <w:bCs/>
                <w:color w:val="auto"/>
                <w:sz w:val="24"/>
                <w:szCs w:val="24"/>
                <w:highlight w:val="none"/>
                <w:lang w:val="en-US"/>
              </w:rPr>
              <w:t>份投标文件递交至代理公司交由采购人备案使用。</w:t>
            </w:r>
          </w:p>
        </w:tc>
      </w:tr>
      <w:tr w14:paraId="36E8A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23E84A1B">
            <w:pPr>
              <w:pStyle w:val="16"/>
              <w:jc w:val="center"/>
              <w:rPr>
                <w:rFonts w:hAnsi="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23</w:t>
            </w:r>
            <w:r>
              <w:rPr>
                <w:rFonts w:hint="eastAsia" w:hAnsi="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p>
        </w:tc>
        <w:tc>
          <w:tcPr>
            <w:tcW w:w="2250" w:type="dxa"/>
            <w:tcBorders>
              <w:top w:val="single" w:color="auto" w:sz="4" w:space="0"/>
              <w:left w:val="single" w:color="auto" w:sz="4" w:space="0"/>
              <w:bottom w:val="single" w:color="auto" w:sz="4" w:space="0"/>
              <w:right w:val="single" w:color="auto" w:sz="4" w:space="0"/>
            </w:tcBorders>
            <w:vAlign w:val="center"/>
          </w:tcPr>
          <w:p w14:paraId="7B60A60C">
            <w:pPr>
              <w:pStyle w:val="16"/>
              <w:jc w:val="center"/>
              <w:rPr>
                <w:rFonts w:hAnsi="宋体" w:cs="宋体"/>
                <w:color w:val="auto"/>
                <w:sz w:val="24"/>
                <w:szCs w:val="24"/>
                <w:highlight w:val="none"/>
                <w:lang w:val="en-US"/>
              </w:rPr>
            </w:pPr>
            <w:r>
              <w:rPr>
                <w:rFonts w:hint="eastAsia" w:hAnsi="宋体" w:cs="宋体"/>
                <w:color w:val="auto"/>
                <w:sz w:val="24"/>
                <w:szCs w:val="24"/>
                <w:highlight w:val="none"/>
                <w:lang w:val="en-US"/>
              </w:rPr>
              <w:t>提交投标文件截止时间</w:t>
            </w:r>
          </w:p>
        </w:tc>
        <w:tc>
          <w:tcPr>
            <w:tcW w:w="6925" w:type="dxa"/>
            <w:tcBorders>
              <w:top w:val="single" w:color="auto" w:sz="4" w:space="0"/>
              <w:left w:val="single" w:color="auto" w:sz="4" w:space="0"/>
              <w:bottom w:val="single" w:color="auto" w:sz="4" w:space="0"/>
              <w:right w:val="single" w:color="auto" w:sz="4" w:space="0"/>
            </w:tcBorders>
            <w:vAlign w:val="center"/>
          </w:tcPr>
          <w:p w14:paraId="31DA7EEB">
            <w:pPr>
              <w:pStyle w:val="16"/>
              <w:rPr>
                <w:rFonts w:hAnsi="宋体" w:cs="宋体"/>
                <w:color w:val="auto"/>
                <w:sz w:val="24"/>
                <w:szCs w:val="24"/>
                <w:highlight w:val="none"/>
                <w:lang w:val="en-US"/>
              </w:rPr>
            </w:pPr>
            <w:r>
              <w:rPr>
                <w:rFonts w:hint="eastAsia" w:hAnsi="宋体" w:cs="宋体"/>
                <w:color w:val="auto"/>
                <w:sz w:val="24"/>
                <w:szCs w:val="24"/>
                <w:highlight w:val="none"/>
                <w:lang w:val="en-US"/>
              </w:rPr>
              <w:t>见第一章“招标公告”</w:t>
            </w:r>
          </w:p>
        </w:tc>
      </w:tr>
      <w:tr w14:paraId="76920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7BEA7A87">
            <w:pPr>
              <w:pStyle w:val="16"/>
              <w:jc w:val="center"/>
              <w:rPr>
                <w:rFonts w:hAnsi="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23</w:t>
            </w:r>
            <w:r>
              <w:rPr>
                <w:rFonts w:hint="eastAsia" w:hAnsi="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p>
        </w:tc>
        <w:tc>
          <w:tcPr>
            <w:tcW w:w="2250" w:type="dxa"/>
            <w:tcBorders>
              <w:top w:val="single" w:color="auto" w:sz="4" w:space="0"/>
              <w:left w:val="single" w:color="auto" w:sz="4" w:space="0"/>
              <w:bottom w:val="single" w:color="auto" w:sz="4" w:space="0"/>
              <w:right w:val="single" w:color="auto" w:sz="4" w:space="0"/>
            </w:tcBorders>
            <w:vAlign w:val="center"/>
          </w:tcPr>
          <w:p w14:paraId="568E80D0">
            <w:pPr>
              <w:pStyle w:val="16"/>
              <w:jc w:val="center"/>
              <w:rPr>
                <w:rFonts w:hAnsi="宋体" w:cs="宋体"/>
                <w:color w:val="auto"/>
                <w:sz w:val="24"/>
                <w:szCs w:val="24"/>
                <w:highlight w:val="none"/>
                <w:lang w:val="en-US"/>
              </w:rPr>
            </w:pPr>
            <w:r>
              <w:rPr>
                <w:rFonts w:hint="eastAsia" w:hAnsi="宋体" w:cs="宋体"/>
                <w:color w:val="auto"/>
                <w:sz w:val="24"/>
                <w:szCs w:val="24"/>
                <w:highlight w:val="none"/>
                <w:lang w:val="en-US"/>
              </w:rPr>
              <w:t>提交投标文件的地点</w:t>
            </w:r>
          </w:p>
        </w:tc>
        <w:tc>
          <w:tcPr>
            <w:tcW w:w="6925" w:type="dxa"/>
            <w:tcBorders>
              <w:top w:val="single" w:color="auto" w:sz="4" w:space="0"/>
              <w:left w:val="single" w:color="auto" w:sz="4" w:space="0"/>
              <w:bottom w:val="single" w:color="auto" w:sz="4" w:space="0"/>
              <w:right w:val="single" w:color="auto" w:sz="4" w:space="0"/>
            </w:tcBorders>
            <w:vAlign w:val="center"/>
          </w:tcPr>
          <w:p w14:paraId="2A480889">
            <w:pPr>
              <w:pStyle w:val="16"/>
              <w:rPr>
                <w:rFonts w:hAnsi="宋体" w:cs="宋体"/>
                <w:color w:val="auto"/>
                <w:sz w:val="24"/>
                <w:szCs w:val="24"/>
                <w:highlight w:val="none"/>
                <w:lang w:val="en-US"/>
              </w:rPr>
            </w:pPr>
            <w:r>
              <w:rPr>
                <w:rFonts w:hint="eastAsia" w:hAnsi="宋体" w:cs="宋体"/>
                <w:color w:val="auto"/>
                <w:sz w:val="24"/>
                <w:szCs w:val="24"/>
                <w:highlight w:val="none"/>
                <w:lang w:val="en-US"/>
              </w:rPr>
              <w:t>见第一章“招标公告”</w:t>
            </w:r>
          </w:p>
        </w:tc>
      </w:tr>
      <w:tr w14:paraId="70FA7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57E7741A">
            <w:pPr>
              <w:pStyle w:val="16"/>
              <w:jc w:val="center"/>
              <w:rPr>
                <w:rFonts w:hAnsi="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23</w:t>
            </w:r>
            <w:r>
              <w:rPr>
                <w:rFonts w:hint="eastAsia" w:hAnsi="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p>
        </w:tc>
        <w:tc>
          <w:tcPr>
            <w:tcW w:w="2250" w:type="dxa"/>
            <w:tcBorders>
              <w:top w:val="single" w:color="auto" w:sz="4" w:space="0"/>
              <w:left w:val="single" w:color="auto" w:sz="4" w:space="0"/>
              <w:bottom w:val="single" w:color="auto" w:sz="4" w:space="0"/>
              <w:right w:val="single" w:color="auto" w:sz="4" w:space="0"/>
            </w:tcBorders>
            <w:vAlign w:val="center"/>
          </w:tcPr>
          <w:p w14:paraId="7EBF44CA">
            <w:pPr>
              <w:pStyle w:val="16"/>
              <w:jc w:val="center"/>
              <w:rPr>
                <w:rFonts w:hAnsi="宋体" w:cs="宋体"/>
                <w:color w:val="auto"/>
                <w:sz w:val="24"/>
                <w:szCs w:val="24"/>
                <w:highlight w:val="none"/>
                <w:lang w:val="en-US"/>
              </w:rPr>
            </w:pPr>
            <w:r>
              <w:rPr>
                <w:rFonts w:hint="eastAsia" w:hAnsi="宋体" w:cs="宋体"/>
                <w:color w:val="auto"/>
                <w:sz w:val="24"/>
                <w:szCs w:val="24"/>
                <w:highlight w:val="none"/>
                <w:lang w:val="en-US"/>
              </w:rPr>
              <w:t>投标文件的退还</w:t>
            </w:r>
          </w:p>
        </w:tc>
        <w:tc>
          <w:tcPr>
            <w:tcW w:w="6925" w:type="dxa"/>
            <w:tcBorders>
              <w:top w:val="single" w:color="auto" w:sz="4" w:space="0"/>
              <w:left w:val="single" w:color="auto" w:sz="4" w:space="0"/>
              <w:bottom w:val="single" w:color="auto" w:sz="4" w:space="0"/>
              <w:right w:val="single" w:color="auto" w:sz="4" w:space="0"/>
            </w:tcBorders>
            <w:vAlign w:val="center"/>
          </w:tcPr>
          <w:p w14:paraId="7EA7FA27">
            <w:pPr>
              <w:pStyle w:val="16"/>
              <w:rPr>
                <w:rFonts w:hAnsi="宋体" w:cs="宋体"/>
                <w:color w:val="auto"/>
                <w:sz w:val="24"/>
                <w:szCs w:val="24"/>
                <w:highlight w:val="none"/>
                <w:lang w:val="en-US"/>
              </w:rPr>
            </w:pPr>
            <w:r>
              <w:rPr>
                <w:rFonts w:hint="eastAsia" w:hAnsi="宋体" w:cs="宋体"/>
                <w:color w:val="auto"/>
                <w:sz w:val="24"/>
                <w:szCs w:val="24"/>
                <w:highlight w:val="none"/>
                <w:lang w:val="en-US"/>
              </w:rPr>
              <w:t>不予退还</w:t>
            </w:r>
          </w:p>
        </w:tc>
      </w:tr>
      <w:tr w14:paraId="540D2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07A9350">
            <w:pPr>
              <w:pStyle w:val="16"/>
              <w:jc w:val="center"/>
              <w:rPr>
                <w:rFonts w:hAnsi="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24</w:t>
            </w:r>
            <w:r>
              <w:rPr>
                <w:rFonts w:hint="eastAsia" w:hAnsi="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p>
        </w:tc>
        <w:tc>
          <w:tcPr>
            <w:tcW w:w="2250" w:type="dxa"/>
            <w:tcBorders>
              <w:top w:val="single" w:color="auto" w:sz="4" w:space="0"/>
              <w:left w:val="single" w:color="auto" w:sz="4" w:space="0"/>
              <w:bottom w:val="single" w:color="auto" w:sz="4" w:space="0"/>
              <w:right w:val="single" w:color="auto" w:sz="4" w:space="0"/>
            </w:tcBorders>
            <w:vAlign w:val="center"/>
          </w:tcPr>
          <w:p w14:paraId="3B2AA48E">
            <w:pPr>
              <w:pStyle w:val="16"/>
              <w:jc w:val="center"/>
              <w:rPr>
                <w:rFonts w:hAnsi="宋体" w:cs="宋体"/>
                <w:color w:val="auto"/>
                <w:sz w:val="24"/>
                <w:szCs w:val="24"/>
                <w:highlight w:val="none"/>
                <w:lang w:val="en-US"/>
              </w:rPr>
            </w:pPr>
            <w:r>
              <w:rPr>
                <w:rFonts w:hint="eastAsia" w:hAnsi="宋体" w:cs="宋体"/>
                <w:color w:val="auto"/>
                <w:sz w:val="24"/>
                <w:szCs w:val="24"/>
                <w:highlight w:val="none"/>
                <w:lang w:val="en-US"/>
              </w:rPr>
              <w:t>开标时间和地点</w:t>
            </w:r>
          </w:p>
        </w:tc>
        <w:tc>
          <w:tcPr>
            <w:tcW w:w="6925" w:type="dxa"/>
            <w:tcBorders>
              <w:top w:val="single" w:color="auto" w:sz="4" w:space="0"/>
              <w:left w:val="single" w:color="auto" w:sz="4" w:space="0"/>
              <w:bottom w:val="single" w:color="auto" w:sz="4" w:space="0"/>
              <w:right w:val="single" w:color="auto" w:sz="4" w:space="0"/>
            </w:tcBorders>
            <w:vAlign w:val="center"/>
          </w:tcPr>
          <w:p w14:paraId="3B7EB733">
            <w:pPr>
              <w:pStyle w:val="16"/>
              <w:rPr>
                <w:rFonts w:hAnsi="宋体" w:cs="宋体"/>
                <w:color w:val="auto"/>
                <w:sz w:val="24"/>
                <w:szCs w:val="24"/>
                <w:highlight w:val="none"/>
                <w:lang w:val="en-US"/>
              </w:rPr>
            </w:pPr>
            <w:r>
              <w:rPr>
                <w:rFonts w:hint="eastAsia" w:hAnsi="宋体" w:cs="宋体"/>
                <w:color w:val="auto"/>
                <w:sz w:val="24"/>
                <w:szCs w:val="24"/>
                <w:highlight w:val="none"/>
                <w:lang w:val="en-US"/>
              </w:rPr>
              <w:t xml:space="preserve">同提交投标文件截止时间和地点  </w:t>
            </w:r>
          </w:p>
        </w:tc>
      </w:tr>
      <w:tr w14:paraId="5367B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5D74F14B">
            <w:pPr>
              <w:pStyle w:val="16"/>
              <w:jc w:val="center"/>
              <w:rPr>
                <w:rFonts w:hAnsi="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26</w:t>
            </w:r>
            <w:r>
              <w:rPr>
                <w:rFonts w:hint="eastAsia" w:hAnsi="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p>
        </w:tc>
        <w:tc>
          <w:tcPr>
            <w:tcW w:w="2250" w:type="dxa"/>
            <w:tcBorders>
              <w:top w:val="single" w:color="auto" w:sz="4" w:space="0"/>
              <w:left w:val="single" w:color="auto" w:sz="4" w:space="0"/>
              <w:bottom w:val="single" w:color="auto" w:sz="4" w:space="0"/>
              <w:right w:val="single" w:color="auto" w:sz="4" w:space="0"/>
            </w:tcBorders>
            <w:vAlign w:val="center"/>
          </w:tcPr>
          <w:p w14:paraId="02721BFC">
            <w:pPr>
              <w:pStyle w:val="16"/>
              <w:jc w:val="center"/>
              <w:rPr>
                <w:rFonts w:hAnsi="宋体" w:cs="宋体"/>
                <w:color w:val="auto"/>
                <w:sz w:val="24"/>
                <w:szCs w:val="24"/>
                <w:highlight w:val="none"/>
                <w:lang w:val="en-US"/>
              </w:rPr>
            </w:pPr>
            <w:r>
              <w:rPr>
                <w:rFonts w:hint="eastAsia" w:hAnsi="宋体" w:cs="宋体"/>
                <w:color w:val="auto"/>
                <w:sz w:val="24"/>
                <w:szCs w:val="24"/>
                <w:highlight w:val="none"/>
                <w:lang w:val="en-US"/>
              </w:rPr>
              <w:t>评标方法</w:t>
            </w:r>
          </w:p>
        </w:tc>
        <w:tc>
          <w:tcPr>
            <w:tcW w:w="6925" w:type="dxa"/>
            <w:tcBorders>
              <w:top w:val="single" w:color="auto" w:sz="4" w:space="0"/>
              <w:left w:val="single" w:color="auto" w:sz="4" w:space="0"/>
              <w:bottom w:val="single" w:color="auto" w:sz="4" w:space="0"/>
              <w:right w:val="single" w:color="auto" w:sz="4" w:space="0"/>
            </w:tcBorders>
            <w:vAlign w:val="center"/>
          </w:tcPr>
          <w:p w14:paraId="67C5D28D">
            <w:pP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综合评分法</w:t>
            </w:r>
          </w:p>
        </w:tc>
      </w:tr>
      <w:tr w14:paraId="7853E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44ADB64A">
            <w:pPr>
              <w:spacing w:line="420" w:lineRule="exact"/>
              <w:jc w:val="center"/>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p>
        </w:tc>
        <w:tc>
          <w:tcPr>
            <w:tcW w:w="2250" w:type="dxa"/>
            <w:tcBorders>
              <w:top w:val="single" w:color="auto" w:sz="4" w:space="0"/>
              <w:left w:val="single" w:color="auto" w:sz="4" w:space="0"/>
              <w:bottom w:val="single" w:color="auto" w:sz="4" w:space="0"/>
              <w:right w:val="single" w:color="auto" w:sz="4" w:space="0"/>
            </w:tcBorders>
            <w:vAlign w:val="center"/>
          </w:tcPr>
          <w:p w14:paraId="5996E7B7">
            <w:pPr>
              <w:spacing w:after="10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履约担保（履约保证金）</w:t>
            </w:r>
          </w:p>
        </w:tc>
        <w:tc>
          <w:tcPr>
            <w:tcW w:w="6925" w:type="dxa"/>
            <w:tcBorders>
              <w:top w:val="single" w:color="auto" w:sz="4" w:space="0"/>
              <w:left w:val="single" w:color="auto" w:sz="4" w:space="0"/>
              <w:bottom w:val="single" w:color="auto" w:sz="4" w:space="0"/>
              <w:right w:val="single" w:color="auto" w:sz="4" w:space="0"/>
            </w:tcBorders>
            <w:vAlign w:val="center"/>
          </w:tcPr>
          <w:p w14:paraId="181B6EBF">
            <w:pPr>
              <w:spacing w:after="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是否要求中标人提交履约保证金：</w:t>
            </w:r>
          </w:p>
          <w:p w14:paraId="05820A56">
            <w:pPr>
              <w:spacing w:after="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要求，履约保证金的形式：</w:t>
            </w:r>
            <w:r>
              <w:rPr>
                <w:rFonts w:hint="eastAsia" w:ascii="宋体" w:hAnsi="宋体" w:eastAsia="宋体" w:cs="宋体"/>
                <w:color w:val="auto"/>
                <w:sz w:val="24"/>
                <w:szCs w:val="24"/>
                <w:highlight w:val="none"/>
                <w:u w:val="single"/>
              </w:rPr>
              <w:t>网银、支票、汇票、本票、电汇、银行转账形式提交</w:t>
            </w:r>
            <w:r>
              <w:rPr>
                <w:rFonts w:hint="eastAsia" w:ascii="宋体" w:hAnsi="宋体" w:eastAsia="宋体" w:cs="宋体"/>
                <w:color w:val="auto"/>
                <w:sz w:val="24"/>
                <w:szCs w:val="24"/>
                <w:highlight w:val="none"/>
              </w:rPr>
              <w:t>；</w:t>
            </w:r>
          </w:p>
          <w:p w14:paraId="6A1B7CC6">
            <w:pPr>
              <w:spacing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履约保证金的金额：</w:t>
            </w:r>
            <w:r>
              <w:rPr>
                <w:rFonts w:hint="eastAsia" w:ascii="宋体" w:hAnsi="宋体" w:eastAsia="宋体" w:cs="宋体"/>
                <w:color w:val="auto"/>
                <w:sz w:val="24"/>
                <w:szCs w:val="24"/>
                <w:highlight w:val="none"/>
                <w:lang w:val="en-US"/>
              </w:rPr>
              <w:t>合同金额的</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w:t>
            </w:r>
          </w:p>
          <w:p w14:paraId="5572561D">
            <w:pPr>
              <w:spacing w:after="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不要求</w:t>
            </w:r>
          </w:p>
          <w:p w14:paraId="365F62EB">
            <w:pPr>
              <w:spacing w:after="1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lang w:val="en-US"/>
              </w:rPr>
              <w:t xml:space="preserve">             </w:t>
            </w:r>
          </w:p>
        </w:tc>
      </w:tr>
      <w:tr w14:paraId="42A64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0F899DED">
            <w:pPr>
              <w:spacing w:line="420" w:lineRule="exact"/>
              <w:jc w:val="center"/>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p>
        </w:tc>
        <w:tc>
          <w:tcPr>
            <w:tcW w:w="2250" w:type="dxa"/>
            <w:tcBorders>
              <w:top w:val="single" w:color="auto" w:sz="4" w:space="0"/>
              <w:left w:val="single" w:color="auto" w:sz="4" w:space="0"/>
              <w:bottom w:val="single" w:color="auto" w:sz="4" w:space="0"/>
              <w:right w:val="single" w:color="auto" w:sz="4" w:space="0"/>
            </w:tcBorders>
            <w:vAlign w:val="center"/>
          </w:tcPr>
          <w:p w14:paraId="05B5D0F9">
            <w:pPr>
              <w:spacing w:after="100"/>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备选方案</w:t>
            </w:r>
          </w:p>
        </w:tc>
        <w:tc>
          <w:tcPr>
            <w:tcW w:w="6925" w:type="dxa"/>
            <w:tcBorders>
              <w:top w:val="single" w:color="auto" w:sz="4" w:space="0"/>
              <w:left w:val="single" w:color="auto" w:sz="4" w:space="0"/>
              <w:bottom w:val="single" w:color="auto" w:sz="4" w:space="0"/>
              <w:right w:val="single" w:color="auto" w:sz="4" w:space="0"/>
            </w:tcBorders>
            <w:vAlign w:val="center"/>
          </w:tcPr>
          <w:p w14:paraId="5BDBF6E5">
            <w:pPr>
              <w:spacing w:after="1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不接受</w:t>
            </w:r>
          </w:p>
        </w:tc>
      </w:tr>
      <w:tr w14:paraId="7F9FC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7594A2A4">
            <w:pPr>
              <w:pStyle w:val="16"/>
              <w:jc w:val="center"/>
              <w:rPr>
                <w:rFonts w:hAnsi="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34</w:t>
            </w:r>
            <w:r>
              <w:rPr>
                <w:rFonts w:hint="eastAsia" w:hAnsi="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p>
        </w:tc>
        <w:tc>
          <w:tcPr>
            <w:tcW w:w="9175" w:type="dxa"/>
            <w:gridSpan w:val="2"/>
            <w:tcBorders>
              <w:top w:val="single" w:color="auto" w:sz="4" w:space="0"/>
              <w:left w:val="single" w:color="auto" w:sz="4" w:space="0"/>
              <w:bottom w:val="single" w:color="auto" w:sz="4" w:space="0"/>
              <w:right w:val="single" w:color="auto" w:sz="4" w:space="0"/>
            </w:tcBorders>
            <w:vAlign w:val="center"/>
          </w:tcPr>
          <w:p w14:paraId="164BAA15">
            <w:pPr>
              <w:spacing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需要补充的其他内容</w:t>
            </w:r>
          </w:p>
        </w:tc>
      </w:tr>
      <w:tr w14:paraId="72408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7CC59E9">
            <w:pPr>
              <w:spacing w:line="420" w:lineRule="exact"/>
              <w:jc w:val="center"/>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w:t>
            </w:r>
          </w:p>
        </w:tc>
        <w:tc>
          <w:tcPr>
            <w:tcW w:w="9175" w:type="dxa"/>
            <w:gridSpan w:val="2"/>
            <w:tcBorders>
              <w:top w:val="single" w:color="auto" w:sz="4" w:space="0"/>
              <w:left w:val="single" w:color="auto" w:sz="4" w:space="0"/>
              <w:bottom w:val="single" w:color="auto" w:sz="4" w:space="0"/>
              <w:right w:val="single" w:color="auto" w:sz="4" w:space="0"/>
            </w:tcBorders>
            <w:vAlign w:val="center"/>
          </w:tcPr>
          <w:p w14:paraId="4A553F16">
            <w:pPr>
              <w:spacing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本项目采购代理费服务由中标供应商支付，请各潜在供应商在参与本项目时自行测算成本综合考虑。</w:t>
            </w:r>
          </w:p>
          <w:p w14:paraId="03A872DA">
            <w:pPr>
              <w:spacing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收费标准：按照《关于进一步放开建设项目专业服务价格的通知》（发改价格〔</w:t>
            </w:r>
            <w:r>
              <w:rPr>
                <w:rFonts w:hint="eastAsia" w:asciiTheme="majorEastAsia" w:hAnsiTheme="majorEastAsia" w:eastAsiaTheme="majorEastAsia" w:cstheme="majorEastAsia"/>
                <w:color w:val="auto"/>
                <w:sz w:val="24"/>
                <w:szCs w:val="24"/>
                <w:highlight w:val="none"/>
                <w:lang w:val="en-US"/>
              </w:rPr>
              <w:t>2015</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299</w:t>
            </w:r>
            <w:r>
              <w:rPr>
                <w:rFonts w:hint="eastAsia" w:ascii="宋体" w:hAnsi="宋体" w:eastAsia="宋体" w:cs="宋体"/>
                <w:color w:val="auto"/>
                <w:sz w:val="24"/>
                <w:szCs w:val="24"/>
                <w:highlight w:val="none"/>
                <w:lang w:val="en-US"/>
              </w:rPr>
              <w:t>号），参照</w:t>
            </w:r>
            <w:r>
              <w:rPr>
                <w:rFonts w:hint="eastAsia" w:ascii="宋体" w:hAnsi="宋体" w:eastAsia="宋体" w:cs="宋体"/>
                <w:color w:val="auto"/>
                <w:sz w:val="24"/>
                <w:szCs w:val="24"/>
                <w:highlight w:val="none"/>
                <w:lang w:val="en-US" w:eastAsia="zh-CN"/>
              </w:rPr>
              <w:t>《云南省建设工程招标代理服务收费参考意见》（云建招协〔2024〕58号）按照服务类下浮20%收取中标服务费</w:t>
            </w:r>
            <w:r>
              <w:rPr>
                <w:rFonts w:hint="eastAsia" w:ascii="宋体" w:hAnsi="宋体" w:eastAsia="宋体" w:cs="宋体"/>
                <w:color w:val="auto"/>
                <w:sz w:val="24"/>
                <w:szCs w:val="24"/>
                <w:highlight w:val="none"/>
                <w:lang w:val="en-US"/>
              </w:rPr>
              <w:t>，向中标供应商收取（计算基准价为中标价），中标供应商在领取中标通知书的同时一次性支付给采购代理机构。</w:t>
            </w:r>
          </w:p>
          <w:p w14:paraId="237DC721">
            <w:pPr>
              <w:spacing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代理服务费收款账户信息如下：</w:t>
            </w:r>
          </w:p>
          <w:p w14:paraId="44A8715F">
            <w:pPr>
              <w:spacing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招标公司名称：云南普招项目咨询有限公司</w:t>
            </w:r>
          </w:p>
          <w:p w14:paraId="603023DC">
            <w:pPr>
              <w:spacing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开户银行全称：中国建设银行股份有限公司普洱茶苑路支行</w:t>
            </w:r>
          </w:p>
          <w:p w14:paraId="1B09EF5D">
            <w:pPr>
              <w:spacing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账  号：</w:t>
            </w:r>
            <w:r>
              <w:rPr>
                <w:rFonts w:hint="eastAsia" w:asciiTheme="majorEastAsia" w:hAnsiTheme="majorEastAsia" w:eastAsiaTheme="majorEastAsia" w:cstheme="majorEastAsia"/>
                <w:color w:val="auto"/>
                <w:sz w:val="24"/>
                <w:szCs w:val="24"/>
                <w:highlight w:val="none"/>
                <w:lang w:val="en-US"/>
              </w:rPr>
              <w:t>53050168614000000434</w:t>
            </w:r>
          </w:p>
        </w:tc>
      </w:tr>
      <w:tr w14:paraId="02411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1" w:type="dxa"/>
            <w:tcBorders>
              <w:top w:val="single" w:color="auto" w:sz="4" w:space="0"/>
              <w:left w:val="single" w:color="auto" w:sz="4" w:space="0"/>
              <w:bottom w:val="single" w:color="auto" w:sz="4" w:space="0"/>
              <w:right w:val="single" w:color="auto" w:sz="4" w:space="0"/>
            </w:tcBorders>
            <w:vAlign w:val="center"/>
          </w:tcPr>
          <w:p w14:paraId="555EEE79">
            <w:pPr>
              <w:spacing w:line="420" w:lineRule="exact"/>
              <w:jc w:val="center"/>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w:t>
            </w:r>
          </w:p>
        </w:tc>
        <w:tc>
          <w:tcPr>
            <w:tcW w:w="9175" w:type="dxa"/>
            <w:gridSpan w:val="2"/>
            <w:tcBorders>
              <w:top w:val="single" w:color="auto" w:sz="4" w:space="0"/>
              <w:left w:val="single" w:color="auto" w:sz="4" w:space="0"/>
              <w:bottom w:val="single" w:color="auto" w:sz="4" w:space="0"/>
              <w:right w:val="single" w:color="auto" w:sz="4" w:space="0"/>
            </w:tcBorders>
            <w:vAlign w:val="center"/>
          </w:tcPr>
          <w:p w14:paraId="57FCD217">
            <w:pPr>
              <w:spacing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中标人须知：</w:t>
            </w:r>
          </w:p>
          <w:p w14:paraId="7A9A28D4">
            <w:pPr>
              <w:spacing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中标人在《云南省政府采购网》查询到中标公示后，需办理以下事宜：</w:t>
            </w:r>
          </w:p>
          <w:p w14:paraId="5A905406">
            <w:pPr>
              <w:spacing w:after="1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、在《云南省政府采购网》（http://www.yngp.com）完成云南省政府采购管理信息系统供应商入库申请。</w:t>
            </w:r>
          </w:p>
          <w:p w14:paraId="6F4E60F3">
            <w:pPr>
              <w:spacing w:after="1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、缴纳招标代理服务费。</w:t>
            </w:r>
          </w:p>
          <w:p w14:paraId="701ECD51">
            <w:pPr>
              <w:spacing w:after="1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、提交纸质版投标文件（彩色打印两份）。</w:t>
            </w:r>
          </w:p>
          <w:p w14:paraId="503AA371">
            <w:pPr>
              <w:spacing w:after="1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、领取中标通知书，并与采购人联系、洽谈采购合同。</w:t>
            </w:r>
          </w:p>
        </w:tc>
      </w:tr>
    </w:tbl>
    <w:p w14:paraId="7CCA3A53">
      <w:pPr>
        <w:rPr>
          <w:rFonts w:ascii="宋体" w:hAnsi="宋体" w:eastAsia="宋体" w:cs="宋体"/>
          <w:color w:val="auto"/>
          <w:highlight w:val="none"/>
        </w:rPr>
      </w:pPr>
      <w:r>
        <w:rPr>
          <w:rFonts w:hint="eastAsia" w:ascii="宋体" w:hAnsi="宋体" w:eastAsia="宋体" w:cs="宋体"/>
          <w:color w:val="auto"/>
          <w:highlight w:val="none"/>
        </w:rPr>
        <w:br w:type="page"/>
      </w:r>
    </w:p>
    <w:p w14:paraId="3C5F0C32">
      <w:pPr>
        <w:jc w:val="center"/>
        <w:outlineLvl w:val="1"/>
        <w:rPr>
          <w:rFonts w:ascii="宋体" w:hAnsi="宋体" w:eastAsia="宋体" w:cs="宋体"/>
          <w:b/>
          <w:bCs/>
          <w:color w:val="auto"/>
          <w:sz w:val="28"/>
          <w:szCs w:val="28"/>
          <w:highlight w:val="none"/>
        </w:rPr>
      </w:pPr>
      <w:bookmarkStart w:id="87" w:name="_Toc24352"/>
      <w:bookmarkStart w:id="88" w:name="_Toc14522"/>
      <w:bookmarkStart w:id="89" w:name="_Toc25795"/>
      <w:bookmarkStart w:id="90" w:name="_Toc23945"/>
      <w:bookmarkStart w:id="91" w:name="_Toc24789"/>
      <w:bookmarkStart w:id="92" w:name="_Toc1062"/>
      <w:bookmarkStart w:id="93" w:name="_Toc15726"/>
      <w:bookmarkStart w:id="94" w:name="_Toc11740"/>
      <w:bookmarkStart w:id="95" w:name="_Toc9921"/>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rPr>
        <w:t>一）</w:t>
      </w:r>
      <w:r>
        <w:rPr>
          <w:rFonts w:hint="eastAsia" w:ascii="宋体" w:hAnsi="宋体" w:eastAsia="宋体" w:cs="宋体"/>
          <w:b/>
          <w:bCs/>
          <w:color w:val="auto"/>
          <w:sz w:val="28"/>
          <w:szCs w:val="28"/>
          <w:highlight w:val="none"/>
        </w:rPr>
        <w:t>总则</w:t>
      </w:r>
      <w:bookmarkEnd w:id="87"/>
      <w:bookmarkEnd w:id="88"/>
      <w:bookmarkEnd w:id="89"/>
      <w:bookmarkEnd w:id="90"/>
      <w:bookmarkEnd w:id="91"/>
      <w:bookmarkEnd w:id="92"/>
      <w:bookmarkEnd w:id="93"/>
      <w:bookmarkEnd w:id="94"/>
      <w:bookmarkEnd w:id="95"/>
      <w:bookmarkStart w:id="96" w:name="_Toc248096842"/>
      <w:bookmarkStart w:id="97" w:name="_Toc201997227"/>
      <w:bookmarkStart w:id="98" w:name="_Toc42782791"/>
      <w:bookmarkStart w:id="99" w:name="_Toc42781842"/>
      <w:bookmarkStart w:id="100" w:name="_Toc43110952"/>
      <w:bookmarkStart w:id="101" w:name="_Toc42796905"/>
      <w:bookmarkStart w:id="102" w:name="_Toc41389794"/>
      <w:bookmarkStart w:id="103" w:name="_Toc247963483"/>
      <w:bookmarkStart w:id="104" w:name="_Toc42876192"/>
      <w:bookmarkStart w:id="105" w:name="_Toc43103129"/>
      <w:bookmarkStart w:id="106" w:name="_Toc42876107"/>
      <w:bookmarkStart w:id="107" w:name="_Toc70905469"/>
      <w:bookmarkStart w:id="108" w:name="_Toc42782877"/>
      <w:bookmarkStart w:id="109" w:name="_Toc42782579"/>
      <w:bookmarkStart w:id="110" w:name="_Toc43008876"/>
      <w:bookmarkStart w:id="111" w:name="_Toc43103046"/>
      <w:bookmarkStart w:id="112" w:name="_Toc42941197"/>
      <w:bookmarkStart w:id="113" w:name="_Toc507903165"/>
      <w:bookmarkStart w:id="114" w:name="_Toc42965661"/>
      <w:bookmarkStart w:id="115" w:name="_Toc42941291"/>
      <w:bookmarkStart w:id="116" w:name="_Toc210016310"/>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14:paraId="168EBF4F">
      <w:pPr>
        <w:spacing w:line="360" w:lineRule="auto"/>
        <w:ind w:firstLine="480" w:firstLineChars="200"/>
        <w:rPr>
          <w:rFonts w:ascii="宋体" w:hAnsi="宋体" w:eastAsia="宋体" w:cs="宋体"/>
          <w:b/>
          <w:bCs/>
          <w:color w:val="auto"/>
          <w:sz w:val="24"/>
          <w:szCs w:val="24"/>
          <w:highlight w:val="none"/>
          <w:lang w:val="en-US"/>
        </w:rPr>
      </w:pPr>
      <w:bookmarkStart w:id="117" w:name="_Toc433658830"/>
      <w:bookmarkStart w:id="118" w:name="_Toc32669"/>
      <w:bookmarkStart w:id="119" w:name="_Toc19634"/>
      <w:bookmarkStart w:id="120" w:name="_Toc14663"/>
      <w:bookmarkStart w:id="121" w:name="_Toc186513180"/>
      <w:bookmarkStart w:id="122" w:name="_Toc12682"/>
      <w:bookmarkStart w:id="123" w:name="_Toc363046974"/>
      <w:bookmarkStart w:id="124" w:name="_Toc488944956"/>
      <w:bookmarkStart w:id="125" w:name="_Toc241825074"/>
      <w:bookmarkStart w:id="126" w:name="_Toc22473"/>
      <w:bookmarkStart w:id="127" w:name="_Toc640"/>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 采购人、采购代理机构、项目名称及项目编号，详见招标文件</w:t>
      </w:r>
      <w:r>
        <w:rPr>
          <w:rFonts w:hint="eastAsia" w:ascii="宋体" w:hAnsi="宋体" w:eastAsia="宋体" w:cs="宋体"/>
          <w:b/>
          <w:bCs/>
          <w:color w:val="auto"/>
          <w:sz w:val="24"/>
          <w:szCs w:val="24"/>
          <w:highlight w:val="none"/>
          <w:lang w:val="en-US"/>
        </w:rPr>
        <w:t>“投标人须知前附表”。</w:t>
      </w:r>
    </w:p>
    <w:p w14:paraId="51130EA0">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 采购预算：“投标人须知前附表”中所述的资金，用于采购第五章《采购需求》所列内容。</w:t>
      </w:r>
    </w:p>
    <w:p w14:paraId="12DCC90A">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 采购需求</w:t>
      </w:r>
    </w:p>
    <w:p w14:paraId="64D23DDA">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 xml:space="preserve"> 本项目招标范围：见</w:t>
      </w:r>
      <w:r>
        <w:rPr>
          <w:rFonts w:hint="eastAsia" w:ascii="宋体" w:hAnsi="宋体" w:eastAsia="宋体" w:cs="宋体"/>
          <w:b/>
          <w:bCs/>
          <w:color w:val="auto"/>
          <w:sz w:val="24"/>
          <w:szCs w:val="24"/>
          <w:highlight w:val="none"/>
          <w:lang w:val="en-US"/>
        </w:rPr>
        <w:t>“投标人须知前附表”</w:t>
      </w:r>
      <w:r>
        <w:rPr>
          <w:rFonts w:hint="eastAsia" w:ascii="宋体" w:hAnsi="宋体" w:eastAsia="宋体" w:cs="宋体"/>
          <w:color w:val="auto"/>
          <w:sz w:val="24"/>
          <w:szCs w:val="24"/>
          <w:highlight w:val="none"/>
          <w:lang w:val="en-US"/>
        </w:rPr>
        <w:t>。</w:t>
      </w:r>
    </w:p>
    <w:p w14:paraId="76E77A52">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 xml:space="preserve"> 本项目合同履行期限（服务期限）、质量要求、服务地点：见</w:t>
      </w:r>
      <w:r>
        <w:rPr>
          <w:rFonts w:hint="eastAsia" w:ascii="宋体" w:hAnsi="宋体" w:eastAsia="宋体" w:cs="宋体"/>
          <w:b/>
          <w:bCs/>
          <w:color w:val="auto"/>
          <w:sz w:val="24"/>
          <w:szCs w:val="24"/>
          <w:highlight w:val="none"/>
          <w:lang w:val="en-US"/>
        </w:rPr>
        <w:t>“投标人须知前附表”</w:t>
      </w:r>
      <w:r>
        <w:rPr>
          <w:rFonts w:hint="eastAsia" w:ascii="宋体" w:hAnsi="宋体" w:eastAsia="宋体" w:cs="宋体"/>
          <w:color w:val="auto"/>
          <w:sz w:val="24"/>
          <w:szCs w:val="24"/>
          <w:highlight w:val="none"/>
          <w:lang w:val="en-US"/>
        </w:rPr>
        <w:t>。</w:t>
      </w:r>
    </w:p>
    <w:p w14:paraId="53BDF841">
      <w:pPr>
        <w:spacing w:line="360" w:lineRule="auto"/>
        <w:ind w:firstLine="482" w:firstLineChars="200"/>
        <w:rPr>
          <w:rFonts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w:t>
      </w:r>
      <w:r>
        <w:rPr>
          <w:rFonts w:hint="eastAsia" w:asciiTheme="majorEastAsia" w:hAnsiTheme="majorEastAsia" w:eastAsiaTheme="majorEastAsia" w:cstheme="majorEastAsia"/>
          <w:b/>
          <w:bCs/>
          <w:color w:val="auto"/>
          <w:sz w:val="24"/>
          <w:szCs w:val="24"/>
          <w:highlight w:val="none"/>
          <w:lang w:val="en-US"/>
        </w:rPr>
        <w:t>4</w:t>
      </w:r>
      <w:r>
        <w:rPr>
          <w:rFonts w:hint="eastAsia" w:ascii="宋体" w:hAnsi="宋体" w:eastAsia="宋体" w:cs="宋体"/>
          <w:b/>
          <w:bCs/>
          <w:color w:val="auto"/>
          <w:sz w:val="24"/>
          <w:szCs w:val="24"/>
          <w:highlight w:val="none"/>
          <w:lang w:val="en-US"/>
        </w:rPr>
        <w:t>. 合格的投标人</w:t>
      </w:r>
    </w:p>
    <w:p w14:paraId="31E2D3F8">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投标人应具备《中华人民共和国政府采购法》第二十二条规定的条件，并提供相关证明材料：内容详见投标人须知前附表。</w:t>
      </w:r>
    </w:p>
    <w:p w14:paraId="0EE716C4">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 xml:space="preserve"> 投标人须落实政府采购政策需满足的资格要求：详见</w:t>
      </w:r>
      <w:r>
        <w:rPr>
          <w:rFonts w:hint="eastAsia" w:ascii="宋体" w:hAnsi="宋体" w:eastAsia="宋体" w:cs="宋体"/>
          <w:b/>
          <w:bCs/>
          <w:color w:val="auto"/>
          <w:sz w:val="24"/>
          <w:szCs w:val="24"/>
          <w:highlight w:val="none"/>
          <w:lang w:val="en-US"/>
        </w:rPr>
        <w:t>“投标人须知前附表”</w:t>
      </w:r>
      <w:r>
        <w:rPr>
          <w:rFonts w:hint="eastAsia" w:ascii="宋体" w:hAnsi="宋体" w:eastAsia="宋体" w:cs="宋体"/>
          <w:color w:val="auto"/>
          <w:sz w:val="24"/>
          <w:szCs w:val="24"/>
          <w:highlight w:val="none"/>
          <w:lang w:val="en-US"/>
        </w:rPr>
        <w:t>。</w:t>
      </w:r>
    </w:p>
    <w:p w14:paraId="50211A1D">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本项目的特定资格要求：详见“投标人须知前附表”。</w:t>
      </w:r>
    </w:p>
    <w:p w14:paraId="6250AE90">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投标人须知前附表规定接受联合体投标的，联合体除应符合本章第</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项和投标人须知前附表的要求外，还应遵守以下规定：</w:t>
      </w:r>
    </w:p>
    <w:p w14:paraId="6B8C3B10">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)联合体各方应按招标文件提供的格式签订联合体协议书，明确联合体牵头人和各方权利义务，并承诺就中标项目向采购人承担连带责任；</w:t>
      </w:r>
    </w:p>
    <w:p w14:paraId="292A6D77">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)联合体中有同类资质的投标人按照联合体分工承担相同工作的，应当按照资质等级较低的投标人确定资质等级；</w:t>
      </w:r>
    </w:p>
    <w:p w14:paraId="2923B672">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)以联合体形式参加政府采购活动的，联合体各方不得再单独参加或者与其他投标人另外组成联合体参加同一合同项下的政府采购活动。</w:t>
      </w:r>
    </w:p>
    <w:p w14:paraId="40546793">
      <w:pPr>
        <w:spacing w:line="360" w:lineRule="auto"/>
        <w:ind w:firstLine="482" w:firstLineChars="200"/>
        <w:rPr>
          <w:rFonts w:ascii="宋体" w:hAnsi="宋体" w:eastAsia="宋体" w:cs="宋体"/>
          <w:b/>
          <w:bCs/>
          <w:color w:val="auto"/>
          <w:sz w:val="24"/>
          <w:szCs w:val="24"/>
          <w:highlight w:val="none"/>
          <w:lang w:val="en-US"/>
        </w:rPr>
      </w:pPr>
      <w:bookmarkStart w:id="128" w:name="_Toc27960"/>
      <w:bookmarkEnd w:id="128"/>
      <w:bookmarkStart w:id="129" w:name="_Toc18144"/>
      <w:r>
        <w:rPr>
          <w:rFonts w:hint="eastAsia" w:asciiTheme="majorEastAsia" w:hAnsiTheme="majorEastAsia" w:eastAsiaTheme="majorEastAsia" w:cstheme="majorEastAsia"/>
          <w:b/>
          <w:bCs/>
          <w:color w:val="auto"/>
          <w:sz w:val="24"/>
          <w:szCs w:val="24"/>
          <w:highlight w:val="none"/>
          <w:lang w:val="en-US"/>
        </w:rPr>
        <w:t>5</w:t>
      </w:r>
      <w:r>
        <w:rPr>
          <w:rFonts w:hint="eastAsia" w:ascii="宋体" w:hAnsi="宋体" w:eastAsia="宋体" w:cs="宋体"/>
          <w:b/>
          <w:bCs/>
          <w:color w:val="auto"/>
          <w:sz w:val="24"/>
          <w:szCs w:val="24"/>
          <w:highlight w:val="none"/>
          <w:lang w:val="en-US"/>
        </w:rPr>
        <w:t>.费用承担</w:t>
      </w:r>
      <w:bookmarkEnd w:id="129"/>
    </w:p>
    <w:p w14:paraId="6B945092">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）不论投标结果如何，投标人均应自行承担所有与准备和参加投标活动有关的全部费用。</w:t>
      </w:r>
    </w:p>
    <w:p w14:paraId="60E33150">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）代理服务费：</w:t>
      </w:r>
      <w:r>
        <w:rPr>
          <w:rFonts w:hint="eastAsia" w:ascii="宋体" w:hAnsi="宋体" w:eastAsia="宋体" w:cs="宋体"/>
          <w:color w:val="auto"/>
          <w:sz w:val="24"/>
          <w:szCs w:val="24"/>
          <w:highlight w:val="none"/>
          <w:lang w:val="en-US" w:eastAsia="zh-CN"/>
        </w:rPr>
        <w:t>按照《关于进一步放开建设项目专业服务价格的通知》（发改价格〔2015〕299号），参照《云南省建设工程招标代理服务收费参考意见》（云建招协〔2024〕58号）按照服务类下浮20%收取中标服务费，向中标供应商收取（计算基准价为中标价），中标供应商在领取中标通知书的同时一次性支付给采购代理机构。</w:t>
      </w:r>
    </w:p>
    <w:p w14:paraId="629D9C55">
      <w:pPr>
        <w:spacing w:line="360" w:lineRule="auto"/>
        <w:ind w:firstLine="482" w:firstLineChars="200"/>
        <w:rPr>
          <w:rFonts w:ascii="宋体" w:hAnsi="宋体" w:eastAsia="宋体" w:cs="宋体"/>
          <w:b/>
          <w:bCs/>
          <w:color w:val="auto"/>
          <w:sz w:val="24"/>
          <w:szCs w:val="24"/>
          <w:highlight w:val="none"/>
          <w:lang w:val="en-US"/>
        </w:rPr>
      </w:pPr>
      <w:bookmarkStart w:id="130" w:name="_Toc6230"/>
      <w:bookmarkEnd w:id="130"/>
      <w:r>
        <w:rPr>
          <w:rFonts w:hint="eastAsia" w:asciiTheme="majorEastAsia" w:hAnsiTheme="majorEastAsia" w:eastAsiaTheme="majorEastAsia" w:cstheme="majorEastAsia"/>
          <w:b/>
          <w:bCs/>
          <w:color w:val="auto"/>
          <w:sz w:val="24"/>
          <w:szCs w:val="24"/>
          <w:highlight w:val="none"/>
          <w:lang w:val="en-US"/>
        </w:rPr>
        <w:t>6</w:t>
      </w:r>
      <w:r>
        <w:rPr>
          <w:rFonts w:hint="eastAsia" w:ascii="宋体" w:hAnsi="宋体" w:eastAsia="宋体" w:cs="宋体"/>
          <w:b/>
          <w:bCs/>
          <w:color w:val="auto"/>
          <w:sz w:val="24"/>
          <w:szCs w:val="24"/>
          <w:highlight w:val="none"/>
          <w:lang w:val="en-US"/>
        </w:rPr>
        <w:t>.质疑</w:t>
      </w:r>
    </w:p>
    <w:p w14:paraId="1F27085E">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投标人认为招标文件、招标过程和中标结果使自己的权益受到损害的，应当在知道或者应知其权益受到损害之日起</w:t>
      </w:r>
      <w:r>
        <w:rPr>
          <w:rFonts w:hint="eastAsia" w:asciiTheme="majorEastAsia" w:hAnsiTheme="majorEastAsia" w:eastAsiaTheme="majorEastAsia" w:cstheme="majorEastAsia"/>
          <w:color w:val="auto"/>
          <w:sz w:val="24"/>
          <w:szCs w:val="24"/>
          <w:highlight w:val="none"/>
          <w:lang w:val="en-US"/>
        </w:rPr>
        <w:t>7</w:t>
      </w:r>
      <w:r>
        <w:rPr>
          <w:rFonts w:hint="eastAsia" w:ascii="宋体" w:hAnsi="宋体" w:eastAsia="宋体" w:cs="宋体"/>
          <w:color w:val="auto"/>
          <w:sz w:val="24"/>
          <w:szCs w:val="24"/>
          <w:highlight w:val="none"/>
          <w:lang w:val="en-US"/>
        </w:rPr>
        <w:t>个工作日内，以书面形式向采购代理机构或采购人提出质疑。质疑内容不得含有虚假、恶意成分。当事人对自己提出的主张，有责任提供证据，提出质疑时应同时提交相关证据材料和注明事实的确切来源且证据合法、真实、有效。采购人或采购代理机构应当在</w:t>
      </w:r>
      <w:r>
        <w:rPr>
          <w:rFonts w:hint="eastAsia" w:asciiTheme="majorEastAsia" w:hAnsiTheme="majorEastAsia" w:eastAsiaTheme="majorEastAsia" w:cstheme="majorEastAsia"/>
          <w:color w:val="auto"/>
          <w:sz w:val="24"/>
          <w:szCs w:val="24"/>
          <w:highlight w:val="none"/>
          <w:lang w:val="en-US"/>
        </w:rPr>
        <w:t>7</w:t>
      </w:r>
      <w:r>
        <w:rPr>
          <w:rFonts w:hint="eastAsia" w:ascii="宋体" w:hAnsi="宋体" w:eastAsia="宋体" w:cs="宋体"/>
          <w:color w:val="auto"/>
          <w:sz w:val="24"/>
          <w:szCs w:val="24"/>
          <w:highlight w:val="none"/>
          <w:lang w:val="en-US"/>
        </w:rPr>
        <w:t>个工作日内对投标人依法提出的质疑作出书面答复，但答复的内容不得涉及商业秘密。</w:t>
      </w:r>
    </w:p>
    <w:p w14:paraId="2D753F08">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投标人应知其权益受到损害之日，是指：</w:t>
      </w:r>
    </w:p>
    <w:p w14:paraId="5AF6268E">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）对可以质疑的采购文件提出质疑的，为投标人实际下载采购文件之日或者采购文件公告届满之日；</w:t>
      </w:r>
    </w:p>
    <w:p w14:paraId="30EFD6B9">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）对采购过程提出质疑的，为各采购程序环节结束之日；</w:t>
      </w:r>
    </w:p>
    <w:p w14:paraId="5532E343">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）对中标结果提出质疑的，为中标结果公告期限届满之日。</w:t>
      </w:r>
    </w:p>
    <w:p w14:paraId="2F5C71A5">
      <w:pPr>
        <w:spacing w:line="360" w:lineRule="auto"/>
        <w:ind w:firstLine="480" w:firstLineChars="200"/>
        <w:rPr>
          <w:rFonts w:ascii="宋体" w:hAnsi="宋体" w:eastAsia="宋体" w:cs="宋体"/>
          <w:color w:val="auto"/>
          <w:sz w:val="24"/>
          <w:szCs w:val="24"/>
          <w:highlight w:val="none"/>
          <w:lang w:val="en-US"/>
        </w:rPr>
      </w:pPr>
      <w:bookmarkStart w:id="131" w:name="_Toc321836357"/>
      <w:r>
        <w:rPr>
          <w:rFonts w:hint="eastAsia" w:asciiTheme="majorEastAsia" w:hAnsiTheme="majorEastAsia" w:eastAsiaTheme="majorEastAsia" w:cstheme="majorEastAsia"/>
          <w:color w:val="auto"/>
          <w:sz w:val="24"/>
          <w:szCs w:val="24"/>
          <w:highlight w:val="none"/>
          <w:lang w:val="en-US"/>
        </w:rPr>
        <w:t>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投标人提出质疑应符合中华人民共和国财政部第</w:t>
      </w:r>
      <w:r>
        <w:rPr>
          <w:rFonts w:hint="eastAsia" w:asciiTheme="majorEastAsia" w:hAnsiTheme="majorEastAsia" w:eastAsiaTheme="majorEastAsia" w:cstheme="majorEastAsia"/>
          <w:color w:val="auto"/>
          <w:sz w:val="24"/>
          <w:szCs w:val="24"/>
          <w:highlight w:val="none"/>
          <w:lang w:val="en-US"/>
        </w:rPr>
        <w:t>94</w:t>
      </w:r>
      <w:r>
        <w:rPr>
          <w:rFonts w:hint="eastAsia" w:ascii="宋体" w:hAnsi="宋体" w:eastAsia="宋体" w:cs="宋体"/>
          <w:color w:val="auto"/>
          <w:sz w:val="24"/>
          <w:szCs w:val="24"/>
          <w:highlight w:val="none"/>
          <w:lang w:val="en-US"/>
        </w:rPr>
        <w:t>号令《政府采购质疑和投诉办法》的规定。提出质疑应当提交质疑函和必要的证明材料。质疑函应当包括下列内容：</w:t>
      </w:r>
    </w:p>
    <w:p w14:paraId="39A794F4">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（一）投标人名称、地址、邮编、联系人及联系电话；</w:t>
      </w:r>
    </w:p>
    <w:p w14:paraId="242D75D3">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（二）质疑项目的名称、编号；</w:t>
      </w:r>
    </w:p>
    <w:p w14:paraId="1C253B9C">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（三）具体、明确的质疑事项和与质疑事项相关的请求；</w:t>
      </w:r>
    </w:p>
    <w:p w14:paraId="005AC37E">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（四）事实依据；</w:t>
      </w:r>
    </w:p>
    <w:p w14:paraId="409B8F23">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（五）必要的法律依据；</w:t>
      </w:r>
    </w:p>
    <w:p w14:paraId="251B420A">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（六）提出质疑的日期。</w:t>
      </w:r>
    </w:p>
    <w:p w14:paraId="3BF74D81">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质疑函应当由投标人的法定代表人、主要负责人，或者其授权代表签字或者盖章，并加盖公章。委托代理人进行质疑的，应当提交投标人的授权委托书。授权委托书应当载明代理人的姓名或者名称、代理事项、具体权限、期限和相关事项。授权委托书应当由法定代表人、主要负责人签字或者盖章，并加盖公章。</w:t>
      </w:r>
    </w:p>
    <w:p w14:paraId="7E06E503">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接收质疑函的方式：以书面形式递交由法定代表人、主要负责人签字或者盖章，并加盖公章的质疑函原件和必要的证明材料；邮寄送达的以邮件交邮日期为准。</w:t>
      </w:r>
    </w:p>
    <w:p w14:paraId="585728D1">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受理质疑单位：云南普招项目咨询有限公司</w:t>
      </w:r>
    </w:p>
    <w:p w14:paraId="6657BB83">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联系电话：</w:t>
      </w:r>
      <w:r>
        <w:rPr>
          <w:rFonts w:hint="eastAsia" w:asciiTheme="majorEastAsia" w:hAnsiTheme="majorEastAsia" w:eastAsiaTheme="majorEastAsia" w:cstheme="majorEastAsia"/>
          <w:color w:val="auto"/>
          <w:sz w:val="24"/>
          <w:szCs w:val="24"/>
          <w:highlight w:val="none"/>
          <w:lang w:val="en-US"/>
        </w:rPr>
        <w:t>0879</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2302022</w:t>
      </w:r>
    </w:p>
    <w:p w14:paraId="192241DF">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通讯地址：云南省普洱市思茅区思茅街道茶马古镇A区1号路C组A2户型9幢1号</w:t>
      </w:r>
    </w:p>
    <w:p w14:paraId="46F92576">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采购代理机构将在收到投标人的质疑函后</w:t>
      </w:r>
      <w:r>
        <w:rPr>
          <w:rFonts w:hint="eastAsia" w:asciiTheme="majorEastAsia" w:hAnsiTheme="majorEastAsia" w:eastAsiaTheme="majorEastAsia" w:cstheme="majorEastAsia"/>
          <w:color w:val="auto"/>
          <w:sz w:val="24"/>
          <w:szCs w:val="24"/>
          <w:highlight w:val="none"/>
          <w:lang w:val="en-US"/>
        </w:rPr>
        <w:t>7</w:t>
      </w:r>
      <w:r>
        <w:rPr>
          <w:rFonts w:hint="eastAsia" w:ascii="宋体" w:hAnsi="宋体" w:eastAsia="宋体" w:cs="宋体"/>
          <w:color w:val="auto"/>
          <w:sz w:val="24"/>
          <w:szCs w:val="24"/>
          <w:highlight w:val="none"/>
          <w:lang w:val="en-US"/>
        </w:rPr>
        <w:t>个工作日内作出答复，并以书面形式通知质疑投标人和其他有关投标人。</w:t>
      </w:r>
    </w:p>
    <w:p w14:paraId="2F952AA9">
      <w:pPr>
        <w:spacing w:line="360" w:lineRule="auto"/>
        <w:ind w:firstLine="480"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6</w:t>
      </w:r>
      <w:r>
        <w:rPr>
          <w:rFonts w:hint="eastAsia" w:ascii="宋体" w:hAnsi="宋体" w:eastAsia="宋体" w:cs="宋体"/>
          <w:color w:val="auto"/>
          <w:sz w:val="24"/>
          <w:szCs w:val="24"/>
          <w:highlight w:val="none"/>
          <w:lang w:val="en-US"/>
        </w:rPr>
        <w:t>参与政府采购活动的投标人对评审过程或者中标结果提出质疑的，采购代理机构可以组织原评标委员会协助答复质疑。质疑答复导致中标结果改变的，采购代理机构应当将有关情况书面报告本级财政部门。</w:t>
      </w:r>
    </w:p>
    <w:p w14:paraId="60E3799F">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7</w:t>
      </w:r>
      <w:r>
        <w:rPr>
          <w:rFonts w:hint="eastAsia" w:ascii="宋体" w:hAnsi="宋体" w:eastAsia="宋体" w:cs="宋体"/>
          <w:b/>
          <w:bCs/>
          <w:color w:val="auto"/>
          <w:sz w:val="24"/>
          <w:szCs w:val="24"/>
          <w:highlight w:val="none"/>
          <w:lang w:val="en-US"/>
        </w:rPr>
        <w:t>.投诉</w:t>
      </w:r>
      <w:bookmarkEnd w:id="131"/>
    </w:p>
    <w:p w14:paraId="07B21A7A">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7</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投诉必须首先经过质疑程序。质疑人对采购人、采购代理机构的答复不满意，或者采购人、采购代理机构未在规定的时间内作出答复的，可以在答复期满后</w:t>
      </w:r>
      <w:r>
        <w:rPr>
          <w:rFonts w:hint="eastAsia" w:asciiTheme="majorEastAsia" w:hAnsiTheme="majorEastAsia" w:eastAsiaTheme="majorEastAsia" w:cstheme="majorEastAsia"/>
          <w:color w:val="auto"/>
          <w:sz w:val="24"/>
          <w:szCs w:val="24"/>
          <w:highlight w:val="none"/>
          <w:lang w:val="en-US"/>
        </w:rPr>
        <w:t>15</w:t>
      </w:r>
      <w:r>
        <w:rPr>
          <w:rFonts w:hint="eastAsia" w:ascii="宋体" w:hAnsi="宋体" w:eastAsia="宋体" w:cs="宋体"/>
          <w:color w:val="auto"/>
          <w:sz w:val="24"/>
          <w:szCs w:val="24"/>
          <w:highlight w:val="none"/>
          <w:lang w:val="en-US"/>
        </w:rPr>
        <w:t>个工作日内书面向同级财政部门提出投诉。</w:t>
      </w:r>
    </w:p>
    <w:p w14:paraId="5C9B4E0C">
      <w:pPr>
        <w:spacing w:line="360" w:lineRule="auto"/>
        <w:ind w:firstLine="480" w:firstLineChars="200"/>
        <w:rPr>
          <w:rFonts w:ascii="宋体" w:hAnsi="宋体" w:eastAsia="宋体" w:cs="宋体"/>
          <w:color w:val="auto"/>
          <w:sz w:val="24"/>
          <w:szCs w:val="24"/>
          <w:highlight w:val="none"/>
          <w:lang w:val="en-US"/>
        </w:rPr>
      </w:pPr>
      <w:bookmarkStart w:id="132" w:name="_Toc32012"/>
      <w:bookmarkEnd w:id="132"/>
      <w:bookmarkStart w:id="133" w:name="_Toc31795"/>
      <w:bookmarkEnd w:id="133"/>
      <w:bookmarkStart w:id="134" w:name="_Toc31733"/>
      <w:bookmarkStart w:id="135" w:name="_Toc11741"/>
    </w:p>
    <w:p w14:paraId="7854AAB2">
      <w:pPr>
        <w:jc w:val="center"/>
        <w:outlineLvl w:val="1"/>
        <w:rPr>
          <w:rFonts w:hint="eastAsia"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lang w:val="en-US"/>
        </w:rPr>
        <w:t>（二）招标文件</w:t>
      </w:r>
      <w:bookmarkEnd w:id="134"/>
      <w:bookmarkEnd w:id="135"/>
    </w:p>
    <w:p w14:paraId="42093B2A">
      <w:pPr>
        <w:spacing w:line="360" w:lineRule="auto"/>
        <w:ind w:firstLine="482" w:firstLineChars="200"/>
        <w:rPr>
          <w:rFonts w:ascii="宋体" w:hAnsi="宋体" w:eastAsia="宋体" w:cs="宋体"/>
          <w:b/>
          <w:bCs/>
          <w:color w:val="auto"/>
          <w:sz w:val="24"/>
          <w:szCs w:val="24"/>
          <w:highlight w:val="none"/>
          <w:lang w:val="en-US"/>
        </w:rPr>
      </w:pPr>
      <w:bookmarkStart w:id="136" w:name="_Toc21536"/>
      <w:bookmarkEnd w:id="136"/>
      <w:bookmarkStart w:id="137" w:name="_Toc16596"/>
      <w:r>
        <w:rPr>
          <w:rFonts w:hint="eastAsia" w:asciiTheme="majorEastAsia" w:hAnsiTheme="majorEastAsia" w:eastAsiaTheme="majorEastAsia" w:cstheme="majorEastAsia"/>
          <w:b/>
          <w:bCs/>
          <w:color w:val="auto"/>
          <w:sz w:val="24"/>
          <w:szCs w:val="24"/>
          <w:highlight w:val="none"/>
          <w:lang w:val="en-US"/>
        </w:rPr>
        <w:t>8</w:t>
      </w:r>
      <w:r>
        <w:rPr>
          <w:rFonts w:hint="eastAsia" w:ascii="宋体" w:hAnsi="宋体" w:eastAsia="宋体" w:cs="宋体"/>
          <w:b/>
          <w:bCs/>
          <w:color w:val="auto"/>
          <w:sz w:val="24"/>
          <w:szCs w:val="24"/>
          <w:highlight w:val="none"/>
          <w:lang w:val="en-US"/>
        </w:rPr>
        <w:t>.招标文件的</w:t>
      </w:r>
      <w:bookmarkEnd w:id="137"/>
      <w:r>
        <w:rPr>
          <w:rFonts w:hint="eastAsia" w:ascii="宋体" w:hAnsi="宋体" w:eastAsia="宋体" w:cs="宋体"/>
          <w:b/>
          <w:bCs/>
          <w:color w:val="auto"/>
          <w:sz w:val="24"/>
          <w:szCs w:val="24"/>
          <w:highlight w:val="none"/>
          <w:lang w:val="en-US"/>
        </w:rPr>
        <w:t>构成</w:t>
      </w:r>
    </w:p>
    <w:p w14:paraId="1958A82D">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要求提供的货物、采购过程及合同条款在招标文件中均有说明，招标文件共七章，各章的内容如下：</w:t>
      </w:r>
    </w:p>
    <w:p w14:paraId="4C41457A">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第一章 招标公告；</w:t>
      </w:r>
    </w:p>
    <w:p w14:paraId="012ED445">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第二章 投标人须知；</w:t>
      </w:r>
    </w:p>
    <w:p w14:paraId="36952AB7">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第三章 合同书样式及主要条款；</w:t>
      </w:r>
    </w:p>
    <w:p w14:paraId="3F70ED68">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第四章 投标文件格式；</w:t>
      </w:r>
    </w:p>
    <w:p w14:paraId="220A1F4B">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第五章 采购需求；</w:t>
      </w:r>
    </w:p>
    <w:p w14:paraId="151B3A5C">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第六章 资格审查；</w:t>
      </w:r>
    </w:p>
    <w:p w14:paraId="60AC1094">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第七章 评审办法；</w:t>
      </w:r>
    </w:p>
    <w:p w14:paraId="0AC4195B">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9</w:t>
      </w:r>
      <w:r>
        <w:rPr>
          <w:rFonts w:hint="eastAsia" w:ascii="宋体" w:hAnsi="宋体" w:eastAsia="宋体" w:cs="宋体"/>
          <w:b/>
          <w:bCs/>
          <w:color w:val="auto"/>
          <w:sz w:val="24"/>
          <w:szCs w:val="24"/>
          <w:highlight w:val="none"/>
          <w:lang w:val="en-US"/>
        </w:rPr>
        <w:t>.招标文件的澄清</w:t>
      </w:r>
    </w:p>
    <w:p w14:paraId="0CFECECE">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9</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投标人应认真核查招标文件，如有疑问的，投标人可以在“投标人须知前附表”规定截止时间前以澄清函形式（加盖单位章）要求采购人澄清，截止时间后送达的澄清要求不予接受。</w:t>
      </w:r>
    </w:p>
    <w:p w14:paraId="191273CD">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9</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采购代理机构将以书面形式答复所有获取招标文件的投标人（答复中不包含问题的来源）要求澄清的问题，其他澄清方式为无效。</w:t>
      </w:r>
    </w:p>
    <w:p w14:paraId="592824AC">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10</w:t>
      </w:r>
      <w:r>
        <w:rPr>
          <w:rFonts w:hint="eastAsia" w:ascii="宋体" w:hAnsi="宋体" w:eastAsia="宋体" w:cs="宋体"/>
          <w:b/>
          <w:bCs/>
          <w:color w:val="auto"/>
          <w:sz w:val="24"/>
          <w:szCs w:val="24"/>
          <w:highlight w:val="none"/>
          <w:lang w:val="en-US"/>
        </w:rPr>
        <w:t>.招标文件的澄清或者修改</w:t>
      </w:r>
    </w:p>
    <w:p w14:paraId="5C9A5CBB">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采购代理机构对已发出的招标文件进行必要澄清或者修改的，于招标文件要求提交投标文件截止时间</w:t>
      </w:r>
      <w:r>
        <w:rPr>
          <w:rFonts w:hint="eastAsia" w:asciiTheme="majorEastAsia" w:hAnsiTheme="majorEastAsia" w:eastAsiaTheme="majorEastAsia" w:cstheme="majorEastAsia"/>
          <w:color w:val="auto"/>
          <w:sz w:val="24"/>
          <w:szCs w:val="24"/>
          <w:highlight w:val="none"/>
          <w:lang w:val="en-US"/>
        </w:rPr>
        <w:t>15</w:t>
      </w:r>
      <w:r>
        <w:rPr>
          <w:rFonts w:hint="eastAsia" w:ascii="宋体" w:hAnsi="宋体" w:eastAsia="宋体" w:cs="宋体"/>
          <w:color w:val="auto"/>
          <w:sz w:val="24"/>
          <w:szCs w:val="24"/>
          <w:highlight w:val="none"/>
          <w:lang w:val="en-US"/>
        </w:rPr>
        <w:t>日前，在财政部门指定的政府采购信息发布媒体上发布更正公告。</w:t>
      </w:r>
    </w:p>
    <w:p w14:paraId="68A6B340">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采购代理机构和采购单位可以视采购具体情况，延长投标截止时间和开标时间，但至少在招标文件要求提交投标文件的截止时间</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日前，将变更时间通知所有获取招标文件的投标人，并在财政部门指定的政府采购信息发布媒体上发布变更公告。</w:t>
      </w:r>
    </w:p>
    <w:p w14:paraId="467C551E">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采购人对采购文件中的涉及评标办法、评审项目等重要评审内容做出变更，将同时发布补遗文件进行说明以保证各投标人都能重新下载并用于编制电子投标文件。</w:t>
      </w:r>
    </w:p>
    <w:p w14:paraId="4BB833D0">
      <w:pPr>
        <w:spacing w:line="360" w:lineRule="auto"/>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投标人应在投标截止时间前及时登录政府采购云平台（https://www.zcygov.cn/）中查看有关招标文件的答疑、补遗内容。否则，后果自负。</w:t>
      </w:r>
    </w:p>
    <w:p w14:paraId="2F171E60">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招标文件澄清、招标文件修改文件内容均以网上电子文件为准，当招标文件、招标文件澄清、招标文件修改文件内容前后相互矛盾时，以最后发出的为准。</w:t>
      </w:r>
    </w:p>
    <w:p w14:paraId="48C3896D">
      <w:pPr>
        <w:spacing w:line="360" w:lineRule="auto"/>
        <w:ind w:firstLine="480" w:firstLineChars="200"/>
        <w:rPr>
          <w:rFonts w:ascii="宋体" w:hAnsi="宋体" w:eastAsia="宋体" w:cs="宋体"/>
          <w:color w:val="auto"/>
          <w:sz w:val="24"/>
          <w:szCs w:val="24"/>
          <w:highlight w:val="none"/>
          <w:lang w:val="en-US"/>
        </w:rPr>
      </w:pPr>
      <w:bookmarkStart w:id="138" w:name="_Toc24916"/>
      <w:bookmarkEnd w:id="138"/>
      <w:bookmarkStart w:id="139" w:name="_Toc16663"/>
      <w:bookmarkEnd w:id="139"/>
      <w:bookmarkStart w:id="140" w:name="_Toc29741"/>
      <w:bookmarkEnd w:id="140"/>
      <w:bookmarkStart w:id="141" w:name="_Toc24768"/>
      <w:bookmarkStart w:id="142" w:name="_Toc13002"/>
    </w:p>
    <w:p w14:paraId="09EAE932">
      <w:pPr>
        <w:jc w:val="center"/>
        <w:outlineLvl w:val="1"/>
        <w:rPr>
          <w:rFonts w:hint="eastAsia"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lang w:val="en-US"/>
        </w:rPr>
        <w:t>（三）投标文件</w:t>
      </w:r>
      <w:bookmarkEnd w:id="141"/>
      <w:bookmarkEnd w:id="142"/>
    </w:p>
    <w:p w14:paraId="157B8CC6">
      <w:pPr>
        <w:spacing w:line="360" w:lineRule="auto"/>
        <w:ind w:firstLine="482" w:firstLineChars="200"/>
        <w:rPr>
          <w:rFonts w:ascii="宋体" w:hAnsi="宋体" w:eastAsia="宋体" w:cs="宋体"/>
          <w:b/>
          <w:bCs/>
          <w:color w:val="auto"/>
          <w:sz w:val="24"/>
          <w:szCs w:val="24"/>
          <w:highlight w:val="none"/>
          <w:lang w:val="en-US"/>
        </w:rPr>
      </w:pPr>
      <w:bookmarkStart w:id="143" w:name="_Toc2432"/>
      <w:bookmarkEnd w:id="143"/>
      <w:bookmarkStart w:id="144" w:name="_Toc7149"/>
      <w:r>
        <w:rPr>
          <w:rFonts w:hint="eastAsia" w:asciiTheme="majorEastAsia" w:hAnsiTheme="majorEastAsia" w:eastAsiaTheme="majorEastAsia" w:cstheme="majorEastAsia"/>
          <w:b/>
          <w:bCs/>
          <w:color w:val="auto"/>
          <w:sz w:val="24"/>
          <w:szCs w:val="24"/>
          <w:highlight w:val="none"/>
          <w:lang w:val="en-US"/>
        </w:rPr>
        <w:t>11</w:t>
      </w:r>
      <w:r>
        <w:rPr>
          <w:rFonts w:hint="eastAsia" w:ascii="宋体" w:hAnsi="宋体" w:eastAsia="宋体" w:cs="宋体"/>
          <w:b/>
          <w:bCs/>
          <w:color w:val="auto"/>
          <w:sz w:val="24"/>
          <w:szCs w:val="24"/>
          <w:highlight w:val="none"/>
          <w:lang w:val="en-US"/>
        </w:rPr>
        <w:t>.投标文件编写注意事项</w:t>
      </w:r>
    </w:p>
    <w:p w14:paraId="47129FA5">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投标人应仔细阅读招标文件，在完全了解采购的内容、技术性能要求(详见第五章《采购需求》)和商务条件后，编写投标文件。</w:t>
      </w:r>
      <w:r>
        <w:rPr>
          <w:rFonts w:hint="eastAsia" w:ascii="宋体" w:hAnsi="宋体" w:eastAsia="宋体" w:cs="宋体"/>
          <w:b/>
          <w:bCs/>
          <w:color w:val="auto"/>
          <w:sz w:val="24"/>
          <w:szCs w:val="24"/>
          <w:highlight w:val="none"/>
          <w:lang w:val="en-US"/>
        </w:rPr>
        <w:t>招标文件中标注★号的条款为实质性要求和条件，投标文件必须响应招标文件的实质性要求和条件，不满足任何一条将导致投标无效。</w:t>
      </w:r>
    </w:p>
    <w:p w14:paraId="3F4097B6">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 xml:space="preserve"> 对招标文件提出的实质性要求和条件作出响应是指：投标人必须对招标文件中的实质性要求和条件的内容作出满足或者优于原要求和条件的承诺，并提供相应的材料。</w:t>
      </w:r>
    </w:p>
    <w:p w14:paraId="32AE4D76">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12</w:t>
      </w:r>
      <w:r>
        <w:rPr>
          <w:rFonts w:hint="eastAsia" w:ascii="宋体" w:hAnsi="宋体" w:eastAsia="宋体" w:cs="宋体"/>
          <w:b/>
          <w:bCs/>
          <w:color w:val="auto"/>
          <w:sz w:val="24"/>
          <w:szCs w:val="24"/>
          <w:highlight w:val="none"/>
          <w:lang w:val="en-US"/>
        </w:rPr>
        <w:t>.投标的语言及计量单位</w:t>
      </w:r>
    </w:p>
    <w:p w14:paraId="4ECEF711">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投标人的投标文件以及投标人与采购代理机构就有关投标的所有来往函电统一使用中文（特别规定除外）。</w:t>
      </w:r>
    </w:p>
    <w:p w14:paraId="56CDF2A9">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投标文件中使用的计量单位除招标文件中有特殊规定外，一律使用中国法定计量单位。</w:t>
      </w:r>
    </w:p>
    <w:p w14:paraId="639F7B6C">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13</w:t>
      </w:r>
      <w:r>
        <w:rPr>
          <w:rFonts w:hint="eastAsia" w:ascii="宋体" w:hAnsi="宋体" w:eastAsia="宋体" w:cs="宋体"/>
          <w:b/>
          <w:bCs/>
          <w:color w:val="auto"/>
          <w:sz w:val="24"/>
          <w:szCs w:val="24"/>
          <w:highlight w:val="none"/>
          <w:lang w:val="en-US"/>
        </w:rPr>
        <w:t>.投标文件构成</w:t>
      </w:r>
    </w:p>
    <w:p w14:paraId="3D00C9EC">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13</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投标人编写的投标文件应由下列部分构成，并按第四章“投标文件格式”要求填写。有关文件的提交如未特别注明需提供原件的，可提供复印件/扫描件。</w:t>
      </w:r>
    </w:p>
    <w:p w14:paraId="1B5CDF9D">
      <w:pPr>
        <w:spacing w:line="360" w:lineRule="auto"/>
        <w:ind w:firstLine="480" w:firstLineChars="200"/>
        <w:rPr>
          <w:rFonts w:ascii="宋体" w:hAnsi="宋体" w:eastAsia="宋体" w:cs="宋体"/>
          <w:color w:val="auto"/>
          <w:sz w:val="24"/>
          <w:szCs w:val="24"/>
          <w:highlight w:val="none"/>
          <w:u w:val="single"/>
          <w:lang w:val="en-US"/>
        </w:rPr>
      </w:pPr>
      <w:r>
        <w:rPr>
          <w:rFonts w:hint="eastAsia" w:asciiTheme="majorEastAsia" w:hAnsiTheme="majorEastAsia" w:eastAsiaTheme="majorEastAsia" w:cstheme="majorEastAsia"/>
          <w:color w:val="auto"/>
          <w:sz w:val="24"/>
          <w:szCs w:val="24"/>
          <w:highlight w:val="none"/>
          <w:lang w:val="en-US"/>
        </w:rPr>
        <w:t>13</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u w:val="single"/>
          <w:lang w:val="en-US"/>
        </w:rPr>
        <w:t>投标人同时投多个标段（若分标段时）的，投标文件应按标段分别编制，并按标段单独递交。</w:t>
      </w:r>
    </w:p>
    <w:p w14:paraId="59ABFCD3">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14</w:t>
      </w:r>
      <w:r>
        <w:rPr>
          <w:rFonts w:hint="eastAsia" w:ascii="宋体" w:hAnsi="宋体" w:eastAsia="宋体" w:cs="宋体"/>
          <w:b/>
          <w:bCs/>
          <w:color w:val="auto"/>
          <w:sz w:val="24"/>
          <w:szCs w:val="24"/>
          <w:highlight w:val="none"/>
          <w:lang w:val="en-US"/>
        </w:rPr>
        <w:t>.投标文件的格式要求</w:t>
      </w:r>
    </w:p>
    <w:p w14:paraId="57824763">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投标人应按第四章“投标文件格式”提供的格式完整地填写。</w:t>
      </w:r>
    </w:p>
    <w:p w14:paraId="4C4E5685">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15</w:t>
      </w:r>
      <w:r>
        <w:rPr>
          <w:rFonts w:hint="eastAsia" w:ascii="宋体" w:hAnsi="宋体" w:eastAsia="宋体" w:cs="宋体"/>
          <w:b/>
          <w:bCs/>
          <w:color w:val="auto"/>
          <w:sz w:val="24"/>
          <w:szCs w:val="24"/>
          <w:highlight w:val="none"/>
          <w:lang w:val="en-US"/>
        </w:rPr>
        <w:t>.投标报价</w:t>
      </w:r>
    </w:p>
    <w:p w14:paraId="308E5B24">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15</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本项目预算金额及最高限价见“投标人须知前附表”，若投标人的投标报价超过最高限价，按未实质性响应招标文件要求处理。</w:t>
      </w:r>
    </w:p>
    <w:p w14:paraId="265E833E">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15</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投标人必须对所投标段内所有内容作出完整唯一的投标报价，不得缺项、漏项，否则投标文件将按无效处理。</w:t>
      </w:r>
    </w:p>
    <w:p w14:paraId="42C947D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rPr>
        <w:t>15</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eastAsia="zh-CN"/>
        </w:rPr>
        <w:t>投标报价指投标人依据招标文件的要求及有关资料，执行国家或行业现行技术、经济标准、定额及规范，投标报价包括但不限于全过程服务费用、包括报酬、服务费、材料费、税费、材料管理费、服务人员服务期间发生的人工费、交通费、食宿费、差旅费及人员的保险费及增值服务产生的费用等其他相关费用。合同一旦签订，此价格在合同实施期间将不因市场价格等的变化而调整。该报价应符合市场行情并能保证投标人完成履行合同所需的一切工作。采购人不再支付除投标报价以外的任何费用。</w:t>
      </w:r>
    </w:p>
    <w:p w14:paraId="073D0847">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15</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无论分项价格是否填报完全，投标报价将被视为已经包含了所有分项价格以及与项目相关的所有货物、工程或者服务费用。由于投标人分项报价填报不完整、不清楚或存在其它任何失误所导致的任何不利后果均由投标人自行承担。</w:t>
      </w:r>
    </w:p>
    <w:p w14:paraId="7DF378C8">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15</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投标人不得哄抬报价，也不应低于成本价（或进价）报价。评标委员会认为投标人的投标报价或者某些分项报价明显不合理或者低于成本，有可能影响商品质量和不能诚信履约的，将要求其在规定的期限内提供书面文件予以解释说明，并提交相关证明材料；投标人不能证明其报价合理性的，评标委员会将认定投标人投标文件无效。</w:t>
      </w:r>
    </w:p>
    <w:p w14:paraId="3948EB61">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15</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6</w:t>
      </w:r>
      <w:r>
        <w:rPr>
          <w:rFonts w:hint="eastAsia" w:ascii="宋体" w:hAnsi="宋体" w:eastAsia="宋体" w:cs="宋体"/>
          <w:color w:val="auto"/>
          <w:sz w:val="24"/>
          <w:szCs w:val="24"/>
          <w:highlight w:val="none"/>
          <w:lang w:val="en-US"/>
        </w:rPr>
        <w:t>投标人应保证其提供的货物、工程或者服务是全新的，投标人应保证其提供的货物、工程或者服务在采购人使用期间不受第三方可能提出的所有权、用益物权、担保物权、占有等一切涉及物权及知识产权、商标权、专利权、著作权等相关权利的起诉。</w:t>
      </w:r>
    </w:p>
    <w:p w14:paraId="198613CB">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16</w:t>
      </w:r>
      <w:r>
        <w:rPr>
          <w:rFonts w:hint="eastAsia" w:ascii="宋体" w:hAnsi="宋体" w:eastAsia="宋体" w:cs="宋体"/>
          <w:b/>
          <w:bCs/>
          <w:color w:val="auto"/>
          <w:sz w:val="24"/>
          <w:szCs w:val="24"/>
          <w:highlight w:val="none"/>
          <w:lang w:val="en-US"/>
        </w:rPr>
        <w:t>.投标货币</w:t>
      </w:r>
    </w:p>
    <w:p w14:paraId="2D80A58B">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投标以人民币报价。</w:t>
      </w:r>
    </w:p>
    <w:p w14:paraId="11782477">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17</w:t>
      </w:r>
      <w:r>
        <w:rPr>
          <w:rFonts w:hint="eastAsia" w:ascii="宋体" w:hAnsi="宋体" w:eastAsia="宋体" w:cs="宋体"/>
          <w:b/>
          <w:bCs/>
          <w:color w:val="auto"/>
          <w:sz w:val="24"/>
          <w:szCs w:val="24"/>
          <w:highlight w:val="none"/>
          <w:lang w:val="en-US"/>
        </w:rPr>
        <w:t>.投标文件有效期</w:t>
      </w:r>
    </w:p>
    <w:p w14:paraId="66F443F8">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17</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在“投标人须知前附表”规定的投标有效期内，投标人不得要求撤销或修改其投标文件。</w:t>
      </w:r>
    </w:p>
    <w:p w14:paraId="5BCEE5EC">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17</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投标有效期从提交投标文件的截止之日起算。投标文件中承诺的投标有效期应当不少于招标文件中载明的投标有效期。投标有效期内投标人撤销投标文件的，采购代理机构可以不退还投标保证金。</w:t>
      </w:r>
    </w:p>
    <w:p w14:paraId="5A12FBF6">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17</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在特殊情况需要延长投标有效期的，采购人以书面形式通知所有投标人延长投标有效期。投标人同意延长的，应相应延长其投标保证金的有效期，但不得要求或被允许修改或撤销其投标文件；投标人拒绝延长的，其投标文件失效，但投标人有权收回其投标保证金。</w:t>
      </w:r>
    </w:p>
    <w:p w14:paraId="1E409962">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18</w:t>
      </w:r>
      <w:r>
        <w:rPr>
          <w:rFonts w:hint="eastAsia" w:ascii="宋体" w:hAnsi="宋体" w:eastAsia="宋体" w:cs="宋体"/>
          <w:b/>
          <w:bCs/>
          <w:color w:val="auto"/>
          <w:sz w:val="24"/>
          <w:szCs w:val="24"/>
          <w:highlight w:val="none"/>
          <w:lang w:val="en-US"/>
        </w:rPr>
        <w:t>.分包</w:t>
      </w:r>
    </w:p>
    <w:p w14:paraId="5A5775D5">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18</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“投标人须知前附表”规定允许分包的项目，投标人在中标后只能将项目的非主体、非关键性工作分包。投标人应当在投标文件中载明分包承担主体，分包承担主体应当具备相应资质条件且不得再次分包。</w:t>
      </w:r>
    </w:p>
    <w:p w14:paraId="74836A88">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19</w:t>
      </w:r>
      <w:r>
        <w:rPr>
          <w:rFonts w:hint="eastAsia" w:ascii="宋体" w:hAnsi="宋体" w:eastAsia="宋体" w:cs="宋体"/>
          <w:color w:val="auto"/>
          <w:sz w:val="24"/>
          <w:szCs w:val="24"/>
          <w:highlight w:val="none"/>
          <w:lang w:val="en-US"/>
        </w:rPr>
        <w:t>.投标人应当遵循公平竞争的原则，不得恶意串通，不得妨碍其他投标人的竞争行为，不得损害采购人或者其他投标人的合法权益。</w:t>
      </w:r>
    </w:p>
    <w:p w14:paraId="20FCD838">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20</w:t>
      </w:r>
      <w:r>
        <w:rPr>
          <w:rFonts w:hint="eastAsia" w:ascii="宋体" w:hAnsi="宋体" w:eastAsia="宋体" w:cs="宋体"/>
          <w:b/>
          <w:bCs/>
          <w:color w:val="auto"/>
          <w:sz w:val="24"/>
          <w:szCs w:val="24"/>
          <w:highlight w:val="none"/>
          <w:lang w:val="en-US"/>
        </w:rPr>
        <w:t>.投标文件的编制</w:t>
      </w:r>
    </w:p>
    <w:p w14:paraId="3048D020">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投标文件全部采用电子文档，投标人应安装客户端软件—“政采云电子交易客户端”，并按照招标文件和政采云电子交易平台的要求编制，编制后应进行电子签名及加密。</w:t>
      </w:r>
    </w:p>
    <w:p w14:paraId="245E9F36">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如投标人提交的电子标书不符合</w:t>
      </w:r>
      <w:r>
        <w:rPr>
          <w:rFonts w:hint="eastAsia" w:asciiTheme="majorEastAsia" w:hAnsiTheme="majorEastAsia" w:eastAsiaTheme="majorEastAsia" w:cstheme="majorEastAsia"/>
          <w:color w:val="auto"/>
          <w:sz w:val="24"/>
          <w:szCs w:val="24"/>
          <w:highlight w:val="none"/>
          <w:lang w:val="en-US"/>
        </w:rPr>
        <w:t>20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要求或开标时无法读取导入或解密，其投标文件将不予受理。</w:t>
      </w:r>
    </w:p>
    <w:p w14:paraId="7CCE7D81">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投标文件应尽量避免涂改、行间插字或删除。如果出现上述情况，改动之处应加盖单位章或由法定代表人或其委托代理人签字确认。</w:t>
      </w:r>
    </w:p>
    <w:p w14:paraId="31151A5A">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关键内容字迹潦草、表达不清、未按要求填写而导致非唯一理解，视为未实质性响应招标文件的投标文件。</w:t>
      </w:r>
    </w:p>
    <w:p w14:paraId="2472B990">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投标文件中提供的资料（扫描件），内容必须清晰可辨，若内容模糊，无法辨识，均视为未提供。</w:t>
      </w:r>
    </w:p>
    <w:p w14:paraId="4B3A8C77">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6</w:t>
      </w:r>
      <w:r>
        <w:rPr>
          <w:rFonts w:hint="eastAsia" w:ascii="宋体" w:hAnsi="宋体" w:eastAsia="宋体" w:cs="宋体"/>
          <w:color w:val="auto"/>
          <w:sz w:val="24"/>
          <w:szCs w:val="24"/>
          <w:highlight w:val="none"/>
          <w:lang w:val="en-US"/>
        </w:rPr>
        <w:t>投标文件中对招标文件商务条款及技术要求的应答出现完全或绝大部分复制招标文件要求的，视为未实质性响应招标文件的投标文件。</w:t>
      </w:r>
    </w:p>
    <w:p w14:paraId="39233A5D">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7</w:t>
      </w:r>
      <w:r>
        <w:rPr>
          <w:rFonts w:hint="eastAsia" w:ascii="宋体" w:hAnsi="宋体" w:eastAsia="宋体" w:cs="宋体"/>
          <w:color w:val="auto"/>
          <w:sz w:val="24"/>
          <w:szCs w:val="24"/>
          <w:highlight w:val="none"/>
          <w:lang w:val="en-US"/>
        </w:rPr>
        <w:t>投标文件应由法定代表人或其委托代理人</w:t>
      </w:r>
      <w:r>
        <w:rPr>
          <w:rFonts w:hint="eastAsia" w:ascii="宋体" w:hAnsi="宋体" w:eastAsia="宋体" w:cs="宋体"/>
          <w:b/>
          <w:bCs/>
          <w:color w:val="auto"/>
          <w:sz w:val="24"/>
          <w:szCs w:val="24"/>
          <w:highlight w:val="none"/>
          <w:lang w:val="en-US"/>
        </w:rPr>
        <w:t>在规定的电子签章处逐一电子签章</w:t>
      </w:r>
      <w:r>
        <w:rPr>
          <w:rFonts w:hint="eastAsia" w:ascii="宋体" w:hAnsi="宋体" w:eastAsia="宋体" w:cs="宋体"/>
          <w:color w:val="auto"/>
          <w:sz w:val="24"/>
          <w:szCs w:val="24"/>
          <w:highlight w:val="none"/>
          <w:lang w:val="en-US"/>
        </w:rPr>
        <w:t>（电子签名或电子签章），要求盖章处应盖单位章（电子签章）。</w:t>
      </w:r>
    </w:p>
    <w:p w14:paraId="0A4D92D7">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21</w:t>
      </w:r>
      <w:r>
        <w:rPr>
          <w:rFonts w:hint="eastAsia" w:ascii="宋体" w:hAnsi="宋体" w:eastAsia="宋体" w:cs="宋体"/>
          <w:b/>
          <w:bCs/>
          <w:color w:val="auto"/>
          <w:sz w:val="24"/>
          <w:szCs w:val="24"/>
          <w:highlight w:val="none"/>
          <w:lang w:val="en-US"/>
        </w:rPr>
        <w:t>.投标保证金</w:t>
      </w:r>
    </w:p>
    <w:p w14:paraId="4D226383">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投标保证金为人民币。投标人应在提交投标文件截止时间以前按“投标人须知前附表”规定的金额提交，并在规定的时间内保持有效。</w:t>
      </w:r>
    </w:p>
    <w:p w14:paraId="6B3CAA10">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投标人在投标截止时间前撤回已提交的投标文件的，采购代理机构将在自收到投标人书面撤回通知之日起</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个工作日内，退还已收取的投标保证金，但因投标人自身原因导致无法及时退还的除外。</w:t>
      </w:r>
    </w:p>
    <w:p w14:paraId="7FDD2BD3">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未中标人的投标保证金将在中标公告发出后</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个工作日退还；中标人的投标保证金将在采购合同签订之日起</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个工作日内退还。</w:t>
      </w:r>
    </w:p>
    <w:p w14:paraId="2993994E">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投标保证金的退回只以网上银行转账的方式进行。</w:t>
      </w:r>
    </w:p>
    <w:p w14:paraId="4EB6FFA7">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下列情况发生时，投标保证金将不予退还</w:t>
      </w:r>
    </w:p>
    <w:p w14:paraId="7AE023A0">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）投标人在投标有效期内要求撤回投标的；</w:t>
      </w:r>
    </w:p>
    <w:p w14:paraId="0B983F19">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）中标人中标后无正当理由不与采购人签订合同的；</w:t>
      </w:r>
    </w:p>
    <w:p w14:paraId="33799507">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）中标人将中标项目转让给他人，或者在投标文件中未说明，且未经采购人同意，将中标项目分包给他人的；</w:t>
      </w:r>
    </w:p>
    <w:p w14:paraId="1529F1D3">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）中标人拒绝履行合同义务的。</w:t>
      </w:r>
    </w:p>
    <w:p w14:paraId="07D5EC31">
      <w:pPr>
        <w:spacing w:line="360" w:lineRule="auto"/>
        <w:ind w:firstLine="480" w:firstLineChars="200"/>
        <w:rPr>
          <w:rFonts w:ascii="宋体" w:hAnsi="宋体" w:eastAsia="宋体" w:cs="宋体"/>
          <w:color w:val="auto"/>
          <w:sz w:val="24"/>
          <w:szCs w:val="24"/>
          <w:highlight w:val="none"/>
          <w:lang w:val="en-US"/>
        </w:rPr>
      </w:pPr>
      <w:bookmarkStart w:id="145" w:name="_Toc25491"/>
    </w:p>
    <w:p w14:paraId="431A7C71">
      <w:pPr>
        <w:jc w:val="center"/>
        <w:outlineLvl w:val="1"/>
        <w:rPr>
          <w:rFonts w:hint="eastAsia"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lang w:val="en-US"/>
        </w:rPr>
        <w:t>（四）</w:t>
      </w:r>
      <w:bookmarkEnd w:id="144"/>
      <w:bookmarkEnd w:id="145"/>
      <w:r>
        <w:rPr>
          <w:rFonts w:hint="eastAsia" w:ascii="宋体" w:hAnsi="宋体" w:eastAsia="宋体" w:cs="宋体"/>
          <w:b/>
          <w:bCs/>
          <w:color w:val="auto"/>
          <w:sz w:val="28"/>
          <w:szCs w:val="28"/>
          <w:highlight w:val="none"/>
          <w:lang w:val="en-US"/>
        </w:rPr>
        <w:t>投标文件的提交</w:t>
      </w:r>
    </w:p>
    <w:p w14:paraId="12690E30">
      <w:pPr>
        <w:spacing w:line="360" w:lineRule="auto"/>
        <w:ind w:firstLine="482" w:firstLineChars="200"/>
        <w:rPr>
          <w:rFonts w:ascii="宋体" w:hAnsi="宋体" w:eastAsia="宋体" w:cs="宋体"/>
          <w:b/>
          <w:bCs/>
          <w:color w:val="auto"/>
          <w:sz w:val="24"/>
          <w:szCs w:val="24"/>
          <w:highlight w:val="none"/>
          <w:lang w:val="en-US"/>
        </w:rPr>
      </w:pPr>
      <w:bookmarkStart w:id="146" w:name="_Toc1523"/>
      <w:bookmarkEnd w:id="146"/>
      <w:bookmarkStart w:id="147" w:name="_Toc20324"/>
      <w:r>
        <w:rPr>
          <w:rFonts w:hint="eastAsia" w:asciiTheme="majorEastAsia" w:hAnsiTheme="majorEastAsia" w:eastAsiaTheme="majorEastAsia" w:cstheme="majorEastAsia"/>
          <w:b/>
          <w:bCs/>
          <w:color w:val="auto"/>
          <w:sz w:val="24"/>
          <w:szCs w:val="24"/>
          <w:highlight w:val="none"/>
          <w:lang w:val="en-US"/>
        </w:rPr>
        <w:t>22</w:t>
      </w:r>
      <w:r>
        <w:rPr>
          <w:rFonts w:hint="eastAsia" w:ascii="宋体" w:hAnsi="宋体" w:eastAsia="宋体" w:cs="宋体"/>
          <w:b/>
          <w:bCs/>
          <w:color w:val="auto"/>
          <w:sz w:val="24"/>
          <w:szCs w:val="24"/>
          <w:highlight w:val="none"/>
          <w:lang w:val="en-US"/>
        </w:rPr>
        <w:t>.投标文件的密封与标记</w:t>
      </w:r>
    </w:p>
    <w:p w14:paraId="01317D2E">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投标人进行电子交易应安装客户端软件—“政采云电子交易客户端”，并按照招标文件和电子交易平台的要求编制并加密投标文件。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rPr>
        <w:t>未按规定加密的投标文件，电子交易平台将拒收并提示。</w:t>
      </w:r>
    </w:p>
    <w:p w14:paraId="26291B75">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使用“政采云电子交易客户端”需要提前申领 CA 数字证书。</w:t>
      </w:r>
    </w:p>
    <w:p w14:paraId="79BA4E64">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为确保网上操作合法、有效和安全，投标人应当在投标文件提交截止时间前完成在“政府采购云平台”的身份认证，确保在电子交易过程中能够对相关数据电文进行加密和使用电子签名。</w:t>
      </w:r>
    </w:p>
    <w:p w14:paraId="3BC3721D">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23</w:t>
      </w:r>
      <w:r>
        <w:rPr>
          <w:rFonts w:hint="eastAsia" w:ascii="宋体" w:hAnsi="宋体" w:eastAsia="宋体" w:cs="宋体"/>
          <w:b/>
          <w:bCs/>
          <w:color w:val="auto"/>
          <w:sz w:val="24"/>
          <w:szCs w:val="24"/>
          <w:highlight w:val="none"/>
          <w:lang w:val="en-US"/>
        </w:rPr>
        <w:t>.提交投标文件截止时间和地点</w:t>
      </w:r>
    </w:p>
    <w:p w14:paraId="61F22400">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23</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投标文件的递交/上传不得迟于“投标人须知前附表”规定的递交投标文件截止时间。逾期送达/上传的投标文件，将被拒收。</w:t>
      </w:r>
    </w:p>
    <w:p w14:paraId="4B573447">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23</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投标人必须在规定时间内将投标文件递交/上传到“投标人须知前附表”规定的地点。</w:t>
      </w:r>
    </w:p>
    <w:p w14:paraId="18BC4C3E">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23</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除“投标人须知前附表”另有规定外，投标人所递交的投标文件不予退还。</w:t>
      </w:r>
    </w:p>
    <w:p w14:paraId="2C0BCBC4">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23</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在投标截止时间前，投标人可以撤回在网上已递交的投标文件，修改后重新上传，无须书面形式通知采购人。</w:t>
      </w:r>
    </w:p>
    <w:p w14:paraId="3DAAC5DE">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23</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修改的投标文件应按照本章第</w:t>
      </w:r>
      <w:r>
        <w:rPr>
          <w:rFonts w:hint="eastAsia" w:asciiTheme="majorEastAsia" w:hAnsiTheme="majorEastAsia" w:eastAsiaTheme="majorEastAsia" w:cstheme="majorEastAsia"/>
          <w:color w:val="auto"/>
          <w:sz w:val="24"/>
          <w:szCs w:val="24"/>
          <w:highlight w:val="none"/>
          <w:lang w:val="en-US"/>
        </w:rPr>
        <w:t>20</w:t>
      </w:r>
      <w:r>
        <w:rPr>
          <w:rFonts w:hint="eastAsia" w:ascii="宋体" w:hAnsi="宋体" w:eastAsia="宋体" w:cs="宋体"/>
          <w:color w:val="auto"/>
          <w:sz w:val="24"/>
          <w:szCs w:val="24"/>
          <w:highlight w:val="none"/>
          <w:lang w:val="en-US"/>
        </w:rPr>
        <w:t>款、第</w:t>
      </w:r>
      <w:r>
        <w:rPr>
          <w:rFonts w:hint="eastAsia" w:asciiTheme="majorEastAsia" w:hAnsiTheme="majorEastAsia" w:eastAsiaTheme="majorEastAsia" w:cstheme="majorEastAsia"/>
          <w:color w:val="auto"/>
          <w:sz w:val="24"/>
          <w:szCs w:val="24"/>
          <w:highlight w:val="none"/>
          <w:lang w:val="en-US"/>
        </w:rPr>
        <w:t>22</w:t>
      </w:r>
      <w:r>
        <w:rPr>
          <w:rFonts w:hint="eastAsia" w:ascii="宋体" w:hAnsi="宋体" w:eastAsia="宋体" w:cs="宋体"/>
          <w:color w:val="auto"/>
          <w:sz w:val="24"/>
          <w:szCs w:val="24"/>
          <w:highlight w:val="none"/>
          <w:lang w:val="en-US"/>
        </w:rPr>
        <w:t>款的要求进行重新编制、加密和递交。</w:t>
      </w:r>
    </w:p>
    <w:p w14:paraId="4FB67EF3">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23</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6</w:t>
      </w:r>
      <w:r>
        <w:rPr>
          <w:rFonts w:hint="eastAsia" w:ascii="宋体" w:hAnsi="宋体" w:eastAsia="宋体" w:cs="宋体"/>
          <w:color w:val="auto"/>
          <w:sz w:val="24"/>
          <w:szCs w:val="24"/>
          <w:highlight w:val="none"/>
          <w:lang w:val="en-US"/>
        </w:rPr>
        <w:t>在投标截止时间后递交的投标文件不予撤回。</w:t>
      </w:r>
    </w:p>
    <w:p w14:paraId="4C79EF2E">
      <w:pPr>
        <w:spacing w:line="360" w:lineRule="auto"/>
        <w:ind w:firstLine="480" w:firstLineChars="200"/>
        <w:rPr>
          <w:rFonts w:ascii="宋体" w:hAnsi="宋体" w:eastAsia="宋体" w:cs="宋体"/>
          <w:color w:val="auto"/>
          <w:sz w:val="24"/>
          <w:szCs w:val="24"/>
          <w:highlight w:val="none"/>
          <w:lang w:val="en-US"/>
        </w:rPr>
      </w:pPr>
      <w:bookmarkStart w:id="148" w:name="_Toc29816"/>
    </w:p>
    <w:p w14:paraId="4ABE9487">
      <w:pPr>
        <w:jc w:val="center"/>
        <w:outlineLvl w:val="1"/>
        <w:rPr>
          <w:rFonts w:hint="eastAsia"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lang w:val="en-US"/>
        </w:rPr>
        <w:t>（五）</w:t>
      </w:r>
      <w:bookmarkEnd w:id="147"/>
      <w:bookmarkEnd w:id="148"/>
      <w:r>
        <w:rPr>
          <w:rFonts w:hint="eastAsia" w:ascii="宋体" w:hAnsi="宋体" w:eastAsia="宋体" w:cs="宋体"/>
          <w:b/>
          <w:bCs/>
          <w:color w:val="auto"/>
          <w:sz w:val="28"/>
          <w:szCs w:val="28"/>
          <w:highlight w:val="none"/>
          <w:lang w:val="en-US"/>
        </w:rPr>
        <w:t>开标与评标</w:t>
      </w:r>
    </w:p>
    <w:p w14:paraId="0374EB40">
      <w:pPr>
        <w:spacing w:line="360" w:lineRule="auto"/>
        <w:ind w:firstLine="482" w:firstLineChars="200"/>
        <w:rPr>
          <w:rFonts w:ascii="宋体" w:hAnsi="宋体" w:eastAsia="宋体" w:cs="宋体"/>
          <w:b/>
          <w:bCs/>
          <w:color w:val="auto"/>
          <w:sz w:val="24"/>
          <w:szCs w:val="24"/>
          <w:highlight w:val="none"/>
          <w:lang w:val="en-US"/>
        </w:rPr>
      </w:pPr>
      <w:bookmarkStart w:id="149" w:name="_Toc1527"/>
      <w:bookmarkEnd w:id="149"/>
      <w:bookmarkStart w:id="150" w:name="_Toc9143"/>
      <w:r>
        <w:rPr>
          <w:rFonts w:hint="eastAsia" w:asciiTheme="majorEastAsia" w:hAnsiTheme="majorEastAsia" w:eastAsiaTheme="majorEastAsia" w:cstheme="majorEastAsia"/>
          <w:b/>
          <w:bCs/>
          <w:color w:val="auto"/>
          <w:sz w:val="24"/>
          <w:szCs w:val="24"/>
          <w:highlight w:val="none"/>
          <w:lang w:val="en-US"/>
        </w:rPr>
        <w:t>24</w:t>
      </w:r>
      <w:r>
        <w:rPr>
          <w:rFonts w:hint="eastAsia" w:ascii="宋体" w:hAnsi="宋体" w:eastAsia="宋体" w:cs="宋体"/>
          <w:b/>
          <w:bCs/>
          <w:color w:val="auto"/>
          <w:sz w:val="24"/>
          <w:szCs w:val="24"/>
          <w:highlight w:val="none"/>
          <w:lang w:val="en-US"/>
        </w:rPr>
        <w:t>.开标</w:t>
      </w:r>
    </w:p>
    <w:bookmarkEnd w:id="150"/>
    <w:p w14:paraId="6C7A68E0">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采购代理机构将在“投标人须知前附表”规定的时间和地点进行开标，请各投标人代表准时参加线上开标会。</w:t>
      </w:r>
      <w:r>
        <w:rPr>
          <w:rFonts w:hint="eastAsia" w:ascii="宋体" w:hAnsi="宋体" w:eastAsia="宋体" w:cs="宋体"/>
          <w:b/>
          <w:bCs/>
          <w:color w:val="auto"/>
          <w:sz w:val="24"/>
          <w:szCs w:val="24"/>
          <w:highlight w:val="none"/>
          <w:lang w:val="en-US"/>
        </w:rPr>
        <w:t>如投标人未参加开标的，视同认可开标结果。</w:t>
      </w:r>
    </w:p>
    <w:p w14:paraId="145D4C36">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投标截止后投标人不足</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家的，不得开标。</w:t>
      </w:r>
    </w:p>
    <w:p w14:paraId="7FAD4C98">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开标程序：</w:t>
      </w:r>
    </w:p>
    <w:p w14:paraId="6508A25D">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开标会由采购代理机构主持，具体流程如下：</w:t>
      </w:r>
    </w:p>
    <w:p w14:paraId="761B907A">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）采购代理机构依托电子交易平台发起开始解密指令，投标人须使用加密时所用的CA 锁按平台提示和招标文件的规定登录到“政采云”平台电子开标大厅签到，并在发起解密指令之时起</w:t>
      </w:r>
      <w:r>
        <w:rPr>
          <w:rFonts w:hint="eastAsia" w:asciiTheme="majorEastAsia" w:hAnsiTheme="majorEastAsia" w:eastAsiaTheme="majorEastAsia" w:cstheme="majorEastAsia"/>
          <w:b/>
          <w:bCs/>
          <w:color w:val="auto"/>
          <w:sz w:val="24"/>
          <w:szCs w:val="24"/>
          <w:highlight w:val="none"/>
          <w:lang w:val="en-US"/>
        </w:rPr>
        <w:t>30</w:t>
      </w:r>
      <w:r>
        <w:rPr>
          <w:rFonts w:hint="eastAsia" w:ascii="宋体" w:hAnsi="宋体" w:eastAsia="宋体" w:cs="宋体"/>
          <w:b/>
          <w:bCs/>
          <w:color w:val="auto"/>
          <w:sz w:val="24"/>
          <w:szCs w:val="24"/>
          <w:highlight w:val="none"/>
          <w:lang w:val="en-US"/>
        </w:rPr>
        <w:t>分钟</w:t>
      </w:r>
      <w:r>
        <w:rPr>
          <w:rFonts w:hint="eastAsia" w:ascii="宋体" w:hAnsi="宋体" w:eastAsia="宋体" w:cs="宋体"/>
          <w:color w:val="auto"/>
          <w:sz w:val="24"/>
          <w:szCs w:val="24"/>
          <w:highlight w:val="none"/>
          <w:lang w:val="en-US"/>
        </w:rPr>
        <w:t>内完成对电子投标文件在线解密。</w:t>
      </w:r>
    </w:p>
    <w:p w14:paraId="39CA3AB4">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）发起解密指令之时起</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分钟内投标人还未进行解密的，代理机构可通知投标人，投标人未预留联系方式或预留联系方式无效，导致代理机构无法联系到投标人进行解密的，视为撤回投标文件。</w:t>
      </w:r>
    </w:p>
    <w:p w14:paraId="164C559F">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（解密异常情况处理：详见本章 </w:t>
      </w:r>
      <w:r>
        <w:rPr>
          <w:rFonts w:hint="eastAsia" w:asciiTheme="majorEastAsia" w:hAnsiTheme="majorEastAsia" w:eastAsiaTheme="majorEastAsia" w:cstheme="majorEastAsia"/>
          <w:color w:val="auto"/>
          <w:sz w:val="24"/>
          <w:szCs w:val="24"/>
          <w:highlight w:val="none"/>
          <w:lang w:val="en-US"/>
        </w:rPr>
        <w:t>27</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电子交易活动的中止） 如投标人成功解密投标文件，但未在“政采云”电子开标大厅参加开标的，视同认可开标过程和结果，由此产生的后果由投标人自行负责。</w:t>
      </w:r>
    </w:p>
    <w:p w14:paraId="322E44CB">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 xml:space="preserve"> 开标工作人员将做开标记录。</w:t>
      </w:r>
    </w:p>
    <w:p w14:paraId="0504C6CC">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 xml:space="preserve">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p>
    <w:p w14:paraId="4621C6A6">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25</w:t>
      </w:r>
      <w:r>
        <w:rPr>
          <w:rFonts w:hint="eastAsia" w:ascii="宋体" w:hAnsi="宋体" w:eastAsia="宋体" w:cs="宋体"/>
          <w:b/>
          <w:bCs/>
          <w:color w:val="auto"/>
          <w:sz w:val="24"/>
          <w:szCs w:val="24"/>
          <w:highlight w:val="none"/>
          <w:lang w:val="en-US"/>
        </w:rPr>
        <w:t>.资格审查</w:t>
      </w:r>
    </w:p>
    <w:p w14:paraId="09BE8811">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25</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开标结束后，采购人或者采购代理机构应当依法对投标人的资格进行审查。合格投标人不足</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家的，不得评标。</w:t>
      </w:r>
    </w:p>
    <w:p w14:paraId="6BD22894">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26</w:t>
      </w:r>
      <w:r>
        <w:rPr>
          <w:rFonts w:hint="eastAsia" w:ascii="宋体" w:hAnsi="宋体" w:eastAsia="宋体" w:cs="宋体"/>
          <w:b/>
          <w:bCs/>
          <w:color w:val="auto"/>
          <w:sz w:val="24"/>
          <w:szCs w:val="24"/>
          <w:highlight w:val="none"/>
          <w:lang w:val="en-US"/>
        </w:rPr>
        <w:t>.评标</w:t>
      </w:r>
    </w:p>
    <w:p w14:paraId="1F804099">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评标由采购人依法组建的评标委员会负责。评标委员会由采购人代表和有关技术、经济等方面的专家组成，成员人数应当为</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人以上单数。其中，技术、经济等方面的专家不得少于成员总数的三分之二。评标委员会应当推选组长，但采购人代表不得担任组长。</w:t>
      </w:r>
    </w:p>
    <w:p w14:paraId="0700420E">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采购人委派代表参加评标委员会的，要向采购代理机构出具授权函。</w:t>
      </w:r>
    </w:p>
    <w:p w14:paraId="6E8892BC">
      <w:pPr>
        <w:spacing w:line="360" w:lineRule="auto"/>
        <w:ind w:firstLine="480" w:firstLineChars="200"/>
        <w:rPr>
          <w:rFonts w:ascii="宋体" w:hAnsi="宋体" w:eastAsia="宋体" w:cs="宋体"/>
          <w:color w:val="auto"/>
          <w:sz w:val="24"/>
          <w:szCs w:val="24"/>
          <w:highlight w:val="none"/>
          <w:lang w:val="en-US"/>
        </w:rPr>
      </w:pPr>
      <w:bookmarkStart w:id="151" w:name="_Toc191374422"/>
      <w:r>
        <w:rPr>
          <w:rFonts w:hint="eastAsia" w:asciiTheme="majorEastAsia" w:hAnsiTheme="majorEastAsia" w:eastAsiaTheme="majorEastAsia" w:cstheme="majorEastAsia"/>
          <w:color w:val="auto"/>
          <w:sz w:val="24"/>
          <w:szCs w:val="24"/>
          <w:highlight w:val="none"/>
          <w:lang w:val="en-US"/>
        </w:rPr>
        <w:t>26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评标原则</w:t>
      </w:r>
      <w:bookmarkEnd w:id="151"/>
      <w:r>
        <w:rPr>
          <w:rFonts w:hint="eastAsia" w:ascii="宋体" w:hAnsi="宋体" w:eastAsia="宋体" w:cs="宋体"/>
          <w:color w:val="auto"/>
          <w:sz w:val="24"/>
          <w:szCs w:val="24"/>
          <w:highlight w:val="none"/>
          <w:lang w:val="en-US"/>
        </w:rPr>
        <w:t>及方法</w:t>
      </w:r>
    </w:p>
    <w:p w14:paraId="65B6FB17">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评标活动遵循公平、公正、科学和择优的原则。</w:t>
      </w:r>
    </w:p>
    <w:p w14:paraId="4CDB82E1">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评标方法</w:t>
      </w:r>
    </w:p>
    <w:p w14:paraId="15EA3559">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本项目按“投标人须知前附表”规定的评标方法评标。在评标中，不得改变招标文件中规定的评标标准、方法和中标条件。第七章“评审方法”没有规定的评审因素和标准，不作为评标依据。</w:t>
      </w:r>
    </w:p>
    <w:p w14:paraId="20CCD603">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评标应当在严格保密的情况下进行。任何单位和个人不得非法干预、影响评标办法的确定，以及评标过程和结果。评标委员会成员和与评标活动有关的人员在政府采购活动中应严格遵守政府采购评审工作纪律，不得向外界泄露评审情况。</w:t>
      </w:r>
    </w:p>
    <w:p w14:paraId="126750A6">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在评标过程中，评标委员会发现投标人有本须知</w:t>
      </w:r>
      <w:r>
        <w:rPr>
          <w:rFonts w:hint="eastAsia" w:asciiTheme="majorEastAsia" w:hAnsiTheme="majorEastAsia" w:eastAsiaTheme="majorEastAsia" w:cstheme="majorEastAsia"/>
          <w:color w:val="auto"/>
          <w:sz w:val="24"/>
          <w:szCs w:val="24"/>
          <w:highlight w:val="none"/>
          <w:lang w:val="en-US"/>
        </w:rPr>
        <w:t>19</w:t>
      </w:r>
      <w:r>
        <w:rPr>
          <w:rFonts w:hint="eastAsia" w:ascii="宋体" w:hAnsi="宋体" w:eastAsia="宋体" w:cs="宋体"/>
          <w:color w:val="auto"/>
          <w:sz w:val="24"/>
          <w:szCs w:val="24"/>
          <w:highlight w:val="none"/>
          <w:lang w:val="en-US"/>
        </w:rPr>
        <w:t>条款规定的情形，应当认定其投标无效，并书面报告本级财政部门。</w:t>
      </w:r>
    </w:p>
    <w:p w14:paraId="211FCE4B">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6</w:t>
      </w:r>
      <w:r>
        <w:rPr>
          <w:rFonts w:hint="eastAsia" w:ascii="宋体" w:hAnsi="宋体" w:eastAsia="宋体" w:cs="宋体"/>
          <w:color w:val="auto"/>
          <w:sz w:val="24"/>
          <w:szCs w:val="24"/>
          <w:highlight w:val="none"/>
          <w:lang w:val="en-US"/>
        </w:rPr>
        <w:t>有下列情形之一的，视为投标人串通投标，其投标无效：</w:t>
      </w:r>
    </w:p>
    <w:p w14:paraId="7D3F10BD">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（一）不同投标人的投标文件由同一单位或者个人编制；</w:t>
      </w:r>
    </w:p>
    <w:p w14:paraId="6EEB67FD">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（二）不同投标人委托同一单位或者个人办理投标事宜；</w:t>
      </w:r>
    </w:p>
    <w:p w14:paraId="384E54E0">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（三）不同投标人的投标文件载明的项目管理成员或者联系人员为同一人；</w:t>
      </w:r>
    </w:p>
    <w:p w14:paraId="0D2497E4">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（四）不同投标人的投标文件异常一致或者投标报价呈规律性差异；</w:t>
      </w:r>
    </w:p>
    <w:p w14:paraId="001C664E">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（五）不同投标人的投标文件相互混装；</w:t>
      </w:r>
    </w:p>
    <w:p w14:paraId="04626CA1">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（六）不同投标人的投标保证金从同一单位或者个人的账户转出。</w:t>
      </w:r>
    </w:p>
    <w:p w14:paraId="1276BFC3">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7</w:t>
      </w:r>
      <w:r>
        <w:rPr>
          <w:rFonts w:hint="eastAsia" w:ascii="宋体" w:hAnsi="宋体" w:eastAsia="宋体" w:cs="宋体"/>
          <w:b/>
          <w:bCs/>
          <w:color w:val="auto"/>
          <w:sz w:val="24"/>
          <w:szCs w:val="24"/>
          <w:highlight w:val="none"/>
          <w:lang w:val="en-US"/>
        </w:rPr>
        <w:t>（适用于综合评分法）</w:t>
      </w:r>
      <w:r>
        <w:rPr>
          <w:rFonts w:hint="eastAsia" w:ascii="宋体" w:hAnsi="宋体" w:eastAsia="宋体" w:cs="宋体"/>
          <w:color w:val="auto"/>
          <w:sz w:val="24"/>
          <w:szCs w:val="24"/>
          <w:highlight w:val="none"/>
          <w:lang w:val="en-US"/>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35E6FF5">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8</w:t>
      </w:r>
      <w:r>
        <w:rPr>
          <w:rFonts w:hint="eastAsia" w:ascii="宋体" w:hAnsi="宋体" w:eastAsia="宋体" w:cs="宋体"/>
          <w:b/>
          <w:bCs/>
          <w:color w:val="auto"/>
          <w:sz w:val="24"/>
          <w:szCs w:val="24"/>
          <w:highlight w:val="none"/>
          <w:lang w:val="en-US"/>
        </w:rPr>
        <w:t>（适用于最低评标价法）</w:t>
      </w:r>
      <w:r>
        <w:rPr>
          <w:rFonts w:hint="eastAsia" w:ascii="宋体" w:hAnsi="宋体" w:eastAsia="宋体" w:cs="宋体"/>
          <w:color w:val="auto"/>
          <w:sz w:val="24"/>
          <w:szCs w:val="24"/>
          <w:highlight w:val="none"/>
          <w:lang w:val="en-US"/>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CE291CA">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26</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9</w:t>
      </w:r>
      <w:r>
        <w:rPr>
          <w:rFonts w:hint="eastAsia" w:ascii="宋体" w:hAnsi="宋体" w:eastAsia="宋体" w:cs="宋体"/>
          <w:color w:val="auto"/>
          <w:sz w:val="24"/>
          <w:szCs w:val="24"/>
          <w:highlight w:val="none"/>
          <w:lang w:val="en-US"/>
        </w:rPr>
        <w:t>若单个标段为非单一产品采购，采购人对于招标文件规定的核心产品，根据采购项目技术构成、产品价格比重等合理确定核心产品，在招标文件中载明。多家投标人提供的核心产品品牌相同的，按前两款规定处理。</w:t>
      </w:r>
    </w:p>
    <w:p w14:paraId="5BBCEAF5">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27</w:t>
      </w:r>
      <w:r>
        <w:rPr>
          <w:rFonts w:hint="eastAsia" w:ascii="宋体" w:hAnsi="宋体" w:eastAsia="宋体" w:cs="宋体"/>
          <w:b/>
          <w:bCs/>
          <w:color w:val="auto"/>
          <w:sz w:val="24"/>
          <w:szCs w:val="24"/>
          <w:highlight w:val="none"/>
          <w:lang w:val="en-US"/>
        </w:rPr>
        <w:t>.在招标采购中，出现下列情形之一的，应予废标：</w:t>
      </w:r>
    </w:p>
    <w:p w14:paraId="10B72694">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）符合专业条件的投标人或者对招标文件作实质响应的投标人不足</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家的；</w:t>
      </w:r>
    </w:p>
    <w:p w14:paraId="27D30F2F">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）出现影响采购公正的违法、违规行为的；</w:t>
      </w:r>
    </w:p>
    <w:p w14:paraId="35E46870">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）投标人的报价均超过了采购预算，采购人不能支付的；</w:t>
      </w:r>
    </w:p>
    <w:p w14:paraId="33449225">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）因重大变故，采购任务取消的。</w:t>
      </w:r>
    </w:p>
    <w:p w14:paraId="7E8A78DA">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废标后，应当将废标理由通知所有投标人。</w:t>
      </w:r>
    </w:p>
    <w:p w14:paraId="68CCDE85">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27</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电子交易活动的中止</w:t>
      </w:r>
    </w:p>
    <w:p w14:paraId="37AE0C90">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采购过程中出现以下情形，导致电子交易平台无法正常运行，或者无法保证电子交易的公平、公正和安全时，采购代理机构可中止电子交易活动：</w:t>
      </w:r>
    </w:p>
    <w:p w14:paraId="06F6810F">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）电子交易平台发生故障而无法登录访问的；</w:t>
      </w:r>
    </w:p>
    <w:p w14:paraId="3B0EC696">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）电子交易平台应用或数据库出现错误，不能进行正常操作的；</w:t>
      </w:r>
    </w:p>
    <w:p w14:paraId="333D04BB">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）电子交易平台发现严重安全漏洞，有潜在泄密危险的；</w:t>
      </w:r>
    </w:p>
    <w:p w14:paraId="0C1630F7">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）病毒发作导致不能进行正常操作的；</w:t>
      </w:r>
    </w:p>
    <w:p w14:paraId="20BED87F">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）其他无法保证电子交易的公平、公正和安全的情况。</w:t>
      </w:r>
    </w:p>
    <w:p w14:paraId="2F87E79A">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27</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出现</w:t>
      </w:r>
      <w:r>
        <w:rPr>
          <w:rFonts w:hint="eastAsia" w:asciiTheme="majorEastAsia" w:hAnsiTheme="majorEastAsia" w:eastAsiaTheme="majorEastAsia" w:cstheme="majorEastAsia"/>
          <w:color w:val="auto"/>
          <w:sz w:val="24"/>
          <w:szCs w:val="24"/>
          <w:highlight w:val="none"/>
          <w:lang w:val="en-US"/>
        </w:rPr>
        <w:t>27</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中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D8458F9">
      <w:pPr>
        <w:spacing w:line="360" w:lineRule="auto"/>
        <w:ind w:firstLine="480" w:firstLineChars="200"/>
        <w:rPr>
          <w:rFonts w:ascii="宋体" w:hAnsi="宋体" w:eastAsia="宋体" w:cs="宋体"/>
          <w:color w:val="auto"/>
          <w:sz w:val="24"/>
          <w:szCs w:val="24"/>
          <w:highlight w:val="none"/>
          <w:lang w:val="en-US"/>
        </w:rPr>
      </w:pPr>
    </w:p>
    <w:p w14:paraId="338FBE2B">
      <w:pPr>
        <w:jc w:val="center"/>
        <w:outlineLvl w:val="1"/>
        <w:rPr>
          <w:rFonts w:hint="eastAsia" w:ascii="宋体" w:hAnsi="宋体" w:eastAsia="宋体" w:cs="宋体"/>
          <w:b/>
          <w:bCs/>
          <w:color w:val="auto"/>
          <w:sz w:val="28"/>
          <w:szCs w:val="28"/>
          <w:highlight w:val="none"/>
          <w:lang w:val="en-US"/>
        </w:rPr>
      </w:pPr>
      <w:bookmarkStart w:id="152" w:name="_Toc27754"/>
      <w:bookmarkEnd w:id="152"/>
      <w:bookmarkStart w:id="153" w:name="_Toc26040"/>
      <w:bookmarkEnd w:id="153"/>
      <w:bookmarkStart w:id="154" w:name="_Toc29240"/>
      <w:bookmarkStart w:id="155" w:name="_Toc30133"/>
      <w:r>
        <w:rPr>
          <w:rFonts w:hint="eastAsia" w:ascii="宋体" w:hAnsi="宋体" w:eastAsia="宋体" w:cs="宋体"/>
          <w:b/>
          <w:bCs/>
          <w:color w:val="auto"/>
          <w:sz w:val="28"/>
          <w:szCs w:val="28"/>
          <w:highlight w:val="none"/>
          <w:lang w:val="en-US"/>
        </w:rPr>
        <w:t>（六）</w:t>
      </w:r>
      <w:bookmarkEnd w:id="154"/>
      <w:bookmarkEnd w:id="155"/>
      <w:r>
        <w:rPr>
          <w:rFonts w:hint="eastAsia" w:ascii="宋体" w:hAnsi="宋体" w:eastAsia="宋体" w:cs="宋体"/>
          <w:b/>
          <w:bCs/>
          <w:color w:val="auto"/>
          <w:sz w:val="28"/>
          <w:szCs w:val="28"/>
          <w:highlight w:val="none"/>
          <w:lang w:val="en-US"/>
        </w:rPr>
        <w:t>中标结果</w:t>
      </w:r>
    </w:p>
    <w:p w14:paraId="259C51A9">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28</w:t>
      </w:r>
      <w:r>
        <w:rPr>
          <w:rFonts w:hint="eastAsia" w:ascii="宋体" w:hAnsi="宋体" w:eastAsia="宋体" w:cs="宋体"/>
          <w:b/>
          <w:bCs/>
          <w:color w:val="auto"/>
          <w:sz w:val="24"/>
          <w:szCs w:val="24"/>
          <w:highlight w:val="none"/>
          <w:lang w:val="en-US"/>
        </w:rPr>
        <w:t>.中标人的确定</w:t>
      </w:r>
    </w:p>
    <w:p w14:paraId="5AA2FA76">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28</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采购代理机构应当在评标结束之日起</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个工作日内将评标报告送采购人确认。</w:t>
      </w:r>
    </w:p>
    <w:p w14:paraId="0933DCEC">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28</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采购人应当在收到评标报告之日起</w:t>
      </w: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个工作日内，在评标报告中推荐的中标候选人中按顺序确定中标人。</w:t>
      </w:r>
    </w:p>
    <w:p w14:paraId="322A86B7">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29</w:t>
      </w:r>
      <w:r>
        <w:rPr>
          <w:rFonts w:hint="eastAsia" w:ascii="宋体" w:hAnsi="宋体" w:eastAsia="宋体" w:cs="宋体"/>
          <w:b/>
          <w:bCs/>
          <w:color w:val="auto"/>
          <w:sz w:val="24"/>
          <w:szCs w:val="24"/>
          <w:highlight w:val="none"/>
          <w:lang w:val="en-US"/>
        </w:rPr>
        <w:t>.中标通知书</w:t>
      </w:r>
    </w:p>
    <w:p w14:paraId="202D7B09">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29</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中标人确定之日起</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个工作日内，采购代理机构在财政部门指定的媒体上公告中标结果，中标公告期限为</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个工作日，同时向中标人发出中标通知书。</w:t>
      </w:r>
    </w:p>
    <w:p w14:paraId="05C60456">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29</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中标通知书是合同的一个组成部分。</w:t>
      </w:r>
    </w:p>
    <w:p w14:paraId="403C13AD">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30</w:t>
      </w:r>
      <w:r>
        <w:rPr>
          <w:rFonts w:hint="eastAsia" w:ascii="宋体" w:hAnsi="宋体" w:eastAsia="宋体" w:cs="宋体"/>
          <w:b/>
          <w:bCs/>
          <w:color w:val="auto"/>
          <w:sz w:val="24"/>
          <w:szCs w:val="24"/>
          <w:highlight w:val="none"/>
          <w:lang w:val="en-US"/>
        </w:rPr>
        <w:t>.签订合同</w:t>
      </w:r>
    </w:p>
    <w:p w14:paraId="228EDBE6">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采购人与中标人应当在中标通知书发出之日起</w:t>
      </w:r>
      <w:r>
        <w:rPr>
          <w:rFonts w:hint="eastAsia" w:asciiTheme="majorEastAsia" w:hAnsiTheme="majorEastAsia" w:eastAsiaTheme="majorEastAsia" w:cstheme="majorEastAsia"/>
          <w:color w:val="auto"/>
          <w:sz w:val="24"/>
          <w:szCs w:val="24"/>
          <w:highlight w:val="none"/>
          <w:lang w:val="en-US"/>
        </w:rPr>
        <w:t>30</w:t>
      </w:r>
      <w:r>
        <w:rPr>
          <w:rFonts w:hint="eastAsia" w:ascii="宋体" w:hAnsi="宋体" w:eastAsia="宋体" w:cs="宋体"/>
          <w:color w:val="auto"/>
          <w:sz w:val="24"/>
          <w:szCs w:val="24"/>
          <w:highlight w:val="none"/>
          <w:lang w:val="en-US"/>
        </w:rPr>
        <w:t>日内，按照招标文件和中标人投标文件的规定签订政府采购合同。</w:t>
      </w:r>
    </w:p>
    <w:p w14:paraId="40A89F10">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中标人因不可抗力或者自身原因不能履行政府采购合同的，或中标人拒绝与采购人签订合同的，采购人可以按照评标报告推荐的中标候选人名单排序，确定下一候选人为中标人，也可以重新开展政府采购活动。</w:t>
      </w:r>
    </w:p>
    <w:p w14:paraId="2DE2CA0E">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30</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政府采购合同履行中，采购人需追加与合同标的相同的货物的，在不改变合同其他条款的前提下，可以与中标人协商签订补充合同，但所有补充合同的采购金额不得超过原合同采购金额的百分之十。</w:t>
      </w:r>
    </w:p>
    <w:p w14:paraId="22EC6CD6">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31</w:t>
      </w:r>
      <w:r>
        <w:rPr>
          <w:rFonts w:hint="eastAsia" w:ascii="宋体" w:hAnsi="宋体" w:eastAsia="宋体" w:cs="宋体"/>
          <w:b/>
          <w:bCs/>
          <w:color w:val="auto"/>
          <w:sz w:val="24"/>
          <w:szCs w:val="24"/>
          <w:highlight w:val="none"/>
          <w:lang w:val="en-US"/>
        </w:rPr>
        <w:t>.履约担保</w:t>
      </w:r>
    </w:p>
    <w:p w14:paraId="72125E5E">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签订合同前，中标人应按“投标人须知前附表”上确定的履约担保的金额，向采购人提交履约担保，联合体中标的，其履约担保由牵头人递交。否则，视为放弃中标项目，投标保证金将不予退还。</w:t>
      </w:r>
    </w:p>
    <w:p w14:paraId="682A93CF">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签订合同后，如中标人不按双方签订合同约定履约，则没收其全部履约保证金，履约保证金不足以赔偿损失的，按实际损失赔偿。</w:t>
      </w:r>
    </w:p>
    <w:p w14:paraId="053B004A">
      <w:pPr>
        <w:spacing w:line="360" w:lineRule="auto"/>
        <w:ind w:firstLine="480" w:firstLineChars="200"/>
        <w:rPr>
          <w:rFonts w:ascii="宋体" w:hAnsi="宋体" w:eastAsia="宋体" w:cs="宋体"/>
          <w:color w:val="auto"/>
          <w:sz w:val="24"/>
          <w:szCs w:val="24"/>
          <w:highlight w:val="none"/>
          <w:lang w:val="en-US"/>
        </w:rPr>
      </w:pPr>
      <w:bookmarkStart w:id="156" w:name="_Toc25563"/>
      <w:bookmarkEnd w:id="156"/>
      <w:bookmarkStart w:id="157" w:name="_Toc11518"/>
      <w:bookmarkEnd w:id="157"/>
      <w:bookmarkStart w:id="158" w:name="_Toc22816"/>
      <w:bookmarkStart w:id="159" w:name="_Toc29087"/>
    </w:p>
    <w:p w14:paraId="2F905078">
      <w:pPr>
        <w:jc w:val="center"/>
        <w:outlineLvl w:val="1"/>
        <w:rPr>
          <w:rFonts w:hint="eastAsia"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lang w:val="en-US"/>
        </w:rPr>
        <w:t>（七）</w:t>
      </w:r>
      <w:bookmarkEnd w:id="158"/>
      <w:bookmarkEnd w:id="159"/>
      <w:r>
        <w:rPr>
          <w:rFonts w:hint="eastAsia" w:ascii="宋体" w:hAnsi="宋体" w:eastAsia="宋体" w:cs="宋体"/>
          <w:b/>
          <w:bCs/>
          <w:color w:val="auto"/>
          <w:sz w:val="28"/>
          <w:szCs w:val="28"/>
          <w:highlight w:val="none"/>
          <w:lang w:val="en-US"/>
        </w:rPr>
        <w:t>其他事项</w:t>
      </w:r>
    </w:p>
    <w:p w14:paraId="5882C02F">
      <w:pPr>
        <w:spacing w:line="360" w:lineRule="auto"/>
        <w:ind w:firstLine="482" w:firstLineChars="200"/>
        <w:rPr>
          <w:rFonts w:ascii="宋体" w:hAnsi="宋体" w:eastAsia="宋体" w:cs="宋体"/>
          <w:b/>
          <w:bCs/>
          <w:color w:val="auto"/>
          <w:sz w:val="24"/>
          <w:szCs w:val="24"/>
          <w:highlight w:val="none"/>
          <w:lang w:val="en-US"/>
        </w:rPr>
      </w:pPr>
      <w:bookmarkStart w:id="160" w:name="_Toc11207"/>
      <w:bookmarkEnd w:id="160"/>
      <w:r>
        <w:rPr>
          <w:rFonts w:hint="eastAsia" w:asciiTheme="majorEastAsia" w:hAnsiTheme="majorEastAsia" w:eastAsiaTheme="majorEastAsia" w:cstheme="majorEastAsia"/>
          <w:b/>
          <w:bCs/>
          <w:color w:val="auto"/>
          <w:sz w:val="24"/>
          <w:szCs w:val="24"/>
          <w:highlight w:val="none"/>
          <w:lang w:val="en-US"/>
        </w:rPr>
        <w:t>32</w:t>
      </w:r>
      <w:r>
        <w:rPr>
          <w:rFonts w:hint="eastAsia" w:ascii="宋体" w:hAnsi="宋体" w:eastAsia="宋体" w:cs="宋体"/>
          <w:b/>
          <w:bCs/>
          <w:color w:val="auto"/>
          <w:sz w:val="24"/>
          <w:szCs w:val="24"/>
          <w:highlight w:val="none"/>
          <w:lang w:val="en-US"/>
        </w:rPr>
        <w:t>.采购代理费用</w:t>
      </w:r>
    </w:p>
    <w:p w14:paraId="4E2B35D5">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eastAsia="zh-CN"/>
        </w:rPr>
        <w:t>按照《关于进一步放开建设项目专业服务价格的通知》（发改价格〔2015〕299号），参照《云南省建设工程招标代理服务收费参考意见》（云建招协〔2024〕58号）按照服务类下浮20%收取中标服务费，向中标供应商收取（计算基准价为中标价），中标供应商在领取中标通知书的同时一次性支付给采购代理机构。</w:t>
      </w:r>
    </w:p>
    <w:p w14:paraId="40ED890E">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中标人应在接受“中标通知书”前向采购代理机构一次付清代理服务费，若因中标人未缴纳代理服务费，采购代理机构有权向有关部门提起诉讼。</w:t>
      </w:r>
    </w:p>
    <w:p w14:paraId="267688BE">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代理服务费收款账户信息如下：</w:t>
      </w:r>
    </w:p>
    <w:p w14:paraId="72A2BA86">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公司名称：云南普招项目咨询有限公司</w:t>
      </w:r>
    </w:p>
    <w:p w14:paraId="133049BF">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开户银行：中国建设银行股份有限公司普洱茶苑路支行；</w:t>
      </w:r>
    </w:p>
    <w:p w14:paraId="406CE4D0">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开户账号</w:t>
      </w:r>
      <w:r>
        <w:rPr>
          <w:rFonts w:hint="eastAsia" w:asciiTheme="majorEastAsia" w:hAnsiTheme="majorEastAsia" w:eastAsiaTheme="majorEastAsia" w:cstheme="majorEastAsia"/>
          <w:color w:val="auto"/>
          <w:sz w:val="24"/>
          <w:szCs w:val="24"/>
          <w:highlight w:val="none"/>
          <w:lang w:val="en-US"/>
        </w:rPr>
        <w:t>53050168614000000434</w:t>
      </w:r>
    </w:p>
    <w:p w14:paraId="1167F32C">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其他需要补充的其他内容：见“投标人须知前附表”。</w:t>
      </w:r>
    </w:p>
    <w:p w14:paraId="3BC3E966">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33</w:t>
      </w:r>
      <w:r>
        <w:rPr>
          <w:rFonts w:hint="eastAsia" w:ascii="宋体" w:hAnsi="宋体" w:eastAsia="宋体" w:cs="宋体"/>
          <w:b/>
          <w:bCs/>
          <w:color w:val="auto"/>
          <w:sz w:val="24"/>
          <w:szCs w:val="24"/>
          <w:highlight w:val="none"/>
          <w:lang w:val="en-US"/>
        </w:rPr>
        <w:t>. 招标文件编制依据</w:t>
      </w:r>
    </w:p>
    <w:p w14:paraId="5D174A6C">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33</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本招标文件根据《中华人民共和国政府采购法》及相关法律法规编制。</w:t>
      </w:r>
    </w:p>
    <w:p w14:paraId="06B63E1F">
      <w:pPr>
        <w:spacing w:line="360" w:lineRule="auto"/>
        <w:ind w:firstLine="482" w:firstLineChars="200"/>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34</w:t>
      </w:r>
      <w:r>
        <w:rPr>
          <w:rFonts w:hint="eastAsia" w:ascii="宋体" w:hAnsi="宋体" w:eastAsia="宋体" w:cs="宋体"/>
          <w:b/>
          <w:bCs/>
          <w:color w:val="auto"/>
          <w:sz w:val="24"/>
          <w:szCs w:val="24"/>
          <w:highlight w:val="none"/>
          <w:lang w:val="en-US"/>
        </w:rPr>
        <w:t>.需要补充的其他内容</w:t>
      </w:r>
    </w:p>
    <w:p w14:paraId="7397084A">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 xml:space="preserve"> “投标人须知前附表”中若规定可以接受备选方案的，投标人在投标文件中只能提供一个备选方案，并注明主选方案，且备选方案的投标价格不得高于主选方案。凡提供两个以上备选方案或未注明主选方案的，该投标将被视为未实质性响应招标文件要求</w:t>
      </w:r>
    </w:p>
    <w:p w14:paraId="737DAEA0">
      <w:pPr>
        <w:spacing w:line="360" w:lineRule="auto"/>
        <w:ind w:firstLine="480" w:firstLineChars="2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评标委员会在对有备选方案的投标人进行评审时，应当以主选方案为准进行评审，如考虑备选方案的，备选方案必须实质性响应招标文件要求。</w:t>
      </w:r>
    </w:p>
    <w:p w14:paraId="4173AD6D">
      <w:pPr>
        <w:spacing w:line="360" w:lineRule="auto"/>
        <w:ind w:firstLine="480" w:firstLineChars="200"/>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34</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其它需要补充的其他内容：见“投标人须知前附表”。</w:t>
      </w:r>
    </w:p>
    <w:p w14:paraId="41FE692B">
      <w:pPr>
        <w:spacing w:line="360" w:lineRule="auto"/>
        <w:ind w:firstLine="560" w:firstLineChars="200"/>
        <w:rPr>
          <w:rFonts w:ascii="宋体" w:hAnsi="宋体" w:eastAsia="宋体" w:cs="宋体"/>
          <w:color w:val="auto"/>
          <w:sz w:val="28"/>
          <w:szCs w:val="28"/>
          <w:highlight w:val="none"/>
          <w:lang w:val="en-US"/>
        </w:rPr>
      </w:pPr>
      <w:bookmarkStart w:id="161" w:name="_Toc30483"/>
      <w:bookmarkEnd w:id="161"/>
      <w:bookmarkStart w:id="162" w:name="_Toc6003"/>
      <w:bookmarkEnd w:id="162"/>
      <w:bookmarkStart w:id="163" w:name="_Toc22840"/>
      <w:bookmarkStart w:id="164" w:name="_Toc28578"/>
    </w:p>
    <w:bookmarkEnd w:id="117"/>
    <w:bookmarkEnd w:id="118"/>
    <w:bookmarkEnd w:id="119"/>
    <w:bookmarkEnd w:id="120"/>
    <w:bookmarkEnd w:id="121"/>
    <w:bookmarkEnd w:id="122"/>
    <w:bookmarkEnd w:id="123"/>
    <w:bookmarkEnd w:id="124"/>
    <w:bookmarkEnd w:id="125"/>
    <w:bookmarkEnd w:id="126"/>
    <w:bookmarkEnd w:id="127"/>
    <w:bookmarkEnd w:id="163"/>
    <w:bookmarkEnd w:id="164"/>
    <w:p w14:paraId="2E17DC96">
      <w:pPr>
        <w:pStyle w:val="11"/>
        <w:spacing w:before="8"/>
        <w:rPr>
          <w:rFonts w:ascii="宋体" w:hAnsi="宋体" w:eastAsia="宋体" w:cs="宋体"/>
          <w:color w:val="auto"/>
          <w:sz w:val="4"/>
          <w:highlight w:val="none"/>
        </w:rPr>
      </w:pPr>
    </w:p>
    <w:p w14:paraId="50E88EA8">
      <w:pPr>
        <w:pStyle w:val="11"/>
        <w:spacing w:before="8"/>
        <w:rPr>
          <w:rFonts w:ascii="宋体" w:hAnsi="宋体" w:eastAsia="宋体" w:cs="宋体"/>
          <w:color w:val="auto"/>
          <w:sz w:val="9"/>
          <w:highlight w:val="none"/>
        </w:rPr>
      </w:pPr>
      <w:bookmarkStart w:id="165" w:name="一、总则"/>
      <w:bookmarkEnd w:id="165"/>
    </w:p>
    <w:p w14:paraId="798A6E1C">
      <w:pPr>
        <w:pStyle w:val="3"/>
        <w:numPr>
          <w:ilvl w:val="0"/>
          <w:numId w:val="4"/>
        </w:numPr>
        <w:ind w:left="660" w:right="1067"/>
        <w:rPr>
          <w:rFonts w:eastAsia="宋体" w:cs="宋体"/>
          <w:color w:val="auto"/>
          <w:highlight w:val="none"/>
        </w:rPr>
        <w:sectPr>
          <w:footerReference r:id="rId7" w:type="default"/>
          <w:pgSz w:w="11911" w:h="16838"/>
          <w:pgMar w:top="1134" w:right="1134" w:bottom="1134" w:left="1134" w:header="850" w:footer="850" w:gutter="0"/>
          <w:pgNumType w:fmt="numberInDash"/>
          <w:cols w:space="720" w:num="1"/>
          <w:docGrid w:linePitch="1" w:charSpace="0"/>
        </w:sectPr>
      </w:pPr>
      <w:bookmarkStart w:id="166" w:name="第三章合同书样式及主要条款"/>
      <w:bookmarkEnd w:id="166"/>
      <w:bookmarkStart w:id="167" w:name="_Toc11943"/>
      <w:bookmarkStart w:id="168" w:name="_Toc28716"/>
      <w:bookmarkStart w:id="169" w:name="_Toc23394"/>
    </w:p>
    <w:p w14:paraId="02AE0B1F">
      <w:pPr>
        <w:pStyle w:val="3"/>
        <w:ind w:left="-133"/>
        <w:rPr>
          <w:color w:val="auto"/>
          <w:highlight w:val="none"/>
        </w:rPr>
      </w:pPr>
      <w:bookmarkStart w:id="170" w:name="_Toc27946"/>
      <w:bookmarkStart w:id="171" w:name="_Toc373"/>
      <w:r>
        <w:rPr>
          <w:rFonts w:hint="eastAsia" w:cs="宋体"/>
          <w:color w:val="auto"/>
          <w:highlight w:val="none"/>
          <w:lang w:bidi="ar"/>
        </w:rPr>
        <w:t xml:space="preserve">第三章 </w:t>
      </w:r>
      <w:r>
        <w:rPr>
          <w:rFonts w:hint="eastAsia"/>
          <w:color w:val="auto"/>
          <w:highlight w:val="none"/>
        </w:rPr>
        <w:t>合同书样式及主要条款</w:t>
      </w:r>
      <w:bookmarkEnd w:id="167"/>
      <w:bookmarkEnd w:id="168"/>
      <w:bookmarkEnd w:id="169"/>
      <w:bookmarkEnd w:id="170"/>
      <w:bookmarkEnd w:id="171"/>
    </w:p>
    <w:p w14:paraId="602EFAD9">
      <w:pPr>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(以下合同内容仅供参考，具体合同内容以签订合同时甲乙双方商定为准)</w:t>
      </w:r>
    </w:p>
    <w:p w14:paraId="698BFD30">
      <w:pPr>
        <w:widowControl/>
        <w:suppressAutoHyphens/>
        <w:autoSpaceDE/>
        <w:autoSpaceDN/>
        <w:spacing w:line="720" w:lineRule="exact"/>
        <w:jc w:val="center"/>
        <w:rPr>
          <w:rFonts w:ascii="方正小标宋_GBK" w:hAnsi="方正小标宋_GBK" w:eastAsia="方正小标宋_GBK" w:cs="方正小标宋_GBK"/>
          <w:b/>
          <w:color w:val="auto"/>
          <w:sz w:val="44"/>
          <w:szCs w:val="44"/>
          <w:highlight w:val="none"/>
        </w:rPr>
      </w:pPr>
      <w:bookmarkStart w:id="172" w:name="_Toc22317"/>
      <w:bookmarkStart w:id="173" w:name="_Toc7885"/>
      <w:bookmarkStart w:id="174" w:name="_Toc9845382"/>
    </w:p>
    <w:p w14:paraId="2A110DD3">
      <w:pPr>
        <w:widowControl/>
        <w:suppressAutoHyphens/>
        <w:autoSpaceDE/>
        <w:autoSpaceDN/>
        <w:spacing w:line="720" w:lineRule="exact"/>
        <w:jc w:val="center"/>
        <w:rPr>
          <w:rFonts w:ascii="方正小标宋_GBK" w:hAnsi="方正小标宋_GBK" w:eastAsia="方正小标宋_GBK" w:cs="方正小标宋_GBK"/>
          <w:b/>
          <w:color w:val="auto"/>
          <w:sz w:val="44"/>
          <w:szCs w:val="44"/>
          <w:highlight w:val="none"/>
        </w:rPr>
      </w:pPr>
    </w:p>
    <w:p w14:paraId="7D0DC0E0">
      <w:pPr>
        <w:pStyle w:val="19"/>
        <w:jc w:val="center"/>
        <w:rPr>
          <w:rFonts w:ascii="方正小标宋_GBK" w:hAnsi="方正小标宋_GBK" w:eastAsia="方正小标宋_GBK" w:cs="方正小标宋_GBK"/>
          <w:b/>
          <w:color w:val="auto"/>
          <w:sz w:val="48"/>
          <w:szCs w:val="48"/>
          <w:highlight w:val="none"/>
        </w:rPr>
      </w:pPr>
      <w:r>
        <w:rPr>
          <w:rFonts w:hint="eastAsia" w:ascii="方正小标宋_GBK" w:hAnsi="方正小标宋_GBK" w:eastAsia="方正小标宋_GBK" w:cs="方正小标宋_GBK"/>
          <w:b/>
          <w:color w:val="auto"/>
          <w:sz w:val="48"/>
          <w:szCs w:val="48"/>
          <w:highlight w:val="none"/>
          <w:lang w:eastAsia="zh-CN"/>
        </w:rPr>
        <w:t>普洱市医保数据专区建设项目</w:t>
      </w:r>
      <w:r>
        <w:rPr>
          <w:rFonts w:hint="eastAsia" w:ascii="方正小标宋_GBK" w:hAnsi="方正小标宋_GBK" w:eastAsia="方正小标宋_GBK" w:cs="方正小标宋_GBK"/>
          <w:b/>
          <w:color w:val="auto"/>
          <w:sz w:val="48"/>
          <w:szCs w:val="48"/>
          <w:highlight w:val="none"/>
        </w:rPr>
        <w:t>合同书</w:t>
      </w:r>
    </w:p>
    <w:p w14:paraId="68B74B67">
      <w:pPr>
        <w:pStyle w:val="19"/>
        <w:rPr>
          <w:rFonts w:ascii="方正小标宋_GBK" w:hAnsi="方正小标宋_GBK" w:eastAsia="方正小标宋_GBK" w:cs="方正小标宋_GBK"/>
          <w:b/>
          <w:color w:val="auto"/>
          <w:sz w:val="44"/>
          <w:szCs w:val="44"/>
          <w:highlight w:val="none"/>
        </w:rPr>
      </w:pPr>
    </w:p>
    <w:p w14:paraId="2DC19E36">
      <w:pPr>
        <w:pStyle w:val="19"/>
        <w:rPr>
          <w:color w:val="auto"/>
          <w:highlight w:val="none"/>
        </w:rPr>
      </w:pPr>
    </w:p>
    <w:p w14:paraId="1B1F8A59">
      <w:pPr>
        <w:widowControl/>
        <w:suppressAutoHyphens/>
        <w:autoSpaceDE/>
        <w:autoSpaceDN/>
        <w:spacing w:line="720" w:lineRule="exact"/>
        <w:jc w:val="center"/>
        <w:rPr>
          <w:rFonts w:ascii="方正小标宋_GBK" w:hAnsi="方正小标宋_GBK" w:eastAsia="方正小标宋_GBK" w:cs="方正小标宋_GBK"/>
          <w:b/>
          <w:color w:val="auto"/>
          <w:sz w:val="44"/>
          <w:szCs w:val="44"/>
          <w:highlight w:val="none"/>
        </w:rPr>
      </w:pPr>
    </w:p>
    <w:p w14:paraId="1BD1318F">
      <w:pPr>
        <w:suppressAutoHyphens/>
        <w:autoSpaceDE/>
        <w:autoSpaceDN/>
        <w:spacing w:line="560" w:lineRule="exact"/>
        <w:rPr>
          <w:rFonts w:ascii="方正仿宋_GBK" w:hAnsi="方正仿宋_GBK" w:eastAsia="方正仿宋_GBK" w:cs="方正仿宋_GBK"/>
          <w:b/>
          <w:color w:val="auto"/>
          <w:sz w:val="28"/>
          <w:szCs w:val="28"/>
          <w:highlight w:val="none"/>
        </w:rPr>
      </w:pPr>
    </w:p>
    <w:p w14:paraId="33511805">
      <w:pPr>
        <w:suppressAutoHyphens/>
        <w:autoSpaceDE/>
        <w:autoSpaceDN/>
        <w:spacing w:line="560" w:lineRule="exact"/>
        <w:rPr>
          <w:rFonts w:ascii="方正仿宋_GBK" w:hAnsi="方正仿宋_GBK" w:eastAsia="方正仿宋_GBK" w:cs="方正仿宋_GBK"/>
          <w:b/>
          <w:color w:val="auto"/>
          <w:sz w:val="28"/>
          <w:szCs w:val="28"/>
          <w:highlight w:val="none"/>
        </w:rPr>
      </w:pPr>
    </w:p>
    <w:p w14:paraId="2D732C49">
      <w:pPr>
        <w:suppressAutoHyphens/>
        <w:autoSpaceDE/>
        <w:autoSpaceDN/>
        <w:spacing w:line="560" w:lineRule="exact"/>
        <w:rPr>
          <w:rFonts w:ascii="方正仿宋_GBK" w:hAnsi="方正仿宋_GBK" w:eastAsia="方正仿宋_GBK" w:cs="方正仿宋_GBK"/>
          <w:b/>
          <w:color w:val="auto"/>
          <w:sz w:val="28"/>
          <w:szCs w:val="28"/>
          <w:highlight w:val="none"/>
        </w:rPr>
      </w:pPr>
    </w:p>
    <w:p w14:paraId="340029BF">
      <w:pPr>
        <w:suppressAutoHyphens/>
        <w:autoSpaceDE/>
        <w:autoSpaceDN/>
        <w:spacing w:line="560" w:lineRule="exact"/>
        <w:rPr>
          <w:rFonts w:ascii="方正仿宋_GBK" w:hAnsi="方正仿宋_GBK" w:eastAsia="方正仿宋_GBK" w:cs="方正仿宋_GBK"/>
          <w:b/>
          <w:color w:val="auto"/>
          <w:sz w:val="28"/>
          <w:szCs w:val="28"/>
          <w:highlight w:val="none"/>
        </w:rPr>
      </w:pPr>
    </w:p>
    <w:p w14:paraId="60463B30">
      <w:pPr>
        <w:suppressAutoHyphens/>
        <w:autoSpaceDE/>
        <w:autoSpaceDN/>
        <w:spacing w:line="560" w:lineRule="exact"/>
        <w:rPr>
          <w:rFonts w:ascii="方正仿宋_GBK" w:hAnsi="方正仿宋_GBK" w:eastAsia="方正仿宋_GBK" w:cs="方正仿宋_GBK"/>
          <w:b/>
          <w:color w:val="auto"/>
          <w:sz w:val="28"/>
          <w:szCs w:val="28"/>
          <w:highlight w:val="none"/>
        </w:rPr>
      </w:pPr>
    </w:p>
    <w:p w14:paraId="17B8739E">
      <w:pPr>
        <w:suppressAutoHyphens/>
        <w:autoSpaceDE/>
        <w:autoSpaceDN/>
        <w:spacing w:line="560" w:lineRule="exact"/>
        <w:rPr>
          <w:rFonts w:ascii="方正仿宋_GBK" w:hAnsi="方正仿宋_GBK" w:eastAsia="方正仿宋_GBK" w:cs="方正仿宋_GBK"/>
          <w:b/>
          <w:color w:val="auto"/>
          <w:sz w:val="28"/>
          <w:szCs w:val="28"/>
          <w:highlight w:val="none"/>
        </w:rPr>
      </w:pPr>
    </w:p>
    <w:p w14:paraId="35C14492">
      <w:pPr>
        <w:suppressAutoHyphens/>
        <w:autoSpaceDE/>
        <w:autoSpaceDN/>
        <w:spacing w:line="560" w:lineRule="exact"/>
        <w:rPr>
          <w:rFonts w:ascii="方正仿宋_GBK" w:hAnsi="方正仿宋_GBK" w:eastAsia="方正仿宋_GBK" w:cs="方正仿宋_GBK"/>
          <w:b/>
          <w:color w:val="auto"/>
          <w:sz w:val="28"/>
          <w:szCs w:val="28"/>
          <w:highlight w:val="none"/>
        </w:rPr>
      </w:pPr>
    </w:p>
    <w:p w14:paraId="4BC324F9">
      <w:pPr>
        <w:autoSpaceDE/>
        <w:autoSpaceDN/>
        <w:spacing w:line="560" w:lineRule="exact"/>
        <w:rPr>
          <w:rFonts w:hint="eastAsia" w:ascii="方正仿宋_GBK" w:hAnsi="方正仿宋_GBK" w:eastAsia="方正仿宋_GBK" w:cs="方正仿宋_GBK"/>
          <w:b/>
          <w:color w:val="auto"/>
          <w:sz w:val="32"/>
          <w:szCs w:val="32"/>
          <w:highlight w:val="none"/>
          <w:lang w:eastAsia="zh-CN"/>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32"/>
          <w:szCs w:val="32"/>
          <w:highlight w:val="none"/>
        </w:rPr>
        <w:t xml:space="preserve">  甲方: </w:t>
      </w:r>
      <w:r>
        <w:rPr>
          <w:rFonts w:hint="eastAsia" w:ascii="方正仿宋_GBK" w:hAnsi="方正仿宋_GBK" w:eastAsia="方正仿宋_GBK" w:cs="方正仿宋_GBK"/>
          <w:b/>
          <w:color w:val="auto"/>
          <w:sz w:val="32"/>
          <w:szCs w:val="32"/>
          <w:highlight w:val="none"/>
          <w:lang w:eastAsia="zh-CN"/>
        </w:rPr>
        <w:t>普洱市医疗保障局</w:t>
      </w:r>
    </w:p>
    <w:p w14:paraId="360BD1BB">
      <w:pPr>
        <w:suppressAutoHyphens/>
        <w:autoSpaceDE/>
        <w:autoSpaceDN/>
        <w:spacing w:line="560" w:lineRule="exact"/>
        <w:jc w:val="center"/>
        <w:rPr>
          <w:rFonts w:ascii="方正仿宋_GBK" w:hAnsi="方正仿宋_GBK" w:eastAsia="方正仿宋_GBK" w:cs="方正仿宋_GBK"/>
          <w:color w:val="auto"/>
          <w:sz w:val="32"/>
          <w:szCs w:val="32"/>
          <w:highlight w:val="none"/>
        </w:rPr>
      </w:pPr>
    </w:p>
    <w:p w14:paraId="39F79CA1">
      <w:pPr>
        <w:autoSpaceDE/>
        <w:autoSpaceDN/>
        <w:spacing w:line="560" w:lineRule="exact"/>
        <w:ind w:firstLine="1280" w:firstLineChars="400"/>
        <w:jc w:val="both"/>
        <w:rPr>
          <w:rFonts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color w:val="auto"/>
          <w:sz w:val="32"/>
          <w:szCs w:val="32"/>
          <w:highlight w:val="none"/>
        </w:rPr>
        <w:t>乙方:</w:t>
      </w:r>
    </w:p>
    <w:p w14:paraId="20F781D0">
      <w:pPr>
        <w:suppressAutoHyphens/>
        <w:autoSpaceDE/>
        <w:autoSpaceDN/>
        <w:spacing w:line="560" w:lineRule="exact"/>
        <w:rPr>
          <w:rFonts w:ascii="方正仿宋_GBK" w:hAnsi="方正仿宋_GBK" w:eastAsia="方正仿宋_GBK" w:cs="方正仿宋_GBK"/>
          <w:color w:val="auto"/>
          <w:sz w:val="28"/>
          <w:szCs w:val="28"/>
          <w:highlight w:val="none"/>
        </w:rPr>
      </w:pPr>
    </w:p>
    <w:p w14:paraId="5766EF5C">
      <w:pPr>
        <w:autoSpaceDE/>
        <w:autoSpaceDN/>
        <w:spacing w:line="560" w:lineRule="exact"/>
        <w:jc w:val="center"/>
        <w:rPr>
          <w:rFonts w:ascii="方正仿宋_GBK" w:hAnsi="方正仿宋_GBK" w:eastAsia="方正仿宋_GBK" w:cs="方正仿宋_GBK"/>
          <w:color w:val="auto"/>
          <w:sz w:val="32"/>
          <w:szCs w:val="32"/>
          <w:highlight w:val="none"/>
        </w:rPr>
        <w:sectPr>
          <w:headerReference r:id="rId8" w:type="default"/>
          <w:footerReference r:id="rId9" w:type="default"/>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sz w:val="32"/>
          <w:szCs w:val="32"/>
          <w:highlight w:val="none"/>
        </w:rPr>
        <w:t>签约时间：      年   月   日</w:t>
      </w:r>
    </w:p>
    <w:bookmarkEnd w:id="172"/>
    <w:bookmarkEnd w:id="173"/>
    <w:bookmarkEnd w:id="174"/>
    <w:p w14:paraId="39B9163A">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u w:val="single"/>
          <w:lang w:val="zh-CN" w:bidi="ar-SA"/>
        </w:rPr>
        <w:t xml:space="preserve">        </w:t>
      </w:r>
      <w:r>
        <w:rPr>
          <w:rFonts w:hint="eastAsia" w:ascii="宋体" w:hAnsi="宋体" w:eastAsia="宋体" w:cs="宋体"/>
          <w:color w:val="auto"/>
          <w:kern w:val="0"/>
          <w:sz w:val="21"/>
          <w:szCs w:val="21"/>
          <w:highlight w:val="none"/>
          <w:lang w:val="zh-CN" w:bidi="ar-SA"/>
        </w:rPr>
        <w:t>年</w:t>
      </w:r>
      <w:r>
        <w:rPr>
          <w:rFonts w:hint="eastAsia" w:ascii="宋体" w:hAnsi="宋体" w:eastAsia="宋体" w:cs="宋体"/>
          <w:color w:val="auto"/>
          <w:kern w:val="0"/>
          <w:sz w:val="21"/>
          <w:szCs w:val="21"/>
          <w:highlight w:val="none"/>
          <w:u w:val="single"/>
          <w:lang w:val="zh-CN" w:bidi="ar-SA"/>
        </w:rPr>
        <w:t xml:space="preserve">    </w:t>
      </w:r>
      <w:r>
        <w:rPr>
          <w:rFonts w:hint="eastAsia" w:ascii="宋体" w:hAnsi="宋体" w:eastAsia="宋体" w:cs="宋体"/>
          <w:color w:val="auto"/>
          <w:kern w:val="0"/>
          <w:sz w:val="21"/>
          <w:szCs w:val="21"/>
          <w:highlight w:val="none"/>
          <w:lang w:val="zh-CN" w:bidi="ar-SA"/>
        </w:rPr>
        <w:t>月</w:t>
      </w:r>
      <w:r>
        <w:rPr>
          <w:rFonts w:hint="eastAsia" w:ascii="宋体" w:hAnsi="宋体" w:eastAsia="宋体" w:cs="宋体"/>
          <w:color w:val="auto"/>
          <w:kern w:val="0"/>
          <w:sz w:val="21"/>
          <w:szCs w:val="21"/>
          <w:highlight w:val="none"/>
          <w:u w:val="single"/>
          <w:lang w:val="zh-CN" w:bidi="ar-SA"/>
        </w:rPr>
        <w:t xml:space="preserve">    </w:t>
      </w:r>
      <w:r>
        <w:rPr>
          <w:rFonts w:hint="eastAsia" w:ascii="宋体" w:hAnsi="宋体" w:eastAsia="宋体" w:cs="宋体"/>
          <w:color w:val="auto"/>
          <w:kern w:val="0"/>
          <w:sz w:val="21"/>
          <w:szCs w:val="21"/>
          <w:highlight w:val="none"/>
          <w:lang w:val="zh-CN" w:bidi="ar-SA"/>
        </w:rPr>
        <w:t>日</w:t>
      </w:r>
      <w:r>
        <w:rPr>
          <w:rFonts w:hint="eastAsia" w:ascii="宋体" w:hAnsi="宋体" w:eastAsia="宋体" w:cs="宋体"/>
          <w:color w:val="auto"/>
          <w:kern w:val="0"/>
          <w:sz w:val="21"/>
          <w:szCs w:val="21"/>
          <w:highlight w:val="none"/>
          <w:lang w:val="en-US" w:bidi="ar-SA"/>
        </w:rPr>
        <w:t>，</w:t>
      </w:r>
      <w:r>
        <w:rPr>
          <w:rFonts w:hint="eastAsia" w:ascii="宋体" w:hAnsi="宋体" w:eastAsia="宋体" w:cs="宋体"/>
          <w:color w:val="auto"/>
          <w:kern w:val="0"/>
          <w:sz w:val="21"/>
          <w:szCs w:val="21"/>
          <w:highlight w:val="none"/>
          <w:u w:val="single"/>
          <w:lang w:val="en-US" w:bidi="ar-SA"/>
        </w:rPr>
        <w:t xml:space="preserve">   （采购人名称）   </w:t>
      </w:r>
      <w:r>
        <w:rPr>
          <w:rFonts w:hint="eastAsia" w:ascii="宋体" w:hAnsi="宋体" w:eastAsia="宋体" w:cs="宋体"/>
          <w:color w:val="auto"/>
          <w:kern w:val="0"/>
          <w:sz w:val="21"/>
          <w:szCs w:val="21"/>
          <w:highlight w:val="none"/>
          <w:lang w:val="en-US" w:bidi="ar-SA"/>
        </w:rPr>
        <w:t>以</w:t>
      </w:r>
      <w:r>
        <w:rPr>
          <w:rFonts w:hint="eastAsia" w:ascii="宋体" w:hAnsi="宋体" w:eastAsia="宋体" w:cs="宋体"/>
          <w:color w:val="auto"/>
          <w:kern w:val="0"/>
          <w:sz w:val="21"/>
          <w:szCs w:val="21"/>
          <w:highlight w:val="none"/>
          <w:u w:val="single"/>
          <w:lang w:val="en-US" w:bidi="ar-SA"/>
        </w:rPr>
        <w:t xml:space="preserve">   （政府采购方式）  </w:t>
      </w:r>
      <w:r>
        <w:rPr>
          <w:rFonts w:hint="eastAsia" w:ascii="宋体" w:hAnsi="宋体" w:eastAsia="宋体" w:cs="宋体"/>
          <w:color w:val="auto"/>
          <w:kern w:val="0"/>
          <w:sz w:val="21"/>
          <w:szCs w:val="21"/>
          <w:highlight w:val="none"/>
          <w:lang w:val="en-US" w:bidi="ar-SA"/>
        </w:rPr>
        <w:t>对</w:t>
      </w:r>
      <w:r>
        <w:rPr>
          <w:rFonts w:hint="eastAsia" w:ascii="宋体" w:hAnsi="宋体" w:eastAsia="宋体" w:cs="宋体"/>
          <w:color w:val="auto"/>
          <w:kern w:val="0"/>
          <w:sz w:val="21"/>
          <w:szCs w:val="21"/>
          <w:highlight w:val="none"/>
          <w:u w:val="single"/>
          <w:lang w:val="en-US" w:bidi="ar-SA"/>
        </w:rPr>
        <w:t xml:space="preserve">   （项目名称）   </w:t>
      </w:r>
      <w:r>
        <w:rPr>
          <w:rFonts w:hint="eastAsia" w:ascii="宋体" w:hAnsi="宋体" w:eastAsia="宋体" w:cs="宋体"/>
          <w:color w:val="auto"/>
          <w:kern w:val="0"/>
          <w:sz w:val="21"/>
          <w:szCs w:val="21"/>
          <w:highlight w:val="none"/>
          <w:lang w:val="en-US" w:bidi="ar-SA"/>
        </w:rPr>
        <w:t>项目进行了采购。经</w:t>
      </w:r>
      <w:r>
        <w:rPr>
          <w:rFonts w:hint="eastAsia" w:ascii="宋体" w:hAnsi="宋体" w:eastAsia="宋体" w:cs="宋体"/>
          <w:color w:val="auto"/>
          <w:kern w:val="0"/>
          <w:sz w:val="21"/>
          <w:szCs w:val="21"/>
          <w:highlight w:val="none"/>
          <w:u w:val="single"/>
          <w:lang w:val="en-US" w:bidi="ar-SA"/>
        </w:rPr>
        <w:t xml:space="preserve">   （相关评定主体名称）   </w:t>
      </w:r>
      <w:r>
        <w:rPr>
          <w:rFonts w:hint="eastAsia" w:ascii="宋体" w:hAnsi="宋体" w:eastAsia="宋体" w:cs="宋体"/>
          <w:color w:val="auto"/>
          <w:kern w:val="0"/>
          <w:sz w:val="21"/>
          <w:szCs w:val="21"/>
          <w:highlight w:val="none"/>
          <w:lang w:val="en-US" w:bidi="ar-SA"/>
        </w:rPr>
        <w:t>评定，</w:t>
      </w:r>
      <w:r>
        <w:rPr>
          <w:rFonts w:hint="eastAsia" w:ascii="宋体" w:hAnsi="宋体" w:eastAsia="宋体" w:cs="宋体"/>
          <w:color w:val="auto"/>
          <w:kern w:val="0"/>
          <w:sz w:val="21"/>
          <w:szCs w:val="21"/>
          <w:highlight w:val="none"/>
          <w:u w:val="single"/>
          <w:lang w:val="en-US" w:bidi="ar-SA"/>
        </w:rPr>
        <w:t xml:space="preserve">   （中标供应商名称） </w:t>
      </w:r>
      <w:r>
        <w:rPr>
          <w:rFonts w:hint="eastAsia" w:ascii="宋体" w:hAnsi="宋体" w:eastAsia="宋体" w:cs="宋体"/>
          <w:color w:val="auto"/>
          <w:kern w:val="0"/>
          <w:sz w:val="21"/>
          <w:szCs w:val="21"/>
          <w:highlight w:val="none"/>
          <w:lang w:val="en-US" w:bidi="ar-SA"/>
        </w:rPr>
        <w:t>为该项目中标供应商。现于中标通知书发出之日起三十日内，按照采购文件确定的事项签订本合同。</w:t>
      </w:r>
    </w:p>
    <w:p w14:paraId="1C87AD5C">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zh-CN" w:bidi="ar-SA"/>
        </w:rPr>
        <w:t>根据《中华人民共和国民法典》、《中华人民共和国政府采购法》等相关法律法规之规定，按照平等、自愿、公平和诚实信用的原则，经</w:t>
      </w:r>
      <w:r>
        <w:rPr>
          <w:rFonts w:hint="eastAsia" w:ascii="宋体" w:hAnsi="宋体" w:eastAsia="宋体" w:cs="宋体"/>
          <w:color w:val="auto"/>
          <w:kern w:val="0"/>
          <w:sz w:val="21"/>
          <w:szCs w:val="21"/>
          <w:highlight w:val="none"/>
          <w:u w:val="single"/>
          <w:lang w:val="en-US" w:bidi="ar-SA"/>
        </w:rPr>
        <w:t xml:space="preserve">   （采购人名称）   </w:t>
      </w:r>
      <w:r>
        <w:rPr>
          <w:rFonts w:hint="eastAsia" w:ascii="宋体" w:hAnsi="宋体" w:eastAsia="宋体" w:cs="宋体"/>
          <w:color w:val="auto"/>
          <w:kern w:val="0"/>
          <w:sz w:val="21"/>
          <w:szCs w:val="21"/>
          <w:highlight w:val="none"/>
          <w:lang w:val="zh-CN" w:bidi="ar-SA"/>
        </w:rPr>
        <w:t>(以下简称：甲方)和</w:t>
      </w:r>
      <w:r>
        <w:rPr>
          <w:rFonts w:hint="eastAsia" w:ascii="宋体" w:hAnsi="宋体" w:eastAsia="宋体" w:cs="宋体"/>
          <w:color w:val="auto"/>
          <w:kern w:val="0"/>
          <w:sz w:val="21"/>
          <w:szCs w:val="21"/>
          <w:highlight w:val="none"/>
          <w:u w:val="single"/>
          <w:lang w:val="en-US" w:bidi="ar-SA"/>
        </w:rPr>
        <w:t xml:space="preserve">   （中标供应商名称）   </w:t>
      </w:r>
      <w:r>
        <w:rPr>
          <w:rFonts w:hint="eastAsia" w:ascii="宋体" w:hAnsi="宋体" w:eastAsia="宋体" w:cs="宋体"/>
          <w:color w:val="auto"/>
          <w:kern w:val="0"/>
          <w:sz w:val="21"/>
          <w:szCs w:val="21"/>
          <w:highlight w:val="none"/>
          <w:lang w:val="zh-CN" w:bidi="ar-SA"/>
        </w:rPr>
        <w:t>(以下简称：乙方)协商一致，约定以下合同</w:t>
      </w:r>
      <w:r>
        <w:rPr>
          <w:rFonts w:hint="eastAsia" w:ascii="宋体" w:hAnsi="宋体" w:eastAsia="宋体" w:cs="宋体"/>
          <w:color w:val="auto"/>
          <w:kern w:val="0"/>
          <w:sz w:val="21"/>
          <w:szCs w:val="21"/>
          <w:highlight w:val="none"/>
          <w:lang w:val="en-US" w:bidi="ar-SA"/>
        </w:rPr>
        <w:t>条款，以兹共同遵守、全面履行。</w:t>
      </w:r>
    </w:p>
    <w:p w14:paraId="39C12F63">
      <w:pPr>
        <w:widowControl/>
        <w:autoSpaceDE/>
        <w:autoSpaceDN/>
        <w:spacing w:before="0" w:after="0" w:line="360" w:lineRule="auto"/>
        <w:ind w:left="0" w:right="0" w:firstLine="422" w:firstLineChars="200"/>
        <w:jc w:val="left"/>
        <w:rPr>
          <w:rFonts w:hint="eastAsia" w:ascii="宋体" w:hAnsi="宋体" w:eastAsia="宋体" w:cs="宋体"/>
          <w:b/>
          <w:color w:val="auto"/>
          <w:kern w:val="0"/>
          <w:sz w:val="21"/>
          <w:szCs w:val="21"/>
          <w:highlight w:val="none"/>
          <w:lang w:val="en-US" w:bidi="ar-SA"/>
        </w:rPr>
      </w:pPr>
      <w:bookmarkStart w:id="175" w:name="_Toc20421"/>
      <w:bookmarkStart w:id="176" w:name="_Toc22967"/>
      <w:bookmarkStart w:id="177" w:name="_Toc28855"/>
      <w:bookmarkStart w:id="178" w:name="_Toc15367"/>
      <w:bookmarkStart w:id="179" w:name="_Toc19273"/>
      <w:r>
        <w:rPr>
          <w:rFonts w:hint="eastAsia" w:ascii="宋体" w:hAnsi="宋体" w:eastAsia="宋体" w:cs="宋体"/>
          <w:b/>
          <w:color w:val="auto"/>
          <w:kern w:val="0"/>
          <w:sz w:val="21"/>
          <w:szCs w:val="21"/>
          <w:highlight w:val="none"/>
          <w:lang w:val="en-US" w:bidi="ar-SA"/>
        </w:rPr>
        <w:t>1.1 合同组成部分</w:t>
      </w:r>
      <w:bookmarkEnd w:id="175"/>
      <w:bookmarkEnd w:id="176"/>
      <w:bookmarkEnd w:id="177"/>
      <w:bookmarkEnd w:id="178"/>
      <w:bookmarkEnd w:id="179"/>
    </w:p>
    <w:p w14:paraId="418CB6B9">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207783D">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1.1.1 本合同及其补充合同、变更协议；</w:t>
      </w:r>
    </w:p>
    <w:p w14:paraId="49252355">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1.1.2 中标通知书；</w:t>
      </w:r>
    </w:p>
    <w:p w14:paraId="5113B934">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1.1.3 投标文件（含澄清或者说明文件）；</w:t>
      </w:r>
    </w:p>
    <w:p w14:paraId="78BB6C96">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1.1.4 招标文件（含澄清或者修改文件）；</w:t>
      </w:r>
    </w:p>
    <w:p w14:paraId="0ABFD1FA">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1.1.5 其他相关采购文件。</w:t>
      </w:r>
    </w:p>
    <w:p w14:paraId="562B9F49">
      <w:pPr>
        <w:widowControl/>
        <w:autoSpaceDE/>
        <w:autoSpaceDN/>
        <w:spacing w:before="0" w:after="0" w:line="360" w:lineRule="auto"/>
        <w:ind w:left="0" w:right="0" w:firstLine="422" w:firstLineChars="200"/>
        <w:jc w:val="left"/>
        <w:rPr>
          <w:rFonts w:hint="eastAsia" w:ascii="宋体" w:hAnsi="宋体" w:eastAsia="宋体" w:cs="宋体"/>
          <w:b/>
          <w:color w:val="auto"/>
          <w:kern w:val="0"/>
          <w:sz w:val="21"/>
          <w:szCs w:val="21"/>
          <w:highlight w:val="none"/>
          <w:lang w:val="en-US" w:bidi="ar-SA"/>
        </w:rPr>
      </w:pPr>
      <w:bookmarkStart w:id="180" w:name="_Toc6311"/>
      <w:bookmarkStart w:id="181" w:name="_Toc6773"/>
      <w:bookmarkStart w:id="182" w:name="_Toc2918"/>
      <w:bookmarkStart w:id="183" w:name="_Toc18585"/>
      <w:bookmarkStart w:id="184" w:name="_Toc22185"/>
      <w:r>
        <w:rPr>
          <w:rFonts w:hint="eastAsia" w:ascii="宋体" w:hAnsi="宋体" w:eastAsia="宋体" w:cs="宋体"/>
          <w:b/>
          <w:color w:val="auto"/>
          <w:kern w:val="0"/>
          <w:sz w:val="21"/>
          <w:szCs w:val="21"/>
          <w:highlight w:val="none"/>
          <w:lang w:val="en-US" w:bidi="ar-SA"/>
        </w:rPr>
        <w:t>1.2 标的</w:t>
      </w:r>
      <w:bookmarkEnd w:id="180"/>
      <w:bookmarkEnd w:id="181"/>
      <w:bookmarkEnd w:id="182"/>
      <w:bookmarkEnd w:id="183"/>
      <w:bookmarkEnd w:id="184"/>
    </w:p>
    <w:p w14:paraId="2618D204">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u w:val="single"/>
          <w:lang w:val="en-US" w:bidi="ar-SA"/>
        </w:rPr>
      </w:pPr>
      <w:r>
        <w:rPr>
          <w:rFonts w:hint="eastAsia" w:ascii="宋体" w:hAnsi="宋体" w:eastAsia="宋体" w:cs="宋体"/>
          <w:color w:val="auto"/>
          <w:kern w:val="0"/>
          <w:sz w:val="21"/>
          <w:szCs w:val="21"/>
          <w:highlight w:val="none"/>
          <w:lang w:val="en-US" w:bidi="ar-SA"/>
        </w:rPr>
        <w:t>1.2.1 标的名称：</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w:t>
      </w:r>
    </w:p>
    <w:p w14:paraId="2CE937F8">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u w:val="single"/>
          <w:lang w:val="en-US" w:bidi="ar-SA"/>
        </w:rPr>
      </w:pPr>
      <w:r>
        <w:rPr>
          <w:rFonts w:hint="eastAsia" w:ascii="宋体" w:hAnsi="宋体" w:eastAsia="宋体" w:cs="宋体"/>
          <w:color w:val="auto"/>
          <w:kern w:val="0"/>
          <w:sz w:val="21"/>
          <w:szCs w:val="21"/>
          <w:highlight w:val="none"/>
          <w:lang w:val="en-US" w:bidi="ar-SA"/>
        </w:rPr>
        <w:t>1.2.2 标的数量：</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w:t>
      </w:r>
    </w:p>
    <w:p w14:paraId="7D5629B3">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1.2.3 标的质量：</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w:t>
      </w:r>
    </w:p>
    <w:p w14:paraId="24376F80">
      <w:pPr>
        <w:widowControl/>
        <w:autoSpaceDE/>
        <w:autoSpaceDN/>
        <w:spacing w:before="0" w:after="0" w:line="360" w:lineRule="auto"/>
        <w:ind w:left="0" w:right="0" w:firstLine="422" w:firstLineChars="200"/>
        <w:jc w:val="left"/>
        <w:rPr>
          <w:rFonts w:hint="eastAsia" w:ascii="宋体" w:hAnsi="宋体" w:eastAsia="宋体" w:cs="宋体"/>
          <w:b/>
          <w:color w:val="auto"/>
          <w:kern w:val="0"/>
          <w:sz w:val="21"/>
          <w:szCs w:val="21"/>
          <w:highlight w:val="none"/>
          <w:lang w:val="en-US" w:bidi="ar-SA"/>
        </w:rPr>
      </w:pPr>
      <w:bookmarkStart w:id="185" w:name="_Toc4929"/>
      <w:bookmarkStart w:id="186" w:name="_Toc5635"/>
      <w:bookmarkStart w:id="187" w:name="_Toc13918"/>
      <w:bookmarkStart w:id="188" w:name="_Toc21124"/>
      <w:bookmarkStart w:id="189" w:name="_Toc1386"/>
      <w:r>
        <w:rPr>
          <w:rFonts w:hint="eastAsia" w:ascii="宋体" w:hAnsi="宋体" w:eastAsia="宋体" w:cs="宋体"/>
          <w:b/>
          <w:color w:val="auto"/>
          <w:kern w:val="0"/>
          <w:sz w:val="21"/>
          <w:szCs w:val="21"/>
          <w:highlight w:val="none"/>
          <w:lang w:val="en-US" w:bidi="ar-SA"/>
        </w:rPr>
        <w:t>1.3 价款</w:t>
      </w:r>
      <w:bookmarkEnd w:id="185"/>
      <w:bookmarkEnd w:id="186"/>
      <w:bookmarkEnd w:id="187"/>
      <w:bookmarkEnd w:id="188"/>
      <w:bookmarkEnd w:id="189"/>
    </w:p>
    <w:p w14:paraId="48248A3C">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本合同总价为：¥</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元（大写：</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元人民币）</w:t>
      </w:r>
    </w:p>
    <w:p w14:paraId="0FCD6D16">
      <w:pPr>
        <w:widowControl/>
        <w:autoSpaceDE/>
        <w:autoSpaceDN/>
        <w:spacing w:before="0" w:after="0" w:line="360" w:lineRule="auto"/>
        <w:ind w:left="0" w:right="0" w:firstLine="422" w:firstLineChars="200"/>
        <w:jc w:val="left"/>
        <w:rPr>
          <w:rFonts w:hint="eastAsia" w:ascii="宋体" w:hAnsi="宋体" w:eastAsia="宋体" w:cs="宋体"/>
          <w:b/>
          <w:color w:val="auto"/>
          <w:kern w:val="0"/>
          <w:sz w:val="21"/>
          <w:szCs w:val="21"/>
          <w:highlight w:val="none"/>
          <w:lang w:val="en-US" w:bidi="ar-SA"/>
        </w:rPr>
      </w:pPr>
      <w:bookmarkStart w:id="190" w:name="_Toc1814"/>
      <w:bookmarkStart w:id="191" w:name="_Toc22618"/>
      <w:bookmarkStart w:id="192" w:name="_Toc10340"/>
      <w:r>
        <w:rPr>
          <w:rFonts w:hint="eastAsia" w:ascii="宋体" w:hAnsi="宋体" w:eastAsia="宋体" w:cs="宋体"/>
          <w:b/>
          <w:color w:val="auto"/>
          <w:kern w:val="0"/>
          <w:sz w:val="21"/>
          <w:szCs w:val="21"/>
          <w:highlight w:val="none"/>
          <w:lang w:val="en-US" w:bidi="ar-SA"/>
        </w:rPr>
        <w:t>1.4 付款方式和发票开具方式</w:t>
      </w:r>
      <w:bookmarkEnd w:id="190"/>
      <w:bookmarkEnd w:id="191"/>
      <w:bookmarkEnd w:id="192"/>
    </w:p>
    <w:p w14:paraId="691AB045">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1.4.1 付款方式：</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bidi="ar-SA"/>
        </w:rPr>
        <w:t>。</w:t>
      </w:r>
    </w:p>
    <w:p w14:paraId="4D7F4F16">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1.4.2 发票开具方式：</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bidi="ar-SA"/>
        </w:rPr>
        <w:t>。</w:t>
      </w:r>
    </w:p>
    <w:p w14:paraId="2BCD6881">
      <w:pPr>
        <w:widowControl/>
        <w:autoSpaceDE/>
        <w:autoSpaceDN/>
        <w:spacing w:before="0" w:after="0" w:line="360" w:lineRule="auto"/>
        <w:ind w:left="0" w:right="0" w:firstLine="422" w:firstLineChars="200"/>
        <w:jc w:val="left"/>
        <w:rPr>
          <w:rFonts w:hint="eastAsia" w:ascii="宋体" w:hAnsi="宋体" w:eastAsia="宋体" w:cs="宋体"/>
          <w:b/>
          <w:color w:val="auto"/>
          <w:kern w:val="0"/>
          <w:sz w:val="21"/>
          <w:szCs w:val="21"/>
          <w:highlight w:val="none"/>
          <w:lang w:val="en-US" w:bidi="ar-SA"/>
        </w:rPr>
      </w:pPr>
      <w:bookmarkStart w:id="193" w:name="_Toc11108"/>
      <w:bookmarkStart w:id="194" w:name="_Toc4760"/>
      <w:bookmarkStart w:id="195" w:name="_Toc8772"/>
      <w:bookmarkStart w:id="196" w:name="_Toc3625"/>
      <w:bookmarkStart w:id="197" w:name="_Toc31421"/>
      <w:r>
        <w:rPr>
          <w:rFonts w:hint="eastAsia" w:ascii="宋体" w:hAnsi="宋体" w:eastAsia="宋体" w:cs="宋体"/>
          <w:b/>
          <w:color w:val="auto"/>
          <w:kern w:val="0"/>
          <w:sz w:val="21"/>
          <w:szCs w:val="21"/>
          <w:highlight w:val="none"/>
          <w:lang w:val="en-US" w:bidi="ar-SA"/>
        </w:rPr>
        <w:t>1.5 履行期限、地点和方式</w:t>
      </w:r>
      <w:bookmarkEnd w:id="193"/>
      <w:bookmarkEnd w:id="194"/>
      <w:bookmarkEnd w:id="195"/>
      <w:bookmarkEnd w:id="196"/>
      <w:bookmarkEnd w:id="197"/>
    </w:p>
    <w:p w14:paraId="2836D027">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u w:val="single"/>
          <w:lang w:val="en-US" w:bidi="ar-SA"/>
        </w:rPr>
      </w:pPr>
      <w:r>
        <w:rPr>
          <w:rFonts w:hint="eastAsia" w:ascii="宋体" w:hAnsi="宋体" w:eastAsia="宋体" w:cs="宋体"/>
          <w:color w:val="auto"/>
          <w:kern w:val="0"/>
          <w:sz w:val="21"/>
          <w:szCs w:val="21"/>
          <w:highlight w:val="none"/>
          <w:lang w:val="en-US" w:bidi="ar-SA"/>
        </w:rPr>
        <w:t>1.5.1 履行期限：</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w:t>
      </w:r>
    </w:p>
    <w:p w14:paraId="2495ED4E">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1.5.2 履行地点：</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w:t>
      </w:r>
    </w:p>
    <w:p w14:paraId="2FF9DE86">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1.5.3 履行方式：</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w:t>
      </w:r>
    </w:p>
    <w:p w14:paraId="69BA460D">
      <w:pPr>
        <w:widowControl/>
        <w:autoSpaceDE/>
        <w:autoSpaceDN/>
        <w:spacing w:before="0" w:after="0" w:line="360" w:lineRule="auto"/>
        <w:ind w:left="0" w:right="0" w:firstLine="422" w:firstLineChars="200"/>
        <w:jc w:val="left"/>
        <w:rPr>
          <w:rFonts w:hint="eastAsia" w:ascii="宋体" w:hAnsi="宋体" w:eastAsia="宋体" w:cs="宋体"/>
          <w:b/>
          <w:color w:val="auto"/>
          <w:kern w:val="0"/>
          <w:sz w:val="21"/>
          <w:szCs w:val="21"/>
          <w:highlight w:val="none"/>
          <w:lang w:val="en-US" w:bidi="ar-SA"/>
        </w:rPr>
      </w:pPr>
      <w:bookmarkStart w:id="198" w:name="_Toc27250"/>
      <w:bookmarkStart w:id="199" w:name="_Toc19554"/>
      <w:bookmarkStart w:id="200" w:name="_Toc21423"/>
      <w:r>
        <w:rPr>
          <w:rFonts w:hint="eastAsia" w:ascii="宋体" w:hAnsi="宋体" w:eastAsia="宋体" w:cs="宋体"/>
          <w:b/>
          <w:color w:val="auto"/>
          <w:kern w:val="0"/>
          <w:sz w:val="21"/>
          <w:szCs w:val="21"/>
          <w:highlight w:val="none"/>
          <w:lang w:val="en-US" w:bidi="ar-SA"/>
        </w:rPr>
        <w:t>1.6 违约责任</w:t>
      </w:r>
      <w:bookmarkEnd w:id="198"/>
      <w:bookmarkEnd w:id="199"/>
      <w:bookmarkEnd w:id="200"/>
    </w:p>
    <w:p w14:paraId="40F2C0E0">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1.6.1 除不可抗力外，如果乙方没有按照本合同约定的期限、地点和方式履行，那么甲方</w:t>
      </w:r>
      <w:r>
        <w:rPr>
          <w:rFonts w:hint="eastAsia" w:ascii="宋体" w:hAnsi="宋体" w:eastAsia="宋体" w:cs="宋体"/>
          <w:color w:val="auto"/>
          <w:kern w:val="0"/>
          <w:sz w:val="21"/>
          <w:szCs w:val="21"/>
          <w:highlight w:val="none"/>
          <w:lang w:val="en-US" w:eastAsia="zh-CN" w:bidi="ar-SA"/>
        </w:rPr>
        <w:t>有权</w:t>
      </w:r>
      <w:r>
        <w:rPr>
          <w:rFonts w:hint="eastAsia" w:ascii="宋体" w:hAnsi="宋体" w:eastAsia="宋体" w:cs="宋体"/>
          <w:color w:val="auto"/>
          <w:kern w:val="0"/>
          <w:sz w:val="21"/>
          <w:szCs w:val="21"/>
          <w:highlight w:val="none"/>
          <w:lang w:val="en-US" w:bidi="ar-SA"/>
        </w:rPr>
        <w:t>要求乙方</w:t>
      </w:r>
      <w:r>
        <w:rPr>
          <w:rFonts w:hint="eastAsia" w:ascii="宋体" w:hAnsi="宋体" w:eastAsia="宋体" w:cs="宋体"/>
          <w:color w:val="auto"/>
          <w:kern w:val="0"/>
          <w:sz w:val="21"/>
          <w:szCs w:val="21"/>
          <w:highlight w:val="none"/>
          <w:lang w:val="en-US" w:eastAsia="zh-CN" w:bidi="ar-SA"/>
        </w:rPr>
        <w:t>承担相应</w:t>
      </w:r>
      <w:r>
        <w:rPr>
          <w:rFonts w:hint="eastAsia" w:ascii="宋体" w:hAnsi="宋体" w:eastAsia="宋体" w:cs="宋体"/>
          <w:color w:val="auto"/>
          <w:kern w:val="0"/>
          <w:sz w:val="21"/>
          <w:szCs w:val="21"/>
          <w:highlight w:val="none"/>
          <w:lang w:val="en-US" w:bidi="ar-SA"/>
        </w:rPr>
        <w:t>违约</w:t>
      </w:r>
      <w:r>
        <w:rPr>
          <w:rFonts w:hint="eastAsia" w:ascii="宋体" w:hAnsi="宋体" w:eastAsia="宋体" w:cs="宋体"/>
          <w:color w:val="auto"/>
          <w:kern w:val="0"/>
          <w:sz w:val="21"/>
          <w:szCs w:val="21"/>
          <w:highlight w:val="none"/>
          <w:lang w:val="en-US" w:eastAsia="zh-CN" w:bidi="ar-SA"/>
        </w:rPr>
        <w:t>责任</w:t>
      </w:r>
      <w:r>
        <w:rPr>
          <w:rFonts w:hint="eastAsia" w:ascii="宋体" w:hAnsi="宋体" w:eastAsia="宋体" w:cs="宋体"/>
          <w:color w:val="auto"/>
          <w:kern w:val="0"/>
          <w:sz w:val="21"/>
          <w:szCs w:val="21"/>
          <w:highlight w:val="none"/>
          <w:lang w:val="en-US" w:bidi="ar-SA"/>
        </w:rPr>
        <w:t>，在要求乙方</w:t>
      </w:r>
      <w:r>
        <w:rPr>
          <w:rFonts w:hint="eastAsia" w:ascii="宋体" w:hAnsi="宋体" w:eastAsia="宋体" w:cs="宋体"/>
          <w:color w:val="auto"/>
          <w:kern w:val="0"/>
          <w:sz w:val="21"/>
          <w:szCs w:val="21"/>
          <w:highlight w:val="none"/>
          <w:lang w:val="en-US" w:eastAsia="zh-CN" w:bidi="ar-SA"/>
        </w:rPr>
        <w:t>承担</w:t>
      </w:r>
      <w:r>
        <w:rPr>
          <w:rFonts w:hint="eastAsia" w:ascii="宋体" w:hAnsi="宋体" w:eastAsia="宋体" w:cs="宋体"/>
          <w:color w:val="auto"/>
          <w:kern w:val="0"/>
          <w:sz w:val="21"/>
          <w:szCs w:val="21"/>
          <w:highlight w:val="none"/>
          <w:lang w:val="en-US" w:bidi="ar-SA"/>
        </w:rPr>
        <w:t>违约</w:t>
      </w:r>
      <w:r>
        <w:rPr>
          <w:rFonts w:hint="eastAsia" w:ascii="宋体" w:hAnsi="宋体" w:eastAsia="宋体" w:cs="宋体"/>
          <w:color w:val="auto"/>
          <w:kern w:val="0"/>
          <w:sz w:val="21"/>
          <w:szCs w:val="21"/>
          <w:highlight w:val="none"/>
          <w:lang w:val="en-US" w:eastAsia="zh-CN" w:bidi="ar-SA"/>
        </w:rPr>
        <w:t>责任</w:t>
      </w:r>
      <w:r>
        <w:rPr>
          <w:rFonts w:hint="eastAsia" w:ascii="宋体" w:hAnsi="宋体" w:eastAsia="宋体" w:cs="宋体"/>
          <w:color w:val="auto"/>
          <w:kern w:val="0"/>
          <w:sz w:val="21"/>
          <w:szCs w:val="21"/>
          <w:highlight w:val="none"/>
          <w:lang w:val="en-US" w:bidi="ar-SA"/>
        </w:rPr>
        <w:t>的同时，</w:t>
      </w:r>
      <w:r>
        <w:rPr>
          <w:rFonts w:hint="eastAsia" w:ascii="宋体" w:hAnsi="宋体" w:eastAsia="宋体" w:cs="宋体"/>
          <w:color w:val="auto"/>
          <w:kern w:val="0"/>
          <w:sz w:val="21"/>
          <w:szCs w:val="21"/>
          <w:highlight w:val="none"/>
          <w:lang w:val="en-US" w:eastAsia="zh-CN" w:bidi="ar-SA"/>
        </w:rPr>
        <w:t>可以</w:t>
      </w:r>
      <w:r>
        <w:rPr>
          <w:rFonts w:hint="eastAsia" w:ascii="宋体" w:hAnsi="宋体" w:eastAsia="宋体" w:cs="宋体"/>
          <w:color w:val="auto"/>
          <w:kern w:val="0"/>
          <w:sz w:val="21"/>
          <w:szCs w:val="21"/>
          <w:highlight w:val="none"/>
          <w:lang w:val="en-US" w:bidi="ar-SA"/>
        </w:rPr>
        <w:t>书面通知乙方解除本合同；</w:t>
      </w:r>
    </w:p>
    <w:p w14:paraId="58440FAB">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1.6.2 除不可抗力外，如果甲方没有按照本合同约定的付款方式付款，那么乙方可要求甲方</w:t>
      </w:r>
      <w:r>
        <w:rPr>
          <w:rFonts w:hint="eastAsia" w:ascii="宋体" w:hAnsi="宋体" w:eastAsia="宋体" w:cs="宋体"/>
          <w:color w:val="auto"/>
          <w:kern w:val="0"/>
          <w:sz w:val="21"/>
          <w:szCs w:val="21"/>
          <w:highlight w:val="none"/>
          <w:lang w:val="en-US" w:eastAsia="zh-CN" w:bidi="ar-SA"/>
        </w:rPr>
        <w:t>承担相应</w:t>
      </w:r>
      <w:r>
        <w:rPr>
          <w:rFonts w:hint="eastAsia" w:ascii="宋体" w:hAnsi="宋体" w:eastAsia="宋体" w:cs="宋体"/>
          <w:color w:val="auto"/>
          <w:kern w:val="0"/>
          <w:sz w:val="21"/>
          <w:szCs w:val="21"/>
          <w:highlight w:val="none"/>
          <w:lang w:val="en-US" w:bidi="ar-SA"/>
        </w:rPr>
        <w:t>违约</w:t>
      </w:r>
      <w:r>
        <w:rPr>
          <w:rFonts w:hint="eastAsia" w:ascii="宋体" w:hAnsi="宋体" w:eastAsia="宋体" w:cs="宋体"/>
          <w:color w:val="auto"/>
          <w:kern w:val="0"/>
          <w:sz w:val="21"/>
          <w:szCs w:val="21"/>
          <w:highlight w:val="none"/>
          <w:lang w:val="en-US" w:eastAsia="zh-CN" w:bidi="ar-SA"/>
        </w:rPr>
        <w:t>责任</w:t>
      </w:r>
      <w:r>
        <w:rPr>
          <w:rFonts w:hint="eastAsia" w:ascii="宋体" w:hAnsi="宋体" w:eastAsia="宋体" w:cs="宋体"/>
          <w:color w:val="auto"/>
          <w:kern w:val="0"/>
          <w:sz w:val="21"/>
          <w:szCs w:val="21"/>
          <w:highlight w:val="none"/>
          <w:lang w:val="en-US" w:bidi="ar-SA"/>
        </w:rPr>
        <w:t>，在要求</w:t>
      </w:r>
      <w:r>
        <w:rPr>
          <w:rFonts w:hint="eastAsia" w:ascii="宋体" w:hAnsi="宋体" w:eastAsia="宋体" w:cs="宋体"/>
          <w:color w:val="auto"/>
          <w:kern w:val="0"/>
          <w:sz w:val="21"/>
          <w:szCs w:val="21"/>
          <w:highlight w:val="none"/>
          <w:lang w:val="en-US" w:eastAsia="zh-CN" w:bidi="ar-SA"/>
        </w:rPr>
        <w:t>甲</w:t>
      </w:r>
      <w:r>
        <w:rPr>
          <w:rFonts w:hint="eastAsia" w:ascii="宋体" w:hAnsi="宋体" w:eastAsia="宋体" w:cs="宋体"/>
          <w:color w:val="auto"/>
          <w:kern w:val="0"/>
          <w:sz w:val="21"/>
          <w:szCs w:val="21"/>
          <w:highlight w:val="none"/>
          <w:lang w:val="en-US" w:bidi="ar-SA"/>
        </w:rPr>
        <w:t>方</w:t>
      </w:r>
      <w:r>
        <w:rPr>
          <w:rFonts w:hint="eastAsia" w:ascii="宋体" w:hAnsi="宋体" w:eastAsia="宋体" w:cs="宋体"/>
          <w:color w:val="auto"/>
          <w:kern w:val="0"/>
          <w:sz w:val="21"/>
          <w:szCs w:val="21"/>
          <w:highlight w:val="none"/>
          <w:lang w:val="en-US" w:eastAsia="zh-CN" w:bidi="ar-SA"/>
        </w:rPr>
        <w:t>承担</w:t>
      </w:r>
      <w:r>
        <w:rPr>
          <w:rFonts w:hint="eastAsia" w:ascii="宋体" w:hAnsi="宋体" w:eastAsia="宋体" w:cs="宋体"/>
          <w:color w:val="auto"/>
          <w:kern w:val="0"/>
          <w:sz w:val="21"/>
          <w:szCs w:val="21"/>
          <w:highlight w:val="none"/>
          <w:lang w:val="en-US" w:bidi="ar-SA"/>
        </w:rPr>
        <w:t>违约</w:t>
      </w:r>
      <w:r>
        <w:rPr>
          <w:rFonts w:hint="eastAsia" w:ascii="宋体" w:hAnsi="宋体" w:eastAsia="宋体" w:cs="宋体"/>
          <w:color w:val="auto"/>
          <w:kern w:val="0"/>
          <w:sz w:val="21"/>
          <w:szCs w:val="21"/>
          <w:highlight w:val="none"/>
          <w:lang w:val="en-US" w:eastAsia="zh-CN" w:bidi="ar-SA"/>
        </w:rPr>
        <w:t>责任</w:t>
      </w:r>
      <w:r>
        <w:rPr>
          <w:rFonts w:hint="eastAsia" w:ascii="宋体" w:hAnsi="宋体" w:eastAsia="宋体" w:cs="宋体"/>
          <w:color w:val="auto"/>
          <w:kern w:val="0"/>
          <w:sz w:val="21"/>
          <w:szCs w:val="21"/>
          <w:highlight w:val="none"/>
          <w:lang w:val="en-US" w:bidi="ar-SA"/>
        </w:rPr>
        <w:t>的同时，</w:t>
      </w:r>
      <w:r>
        <w:rPr>
          <w:rFonts w:hint="eastAsia" w:ascii="宋体" w:hAnsi="宋体" w:eastAsia="宋体" w:cs="宋体"/>
          <w:color w:val="auto"/>
          <w:kern w:val="0"/>
          <w:sz w:val="21"/>
          <w:szCs w:val="21"/>
          <w:highlight w:val="none"/>
          <w:lang w:val="en-US" w:eastAsia="zh-CN" w:bidi="ar-SA"/>
        </w:rPr>
        <w:t>可以</w:t>
      </w:r>
      <w:r>
        <w:rPr>
          <w:rFonts w:hint="eastAsia" w:ascii="宋体" w:hAnsi="宋体" w:eastAsia="宋体" w:cs="宋体"/>
          <w:color w:val="auto"/>
          <w:kern w:val="0"/>
          <w:sz w:val="21"/>
          <w:szCs w:val="21"/>
          <w:highlight w:val="none"/>
          <w:lang w:val="en-US" w:bidi="ar-SA"/>
        </w:rPr>
        <w:t>书面通知甲方解除本合同；</w:t>
      </w:r>
    </w:p>
    <w:p w14:paraId="21132E6C">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41D8E804">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1.6.4 任何一方按照前述约定要求违约方</w:t>
      </w:r>
      <w:r>
        <w:rPr>
          <w:rFonts w:hint="eastAsia" w:ascii="宋体" w:hAnsi="宋体" w:eastAsia="宋体" w:cs="宋体"/>
          <w:color w:val="auto"/>
          <w:kern w:val="0"/>
          <w:sz w:val="21"/>
          <w:szCs w:val="21"/>
          <w:highlight w:val="none"/>
          <w:lang w:val="en-US" w:eastAsia="zh-CN" w:bidi="ar-SA"/>
        </w:rPr>
        <w:t>承担相应</w:t>
      </w:r>
      <w:r>
        <w:rPr>
          <w:rFonts w:hint="eastAsia" w:ascii="宋体" w:hAnsi="宋体" w:eastAsia="宋体" w:cs="宋体"/>
          <w:color w:val="auto"/>
          <w:kern w:val="0"/>
          <w:sz w:val="21"/>
          <w:szCs w:val="21"/>
          <w:highlight w:val="none"/>
          <w:lang w:val="en-US" w:bidi="ar-SA"/>
        </w:rPr>
        <w:t>违约</w:t>
      </w:r>
      <w:r>
        <w:rPr>
          <w:rFonts w:hint="eastAsia" w:ascii="宋体" w:hAnsi="宋体" w:eastAsia="宋体" w:cs="宋体"/>
          <w:color w:val="auto"/>
          <w:kern w:val="0"/>
          <w:sz w:val="21"/>
          <w:szCs w:val="21"/>
          <w:highlight w:val="none"/>
          <w:lang w:val="en-US" w:eastAsia="zh-CN" w:bidi="ar-SA"/>
        </w:rPr>
        <w:t>责任</w:t>
      </w:r>
      <w:r>
        <w:rPr>
          <w:rFonts w:hint="eastAsia" w:ascii="宋体" w:hAnsi="宋体" w:eastAsia="宋体" w:cs="宋体"/>
          <w:color w:val="auto"/>
          <w:kern w:val="0"/>
          <w:sz w:val="21"/>
          <w:szCs w:val="21"/>
          <w:highlight w:val="none"/>
          <w:lang w:val="en-US" w:bidi="ar-SA"/>
        </w:rPr>
        <w:t>的同时，仍有权要求违约方继续履行合同、采取补救措施，并有权按照己方实际损失情况要求违约方赔偿损失；任何一方按照前述约定要求解除本合同的同时，仍有权要求违约方</w:t>
      </w:r>
      <w:r>
        <w:rPr>
          <w:rFonts w:hint="eastAsia" w:ascii="宋体" w:hAnsi="宋体" w:eastAsia="宋体" w:cs="宋体"/>
          <w:color w:val="auto"/>
          <w:kern w:val="0"/>
          <w:sz w:val="21"/>
          <w:szCs w:val="21"/>
          <w:highlight w:val="none"/>
          <w:lang w:val="en-US" w:eastAsia="zh-CN" w:bidi="ar-SA"/>
        </w:rPr>
        <w:t>承担相应</w:t>
      </w:r>
      <w:r>
        <w:rPr>
          <w:rFonts w:hint="eastAsia" w:ascii="宋体" w:hAnsi="宋体" w:eastAsia="宋体" w:cs="宋体"/>
          <w:color w:val="auto"/>
          <w:kern w:val="0"/>
          <w:sz w:val="21"/>
          <w:szCs w:val="21"/>
          <w:highlight w:val="none"/>
          <w:lang w:val="en-US" w:bidi="ar-SA"/>
        </w:rPr>
        <w:t>违约</w:t>
      </w:r>
      <w:r>
        <w:rPr>
          <w:rFonts w:hint="eastAsia" w:ascii="宋体" w:hAnsi="宋体" w:eastAsia="宋体" w:cs="宋体"/>
          <w:color w:val="auto"/>
          <w:kern w:val="0"/>
          <w:sz w:val="21"/>
          <w:szCs w:val="21"/>
          <w:highlight w:val="none"/>
          <w:lang w:val="en-US" w:eastAsia="zh-CN" w:bidi="ar-SA"/>
        </w:rPr>
        <w:t>责任</w:t>
      </w:r>
      <w:r>
        <w:rPr>
          <w:rFonts w:hint="eastAsia" w:ascii="宋体" w:hAnsi="宋体" w:eastAsia="宋体" w:cs="宋体"/>
          <w:color w:val="auto"/>
          <w:kern w:val="0"/>
          <w:sz w:val="21"/>
          <w:szCs w:val="21"/>
          <w:highlight w:val="none"/>
          <w:lang w:val="en-US" w:bidi="ar-SA"/>
        </w:rPr>
        <w:t>和按照己方实际损失情况要求违约方赔偿损失；且守约方行使的任何权利救济方式均不视为其放弃了其他法定或者约定的权利救济方式；</w:t>
      </w:r>
    </w:p>
    <w:p w14:paraId="70B85E96">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35F9DB6">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1.6.6 如果出现政府采购监督管理部门在处理投诉事项期间，书面通知甲方暂停采购活动的情形，或者询问或质疑事项可能影响中标结果的，导致甲方中止履行合同的情形，均不视为甲方违约。</w:t>
      </w:r>
    </w:p>
    <w:p w14:paraId="32A7E640">
      <w:pPr>
        <w:widowControl/>
        <w:autoSpaceDE/>
        <w:autoSpaceDN/>
        <w:spacing w:before="0" w:after="0" w:line="360" w:lineRule="auto"/>
        <w:ind w:left="0" w:right="0" w:firstLine="422" w:firstLineChars="200"/>
        <w:jc w:val="left"/>
        <w:rPr>
          <w:rFonts w:hint="eastAsia" w:ascii="宋体" w:hAnsi="宋体" w:eastAsia="宋体" w:cs="宋体"/>
          <w:b/>
          <w:color w:val="auto"/>
          <w:kern w:val="0"/>
          <w:sz w:val="21"/>
          <w:szCs w:val="21"/>
          <w:highlight w:val="none"/>
          <w:lang w:val="en-US" w:bidi="ar-SA"/>
        </w:rPr>
      </w:pPr>
      <w:bookmarkStart w:id="201" w:name="_Toc16021"/>
      <w:bookmarkStart w:id="202" w:name="_Toc28375"/>
      <w:bookmarkStart w:id="203" w:name="_Toc15583"/>
      <w:r>
        <w:rPr>
          <w:rFonts w:hint="eastAsia" w:ascii="宋体" w:hAnsi="宋体" w:eastAsia="宋体" w:cs="宋体"/>
          <w:b/>
          <w:color w:val="auto"/>
          <w:kern w:val="0"/>
          <w:sz w:val="21"/>
          <w:szCs w:val="21"/>
          <w:highlight w:val="none"/>
          <w:lang w:val="en-US" w:bidi="ar-SA"/>
        </w:rPr>
        <w:t>1.7 合同争议的解决</w:t>
      </w:r>
      <w:bookmarkEnd w:id="201"/>
      <w:bookmarkEnd w:id="202"/>
      <w:bookmarkEnd w:id="203"/>
    </w:p>
    <w:p w14:paraId="790B8531">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本合同履行过程中发生的任何争议，双方当事人均可通过和解或者调解解决；不愿和解、调解或者和解、调解不成的，可以选择下列第</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种方式解决：</w:t>
      </w:r>
    </w:p>
    <w:p w14:paraId="3CDE5C02">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1.7.1 将争议提交</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仲裁委员会依申请仲裁时其现行有效的仲裁规则裁决；</w:t>
      </w:r>
    </w:p>
    <w:p w14:paraId="5D962593">
      <w:pPr>
        <w:widowControl/>
        <w:autoSpaceDE/>
        <w:autoSpaceDN/>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1.7.2 向</w:t>
      </w:r>
      <w:r>
        <w:rPr>
          <w:rFonts w:hint="eastAsia" w:ascii="宋体" w:hAnsi="宋体" w:eastAsia="宋体" w:cs="宋体"/>
          <w:color w:val="auto"/>
          <w:kern w:val="0"/>
          <w:sz w:val="21"/>
          <w:szCs w:val="21"/>
          <w:highlight w:val="none"/>
          <w:u w:val="single"/>
          <w:lang w:val="en-US" w:bidi="ar-SA"/>
        </w:rPr>
        <w:t xml:space="preserve">   （被告住所地、合同履行地、合同签订地、原告住所地、标的物所在地等与争议有实际联系的地点中选出的人民法院名称）    </w:t>
      </w:r>
      <w:r>
        <w:rPr>
          <w:rFonts w:hint="eastAsia" w:ascii="宋体" w:hAnsi="宋体" w:eastAsia="宋体" w:cs="宋体"/>
          <w:color w:val="auto"/>
          <w:kern w:val="0"/>
          <w:sz w:val="21"/>
          <w:szCs w:val="21"/>
          <w:highlight w:val="none"/>
          <w:lang w:val="en-US" w:bidi="ar-SA"/>
        </w:rPr>
        <w:t>人民法院起诉。</w:t>
      </w:r>
    </w:p>
    <w:p w14:paraId="60E6AA0C">
      <w:pPr>
        <w:widowControl/>
        <w:autoSpaceDE/>
        <w:autoSpaceDN/>
        <w:spacing w:before="0" w:after="0" w:line="360" w:lineRule="auto"/>
        <w:ind w:left="0" w:right="0" w:firstLine="422" w:firstLineChars="200"/>
        <w:jc w:val="left"/>
        <w:rPr>
          <w:rFonts w:hint="eastAsia" w:ascii="宋体" w:hAnsi="宋体" w:eastAsia="宋体" w:cs="宋体"/>
          <w:b/>
          <w:color w:val="auto"/>
          <w:kern w:val="0"/>
          <w:sz w:val="21"/>
          <w:szCs w:val="21"/>
          <w:highlight w:val="none"/>
          <w:lang w:val="en-US" w:bidi="ar-SA"/>
        </w:rPr>
      </w:pPr>
      <w:bookmarkStart w:id="204" w:name="_Toc15322"/>
      <w:bookmarkStart w:id="205" w:name="_Toc11173"/>
      <w:bookmarkStart w:id="206" w:name="_Toc7245"/>
      <w:r>
        <w:rPr>
          <w:rFonts w:hint="eastAsia" w:ascii="宋体" w:hAnsi="宋体" w:eastAsia="宋体" w:cs="宋体"/>
          <w:b/>
          <w:color w:val="auto"/>
          <w:kern w:val="0"/>
          <w:sz w:val="21"/>
          <w:szCs w:val="21"/>
          <w:highlight w:val="none"/>
          <w:lang w:val="en-US" w:bidi="ar-SA"/>
        </w:rPr>
        <w:t>1.8 合同生效</w:t>
      </w:r>
      <w:bookmarkEnd w:id="204"/>
      <w:bookmarkEnd w:id="205"/>
      <w:bookmarkEnd w:id="206"/>
    </w:p>
    <w:p w14:paraId="2A00A8AC">
      <w:pPr>
        <w:widowControl/>
        <w:autoSpaceDE/>
        <w:autoSpaceDN/>
        <w:spacing w:before="0" w:after="0" w:line="360" w:lineRule="auto"/>
        <w:ind w:left="0" w:right="0" w:firstLine="420" w:firstLineChars="200"/>
        <w:jc w:val="left"/>
        <w:rPr>
          <w:rFonts w:hint="eastAsia" w:ascii="宋体" w:hAnsi="宋体" w:eastAsia="宋体" w:cs="宋体"/>
          <w:b/>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本合同自双方当事人盖章或者签字时生效。</w:t>
      </w:r>
    </w:p>
    <w:p w14:paraId="2AFF89CC">
      <w:pPr>
        <w:widowControl/>
        <w:autoSpaceDE w:val="0"/>
        <w:autoSpaceDN w:val="0"/>
        <w:adjustRightInd w:val="0"/>
        <w:spacing w:before="0" w:after="0" w:line="360" w:lineRule="auto"/>
        <w:ind w:left="0" w:right="0"/>
        <w:jc w:val="left"/>
        <w:rPr>
          <w:rFonts w:hint="eastAsia" w:ascii="宋体" w:hAnsi="宋体" w:eastAsia="宋体" w:cs="宋体"/>
          <w:color w:val="auto"/>
          <w:kern w:val="0"/>
          <w:sz w:val="21"/>
          <w:szCs w:val="21"/>
          <w:highlight w:val="none"/>
          <w:lang w:val="zh-CN" w:bidi="ar-SA"/>
        </w:rPr>
      </w:pPr>
    </w:p>
    <w:p w14:paraId="7DE4A798">
      <w:pPr>
        <w:widowControl/>
        <w:autoSpaceDE w:val="0"/>
        <w:autoSpaceDN w:val="0"/>
        <w:adjustRightInd w:val="0"/>
        <w:spacing w:before="0" w:after="0" w:line="360" w:lineRule="auto"/>
        <w:ind w:left="0" w:right="0"/>
        <w:jc w:val="left"/>
        <w:rPr>
          <w:rFonts w:hint="eastAsia" w:ascii="宋体" w:hAnsi="宋体" w:eastAsia="宋体" w:cs="宋体"/>
          <w:b/>
          <w:color w:val="auto"/>
          <w:kern w:val="0"/>
          <w:sz w:val="21"/>
          <w:szCs w:val="21"/>
          <w:highlight w:val="none"/>
          <w:lang w:val="zh-CN" w:bidi="ar-SA"/>
        </w:rPr>
      </w:pPr>
    </w:p>
    <w:p w14:paraId="1E60C71B">
      <w:pPr>
        <w:widowControl/>
        <w:autoSpaceDE w:val="0"/>
        <w:autoSpaceDN w:val="0"/>
        <w:adjustRightInd w:val="0"/>
        <w:spacing w:before="0" w:after="0" w:line="360" w:lineRule="auto"/>
        <w:ind w:left="0" w:right="0"/>
        <w:jc w:val="left"/>
        <w:rPr>
          <w:rFonts w:hint="eastAsia" w:ascii="宋体" w:hAnsi="宋体" w:eastAsia="宋体" w:cs="宋体"/>
          <w:color w:val="auto"/>
          <w:kern w:val="0"/>
          <w:sz w:val="21"/>
          <w:szCs w:val="21"/>
          <w:highlight w:val="none"/>
          <w:lang w:val="zh-CN" w:bidi="ar-SA"/>
        </w:rPr>
      </w:pPr>
      <w:r>
        <w:rPr>
          <w:rFonts w:hint="eastAsia" w:ascii="宋体" w:hAnsi="宋体" w:eastAsia="宋体" w:cs="宋体"/>
          <w:b/>
          <w:color w:val="auto"/>
          <w:kern w:val="0"/>
          <w:sz w:val="21"/>
          <w:szCs w:val="21"/>
          <w:highlight w:val="none"/>
          <w:lang w:val="zh-CN" w:bidi="ar-SA"/>
        </w:rPr>
        <w:t>甲方</w:t>
      </w:r>
      <w:r>
        <w:rPr>
          <w:rFonts w:hint="eastAsia" w:ascii="宋体" w:hAnsi="宋体" w:eastAsia="宋体" w:cs="宋体"/>
          <w:color w:val="auto"/>
          <w:kern w:val="0"/>
          <w:sz w:val="21"/>
          <w:szCs w:val="21"/>
          <w:highlight w:val="none"/>
          <w:lang w:val="zh-CN" w:bidi="ar-SA"/>
        </w:rPr>
        <w:t xml:space="preserve">：                             </w:t>
      </w:r>
      <w:r>
        <w:rPr>
          <w:rFonts w:hint="eastAsia" w:ascii="宋体" w:hAnsi="宋体" w:eastAsia="宋体" w:cs="宋体"/>
          <w:b/>
          <w:color w:val="auto"/>
          <w:kern w:val="0"/>
          <w:sz w:val="21"/>
          <w:szCs w:val="21"/>
          <w:highlight w:val="none"/>
          <w:lang w:val="zh-CN" w:bidi="ar-SA"/>
        </w:rPr>
        <w:t xml:space="preserve">      乙方</w:t>
      </w:r>
      <w:r>
        <w:rPr>
          <w:rFonts w:hint="eastAsia" w:ascii="宋体" w:hAnsi="宋体" w:eastAsia="宋体" w:cs="宋体"/>
          <w:color w:val="auto"/>
          <w:kern w:val="0"/>
          <w:sz w:val="21"/>
          <w:szCs w:val="21"/>
          <w:highlight w:val="none"/>
          <w:lang w:val="zh-CN" w:bidi="ar-SA"/>
        </w:rPr>
        <w:t>：</w:t>
      </w:r>
    </w:p>
    <w:p w14:paraId="4FA63306">
      <w:pPr>
        <w:widowControl/>
        <w:autoSpaceDE w:val="0"/>
        <w:autoSpaceDN w:val="0"/>
        <w:adjustRightInd w:val="0"/>
        <w:spacing w:before="0" w:after="0" w:line="360" w:lineRule="auto"/>
        <w:ind w:left="0" w:right="0"/>
        <w:jc w:val="left"/>
        <w:rPr>
          <w:rFonts w:hint="eastAsia" w:ascii="宋体" w:hAnsi="宋体" w:eastAsia="宋体" w:cs="宋体"/>
          <w:color w:val="auto"/>
          <w:kern w:val="0"/>
          <w:sz w:val="21"/>
          <w:szCs w:val="21"/>
          <w:highlight w:val="none"/>
          <w:lang w:val="zh-CN" w:bidi="ar-SA"/>
        </w:rPr>
      </w:pPr>
      <w:r>
        <w:rPr>
          <w:rFonts w:hint="eastAsia" w:ascii="宋体" w:hAnsi="宋体" w:eastAsia="宋体" w:cs="宋体"/>
          <w:color w:val="auto"/>
          <w:kern w:val="0"/>
          <w:sz w:val="21"/>
          <w:szCs w:val="21"/>
          <w:highlight w:val="none"/>
          <w:lang w:val="zh-CN" w:bidi="ar-SA"/>
        </w:rPr>
        <w:t>统一社会信用代码：                       统一社会信用代码或身份证号码：</w:t>
      </w:r>
    </w:p>
    <w:p w14:paraId="07C79C3A">
      <w:pPr>
        <w:widowControl/>
        <w:autoSpaceDE w:val="0"/>
        <w:autoSpaceDN w:val="0"/>
        <w:adjustRightInd w:val="0"/>
        <w:spacing w:before="0" w:after="0" w:line="360" w:lineRule="auto"/>
        <w:ind w:left="0" w:right="0"/>
        <w:jc w:val="left"/>
        <w:rPr>
          <w:rFonts w:hint="eastAsia" w:ascii="宋体" w:hAnsi="宋体" w:eastAsia="宋体" w:cs="宋体"/>
          <w:color w:val="auto"/>
          <w:kern w:val="0"/>
          <w:sz w:val="21"/>
          <w:szCs w:val="21"/>
          <w:highlight w:val="none"/>
          <w:lang w:val="zh-CN" w:bidi="ar-SA"/>
        </w:rPr>
      </w:pPr>
      <w:r>
        <w:rPr>
          <w:rFonts w:hint="eastAsia" w:ascii="宋体" w:hAnsi="宋体" w:eastAsia="宋体" w:cs="宋体"/>
          <w:color w:val="auto"/>
          <w:kern w:val="0"/>
          <w:sz w:val="21"/>
          <w:szCs w:val="21"/>
          <w:highlight w:val="none"/>
          <w:lang w:val="zh-CN" w:bidi="ar-SA"/>
        </w:rPr>
        <w:t>住所：                                   住所：</w:t>
      </w:r>
    </w:p>
    <w:p w14:paraId="3EB26F34">
      <w:pPr>
        <w:widowControl/>
        <w:autoSpaceDE w:val="0"/>
        <w:autoSpaceDN w:val="0"/>
        <w:adjustRightInd w:val="0"/>
        <w:spacing w:before="0" w:after="0" w:line="360" w:lineRule="auto"/>
        <w:ind w:left="0" w:right="0"/>
        <w:jc w:val="left"/>
        <w:rPr>
          <w:rFonts w:hint="eastAsia" w:ascii="宋体" w:hAnsi="宋体" w:eastAsia="宋体" w:cs="宋体"/>
          <w:color w:val="auto"/>
          <w:kern w:val="0"/>
          <w:sz w:val="21"/>
          <w:szCs w:val="21"/>
          <w:highlight w:val="none"/>
          <w:lang w:val="zh-CN" w:bidi="ar-SA"/>
        </w:rPr>
      </w:pPr>
      <w:r>
        <w:rPr>
          <w:rFonts w:hint="eastAsia" w:ascii="宋体" w:hAnsi="宋体" w:eastAsia="宋体" w:cs="宋体"/>
          <w:color w:val="auto"/>
          <w:kern w:val="0"/>
          <w:sz w:val="21"/>
          <w:szCs w:val="21"/>
          <w:highlight w:val="none"/>
          <w:lang w:val="zh-CN" w:bidi="ar-SA"/>
        </w:rPr>
        <w:t xml:space="preserve">法定代表人                             </w:t>
      </w:r>
      <w:r>
        <w:rPr>
          <w:rFonts w:hint="eastAsia" w:ascii="宋体" w:hAnsi="宋体" w:eastAsia="宋体" w:cs="宋体"/>
          <w:color w:val="auto"/>
          <w:kern w:val="0"/>
          <w:sz w:val="21"/>
          <w:szCs w:val="21"/>
          <w:highlight w:val="none"/>
          <w:lang w:val="en-US" w:eastAsia="zh-CN" w:bidi="ar-SA"/>
        </w:rPr>
        <w:t xml:space="preserve">  </w:t>
      </w:r>
      <w:r>
        <w:rPr>
          <w:rFonts w:hint="eastAsia" w:ascii="宋体" w:hAnsi="宋体" w:eastAsia="宋体" w:cs="宋体"/>
          <w:color w:val="auto"/>
          <w:kern w:val="0"/>
          <w:sz w:val="21"/>
          <w:szCs w:val="21"/>
          <w:highlight w:val="none"/>
          <w:lang w:val="zh-CN" w:bidi="ar-SA"/>
        </w:rPr>
        <w:t>法定代表人</w:t>
      </w:r>
    </w:p>
    <w:p w14:paraId="58033309">
      <w:pPr>
        <w:widowControl/>
        <w:autoSpaceDE w:val="0"/>
        <w:autoSpaceDN w:val="0"/>
        <w:adjustRightInd w:val="0"/>
        <w:spacing w:before="0" w:after="0" w:line="360" w:lineRule="auto"/>
        <w:ind w:left="0" w:right="0"/>
        <w:jc w:val="left"/>
        <w:rPr>
          <w:rFonts w:hint="eastAsia" w:ascii="宋体" w:hAnsi="宋体" w:eastAsia="宋体" w:cs="宋体"/>
          <w:color w:val="auto"/>
          <w:kern w:val="0"/>
          <w:sz w:val="21"/>
          <w:szCs w:val="21"/>
          <w:highlight w:val="none"/>
          <w:lang w:val="zh-CN" w:bidi="ar-SA"/>
        </w:rPr>
      </w:pPr>
      <w:r>
        <w:rPr>
          <w:rFonts w:hint="eastAsia" w:ascii="宋体" w:hAnsi="宋体" w:eastAsia="宋体" w:cs="宋体"/>
          <w:color w:val="auto"/>
          <w:kern w:val="0"/>
          <w:sz w:val="21"/>
          <w:szCs w:val="21"/>
          <w:highlight w:val="none"/>
          <w:lang w:val="zh-CN" w:bidi="ar-SA"/>
        </w:rPr>
        <w:t xml:space="preserve">或授权代表（签字）：                     或授权代表（签字）: </w:t>
      </w:r>
    </w:p>
    <w:p w14:paraId="6FFCD12D">
      <w:pPr>
        <w:widowControl/>
        <w:autoSpaceDE w:val="0"/>
        <w:autoSpaceDN w:val="0"/>
        <w:adjustRightInd w:val="0"/>
        <w:spacing w:before="0" w:after="0" w:line="360" w:lineRule="auto"/>
        <w:ind w:left="0" w:right="0"/>
        <w:jc w:val="left"/>
        <w:rPr>
          <w:rFonts w:hint="eastAsia" w:ascii="宋体" w:hAnsi="宋体" w:eastAsia="宋体" w:cs="宋体"/>
          <w:color w:val="auto"/>
          <w:kern w:val="0"/>
          <w:sz w:val="21"/>
          <w:szCs w:val="21"/>
          <w:highlight w:val="none"/>
          <w:lang w:val="zh-CN" w:bidi="ar-SA"/>
        </w:rPr>
      </w:pPr>
      <w:r>
        <w:rPr>
          <w:rFonts w:hint="eastAsia" w:ascii="宋体" w:hAnsi="宋体" w:eastAsia="宋体" w:cs="宋体"/>
          <w:color w:val="auto"/>
          <w:kern w:val="0"/>
          <w:sz w:val="21"/>
          <w:szCs w:val="21"/>
          <w:highlight w:val="none"/>
          <w:lang w:val="zh-CN" w:bidi="ar-SA"/>
        </w:rPr>
        <w:t>联系人：                                 联系人：</w:t>
      </w:r>
    </w:p>
    <w:p w14:paraId="17D1437E">
      <w:pPr>
        <w:widowControl/>
        <w:autoSpaceDE w:val="0"/>
        <w:autoSpaceDN w:val="0"/>
        <w:adjustRightInd w:val="0"/>
        <w:spacing w:before="0" w:after="0" w:line="360" w:lineRule="auto"/>
        <w:ind w:left="0" w:right="0"/>
        <w:jc w:val="left"/>
        <w:rPr>
          <w:rFonts w:hint="eastAsia" w:ascii="宋体" w:hAnsi="宋体" w:eastAsia="宋体" w:cs="宋体"/>
          <w:color w:val="auto"/>
          <w:kern w:val="0"/>
          <w:sz w:val="21"/>
          <w:szCs w:val="21"/>
          <w:highlight w:val="none"/>
          <w:lang w:val="zh-CN" w:bidi="ar-SA"/>
        </w:rPr>
      </w:pPr>
      <w:r>
        <w:rPr>
          <w:rFonts w:hint="eastAsia" w:ascii="宋体" w:hAnsi="宋体" w:eastAsia="宋体" w:cs="宋体"/>
          <w:color w:val="auto"/>
          <w:kern w:val="0"/>
          <w:sz w:val="21"/>
          <w:szCs w:val="21"/>
          <w:highlight w:val="none"/>
          <w:lang w:val="zh-CN" w:bidi="ar-SA"/>
        </w:rPr>
        <w:t>邮政编码：                               邮政编码：</w:t>
      </w:r>
    </w:p>
    <w:p w14:paraId="261F59E5">
      <w:pPr>
        <w:widowControl/>
        <w:autoSpaceDE w:val="0"/>
        <w:autoSpaceDN w:val="0"/>
        <w:adjustRightInd w:val="0"/>
        <w:spacing w:before="0" w:after="0" w:line="360" w:lineRule="auto"/>
        <w:ind w:left="0" w:right="0"/>
        <w:jc w:val="left"/>
        <w:rPr>
          <w:rFonts w:hint="eastAsia" w:ascii="宋体" w:hAnsi="宋体" w:eastAsia="宋体" w:cs="宋体"/>
          <w:color w:val="auto"/>
          <w:kern w:val="0"/>
          <w:sz w:val="21"/>
          <w:szCs w:val="21"/>
          <w:highlight w:val="none"/>
          <w:lang w:val="zh-CN" w:bidi="ar-SA"/>
        </w:rPr>
      </w:pPr>
      <w:r>
        <w:rPr>
          <w:rFonts w:hint="eastAsia" w:ascii="宋体" w:hAnsi="宋体" w:eastAsia="宋体" w:cs="宋体"/>
          <w:color w:val="auto"/>
          <w:kern w:val="0"/>
          <w:sz w:val="21"/>
          <w:szCs w:val="21"/>
          <w:highlight w:val="none"/>
          <w:lang w:val="zh-CN" w:bidi="ar-SA"/>
        </w:rPr>
        <w:t xml:space="preserve">电话:                                    电话: </w:t>
      </w:r>
    </w:p>
    <w:p w14:paraId="0EEE3E57">
      <w:pPr>
        <w:widowControl/>
        <w:autoSpaceDE w:val="0"/>
        <w:autoSpaceDN w:val="0"/>
        <w:adjustRightInd w:val="0"/>
        <w:spacing w:before="0" w:after="0" w:line="36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 xml:space="preserve">开户银行：                               开户银行： </w:t>
      </w:r>
    </w:p>
    <w:p w14:paraId="2DC2F6E2">
      <w:pPr>
        <w:widowControl/>
        <w:autoSpaceDE w:val="0"/>
        <w:autoSpaceDN w:val="0"/>
        <w:adjustRightInd w:val="0"/>
        <w:spacing w:before="0" w:after="0" w:line="36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 xml:space="preserve">开户名称：                               开户名称： </w:t>
      </w:r>
    </w:p>
    <w:p w14:paraId="1244F2DB">
      <w:pPr>
        <w:widowControl/>
        <w:autoSpaceDE w:val="0"/>
        <w:autoSpaceDN w:val="0"/>
        <w:adjustRightInd w:val="0"/>
        <w:spacing w:before="0" w:after="0" w:line="360" w:lineRule="auto"/>
        <w:ind w:left="0" w:right="0"/>
        <w:jc w:val="left"/>
        <w:rPr>
          <w:rFonts w:hint="eastAsia" w:ascii="宋体" w:hAnsi="宋体" w:eastAsia="宋体" w:cs="宋体"/>
          <w:b/>
          <w:color w:val="auto"/>
          <w:kern w:val="0"/>
          <w:sz w:val="24"/>
          <w:szCs w:val="21"/>
          <w:highlight w:val="none"/>
          <w:lang w:val="en-US" w:bidi="ar-SA"/>
        </w:rPr>
      </w:pPr>
      <w:r>
        <w:rPr>
          <w:rFonts w:hint="eastAsia" w:ascii="宋体" w:hAnsi="宋体" w:eastAsia="宋体" w:cs="宋体"/>
          <w:color w:val="auto"/>
          <w:kern w:val="0"/>
          <w:sz w:val="21"/>
          <w:szCs w:val="21"/>
          <w:highlight w:val="none"/>
          <w:lang w:val="en-US" w:bidi="ar-SA"/>
        </w:rPr>
        <w:t>开户账号：</w:t>
      </w:r>
      <w:r>
        <w:rPr>
          <w:rFonts w:hint="eastAsia" w:ascii="宋体" w:hAnsi="宋体" w:eastAsia="宋体" w:cs="宋体"/>
          <w:color w:val="auto"/>
          <w:kern w:val="0"/>
          <w:sz w:val="21"/>
          <w:szCs w:val="21"/>
          <w:highlight w:val="none"/>
          <w:lang w:val="zh-CN" w:bidi="ar-SA"/>
        </w:rPr>
        <w:t xml:space="preserve">                               </w:t>
      </w:r>
      <w:r>
        <w:rPr>
          <w:rFonts w:hint="eastAsia" w:ascii="宋体" w:hAnsi="宋体" w:eastAsia="宋体" w:cs="宋体"/>
          <w:color w:val="auto"/>
          <w:kern w:val="0"/>
          <w:sz w:val="21"/>
          <w:szCs w:val="21"/>
          <w:highlight w:val="none"/>
          <w:lang w:val="en-US" w:bidi="ar-SA"/>
        </w:rPr>
        <w:t>开户账号：</w:t>
      </w:r>
      <w:bookmarkStart w:id="207" w:name="_Toc331685783"/>
    </w:p>
    <w:p w14:paraId="46C2DC6D">
      <w:pPr>
        <w:autoSpaceDE/>
        <w:autoSpaceDN/>
        <w:spacing w:before="0" w:after="0" w:line="240" w:lineRule="auto"/>
        <w:ind w:left="0" w:right="0"/>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p>
    <w:p w14:paraId="580DE263">
      <w:pPr>
        <w:autoSpaceDE w:val="0"/>
        <w:autoSpaceDN w:val="0"/>
        <w:adjustRightInd w:val="0"/>
        <w:spacing w:before="0" w:after="0" w:line="560" w:lineRule="exact"/>
        <w:ind w:left="0" w:right="0" w:firstLine="20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合同一般条款</w:t>
      </w:r>
      <w:bookmarkEnd w:id="207"/>
    </w:p>
    <w:p w14:paraId="291AFC42">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21"/>
          <w:highlight w:val="none"/>
          <w:lang w:val="en-US" w:bidi="ar-SA"/>
        </w:rPr>
      </w:pPr>
      <w:bookmarkStart w:id="208" w:name="_Ref467379109"/>
      <w:bookmarkStart w:id="209" w:name="_Ref467379205"/>
      <w:bookmarkStart w:id="210" w:name="_Ref467378499"/>
      <w:bookmarkStart w:id="211" w:name="_Toc487900349"/>
      <w:bookmarkStart w:id="212" w:name="_Toc259093669"/>
      <w:bookmarkStart w:id="213" w:name="_Toc31297"/>
      <w:bookmarkStart w:id="214" w:name="_Ref467379101"/>
      <w:bookmarkStart w:id="215" w:name="_Toc19680"/>
      <w:bookmarkStart w:id="216" w:name="_Ref467379214"/>
      <w:bookmarkStart w:id="217" w:name="_Toc5228"/>
      <w:bookmarkStart w:id="218" w:name="_Toc14021"/>
      <w:bookmarkStart w:id="219" w:name="_Ref467379225"/>
      <w:bookmarkStart w:id="220" w:name="_Ref467379195"/>
      <w:bookmarkStart w:id="221" w:name="_Toc25079"/>
      <w:bookmarkStart w:id="222" w:name="_Ref467378404"/>
      <w:bookmarkStart w:id="223" w:name="_Toc279701240"/>
      <w:bookmarkStart w:id="224" w:name="_Ref467379094"/>
      <w:bookmarkStart w:id="225" w:name="_Ref467378463"/>
      <w:bookmarkStart w:id="226" w:name="_Toc279701247"/>
      <w:bookmarkStart w:id="227" w:name="_Ref467379807"/>
      <w:bookmarkStart w:id="228" w:name="_Toc186431855"/>
      <w:bookmarkStart w:id="229" w:name="_Toc487900357"/>
      <w:bookmarkStart w:id="230" w:name="_Ref467379793"/>
      <w:bookmarkStart w:id="231" w:name="_Toc259093676"/>
      <w:r>
        <w:rPr>
          <w:rFonts w:hint="eastAsia" w:ascii="宋体" w:hAnsi="宋体" w:eastAsia="宋体" w:cs="宋体"/>
          <w:b/>
          <w:color w:val="auto"/>
          <w:kern w:val="0"/>
          <w:sz w:val="21"/>
          <w:szCs w:val="21"/>
          <w:highlight w:val="none"/>
          <w:lang w:val="en-US" w:bidi="ar-SA"/>
        </w:rPr>
        <w:t>2.1 定义</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4F85951">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本合同中的下列词语应按以下内容进行解释：</w:t>
      </w:r>
    </w:p>
    <w:p w14:paraId="157CD03A">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2.1.1 “合同”系指采购人和中标供应商签订的载明双方当事人所达成的协议，并包括所有的附件、附录和构成合同的其他文件。</w:t>
      </w:r>
    </w:p>
    <w:p w14:paraId="47AFD2A1">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2.1.2 “合同价”系指根据合同约定，中标供应商在完全履行合同义务后，采购人应支付给中标供应商的价格。</w:t>
      </w:r>
    </w:p>
    <w:p w14:paraId="6AF9F2E1">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2.1.3 “服务”系指中标供应商根据合同约定应向采购人履行的除货物和工程以外的其他政府采购对象，包括采购人自身需要的服务和向社会公众提供的公共服务。</w:t>
      </w:r>
    </w:p>
    <w:p w14:paraId="348E09A7">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bookmarkStart w:id="232" w:name="_Ref467378840"/>
      <w:r>
        <w:rPr>
          <w:rFonts w:hint="eastAsia" w:ascii="宋体" w:hAnsi="宋体" w:eastAsia="宋体" w:cs="宋体"/>
          <w:color w:val="auto"/>
          <w:kern w:val="0"/>
          <w:sz w:val="21"/>
          <w:szCs w:val="18"/>
          <w:highlight w:val="none"/>
          <w:lang w:val="en-US" w:bidi="ar-SA"/>
        </w:rPr>
        <w:t>2.1.4 “甲方”系指与中标供应商签署合同的采购人</w:t>
      </w:r>
      <w:bookmarkEnd w:id="232"/>
      <w:r>
        <w:rPr>
          <w:rFonts w:hint="eastAsia" w:ascii="宋体" w:hAnsi="宋体" w:eastAsia="宋体" w:cs="宋体"/>
          <w:color w:val="auto"/>
          <w:kern w:val="0"/>
          <w:sz w:val="21"/>
          <w:szCs w:val="18"/>
          <w:highlight w:val="none"/>
          <w:lang w:val="en-US" w:bidi="ar-SA"/>
        </w:rPr>
        <w:t>；采购人委托采购代理机构代表其与乙方签订合同的，采购人的授权委托书作为合同附件。</w:t>
      </w:r>
    </w:p>
    <w:p w14:paraId="2552C7D2">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bookmarkStart w:id="233" w:name="_Ref467379400"/>
      <w:r>
        <w:rPr>
          <w:rFonts w:hint="eastAsia" w:ascii="宋体" w:hAnsi="宋体" w:eastAsia="宋体" w:cs="宋体"/>
          <w:color w:val="auto"/>
          <w:kern w:val="0"/>
          <w:sz w:val="21"/>
          <w:szCs w:val="18"/>
          <w:highlight w:val="none"/>
          <w:lang w:val="en-US" w:bidi="ar-SA"/>
        </w:rPr>
        <w:t>2.1.5 “乙方”系指根据合同约定提供服务的中标供应商</w:t>
      </w:r>
      <w:bookmarkEnd w:id="233"/>
      <w:r>
        <w:rPr>
          <w:rFonts w:hint="eastAsia" w:ascii="宋体" w:hAnsi="宋体" w:eastAsia="宋体" w:cs="宋体"/>
          <w:color w:val="auto"/>
          <w:kern w:val="0"/>
          <w:sz w:val="21"/>
          <w:szCs w:val="18"/>
          <w:highlight w:val="none"/>
          <w:lang w:val="en-US" w:bidi="ar-SA"/>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80BD878">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bookmarkStart w:id="234" w:name="_Ref467379436"/>
      <w:r>
        <w:rPr>
          <w:rFonts w:hint="eastAsia" w:ascii="宋体" w:hAnsi="宋体" w:eastAsia="宋体" w:cs="宋体"/>
          <w:color w:val="auto"/>
          <w:kern w:val="0"/>
          <w:sz w:val="21"/>
          <w:szCs w:val="18"/>
          <w:highlight w:val="none"/>
          <w:lang w:val="en-US" w:bidi="ar-SA"/>
        </w:rPr>
        <w:t>2.1.6 “现场”系指合同约定提供服务的地点。</w:t>
      </w:r>
      <w:bookmarkEnd w:id="234"/>
    </w:p>
    <w:p w14:paraId="51B749A8">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21"/>
          <w:highlight w:val="none"/>
          <w:lang w:val="en-US" w:bidi="ar-SA"/>
        </w:rPr>
      </w:pPr>
      <w:bookmarkStart w:id="235" w:name="_Toc23289"/>
      <w:bookmarkStart w:id="236" w:name="_Toc279701241"/>
      <w:bookmarkStart w:id="237" w:name="_Toc3769"/>
      <w:bookmarkStart w:id="238" w:name="_Toc16752"/>
      <w:bookmarkStart w:id="239" w:name="_Toc487900350"/>
      <w:bookmarkStart w:id="240" w:name="_Toc19539"/>
      <w:bookmarkStart w:id="241" w:name="_Toc31402"/>
      <w:bookmarkStart w:id="242" w:name="_Toc259093670"/>
      <w:r>
        <w:rPr>
          <w:rFonts w:hint="eastAsia" w:ascii="宋体" w:hAnsi="宋体" w:eastAsia="宋体" w:cs="宋体"/>
          <w:b/>
          <w:color w:val="auto"/>
          <w:kern w:val="0"/>
          <w:sz w:val="21"/>
          <w:szCs w:val="21"/>
          <w:highlight w:val="none"/>
          <w:lang w:val="en-US" w:bidi="ar-SA"/>
        </w:rPr>
        <w:t>2.2 技术规范</w:t>
      </w:r>
      <w:bookmarkEnd w:id="235"/>
      <w:bookmarkEnd w:id="236"/>
      <w:bookmarkEnd w:id="237"/>
      <w:bookmarkEnd w:id="238"/>
      <w:bookmarkEnd w:id="239"/>
      <w:bookmarkEnd w:id="240"/>
      <w:bookmarkEnd w:id="241"/>
      <w:bookmarkEnd w:id="242"/>
    </w:p>
    <w:p w14:paraId="2BFB308B">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服务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282C77D">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21"/>
          <w:highlight w:val="none"/>
          <w:lang w:val="en-US" w:bidi="ar-SA"/>
        </w:rPr>
      </w:pPr>
      <w:bookmarkStart w:id="243" w:name="_Toc4133"/>
      <w:bookmarkStart w:id="244" w:name="_Toc279701242"/>
      <w:bookmarkStart w:id="245" w:name="_Toc487900351"/>
      <w:bookmarkStart w:id="246" w:name="_Toc27945"/>
      <w:bookmarkStart w:id="247" w:name="_Toc9161"/>
      <w:bookmarkStart w:id="248" w:name="_Toc13673"/>
      <w:bookmarkStart w:id="249" w:name="_Toc12412"/>
      <w:bookmarkStart w:id="250" w:name="_Toc259093671"/>
      <w:r>
        <w:rPr>
          <w:rFonts w:hint="eastAsia" w:ascii="宋体" w:hAnsi="宋体" w:eastAsia="宋体" w:cs="宋体"/>
          <w:b/>
          <w:color w:val="auto"/>
          <w:kern w:val="0"/>
          <w:sz w:val="21"/>
          <w:szCs w:val="21"/>
          <w:highlight w:val="none"/>
          <w:lang w:val="en-US" w:bidi="ar-SA"/>
        </w:rPr>
        <w:t>2.3 知识产权</w:t>
      </w:r>
      <w:bookmarkEnd w:id="243"/>
      <w:bookmarkEnd w:id="244"/>
      <w:bookmarkEnd w:id="245"/>
      <w:bookmarkEnd w:id="246"/>
      <w:bookmarkEnd w:id="247"/>
      <w:bookmarkEnd w:id="248"/>
      <w:bookmarkEnd w:id="249"/>
      <w:bookmarkEnd w:id="250"/>
    </w:p>
    <w:p w14:paraId="203E3552">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5FB2AAF">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2.3.2 合同涉及技术成果的归属和收益的分成办法的，详见</w:t>
      </w:r>
      <w:r>
        <w:rPr>
          <w:rFonts w:hint="eastAsia" w:ascii="宋体" w:hAnsi="宋体" w:eastAsia="宋体" w:cs="宋体"/>
          <w:b/>
          <w:i/>
          <w:color w:val="auto"/>
          <w:kern w:val="0"/>
          <w:sz w:val="21"/>
          <w:szCs w:val="18"/>
          <w:highlight w:val="none"/>
          <w:u w:val="single"/>
          <w:lang w:val="en-US" w:bidi="ar-SA"/>
        </w:rPr>
        <w:t>合同专用条款</w:t>
      </w:r>
      <w:r>
        <w:rPr>
          <w:rFonts w:hint="eastAsia" w:ascii="宋体" w:hAnsi="宋体" w:eastAsia="宋体" w:cs="宋体"/>
          <w:color w:val="auto"/>
          <w:kern w:val="0"/>
          <w:sz w:val="21"/>
          <w:szCs w:val="18"/>
          <w:highlight w:val="none"/>
          <w:lang w:val="en-US" w:bidi="ar-SA"/>
        </w:rPr>
        <w:t>。</w:t>
      </w:r>
    </w:p>
    <w:p w14:paraId="559B7099">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r>
        <w:rPr>
          <w:rFonts w:hint="eastAsia" w:ascii="宋体" w:hAnsi="宋体" w:eastAsia="宋体" w:cs="宋体"/>
          <w:b/>
          <w:color w:val="auto"/>
          <w:kern w:val="0"/>
          <w:sz w:val="21"/>
          <w:szCs w:val="18"/>
          <w:highlight w:val="none"/>
          <w:lang w:val="en-US" w:bidi="ar-SA"/>
        </w:rPr>
        <w:t>2.4 履约检查和问题反馈</w:t>
      </w:r>
    </w:p>
    <w:p w14:paraId="3D30685A">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bookmarkStart w:id="251" w:name="_Ref467379657"/>
      <w:r>
        <w:rPr>
          <w:rFonts w:hint="eastAsia" w:ascii="宋体" w:hAnsi="宋体" w:eastAsia="宋体" w:cs="宋体"/>
          <w:color w:val="auto"/>
          <w:kern w:val="0"/>
          <w:sz w:val="21"/>
          <w:szCs w:val="18"/>
          <w:highlight w:val="none"/>
          <w:lang w:val="en-US" w:bidi="ar-SA"/>
        </w:rPr>
        <w:t>2.4.1</w:t>
      </w:r>
      <w:bookmarkEnd w:id="251"/>
      <w:bookmarkStart w:id="252" w:name="_Toc186431854"/>
      <w:r>
        <w:rPr>
          <w:rFonts w:hint="eastAsia" w:ascii="宋体" w:hAnsi="宋体" w:eastAsia="宋体" w:cs="宋体"/>
          <w:color w:val="auto"/>
          <w:kern w:val="0"/>
          <w:sz w:val="21"/>
          <w:szCs w:val="18"/>
          <w:highlight w:val="none"/>
          <w:lang w:val="en-US" w:bidi="ar-SA"/>
        </w:rPr>
        <w:t>甲方有权在其认为必要时，对乙方是否能够按照合同约定提供服务进行履约检查，以确保乙方所提供的服务能够依约满足甲方之项目需求，但不得因履约检查妨碍乙方的正常工作，乙方应予积极配合；</w:t>
      </w:r>
    </w:p>
    <w:p w14:paraId="1555AC73">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2.4.2 合同履行期间，甲方有权将履行过程中出现的问题反馈给乙方，双方当事人应以书面形式约定需要完善和改进的内容</w:t>
      </w:r>
      <w:bookmarkEnd w:id="252"/>
      <w:r>
        <w:rPr>
          <w:rFonts w:hint="eastAsia" w:ascii="宋体" w:hAnsi="宋体" w:eastAsia="宋体" w:cs="宋体"/>
          <w:color w:val="auto"/>
          <w:kern w:val="0"/>
          <w:sz w:val="21"/>
          <w:szCs w:val="18"/>
          <w:highlight w:val="none"/>
          <w:lang w:val="en-US" w:bidi="ar-SA"/>
        </w:rPr>
        <w:t>。</w:t>
      </w:r>
    </w:p>
    <w:bookmarkEnd w:id="226"/>
    <w:bookmarkEnd w:id="227"/>
    <w:bookmarkEnd w:id="228"/>
    <w:bookmarkEnd w:id="229"/>
    <w:bookmarkEnd w:id="230"/>
    <w:bookmarkEnd w:id="231"/>
    <w:p w14:paraId="61AA4CC5">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bookmarkStart w:id="253" w:name="_Toc15447"/>
      <w:bookmarkStart w:id="254" w:name="_Toc31233"/>
      <w:bookmarkStart w:id="255" w:name="_Toc22011"/>
      <w:bookmarkStart w:id="256" w:name="_Toc26555"/>
      <w:bookmarkStart w:id="257" w:name="_Toc32670"/>
      <w:r>
        <w:rPr>
          <w:rFonts w:hint="eastAsia" w:ascii="宋体" w:hAnsi="宋体" w:eastAsia="宋体" w:cs="宋体"/>
          <w:b/>
          <w:color w:val="auto"/>
          <w:kern w:val="0"/>
          <w:sz w:val="21"/>
          <w:szCs w:val="18"/>
          <w:highlight w:val="none"/>
          <w:lang w:val="en-US" w:bidi="ar-SA"/>
        </w:rPr>
        <w:t>2.5 结算方式和付款条件</w:t>
      </w:r>
      <w:bookmarkEnd w:id="253"/>
      <w:bookmarkEnd w:id="254"/>
      <w:bookmarkEnd w:id="255"/>
      <w:bookmarkEnd w:id="256"/>
      <w:bookmarkEnd w:id="257"/>
    </w:p>
    <w:p w14:paraId="2511A3A6">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结算方式：详见</w:t>
      </w:r>
      <w:r>
        <w:rPr>
          <w:rFonts w:hint="eastAsia" w:ascii="宋体" w:hAnsi="宋体" w:eastAsia="宋体" w:cs="宋体"/>
          <w:color w:val="auto"/>
          <w:kern w:val="0"/>
          <w:sz w:val="21"/>
          <w:szCs w:val="18"/>
          <w:highlight w:val="none"/>
          <w:u w:val="single"/>
          <w:lang w:val="en-US" w:bidi="ar-SA"/>
        </w:rPr>
        <w:t>第一部分 合同书 1.4</w:t>
      </w:r>
      <w:r>
        <w:rPr>
          <w:rFonts w:hint="eastAsia" w:ascii="宋体" w:hAnsi="宋体" w:eastAsia="宋体" w:cs="宋体"/>
          <w:color w:val="auto"/>
          <w:kern w:val="0"/>
          <w:sz w:val="21"/>
          <w:szCs w:val="18"/>
          <w:highlight w:val="none"/>
          <w:lang w:val="en-US" w:bidi="ar-SA"/>
        </w:rPr>
        <w:t>。</w:t>
      </w:r>
    </w:p>
    <w:p w14:paraId="6F06DCEF">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付款条件：</w:t>
      </w:r>
      <w:r>
        <w:rPr>
          <w:rFonts w:hint="eastAsia" w:ascii="宋体" w:hAnsi="宋体" w:eastAsia="宋体" w:cs="宋体"/>
          <w:color w:val="auto"/>
          <w:kern w:val="0"/>
          <w:sz w:val="21"/>
          <w:szCs w:val="18"/>
          <w:highlight w:val="none"/>
          <w:u w:val="single"/>
          <w:lang w:val="en-US" w:bidi="ar-SA"/>
        </w:rPr>
        <w:t>根据甲方要求提供发票等付款证明材料后，甲方在收到完整的付款材料后30工作日内完成付款</w:t>
      </w:r>
      <w:r>
        <w:rPr>
          <w:rFonts w:hint="eastAsia" w:ascii="宋体" w:hAnsi="宋体" w:eastAsia="宋体" w:cs="宋体"/>
          <w:color w:val="auto"/>
          <w:kern w:val="0"/>
          <w:sz w:val="21"/>
          <w:szCs w:val="18"/>
          <w:highlight w:val="none"/>
          <w:lang w:val="en-US" w:bidi="ar-SA"/>
        </w:rPr>
        <w:t>。</w:t>
      </w:r>
    </w:p>
    <w:p w14:paraId="472310AA">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bookmarkStart w:id="258" w:name="_Toc487900358"/>
      <w:bookmarkStart w:id="259" w:name="_Toc279701248"/>
      <w:bookmarkStart w:id="260" w:name="_Toc259093677"/>
      <w:bookmarkStart w:id="261" w:name="_Ref467379852"/>
      <w:bookmarkStart w:id="262" w:name="_Ref467379863"/>
      <w:bookmarkStart w:id="263" w:name="_Ref467379923"/>
      <w:bookmarkStart w:id="264" w:name="_Toc13154"/>
      <w:bookmarkStart w:id="265" w:name="_Toc18990"/>
      <w:bookmarkStart w:id="266" w:name="_Toc13467"/>
      <w:bookmarkStart w:id="267" w:name="_Toc16163"/>
      <w:bookmarkStart w:id="268" w:name="_Toc30507"/>
      <w:r>
        <w:rPr>
          <w:rFonts w:hint="eastAsia" w:ascii="宋体" w:hAnsi="宋体" w:eastAsia="宋体" w:cs="宋体"/>
          <w:b/>
          <w:color w:val="auto"/>
          <w:kern w:val="0"/>
          <w:sz w:val="21"/>
          <w:szCs w:val="18"/>
          <w:highlight w:val="none"/>
          <w:lang w:val="en-US" w:bidi="ar-SA"/>
        </w:rPr>
        <w:t>2.6 技术资料</w:t>
      </w:r>
      <w:bookmarkEnd w:id="258"/>
      <w:bookmarkEnd w:id="259"/>
      <w:bookmarkEnd w:id="260"/>
      <w:bookmarkEnd w:id="261"/>
      <w:bookmarkEnd w:id="262"/>
      <w:bookmarkEnd w:id="263"/>
      <w:r>
        <w:rPr>
          <w:rFonts w:hint="eastAsia" w:ascii="宋体" w:hAnsi="宋体" w:eastAsia="宋体" w:cs="宋体"/>
          <w:b/>
          <w:color w:val="auto"/>
          <w:kern w:val="0"/>
          <w:sz w:val="21"/>
          <w:szCs w:val="18"/>
          <w:highlight w:val="none"/>
          <w:lang w:val="en-US" w:bidi="ar-SA"/>
        </w:rPr>
        <w:t>和保密义务</w:t>
      </w:r>
      <w:bookmarkEnd w:id="264"/>
      <w:bookmarkEnd w:id="265"/>
      <w:bookmarkEnd w:id="266"/>
      <w:bookmarkEnd w:id="267"/>
      <w:bookmarkEnd w:id="268"/>
    </w:p>
    <w:p w14:paraId="42CE054D">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2.6.1 乙方有权依据合同约定和项目需要，向甲方了解有关情况，调阅有关资料等，甲方应予积极配合；</w:t>
      </w:r>
    </w:p>
    <w:p w14:paraId="6732CF02">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2.6.2 乙方有义务妥善保管和保护由甲方提供的前款信息和资料等；</w:t>
      </w:r>
    </w:p>
    <w:p w14:paraId="2C618A82">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9CF044A">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bookmarkStart w:id="269" w:name="_Toc19069"/>
      <w:bookmarkStart w:id="270" w:name="_Toc487900362"/>
      <w:bookmarkStart w:id="271" w:name="_Toc279701252"/>
      <w:bookmarkStart w:id="272" w:name="_Toc259093681"/>
      <w:r>
        <w:rPr>
          <w:rFonts w:hint="eastAsia" w:ascii="宋体" w:hAnsi="宋体" w:eastAsia="宋体" w:cs="宋体"/>
          <w:b/>
          <w:color w:val="auto"/>
          <w:kern w:val="0"/>
          <w:sz w:val="21"/>
          <w:szCs w:val="18"/>
          <w:highlight w:val="none"/>
          <w:lang w:val="en-US" w:bidi="ar-SA"/>
        </w:rPr>
        <w:t>2.7 质量保证</w:t>
      </w:r>
      <w:bookmarkEnd w:id="269"/>
    </w:p>
    <w:p w14:paraId="0EB80F61">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2.7.1 乙方应建立和完善履行合同的内部质量保证体系，并提供相关内部规章制度给甲方，以便甲方进行监督检查；</w:t>
      </w:r>
    </w:p>
    <w:p w14:paraId="575B6600">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2.7.2 乙方应保证履行合同的人员数量和素质、软件和硬件设备的配置、场地、环境和设施等满足全面履行合同的要求，并应接受甲方的监督检查。</w:t>
      </w:r>
    </w:p>
    <w:p w14:paraId="6AC05F70">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bookmarkStart w:id="273" w:name="_Toc22267"/>
      <w:r>
        <w:rPr>
          <w:rFonts w:hint="eastAsia" w:ascii="宋体" w:hAnsi="宋体" w:eastAsia="宋体" w:cs="宋体"/>
          <w:b/>
          <w:color w:val="auto"/>
          <w:kern w:val="0"/>
          <w:sz w:val="21"/>
          <w:szCs w:val="18"/>
          <w:highlight w:val="none"/>
          <w:lang w:val="en-US" w:bidi="ar-SA"/>
        </w:rPr>
        <w:t>2.8 延迟</w:t>
      </w:r>
      <w:bookmarkEnd w:id="270"/>
      <w:bookmarkEnd w:id="271"/>
      <w:bookmarkEnd w:id="272"/>
      <w:r>
        <w:rPr>
          <w:rFonts w:hint="eastAsia" w:ascii="宋体" w:hAnsi="宋体" w:eastAsia="宋体" w:cs="宋体"/>
          <w:b/>
          <w:color w:val="auto"/>
          <w:kern w:val="0"/>
          <w:sz w:val="21"/>
          <w:szCs w:val="18"/>
          <w:highlight w:val="none"/>
          <w:lang w:val="en-US" w:bidi="ar-SA"/>
        </w:rPr>
        <w:t>履行</w:t>
      </w:r>
      <w:bookmarkEnd w:id="273"/>
    </w:p>
    <w:p w14:paraId="0E99A8D1">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BBBE35A">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bookmarkStart w:id="274" w:name="_Ref467378121"/>
      <w:bookmarkStart w:id="275" w:name="_Toc279701254"/>
      <w:bookmarkStart w:id="276" w:name="_Toc259093683"/>
      <w:bookmarkStart w:id="277" w:name="_Toc487900364"/>
      <w:r>
        <w:rPr>
          <w:rFonts w:hint="eastAsia" w:ascii="宋体" w:hAnsi="宋体" w:eastAsia="宋体" w:cs="宋体"/>
          <w:b/>
          <w:color w:val="auto"/>
          <w:kern w:val="0"/>
          <w:sz w:val="21"/>
          <w:szCs w:val="18"/>
          <w:highlight w:val="none"/>
          <w:lang w:val="en-US" w:bidi="ar-SA"/>
        </w:rPr>
        <w:t>2.9 合同变更</w:t>
      </w:r>
    </w:p>
    <w:p w14:paraId="5A6BF013">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2.9.1 双方当事人协商一致，可以签订书面补充合同的形式变更合同，但不得违背采购文件确定的事项，且如果系追加与合同标的相同的服务的，那么所有补充合同的采购金额不得超过原合同价的10%；</w:t>
      </w:r>
    </w:p>
    <w:p w14:paraId="6B78B869">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2.9.2 合同继续履行将损害国家利益和社会公共利益的，双方当事人应当以书面形式变更合同。有过错的一方应当承担赔偿责任，双方当事人都有过错的，各自承担相应的责任。</w:t>
      </w:r>
      <w:bookmarkStart w:id="278" w:name="_Toc259093688"/>
      <w:bookmarkStart w:id="279" w:name="_Toc279701259"/>
      <w:bookmarkStart w:id="280" w:name="_Toc487900369"/>
    </w:p>
    <w:p w14:paraId="7CCD0B8D">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bookmarkStart w:id="281" w:name="_Toc26689"/>
      <w:bookmarkStart w:id="282" w:name="_Toc42"/>
      <w:bookmarkStart w:id="283" w:name="_Toc23368"/>
      <w:bookmarkStart w:id="284" w:name="_Toc21830"/>
      <w:bookmarkStart w:id="285" w:name="_Toc10663"/>
      <w:r>
        <w:rPr>
          <w:rFonts w:hint="eastAsia" w:ascii="宋体" w:hAnsi="宋体" w:eastAsia="宋体" w:cs="宋体"/>
          <w:b/>
          <w:color w:val="auto"/>
          <w:kern w:val="0"/>
          <w:sz w:val="21"/>
          <w:szCs w:val="18"/>
          <w:highlight w:val="none"/>
          <w:lang w:val="en-US" w:bidi="ar-SA"/>
        </w:rPr>
        <w:t>2.10 合同转让</w:t>
      </w:r>
      <w:bookmarkEnd w:id="278"/>
      <w:bookmarkEnd w:id="279"/>
      <w:bookmarkEnd w:id="280"/>
      <w:r>
        <w:rPr>
          <w:rFonts w:hint="eastAsia" w:ascii="宋体" w:hAnsi="宋体" w:eastAsia="宋体" w:cs="宋体"/>
          <w:b/>
          <w:color w:val="auto"/>
          <w:kern w:val="0"/>
          <w:sz w:val="21"/>
          <w:szCs w:val="18"/>
          <w:highlight w:val="none"/>
          <w:lang w:val="en-US" w:bidi="ar-SA"/>
        </w:rPr>
        <w:t>和分包</w:t>
      </w:r>
      <w:bookmarkEnd w:id="281"/>
      <w:bookmarkEnd w:id="282"/>
      <w:bookmarkEnd w:id="283"/>
      <w:bookmarkEnd w:id="284"/>
      <w:bookmarkEnd w:id="285"/>
    </w:p>
    <w:p w14:paraId="029C391B">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3F1A5A3">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bookmarkStart w:id="286" w:name="_Toc25571"/>
      <w:bookmarkStart w:id="287" w:name="_Toc32494"/>
      <w:bookmarkStart w:id="288" w:name="_Toc4720"/>
      <w:bookmarkStart w:id="289" w:name="_Toc14371"/>
      <w:bookmarkStart w:id="290" w:name="_Toc26633"/>
      <w:r>
        <w:rPr>
          <w:rFonts w:hint="eastAsia" w:ascii="宋体" w:hAnsi="宋体" w:eastAsia="宋体" w:cs="宋体"/>
          <w:b/>
          <w:color w:val="auto"/>
          <w:kern w:val="0"/>
          <w:sz w:val="21"/>
          <w:szCs w:val="18"/>
          <w:highlight w:val="none"/>
          <w:lang w:val="en-US" w:bidi="ar-SA"/>
        </w:rPr>
        <w:t>2.11 不可抗力</w:t>
      </w:r>
      <w:bookmarkEnd w:id="286"/>
      <w:bookmarkEnd w:id="287"/>
      <w:bookmarkEnd w:id="288"/>
      <w:bookmarkEnd w:id="289"/>
      <w:bookmarkEnd w:id="290"/>
    </w:p>
    <w:p w14:paraId="36111F7A">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2.11.1如果任何一方遭遇法律规定的不可抗力，致使合同履行受阻时，履行合同的期限应予延长，延长的期限应相当于不可抗力所影响的时间；</w:t>
      </w:r>
    </w:p>
    <w:p w14:paraId="0A83BCF8">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2.11.2 因不可抗力致使不能实现合同目的的，当事人可以解除合同；</w:t>
      </w:r>
    </w:p>
    <w:p w14:paraId="71E75BCA">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2.11.3 因不可抗力致使合同有变更必要的，双方当事人应在</w:t>
      </w:r>
      <w:r>
        <w:rPr>
          <w:rFonts w:hint="eastAsia" w:ascii="宋体" w:hAnsi="宋体" w:eastAsia="宋体" w:cs="宋体"/>
          <w:b/>
          <w:i/>
          <w:color w:val="auto"/>
          <w:kern w:val="0"/>
          <w:sz w:val="21"/>
          <w:szCs w:val="18"/>
          <w:highlight w:val="none"/>
          <w:u w:val="single"/>
          <w:lang w:val="en-US" w:bidi="ar-SA"/>
        </w:rPr>
        <w:t>合同专用条款</w:t>
      </w:r>
      <w:r>
        <w:rPr>
          <w:rFonts w:hint="eastAsia" w:ascii="宋体" w:hAnsi="宋体" w:eastAsia="宋体" w:cs="宋体"/>
          <w:color w:val="auto"/>
          <w:kern w:val="0"/>
          <w:sz w:val="21"/>
          <w:szCs w:val="18"/>
          <w:highlight w:val="none"/>
          <w:lang w:val="en-US" w:bidi="ar-SA"/>
        </w:rPr>
        <w:t>约定时间内以书面形式变更合同；</w:t>
      </w:r>
    </w:p>
    <w:p w14:paraId="550A7053">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2.11.4受不可抗力影响的一方在不可抗力发生后，应在</w:t>
      </w:r>
      <w:r>
        <w:rPr>
          <w:rFonts w:hint="eastAsia" w:ascii="宋体" w:hAnsi="宋体" w:eastAsia="宋体" w:cs="宋体"/>
          <w:b/>
          <w:i/>
          <w:color w:val="auto"/>
          <w:kern w:val="0"/>
          <w:sz w:val="21"/>
          <w:szCs w:val="18"/>
          <w:highlight w:val="none"/>
          <w:u w:val="single"/>
          <w:lang w:val="en-US" w:bidi="ar-SA"/>
        </w:rPr>
        <w:t>合同专用条款</w:t>
      </w:r>
      <w:r>
        <w:rPr>
          <w:rFonts w:hint="eastAsia" w:ascii="宋体" w:hAnsi="宋体" w:eastAsia="宋体" w:cs="宋体"/>
          <w:color w:val="auto"/>
          <w:kern w:val="0"/>
          <w:sz w:val="21"/>
          <w:szCs w:val="18"/>
          <w:highlight w:val="none"/>
          <w:lang w:val="en-US" w:bidi="ar-SA"/>
        </w:rPr>
        <w:t>约定时间内以书面形式通知对方当事人，并在</w:t>
      </w:r>
      <w:r>
        <w:rPr>
          <w:rFonts w:hint="eastAsia" w:ascii="宋体" w:hAnsi="宋体" w:eastAsia="宋体" w:cs="宋体"/>
          <w:b/>
          <w:i/>
          <w:color w:val="auto"/>
          <w:kern w:val="0"/>
          <w:sz w:val="21"/>
          <w:szCs w:val="18"/>
          <w:highlight w:val="none"/>
          <w:u w:val="single"/>
          <w:lang w:val="en-US" w:bidi="ar-SA"/>
        </w:rPr>
        <w:t>合同专用条款</w:t>
      </w:r>
      <w:r>
        <w:rPr>
          <w:rFonts w:hint="eastAsia" w:ascii="宋体" w:hAnsi="宋体" w:eastAsia="宋体" w:cs="宋体"/>
          <w:color w:val="auto"/>
          <w:kern w:val="0"/>
          <w:sz w:val="21"/>
          <w:szCs w:val="18"/>
          <w:highlight w:val="none"/>
          <w:lang w:val="en-US" w:bidi="ar-SA"/>
        </w:rPr>
        <w:t>约定时间内，将有关部门出具的证明文件送达对方当事人。</w:t>
      </w:r>
    </w:p>
    <w:p w14:paraId="1E1A8F0F">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bookmarkStart w:id="291" w:name="_Toc23854"/>
      <w:bookmarkStart w:id="292" w:name="_Toc3638"/>
      <w:bookmarkStart w:id="293" w:name="_Toc259093684"/>
      <w:bookmarkStart w:id="294" w:name="_Toc14115"/>
      <w:bookmarkStart w:id="295" w:name="_Toc25783"/>
      <w:bookmarkStart w:id="296" w:name="_Toc279701255"/>
      <w:bookmarkStart w:id="297" w:name="_Toc487900365"/>
      <w:bookmarkStart w:id="298" w:name="_Toc24465"/>
      <w:r>
        <w:rPr>
          <w:rFonts w:hint="eastAsia" w:ascii="宋体" w:hAnsi="宋体" w:eastAsia="宋体" w:cs="宋体"/>
          <w:b/>
          <w:color w:val="auto"/>
          <w:kern w:val="0"/>
          <w:sz w:val="21"/>
          <w:szCs w:val="18"/>
          <w:highlight w:val="none"/>
          <w:lang w:val="en-US" w:bidi="ar-SA"/>
        </w:rPr>
        <w:t>2.12 税费</w:t>
      </w:r>
      <w:bookmarkEnd w:id="291"/>
      <w:bookmarkEnd w:id="292"/>
      <w:bookmarkEnd w:id="293"/>
      <w:bookmarkEnd w:id="294"/>
      <w:bookmarkEnd w:id="295"/>
      <w:bookmarkEnd w:id="296"/>
      <w:bookmarkEnd w:id="297"/>
      <w:bookmarkEnd w:id="298"/>
    </w:p>
    <w:p w14:paraId="3E24B017">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与合同有关的一切税费，均按照中华人民共和国法律的相关规定缴纳。</w:t>
      </w:r>
    </w:p>
    <w:p w14:paraId="6947A233">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bookmarkStart w:id="299" w:name="_Toc7315"/>
      <w:bookmarkStart w:id="300" w:name="_Toc30105"/>
      <w:bookmarkStart w:id="301" w:name="_Toc25525"/>
      <w:bookmarkStart w:id="302" w:name="_Toc26883"/>
      <w:bookmarkStart w:id="303" w:name="_Toc487900368"/>
      <w:bookmarkStart w:id="304" w:name="_Toc279701258"/>
      <w:bookmarkStart w:id="305" w:name="_Toc14814"/>
      <w:bookmarkStart w:id="306" w:name="_Toc259093687"/>
      <w:r>
        <w:rPr>
          <w:rFonts w:hint="eastAsia" w:ascii="宋体" w:hAnsi="宋体" w:eastAsia="宋体" w:cs="宋体"/>
          <w:b/>
          <w:color w:val="auto"/>
          <w:kern w:val="0"/>
          <w:sz w:val="21"/>
          <w:szCs w:val="18"/>
          <w:highlight w:val="none"/>
          <w:lang w:val="en-US" w:bidi="ar-SA"/>
        </w:rPr>
        <w:t>2.13 乙方破产</w:t>
      </w:r>
      <w:bookmarkEnd w:id="299"/>
      <w:bookmarkEnd w:id="300"/>
      <w:bookmarkEnd w:id="301"/>
      <w:bookmarkEnd w:id="302"/>
      <w:bookmarkEnd w:id="303"/>
      <w:bookmarkEnd w:id="304"/>
      <w:bookmarkEnd w:id="305"/>
      <w:bookmarkEnd w:id="306"/>
    </w:p>
    <w:p w14:paraId="063F2160">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如果乙方破产导致合同无法履行时，甲方可以书面形式通知乙方终止合同且不给予乙方任何补偿和赔偿，但合同的终止不损害或不影响甲方已经采取或将要采取的任何要求乙方赔偿损失等的行动或补救措施的权利。</w:t>
      </w:r>
    </w:p>
    <w:p w14:paraId="4EC95598">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bookmarkStart w:id="307" w:name="_Toc23323"/>
      <w:bookmarkStart w:id="308" w:name="_Toc1123"/>
      <w:bookmarkStart w:id="309" w:name="_Toc2016"/>
      <w:r>
        <w:rPr>
          <w:rFonts w:hint="eastAsia" w:ascii="宋体" w:hAnsi="宋体" w:eastAsia="宋体" w:cs="宋体"/>
          <w:b/>
          <w:color w:val="auto"/>
          <w:kern w:val="0"/>
          <w:sz w:val="21"/>
          <w:szCs w:val="18"/>
          <w:highlight w:val="none"/>
          <w:lang w:val="en-US" w:bidi="ar-SA"/>
        </w:rPr>
        <w:t>2.14 合同中止、终止</w:t>
      </w:r>
      <w:bookmarkEnd w:id="307"/>
      <w:bookmarkEnd w:id="308"/>
      <w:bookmarkEnd w:id="309"/>
    </w:p>
    <w:p w14:paraId="46D8D7DF">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2.14.1 双方当事人不得擅自中止或者终止合同；</w:t>
      </w:r>
    </w:p>
    <w:p w14:paraId="2BD0FF91">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2.14.2合同继续履行将损害国家利益和社会公共利益的，双方当事人应当中止或者终止合同。有过错的一方应当承担赔偿责任，双方当事人都有过错的，各自承担相应的责任。</w:t>
      </w:r>
    </w:p>
    <w:p w14:paraId="1AB22F4C">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bookmarkStart w:id="310" w:name="_Toc17363"/>
      <w:bookmarkStart w:id="311" w:name="_Toc1969"/>
      <w:bookmarkStart w:id="312" w:name="_Toc14525"/>
      <w:r>
        <w:rPr>
          <w:rFonts w:hint="eastAsia" w:ascii="宋体" w:hAnsi="宋体" w:eastAsia="宋体" w:cs="宋体"/>
          <w:b/>
          <w:color w:val="auto"/>
          <w:kern w:val="0"/>
          <w:sz w:val="21"/>
          <w:szCs w:val="18"/>
          <w:highlight w:val="none"/>
          <w:lang w:val="en-US" w:bidi="ar-SA"/>
        </w:rPr>
        <w:t>2.15 检验和验收</w:t>
      </w:r>
      <w:bookmarkEnd w:id="310"/>
      <w:bookmarkEnd w:id="311"/>
      <w:bookmarkEnd w:id="312"/>
    </w:p>
    <w:p w14:paraId="7D75C184">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采购人组织验收小组（专家组）按国家、行业、地方有关规定、规范及项目可研和初设方案进行评审验收，必要时邀请相关的专业人员或机构参与验收。</w:t>
      </w:r>
    </w:p>
    <w:p w14:paraId="2CFAC040">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交付进度确认：根据项目建设分批实施交付的原则；中标人需根据建设内容分系统进行实施交付，各系统功能上线达到运行条件后，中标人可向采购人申请进度确认，采购人根据中标人提交的进度确认申请及相关资料5个工作日内组织完成进度确认。采购人有权对中标人履行合同的交付进度进行监督，并对合同交付进度进行确认，对已履约部分承担相应的付款义务。</w:t>
      </w:r>
    </w:p>
    <w:p w14:paraId="7AC46B6F">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项目验收：各项服务功能完成供货、调试、安装且实现全过程数据产品交易3单以上后，中标人可向采购人申请提出项目验收申请，采购人在收到验收申请10个工作日内组织项目验收工作。</w:t>
      </w:r>
    </w:p>
    <w:bookmarkEnd w:id="274"/>
    <w:bookmarkEnd w:id="275"/>
    <w:bookmarkEnd w:id="276"/>
    <w:bookmarkEnd w:id="277"/>
    <w:p w14:paraId="2732C3F1">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bookmarkStart w:id="313" w:name="_Toc279701261"/>
      <w:bookmarkStart w:id="314" w:name="_Toc487900371"/>
      <w:bookmarkStart w:id="315" w:name="_Toc259093690"/>
      <w:bookmarkStart w:id="316" w:name="_Toc25198"/>
      <w:bookmarkStart w:id="317" w:name="_Toc12666"/>
      <w:bookmarkStart w:id="318" w:name="_Toc31892"/>
      <w:bookmarkStart w:id="319" w:name="_Toc2308"/>
      <w:bookmarkStart w:id="320" w:name="_Toc9808"/>
      <w:r>
        <w:rPr>
          <w:rFonts w:hint="eastAsia" w:ascii="宋体" w:hAnsi="宋体" w:eastAsia="宋体" w:cs="宋体"/>
          <w:b/>
          <w:color w:val="auto"/>
          <w:kern w:val="0"/>
          <w:sz w:val="21"/>
          <w:szCs w:val="18"/>
          <w:highlight w:val="none"/>
          <w:lang w:val="en-US" w:bidi="ar-SA"/>
        </w:rPr>
        <w:t>2.16 通知</w:t>
      </w:r>
      <w:bookmarkEnd w:id="313"/>
      <w:bookmarkEnd w:id="314"/>
      <w:bookmarkEnd w:id="315"/>
      <w:r>
        <w:rPr>
          <w:rFonts w:hint="eastAsia" w:ascii="宋体" w:hAnsi="宋体" w:eastAsia="宋体" w:cs="宋体"/>
          <w:b/>
          <w:color w:val="auto"/>
          <w:kern w:val="0"/>
          <w:sz w:val="21"/>
          <w:szCs w:val="18"/>
          <w:highlight w:val="none"/>
          <w:lang w:val="en-US" w:bidi="ar-SA"/>
        </w:rPr>
        <w:t>和送达</w:t>
      </w:r>
      <w:bookmarkEnd w:id="316"/>
      <w:bookmarkEnd w:id="317"/>
      <w:bookmarkEnd w:id="318"/>
      <w:bookmarkEnd w:id="319"/>
      <w:bookmarkEnd w:id="320"/>
    </w:p>
    <w:p w14:paraId="18EFF8FE">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bookmarkStart w:id="321" w:name="_Toc7073"/>
      <w:bookmarkStart w:id="322" w:name="_Toc29220"/>
      <w:bookmarkStart w:id="323" w:name="_Toc487900372"/>
      <w:bookmarkStart w:id="324" w:name="_Toc259093691"/>
      <w:bookmarkStart w:id="325" w:name="_Toc279701262"/>
      <w:r>
        <w:rPr>
          <w:rFonts w:hint="eastAsia" w:ascii="宋体" w:hAnsi="宋体" w:eastAsia="宋体" w:cs="宋体"/>
          <w:color w:val="auto"/>
          <w:kern w:val="0"/>
          <w:sz w:val="21"/>
          <w:szCs w:val="18"/>
          <w:highlight w:val="none"/>
          <w:lang w:val="en-US" w:bidi="ar-SA"/>
        </w:rPr>
        <w:t>2.16.1 任何一方因履行合同而以合同第一部分尾部所列明的</w:t>
      </w:r>
      <w:r>
        <w:rPr>
          <w:rFonts w:hint="eastAsia" w:ascii="宋体" w:hAnsi="宋体" w:eastAsia="宋体" w:cs="宋体"/>
          <w:color w:val="auto"/>
          <w:kern w:val="0"/>
          <w:sz w:val="21"/>
          <w:szCs w:val="18"/>
          <w:highlight w:val="none"/>
          <w:u w:val="single"/>
          <w:lang w:val="en-US" w:bidi="ar-SA"/>
        </w:rPr>
        <w:t xml:space="preserve">          </w:t>
      </w:r>
      <w:r>
        <w:rPr>
          <w:rFonts w:hint="eastAsia" w:ascii="宋体" w:hAnsi="宋体" w:eastAsia="宋体" w:cs="宋体"/>
          <w:color w:val="auto"/>
          <w:kern w:val="0"/>
          <w:sz w:val="21"/>
          <w:szCs w:val="18"/>
          <w:highlight w:val="none"/>
          <w:lang w:val="en-US" w:bidi="ar-SA"/>
        </w:rPr>
        <w:t>发出的所有通知、文件、材料，均视为已向对方当事人送达；任何一方变更上述送达方式或者地址的，应于</w:t>
      </w:r>
      <w:r>
        <w:rPr>
          <w:rFonts w:hint="eastAsia" w:ascii="宋体" w:hAnsi="宋体" w:eastAsia="宋体" w:cs="宋体"/>
          <w:color w:val="auto"/>
          <w:kern w:val="0"/>
          <w:sz w:val="21"/>
          <w:szCs w:val="18"/>
          <w:highlight w:val="none"/>
          <w:u w:val="single"/>
          <w:lang w:val="en-US" w:bidi="ar-SA"/>
        </w:rPr>
        <w:t xml:space="preserve">   </w:t>
      </w:r>
      <w:r>
        <w:rPr>
          <w:rFonts w:hint="eastAsia" w:ascii="宋体" w:hAnsi="宋体" w:eastAsia="宋体" w:cs="宋体"/>
          <w:color w:val="auto"/>
          <w:kern w:val="0"/>
          <w:sz w:val="21"/>
          <w:szCs w:val="18"/>
          <w:highlight w:val="none"/>
          <w:lang w:val="en-US" w:bidi="ar-SA"/>
        </w:rPr>
        <w:t>个工作日内书面通知对方当事人，在对方当事人收到有关变更通知之前，变更前的约定送达方式或者地址仍视为有效。</w:t>
      </w:r>
      <w:bookmarkEnd w:id="321"/>
      <w:bookmarkEnd w:id="322"/>
    </w:p>
    <w:p w14:paraId="71E69037">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bookmarkStart w:id="326" w:name="_Toc18401"/>
      <w:bookmarkStart w:id="327" w:name="_Toc27674"/>
      <w:r>
        <w:rPr>
          <w:rFonts w:hint="eastAsia" w:ascii="宋体" w:hAnsi="宋体" w:eastAsia="宋体" w:cs="宋体"/>
          <w:color w:val="auto"/>
          <w:kern w:val="0"/>
          <w:sz w:val="21"/>
          <w:szCs w:val="18"/>
          <w:highlight w:val="none"/>
          <w:lang w:val="en-US" w:bidi="ar-SA"/>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26"/>
      <w:bookmarkEnd w:id="327"/>
    </w:p>
    <w:bookmarkEnd w:id="323"/>
    <w:bookmarkEnd w:id="324"/>
    <w:bookmarkEnd w:id="325"/>
    <w:p w14:paraId="15FF1543">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bookmarkStart w:id="328" w:name="_Toc20808"/>
      <w:bookmarkStart w:id="329" w:name="_Toc259093692"/>
      <w:bookmarkStart w:id="330" w:name="_Toc28906"/>
      <w:bookmarkStart w:id="331" w:name="_Toc487900373"/>
      <w:bookmarkStart w:id="332" w:name="_Toc279701263"/>
      <w:bookmarkStart w:id="333" w:name="_Toc27644"/>
      <w:bookmarkStart w:id="334" w:name="_Toc5063"/>
      <w:r>
        <w:rPr>
          <w:rFonts w:hint="eastAsia" w:ascii="宋体" w:hAnsi="宋体" w:eastAsia="宋体" w:cs="宋体"/>
          <w:b/>
          <w:color w:val="auto"/>
          <w:kern w:val="0"/>
          <w:sz w:val="21"/>
          <w:szCs w:val="18"/>
          <w:highlight w:val="none"/>
          <w:lang w:val="en-US" w:bidi="ar-SA"/>
        </w:rPr>
        <w:t>2.17 合同使用的文字和适用的法律</w:t>
      </w:r>
      <w:bookmarkEnd w:id="328"/>
      <w:bookmarkEnd w:id="329"/>
      <w:bookmarkEnd w:id="330"/>
      <w:bookmarkEnd w:id="331"/>
      <w:bookmarkEnd w:id="332"/>
      <w:bookmarkEnd w:id="333"/>
      <w:bookmarkEnd w:id="334"/>
    </w:p>
    <w:p w14:paraId="0544516D">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2.17.1 合同使用汉语</w:t>
      </w:r>
      <w:r>
        <w:rPr>
          <w:rFonts w:hint="eastAsia" w:ascii="宋体" w:hAnsi="宋体" w:eastAsia="宋体" w:cs="宋体"/>
          <w:color w:val="auto"/>
          <w:kern w:val="0"/>
          <w:sz w:val="21"/>
          <w:szCs w:val="18"/>
          <w:highlight w:val="none"/>
          <w:lang w:val="en-US" w:eastAsia="zh-CN" w:bidi="ar-SA"/>
        </w:rPr>
        <w:t>书写</w:t>
      </w:r>
      <w:r>
        <w:rPr>
          <w:rFonts w:hint="eastAsia" w:ascii="宋体" w:hAnsi="宋体" w:eastAsia="宋体" w:cs="宋体"/>
          <w:color w:val="auto"/>
          <w:kern w:val="0"/>
          <w:sz w:val="21"/>
          <w:szCs w:val="18"/>
          <w:highlight w:val="none"/>
          <w:lang w:val="en-US" w:bidi="ar-SA"/>
        </w:rPr>
        <w:t>、变更和解释；</w:t>
      </w:r>
    </w:p>
    <w:p w14:paraId="0AD504D8">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2.17.2 合同适用中华人民共和国法律。</w:t>
      </w:r>
    </w:p>
    <w:p w14:paraId="1574C3CE">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bookmarkStart w:id="335" w:name="_Toc27127"/>
      <w:bookmarkStart w:id="336" w:name="_Toc279701264"/>
      <w:bookmarkStart w:id="337" w:name="_Toc22266"/>
      <w:bookmarkStart w:id="338" w:name="_Toc27403"/>
      <w:bookmarkStart w:id="339" w:name="_Toc30096"/>
      <w:bookmarkStart w:id="340" w:name="_Toc1492"/>
      <w:bookmarkStart w:id="341" w:name="_Toc259093693"/>
      <w:bookmarkStart w:id="342" w:name="_Toc487900374"/>
      <w:r>
        <w:rPr>
          <w:rFonts w:hint="eastAsia" w:ascii="宋体" w:hAnsi="宋体" w:eastAsia="宋体" w:cs="宋体"/>
          <w:b/>
          <w:color w:val="auto"/>
          <w:kern w:val="0"/>
          <w:sz w:val="21"/>
          <w:szCs w:val="18"/>
          <w:highlight w:val="none"/>
          <w:lang w:val="en-US" w:bidi="ar-SA"/>
        </w:rPr>
        <w:t>2.18 履约保证金</w:t>
      </w:r>
      <w:bookmarkEnd w:id="335"/>
      <w:bookmarkEnd w:id="336"/>
      <w:bookmarkEnd w:id="337"/>
      <w:bookmarkEnd w:id="338"/>
      <w:bookmarkEnd w:id="339"/>
      <w:bookmarkEnd w:id="340"/>
      <w:bookmarkEnd w:id="341"/>
    </w:p>
    <w:p w14:paraId="34D932D3">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本项目</w:t>
      </w:r>
      <w:r>
        <w:rPr>
          <w:rFonts w:hint="eastAsia" w:ascii="宋体" w:hAnsi="宋体" w:eastAsia="宋体" w:cs="宋体"/>
          <w:color w:val="auto"/>
          <w:kern w:val="0"/>
          <w:sz w:val="21"/>
          <w:szCs w:val="18"/>
          <w:highlight w:val="none"/>
          <w:lang w:val="en-US" w:eastAsia="zh-CN" w:bidi="ar-SA"/>
        </w:rPr>
        <w:t>不</w:t>
      </w:r>
      <w:r>
        <w:rPr>
          <w:rFonts w:hint="eastAsia" w:ascii="宋体" w:hAnsi="宋体" w:eastAsia="宋体" w:cs="宋体"/>
          <w:color w:val="auto"/>
          <w:kern w:val="0"/>
          <w:sz w:val="21"/>
          <w:szCs w:val="18"/>
          <w:highlight w:val="none"/>
          <w:lang w:val="en-US" w:bidi="ar-SA"/>
        </w:rPr>
        <w:t>要求提交履约保证金。</w:t>
      </w:r>
    </w:p>
    <w:bookmarkEnd w:id="342"/>
    <w:p w14:paraId="349BEAD7">
      <w:pPr>
        <w:widowControl/>
        <w:autoSpaceDE/>
        <w:autoSpaceDN/>
        <w:spacing w:before="0" w:after="0" w:line="560" w:lineRule="exact"/>
        <w:ind w:left="0" w:right="0" w:firstLine="422" w:firstLineChars="200"/>
        <w:jc w:val="left"/>
        <w:rPr>
          <w:rFonts w:hint="eastAsia" w:ascii="宋体" w:hAnsi="宋体" w:eastAsia="宋体" w:cs="宋体"/>
          <w:b/>
          <w:color w:val="auto"/>
          <w:kern w:val="0"/>
          <w:sz w:val="21"/>
          <w:szCs w:val="18"/>
          <w:highlight w:val="none"/>
          <w:lang w:val="en-US" w:bidi="ar-SA"/>
        </w:rPr>
      </w:pPr>
      <w:r>
        <w:rPr>
          <w:rFonts w:hint="eastAsia" w:ascii="宋体" w:hAnsi="宋体" w:eastAsia="宋体" w:cs="宋体"/>
          <w:b/>
          <w:color w:val="auto"/>
          <w:kern w:val="0"/>
          <w:sz w:val="21"/>
          <w:szCs w:val="18"/>
          <w:highlight w:val="none"/>
          <w:lang w:val="en-US" w:bidi="ar-SA"/>
        </w:rPr>
        <w:t>2.19 合同份数</w:t>
      </w:r>
    </w:p>
    <w:p w14:paraId="10F8EC4B">
      <w:pPr>
        <w:widowControl/>
        <w:autoSpaceDE/>
        <w:autoSpaceDN/>
        <w:spacing w:before="0" w:after="0" w:line="560" w:lineRule="exact"/>
        <w:ind w:left="0" w:right="0" w:firstLine="420" w:firstLineChars="200"/>
        <w:jc w:val="left"/>
        <w:rPr>
          <w:rFonts w:ascii="楷体" w:hAnsi="楷体" w:eastAsia="楷体" w:cs="Times New Roman"/>
          <w:color w:val="auto"/>
          <w:kern w:val="0"/>
          <w:sz w:val="21"/>
          <w:szCs w:val="18"/>
          <w:highlight w:val="none"/>
          <w:lang w:val="en-US" w:bidi="ar-SA"/>
        </w:rPr>
      </w:pPr>
      <w:r>
        <w:rPr>
          <w:rFonts w:hint="eastAsia" w:ascii="宋体" w:hAnsi="宋体" w:eastAsia="宋体" w:cs="宋体"/>
          <w:color w:val="auto"/>
          <w:kern w:val="0"/>
          <w:sz w:val="21"/>
          <w:szCs w:val="18"/>
          <w:highlight w:val="none"/>
          <w:lang w:val="en-US" w:bidi="ar-SA"/>
        </w:rPr>
        <w:t>合同份数按</w:t>
      </w:r>
      <w:r>
        <w:rPr>
          <w:rFonts w:hint="eastAsia" w:ascii="宋体" w:hAnsi="宋体" w:eastAsia="宋体" w:cs="宋体"/>
          <w:b/>
          <w:i/>
          <w:color w:val="auto"/>
          <w:kern w:val="0"/>
          <w:sz w:val="21"/>
          <w:szCs w:val="18"/>
          <w:highlight w:val="none"/>
          <w:u w:val="single"/>
          <w:lang w:val="en-US" w:bidi="ar-SA"/>
        </w:rPr>
        <w:t>合同专用条款</w:t>
      </w:r>
      <w:r>
        <w:rPr>
          <w:rFonts w:hint="eastAsia" w:ascii="宋体" w:hAnsi="宋体" w:eastAsia="宋体" w:cs="宋体"/>
          <w:color w:val="auto"/>
          <w:kern w:val="0"/>
          <w:sz w:val="21"/>
          <w:szCs w:val="18"/>
          <w:highlight w:val="none"/>
          <w:lang w:val="en-US" w:bidi="ar-SA"/>
        </w:rPr>
        <w:t>规定，每份均具有同等法律效力。</w:t>
      </w:r>
    </w:p>
    <w:p w14:paraId="5032093F">
      <w:pPr>
        <w:autoSpaceDE w:val="0"/>
        <w:autoSpaceDN w:val="0"/>
        <w:adjustRightInd w:val="0"/>
        <w:spacing w:before="0" w:after="0" w:line="560" w:lineRule="exact"/>
        <w:ind w:left="0" w:right="0" w:firstLine="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r>
        <w:rPr>
          <w:rFonts w:hint="eastAsia" w:ascii="宋体" w:hAnsi="宋体" w:eastAsia="宋体" w:cs="宋体"/>
          <w:b/>
          <w:color w:val="auto"/>
          <w:kern w:val="2"/>
          <w:sz w:val="24"/>
          <w:szCs w:val="24"/>
          <w:highlight w:val="none"/>
          <w:lang w:val="en-US" w:eastAsia="zh-CN" w:bidi="ar-SA"/>
        </w:rPr>
        <w:t>合同专用条款</w:t>
      </w:r>
    </w:p>
    <w:p w14:paraId="31A62E29">
      <w:pPr>
        <w:widowControl/>
        <w:autoSpaceDE/>
        <w:autoSpaceDN/>
        <w:spacing w:before="0" w:after="0" w:line="560" w:lineRule="exact"/>
        <w:ind w:left="0" w:right="0" w:firstLine="420" w:firstLineChars="20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部分是对前两部分的补充和修改，如果前两部分和本部分的约定不一致，应以本部分的约定为准。本部分的条款号应与前两部分的条款号保持对应；与前两部分无对应关系的内容可另行编制条款号。（具体条款由中标单位与采购人签订合同时商定）</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5"/>
        <w:gridCol w:w="8724"/>
      </w:tblGrid>
      <w:tr w14:paraId="4FBC1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915" w:type="dxa"/>
            <w:tcBorders>
              <w:left w:val="single" w:color="auto" w:sz="4" w:space="0"/>
            </w:tcBorders>
            <w:noWrap w:val="0"/>
            <w:vAlign w:val="center"/>
          </w:tcPr>
          <w:p w14:paraId="29077538">
            <w:pPr>
              <w:widowControl/>
              <w:autoSpaceDE/>
              <w:autoSpaceDN/>
              <w:spacing w:before="0" w:after="0" w:line="560" w:lineRule="exact"/>
              <w:ind w:left="0" w:right="0"/>
              <w:jc w:val="center"/>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条款号</w:t>
            </w:r>
          </w:p>
        </w:tc>
        <w:tc>
          <w:tcPr>
            <w:tcW w:w="8724" w:type="dxa"/>
            <w:noWrap w:val="0"/>
            <w:vAlign w:val="center"/>
          </w:tcPr>
          <w:p w14:paraId="665B8D66">
            <w:pPr>
              <w:widowControl/>
              <w:autoSpaceDE/>
              <w:autoSpaceDN/>
              <w:spacing w:before="0" w:after="0" w:line="560" w:lineRule="exact"/>
              <w:ind w:left="0" w:right="0"/>
              <w:jc w:val="center"/>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约定内容</w:t>
            </w:r>
          </w:p>
        </w:tc>
      </w:tr>
      <w:tr w14:paraId="1597C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915" w:type="dxa"/>
            <w:tcBorders>
              <w:left w:val="single" w:color="auto" w:sz="4" w:space="0"/>
            </w:tcBorders>
            <w:noWrap w:val="0"/>
            <w:vAlign w:val="center"/>
          </w:tcPr>
          <w:p w14:paraId="566B3E36">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c>
          <w:tcPr>
            <w:tcW w:w="8724" w:type="dxa"/>
            <w:noWrap w:val="0"/>
            <w:vAlign w:val="center"/>
          </w:tcPr>
          <w:p w14:paraId="35880124">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r>
      <w:tr w14:paraId="13233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915" w:type="dxa"/>
            <w:tcBorders>
              <w:left w:val="single" w:color="auto" w:sz="4" w:space="0"/>
            </w:tcBorders>
            <w:noWrap w:val="0"/>
            <w:vAlign w:val="center"/>
          </w:tcPr>
          <w:p w14:paraId="5CBBC960">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c>
          <w:tcPr>
            <w:tcW w:w="8724" w:type="dxa"/>
            <w:noWrap w:val="0"/>
            <w:vAlign w:val="center"/>
          </w:tcPr>
          <w:p w14:paraId="35F0BC35">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r>
      <w:tr w14:paraId="5FE44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915" w:type="dxa"/>
            <w:tcBorders>
              <w:left w:val="single" w:color="auto" w:sz="4" w:space="0"/>
            </w:tcBorders>
            <w:noWrap w:val="0"/>
            <w:vAlign w:val="center"/>
          </w:tcPr>
          <w:p w14:paraId="3F44EB13">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c>
          <w:tcPr>
            <w:tcW w:w="8724" w:type="dxa"/>
            <w:noWrap w:val="0"/>
            <w:vAlign w:val="center"/>
          </w:tcPr>
          <w:p w14:paraId="04771BA6">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r>
      <w:tr w14:paraId="11438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915" w:type="dxa"/>
            <w:tcBorders>
              <w:left w:val="single" w:color="auto" w:sz="4" w:space="0"/>
            </w:tcBorders>
            <w:noWrap w:val="0"/>
            <w:vAlign w:val="center"/>
          </w:tcPr>
          <w:p w14:paraId="5937C1B1">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c>
          <w:tcPr>
            <w:tcW w:w="8724" w:type="dxa"/>
            <w:noWrap w:val="0"/>
            <w:vAlign w:val="center"/>
          </w:tcPr>
          <w:p w14:paraId="2BF8B99C">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r>
      <w:tr w14:paraId="4E79B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915" w:type="dxa"/>
            <w:tcBorders>
              <w:left w:val="single" w:color="auto" w:sz="4" w:space="0"/>
            </w:tcBorders>
            <w:noWrap w:val="0"/>
            <w:vAlign w:val="center"/>
          </w:tcPr>
          <w:p w14:paraId="4D3702EF">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c>
          <w:tcPr>
            <w:tcW w:w="8724" w:type="dxa"/>
            <w:noWrap w:val="0"/>
            <w:vAlign w:val="center"/>
          </w:tcPr>
          <w:p w14:paraId="02864EAF">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u w:val="single"/>
                <w:lang w:val="en-US" w:bidi="ar-SA"/>
              </w:rPr>
            </w:pPr>
          </w:p>
        </w:tc>
      </w:tr>
      <w:tr w14:paraId="07FAF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915" w:type="dxa"/>
            <w:tcBorders>
              <w:left w:val="single" w:color="auto" w:sz="4" w:space="0"/>
            </w:tcBorders>
            <w:noWrap w:val="0"/>
            <w:vAlign w:val="center"/>
          </w:tcPr>
          <w:p w14:paraId="2FA9D2EE">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c>
          <w:tcPr>
            <w:tcW w:w="8724" w:type="dxa"/>
            <w:noWrap w:val="0"/>
            <w:vAlign w:val="center"/>
          </w:tcPr>
          <w:p w14:paraId="0A2993F1">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r>
      <w:tr w14:paraId="0FA4B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915" w:type="dxa"/>
            <w:tcBorders>
              <w:left w:val="single" w:color="auto" w:sz="4" w:space="0"/>
            </w:tcBorders>
            <w:noWrap w:val="0"/>
            <w:vAlign w:val="center"/>
          </w:tcPr>
          <w:p w14:paraId="4BA75AF7">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c>
          <w:tcPr>
            <w:tcW w:w="8724" w:type="dxa"/>
            <w:noWrap w:val="0"/>
            <w:vAlign w:val="center"/>
          </w:tcPr>
          <w:p w14:paraId="0FE4CF1A">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u w:val="single"/>
                <w:lang w:val="en-US" w:bidi="ar-SA"/>
              </w:rPr>
            </w:pPr>
          </w:p>
        </w:tc>
      </w:tr>
      <w:tr w14:paraId="7C4F3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915" w:type="dxa"/>
            <w:tcBorders>
              <w:left w:val="single" w:color="auto" w:sz="4" w:space="0"/>
            </w:tcBorders>
            <w:noWrap w:val="0"/>
            <w:vAlign w:val="center"/>
          </w:tcPr>
          <w:p w14:paraId="5B72B7B2">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c>
          <w:tcPr>
            <w:tcW w:w="8724" w:type="dxa"/>
            <w:noWrap w:val="0"/>
            <w:vAlign w:val="center"/>
          </w:tcPr>
          <w:p w14:paraId="5B474904">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r>
      <w:tr w14:paraId="49102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915" w:type="dxa"/>
            <w:tcBorders>
              <w:left w:val="single" w:color="auto" w:sz="4" w:space="0"/>
            </w:tcBorders>
            <w:noWrap w:val="0"/>
            <w:vAlign w:val="center"/>
          </w:tcPr>
          <w:p w14:paraId="006AF058">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c>
          <w:tcPr>
            <w:tcW w:w="8724" w:type="dxa"/>
            <w:noWrap w:val="0"/>
            <w:vAlign w:val="center"/>
          </w:tcPr>
          <w:p w14:paraId="647DC3CF">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r>
      <w:tr w14:paraId="02693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915" w:type="dxa"/>
            <w:tcBorders>
              <w:left w:val="single" w:color="auto" w:sz="4" w:space="0"/>
            </w:tcBorders>
            <w:noWrap w:val="0"/>
            <w:vAlign w:val="center"/>
          </w:tcPr>
          <w:p w14:paraId="4D4D348A">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c>
          <w:tcPr>
            <w:tcW w:w="8724" w:type="dxa"/>
            <w:noWrap w:val="0"/>
            <w:vAlign w:val="center"/>
          </w:tcPr>
          <w:p w14:paraId="6F004374">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r>
      <w:tr w14:paraId="367BA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915" w:type="dxa"/>
            <w:tcBorders>
              <w:top w:val="single" w:color="auto" w:sz="6" w:space="0"/>
              <w:left w:val="single" w:color="auto" w:sz="4" w:space="0"/>
              <w:bottom w:val="single" w:color="auto" w:sz="6" w:space="0"/>
              <w:right w:val="single" w:color="auto" w:sz="6" w:space="0"/>
            </w:tcBorders>
            <w:noWrap w:val="0"/>
            <w:vAlign w:val="center"/>
          </w:tcPr>
          <w:p w14:paraId="4D8A4616">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c>
          <w:tcPr>
            <w:tcW w:w="8724" w:type="dxa"/>
            <w:tcBorders>
              <w:top w:val="single" w:color="auto" w:sz="6" w:space="0"/>
              <w:left w:val="single" w:color="auto" w:sz="6" w:space="0"/>
              <w:bottom w:val="single" w:color="auto" w:sz="6" w:space="0"/>
              <w:right w:val="single" w:color="auto" w:sz="6" w:space="0"/>
            </w:tcBorders>
            <w:noWrap w:val="0"/>
            <w:vAlign w:val="center"/>
          </w:tcPr>
          <w:p w14:paraId="43DA7DC7">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r>
      <w:tr w14:paraId="78D04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7" w:hRule="atLeast"/>
          <w:jc w:val="center"/>
        </w:trPr>
        <w:tc>
          <w:tcPr>
            <w:tcW w:w="915" w:type="dxa"/>
            <w:tcBorders>
              <w:top w:val="single" w:color="auto" w:sz="6" w:space="0"/>
              <w:left w:val="single" w:color="auto" w:sz="4" w:space="0"/>
              <w:bottom w:val="single" w:color="auto" w:sz="6" w:space="0"/>
              <w:right w:val="single" w:color="auto" w:sz="6" w:space="0"/>
            </w:tcBorders>
            <w:noWrap w:val="0"/>
            <w:vAlign w:val="center"/>
          </w:tcPr>
          <w:p w14:paraId="5329AB64">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c>
          <w:tcPr>
            <w:tcW w:w="8724" w:type="dxa"/>
            <w:tcBorders>
              <w:top w:val="single" w:color="auto" w:sz="6" w:space="0"/>
              <w:left w:val="single" w:color="auto" w:sz="6" w:space="0"/>
              <w:bottom w:val="single" w:color="auto" w:sz="6" w:space="0"/>
              <w:right w:val="single" w:color="auto" w:sz="6" w:space="0"/>
            </w:tcBorders>
            <w:noWrap w:val="0"/>
            <w:vAlign w:val="center"/>
          </w:tcPr>
          <w:p w14:paraId="36AEDBC2">
            <w:pPr>
              <w:widowControl/>
              <w:autoSpaceDE/>
              <w:autoSpaceDN/>
              <w:spacing w:before="0" w:after="0" w:line="560" w:lineRule="exact"/>
              <w:ind w:left="0" w:right="0"/>
              <w:jc w:val="left"/>
              <w:rPr>
                <w:rFonts w:hint="eastAsia" w:ascii="宋体" w:hAnsi="宋体" w:eastAsia="宋体" w:cs="宋体"/>
                <w:color w:val="auto"/>
                <w:kern w:val="0"/>
                <w:sz w:val="21"/>
                <w:szCs w:val="21"/>
                <w:highlight w:val="none"/>
                <w:lang w:val="en-US" w:bidi="ar-SA"/>
              </w:rPr>
            </w:pPr>
          </w:p>
        </w:tc>
      </w:tr>
    </w:tbl>
    <w:p w14:paraId="5943FFD9">
      <w:pPr>
        <w:autoSpaceDE/>
        <w:autoSpaceDN/>
        <w:spacing w:line="560" w:lineRule="exact"/>
        <w:jc w:val="center"/>
        <w:rPr>
          <w:rFonts w:ascii="宋体" w:hAnsi="宋体" w:eastAsia="宋体" w:cs="宋体"/>
          <w:color w:val="auto"/>
          <w:sz w:val="24"/>
          <w:szCs w:val="24"/>
          <w:highlight w:val="none"/>
        </w:rPr>
      </w:pPr>
    </w:p>
    <w:p w14:paraId="21D48815">
      <w:pPr>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br w:type="page"/>
      </w:r>
    </w:p>
    <w:p w14:paraId="2F707691">
      <w:pPr>
        <w:pStyle w:val="3"/>
        <w:ind w:left="0"/>
        <w:rPr>
          <w:color w:val="auto"/>
          <w:highlight w:val="none"/>
        </w:rPr>
      </w:pPr>
      <w:bookmarkStart w:id="343" w:name="_Toc30451"/>
      <w:bookmarkStart w:id="344" w:name="_Toc7886"/>
      <w:bookmarkStart w:id="345" w:name="_Toc27967"/>
      <w:bookmarkStart w:id="346" w:name="_Toc24097"/>
      <w:bookmarkStart w:id="347" w:name="_Toc16123"/>
      <w:r>
        <w:rPr>
          <w:rFonts w:hint="eastAsia"/>
          <w:color w:val="auto"/>
          <w:highlight w:val="none"/>
        </w:rPr>
        <w:t>第四章 投标文件格式</w:t>
      </w:r>
      <w:bookmarkEnd w:id="343"/>
      <w:bookmarkEnd w:id="344"/>
      <w:bookmarkEnd w:id="345"/>
      <w:bookmarkEnd w:id="346"/>
      <w:bookmarkEnd w:id="347"/>
    </w:p>
    <w:p w14:paraId="3DB1D133">
      <w:pPr>
        <w:pStyle w:val="11"/>
        <w:spacing w:before="4"/>
        <w:rPr>
          <w:rFonts w:ascii="宋体" w:hAnsi="宋体" w:eastAsia="宋体" w:cs="宋体"/>
          <w:b/>
          <w:color w:val="auto"/>
          <w:sz w:val="15"/>
          <w:highlight w:val="none"/>
        </w:rPr>
      </w:pPr>
    </w:p>
    <w:p w14:paraId="76661028">
      <w:pPr>
        <w:pStyle w:val="11"/>
        <w:spacing w:before="1"/>
        <w:rPr>
          <w:rFonts w:ascii="宋体" w:hAnsi="宋体" w:eastAsia="宋体" w:cs="宋体"/>
          <w:b/>
          <w:color w:val="auto"/>
          <w:sz w:val="40"/>
          <w:highlight w:val="none"/>
        </w:rPr>
      </w:pPr>
      <w:bookmarkStart w:id="348" w:name="一、投标文件封面"/>
      <w:bookmarkEnd w:id="348"/>
    </w:p>
    <w:p w14:paraId="64B1084F">
      <w:pPr>
        <w:spacing w:before="1" w:line="328" w:lineRule="auto"/>
        <w:ind w:right="986"/>
        <w:jc w:val="both"/>
        <w:rPr>
          <w:rFonts w:ascii="宋体" w:hAnsi="宋体" w:eastAsia="宋体" w:cs="宋体"/>
          <w:b/>
          <w:bCs/>
          <w:color w:val="auto"/>
          <w:sz w:val="48"/>
          <w:szCs w:val="48"/>
          <w:highlight w:val="none"/>
        </w:rPr>
      </w:pPr>
    </w:p>
    <w:p w14:paraId="785674EC">
      <w:pPr>
        <w:spacing w:before="120" w:beforeLines="50" w:line="900" w:lineRule="exact"/>
        <w:jc w:val="center"/>
        <w:rPr>
          <w:rFonts w:hint="eastAsia" w:ascii="黑体" w:hAnsi="黑体" w:eastAsia="黑体" w:cs="黑体"/>
          <w:b/>
          <w:bCs/>
          <w:color w:val="auto"/>
          <w:sz w:val="52"/>
          <w:szCs w:val="52"/>
          <w:highlight w:val="none"/>
          <w:lang w:eastAsia="zh-CN" w:bidi="ar-SA"/>
        </w:rPr>
      </w:pPr>
      <w:r>
        <w:rPr>
          <w:rFonts w:hint="eastAsia" w:ascii="黑体" w:hAnsi="黑体" w:eastAsia="黑体" w:cs="黑体"/>
          <w:b/>
          <w:bCs/>
          <w:color w:val="auto"/>
          <w:sz w:val="52"/>
          <w:szCs w:val="52"/>
          <w:highlight w:val="none"/>
          <w:lang w:eastAsia="zh-CN" w:bidi="ar-SA"/>
        </w:rPr>
        <w:t>普洱市医保数据专区建设项目</w:t>
      </w:r>
    </w:p>
    <w:p w14:paraId="775A2AD5">
      <w:pPr>
        <w:pStyle w:val="11"/>
        <w:wordWrap w:val="0"/>
        <w:overflowPunct w:val="0"/>
        <w:jc w:val="center"/>
        <w:rPr>
          <w:rFonts w:ascii="宋体" w:hAnsi="宋体" w:eastAsia="宋体" w:cs="宋体"/>
          <w:color w:val="auto"/>
          <w:highlight w:val="none"/>
        </w:rPr>
      </w:pPr>
    </w:p>
    <w:p w14:paraId="1CEEE03C">
      <w:pPr>
        <w:spacing w:line="360" w:lineRule="auto"/>
        <w:jc w:val="center"/>
        <w:rPr>
          <w:rFonts w:ascii="宋体" w:hAnsi="宋体" w:eastAsia="宋体" w:cs="宋体"/>
          <w:color w:val="auto"/>
          <w:sz w:val="28"/>
          <w:szCs w:val="28"/>
          <w:highlight w:val="none"/>
        </w:rPr>
      </w:pPr>
    </w:p>
    <w:p w14:paraId="2BC8BF98">
      <w:pPr>
        <w:spacing w:line="360" w:lineRule="auto"/>
        <w:jc w:val="center"/>
        <w:rPr>
          <w:rFonts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rPr>
        <w:t>项目编号：</w:t>
      </w:r>
    </w:p>
    <w:p w14:paraId="279E8A25">
      <w:pPr>
        <w:pStyle w:val="11"/>
        <w:wordWrap w:val="0"/>
        <w:overflowPunct w:val="0"/>
        <w:jc w:val="center"/>
        <w:rPr>
          <w:rFonts w:ascii="宋体" w:hAnsi="宋体" w:eastAsia="宋体" w:cs="宋体"/>
          <w:b/>
          <w:color w:val="auto"/>
          <w:sz w:val="32"/>
          <w:szCs w:val="20"/>
          <w:highlight w:val="none"/>
          <w:u w:val="single"/>
          <w:lang w:val="en-US"/>
        </w:rPr>
      </w:pPr>
    </w:p>
    <w:p w14:paraId="6851F68C">
      <w:pPr>
        <w:pStyle w:val="11"/>
        <w:wordWrap w:val="0"/>
        <w:overflowPunct w:val="0"/>
        <w:spacing w:before="6"/>
        <w:rPr>
          <w:rFonts w:ascii="宋体" w:hAnsi="宋体" w:eastAsia="宋体" w:cs="宋体"/>
          <w:b/>
          <w:color w:val="auto"/>
          <w:sz w:val="59"/>
          <w:highlight w:val="none"/>
        </w:rPr>
      </w:pPr>
    </w:p>
    <w:p w14:paraId="7E467889">
      <w:pPr>
        <w:autoSpaceDE/>
        <w:autoSpaceDN/>
        <w:spacing w:line="360" w:lineRule="auto"/>
        <w:jc w:val="center"/>
        <w:rPr>
          <w:rFonts w:ascii="宋体" w:hAnsi="宋体" w:eastAsia="宋体" w:cs="宋体"/>
          <w:b/>
          <w:color w:val="auto"/>
          <w:sz w:val="96"/>
          <w:szCs w:val="84"/>
          <w:highlight w:val="none"/>
          <w:lang w:val="en-US" w:bidi="ar-SA"/>
        </w:rPr>
      </w:pPr>
      <w:r>
        <w:rPr>
          <w:rFonts w:hint="eastAsia" w:ascii="宋体" w:hAnsi="宋体" w:eastAsia="宋体" w:cs="宋体"/>
          <w:b/>
          <w:color w:val="auto"/>
          <w:sz w:val="96"/>
          <w:szCs w:val="84"/>
          <w:highlight w:val="none"/>
          <w:lang w:val="en-US" w:bidi="ar-SA"/>
        </w:rPr>
        <w:t>投 标 文 件</w:t>
      </w:r>
    </w:p>
    <w:p w14:paraId="3C40EFB7">
      <w:pPr>
        <w:spacing w:line="360" w:lineRule="auto"/>
        <w:ind w:firstLine="480" w:firstLineChars="200"/>
        <w:rPr>
          <w:rFonts w:ascii="宋体" w:hAnsi="宋体" w:eastAsia="宋体" w:cs="宋体"/>
          <w:color w:val="auto"/>
          <w:sz w:val="28"/>
          <w:szCs w:val="28"/>
          <w:highlight w:val="none"/>
          <w:lang w:val="en-US"/>
        </w:rPr>
      </w:pPr>
      <w:bookmarkStart w:id="349" w:name="_Toc19757"/>
      <w:r>
        <w:rPr>
          <w:rFonts w:hint="eastAsia" w:ascii="宋体" w:hAnsi="宋体" w:eastAsia="宋体" w:cs="宋体"/>
          <w:i/>
          <w:iCs/>
          <w:color w:val="auto"/>
          <w:sz w:val="24"/>
          <w:szCs w:val="24"/>
          <w:highlight w:val="none"/>
          <w:lang w:val="en-US"/>
        </w:rPr>
        <w:t xml:space="preserve">  </w:t>
      </w:r>
      <w:bookmarkEnd w:id="349"/>
    </w:p>
    <w:p w14:paraId="210253A5">
      <w:pPr>
        <w:wordWrap w:val="0"/>
        <w:overflowPunct w:val="0"/>
        <w:spacing w:before="100" w:after="100" w:line="360" w:lineRule="auto"/>
        <w:ind w:firstLine="560" w:firstLineChars="200"/>
        <w:jc w:val="center"/>
        <w:rPr>
          <w:rFonts w:ascii="宋体" w:hAnsi="宋体" w:eastAsia="宋体" w:cs="宋体"/>
          <w:color w:val="auto"/>
          <w:sz w:val="28"/>
          <w:szCs w:val="28"/>
          <w:highlight w:val="none"/>
        </w:rPr>
      </w:pPr>
    </w:p>
    <w:p w14:paraId="0DC52113">
      <w:pPr>
        <w:pStyle w:val="14"/>
        <w:ind w:left="440" w:firstLine="560"/>
        <w:rPr>
          <w:rFonts w:ascii="宋体" w:hAnsi="宋体" w:eastAsia="宋体" w:cs="宋体"/>
          <w:color w:val="auto"/>
          <w:sz w:val="28"/>
          <w:szCs w:val="28"/>
          <w:highlight w:val="none"/>
        </w:rPr>
      </w:pPr>
    </w:p>
    <w:p w14:paraId="7ABFD627">
      <w:pPr>
        <w:pStyle w:val="14"/>
        <w:ind w:left="440" w:firstLine="560"/>
        <w:rPr>
          <w:rFonts w:ascii="宋体" w:hAnsi="宋体" w:eastAsia="宋体" w:cs="宋体"/>
          <w:color w:val="auto"/>
          <w:sz w:val="28"/>
          <w:szCs w:val="28"/>
          <w:highlight w:val="none"/>
        </w:rPr>
      </w:pPr>
    </w:p>
    <w:p w14:paraId="6CCF47F8">
      <w:pPr>
        <w:wordWrap w:val="0"/>
        <w:overflowPunct w:val="0"/>
        <w:spacing w:before="100" w:after="100" w:line="360" w:lineRule="auto"/>
        <w:ind w:firstLine="560" w:firstLineChars="20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（电子签章）</w:t>
      </w:r>
    </w:p>
    <w:p w14:paraId="7112B19D">
      <w:pPr>
        <w:spacing w:line="360" w:lineRule="auto"/>
        <w:ind w:firstLine="560" w:firstLineChars="20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（电子签章）</w:t>
      </w:r>
    </w:p>
    <w:p w14:paraId="5BFC086D">
      <w:pPr>
        <w:spacing w:line="364" w:lineRule="auto"/>
        <w:ind w:firstLine="560" w:firstLineChars="200"/>
        <w:jc w:val="center"/>
        <w:rPr>
          <w:rFonts w:ascii="宋体" w:hAnsi="宋体" w:eastAsia="宋体" w:cs="宋体"/>
          <w:color w:val="auto"/>
          <w:kern w:val="1"/>
          <w:sz w:val="28"/>
          <w:szCs w:val="28"/>
          <w:highlight w:val="none"/>
        </w:rPr>
        <w:sectPr>
          <w:headerReference r:id="rId10" w:type="default"/>
          <w:footerReference r:id="rId11" w:type="default"/>
          <w:pgSz w:w="11911" w:h="16838"/>
          <w:pgMar w:top="1134" w:right="1134" w:bottom="1134" w:left="1134" w:header="850" w:footer="850" w:gutter="0"/>
          <w:pgNumType w:fmt="numberInDash"/>
          <w:cols w:space="720" w:num="1"/>
          <w:docGrid w:linePitch="1" w:charSpace="0"/>
        </w:sectPr>
      </w:pPr>
      <w:r>
        <w:rPr>
          <w:rFonts w:hint="eastAsia" w:ascii="宋体" w:hAnsi="宋体" w:eastAsia="宋体" w:cs="宋体"/>
          <w:color w:val="auto"/>
          <w:kern w:val="1"/>
          <w:sz w:val="28"/>
          <w:szCs w:val="28"/>
          <w:highlight w:val="none"/>
        </w:rPr>
        <w:t>日期：</w:t>
      </w:r>
      <w:r>
        <w:rPr>
          <w:rFonts w:hint="eastAsia" w:ascii="宋体" w:hAnsi="宋体" w:eastAsia="宋体" w:cs="宋体"/>
          <w:color w:val="auto"/>
          <w:kern w:val="1"/>
          <w:sz w:val="28"/>
          <w:szCs w:val="28"/>
          <w:highlight w:val="none"/>
          <w:u w:val="single"/>
        </w:rPr>
        <w:t>　　</w:t>
      </w:r>
      <w:r>
        <w:rPr>
          <w:rFonts w:hint="eastAsia" w:ascii="宋体" w:hAnsi="宋体" w:eastAsia="宋体" w:cs="宋体"/>
          <w:color w:val="auto"/>
          <w:kern w:val="1"/>
          <w:sz w:val="28"/>
          <w:szCs w:val="28"/>
          <w:highlight w:val="none"/>
        </w:rPr>
        <w:t>年</w:t>
      </w:r>
      <w:r>
        <w:rPr>
          <w:rFonts w:hint="eastAsia" w:ascii="宋体" w:hAnsi="宋体" w:eastAsia="宋体" w:cs="宋体"/>
          <w:color w:val="auto"/>
          <w:kern w:val="1"/>
          <w:sz w:val="28"/>
          <w:szCs w:val="28"/>
          <w:highlight w:val="none"/>
          <w:u w:val="single"/>
        </w:rPr>
        <w:t>　　</w:t>
      </w:r>
      <w:r>
        <w:rPr>
          <w:rFonts w:hint="eastAsia" w:ascii="宋体" w:hAnsi="宋体" w:eastAsia="宋体" w:cs="宋体"/>
          <w:color w:val="auto"/>
          <w:kern w:val="1"/>
          <w:sz w:val="28"/>
          <w:szCs w:val="28"/>
          <w:highlight w:val="none"/>
        </w:rPr>
        <w:t>月</w:t>
      </w:r>
      <w:r>
        <w:rPr>
          <w:rFonts w:hint="eastAsia" w:ascii="宋体" w:hAnsi="宋体" w:eastAsia="宋体" w:cs="宋体"/>
          <w:color w:val="auto"/>
          <w:kern w:val="1"/>
          <w:sz w:val="28"/>
          <w:szCs w:val="28"/>
          <w:highlight w:val="none"/>
          <w:u w:val="single"/>
        </w:rPr>
        <w:t>　　</w:t>
      </w:r>
      <w:r>
        <w:rPr>
          <w:rFonts w:hint="eastAsia" w:ascii="宋体" w:hAnsi="宋体" w:eastAsia="宋体" w:cs="宋体"/>
          <w:color w:val="auto"/>
          <w:kern w:val="1"/>
          <w:sz w:val="28"/>
          <w:szCs w:val="28"/>
          <w:highlight w:val="none"/>
        </w:rPr>
        <w:t>日</w:t>
      </w:r>
    </w:p>
    <w:p w14:paraId="081F0519">
      <w:pPr>
        <w:jc w:val="center"/>
        <w:rPr>
          <w:rFonts w:ascii="宋体" w:hAnsi="宋体" w:eastAsia="宋体" w:cs="宋体"/>
          <w:b/>
          <w:color w:val="auto"/>
          <w:sz w:val="36"/>
          <w:szCs w:val="40"/>
          <w:highlight w:val="none"/>
          <w:lang w:val="en-US"/>
        </w:rPr>
      </w:pPr>
      <w:r>
        <w:rPr>
          <w:rFonts w:hint="eastAsia" w:ascii="宋体" w:hAnsi="宋体" w:eastAsia="宋体" w:cs="宋体"/>
          <w:b/>
          <w:color w:val="auto"/>
          <w:sz w:val="36"/>
          <w:szCs w:val="40"/>
          <w:highlight w:val="none"/>
          <w:lang w:val="en-US"/>
        </w:rPr>
        <w:t>目录</w:t>
      </w:r>
    </w:p>
    <w:p w14:paraId="6A4728B2">
      <w:pPr>
        <w:pStyle w:val="39"/>
        <w:jc w:val="center"/>
        <w:rPr>
          <w:rFonts w:ascii="宋体" w:hAnsi="宋体" w:eastAsia="宋体" w:cs="宋体"/>
          <w:bCs w:val="0"/>
          <w:color w:val="auto"/>
          <w:sz w:val="20"/>
          <w:szCs w:val="18"/>
          <w:highlight w:val="none"/>
          <w:lang w:val="en-US"/>
        </w:rPr>
      </w:pPr>
      <w:r>
        <w:rPr>
          <w:rFonts w:hint="eastAsia" w:ascii="宋体" w:hAnsi="宋体" w:eastAsia="宋体" w:cs="宋体"/>
          <w:bCs w:val="0"/>
          <w:color w:val="auto"/>
          <w:szCs w:val="28"/>
          <w:highlight w:val="none"/>
          <w:lang w:val="en-US"/>
        </w:rPr>
        <w:t>（自行编写）</w:t>
      </w:r>
    </w:p>
    <w:p w14:paraId="0D49BB25">
      <w:pPr>
        <w:pStyle w:val="37"/>
        <w:rPr>
          <w:rFonts w:ascii="宋体" w:hAnsi="宋体" w:eastAsia="宋体" w:cs="宋体"/>
          <w:color w:val="auto"/>
          <w:highlight w:val="none"/>
        </w:rPr>
        <w:sectPr>
          <w:pgSz w:w="11911" w:h="16838"/>
          <w:pgMar w:top="1134" w:right="1134" w:bottom="1134" w:left="1134" w:header="850" w:footer="850" w:gutter="0"/>
          <w:pgNumType w:fmt="numberInDash"/>
          <w:cols w:space="720" w:num="1"/>
          <w:docGrid w:linePitch="1" w:charSpace="0"/>
        </w:sectPr>
      </w:pPr>
    </w:p>
    <w:p w14:paraId="6BAABF6B">
      <w:pPr>
        <w:pStyle w:val="4"/>
        <w:jc w:val="both"/>
        <w:rPr>
          <w:rFonts w:hint="default" w:eastAsia="宋体" w:cs="宋体"/>
          <w:color w:val="auto"/>
          <w:highlight w:val="none"/>
        </w:rPr>
      </w:pPr>
      <w:bookmarkStart w:id="350" w:name="三、分项报价表"/>
      <w:bookmarkEnd w:id="350"/>
      <w:bookmarkStart w:id="351" w:name="_Toc22440"/>
      <w:bookmarkStart w:id="352" w:name="_Toc23692"/>
      <w:bookmarkStart w:id="353" w:name="_Toc29174"/>
      <w:bookmarkStart w:id="354" w:name="_Toc14151"/>
      <w:bookmarkStart w:id="355" w:name="_Toc5492"/>
      <w:bookmarkStart w:id="356" w:name="_Toc6496659"/>
      <w:bookmarkStart w:id="357" w:name="_Toc494043332"/>
      <w:bookmarkStart w:id="358" w:name="_Toc9709"/>
      <w:bookmarkStart w:id="359" w:name="_Toc13236"/>
      <w:bookmarkStart w:id="360" w:name="_Toc491307468"/>
      <w:bookmarkStart w:id="361" w:name="_Toc2947"/>
      <w:bookmarkStart w:id="362" w:name="_Toc491307286"/>
      <w:bookmarkStart w:id="363" w:name="_Toc491307348"/>
      <w:bookmarkStart w:id="364" w:name="_Toc498"/>
      <w:bookmarkStart w:id="365" w:name="_Toc12773"/>
      <w:bookmarkStart w:id="366" w:name="_Toc27580"/>
      <w:bookmarkStart w:id="367" w:name="_Toc25608"/>
      <w:bookmarkStart w:id="368" w:name="_Toc29642"/>
      <w:r>
        <w:rPr>
          <w:rFonts w:eastAsia="宋体" w:cs="宋体"/>
          <w:color w:val="auto"/>
          <w:highlight w:val="none"/>
        </w:rPr>
        <w:t>一、资格证明文件</w:t>
      </w:r>
      <w:bookmarkEnd w:id="351"/>
      <w:bookmarkEnd w:id="352"/>
      <w:bookmarkEnd w:id="353"/>
      <w:bookmarkEnd w:id="354"/>
      <w:bookmarkEnd w:id="355"/>
    </w:p>
    <w:p w14:paraId="2C2662CD">
      <w:pPr>
        <w:pStyle w:val="5"/>
        <w:jc w:val="both"/>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1.具有独立承担民事责任的能力：</w:t>
      </w:r>
    </w:p>
    <w:p w14:paraId="4072ED90">
      <w:pPr>
        <w:spacing w:line="360" w:lineRule="auto"/>
        <w:ind w:firstLine="420" w:firstLineChars="200"/>
        <w:jc w:val="both"/>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投标人为企业（包括合伙企业）的，应提供有效的“营业执照 ”；投标人为事业单位的，应提供有效的“事业单位法人证书 ”；投标人是非企业机构的，应提供有效的“执业许可证”、“登记证书”等证明文件；投标人是个体工商户的，应提供有效的“个体工商户营业执照 ”；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宋体" w:hAnsi="宋体" w:eastAsia="宋体" w:cs="宋体"/>
          <w:color w:val="auto"/>
          <w:sz w:val="21"/>
          <w:szCs w:val="21"/>
          <w:highlight w:val="none"/>
          <w:lang w:val="en-US"/>
        </w:rPr>
        <w:t>（扫描件加盖电子公章）</w:t>
      </w:r>
      <w:r>
        <w:rPr>
          <w:rFonts w:hint="eastAsia" w:ascii="宋体" w:hAnsi="宋体" w:eastAsia="宋体" w:cs="宋体"/>
          <w:color w:val="auto"/>
          <w:sz w:val="21"/>
          <w:szCs w:val="21"/>
          <w:highlight w:val="none"/>
          <w:lang w:val="en-US" w:eastAsia="zh-CN"/>
        </w:rPr>
        <w:t>。</w:t>
      </w:r>
    </w:p>
    <w:p w14:paraId="3A8A2DBA">
      <w:pPr>
        <w:rPr>
          <w:rFonts w:ascii="宋体" w:hAnsi="宋体" w:eastAsia="宋体" w:cs="宋体"/>
          <w:b/>
          <w:bCs/>
          <w:color w:val="auto"/>
          <w:sz w:val="28"/>
          <w:szCs w:val="28"/>
          <w:highlight w:val="none"/>
          <w:lang w:val="en-US"/>
        </w:rPr>
      </w:pPr>
    </w:p>
    <w:p w14:paraId="7EC672D7">
      <w:pPr>
        <w:spacing w:line="360" w:lineRule="auto"/>
        <w:rPr>
          <w:rFonts w:ascii="宋体" w:hAnsi="宋体" w:eastAsia="宋体" w:cs="宋体"/>
          <w:color w:val="auto"/>
          <w:sz w:val="28"/>
          <w:szCs w:val="28"/>
          <w:highlight w:val="none"/>
        </w:rPr>
        <w:sectPr>
          <w:pgSz w:w="11911" w:h="16838"/>
          <w:pgMar w:top="1134" w:right="1134" w:bottom="1134" w:left="1134" w:header="850" w:footer="850" w:gutter="0"/>
          <w:pgNumType w:fmt="numberInDash"/>
          <w:cols w:space="720" w:num="1"/>
          <w:docGrid w:linePitch="1" w:charSpace="0"/>
        </w:sectPr>
      </w:pPr>
    </w:p>
    <w:p w14:paraId="3C147082">
      <w:pPr>
        <w:pStyle w:val="5"/>
        <w:jc w:val="both"/>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2.具有良好的商业信誉和健全的财务会计制度：</w:t>
      </w:r>
    </w:p>
    <w:p w14:paraId="2215BA51">
      <w:pPr>
        <w:spacing w:line="360" w:lineRule="auto"/>
        <w:ind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（1）投标截止时间前三个月内基本户开户银行出具的资信证明（扫描件）；</w:t>
      </w:r>
    </w:p>
    <w:p w14:paraId="4CF33E21">
      <w:pPr>
        <w:spacing w:line="360" w:lineRule="auto"/>
        <w:ind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（2）2022年度</w:t>
      </w:r>
      <w:r>
        <w:rPr>
          <w:rFonts w:hint="eastAsia" w:ascii="宋体" w:hAnsi="宋体" w:eastAsia="宋体" w:cs="宋体"/>
          <w:color w:val="auto"/>
          <w:sz w:val="21"/>
          <w:szCs w:val="21"/>
          <w:highlight w:val="none"/>
          <w:lang w:val="en-US" w:eastAsia="zh-CN"/>
        </w:rPr>
        <w:t>至今</w:t>
      </w:r>
      <w:r>
        <w:rPr>
          <w:rFonts w:hint="eastAsia" w:ascii="宋体" w:hAnsi="宋体" w:eastAsia="宋体" w:cs="宋体"/>
          <w:color w:val="auto"/>
          <w:sz w:val="21"/>
          <w:szCs w:val="21"/>
          <w:highlight w:val="none"/>
          <w:lang w:val="en-US"/>
        </w:rPr>
        <w:t>度任意一年经第三方审计的审计报告及财务报表，财务报表须包括资产负债表、利润表、现金流量表、所有者权益变动表及财务报表附注（扫描件）。若投标人成立时间不足1年的，可根据自身实际情况提供成立至今的财务报表（扫描件）；</w:t>
      </w:r>
    </w:p>
    <w:p w14:paraId="45EFE785">
      <w:pPr>
        <w:spacing w:line="360" w:lineRule="auto"/>
        <w:ind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（3）经财政部门认可政府采购专业担保机构出具的投标担保函，同时还须提供专业担保机构经财政部门认可的证明文件（扫描件）；</w:t>
      </w:r>
    </w:p>
    <w:p w14:paraId="259DE09A">
      <w:pPr>
        <w:spacing w:line="360" w:lineRule="auto"/>
        <w:ind w:firstLine="420" w:firstLineChars="200"/>
        <w:jc w:val="both"/>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注：投标人根据自身情况提供以上任意一种证明材料即可（扫描件加盖电子公章）。</w:t>
      </w:r>
    </w:p>
    <w:p w14:paraId="24FCB4EE">
      <w:pPr>
        <w:spacing w:after="100"/>
        <w:jc w:val="both"/>
        <w:rPr>
          <w:rFonts w:ascii="宋体" w:hAnsi="宋体" w:eastAsia="宋体" w:cs="宋体"/>
          <w:color w:val="auto"/>
          <w:sz w:val="28"/>
          <w:szCs w:val="28"/>
          <w:highlight w:val="none"/>
          <w:lang w:val="en-US"/>
        </w:rPr>
      </w:pPr>
    </w:p>
    <w:p w14:paraId="17FA4873">
      <w:pPr>
        <w:spacing w:line="360" w:lineRule="auto"/>
        <w:jc w:val="both"/>
        <w:rPr>
          <w:rFonts w:ascii="宋体" w:hAnsi="宋体" w:eastAsia="宋体" w:cs="宋体"/>
          <w:b/>
          <w:bCs/>
          <w:color w:val="auto"/>
          <w:sz w:val="28"/>
          <w:szCs w:val="28"/>
          <w:highlight w:val="none"/>
          <w:lang w:val="en-US"/>
        </w:rPr>
      </w:pPr>
    </w:p>
    <w:p w14:paraId="73FC3958">
      <w:pPr>
        <w:spacing w:line="360" w:lineRule="auto"/>
        <w:ind w:firstLine="560" w:firstLineChars="200"/>
        <w:rPr>
          <w:rFonts w:ascii="宋体" w:hAnsi="宋体" w:eastAsia="宋体" w:cs="宋体"/>
          <w:color w:val="auto"/>
          <w:sz w:val="28"/>
          <w:szCs w:val="28"/>
          <w:highlight w:val="none"/>
        </w:rPr>
        <w:sectPr>
          <w:pgSz w:w="11911" w:h="16838"/>
          <w:pgMar w:top="1134" w:right="1134" w:bottom="1134" w:left="1134" w:header="850" w:footer="850" w:gutter="0"/>
          <w:pgNumType w:fmt="numberInDash"/>
          <w:cols w:space="720" w:num="1"/>
          <w:docGrid w:linePitch="1" w:charSpace="0"/>
        </w:sectPr>
      </w:pPr>
    </w:p>
    <w:p w14:paraId="602B55B0">
      <w:pPr>
        <w:pStyle w:val="5"/>
        <w:jc w:val="both"/>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3.具有履行合同所必需的设备和专业技术能力：</w:t>
      </w:r>
    </w:p>
    <w:p w14:paraId="19619B1F">
      <w:pPr>
        <w:spacing w:line="360" w:lineRule="auto"/>
        <w:ind w:firstLine="420" w:firstLineChars="200"/>
        <w:jc w:val="both"/>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投标人提供具有履行合同所必需的设备和专业技术能力证明材料（扫描件加盖电子公章）或承诺书（格式自拟，原件加盖电子公章）。</w:t>
      </w:r>
    </w:p>
    <w:p w14:paraId="00B41BC4">
      <w:pPr>
        <w:spacing w:line="360" w:lineRule="auto"/>
        <w:rPr>
          <w:rFonts w:ascii="宋体" w:hAnsi="宋体" w:eastAsia="宋体" w:cs="宋体"/>
          <w:color w:val="auto"/>
          <w:sz w:val="28"/>
          <w:szCs w:val="28"/>
          <w:highlight w:val="none"/>
        </w:rPr>
        <w:sectPr>
          <w:pgSz w:w="11911" w:h="16838"/>
          <w:pgMar w:top="1134" w:right="1134" w:bottom="1134" w:left="1134" w:header="850" w:footer="850" w:gutter="0"/>
          <w:pgNumType w:fmt="numberInDash"/>
          <w:cols w:space="720" w:num="1"/>
          <w:docGrid w:linePitch="1" w:charSpace="0"/>
        </w:sectPr>
      </w:pPr>
      <w:r>
        <w:rPr>
          <w:rFonts w:hint="eastAsia" w:ascii="宋体" w:hAnsi="宋体" w:eastAsia="宋体" w:cs="宋体"/>
          <w:color w:val="auto"/>
          <w:sz w:val="28"/>
          <w:szCs w:val="28"/>
          <w:highlight w:val="none"/>
          <w:lang w:val="en-US"/>
        </w:rPr>
        <w:t xml:space="preserve"> </w:t>
      </w:r>
    </w:p>
    <w:p w14:paraId="62EAC8E1">
      <w:pPr>
        <w:pStyle w:val="5"/>
        <w:jc w:val="both"/>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4.具有依法缴纳税收和社会保障资金的良好记录：</w:t>
      </w:r>
    </w:p>
    <w:p w14:paraId="0AA1FE59">
      <w:pPr>
        <w:spacing w:line="360" w:lineRule="auto"/>
        <w:ind w:firstLine="420" w:firstLineChars="200"/>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color w:val="auto"/>
          <w:sz w:val="21"/>
          <w:szCs w:val="21"/>
          <w:highlight w:val="none"/>
          <w:lang w:val="en-US"/>
        </w:rPr>
        <w:t>（1）投标人提供202</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lang w:val="en-US"/>
        </w:rPr>
        <w:t>年01月至本项目投标文件提交截止时间前任意3个月的税务局税收通用缴款书或银行电子缴税（费）凭证或税务局出具纳税情况的相关证明，依法免税的，应提供依法免税的相关证明文件；新成立的企业若无法提供需书面说明情况（扫描件加盖电子公章）；</w:t>
      </w:r>
    </w:p>
    <w:p w14:paraId="16BF99DF">
      <w:pPr>
        <w:spacing w:line="360" w:lineRule="auto"/>
        <w:ind w:firstLine="420" w:firstLineChars="200"/>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color w:val="auto"/>
          <w:sz w:val="21"/>
          <w:szCs w:val="21"/>
          <w:highlight w:val="none"/>
          <w:lang w:val="en-US"/>
        </w:rPr>
        <w:t>（2）投标人提供202</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lang w:val="en-US"/>
        </w:rPr>
        <w:t>年01月至本项目投标文件提交截止时间前任意3个月的社会保险费缴款书或银行电子缴税（费）凭证或社保管理部门出具的有效的缴款证明，依法免缴的，应提供依法免缴的相关证明文件；新成立的企业若无法提供需书面说明情况（扫描件加盖电子公章））；</w:t>
      </w:r>
    </w:p>
    <w:p w14:paraId="5D9A5475">
      <w:pPr>
        <w:spacing w:line="360" w:lineRule="auto"/>
        <w:ind w:firstLine="560" w:firstLineChars="200"/>
        <w:rPr>
          <w:rFonts w:ascii="宋体" w:hAnsi="宋体" w:eastAsia="宋体" w:cs="宋体"/>
          <w:color w:val="auto"/>
          <w:sz w:val="28"/>
          <w:szCs w:val="28"/>
          <w:highlight w:val="none"/>
          <w:lang w:val="en-US"/>
        </w:rPr>
      </w:pPr>
    </w:p>
    <w:p w14:paraId="3477A8D1">
      <w:pPr>
        <w:spacing w:line="360" w:lineRule="auto"/>
        <w:ind w:firstLine="560" w:firstLineChars="200"/>
        <w:rPr>
          <w:rFonts w:ascii="宋体" w:hAnsi="宋体" w:eastAsia="宋体" w:cs="宋体"/>
          <w:color w:val="auto"/>
          <w:sz w:val="28"/>
          <w:szCs w:val="28"/>
          <w:highlight w:val="none"/>
        </w:rPr>
        <w:sectPr>
          <w:pgSz w:w="11911" w:h="16838"/>
          <w:pgMar w:top="1134" w:right="1134" w:bottom="1134" w:left="1134" w:header="850" w:footer="850" w:gutter="0"/>
          <w:pgNumType w:fmt="numberInDash"/>
          <w:cols w:space="720" w:num="1"/>
          <w:docGrid w:linePitch="1" w:charSpace="0"/>
        </w:sectPr>
      </w:pPr>
    </w:p>
    <w:p w14:paraId="0C8E9A12">
      <w:pPr>
        <w:pStyle w:val="5"/>
        <w:jc w:val="both"/>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5.参加政府采购活动前三年内，在经营活动中没有重大违法记录：</w:t>
      </w:r>
    </w:p>
    <w:p w14:paraId="01FB44E8">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投标人提供参加政府采购活动前三年内，在经营活动中没有重大违法记录（重大违法记录，是指投标人因违法经营受到刑事处罚或者责令停产停业、吊销许可证或者执照、较大数额罚款等行政处罚）的书面声明（格式自拟，原件加盖电子公章）。</w:t>
      </w:r>
    </w:p>
    <w:p w14:paraId="15A698A2">
      <w:pPr>
        <w:spacing w:line="360" w:lineRule="auto"/>
        <w:rPr>
          <w:rFonts w:ascii="宋体" w:hAnsi="宋体" w:eastAsia="宋体" w:cs="宋体"/>
          <w:color w:val="auto"/>
          <w:sz w:val="28"/>
          <w:szCs w:val="28"/>
          <w:highlight w:val="none"/>
          <w:lang w:val="en-US"/>
        </w:rPr>
      </w:pPr>
    </w:p>
    <w:p w14:paraId="57E25FD8">
      <w:pPr>
        <w:spacing w:after="100"/>
        <w:jc w:val="both"/>
        <w:rPr>
          <w:rFonts w:ascii="宋体" w:hAnsi="宋体" w:eastAsia="宋体" w:cs="宋体"/>
          <w:color w:val="auto"/>
          <w:sz w:val="28"/>
          <w:szCs w:val="28"/>
          <w:highlight w:val="none"/>
          <w:lang w:val="en-US"/>
        </w:rPr>
      </w:pPr>
    </w:p>
    <w:p w14:paraId="0800049F">
      <w:pPr>
        <w:pStyle w:val="37"/>
        <w:rPr>
          <w:rFonts w:ascii="宋体" w:hAnsi="宋体" w:eastAsia="宋体" w:cs="宋体"/>
          <w:color w:val="auto"/>
          <w:highlight w:val="none"/>
        </w:rPr>
        <w:sectPr>
          <w:pgSz w:w="11911" w:h="16838"/>
          <w:pgMar w:top="1134" w:right="1134" w:bottom="1134" w:left="1134" w:header="850" w:footer="850" w:gutter="0"/>
          <w:pgNumType w:fmt="numberInDash"/>
          <w:cols w:space="720" w:num="1"/>
          <w:docGrid w:linePitch="1" w:charSpace="0"/>
        </w:sectPr>
      </w:pPr>
    </w:p>
    <w:p w14:paraId="1C680CE1">
      <w:pPr>
        <w:pStyle w:val="5"/>
        <w:jc w:val="both"/>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6.法律、行政法规规定的其他条件：</w:t>
      </w:r>
    </w:p>
    <w:p w14:paraId="3FE454C5">
      <w:pPr>
        <w:spacing w:line="360" w:lineRule="auto"/>
        <w:ind w:firstLine="420" w:firstLineChars="200"/>
        <w:jc w:val="both"/>
        <w:rPr>
          <w:rFonts w:ascii="宋体" w:hAnsi="宋体" w:eastAsia="宋体" w:cs="宋体"/>
          <w:color w:val="auto"/>
          <w:sz w:val="21"/>
          <w:szCs w:val="21"/>
          <w:highlight w:val="none"/>
          <w:lang w:val="en-US"/>
        </w:rPr>
        <w:sectPr>
          <w:pgSz w:w="11911" w:h="16838"/>
          <w:pgMar w:top="1134" w:right="1134" w:bottom="1134" w:left="1134" w:header="850" w:footer="850" w:gutter="0"/>
          <w:pgNumType w:fmt="numberInDash"/>
          <w:cols w:space="720" w:num="1"/>
          <w:docGrid w:linePitch="1" w:charSpace="0"/>
        </w:sectPr>
      </w:pPr>
      <w:r>
        <w:rPr>
          <w:rFonts w:hint="eastAsia" w:ascii="宋体" w:hAnsi="宋体" w:eastAsia="宋体" w:cs="宋体"/>
          <w:color w:val="auto"/>
          <w:sz w:val="21"/>
          <w:szCs w:val="21"/>
          <w:highlight w:val="none"/>
          <w:lang w:val="en-US"/>
        </w:rPr>
        <w:t>投标人未被列入政府采购严重违法失信行为记录名单（以在中国政府采购网（</w:t>
      </w:r>
      <w:r>
        <w:rPr>
          <w:rFonts w:hint="eastAsia" w:ascii="宋体" w:hAnsi="宋体" w:eastAsia="宋体" w:cs="宋体"/>
          <w:color w:val="auto"/>
          <w:sz w:val="21"/>
          <w:szCs w:val="21"/>
          <w:highlight w:val="none"/>
          <w:lang w:val="en-US"/>
        </w:rPr>
        <w:fldChar w:fldCharType="begin"/>
      </w:r>
      <w:r>
        <w:rPr>
          <w:rFonts w:hint="eastAsia" w:ascii="宋体" w:hAnsi="宋体" w:eastAsia="宋体" w:cs="宋体"/>
          <w:color w:val="auto"/>
          <w:sz w:val="21"/>
          <w:szCs w:val="21"/>
          <w:highlight w:val="none"/>
          <w:lang w:val="en-US"/>
        </w:rPr>
        <w:instrText xml:space="preserve"> HYPERLINK "http://www.ccgp.gov.cn/" </w:instrText>
      </w:r>
      <w:r>
        <w:rPr>
          <w:rFonts w:hint="eastAsia" w:ascii="宋体" w:hAnsi="宋体" w:eastAsia="宋体" w:cs="宋体"/>
          <w:color w:val="auto"/>
          <w:sz w:val="21"/>
          <w:szCs w:val="21"/>
          <w:highlight w:val="none"/>
          <w:lang w:val="en-US"/>
        </w:rPr>
        <w:fldChar w:fldCharType="separate"/>
      </w:r>
      <w:r>
        <w:rPr>
          <w:rFonts w:hint="eastAsia" w:ascii="宋体" w:hAnsi="宋体" w:eastAsia="宋体" w:cs="宋体"/>
          <w:color w:val="auto"/>
          <w:sz w:val="21"/>
          <w:szCs w:val="21"/>
          <w:highlight w:val="none"/>
          <w:lang w:val="en-US"/>
        </w:rPr>
        <w:t>www.ccgp.gov.cn</w:t>
      </w:r>
      <w:r>
        <w:rPr>
          <w:rFonts w:hint="eastAsia" w:ascii="宋体" w:hAnsi="宋体" w:eastAsia="宋体" w:cs="宋体"/>
          <w:color w:val="auto"/>
          <w:sz w:val="21"/>
          <w:szCs w:val="21"/>
          <w:highlight w:val="none"/>
          <w:lang w:val="en-US"/>
        </w:rPr>
        <w:fldChar w:fldCharType="end"/>
      </w:r>
      <w:r>
        <w:rPr>
          <w:rFonts w:hint="eastAsia" w:ascii="宋体" w:hAnsi="宋体" w:eastAsia="宋体" w:cs="宋体"/>
          <w:color w:val="auto"/>
          <w:sz w:val="21"/>
          <w:szCs w:val="21"/>
          <w:highlight w:val="none"/>
          <w:lang w:val="en-US"/>
        </w:rPr>
        <w:t>）查询的信用记录为准、被禁止在一定期限内参加政府采购活动但期限届满的除外），提供承诺函（格式自拟，原件加盖电子公章）。</w:t>
      </w:r>
    </w:p>
    <w:p w14:paraId="3ECF11CC">
      <w:pPr>
        <w:spacing w:after="100" w:line="360" w:lineRule="auto"/>
        <w:jc w:val="both"/>
        <w:outlineLvl w:val="2"/>
        <w:rPr>
          <w:rFonts w:ascii="宋体" w:hAnsi="宋体" w:eastAsia="宋体" w:cs="宋体"/>
          <w:color w:val="auto"/>
          <w:sz w:val="24"/>
          <w:szCs w:val="24"/>
          <w:highlight w:val="none"/>
          <w:lang w:val="en-US"/>
        </w:rPr>
      </w:pPr>
      <w:r>
        <w:rPr>
          <w:rFonts w:hint="eastAsia" w:ascii="宋体" w:hAnsi="宋体" w:eastAsia="宋体" w:cs="宋体"/>
          <w:b/>
          <w:bCs/>
          <w:color w:val="auto"/>
          <w:sz w:val="28"/>
          <w:szCs w:val="28"/>
          <w:highlight w:val="none"/>
          <w:lang w:val="en-US" w:eastAsia="zh-CN" w:bidi="zh-CN"/>
        </w:rPr>
        <w:t>7.落实政府采购政策需满足的资格要求</w:t>
      </w:r>
      <w:r>
        <w:rPr>
          <w:rFonts w:hint="eastAsia" w:ascii="宋体" w:hAnsi="宋体" w:eastAsia="宋体" w:cs="宋体"/>
          <w:b/>
          <w:bCs/>
          <w:color w:val="auto"/>
          <w:sz w:val="28"/>
          <w:szCs w:val="28"/>
          <w:highlight w:val="none"/>
          <w:lang w:val="en-US"/>
        </w:rPr>
        <w:t>：</w:t>
      </w:r>
      <w:r>
        <w:rPr>
          <w:rFonts w:hint="eastAsia" w:ascii="宋体" w:hAnsi="宋体" w:eastAsia="宋体" w:cs="宋体"/>
          <w:color w:val="auto"/>
          <w:sz w:val="24"/>
          <w:szCs w:val="24"/>
          <w:highlight w:val="none"/>
          <w:lang w:val="en-US"/>
        </w:rPr>
        <w:t>本项目非专门面向中小企业采购项目。</w:t>
      </w:r>
    </w:p>
    <w:p w14:paraId="28B80AB0">
      <w:pPr>
        <w:spacing w:line="360" w:lineRule="auto"/>
        <w:ind w:firstLine="420" w:firstLineChars="200"/>
        <w:jc w:val="both"/>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评审时小型、微型企业价格给予</w:t>
      </w:r>
      <w:r>
        <w:rPr>
          <w:rFonts w:hint="eastAsia" w:asciiTheme="majorEastAsia" w:hAnsiTheme="majorEastAsia" w:eastAsiaTheme="majorEastAsia" w:cstheme="majorEastAsia"/>
          <w:color w:val="auto"/>
          <w:sz w:val="21"/>
          <w:szCs w:val="21"/>
          <w:highlight w:val="none"/>
          <w:lang w:val="en-US"/>
        </w:rPr>
        <w:t>10</w:t>
      </w:r>
      <w:r>
        <w:rPr>
          <w:rFonts w:hint="eastAsia" w:ascii="宋体" w:hAnsi="宋体" w:eastAsia="宋体" w:cs="宋体"/>
          <w:color w:val="auto"/>
          <w:sz w:val="21"/>
          <w:szCs w:val="21"/>
          <w:highlight w:val="none"/>
          <w:lang w:val="en-US"/>
        </w:rPr>
        <w:t>%的价格扣除优惠。监狱企业、残疾人福利性单位视同小型和微型企业，在评审时给予相同的价格扣除。</w:t>
      </w:r>
    </w:p>
    <w:p w14:paraId="25291D88">
      <w:pPr>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br w:type="page"/>
      </w:r>
    </w:p>
    <w:p w14:paraId="0BA71C02">
      <w:pPr>
        <w:spacing w:after="100" w:line="360" w:lineRule="auto"/>
        <w:jc w:val="both"/>
        <w:rPr>
          <w:rFonts w:ascii="宋体" w:hAnsi="宋体" w:eastAsia="宋体" w:cs="宋体"/>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rPr>
        <w:t>7</w:t>
      </w:r>
      <w:r>
        <w:rPr>
          <w:rFonts w:hint="eastAsia" w:ascii="宋体" w:hAnsi="宋体" w:eastAsia="宋体" w:cs="宋体"/>
          <w:b/>
          <w:bCs/>
          <w:color w:val="auto"/>
          <w:sz w:val="24"/>
          <w:szCs w:val="24"/>
          <w:highlight w:val="none"/>
          <w:lang w:val="en-US"/>
        </w:rPr>
        <w:t>.</w:t>
      </w:r>
      <w:r>
        <w:rPr>
          <w:rFonts w:hint="eastAsia" w:asciiTheme="majorEastAsia" w:hAnsiTheme="majorEastAsia" w:eastAsiaTheme="majorEastAsia" w:cstheme="majorEastAsia"/>
          <w:b/>
          <w:bCs/>
          <w:color w:val="auto"/>
          <w:sz w:val="24"/>
          <w:szCs w:val="24"/>
          <w:highlight w:val="none"/>
          <w:lang w:val="en-US"/>
        </w:rPr>
        <w:t>1</w:t>
      </w:r>
      <w:r>
        <w:rPr>
          <w:rFonts w:hint="eastAsia" w:ascii="宋体" w:hAnsi="宋体" w:eastAsia="宋体" w:cs="宋体"/>
          <w:b/>
          <w:bCs/>
          <w:color w:val="auto"/>
          <w:sz w:val="24"/>
          <w:szCs w:val="24"/>
          <w:highlight w:val="none"/>
          <w:lang w:val="en-US"/>
        </w:rPr>
        <w:t>中小企业声明函</w:t>
      </w:r>
    </w:p>
    <w:p w14:paraId="5A759030">
      <w:pPr>
        <w:keepNext/>
        <w:numPr>
          <w:ilvl w:val="1"/>
          <w:numId w:val="0"/>
        </w:numPr>
        <w:adjustRightInd w:val="0"/>
        <w:spacing w:before="120" w:line="360" w:lineRule="auto"/>
        <w:jc w:val="center"/>
        <w:textAlignment w:val="baseline"/>
        <w:rPr>
          <w:rFonts w:ascii="宋体" w:hAnsi="宋体" w:eastAsia="宋体" w:cs="宋体"/>
          <w:b/>
          <w:color w:val="auto"/>
          <w:sz w:val="28"/>
          <w:szCs w:val="28"/>
          <w:highlight w:val="none"/>
          <w:lang w:val="en-US" w:bidi="ar-SA"/>
        </w:rPr>
      </w:pPr>
      <w:r>
        <w:rPr>
          <w:rFonts w:hint="eastAsia" w:ascii="宋体" w:hAnsi="宋体" w:eastAsia="宋体" w:cs="宋体"/>
          <w:b/>
          <w:color w:val="auto"/>
          <w:sz w:val="28"/>
          <w:szCs w:val="28"/>
          <w:highlight w:val="none"/>
          <w:lang w:val="en-US" w:bidi="ar-SA"/>
        </w:rPr>
        <w:t>中小企业声明函（服务） （按需提供）</w:t>
      </w:r>
    </w:p>
    <w:p w14:paraId="29D40598">
      <w:pPr>
        <w:pStyle w:val="26"/>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p>
    <w:p w14:paraId="42214297">
      <w:pPr>
        <w:pStyle w:val="26"/>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本公司(联合体)郑重声明，根据《政府采购促进中小企业发展管理办法》(财库( </w:t>
      </w:r>
      <w:r>
        <w:rPr>
          <w:rFonts w:hint="eastAsia" w:asciiTheme="majorEastAsia" w:hAnsiTheme="majorEastAsia" w:eastAsiaTheme="majorEastAsia" w:cstheme="majorEastAsia"/>
          <w:color w:val="auto"/>
          <w:sz w:val="21"/>
          <w:szCs w:val="21"/>
          <w:highlight w:val="none"/>
          <w:shd w:val="clear" w:color="auto" w:fill="FFFFFF"/>
        </w:rPr>
        <w:t>2020</w:t>
      </w:r>
      <w:r>
        <w:rPr>
          <w:rFonts w:hint="eastAsia" w:ascii="宋体" w:hAnsi="宋体" w:eastAsia="宋体" w:cs="宋体"/>
          <w:color w:val="auto"/>
          <w:sz w:val="21"/>
          <w:szCs w:val="21"/>
          <w:highlight w:val="none"/>
          <w:shd w:val="clear" w:color="auto" w:fill="FFFFFF"/>
        </w:rPr>
        <w:t xml:space="preserve"> )</w:t>
      </w:r>
      <w:r>
        <w:rPr>
          <w:rFonts w:hint="eastAsia" w:asciiTheme="majorEastAsia" w:hAnsiTheme="majorEastAsia" w:eastAsiaTheme="majorEastAsia" w:cstheme="majorEastAsia"/>
          <w:color w:val="auto"/>
          <w:sz w:val="21"/>
          <w:szCs w:val="21"/>
          <w:highlight w:val="none"/>
          <w:shd w:val="clear" w:color="auto" w:fill="FFFFFF"/>
        </w:rPr>
        <w:t>46</w:t>
      </w:r>
      <w:r>
        <w:rPr>
          <w:rFonts w:hint="eastAsia" w:ascii="宋体" w:hAnsi="宋体" w:eastAsia="宋体" w:cs="宋体"/>
          <w:color w:val="auto"/>
          <w:sz w:val="21"/>
          <w:szCs w:val="21"/>
          <w:highlight w:val="none"/>
          <w:shd w:val="clear" w:color="auto" w:fill="FFFFFF"/>
        </w:rPr>
        <w:t>号)的规定，本公司(联合体)参加</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b/>
          <w:bCs/>
          <w:color w:val="auto"/>
          <w:sz w:val="21"/>
          <w:szCs w:val="21"/>
          <w:highlight w:val="none"/>
          <w:u w:val="single"/>
          <w:shd w:val="clear" w:color="auto" w:fill="FFFFFF"/>
          <w:lang w:eastAsia="zh-CN"/>
        </w:rPr>
        <w:t>普洱市医疗保障局</w:t>
      </w:r>
      <w:r>
        <w:rPr>
          <w:rFonts w:hint="eastAsia" w:ascii="宋体" w:hAnsi="宋体" w:eastAsia="宋体" w:cs="宋体"/>
          <w:color w:val="auto"/>
          <w:sz w:val="21"/>
          <w:szCs w:val="21"/>
          <w:highlight w:val="none"/>
          <w:u w:val="single"/>
          <w:shd w:val="clear" w:color="auto" w:fill="FFFFFF"/>
        </w:rPr>
        <w:t>(单位名称)</w:t>
      </w:r>
      <w:r>
        <w:rPr>
          <w:rFonts w:hint="eastAsia" w:ascii="宋体" w:hAnsi="宋体" w:eastAsia="宋体" w:cs="宋体"/>
          <w:color w:val="auto"/>
          <w:sz w:val="21"/>
          <w:szCs w:val="21"/>
          <w:highlight w:val="none"/>
          <w:shd w:val="clear" w:color="auto" w:fill="FFFFFF"/>
        </w:rPr>
        <w:t>的</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b/>
          <w:bCs/>
          <w:color w:val="auto"/>
          <w:sz w:val="21"/>
          <w:szCs w:val="21"/>
          <w:highlight w:val="none"/>
          <w:u w:val="single"/>
          <w:shd w:val="clear" w:color="auto" w:fill="FFFFFF"/>
          <w:lang w:eastAsia="zh-CN"/>
        </w:rPr>
        <w:t>普洱市医保数据专区建设项目</w:t>
      </w:r>
      <w:r>
        <w:rPr>
          <w:rFonts w:hint="eastAsia" w:ascii="宋体" w:hAnsi="宋体" w:eastAsia="宋体" w:cs="宋体"/>
          <w:color w:val="auto"/>
          <w:sz w:val="21"/>
          <w:szCs w:val="21"/>
          <w:highlight w:val="none"/>
          <w:u w:val="single"/>
          <w:shd w:val="clear" w:color="auto" w:fill="FFFFFF"/>
        </w:rPr>
        <w:t xml:space="preserve"> (项目名称)</w:t>
      </w:r>
      <w:r>
        <w:rPr>
          <w:rFonts w:hint="eastAsia" w:ascii="宋体" w:hAnsi="宋体" w:eastAsia="宋体" w:cs="宋体"/>
          <w:color w:val="auto"/>
          <w:sz w:val="21"/>
          <w:szCs w:val="21"/>
          <w:highlight w:val="none"/>
          <w:shd w:val="clear" w:color="auto" w:fill="FFFFFF"/>
        </w:rPr>
        <w:t>采购活动，服务全部由符合政策要求的中小企业承接。相关企业(含联合体中的中小企业、签订分包意向协议的中小企业)的具体情况如下:</w:t>
      </w:r>
    </w:p>
    <w:p w14:paraId="166A49C4">
      <w:pPr>
        <w:autoSpaceDE/>
        <w:autoSpaceDN/>
        <w:spacing w:line="480" w:lineRule="auto"/>
        <w:ind w:firstLine="420" w:firstLineChars="200"/>
        <w:jc w:val="both"/>
        <w:rPr>
          <w:rFonts w:ascii="宋体" w:hAnsi="宋体" w:eastAsia="宋体" w:cs="宋体"/>
          <w:color w:val="auto"/>
          <w:sz w:val="21"/>
          <w:szCs w:val="21"/>
          <w:highlight w:val="none"/>
          <w:shd w:val="clear" w:color="auto" w:fill="FFFFFF"/>
          <w:lang w:val="en-US" w:bidi="ar-SA"/>
        </w:rPr>
      </w:pPr>
      <w:r>
        <w:rPr>
          <w:rFonts w:hint="eastAsia" w:asciiTheme="majorEastAsia" w:hAnsiTheme="majorEastAsia" w:eastAsiaTheme="majorEastAsia" w:cstheme="majorEastAsia"/>
          <w:color w:val="auto"/>
          <w:sz w:val="21"/>
          <w:szCs w:val="21"/>
          <w:highlight w:val="none"/>
          <w:shd w:val="clear" w:color="auto" w:fill="FFFFFF"/>
          <w:lang w:val="en-US" w:bidi="ar-SA"/>
        </w:rPr>
        <w:t>1</w:t>
      </w:r>
      <w:r>
        <w:rPr>
          <w:rFonts w:hint="eastAsia" w:ascii="宋体" w:hAnsi="宋体" w:eastAsia="宋体" w:cs="宋体"/>
          <w:color w:val="auto"/>
          <w:sz w:val="21"/>
          <w:szCs w:val="21"/>
          <w:highlight w:val="none"/>
          <w:shd w:val="clear" w:color="auto" w:fill="FFFFFF"/>
          <w:lang w:val="en-US" w:bidi="ar-SA"/>
        </w:rPr>
        <w:t xml:space="preserve">. </w:t>
      </w:r>
      <w:r>
        <w:rPr>
          <w:rFonts w:hint="eastAsia" w:ascii="宋体" w:hAnsi="宋体" w:eastAsia="宋体" w:cs="宋体"/>
          <w:color w:val="auto"/>
          <w:sz w:val="21"/>
          <w:szCs w:val="21"/>
          <w:highlight w:val="none"/>
          <w:u w:val="single"/>
          <w:shd w:val="clear" w:color="auto" w:fill="FFFFFF"/>
          <w:lang w:val="en-US" w:bidi="ar-SA"/>
        </w:rPr>
        <w:t xml:space="preserve"> </w:t>
      </w:r>
      <w:r>
        <w:rPr>
          <w:rFonts w:hint="eastAsia" w:ascii="宋体" w:hAnsi="宋体" w:eastAsia="宋体" w:cs="宋体"/>
          <w:b/>
          <w:bCs/>
          <w:color w:val="auto"/>
          <w:sz w:val="21"/>
          <w:szCs w:val="21"/>
          <w:highlight w:val="none"/>
          <w:u w:val="single"/>
          <w:shd w:val="clear" w:color="auto" w:fill="FFFFFF"/>
          <w:lang w:val="en-US" w:eastAsia="zh-CN" w:bidi="ar-SA"/>
        </w:rPr>
        <w:t>普洱市医保数据专区建设项目</w:t>
      </w:r>
      <w:r>
        <w:rPr>
          <w:rFonts w:hint="eastAsia" w:ascii="宋体" w:hAnsi="宋体" w:eastAsia="宋体" w:cs="宋体"/>
          <w:b/>
          <w:bCs/>
          <w:color w:val="auto"/>
          <w:sz w:val="21"/>
          <w:szCs w:val="21"/>
          <w:highlight w:val="none"/>
          <w:u w:val="single"/>
          <w:shd w:val="clear" w:color="auto" w:fill="FFFFFF"/>
          <w:lang w:val="en-US" w:bidi="ar-SA"/>
        </w:rPr>
        <w:t xml:space="preserve"> </w:t>
      </w:r>
      <w:r>
        <w:rPr>
          <w:rFonts w:hint="eastAsia" w:ascii="宋体" w:hAnsi="宋体" w:eastAsia="宋体" w:cs="宋体"/>
          <w:color w:val="auto"/>
          <w:sz w:val="21"/>
          <w:szCs w:val="21"/>
          <w:highlight w:val="none"/>
          <w:u w:val="single"/>
          <w:shd w:val="clear" w:color="auto" w:fill="FFFFFF"/>
          <w:lang w:val="en-US" w:bidi="ar-SA"/>
        </w:rPr>
        <w:t>(标的名称)</w:t>
      </w:r>
      <w:r>
        <w:rPr>
          <w:rFonts w:hint="eastAsia" w:ascii="宋体" w:hAnsi="宋体" w:eastAsia="宋体" w:cs="宋体"/>
          <w:color w:val="auto"/>
          <w:sz w:val="21"/>
          <w:szCs w:val="21"/>
          <w:highlight w:val="none"/>
          <w:shd w:val="clear" w:color="auto" w:fill="FFFFFF"/>
          <w:lang w:val="en-US" w:bidi="ar-SA"/>
        </w:rPr>
        <w:t>，属于</w:t>
      </w:r>
      <w:r>
        <w:rPr>
          <w:rFonts w:hint="eastAsia" w:ascii="宋体" w:hAnsi="宋体" w:eastAsia="宋体" w:cs="宋体"/>
          <w:color w:val="auto"/>
          <w:sz w:val="21"/>
          <w:szCs w:val="21"/>
          <w:highlight w:val="none"/>
          <w:u w:val="single"/>
          <w:shd w:val="clear" w:color="auto" w:fill="FFFFFF"/>
          <w:lang w:val="en-US" w:bidi="ar-SA"/>
        </w:rPr>
        <w:t xml:space="preserve"> </w:t>
      </w:r>
      <w:r>
        <w:rPr>
          <w:rFonts w:hint="eastAsia" w:ascii="宋体" w:hAnsi="宋体" w:eastAsia="宋体" w:cs="宋体"/>
          <w:b/>
          <w:bCs/>
          <w:color w:val="auto"/>
          <w:sz w:val="21"/>
          <w:szCs w:val="21"/>
          <w:highlight w:val="none"/>
          <w:u w:val="single"/>
          <w:shd w:val="clear" w:color="auto" w:fill="FFFFFF"/>
          <w:lang w:val="en-US" w:eastAsia="zh-CN" w:bidi="ar-SA"/>
        </w:rPr>
        <w:t>软件和信息技术服务业</w:t>
      </w:r>
      <w:r>
        <w:rPr>
          <w:rFonts w:hint="eastAsia" w:ascii="宋体" w:hAnsi="宋体" w:eastAsia="宋体" w:cs="宋体"/>
          <w:color w:val="auto"/>
          <w:sz w:val="21"/>
          <w:szCs w:val="21"/>
          <w:highlight w:val="none"/>
          <w:u w:val="single"/>
          <w:shd w:val="clear" w:color="auto" w:fill="FFFFFF"/>
          <w:lang w:val="en-US" w:bidi="ar-SA"/>
        </w:rPr>
        <w:t xml:space="preserve"> (采购文件中明确的所属行业)</w:t>
      </w:r>
      <w:r>
        <w:rPr>
          <w:rFonts w:hint="eastAsia" w:ascii="宋体" w:hAnsi="宋体" w:eastAsia="宋体" w:cs="宋体"/>
          <w:color w:val="auto"/>
          <w:sz w:val="21"/>
          <w:szCs w:val="21"/>
          <w:highlight w:val="none"/>
          <w:shd w:val="clear" w:color="auto" w:fill="FFFFFF"/>
          <w:lang w:val="en-US" w:bidi="ar-SA"/>
        </w:rPr>
        <w:t>；承接企业为</w:t>
      </w:r>
      <w:r>
        <w:rPr>
          <w:rFonts w:hint="eastAsia" w:ascii="宋体" w:hAnsi="宋体" w:eastAsia="宋体" w:cs="宋体"/>
          <w:color w:val="auto"/>
          <w:sz w:val="21"/>
          <w:szCs w:val="21"/>
          <w:highlight w:val="none"/>
          <w:u w:val="single"/>
          <w:shd w:val="clear" w:color="auto" w:fill="FFFFFF"/>
          <w:lang w:val="en-US" w:bidi="ar-SA"/>
        </w:rPr>
        <w:t xml:space="preserve">    (企业名称)</w:t>
      </w:r>
      <w:r>
        <w:rPr>
          <w:rFonts w:hint="eastAsia" w:ascii="宋体" w:hAnsi="宋体" w:eastAsia="宋体" w:cs="宋体"/>
          <w:color w:val="auto"/>
          <w:sz w:val="21"/>
          <w:szCs w:val="21"/>
          <w:highlight w:val="none"/>
          <w:shd w:val="clear" w:color="auto" w:fill="FFFFFF"/>
          <w:lang w:val="en-US" w:bidi="ar-SA"/>
        </w:rPr>
        <w:t>，从业人员</w:t>
      </w:r>
      <w:r>
        <w:rPr>
          <w:rFonts w:hint="eastAsia" w:ascii="宋体" w:hAnsi="宋体" w:eastAsia="宋体" w:cs="宋体"/>
          <w:color w:val="auto"/>
          <w:sz w:val="21"/>
          <w:szCs w:val="21"/>
          <w:highlight w:val="none"/>
          <w:u w:val="single"/>
          <w:shd w:val="clear" w:color="auto" w:fill="FFFFFF"/>
          <w:lang w:val="en-US" w:bidi="ar-SA"/>
        </w:rPr>
        <w:t xml:space="preserve">     </w:t>
      </w:r>
      <w:r>
        <w:rPr>
          <w:rFonts w:hint="eastAsia" w:ascii="宋体" w:hAnsi="宋体" w:eastAsia="宋体" w:cs="宋体"/>
          <w:color w:val="auto"/>
          <w:sz w:val="21"/>
          <w:szCs w:val="21"/>
          <w:highlight w:val="none"/>
          <w:shd w:val="clear" w:color="auto" w:fill="FFFFFF"/>
          <w:lang w:val="en-US" w:bidi="ar-SA"/>
        </w:rPr>
        <w:t>人， 营业收入为</w:t>
      </w:r>
      <w:r>
        <w:rPr>
          <w:rFonts w:hint="eastAsia" w:ascii="宋体" w:hAnsi="宋体" w:eastAsia="宋体" w:cs="宋体"/>
          <w:color w:val="auto"/>
          <w:sz w:val="21"/>
          <w:szCs w:val="21"/>
          <w:highlight w:val="none"/>
          <w:u w:val="single"/>
          <w:shd w:val="clear" w:color="auto" w:fill="FFFFFF"/>
          <w:lang w:val="en-US" w:bidi="ar-SA"/>
        </w:rPr>
        <w:t xml:space="preserve">     </w:t>
      </w:r>
      <w:r>
        <w:rPr>
          <w:rFonts w:hint="eastAsia" w:ascii="宋体" w:hAnsi="宋体" w:eastAsia="宋体" w:cs="宋体"/>
          <w:color w:val="auto"/>
          <w:sz w:val="21"/>
          <w:szCs w:val="21"/>
          <w:highlight w:val="none"/>
          <w:shd w:val="clear" w:color="auto" w:fill="FFFFFF"/>
          <w:lang w:val="en-US" w:bidi="ar-SA"/>
        </w:rPr>
        <w:t>万元，资产总额为</w:t>
      </w:r>
      <w:r>
        <w:rPr>
          <w:rFonts w:hint="eastAsia" w:ascii="宋体" w:hAnsi="宋体" w:eastAsia="宋体" w:cs="宋体"/>
          <w:color w:val="auto"/>
          <w:sz w:val="21"/>
          <w:szCs w:val="21"/>
          <w:highlight w:val="none"/>
          <w:u w:val="single"/>
          <w:shd w:val="clear" w:color="auto" w:fill="FFFFFF"/>
          <w:lang w:val="en-US" w:bidi="ar-SA"/>
        </w:rPr>
        <w:t xml:space="preserve">      </w:t>
      </w:r>
      <w:r>
        <w:rPr>
          <w:rFonts w:hint="eastAsia" w:ascii="宋体" w:hAnsi="宋体" w:eastAsia="宋体" w:cs="宋体"/>
          <w:color w:val="auto"/>
          <w:sz w:val="21"/>
          <w:szCs w:val="21"/>
          <w:highlight w:val="none"/>
          <w:shd w:val="clear" w:color="auto" w:fill="FFFFFF"/>
          <w:lang w:val="en-US" w:bidi="ar-SA"/>
        </w:rPr>
        <w:t>万元</w:t>
      </w:r>
      <w:r>
        <w:rPr>
          <w:rFonts w:hint="eastAsia" w:asciiTheme="majorEastAsia" w:hAnsiTheme="majorEastAsia" w:eastAsiaTheme="majorEastAsia" w:cstheme="majorEastAsia"/>
          <w:color w:val="auto"/>
          <w:sz w:val="21"/>
          <w:szCs w:val="21"/>
          <w:highlight w:val="none"/>
          <w:shd w:val="clear" w:color="auto" w:fill="FFFFFF"/>
          <w:vertAlign w:val="superscript"/>
          <w:lang w:val="en-US" w:bidi="ar-SA"/>
        </w:rPr>
        <w:t>1</w:t>
      </w:r>
      <w:r>
        <w:rPr>
          <w:rFonts w:hint="eastAsia" w:ascii="宋体" w:hAnsi="宋体" w:eastAsia="宋体" w:cs="宋体"/>
          <w:color w:val="auto"/>
          <w:sz w:val="21"/>
          <w:szCs w:val="21"/>
          <w:highlight w:val="none"/>
          <w:shd w:val="clear" w:color="auto" w:fill="FFFFFF"/>
          <w:lang w:val="en-US" w:bidi="ar-SA"/>
        </w:rPr>
        <w:t>，属于</w:t>
      </w:r>
      <w:r>
        <w:rPr>
          <w:rFonts w:hint="eastAsia" w:ascii="宋体" w:hAnsi="宋体" w:eastAsia="宋体" w:cs="宋体"/>
          <w:color w:val="auto"/>
          <w:sz w:val="21"/>
          <w:szCs w:val="21"/>
          <w:highlight w:val="none"/>
          <w:u w:val="single"/>
          <w:shd w:val="clear" w:color="auto" w:fill="FFFFFF"/>
          <w:lang w:val="en-US" w:bidi="ar-SA"/>
        </w:rPr>
        <w:t xml:space="preserve">     （中型企业、小型企业、微型企业）</w:t>
      </w:r>
      <w:r>
        <w:rPr>
          <w:rFonts w:hint="eastAsia" w:ascii="宋体" w:hAnsi="宋体" w:eastAsia="宋体" w:cs="宋体"/>
          <w:color w:val="auto"/>
          <w:sz w:val="21"/>
          <w:szCs w:val="21"/>
          <w:highlight w:val="none"/>
          <w:shd w:val="clear" w:color="auto" w:fill="FFFFFF"/>
          <w:lang w:val="en-US" w:bidi="ar-SA"/>
        </w:rPr>
        <w:t>；</w:t>
      </w:r>
    </w:p>
    <w:p w14:paraId="359909C1">
      <w:pPr>
        <w:autoSpaceDE/>
        <w:autoSpaceDN/>
        <w:spacing w:line="480" w:lineRule="auto"/>
        <w:ind w:firstLine="420" w:firstLineChars="200"/>
        <w:rPr>
          <w:rFonts w:ascii="宋体" w:hAnsi="宋体" w:eastAsia="宋体" w:cs="宋体"/>
          <w:color w:val="auto"/>
          <w:sz w:val="21"/>
          <w:szCs w:val="21"/>
          <w:highlight w:val="none"/>
          <w:shd w:val="clear" w:color="auto" w:fill="FFFFFF"/>
          <w:lang w:val="en-US" w:bidi="ar-SA"/>
        </w:rPr>
      </w:pPr>
      <w:r>
        <w:rPr>
          <w:rFonts w:hint="eastAsia" w:asciiTheme="majorEastAsia" w:hAnsiTheme="majorEastAsia" w:eastAsiaTheme="majorEastAsia" w:cstheme="majorEastAsia"/>
          <w:color w:val="auto"/>
          <w:sz w:val="21"/>
          <w:szCs w:val="21"/>
          <w:highlight w:val="none"/>
          <w:shd w:val="clear" w:color="auto" w:fill="FFFFFF"/>
          <w:lang w:val="en-US" w:bidi="ar-SA"/>
        </w:rPr>
        <w:t>2</w:t>
      </w:r>
      <w:r>
        <w:rPr>
          <w:rFonts w:hint="eastAsia" w:ascii="宋体" w:hAnsi="宋体" w:eastAsia="宋体" w:cs="宋体"/>
          <w:color w:val="auto"/>
          <w:sz w:val="21"/>
          <w:szCs w:val="21"/>
          <w:highlight w:val="none"/>
          <w:shd w:val="clear" w:color="auto" w:fill="FFFFFF"/>
          <w:lang w:val="en-US" w:bidi="ar-SA"/>
        </w:rPr>
        <w:t>.</w:t>
      </w:r>
      <w:r>
        <w:rPr>
          <w:rFonts w:hint="eastAsia" w:ascii="宋体" w:hAnsi="宋体" w:eastAsia="宋体" w:cs="宋体"/>
          <w:color w:val="auto"/>
          <w:sz w:val="21"/>
          <w:szCs w:val="21"/>
          <w:highlight w:val="none"/>
          <w:u w:val="single"/>
          <w:shd w:val="clear" w:color="auto" w:fill="FFFFFF"/>
          <w:lang w:val="en-US" w:bidi="ar-SA"/>
        </w:rPr>
        <w:t xml:space="preserve">    （标的名称)</w:t>
      </w:r>
      <w:r>
        <w:rPr>
          <w:rFonts w:hint="eastAsia" w:ascii="宋体" w:hAnsi="宋体" w:eastAsia="宋体" w:cs="宋体"/>
          <w:color w:val="auto"/>
          <w:sz w:val="21"/>
          <w:szCs w:val="21"/>
          <w:highlight w:val="none"/>
          <w:shd w:val="clear" w:color="auto" w:fill="FFFFFF"/>
          <w:lang w:val="en-US" w:bidi="ar-SA"/>
        </w:rPr>
        <w:t>，属于</w:t>
      </w:r>
      <w:r>
        <w:rPr>
          <w:rFonts w:hint="eastAsia" w:ascii="宋体" w:hAnsi="宋体" w:eastAsia="宋体" w:cs="宋体"/>
          <w:color w:val="auto"/>
          <w:sz w:val="21"/>
          <w:szCs w:val="21"/>
          <w:highlight w:val="none"/>
          <w:u w:val="single"/>
          <w:shd w:val="clear" w:color="auto" w:fill="FFFFFF"/>
          <w:lang w:val="en-US" w:bidi="ar-SA"/>
        </w:rPr>
        <w:t xml:space="preserve">     （采购文件中明确的所属行业)</w:t>
      </w:r>
      <w:r>
        <w:rPr>
          <w:rFonts w:hint="eastAsia" w:ascii="宋体" w:hAnsi="宋体" w:eastAsia="宋体" w:cs="宋体"/>
          <w:color w:val="auto"/>
          <w:sz w:val="21"/>
          <w:szCs w:val="21"/>
          <w:highlight w:val="none"/>
          <w:shd w:val="clear" w:color="auto" w:fill="FFFFFF"/>
          <w:lang w:val="en-US" w:bidi="ar-SA"/>
        </w:rPr>
        <w:t>；承接企业为</w:t>
      </w:r>
      <w:r>
        <w:rPr>
          <w:rFonts w:hint="eastAsia" w:ascii="宋体" w:hAnsi="宋体" w:eastAsia="宋体" w:cs="宋体"/>
          <w:color w:val="auto"/>
          <w:sz w:val="21"/>
          <w:szCs w:val="21"/>
          <w:highlight w:val="none"/>
          <w:u w:val="single"/>
          <w:shd w:val="clear" w:color="auto" w:fill="FFFFFF"/>
          <w:lang w:val="en-US" w:bidi="ar-SA"/>
        </w:rPr>
        <w:t xml:space="preserve">       (企业名称)</w:t>
      </w:r>
      <w:r>
        <w:rPr>
          <w:rFonts w:hint="eastAsia" w:ascii="宋体" w:hAnsi="宋体" w:eastAsia="宋体" w:cs="宋体"/>
          <w:color w:val="auto"/>
          <w:sz w:val="21"/>
          <w:szCs w:val="21"/>
          <w:highlight w:val="none"/>
          <w:shd w:val="clear" w:color="auto" w:fill="FFFFFF"/>
          <w:lang w:val="en-US" w:bidi="ar-SA"/>
        </w:rPr>
        <w:t>，从业人员</w:t>
      </w:r>
      <w:r>
        <w:rPr>
          <w:rFonts w:hint="eastAsia" w:ascii="宋体" w:hAnsi="宋体" w:eastAsia="宋体" w:cs="宋体"/>
          <w:color w:val="auto"/>
          <w:sz w:val="21"/>
          <w:szCs w:val="21"/>
          <w:highlight w:val="none"/>
          <w:u w:val="single"/>
          <w:shd w:val="clear" w:color="auto" w:fill="FFFFFF"/>
          <w:lang w:val="en-US" w:bidi="ar-SA"/>
        </w:rPr>
        <w:t xml:space="preserve">     </w:t>
      </w:r>
      <w:r>
        <w:rPr>
          <w:rFonts w:hint="eastAsia" w:ascii="宋体" w:hAnsi="宋体" w:eastAsia="宋体" w:cs="宋体"/>
          <w:color w:val="auto"/>
          <w:sz w:val="21"/>
          <w:szCs w:val="21"/>
          <w:highlight w:val="none"/>
          <w:shd w:val="clear" w:color="auto" w:fill="FFFFFF"/>
          <w:lang w:val="en-US" w:bidi="ar-SA"/>
        </w:rPr>
        <w:t>人， 营业收入为</w:t>
      </w:r>
      <w:r>
        <w:rPr>
          <w:rFonts w:hint="eastAsia" w:ascii="宋体" w:hAnsi="宋体" w:eastAsia="宋体" w:cs="宋体"/>
          <w:color w:val="auto"/>
          <w:sz w:val="21"/>
          <w:szCs w:val="21"/>
          <w:highlight w:val="none"/>
          <w:u w:val="single"/>
          <w:shd w:val="clear" w:color="auto" w:fill="FFFFFF"/>
          <w:lang w:val="en-US" w:bidi="ar-SA"/>
        </w:rPr>
        <w:t xml:space="preserve">      </w:t>
      </w:r>
      <w:r>
        <w:rPr>
          <w:rFonts w:hint="eastAsia" w:ascii="宋体" w:hAnsi="宋体" w:eastAsia="宋体" w:cs="宋体"/>
          <w:color w:val="auto"/>
          <w:sz w:val="21"/>
          <w:szCs w:val="21"/>
          <w:highlight w:val="none"/>
          <w:shd w:val="clear" w:color="auto" w:fill="FFFFFF"/>
          <w:lang w:val="en-US" w:bidi="ar-SA"/>
        </w:rPr>
        <w:t>万元， 资产总额为</w:t>
      </w:r>
      <w:r>
        <w:rPr>
          <w:rFonts w:hint="eastAsia" w:ascii="宋体" w:hAnsi="宋体" w:eastAsia="宋体" w:cs="宋体"/>
          <w:color w:val="auto"/>
          <w:sz w:val="21"/>
          <w:szCs w:val="21"/>
          <w:highlight w:val="none"/>
          <w:u w:val="single"/>
          <w:shd w:val="clear" w:color="auto" w:fill="FFFFFF"/>
          <w:lang w:val="en-US" w:bidi="ar-SA"/>
        </w:rPr>
        <w:t xml:space="preserve">      </w:t>
      </w:r>
      <w:r>
        <w:rPr>
          <w:rFonts w:hint="eastAsia" w:ascii="宋体" w:hAnsi="宋体" w:eastAsia="宋体" w:cs="宋体"/>
          <w:color w:val="auto"/>
          <w:sz w:val="21"/>
          <w:szCs w:val="21"/>
          <w:highlight w:val="none"/>
          <w:shd w:val="clear" w:color="auto" w:fill="FFFFFF"/>
          <w:lang w:val="en-US" w:bidi="ar-SA"/>
        </w:rPr>
        <w:t>万元，属于</w:t>
      </w:r>
      <w:r>
        <w:rPr>
          <w:rFonts w:hint="eastAsia" w:ascii="宋体" w:hAnsi="宋体" w:eastAsia="宋体" w:cs="宋体"/>
          <w:color w:val="auto"/>
          <w:sz w:val="21"/>
          <w:szCs w:val="21"/>
          <w:highlight w:val="none"/>
          <w:u w:val="single"/>
          <w:shd w:val="clear" w:color="auto" w:fill="FFFFFF"/>
          <w:lang w:val="en-US" w:bidi="ar-SA"/>
        </w:rPr>
        <w:t xml:space="preserve">      （中型企业、 小型企业、微型企业)</w:t>
      </w:r>
      <w:r>
        <w:rPr>
          <w:rFonts w:hint="eastAsia" w:ascii="宋体" w:hAnsi="宋体" w:eastAsia="宋体" w:cs="宋体"/>
          <w:color w:val="auto"/>
          <w:sz w:val="21"/>
          <w:szCs w:val="21"/>
          <w:highlight w:val="none"/>
          <w:shd w:val="clear" w:color="auto" w:fill="FFFFFF"/>
          <w:lang w:val="en-US" w:bidi="ar-SA"/>
        </w:rPr>
        <w:t>；</w:t>
      </w:r>
    </w:p>
    <w:p w14:paraId="5C3B9BEE">
      <w:pPr>
        <w:autoSpaceDE/>
        <w:autoSpaceDN/>
        <w:spacing w:line="480" w:lineRule="auto"/>
        <w:ind w:firstLine="420" w:firstLineChars="200"/>
        <w:rPr>
          <w:rFonts w:ascii="宋体" w:hAnsi="宋体" w:eastAsia="宋体" w:cs="宋体"/>
          <w:color w:val="auto"/>
          <w:sz w:val="21"/>
          <w:szCs w:val="21"/>
          <w:highlight w:val="none"/>
          <w:shd w:val="clear" w:color="auto" w:fill="FFFFFF"/>
          <w:lang w:val="en-US" w:bidi="ar-SA"/>
        </w:rPr>
      </w:pPr>
      <w:r>
        <w:rPr>
          <w:rFonts w:hint="eastAsia" w:ascii="宋体" w:hAnsi="宋体" w:eastAsia="宋体" w:cs="宋体"/>
          <w:color w:val="auto"/>
          <w:sz w:val="21"/>
          <w:szCs w:val="21"/>
          <w:highlight w:val="none"/>
          <w:shd w:val="clear" w:color="auto" w:fill="FFFFFF"/>
          <w:lang w:val="en-US" w:bidi="ar-SA"/>
        </w:rPr>
        <w:t>......</w:t>
      </w:r>
    </w:p>
    <w:p w14:paraId="4052933D">
      <w:pPr>
        <w:autoSpaceDE/>
        <w:autoSpaceDN/>
        <w:spacing w:line="480" w:lineRule="auto"/>
        <w:ind w:firstLine="420" w:firstLineChars="200"/>
        <w:rPr>
          <w:rFonts w:ascii="宋体" w:hAnsi="宋体" w:eastAsia="宋体" w:cs="宋体"/>
          <w:color w:val="auto"/>
          <w:sz w:val="21"/>
          <w:szCs w:val="21"/>
          <w:highlight w:val="none"/>
          <w:shd w:val="clear" w:color="auto" w:fill="FFFFFF"/>
          <w:lang w:val="en-US" w:bidi="ar-SA"/>
        </w:rPr>
      </w:pPr>
      <w:r>
        <w:rPr>
          <w:rFonts w:hint="eastAsia" w:ascii="宋体" w:hAnsi="宋体" w:eastAsia="宋体" w:cs="宋体"/>
          <w:color w:val="auto"/>
          <w:sz w:val="21"/>
          <w:szCs w:val="21"/>
          <w:highlight w:val="none"/>
          <w:shd w:val="clear" w:color="auto" w:fill="FFFFFF"/>
          <w:lang w:val="en-US" w:bidi="ar-SA"/>
        </w:rPr>
        <w:t>以上企业，不属于大企业的分支机构，不存在控股股东为大企业的情形，也不存在与大企业的负责人为同一人的情形。</w:t>
      </w:r>
    </w:p>
    <w:p w14:paraId="386AB28C">
      <w:pPr>
        <w:autoSpaceDE/>
        <w:autoSpaceDN/>
        <w:spacing w:line="480" w:lineRule="auto"/>
        <w:ind w:firstLine="420" w:firstLineChars="200"/>
        <w:jc w:val="both"/>
        <w:rPr>
          <w:rFonts w:ascii="宋体" w:hAnsi="宋体" w:eastAsia="宋体" w:cs="宋体"/>
          <w:color w:val="auto"/>
          <w:sz w:val="21"/>
          <w:szCs w:val="21"/>
          <w:highlight w:val="none"/>
          <w:shd w:val="clear" w:color="auto" w:fill="FFFFFF"/>
          <w:lang w:val="en-US" w:bidi="ar-SA"/>
        </w:rPr>
      </w:pPr>
      <w:r>
        <w:rPr>
          <w:rFonts w:hint="eastAsia" w:ascii="宋体" w:hAnsi="宋体" w:eastAsia="宋体" w:cs="宋体"/>
          <w:color w:val="auto"/>
          <w:sz w:val="21"/>
          <w:szCs w:val="21"/>
          <w:highlight w:val="none"/>
          <w:shd w:val="clear" w:color="auto" w:fill="FFFFFF"/>
          <w:lang w:val="en-US" w:bidi="ar-SA"/>
        </w:rPr>
        <w:t>本企业对上述声明内容的真实性负责。如有虛假，将依法承担相应责任。</w:t>
      </w:r>
    </w:p>
    <w:p w14:paraId="6B4199FC">
      <w:pPr>
        <w:adjustRightInd w:val="0"/>
        <w:jc w:val="center"/>
        <w:rPr>
          <w:rFonts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 xml:space="preserve">                                                         </w:t>
      </w:r>
    </w:p>
    <w:p w14:paraId="23DFD4D9">
      <w:pPr>
        <w:autoSpaceDE/>
        <w:autoSpaceDN/>
        <w:spacing w:line="480" w:lineRule="auto"/>
        <w:ind w:firstLine="420" w:firstLineChars="200"/>
        <w:jc w:val="center"/>
        <w:rPr>
          <w:rFonts w:ascii="宋体" w:hAnsi="宋体" w:eastAsia="宋体" w:cs="宋体"/>
          <w:color w:val="auto"/>
          <w:sz w:val="21"/>
          <w:szCs w:val="21"/>
          <w:highlight w:val="none"/>
          <w:shd w:val="clear" w:color="auto" w:fill="FFFFFF"/>
          <w:lang w:val="en-US" w:bidi="ar-SA"/>
        </w:rPr>
      </w:pPr>
      <w:r>
        <w:rPr>
          <w:rFonts w:hint="eastAsia" w:ascii="宋体" w:hAnsi="宋体" w:eastAsia="宋体" w:cs="宋体"/>
          <w:color w:val="auto"/>
          <w:sz w:val="21"/>
          <w:szCs w:val="21"/>
          <w:highlight w:val="none"/>
          <w:shd w:val="clear" w:color="auto" w:fill="FFFFFF"/>
          <w:lang w:val="en-US" w:bidi="ar-SA"/>
        </w:rPr>
        <w:t xml:space="preserve">                                                  企业名称(盖章):</w:t>
      </w:r>
    </w:p>
    <w:p w14:paraId="616575CA">
      <w:pPr>
        <w:autoSpaceDE/>
        <w:autoSpaceDN/>
        <w:spacing w:line="480" w:lineRule="auto"/>
        <w:ind w:firstLine="420" w:firstLineChars="200"/>
        <w:jc w:val="center"/>
        <w:rPr>
          <w:rFonts w:ascii="宋体" w:hAnsi="宋体" w:eastAsia="宋体" w:cs="宋体"/>
          <w:color w:val="auto"/>
          <w:sz w:val="21"/>
          <w:szCs w:val="21"/>
          <w:highlight w:val="none"/>
          <w:shd w:val="clear" w:color="auto" w:fill="FFFFFF"/>
          <w:lang w:val="en-US" w:bidi="ar-SA"/>
        </w:rPr>
      </w:pPr>
      <w:r>
        <w:rPr>
          <w:rFonts w:hint="eastAsia" w:ascii="宋体" w:hAnsi="宋体" w:eastAsia="宋体" w:cs="宋体"/>
          <w:color w:val="auto"/>
          <w:sz w:val="21"/>
          <w:szCs w:val="21"/>
          <w:highlight w:val="none"/>
          <w:shd w:val="clear" w:color="auto" w:fill="FFFFFF"/>
          <w:lang w:val="en-US" w:bidi="ar-SA"/>
        </w:rPr>
        <w:t xml:space="preserve">                                          日  期:</w:t>
      </w:r>
    </w:p>
    <w:p w14:paraId="4C9B1282">
      <w:pPr>
        <w:rPr>
          <w:rFonts w:ascii="宋体" w:hAnsi="宋体" w:eastAsia="宋体" w:cs="宋体"/>
          <w:color w:val="auto"/>
          <w:kern w:val="1"/>
          <w:sz w:val="24"/>
          <w:szCs w:val="24"/>
          <w:highlight w:val="none"/>
        </w:rPr>
      </w:pPr>
    </w:p>
    <w:p w14:paraId="2C820D2D">
      <w:pPr>
        <w:ind w:firstLine="420" w:firstLineChars="200"/>
        <w:rPr>
          <w:rFonts w:ascii="宋体" w:hAnsi="宋体" w:eastAsia="宋体" w:cs="宋体"/>
          <w:color w:val="auto"/>
          <w:sz w:val="21"/>
          <w:szCs w:val="20"/>
          <w:highlight w:val="none"/>
          <w:lang w:val="en-US"/>
        </w:rPr>
      </w:pPr>
      <w:r>
        <w:rPr>
          <w:rFonts w:hint="eastAsia" w:asciiTheme="majorEastAsia" w:hAnsiTheme="majorEastAsia" w:eastAsiaTheme="majorEastAsia" w:cstheme="majorEastAsia"/>
          <w:color w:val="auto"/>
          <w:sz w:val="21"/>
          <w:szCs w:val="20"/>
          <w:highlight w:val="none"/>
          <w:vertAlign w:val="superscript"/>
        </w:rPr>
        <w:t>1</w:t>
      </w:r>
      <w:r>
        <w:rPr>
          <w:rFonts w:hint="eastAsia" w:ascii="宋体" w:hAnsi="宋体" w:eastAsia="宋体" w:cs="宋体"/>
          <w:color w:val="auto"/>
          <w:sz w:val="21"/>
          <w:szCs w:val="20"/>
          <w:highlight w:val="none"/>
          <w:lang w:val="en-US"/>
        </w:rPr>
        <w:t>从业人员、营业收入、资产总额填报上一年度数据，无上一年度数据的新成立企业可不填报。</w:t>
      </w:r>
    </w:p>
    <w:p w14:paraId="770DE0BA">
      <w:pPr>
        <w:spacing w:line="440" w:lineRule="exact"/>
        <w:rPr>
          <w:rFonts w:ascii="宋体" w:hAnsi="宋体" w:eastAsia="宋体" w:cs="宋体"/>
          <w:b/>
          <w:bCs/>
          <w:color w:val="auto"/>
          <w:sz w:val="24"/>
          <w:highlight w:val="none"/>
        </w:rPr>
      </w:pPr>
    </w:p>
    <w:p w14:paraId="5DA2567B">
      <w:pPr>
        <w:spacing w:line="360" w:lineRule="auto"/>
        <w:rPr>
          <w:rFonts w:ascii="宋体" w:hAnsi="宋体" w:eastAsia="宋体" w:cs="宋体"/>
          <w:b/>
          <w:bCs/>
          <w:color w:val="auto"/>
          <w:sz w:val="21"/>
          <w:szCs w:val="20"/>
          <w:highlight w:val="none"/>
        </w:rPr>
      </w:pPr>
    </w:p>
    <w:p w14:paraId="45ECEDA6">
      <w:pPr>
        <w:spacing w:line="360" w:lineRule="auto"/>
        <w:rPr>
          <w:rFonts w:ascii="宋体" w:hAnsi="宋体" w:eastAsia="宋体" w:cs="宋体"/>
          <w:b/>
          <w:bCs/>
          <w:color w:val="auto"/>
          <w:sz w:val="21"/>
          <w:szCs w:val="20"/>
          <w:highlight w:val="none"/>
        </w:rPr>
      </w:pPr>
      <w:r>
        <w:rPr>
          <w:rFonts w:hint="eastAsia" w:ascii="宋体" w:hAnsi="宋体" w:eastAsia="宋体" w:cs="宋体"/>
          <w:b/>
          <w:bCs/>
          <w:color w:val="auto"/>
          <w:sz w:val="21"/>
          <w:szCs w:val="20"/>
          <w:highlight w:val="none"/>
        </w:rPr>
        <w:t>注：</w:t>
      </w:r>
    </w:p>
    <w:p w14:paraId="1A635BFE">
      <w:pPr>
        <w:spacing w:line="360" w:lineRule="auto"/>
        <w:ind w:firstLine="420" w:firstLineChars="200"/>
        <w:rPr>
          <w:rFonts w:ascii="宋体" w:hAnsi="宋体" w:eastAsia="宋体" w:cs="宋体"/>
          <w:color w:val="auto"/>
          <w:sz w:val="21"/>
          <w:szCs w:val="20"/>
          <w:highlight w:val="none"/>
          <w:lang w:val="en-US"/>
        </w:rPr>
      </w:pPr>
      <w:r>
        <w:rPr>
          <w:rFonts w:hint="eastAsia" w:asciiTheme="majorEastAsia" w:hAnsiTheme="majorEastAsia" w:eastAsiaTheme="majorEastAsia" w:cstheme="majorEastAsia"/>
          <w:color w:val="auto"/>
          <w:sz w:val="21"/>
          <w:szCs w:val="20"/>
          <w:highlight w:val="none"/>
          <w:lang w:val="en-US"/>
        </w:rPr>
        <w:t>1</w:t>
      </w:r>
      <w:r>
        <w:rPr>
          <w:rFonts w:hint="eastAsia" w:ascii="宋体" w:hAnsi="宋体" w:eastAsia="宋体" w:cs="宋体"/>
          <w:color w:val="auto"/>
          <w:sz w:val="21"/>
          <w:szCs w:val="20"/>
          <w:highlight w:val="none"/>
          <w:lang w:val="en-US"/>
        </w:rPr>
        <w:t>.</w:t>
      </w:r>
      <w:r>
        <w:rPr>
          <w:rFonts w:hint="eastAsia" w:ascii="宋体" w:hAnsi="宋体" w:eastAsia="宋体" w:cs="宋体"/>
          <w:b/>
          <w:bCs/>
          <w:color w:val="auto"/>
          <w:sz w:val="21"/>
          <w:szCs w:val="20"/>
          <w:highlight w:val="none"/>
          <w:lang w:val="en-US"/>
        </w:rPr>
        <w:t>投标人须核对《关于印发中小企业划型标准规定的通知》（工信部联企业〔</w:t>
      </w:r>
      <w:r>
        <w:rPr>
          <w:rFonts w:hint="eastAsia" w:asciiTheme="majorEastAsia" w:hAnsiTheme="majorEastAsia" w:eastAsiaTheme="majorEastAsia" w:cstheme="majorEastAsia"/>
          <w:b/>
          <w:bCs/>
          <w:color w:val="auto"/>
          <w:sz w:val="21"/>
          <w:szCs w:val="20"/>
          <w:highlight w:val="none"/>
          <w:lang w:val="en-US"/>
        </w:rPr>
        <w:t>2011</w:t>
      </w:r>
      <w:r>
        <w:rPr>
          <w:rFonts w:hint="eastAsia" w:ascii="宋体" w:hAnsi="宋体" w:eastAsia="宋体" w:cs="宋体"/>
          <w:b/>
          <w:bCs/>
          <w:color w:val="auto"/>
          <w:sz w:val="21"/>
          <w:szCs w:val="20"/>
          <w:highlight w:val="none"/>
          <w:lang w:val="en-US"/>
        </w:rPr>
        <w:t>〕</w:t>
      </w:r>
      <w:r>
        <w:rPr>
          <w:rFonts w:hint="eastAsia" w:asciiTheme="majorEastAsia" w:hAnsiTheme="majorEastAsia" w:eastAsiaTheme="majorEastAsia" w:cstheme="majorEastAsia"/>
          <w:b/>
          <w:bCs/>
          <w:color w:val="auto"/>
          <w:sz w:val="21"/>
          <w:szCs w:val="20"/>
          <w:highlight w:val="none"/>
          <w:lang w:val="en-US"/>
        </w:rPr>
        <w:t>300</w:t>
      </w:r>
      <w:r>
        <w:rPr>
          <w:rFonts w:hint="eastAsia" w:ascii="宋体" w:hAnsi="宋体" w:eastAsia="宋体" w:cs="宋体"/>
          <w:b/>
          <w:bCs/>
          <w:color w:val="auto"/>
          <w:sz w:val="21"/>
          <w:szCs w:val="20"/>
          <w:highlight w:val="none"/>
          <w:lang w:val="en-US"/>
        </w:rPr>
        <w:t>号）规定的中小企业划型标准，如实填写声明函。所声明的从业人员人数或营业收入金额不符合中小企业划型标准规定的，评标委员会将不予进行价格扣除。</w:t>
      </w:r>
    </w:p>
    <w:p w14:paraId="45E67098">
      <w:pPr>
        <w:spacing w:line="360" w:lineRule="auto"/>
        <w:ind w:firstLine="420" w:firstLineChars="200"/>
        <w:rPr>
          <w:rFonts w:ascii="宋体" w:hAnsi="宋体" w:eastAsia="宋体" w:cs="宋体"/>
          <w:color w:val="auto"/>
          <w:sz w:val="21"/>
          <w:szCs w:val="20"/>
          <w:highlight w:val="none"/>
          <w:lang w:val="en-US"/>
        </w:rPr>
      </w:pPr>
      <w:r>
        <w:rPr>
          <w:rFonts w:hint="eastAsia" w:asciiTheme="majorEastAsia" w:hAnsiTheme="majorEastAsia" w:eastAsiaTheme="majorEastAsia" w:cstheme="majorEastAsia"/>
          <w:color w:val="auto"/>
          <w:sz w:val="21"/>
          <w:szCs w:val="20"/>
          <w:highlight w:val="none"/>
          <w:lang w:val="en-US"/>
        </w:rPr>
        <w:t>2</w:t>
      </w:r>
      <w:r>
        <w:rPr>
          <w:rFonts w:hint="eastAsia" w:ascii="宋体" w:hAnsi="宋体" w:eastAsia="宋体" w:cs="宋体"/>
          <w:color w:val="auto"/>
          <w:sz w:val="21"/>
          <w:szCs w:val="20"/>
          <w:highlight w:val="none"/>
          <w:lang w:val="en-US"/>
        </w:rPr>
        <w:t>.中小企业划型标准详见工信部联企业〔</w:t>
      </w:r>
      <w:r>
        <w:rPr>
          <w:rFonts w:hint="eastAsia" w:asciiTheme="majorEastAsia" w:hAnsiTheme="majorEastAsia" w:eastAsiaTheme="majorEastAsia" w:cstheme="majorEastAsia"/>
          <w:color w:val="auto"/>
          <w:sz w:val="21"/>
          <w:szCs w:val="20"/>
          <w:highlight w:val="none"/>
          <w:lang w:val="en-US"/>
        </w:rPr>
        <w:t>2011</w:t>
      </w:r>
      <w:r>
        <w:rPr>
          <w:rFonts w:hint="eastAsia" w:ascii="宋体" w:hAnsi="宋体" w:eastAsia="宋体" w:cs="宋体"/>
          <w:color w:val="auto"/>
          <w:sz w:val="21"/>
          <w:szCs w:val="20"/>
          <w:highlight w:val="none"/>
          <w:lang w:val="en-US"/>
        </w:rPr>
        <w:t>〕</w:t>
      </w:r>
      <w:r>
        <w:rPr>
          <w:rFonts w:hint="eastAsia" w:asciiTheme="majorEastAsia" w:hAnsiTheme="majorEastAsia" w:eastAsiaTheme="majorEastAsia" w:cstheme="majorEastAsia"/>
          <w:color w:val="auto"/>
          <w:sz w:val="21"/>
          <w:szCs w:val="20"/>
          <w:highlight w:val="none"/>
          <w:lang w:val="en-US"/>
        </w:rPr>
        <w:t>300</w:t>
      </w:r>
      <w:r>
        <w:rPr>
          <w:rFonts w:hint="eastAsia" w:ascii="宋体" w:hAnsi="宋体" w:eastAsia="宋体" w:cs="宋体"/>
          <w:color w:val="auto"/>
          <w:sz w:val="21"/>
          <w:szCs w:val="20"/>
          <w:highlight w:val="none"/>
          <w:lang w:val="en-US"/>
        </w:rPr>
        <w:t xml:space="preserve"> 号“关于印发中小企业划型标准规定的通知”中的《中小企业划型标准规定》；</w:t>
      </w:r>
      <w:r>
        <w:rPr>
          <w:rFonts w:hint="eastAsia" w:ascii="宋体" w:hAnsi="宋体" w:eastAsia="宋体" w:cs="宋体"/>
          <w:b/>
          <w:bCs/>
          <w:color w:val="auto"/>
          <w:sz w:val="21"/>
          <w:szCs w:val="20"/>
          <w:highlight w:val="none"/>
          <w:lang w:val="en-US"/>
        </w:rPr>
        <w:t>本项目“采购文件中明确的所属行业”为“</w:t>
      </w:r>
      <w:r>
        <w:rPr>
          <w:rFonts w:hint="eastAsia" w:ascii="宋体" w:hAnsi="宋体" w:eastAsia="宋体" w:cs="宋体"/>
          <w:b/>
          <w:bCs/>
          <w:color w:val="auto"/>
          <w:sz w:val="21"/>
          <w:szCs w:val="20"/>
          <w:highlight w:val="none"/>
          <w:lang w:val="en-US" w:eastAsia="zh-CN"/>
        </w:rPr>
        <w:t>软件和信息技术服务业</w:t>
      </w:r>
      <w:r>
        <w:rPr>
          <w:rFonts w:hint="eastAsia" w:ascii="宋体" w:hAnsi="宋体" w:eastAsia="宋体" w:cs="宋体"/>
          <w:b/>
          <w:bCs/>
          <w:color w:val="auto"/>
          <w:sz w:val="21"/>
          <w:szCs w:val="20"/>
          <w:highlight w:val="none"/>
          <w:lang w:val="en-US"/>
        </w:rPr>
        <w:t>”。</w:t>
      </w:r>
    </w:p>
    <w:p w14:paraId="10B14909">
      <w:pPr>
        <w:rPr>
          <w:rFonts w:ascii="宋体" w:hAnsi="宋体" w:eastAsia="宋体" w:cs="宋体"/>
          <w:b/>
          <w:bCs/>
          <w:color w:val="auto"/>
          <w:sz w:val="24"/>
          <w:highlight w:val="none"/>
        </w:rPr>
      </w:pPr>
    </w:p>
    <w:p w14:paraId="3CF8445C">
      <w:pPr>
        <w:spacing w:line="360" w:lineRule="auto"/>
        <w:jc w:val="both"/>
        <w:rPr>
          <w:rFonts w:hint="eastAsia" w:ascii="宋体" w:hAnsi="宋体" w:eastAsia="宋体" w:cs="宋体"/>
          <w:color w:val="auto"/>
          <w:kern w:val="2"/>
          <w:sz w:val="21"/>
          <w:szCs w:val="21"/>
          <w:highlight w:val="none"/>
          <w:lang w:val="en-US" w:bidi="ar-SA"/>
        </w:rPr>
      </w:pPr>
    </w:p>
    <w:p w14:paraId="2AFB4956">
      <w:pPr>
        <w:spacing w:line="360" w:lineRule="auto"/>
        <w:jc w:val="both"/>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附件：</w:t>
      </w:r>
    </w:p>
    <w:p w14:paraId="7A3C9508">
      <w:pPr>
        <w:spacing w:line="360" w:lineRule="auto"/>
        <w:ind w:firstLine="630" w:firstLineChars="300"/>
        <w:jc w:val="both"/>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《关于印发中小企业划型标准规定的通知》（工信部联企业〔</w:t>
      </w:r>
      <w:r>
        <w:rPr>
          <w:rFonts w:hint="eastAsia" w:asciiTheme="majorEastAsia" w:hAnsiTheme="majorEastAsia" w:eastAsiaTheme="majorEastAsia" w:cstheme="majorEastAsia"/>
          <w:color w:val="auto"/>
          <w:kern w:val="2"/>
          <w:sz w:val="21"/>
          <w:szCs w:val="21"/>
          <w:highlight w:val="none"/>
          <w:lang w:val="en-US" w:bidi="ar-SA"/>
        </w:rPr>
        <w:t>2011</w:t>
      </w:r>
      <w:r>
        <w:rPr>
          <w:rFonts w:hint="eastAsia" w:ascii="宋体" w:hAnsi="宋体" w:eastAsia="宋体" w:cs="宋体"/>
          <w:color w:val="auto"/>
          <w:kern w:val="2"/>
          <w:sz w:val="21"/>
          <w:szCs w:val="21"/>
          <w:highlight w:val="none"/>
          <w:lang w:val="en-US" w:bidi="ar-SA"/>
        </w:rPr>
        <w:t>〕</w:t>
      </w:r>
      <w:r>
        <w:rPr>
          <w:rFonts w:hint="eastAsia" w:asciiTheme="majorEastAsia" w:hAnsiTheme="majorEastAsia" w:eastAsiaTheme="majorEastAsia" w:cstheme="majorEastAsia"/>
          <w:color w:val="auto"/>
          <w:kern w:val="2"/>
          <w:sz w:val="21"/>
          <w:szCs w:val="21"/>
          <w:highlight w:val="none"/>
          <w:lang w:val="en-US" w:bidi="ar-SA"/>
        </w:rPr>
        <w:t>300</w:t>
      </w:r>
      <w:r>
        <w:rPr>
          <w:rFonts w:hint="eastAsia" w:ascii="宋体" w:hAnsi="宋体" w:eastAsia="宋体" w:cs="宋体"/>
          <w:color w:val="auto"/>
          <w:kern w:val="2"/>
          <w:sz w:val="21"/>
          <w:szCs w:val="21"/>
          <w:highlight w:val="none"/>
          <w:lang w:val="en-US" w:bidi="ar-SA"/>
        </w:rPr>
        <w:t>号）中小企业划型标准规定节选：</w:t>
      </w:r>
    </w:p>
    <w:p w14:paraId="4ED5CC6B">
      <w:pPr>
        <w:spacing w:line="360" w:lineRule="auto"/>
        <w:ind w:firstLine="210" w:firstLineChars="10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四、各行业划型标准为：</w:t>
      </w:r>
    </w:p>
    <w:p w14:paraId="46D03811">
      <w:pPr>
        <w:spacing w:line="360" w:lineRule="auto"/>
        <w:ind w:firstLine="210" w:firstLineChars="10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（一）农、林、牧、渔业。营业收入</w:t>
      </w:r>
      <w:r>
        <w:rPr>
          <w:rFonts w:hint="eastAsia" w:asciiTheme="majorEastAsia" w:hAnsiTheme="majorEastAsia" w:eastAsiaTheme="majorEastAsia" w:cstheme="majorEastAsia"/>
          <w:color w:val="auto"/>
          <w:kern w:val="2"/>
          <w:sz w:val="21"/>
          <w:szCs w:val="21"/>
          <w:highlight w:val="none"/>
          <w:lang w:val="en-US" w:bidi="ar-SA"/>
        </w:rPr>
        <w:t>20000</w:t>
      </w:r>
      <w:r>
        <w:rPr>
          <w:rFonts w:hint="eastAsia" w:ascii="宋体" w:hAnsi="宋体" w:eastAsia="宋体" w:cs="宋体"/>
          <w:color w:val="auto"/>
          <w:kern w:val="2"/>
          <w:sz w:val="21"/>
          <w:szCs w:val="21"/>
          <w:highlight w:val="none"/>
          <w:lang w:val="en-US" w:bidi="ar-SA"/>
        </w:rPr>
        <w:t>万元以下的为中小微型企业。其中，营业收入</w:t>
      </w:r>
      <w:r>
        <w:rPr>
          <w:rFonts w:hint="eastAsia" w:asciiTheme="majorEastAsia" w:hAnsiTheme="majorEastAsia" w:eastAsiaTheme="majorEastAsia" w:cstheme="majorEastAsia"/>
          <w:color w:val="auto"/>
          <w:kern w:val="2"/>
          <w:sz w:val="21"/>
          <w:szCs w:val="21"/>
          <w:highlight w:val="none"/>
          <w:lang w:val="en-US" w:bidi="ar-SA"/>
        </w:rPr>
        <w:t>500</w:t>
      </w:r>
      <w:r>
        <w:rPr>
          <w:rFonts w:hint="eastAsia" w:ascii="宋体" w:hAnsi="宋体" w:eastAsia="宋体" w:cs="宋体"/>
          <w:color w:val="auto"/>
          <w:kern w:val="2"/>
          <w:sz w:val="21"/>
          <w:szCs w:val="21"/>
          <w:highlight w:val="none"/>
          <w:lang w:val="en-US" w:bidi="ar-SA"/>
        </w:rPr>
        <w:t>万元及以上的为中型企业，营业收入</w:t>
      </w:r>
      <w:r>
        <w:rPr>
          <w:rFonts w:hint="eastAsia" w:asciiTheme="majorEastAsia" w:hAnsiTheme="majorEastAsia" w:eastAsiaTheme="majorEastAsia" w:cstheme="majorEastAsia"/>
          <w:color w:val="auto"/>
          <w:kern w:val="2"/>
          <w:sz w:val="21"/>
          <w:szCs w:val="21"/>
          <w:highlight w:val="none"/>
          <w:lang w:val="en-US" w:bidi="ar-SA"/>
        </w:rPr>
        <w:t>50</w:t>
      </w:r>
      <w:r>
        <w:rPr>
          <w:rFonts w:hint="eastAsia" w:ascii="宋体" w:hAnsi="宋体" w:eastAsia="宋体" w:cs="宋体"/>
          <w:color w:val="auto"/>
          <w:kern w:val="2"/>
          <w:sz w:val="21"/>
          <w:szCs w:val="21"/>
          <w:highlight w:val="none"/>
          <w:lang w:val="en-US" w:bidi="ar-SA"/>
        </w:rPr>
        <w:t>万元及以上的为小型企业，营业收入</w:t>
      </w:r>
      <w:r>
        <w:rPr>
          <w:rFonts w:hint="eastAsia" w:asciiTheme="majorEastAsia" w:hAnsiTheme="majorEastAsia" w:eastAsiaTheme="majorEastAsia" w:cstheme="majorEastAsia"/>
          <w:color w:val="auto"/>
          <w:kern w:val="2"/>
          <w:sz w:val="21"/>
          <w:szCs w:val="21"/>
          <w:highlight w:val="none"/>
          <w:lang w:val="en-US" w:bidi="ar-SA"/>
        </w:rPr>
        <w:t>50</w:t>
      </w:r>
      <w:r>
        <w:rPr>
          <w:rFonts w:hint="eastAsia" w:ascii="宋体" w:hAnsi="宋体" w:eastAsia="宋体" w:cs="宋体"/>
          <w:color w:val="auto"/>
          <w:kern w:val="2"/>
          <w:sz w:val="21"/>
          <w:szCs w:val="21"/>
          <w:highlight w:val="none"/>
          <w:lang w:val="en-US" w:bidi="ar-SA"/>
        </w:rPr>
        <w:t>万元以下的为微型企业。</w:t>
      </w:r>
    </w:p>
    <w:p w14:paraId="34DF4465">
      <w:pPr>
        <w:spacing w:line="360" w:lineRule="auto"/>
        <w:ind w:firstLine="210" w:firstLineChars="10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（二）工业。从业人员</w:t>
      </w:r>
      <w:r>
        <w:rPr>
          <w:rFonts w:hint="eastAsia" w:asciiTheme="majorEastAsia" w:hAnsiTheme="majorEastAsia" w:eastAsiaTheme="majorEastAsia" w:cstheme="majorEastAsia"/>
          <w:color w:val="auto"/>
          <w:kern w:val="2"/>
          <w:sz w:val="21"/>
          <w:szCs w:val="21"/>
          <w:highlight w:val="none"/>
          <w:lang w:val="en-US" w:bidi="ar-SA"/>
        </w:rPr>
        <w:t>1000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40000</w:t>
      </w:r>
      <w:r>
        <w:rPr>
          <w:rFonts w:hint="eastAsia" w:ascii="宋体" w:hAnsi="宋体" w:eastAsia="宋体" w:cs="宋体"/>
          <w:color w:val="auto"/>
          <w:kern w:val="2"/>
          <w:sz w:val="21"/>
          <w:szCs w:val="21"/>
          <w:highlight w:val="none"/>
          <w:lang w:val="en-US" w:bidi="ar-SA"/>
        </w:rPr>
        <w:t>万元以下的为中小微型企业。其中，从业人员</w:t>
      </w:r>
      <w:r>
        <w:rPr>
          <w:rFonts w:hint="eastAsia" w:asciiTheme="majorEastAsia" w:hAnsiTheme="majorEastAsia" w:eastAsiaTheme="majorEastAsia" w:cstheme="majorEastAsia"/>
          <w:color w:val="auto"/>
          <w:kern w:val="2"/>
          <w:sz w:val="21"/>
          <w:szCs w:val="21"/>
          <w:highlight w:val="none"/>
          <w:lang w:val="en-US" w:bidi="ar-SA"/>
        </w:rPr>
        <w:t>300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2000</w:t>
      </w:r>
      <w:r>
        <w:rPr>
          <w:rFonts w:hint="eastAsia" w:ascii="宋体" w:hAnsi="宋体" w:eastAsia="宋体" w:cs="宋体"/>
          <w:color w:val="auto"/>
          <w:kern w:val="2"/>
          <w:sz w:val="21"/>
          <w:szCs w:val="21"/>
          <w:highlight w:val="none"/>
          <w:lang w:val="en-US" w:bidi="ar-SA"/>
        </w:rPr>
        <w:t>万元及以上的为中型企业；从业人员</w:t>
      </w:r>
      <w:r>
        <w:rPr>
          <w:rFonts w:hint="eastAsia" w:asciiTheme="majorEastAsia" w:hAnsiTheme="majorEastAsia" w:eastAsiaTheme="majorEastAsia" w:cstheme="majorEastAsia"/>
          <w:color w:val="auto"/>
          <w:kern w:val="2"/>
          <w:sz w:val="21"/>
          <w:szCs w:val="21"/>
          <w:highlight w:val="none"/>
          <w:lang w:val="en-US" w:bidi="ar-SA"/>
        </w:rPr>
        <w:t>20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300</w:t>
      </w:r>
      <w:r>
        <w:rPr>
          <w:rFonts w:hint="eastAsia" w:ascii="宋体" w:hAnsi="宋体" w:eastAsia="宋体" w:cs="宋体"/>
          <w:color w:val="auto"/>
          <w:kern w:val="2"/>
          <w:sz w:val="21"/>
          <w:szCs w:val="21"/>
          <w:highlight w:val="none"/>
          <w:lang w:val="en-US" w:bidi="ar-SA"/>
        </w:rPr>
        <w:t>万元及以上的为小型企业；从业人员</w:t>
      </w:r>
      <w:r>
        <w:rPr>
          <w:rFonts w:hint="eastAsia" w:asciiTheme="majorEastAsia" w:hAnsiTheme="majorEastAsia" w:eastAsiaTheme="majorEastAsia" w:cstheme="majorEastAsia"/>
          <w:color w:val="auto"/>
          <w:kern w:val="2"/>
          <w:sz w:val="21"/>
          <w:szCs w:val="21"/>
          <w:highlight w:val="none"/>
          <w:lang w:val="en-US" w:bidi="ar-SA"/>
        </w:rPr>
        <w:t>20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300</w:t>
      </w:r>
      <w:r>
        <w:rPr>
          <w:rFonts w:hint="eastAsia" w:ascii="宋体" w:hAnsi="宋体" w:eastAsia="宋体" w:cs="宋体"/>
          <w:color w:val="auto"/>
          <w:kern w:val="2"/>
          <w:sz w:val="21"/>
          <w:szCs w:val="21"/>
          <w:highlight w:val="none"/>
          <w:lang w:val="en-US" w:bidi="ar-SA"/>
        </w:rPr>
        <w:t>万元以下的为微型企业。</w:t>
      </w:r>
    </w:p>
    <w:p w14:paraId="36E25BCF">
      <w:pPr>
        <w:spacing w:line="360" w:lineRule="auto"/>
        <w:ind w:firstLine="210" w:firstLineChars="10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（三）建筑业。营业收入</w:t>
      </w:r>
      <w:r>
        <w:rPr>
          <w:rFonts w:hint="eastAsia" w:asciiTheme="majorEastAsia" w:hAnsiTheme="majorEastAsia" w:eastAsiaTheme="majorEastAsia" w:cstheme="majorEastAsia"/>
          <w:color w:val="auto"/>
          <w:kern w:val="2"/>
          <w:sz w:val="21"/>
          <w:szCs w:val="21"/>
          <w:highlight w:val="none"/>
          <w:lang w:val="en-US" w:bidi="ar-SA"/>
        </w:rPr>
        <w:t>80000</w:t>
      </w:r>
      <w:r>
        <w:rPr>
          <w:rFonts w:hint="eastAsia" w:ascii="宋体" w:hAnsi="宋体" w:eastAsia="宋体" w:cs="宋体"/>
          <w:color w:val="auto"/>
          <w:kern w:val="2"/>
          <w:sz w:val="21"/>
          <w:szCs w:val="21"/>
          <w:highlight w:val="none"/>
          <w:lang w:val="en-US" w:bidi="ar-SA"/>
        </w:rPr>
        <w:t>万元以下或资产总额</w:t>
      </w:r>
      <w:r>
        <w:rPr>
          <w:rFonts w:hint="eastAsia" w:asciiTheme="majorEastAsia" w:hAnsiTheme="majorEastAsia" w:eastAsiaTheme="majorEastAsia" w:cstheme="majorEastAsia"/>
          <w:color w:val="auto"/>
          <w:kern w:val="2"/>
          <w:sz w:val="21"/>
          <w:szCs w:val="21"/>
          <w:highlight w:val="none"/>
          <w:lang w:val="en-US" w:bidi="ar-SA"/>
        </w:rPr>
        <w:t>80000</w:t>
      </w:r>
      <w:r>
        <w:rPr>
          <w:rFonts w:hint="eastAsia" w:ascii="宋体" w:hAnsi="宋体" w:eastAsia="宋体" w:cs="宋体"/>
          <w:color w:val="auto"/>
          <w:kern w:val="2"/>
          <w:sz w:val="21"/>
          <w:szCs w:val="21"/>
          <w:highlight w:val="none"/>
          <w:lang w:val="en-US" w:bidi="ar-SA"/>
        </w:rPr>
        <w:t>万元以下的为中小微型企业。其中，营业收入</w:t>
      </w:r>
      <w:r>
        <w:rPr>
          <w:rFonts w:hint="eastAsia" w:asciiTheme="majorEastAsia" w:hAnsiTheme="majorEastAsia" w:eastAsiaTheme="majorEastAsia" w:cstheme="majorEastAsia"/>
          <w:color w:val="auto"/>
          <w:kern w:val="2"/>
          <w:sz w:val="21"/>
          <w:szCs w:val="21"/>
          <w:highlight w:val="none"/>
          <w:lang w:val="en-US" w:bidi="ar-SA"/>
        </w:rPr>
        <w:t>6000</w:t>
      </w:r>
      <w:r>
        <w:rPr>
          <w:rFonts w:hint="eastAsia" w:ascii="宋体" w:hAnsi="宋体" w:eastAsia="宋体" w:cs="宋体"/>
          <w:color w:val="auto"/>
          <w:kern w:val="2"/>
          <w:sz w:val="21"/>
          <w:szCs w:val="21"/>
          <w:highlight w:val="none"/>
          <w:lang w:val="en-US" w:bidi="ar-SA"/>
        </w:rPr>
        <w:t>万元及以上，且资产总额</w:t>
      </w:r>
      <w:r>
        <w:rPr>
          <w:rFonts w:hint="eastAsia" w:asciiTheme="majorEastAsia" w:hAnsiTheme="majorEastAsia" w:eastAsiaTheme="majorEastAsia" w:cstheme="majorEastAsia"/>
          <w:color w:val="auto"/>
          <w:kern w:val="2"/>
          <w:sz w:val="21"/>
          <w:szCs w:val="21"/>
          <w:highlight w:val="none"/>
          <w:lang w:val="en-US" w:bidi="ar-SA"/>
        </w:rPr>
        <w:t>5000</w:t>
      </w:r>
      <w:r>
        <w:rPr>
          <w:rFonts w:hint="eastAsia" w:ascii="宋体" w:hAnsi="宋体" w:eastAsia="宋体" w:cs="宋体"/>
          <w:color w:val="auto"/>
          <w:kern w:val="2"/>
          <w:sz w:val="21"/>
          <w:szCs w:val="21"/>
          <w:highlight w:val="none"/>
          <w:lang w:val="en-US" w:bidi="ar-SA"/>
        </w:rPr>
        <w:t>万元及以上的为中型企业；营业收入</w:t>
      </w:r>
      <w:r>
        <w:rPr>
          <w:rFonts w:hint="eastAsia" w:asciiTheme="majorEastAsia" w:hAnsiTheme="majorEastAsia" w:eastAsiaTheme="majorEastAsia" w:cstheme="majorEastAsia"/>
          <w:color w:val="auto"/>
          <w:kern w:val="2"/>
          <w:sz w:val="21"/>
          <w:szCs w:val="21"/>
          <w:highlight w:val="none"/>
          <w:lang w:val="en-US" w:bidi="ar-SA"/>
        </w:rPr>
        <w:t>300</w:t>
      </w:r>
      <w:r>
        <w:rPr>
          <w:rFonts w:hint="eastAsia" w:ascii="宋体" w:hAnsi="宋体" w:eastAsia="宋体" w:cs="宋体"/>
          <w:color w:val="auto"/>
          <w:kern w:val="2"/>
          <w:sz w:val="21"/>
          <w:szCs w:val="21"/>
          <w:highlight w:val="none"/>
          <w:lang w:val="en-US" w:bidi="ar-SA"/>
        </w:rPr>
        <w:t>万元及以上，且资产总额</w:t>
      </w:r>
      <w:r>
        <w:rPr>
          <w:rFonts w:hint="eastAsia" w:asciiTheme="majorEastAsia" w:hAnsiTheme="majorEastAsia" w:eastAsiaTheme="majorEastAsia" w:cstheme="majorEastAsia"/>
          <w:color w:val="auto"/>
          <w:kern w:val="2"/>
          <w:sz w:val="21"/>
          <w:szCs w:val="21"/>
          <w:highlight w:val="none"/>
          <w:lang w:val="en-US" w:bidi="ar-SA"/>
        </w:rPr>
        <w:t>300</w:t>
      </w:r>
      <w:r>
        <w:rPr>
          <w:rFonts w:hint="eastAsia" w:ascii="宋体" w:hAnsi="宋体" w:eastAsia="宋体" w:cs="宋体"/>
          <w:color w:val="auto"/>
          <w:kern w:val="2"/>
          <w:sz w:val="21"/>
          <w:szCs w:val="21"/>
          <w:highlight w:val="none"/>
          <w:lang w:val="en-US" w:bidi="ar-SA"/>
        </w:rPr>
        <w:t>万元及以上的为小型企业；营业收入</w:t>
      </w:r>
      <w:r>
        <w:rPr>
          <w:rFonts w:hint="eastAsia" w:asciiTheme="majorEastAsia" w:hAnsiTheme="majorEastAsia" w:eastAsiaTheme="majorEastAsia" w:cstheme="majorEastAsia"/>
          <w:color w:val="auto"/>
          <w:kern w:val="2"/>
          <w:sz w:val="21"/>
          <w:szCs w:val="21"/>
          <w:highlight w:val="none"/>
          <w:lang w:val="en-US" w:bidi="ar-SA"/>
        </w:rPr>
        <w:t>300</w:t>
      </w:r>
      <w:r>
        <w:rPr>
          <w:rFonts w:hint="eastAsia" w:ascii="宋体" w:hAnsi="宋体" w:eastAsia="宋体" w:cs="宋体"/>
          <w:color w:val="auto"/>
          <w:kern w:val="2"/>
          <w:sz w:val="21"/>
          <w:szCs w:val="21"/>
          <w:highlight w:val="none"/>
          <w:lang w:val="en-US" w:bidi="ar-SA"/>
        </w:rPr>
        <w:t>万元以下或资产总额</w:t>
      </w:r>
      <w:r>
        <w:rPr>
          <w:rFonts w:hint="eastAsia" w:asciiTheme="majorEastAsia" w:hAnsiTheme="majorEastAsia" w:eastAsiaTheme="majorEastAsia" w:cstheme="majorEastAsia"/>
          <w:color w:val="auto"/>
          <w:kern w:val="2"/>
          <w:sz w:val="21"/>
          <w:szCs w:val="21"/>
          <w:highlight w:val="none"/>
          <w:lang w:val="en-US" w:bidi="ar-SA"/>
        </w:rPr>
        <w:t>300</w:t>
      </w:r>
      <w:r>
        <w:rPr>
          <w:rFonts w:hint="eastAsia" w:ascii="宋体" w:hAnsi="宋体" w:eastAsia="宋体" w:cs="宋体"/>
          <w:color w:val="auto"/>
          <w:kern w:val="2"/>
          <w:sz w:val="21"/>
          <w:szCs w:val="21"/>
          <w:highlight w:val="none"/>
          <w:lang w:val="en-US" w:bidi="ar-SA"/>
        </w:rPr>
        <w:t>万元以下的为微型企业。</w:t>
      </w:r>
    </w:p>
    <w:p w14:paraId="3C7B2414">
      <w:pPr>
        <w:spacing w:line="360" w:lineRule="auto"/>
        <w:ind w:firstLine="210" w:firstLineChars="10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（四）批发业。从业人员</w:t>
      </w:r>
      <w:r>
        <w:rPr>
          <w:rFonts w:hint="eastAsia" w:asciiTheme="majorEastAsia" w:hAnsiTheme="majorEastAsia" w:eastAsiaTheme="majorEastAsia" w:cstheme="majorEastAsia"/>
          <w:color w:val="auto"/>
          <w:kern w:val="2"/>
          <w:sz w:val="21"/>
          <w:szCs w:val="21"/>
          <w:highlight w:val="none"/>
          <w:lang w:val="en-US" w:bidi="ar-SA"/>
        </w:rPr>
        <w:t>200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40000</w:t>
      </w:r>
      <w:r>
        <w:rPr>
          <w:rFonts w:hint="eastAsia" w:ascii="宋体" w:hAnsi="宋体" w:eastAsia="宋体" w:cs="宋体"/>
          <w:color w:val="auto"/>
          <w:kern w:val="2"/>
          <w:sz w:val="21"/>
          <w:szCs w:val="21"/>
          <w:highlight w:val="none"/>
          <w:lang w:val="en-US" w:bidi="ar-SA"/>
        </w:rPr>
        <w:t>万元以下的为中小微型企业。其中，从业人员</w:t>
      </w:r>
      <w:r>
        <w:rPr>
          <w:rFonts w:hint="eastAsia" w:asciiTheme="majorEastAsia" w:hAnsiTheme="majorEastAsia" w:eastAsiaTheme="majorEastAsia" w:cstheme="majorEastAsia"/>
          <w:color w:val="auto"/>
          <w:kern w:val="2"/>
          <w:sz w:val="21"/>
          <w:szCs w:val="21"/>
          <w:highlight w:val="none"/>
          <w:lang w:val="en-US" w:bidi="ar-SA"/>
        </w:rPr>
        <w:t>20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5000</w:t>
      </w:r>
      <w:r>
        <w:rPr>
          <w:rFonts w:hint="eastAsia" w:ascii="宋体" w:hAnsi="宋体" w:eastAsia="宋体" w:cs="宋体"/>
          <w:color w:val="auto"/>
          <w:kern w:val="2"/>
          <w:sz w:val="21"/>
          <w:szCs w:val="21"/>
          <w:highlight w:val="none"/>
          <w:lang w:val="en-US" w:bidi="ar-SA"/>
        </w:rPr>
        <w:t>万元及以上的为中型企业；从业人员</w:t>
      </w:r>
      <w:r>
        <w:rPr>
          <w:rFonts w:hint="eastAsia" w:asciiTheme="majorEastAsia" w:hAnsiTheme="majorEastAsia" w:eastAsiaTheme="majorEastAsia" w:cstheme="majorEastAsia"/>
          <w:color w:val="auto"/>
          <w:kern w:val="2"/>
          <w:sz w:val="21"/>
          <w:szCs w:val="21"/>
          <w:highlight w:val="none"/>
          <w:lang w:val="en-US" w:bidi="ar-SA"/>
        </w:rPr>
        <w:t>5</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1000</w:t>
      </w:r>
      <w:r>
        <w:rPr>
          <w:rFonts w:hint="eastAsia" w:ascii="宋体" w:hAnsi="宋体" w:eastAsia="宋体" w:cs="宋体"/>
          <w:color w:val="auto"/>
          <w:kern w:val="2"/>
          <w:sz w:val="21"/>
          <w:szCs w:val="21"/>
          <w:highlight w:val="none"/>
          <w:lang w:val="en-US" w:bidi="ar-SA"/>
        </w:rPr>
        <w:t>万元及以上的为小型企业；从业人员</w:t>
      </w:r>
      <w:r>
        <w:rPr>
          <w:rFonts w:hint="eastAsia" w:asciiTheme="majorEastAsia" w:hAnsiTheme="majorEastAsia" w:eastAsiaTheme="majorEastAsia" w:cstheme="majorEastAsia"/>
          <w:color w:val="auto"/>
          <w:kern w:val="2"/>
          <w:sz w:val="21"/>
          <w:szCs w:val="21"/>
          <w:highlight w:val="none"/>
          <w:lang w:val="en-US" w:bidi="ar-SA"/>
        </w:rPr>
        <w:t>5</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1000</w:t>
      </w:r>
      <w:r>
        <w:rPr>
          <w:rFonts w:hint="eastAsia" w:ascii="宋体" w:hAnsi="宋体" w:eastAsia="宋体" w:cs="宋体"/>
          <w:color w:val="auto"/>
          <w:kern w:val="2"/>
          <w:sz w:val="21"/>
          <w:szCs w:val="21"/>
          <w:highlight w:val="none"/>
          <w:lang w:val="en-US" w:bidi="ar-SA"/>
        </w:rPr>
        <w:t>万元以下的为微型企业。</w:t>
      </w:r>
    </w:p>
    <w:p w14:paraId="7C96C61E">
      <w:pPr>
        <w:spacing w:line="360" w:lineRule="auto"/>
        <w:ind w:firstLine="210" w:firstLineChars="10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（五）零售业。从业人员</w:t>
      </w:r>
      <w:r>
        <w:rPr>
          <w:rFonts w:hint="eastAsia" w:asciiTheme="majorEastAsia" w:hAnsiTheme="majorEastAsia" w:eastAsiaTheme="majorEastAsia" w:cstheme="majorEastAsia"/>
          <w:color w:val="auto"/>
          <w:kern w:val="2"/>
          <w:sz w:val="21"/>
          <w:szCs w:val="21"/>
          <w:highlight w:val="none"/>
          <w:lang w:val="en-US" w:bidi="ar-SA"/>
        </w:rPr>
        <w:t>300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20000</w:t>
      </w:r>
      <w:r>
        <w:rPr>
          <w:rFonts w:hint="eastAsia" w:ascii="宋体" w:hAnsi="宋体" w:eastAsia="宋体" w:cs="宋体"/>
          <w:color w:val="auto"/>
          <w:kern w:val="2"/>
          <w:sz w:val="21"/>
          <w:szCs w:val="21"/>
          <w:highlight w:val="none"/>
          <w:lang w:val="en-US" w:bidi="ar-SA"/>
        </w:rPr>
        <w:t>万元以下的为中小微型企业。其中，从业人员</w:t>
      </w:r>
      <w:r>
        <w:rPr>
          <w:rFonts w:hint="eastAsia" w:asciiTheme="majorEastAsia" w:hAnsiTheme="majorEastAsia" w:eastAsiaTheme="majorEastAsia" w:cstheme="majorEastAsia"/>
          <w:color w:val="auto"/>
          <w:kern w:val="2"/>
          <w:sz w:val="21"/>
          <w:szCs w:val="21"/>
          <w:highlight w:val="none"/>
          <w:lang w:val="en-US" w:bidi="ar-SA"/>
        </w:rPr>
        <w:t>50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500</w:t>
      </w:r>
      <w:r>
        <w:rPr>
          <w:rFonts w:hint="eastAsia" w:ascii="宋体" w:hAnsi="宋体" w:eastAsia="宋体" w:cs="宋体"/>
          <w:color w:val="auto"/>
          <w:kern w:val="2"/>
          <w:sz w:val="21"/>
          <w:szCs w:val="21"/>
          <w:highlight w:val="none"/>
          <w:lang w:val="en-US" w:bidi="ar-SA"/>
        </w:rPr>
        <w:t>万元及以上的为中型企业；从业人员</w:t>
      </w:r>
      <w:r>
        <w:rPr>
          <w:rFonts w:hint="eastAsia" w:asciiTheme="majorEastAsia" w:hAnsiTheme="majorEastAsia" w:eastAsiaTheme="majorEastAsia" w:cstheme="majorEastAsia"/>
          <w:color w:val="auto"/>
          <w:kern w:val="2"/>
          <w:sz w:val="21"/>
          <w:szCs w:val="21"/>
          <w:highlight w:val="none"/>
          <w:lang w:val="en-US" w:bidi="ar-SA"/>
        </w:rPr>
        <w:t>10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万元及以上的为小型企业；从业人员</w:t>
      </w:r>
      <w:r>
        <w:rPr>
          <w:rFonts w:hint="eastAsia" w:asciiTheme="majorEastAsia" w:hAnsiTheme="majorEastAsia" w:eastAsiaTheme="majorEastAsia" w:cstheme="majorEastAsia"/>
          <w:color w:val="auto"/>
          <w:kern w:val="2"/>
          <w:sz w:val="21"/>
          <w:szCs w:val="21"/>
          <w:highlight w:val="none"/>
          <w:lang w:val="en-US" w:bidi="ar-SA"/>
        </w:rPr>
        <w:t>10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万元以下的为微型企业。</w:t>
      </w:r>
    </w:p>
    <w:p w14:paraId="6D907B1E">
      <w:pPr>
        <w:spacing w:line="360" w:lineRule="auto"/>
        <w:ind w:firstLine="210" w:firstLineChars="100"/>
        <w:rPr>
          <w:rFonts w:ascii="宋体" w:hAnsi="宋体" w:eastAsia="宋体" w:cs="宋体"/>
          <w:b/>
          <w:bCs/>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w:t>
      </w:r>
      <w:r>
        <w:rPr>
          <w:rFonts w:hint="eastAsia" w:ascii="宋体" w:hAnsi="宋体" w:eastAsia="宋体" w:cs="宋体"/>
          <w:b w:val="0"/>
          <w:bCs w:val="0"/>
          <w:color w:val="auto"/>
          <w:kern w:val="2"/>
          <w:sz w:val="21"/>
          <w:szCs w:val="21"/>
          <w:highlight w:val="none"/>
          <w:lang w:val="en-US" w:bidi="ar-SA"/>
        </w:rPr>
        <w:t>　（六）交通运输业。从业人员</w:t>
      </w:r>
      <w:r>
        <w:rPr>
          <w:rFonts w:hint="eastAsia" w:asciiTheme="majorEastAsia" w:hAnsiTheme="majorEastAsia" w:eastAsiaTheme="majorEastAsia" w:cstheme="majorEastAsia"/>
          <w:b w:val="0"/>
          <w:bCs w:val="0"/>
          <w:color w:val="auto"/>
          <w:kern w:val="2"/>
          <w:sz w:val="21"/>
          <w:szCs w:val="21"/>
          <w:highlight w:val="none"/>
          <w:lang w:val="en-US" w:bidi="ar-SA"/>
        </w:rPr>
        <w:t>1000</w:t>
      </w:r>
      <w:r>
        <w:rPr>
          <w:rFonts w:hint="eastAsia" w:ascii="宋体" w:hAnsi="宋体" w:eastAsia="宋体" w:cs="宋体"/>
          <w:b w:val="0"/>
          <w:bCs w:val="0"/>
          <w:color w:val="auto"/>
          <w:kern w:val="2"/>
          <w:sz w:val="21"/>
          <w:szCs w:val="21"/>
          <w:highlight w:val="none"/>
          <w:lang w:val="en-US" w:bidi="ar-SA"/>
        </w:rPr>
        <w:t>人以下或营业收入</w:t>
      </w:r>
      <w:r>
        <w:rPr>
          <w:rFonts w:hint="eastAsia" w:asciiTheme="majorEastAsia" w:hAnsiTheme="majorEastAsia" w:eastAsiaTheme="majorEastAsia" w:cstheme="majorEastAsia"/>
          <w:b w:val="0"/>
          <w:bCs w:val="0"/>
          <w:color w:val="auto"/>
          <w:kern w:val="2"/>
          <w:sz w:val="21"/>
          <w:szCs w:val="21"/>
          <w:highlight w:val="none"/>
          <w:lang w:val="en-US" w:bidi="ar-SA"/>
        </w:rPr>
        <w:t>30000</w:t>
      </w:r>
      <w:r>
        <w:rPr>
          <w:rFonts w:hint="eastAsia" w:ascii="宋体" w:hAnsi="宋体" w:eastAsia="宋体" w:cs="宋体"/>
          <w:b w:val="0"/>
          <w:bCs w:val="0"/>
          <w:color w:val="auto"/>
          <w:kern w:val="2"/>
          <w:sz w:val="21"/>
          <w:szCs w:val="21"/>
          <w:highlight w:val="none"/>
          <w:lang w:val="en-US" w:bidi="ar-SA"/>
        </w:rPr>
        <w:t>万元以下的为中小微型企业。其中，从业人员</w:t>
      </w:r>
      <w:r>
        <w:rPr>
          <w:rFonts w:hint="eastAsia" w:asciiTheme="majorEastAsia" w:hAnsiTheme="majorEastAsia" w:eastAsiaTheme="majorEastAsia" w:cstheme="majorEastAsia"/>
          <w:b w:val="0"/>
          <w:bCs w:val="0"/>
          <w:color w:val="auto"/>
          <w:kern w:val="2"/>
          <w:sz w:val="21"/>
          <w:szCs w:val="21"/>
          <w:highlight w:val="none"/>
          <w:lang w:val="en-US" w:bidi="ar-SA"/>
        </w:rPr>
        <w:t>300</w:t>
      </w:r>
      <w:r>
        <w:rPr>
          <w:rFonts w:hint="eastAsia" w:ascii="宋体" w:hAnsi="宋体" w:eastAsia="宋体" w:cs="宋体"/>
          <w:b w:val="0"/>
          <w:bCs w:val="0"/>
          <w:color w:val="auto"/>
          <w:kern w:val="2"/>
          <w:sz w:val="21"/>
          <w:szCs w:val="21"/>
          <w:highlight w:val="none"/>
          <w:lang w:val="en-US" w:bidi="ar-SA"/>
        </w:rPr>
        <w:t>人及以上，且营业收入</w:t>
      </w:r>
      <w:r>
        <w:rPr>
          <w:rFonts w:hint="eastAsia" w:asciiTheme="majorEastAsia" w:hAnsiTheme="majorEastAsia" w:eastAsiaTheme="majorEastAsia" w:cstheme="majorEastAsia"/>
          <w:b w:val="0"/>
          <w:bCs w:val="0"/>
          <w:color w:val="auto"/>
          <w:kern w:val="2"/>
          <w:sz w:val="21"/>
          <w:szCs w:val="21"/>
          <w:highlight w:val="none"/>
          <w:lang w:val="en-US" w:bidi="ar-SA"/>
        </w:rPr>
        <w:t>3000</w:t>
      </w:r>
      <w:r>
        <w:rPr>
          <w:rFonts w:hint="eastAsia" w:ascii="宋体" w:hAnsi="宋体" w:eastAsia="宋体" w:cs="宋体"/>
          <w:b w:val="0"/>
          <w:bCs w:val="0"/>
          <w:color w:val="auto"/>
          <w:kern w:val="2"/>
          <w:sz w:val="21"/>
          <w:szCs w:val="21"/>
          <w:highlight w:val="none"/>
          <w:lang w:val="en-US" w:bidi="ar-SA"/>
        </w:rPr>
        <w:t>万元及以上的为中型企业；从业人员</w:t>
      </w:r>
      <w:r>
        <w:rPr>
          <w:rFonts w:hint="eastAsia" w:asciiTheme="majorEastAsia" w:hAnsiTheme="majorEastAsia" w:eastAsiaTheme="majorEastAsia" w:cstheme="majorEastAsia"/>
          <w:b w:val="0"/>
          <w:bCs w:val="0"/>
          <w:color w:val="auto"/>
          <w:kern w:val="2"/>
          <w:sz w:val="21"/>
          <w:szCs w:val="21"/>
          <w:highlight w:val="none"/>
          <w:lang w:val="en-US" w:bidi="ar-SA"/>
        </w:rPr>
        <w:t>20</w:t>
      </w:r>
      <w:r>
        <w:rPr>
          <w:rFonts w:hint="eastAsia" w:ascii="宋体" w:hAnsi="宋体" w:eastAsia="宋体" w:cs="宋体"/>
          <w:b w:val="0"/>
          <w:bCs w:val="0"/>
          <w:color w:val="auto"/>
          <w:kern w:val="2"/>
          <w:sz w:val="21"/>
          <w:szCs w:val="21"/>
          <w:highlight w:val="none"/>
          <w:lang w:val="en-US" w:bidi="ar-SA"/>
        </w:rPr>
        <w:t>人及以上，且营业收入</w:t>
      </w:r>
      <w:r>
        <w:rPr>
          <w:rFonts w:hint="eastAsia" w:asciiTheme="majorEastAsia" w:hAnsiTheme="majorEastAsia" w:eastAsiaTheme="majorEastAsia" w:cstheme="majorEastAsia"/>
          <w:b w:val="0"/>
          <w:bCs w:val="0"/>
          <w:color w:val="auto"/>
          <w:kern w:val="2"/>
          <w:sz w:val="21"/>
          <w:szCs w:val="21"/>
          <w:highlight w:val="none"/>
          <w:lang w:val="en-US" w:bidi="ar-SA"/>
        </w:rPr>
        <w:t>200</w:t>
      </w:r>
      <w:r>
        <w:rPr>
          <w:rFonts w:hint="eastAsia" w:ascii="宋体" w:hAnsi="宋体" w:eastAsia="宋体" w:cs="宋体"/>
          <w:b w:val="0"/>
          <w:bCs w:val="0"/>
          <w:color w:val="auto"/>
          <w:kern w:val="2"/>
          <w:sz w:val="21"/>
          <w:szCs w:val="21"/>
          <w:highlight w:val="none"/>
          <w:lang w:val="en-US" w:bidi="ar-SA"/>
        </w:rPr>
        <w:t>万元及以上的为小型企业；从业人员</w:t>
      </w:r>
      <w:r>
        <w:rPr>
          <w:rFonts w:hint="eastAsia" w:asciiTheme="majorEastAsia" w:hAnsiTheme="majorEastAsia" w:eastAsiaTheme="majorEastAsia" w:cstheme="majorEastAsia"/>
          <w:b w:val="0"/>
          <w:bCs w:val="0"/>
          <w:color w:val="auto"/>
          <w:kern w:val="2"/>
          <w:sz w:val="21"/>
          <w:szCs w:val="21"/>
          <w:highlight w:val="none"/>
          <w:lang w:val="en-US" w:bidi="ar-SA"/>
        </w:rPr>
        <w:t>20</w:t>
      </w:r>
      <w:r>
        <w:rPr>
          <w:rFonts w:hint="eastAsia" w:ascii="宋体" w:hAnsi="宋体" w:eastAsia="宋体" w:cs="宋体"/>
          <w:b w:val="0"/>
          <w:bCs w:val="0"/>
          <w:color w:val="auto"/>
          <w:kern w:val="2"/>
          <w:sz w:val="21"/>
          <w:szCs w:val="21"/>
          <w:highlight w:val="none"/>
          <w:lang w:val="en-US" w:bidi="ar-SA"/>
        </w:rPr>
        <w:t>人以下或营业收入</w:t>
      </w:r>
      <w:r>
        <w:rPr>
          <w:rFonts w:hint="eastAsia" w:asciiTheme="majorEastAsia" w:hAnsiTheme="majorEastAsia" w:eastAsiaTheme="majorEastAsia" w:cstheme="majorEastAsia"/>
          <w:b w:val="0"/>
          <w:bCs w:val="0"/>
          <w:color w:val="auto"/>
          <w:kern w:val="2"/>
          <w:sz w:val="21"/>
          <w:szCs w:val="21"/>
          <w:highlight w:val="none"/>
          <w:lang w:val="en-US" w:bidi="ar-SA"/>
        </w:rPr>
        <w:t>200</w:t>
      </w:r>
      <w:r>
        <w:rPr>
          <w:rFonts w:hint="eastAsia" w:ascii="宋体" w:hAnsi="宋体" w:eastAsia="宋体" w:cs="宋体"/>
          <w:b w:val="0"/>
          <w:bCs w:val="0"/>
          <w:color w:val="auto"/>
          <w:kern w:val="2"/>
          <w:sz w:val="21"/>
          <w:szCs w:val="21"/>
          <w:highlight w:val="none"/>
          <w:lang w:val="en-US" w:bidi="ar-SA"/>
        </w:rPr>
        <w:t>万元以下的为微型企业。</w:t>
      </w:r>
    </w:p>
    <w:p w14:paraId="1439AAA8">
      <w:pPr>
        <w:spacing w:line="360" w:lineRule="auto"/>
        <w:ind w:firstLine="210" w:firstLineChars="10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（七）仓储业。从业人员</w:t>
      </w:r>
      <w:r>
        <w:rPr>
          <w:rFonts w:hint="eastAsia" w:asciiTheme="majorEastAsia" w:hAnsiTheme="majorEastAsia" w:eastAsiaTheme="majorEastAsia" w:cstheme="majorEastAsia"/>
          <w:color w:val="auto"/>
          <w:kern w:val="2"/>
          <w:sz w:val="21"/>
          <w:szCs w:val="21"/>
          <w:highlight w:val="none"/>
          <w:lang w:val="en-US" w:bidi="ar-SA"/>
        </w:rPr>
        <w:t>200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30000</w:t>
      </w:r>
      <w:r>
        <w:rPr>
          <w:rFonts w:hint="eastAsia" w:ascii="宋体" w:hAnsi="宋体" w:eastAsia="宋体" w:cs="宋体"/>
          <w:color w:val="auto"/>
          <w:kern w:val="2"/>
          <w:sz w:val="21"/>
          <w:szCs w:val="21"/>
          <w:highlight w:val="none"/>
          <w:lang w:val="en-US" w:bidi="ar-SA"/>
        </w:rPr>
        <w:t>万元以下的为中小微型企业。其中，从业人员</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1000</w:t>
      </w:r>
      <w:r>
        <w:rPr>
          <w:rFonts w:hint="eastAsia" w:ascii="宋体" w:hAnsi="宋体" w:eastAsia="宋体" w:cs="宋体"/>
          <w:color w:val="auto"/>
          <w:kern w:val="2"/>
          <w:sz w:val="21"/>
          <w:szCs w:val="21"/>
          <w:highlight w:val="none"/>
          <w:lang w:val="en-US" w:bidi="ar-SA"/>
        </w:rPr>
        <w:t>万元及以上的为中型企业；从业人员</w:t>
      </w:r>
      <w:r>
        <w:rPr>
          <w:rFonts w:hint="eastAsia" w:asciiTheme="majorEastAsia" w:hAnsiTheme="majorEastAsia" w:eastAsiaTheme="majorEastAsia" w:cstheme="majorEastAsia"/>
          <w:color w:val="auto"/>
          <w:kern w:val="2"/>
          <w:sz w:val="21"/>
          <w:szCs w:val="21"/>
          <w:highlight w:val="none"/>
          <w:lang w:val="en-US" w:bidi="ar-SA"/>
        </w:rPr>
        <w:t>20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万元及以上的为小型企业；从业人员</w:t>
      </w:r>
      <w:r>
        <w:rPr>
          <w:rFonts w:hint="eastAsia" w:asciiTheme="majorEastAsia" w:hAnsiTheme="majorEastAsia" w:eastAsiaTheme="majorEastAsia" w:cstheme="majorEastAsia"/>
          <w:color w:val="auto"/>
          <w:kern w:val="2"/>
          <w:sz w:val="21"/>
          <w:szCs w:val="21"/>
          <w:highlight w:val="none"/>
          <w:lang w:val="en-US" w:bidi="ar-SA"/>
        </w:rPr>
        <w:t>20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万元以下的为微型企业。</w:t>
      </w:r>
    </w:p>
    <w:p w14:paraId="7DB16256">
      <w:pPr>
        <w:spacing w:line="360" w:lineRule="auto"/>
        <w:ind w:firstLine="210" w:firstLineChars="10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（八）邮政业。从业人员</w:t>
      </w:r>
      <w:r>
        <w:rPr>
          <w:rFonts w:hint="eastAsia" w:asciiTheme="majorEastAsia" w:hAnsiTheme="majorEastAsia" w:eastAsiaTheme="majorEastAsia" w:cstheme="majorEastAsia"/>
          <w:color w:val="auto"/>
          <w:kern w:val="2"/>
          <w:sz w:val="21"/>
          <w:szCs w:val="21"/>
          <w:highlight w:val="none"/>
          <w:lang w:val="en-US" w:bidi="ar-SA"/>
        </w:rPr>
        <w:t>1000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30000</w:t>
      </w:r>
      <w:r>
        <w:rPr>
          <w:rFonts w:hint="eastAsia" w:ascii="宋体" w:hAnsi="宋体" w:eastAsia="宋体" w:cs="宋体"/>
          <w:color w:val="auto"/>
          <w:kern w:val="2"/>
          <w:sz w:val="21"/>
          <w:szCs w:val="21"/>
          <w:highlight w:val="none"/>
          <w:lang w:val="en-US" w:bidi="ar-SA"/>
        </w:rPr>
        <w:t>万元以下的为中小微型企业。其中，从业人员</w:t>
      </w:r>
      <w:r>
        <w:rPr>
          <w:rFonts w:hint="eastAsia" w:asciiTheme="majorEastAsia" w:hAnsiTheme="majorEastAsia" w:eastAsiaTheme="majorEastAsia" w:cstheme="majorEastAsia"/>
          <w:color w:val="auto"/>
          <w:kern w:val="2"/>
          <w:sz w:val="21"/>
          <w:szCs w:val="21"/>
          <w:highlight w:val="none"/>
          <w:lang w:val="en-US" w:bidi="ar-SA"/>
        </w:rPr>
        <w:t>300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2000</w:t>
      </w:r>
      <w:r>
        <w:rPr>
          <w:rFonts w:hint="eastAsia" w:ascii="宋体" w:hAnsi="宋体" w:eastAsia="宋体" w:cs="宋体"/>
          <w:color w:val="auto"/>
          <w:kern w:val="2"/>
          <w:sz w:val="21"/>
          <w:szCs w:val="21"/>
          <w:highlight w:val="none"/>
          <w:lang w:val="en-US" w:bidi="ar-SA"/>
        </w:rPr>
        <w:t>万元及以上的为中型企业；从业人员</w:t>
      </w:r>
      <w:r>
        <w:rPr>
          <w:rFonts w:hint="eastAsia" w:asciiTheme="majorEastAsia" w:hAnsiTheme="majorEastAsia" w:eastAsiaTheme="majorEastAsia" w:cstheme="majorEastAsia"/>
          <w:color w:val="auto"/>
          <w:kern w:val="2"/>
          <w:sz w:val="21"/>
          <w:szCs w:val="21"/>
          <w:highlight w:val="none"/>
          <w:lang w:val="en-US" w:bidi="ar-SA"/>
        </w:rPr>
        <w:t>20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万元及以上的为小型企业；从业人员</w:t>
      </w:r>
      <w:r>
        <w:rPr>
          <w:rFonts w:hint="eastAsia" w:asciiTheme="majorEastAsia" w:hAnsiTheme="majorEastAsia" w:eastAsiaTheme="majorEastAsia" w:cstheme="majorEastAsia"/>
          <w:color w:val="auto"/>
          <w:kern w:val="2"/>
          <w:sz w:val="21"/>
          <w:szCs w:val="21"/>
          <w:highlight w:val="none"/>
          <w:lang w:val="en-US" w:bidi="ar-SA"/>
        </w:rPr>
        <w:t>20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万元以下的为微型企业。</w:t>
      </w:r>
    </w:p>
    <w:p w14:paraId="07911C54">
      <w:pPr>
        <w:spacing w:line="360" w:lineRule="auto"/>
        <w:ind w:firstLine="210" w:firstLineChars="10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（九）住宿业。从业人员</w:t>
      </w:r>
      <w:r>
        <w:rPr>
          <w:rFonts w:hint="eastAsia" w:asciiTheme="majorEastAsia" w:hAnsiTheme="majorEastAsia" w:eastAsiaTheme="majorEastAsia" w:cstheme="majorEastAsia"/>
          <w:color w:val="auto"/>
          <w:kern w:val="2"/>
          <w:sz w:val="21"/>
          <w:szCs w:val="21"/>
          <w:highlight w:val="none"/>
          <w:lang w:val="en-US" w:bidi="ar-SA"/>
        </w:rPr>
        <w:t>300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10000</w:t>
      </w:r>
      <w:r>
        <w:rPr>
          <w:rFonts w:hint="eastAsia" w:ascii="宋体" w:hAnsi="宋体" w:eastAsia="宋体" w:cs="宋体"/>
          <w:color w:val="auto"/>
          <w:kern w:val="2"/>
          <w:sz w:val="21"/>
          <w:szCs w:val="21"/>
          <w:highlight w:val="none"/>
          <w:lang w:val="en-US" w:bidi="ar-SA"/>
        </w:rPr>
        <w:t>万元以下的为中小微型企业。其中，从业人员</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2000</w:t>
      </w:r>
      <w:r>
        <w:rPr>
          <w:rFonts w:hint="eastAsia" w:ascii="宋体" w:hAnsi="宋体" w:eastAsia="宋体" w:cs="宋体"/>
          <w:color w:val="auto"/>
          <w:kern w:val="2"/>
          <w:sz w:val="21"/>
          <w:szCs w:val="21"/>
          <w:highlight w:val="none"/>
          <w:lang w:val="en-US" w:bidi="ar-SA"/>
        </w:rPr>
        <w:t>万元及以上的为中型企业；从业人员</w:t>
      </w:r>
      <w:r>
        <w:rPr>
          <w:rFonts w:hint="eastAsia" w:asciiTheme="majorEastAsia" w:hAnsiTheme="majorEastAsia" w:eastAsiaTheme="majorEastAsia" w:cstheme="majorEastAsia"/>
          <w:color w:val="auto"/>
          <w:kern w:val="2"/>
          <w:sz w:val="21"/>
          <w:szCs w:val="21"/>
          <w:highlight w:val="none"/>
          <w:lang w:val="en-US" w:bidi="ar-SA"/>
        </w:rPr>
        <w:t>10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万元及以上的为小型企业；从业人员</w:t>
      </w:r>
      <w:r>
        <w:rPr>
          <w:rFonts w:hint="eastAsia" w:asciiTheme="majorEastAsia" w:hAnsiTheme="majorEastAsia" w:eastAsiaTheme="majorEastAsia" w:cstheme="majorEastAsia"/>
          <w:color w:val="auto"/>
          <w:kern w:val="2"/>
          <w:sz w:val="21"/>
          <w:szCs w:val="21"/>
          <w:highlight w:val="none"/>
          <w:lang w:val="en-US" w:bidi="ar-SA"/>
        </w:rPr>
        <w:t>10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万元以下的为微型企业。</w:t>
      </w:r>
    </w:p>
    <w:p w14:paraId="502C8F43">
      <w:pPr>
        <w:spacing w:line="360" w:lineRule="auto"/>
        <w:ind w:firstLine="210" w:firstLineChars="10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（十）餐饮业。从业人员</w:t>
      </w:r>
      <w:r>
        <w:rPr>
          <w:rFonts w:hint="eastAsia" w:asciiTheme="majorEastAsia" w:hAnsiTheme="majorEastAsia" w:eastAsiaTheme="majorEastAsia" w:cstheme="majorEastAsia"/>
          <w:color w:val="auto"/>
          <w:kern w:val="2"/>
          <w:sz w:val="21"/>
          <w:szCs w:val="21"/>
          <w:highlight w:val="none"/>
          <w:lang w:val="en-US" w:bidi="ar-SA"/>
        </w:rPr>
        <w:t>300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10000</w:t>
      </w:r>
      <w:r>
        <w:rPr>
          <w:rFonts w:hint="eastAsia" w:ascii="宋体" w:hAnsi="宋体" w:eastAsia="宋体" w:cs="宋体"/>
          <w:color w:val="auto"/>
          <w:kern w:val="2"/>
          <w:sz w:val="21"/>
          <w:szCs w:val="21"/>
          <w:highlight w:val="none"/>
          <w:lang w:val="en-US" w:bidi="ar-SA"/>
        </w:rPr>
        <w:t>万元以下的为中小微型企业。其中，从业人员</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2000</w:t>
      </w:r>
      <w:r>
        <w:rPr>
          <w:rFonts w:hint="eastAsia" w:ascii="宋体" w:hAnsi="宋体" w:eastAsia="宋体" w:cs="宋体"/>
          <w:color w:val="auto"/>
          <w:kern w:val="2"/>
          <w:sz w:val="21"/>
          <w:szCs w:val="21"/>
          <w:highlight w:val="none"/>
          <w:lang w:val="en-US" w:bidi="ar-SA"/>
        </w:rPr>
        <w:t>万元及以上的为中型企业；从业人员</w:t>
      </w:r>
      <w:r>
        <w:rPr>
          <w:rFonts w:hint="eastAsia" w:asciiTheme="majorEastAsia" w:hAnsiTheme="majorEastAsia" w:eastAsiaTheme="majorEastAsia" w:cstheme="majorEastAsia"/>
          <w:color w:val="auto"/>
          <w:kern w:val="2"/>
          <w:sz w:val="21"/>
          <w:szCs w:val="21"/>
          <w:highlight w:val="none"/>
          <w:lang w:val="en-US" w:bidi="ar-SA"/>
        </w:rPr>
        <w:t>10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万元及以上的为小型企业；从业人员</w:t>
      </w:r>
      <w:r>
        <w:rPr>
          <w:rFonts w:hint="eastAsia" w:asciiTheme="majorEastAsia" w:hAnsiTheme="majorEastAsia" w:eastAsiaTheme="majorEastAsia" w:cstheme="majorEastAsia"/>
          <w:color w:val="auto"/>
          <w:kern w:val="2"/>
          <w:sz w:val="21"/>
          <w:szCs w:val="21"/>
          <w:highlight w:val="none"/>
          <w:lang w:val="en-US" w:bidi="ar-SA"/>
        </w:rPr>
        <w:t>10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万元以下的为微型企业。</w:t>
      </w:r>
    </w:p>
    <w:p w14:paraId="5ED18369">
      <w:pPr>
        <w:spacing w:line="360" w:lineRule="auto"/>
        <w:ind w:firstLine="210" w:firstLineChars="10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（十一）信息传输业。从业人员</w:t>
      </w:r>
      <w:r>
        <w:rPr>
          <w:rFonts w:hint="eastAsia" w:asciiTheme="majorEastAsia" w:hAnsiTheme="majorEastAsia" w:eastAsiaTheme="majorEastAsia" w:cstheme="majorEastAsia"/>
          <w:color w:val="auto"/>
          <w:kern w:val="2"/>
          <w:sz w:val="21"/>
          <w:szCs w:val="21"/>
          <w:highlight w:val="none"/>
          <w:lang w:val="en-US" w:bidi="ar-SA"/>
        </w:rPr>
        <w:t>2000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100000</w:t>
      </w:r>
      <w:r>
        <w:rPr>
          <w:rFonts w:hint="eastAsia" w:ascii="宋体" w:hAnsi="宋体" w:eastAsia="宋体" w:cs="宋体"/>
          <w:color w:val="auto"/>
          <w:kern w:val="2"/>
          <w:sz w:val="21"/>
          <w:szCs w:val="21"/>
          <w:highlight w:val="none"/>
          <w:lang w:val="en-US" w:bidi="ar-SA"/>
        </w:rPr>
        <w:t>万元以下的为中小微型企业。其中，从业人员</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1000</w:t>
      </w:r>
      <w:r>
        <w:rPr>
          <w:rFonts w:hint="eastAsia" w:ascii="宋体" w:hAnsi="宋体" w:eastAsia="宋体" w:cs="宋体"/>
          <w:color w:val="auto"/>
          <w:kern w:val="2"/>
          <w:sz w:val="21"/>
          <w:szCs w:val="21"/>
          <w:highlight w:val="none"/>
          <w:lang w:val="en-US" w:bidi="ar-SA"/>
        </w:rPr>
        <w:t>万元及以上的为中型企业；从业人员</w:t>
      </w:r>
      <w:r>
        <w:rPr>
          <w:rFonts w:hint="eastAsia" w:asciiTheme="majorEastAsia" w:hAnsiTheme="majorEastAsia" w:eastAsiaTheme="majorEastAsia" w:cstheme="majorEastAsia"/>
          <w:color w:val="auto"/>
          <w:kern w:val="2"/>
          <w:sz w:val="21"/>
          <w:szCs w:val="21"/>
          <w:highlight w:val="none"/>
          <w:lang w:val="en-US" w:bidi="ar-SA"/>
        </w:rPr>
        <w:t>10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万元及以上的为小型企业；从业人员</w:t>
      </w:r>
      <w:r>
        <w:rPr>
          <w:rFonts w:hint="eastAsia" w:asciiTheme="majorEastAsia" w:hAnsiTheme="majorEastAsia" w:eastAsiaTheme="majorEastAsia" w:cstheme="majorEastAsia"/>
          <w:color w:val="auto"/>
          <w:kern w:val="2"/>
          <w:sz w:val="21"/>
          <w:szCs w:val="21"/>
          <w:highlight w:val="none"/>
          <w:lang w:val="en-US" w:bidi="ar-SA"/>
        </w:rPr>
        <w:t>10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万元以下的为微型企业。</w:t>
      </w:r>
    </w:p>
    <w:p w14:paraId="5C6627F4">
      <w:pPr>
        <w:spacing w:line="360" w:lineRule="auto"/>
        <w:ind w:firstLine="211" w:firstLineChars="100"/>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　　（十二）软件和信息技术服务业。从业人员</w:t>
      </w:r>
      <w:r>
        <w:rPr>
          <w:rFonts w:hint="eastAsia" w:asciiTheme="majorEastAsia" w:hAnsiTheme="majorEastAsia" w:eastAsiaTheme="majorEastAsia" w:cstheme="majorEastAsia"/>
          <w:b/>
          <w:bCs/>
          <w:color w:val="auto"/>
          <w:kern w:val="2"/>
          <w:sz w:val="21"/>
          <w:szCs w:val="21"/>
          <w:highlight w:val="none"/>
          <w:lang w:val="en-US" w:bidi="ar-SA"/>
        </w:rPr>
        <w:t>300</w:t>
      </w:r>
      <w:r>
        <w:rPr>
          <w:rFonts w:hint="eastAsia" w:ascii="宋体" w:hAnsi="宋体" w:eastAsia="宋体" w:cs="宋体"/>
          <w:b/>
          <w:bCs/>
          <w:color w:val="auto"/>
          <w:kern w:val="2"/>
          <w:sz w:val="21"/>
          <w:szCs w:val="21"/>
          <w:highlight w:val="none"/>
          <w:lang w:val="en-US" w:bidi="ar-SA"/>
        </w:rPr>
        <w:t>人以下或营业收入</w:t>
      </w:r>
      <w:r>
        <w:rPr>
          <w:rFonts w:hint="eastAsia" w:asciiTheme="majorEastAsia" w:hAnsiTheme="majorEastAsia" w:eastAsiaTheme="majorEastAsia" w:cstheme="majorEastAsia"/>
          <w:b/>
          <w:bCs/>
          <w:color w:val="auto"/>
          <w:kern w:val="2"/>
          <w:sz w:val="21"/>
          <w:szCs w:val="21"/>
          <w:highlight w:val="none"/>
          <w:lang w:val="en-US" w:bidi="ar-SA"/>
        </w:rPr>
        <w:t>10000</w:t>
      </w:r>
      <w:r>
        <w:rPr>
          <w:rFonts w:hint="eastAsia" w:ascii="宋体" w:hAnsi="宋体" w:eastAsia="宋体" w:cs="宋体"/>
          <w:b/>
          <w:bCs/>
          <w:color w:val="auto"/>
          <w:kern w:val="2"/>
          <w:sz w:val="21"/>
          <w:szCs w:val="21"/>
          <w:highlight w:val="none"/>
          <w:lang w:val="en-US" w:bidi="ar-SA"/>
        </w:rPr>
        <w:t>万元以下的为中小微型企业。其中，从业人员</w:t>
      </w:r>
      <w:r>
        <w:rPr>
          <w:rFonts w:hint="eastAsia" w:asciiTheme="majorEastAsia" w:hAnsiTheme="majorEastAsia" w:eastAsiaTheme="majorEastAsia" w:cstheme="majorEastAsia"/>
          <w:b/>
          <w:bCs/>
          <w:color w:val="auto"/>
          <w:kern w:val="2"/>
          <w:sz w:val="21"/>
          <w:szCs w:val="21"/>
          <w:highlight w:val="none"/>
          <w:lang w:val="en-US" w:bidi="ar-SA"/>
        </w:rPr>
        <w:t>100</w:t>
      </w:r>
      <w:r>
        <w:rPr>
          <w:rFonts w:hint="eastAsia" w:ascii="宋体" w:hAnsi="宋体" w:eastAsia="宋体" w:cs="宋体"/>
          <w:b/>
          <w:bCs/>
          <w:color w:val="auto"/>
          <w:kern w:val="2"/>
          <w:sz w:val="21"/>
          <w:szCs w:val="21"/>
          <w:highlight w:val="none"/>
          <w:lang w:val="en-US" w:bidi="ar-SA"/>
        </w:rPr>
        <w:t>人及以上，且营业收入</w:t>
      </w:r>
      <w:r>
        <w:rPr>
          <w:rFonts w:hint="eastAsia" w:asciiTheme="majorEastAsia" w:hAnsiTheme="majorEastAsia" w:eastAsiaTheme="majorEastAsia" w:cstheme="majorEastAsia"/>
          <w:b/>
          <w:bCs/>
          <w:color w:val="auto"/>
          <w:kern w:val="2"/>
          <w:sz w:val="21"/>
          <w:szCs w:val="21"/>
          <w:highlight w:val="none"/>
          <w:lang w:val="en-US" w:bidi="ar-SA"/>
        </w:rPr>
        <w:t>1000</w:t>
      </w:r>
      <w:r>
        <w:rPr>
          <w:rFonts w:hint="eastAsia" w:ascii="宋体" w:hAnsi="宋体" w:eastAsia="宋体" w:cs="宋体"/>
          <w:b/>
          <w:bCs/>
          <w:color w:val="auto"/>
          <w:kern w:val="2"/>
          <w:sz w:val="21"/>
          <w:szCs w:val="21"/>
          <w:highlight w:val="none"/>
          <w:lang w:val="en-US" w:bidi="ar-SA"/>
        </w:rPr>
        <w:t>万元及以上的为中型企业；从业人员</w:t>
      </w:r>
      <w:r>
        <w:rPr>
          <w:rFonts w:hint="eastAsia" w:asciiTheme="majorEastAsia" w:hAnsiTheme="majorEastAsia" w:eastAsiaTheme="majorEastAsia" w:cstheme="majorEastAsia"/>
          <w:b/>
          <w:bCs/>
          <w:color w:val="auto"/>
          <w:kern w:val="2"/>
          <w:sz w:val="21"/>
          <w:szCs w:val="21"/>
          <w:highlight w:val="none"/>
          <w:lang w:val="en-US" w:bidi="ar-SA"/>
        </w:rPr>
        <w:t>10</w:t>
      </w:r>
      <w:r>
        <w:rPr>
          <w:rFonts w:hint="eastAsia" w:ascii="宋体" w:hAnsi="宋体" w:eastAsia="宋体" w:cs="宋体"/>
          <w:b/>
          <w:bCs/>
          <w:color w:val="auto"/>
          <w:kern w:val="2"/>
          <w:sz w:val="21"/>
          <w:szCs w:val="21"/>
          <w:highlight w:val="none"/>
          <w:lang w:val="en-US" w:bidi="ar-SA"/>
        </w:rPr>
        <w:t>人及以上，且营业收入</w:t>
      </w:r>
      <w:r>
        <w:rPr>
          <w:rFonts w:hint="eastAsia" w:asciiTheme="majorEastAsia" w:hAnsiTheme="majorEastAsia" w:eastAsiaTheme="majorEastAsia" w:cstheme="majorEastAsia"/>
          <w:b/>
          <w:bCs/>
          <w:color w:val="auto"/>
          <w:kern w:val="2"/>
          <w:sz w:val="21"/>
          <w:szCs w:val="21"/>
          <w:highlight w:val="none"/>
          <w:lang w:val="en-US" w:bidi="ar-SA"/>
        </w:rPr>
        <w:t>50</w:t>
      </w:r>
      <w:r>
        <w:rPr>
          <w:rFonts w:hint="eastAsia" w:ascii="宋体" w:hAnsi="宋体" w:eastAsia="宋体" w:cs="宋体"/>
          <w:b/>
          <w:bCs/>
          <w:color w:val="auto"/>
          <w:kern w:val="2"/>
          <w:sz w:val="21"/>
          <w:szCs w:val="21"/>
          <w:highlight w:val="none"/>
          <w:lang w:val="en-US" w:bidi="ar-SA"/>
        </w:rPr>
        <w:t>万元及以上的为小型企业；从业人员</w:t>
      </w:r>
      <w:r>
        <w:rPr>
          <w:rFonts w:hint="eastAsia" w:asciiTheme="majorEastAsia" w:hAnsiTheme="majorEastAsia" w:eastAsiaTheme="majorEastAsia" w:cstheme="majorEastAsia"/>
          <w:b/>
          <w:bCs/>
          <w:color w:val="auto"/>
          <w:kern w:val="2"/>
          <w:sz w:val="21"/>
          <w:szCs w:val="21"/>
          <w:highlight w:val="none"/>
          <w:lang w:val="en-US" w:bidi="ar-SA"/>
        </w:rPr>
        <w:t>10</w:t>
      </w:r>
      <w:r>
        <w:rPr>
          <w:rFonts w:hint="eastAsia" w:ascii="宋体" w:hAnsi="宋体" w:eastAsia="宋体" w:cs="宋体"/>
          <w:b/>
          <w:bCs/>
          <w:color w:val="auto"/>
          <w:kern w:val="2"/>
          <w:sz w:val="21"/>
          <w:szCs w:val="21"/>
          <w:highlight w:val="none"/>
          <w:lang w:val="en-US" w:bidi="ar-SA"/>
        </w:rPr>
        <w:t>人以下或营业收入</w:t>
      </w:r>
      <w:r>
        <w:rPr>
          <w:rFonts w:hint="eastAsia" w:asciiTheme="majorEastAsia" w:hAnsiTheme="majorEastAsia" w:eastAsiaTheme="majorEastAsia" w:cstheme="majorEastAsia"/>
          <w:b/>
          <w:bCs/>
          <w:color w:val="auto"/>
          <w:kern w:val="2"/>
          <w:sz w:val="21"/>
          <w:szCs w:val="21"/>
          <w:highlight w:val="none"/>
          <w:lang w:val="en-US" w:bidi="ar-SA"/>
        </w:rPr>
        <w:t>50</w:t>
      </w:r>
      <w:r>
        <w:rPr>
          <w:rFonts w:hint="eastAsia" w:ascii="宋体" w:hAnsi="宋体" w:eastAsia="宋体" w:cs="宋体"/>
          <w:b/>
          <w:bCs/>
          <w:color w:val="auto"/>
          <w:kern w:val="2"/>
          <w:sz w:val="21"/>
          <w:szCs w:val="21"/>
          <w:highlight w:val="none"/>
          <w:lang w:val="en-US" w:bidi="ar-SA"/>
        </w:rPr>
        <w:t>万元以下的为微型企业。</w:t>
      </w:r>
    </w:p>
    <w:p w14:paraId="20FC7D60">
      <w:pPr>
        <w:spacing w:line="360" w:lineRule="auto"/>
        <w:ind w:firstLine="210" w:firstLineChars="10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（十三）房地产开发经营。营业收入</w:t>
      </w:r>
      <w:r>
        <w:rPr>
          <w:rFonts w:hint="eastAsia" w:asciiTheme="majorEastAsia" w:hAnsiTheme="majorEastAsia" w:eastAsiaTheme="majorEastAsia" w:cstheme="majorEastAsia"/>
          <w:color w:val="auto"/>
          <w:kern w:val="2"/>
          <w:sz w:val="21"/>
          <w:szCs w:val="21"/>
          <w:highlight w:val="none"/>
          <w:lang w:val="en-US" w:bidi="ar-SA"/>
        </w:rPr>
        <w:t>200000</w:t>
      </w:r>
      <w:r>
        <w:rPr>
          <w:rFonts w:hint="eastAsia" w:ascii="宋体" w:hAnsi="宋体" w:eastAsia="宋体" w:cs="宋体"/>
          <w:color w:val="auto"/>
          <w:kern w:val="2"/>
          <w:sz w:val="21"/>
          <w:szCs w:val="21"/>
          <w:highlight w:val="none"/>
          <w:lang w:val="en-US" w:bidi="ar-SA"/>
        </w:rPr>
        <w:t>万元以下或资产总额</w:t>
      </w:r>
      <w:r>
        <w:rPr>
          <w:rFonts w:hint="eastAsia" w:asciiTheme="majorEastAsia" w:hAnsiTheme="majorEastAsia" w:eastAsiaTheme="majorEastAsia" w:cstheme="majorEastAsia"/>
          <w:color w:val="auto"/>
          <w:kern w:val="2"/>
          <w:sz w:val="21"/>
          <w:szCs w:val="21"/>
          <w:highlight w:val="none"/>
          <w:lang w:val="en-US" w:bidi="ar-SA"/>
        </w:rPr>
        <w:t>10000</w:t>
      </w:r>
      <w:r>
        <w:rPr>
          <w:rFonts w:hint="eastAsia" w:ascii="宋体" w:hAnsi="宋体" w:eastAsia="宋体" w:cs="宋体"/>
          <w:color w:val="auto"/>
          <w:kern w:val="2"/>
          <w:sz w:val="21"/>
          <w:szCs w:val="21"/>
          <w:highlight w:val="none"/>
          <w:lang w:val="en-US" w:bidi="ar-SA"/>
        </w:rPr>
        <w:t>万元以下的为中小微型企业。其中，营业收入</w:t>
      </w:r>
      <w:r>
        <w:rPr>
          <w:rFonts w:hint="eastAsia" w:asciiTheme="majorEastAsia" w:hAnsiTheme="majorEastAsia" w:eastAsiaTheme="majorEastAsia" w:cstheme="majorEastAsia"/>
          <w:color w:val="auto"/>
          <w:kern w:val="2"/>
          <w:sz w:val="21"/>
          <w:szCs w:val="21"/>
          <w:highlight w:val="none"/>
          <w:lang w:val="en-US" w:bidi="ar-SA"/>
        </w:rPr>
        <w:t>1000</w:t>
      </w:r>
      <w:r>
        <w:rPr>
          <w:rFonts w:hint="eastAsia" w:ascii="宋体" w:hAnsi="宋体" w:eastAsia="宋体" w:cs="宋体"/>
          <w:color w:val="auto"/>
          <w:kern w:val="2"/>
          <w:sz w:val="21"/>
          <w:szCs w:val="21"/>
          <w:highlight w:val="none"/>
          <w:lang w:val="en-US" w:bidi="ar-SA"/>
        </w:rPr>
        <w:t>万元及以上，且资产总额</w:t>
      </w:r>
      <w:r>
        <w:rPr>
          <w:rFonts w:hint="eastAsia" w:asciiTheme="majorEastAsia" w:hAnsiTheme="majorEastAsia" w:eastAsiaTheme="majorEastAsia" w:cstheme="majorEastAsia"/>
          <w:color w:val="auto"/>
          <w:kern w:val="2"/>
          <w:sz w:val="21"/>
          <w:szCs w:val="21"/>
          <w:highlight w:val="none"/>
          <w:lang w:val="en-US" w:bidi="ar-SA"/>
        </w:rPr>
        <w:t>5000</w:t>
      </w:r>
      <w:r>
        <w:rPr>
          <w:rFonts w:hint="eastAsia" w:ascii="宋体" w:hAnsi="宋体" w:eastAsia="宋体" w:cs="宋体"/>
          <w:color w:val="auto"/>
          <w:kern w:val="2"/>
          <w:sz w:val="21"/>
          <w:szCs w:val="21"/>
          <w:highlight w:val="none"/>
          <w:lang w:val="en-US" w:bidi="ar-SA"/>
        </w:rPr>
        <w:t>万元及以上的为中型企业；营业收入</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万元及以上，且资产总额</w:t>
      </w:r>
      <w:r>
        <w:rPr>
          <w:rFonts w:hint="eastAsia" w:asciiTheme="majorEastAsia" w:hAnsiTheme="majorEastAsia" w:eastAsiaTheme="majorEastAsia" w:cstheme="majorEastAsia"/>
          <w:color w:val="auto"/>
          <w:kern w:val="2"/>
          <w:sz w:val="21"/>
          <w:szCs w:val="21"/>
          <w:highlight w:val="none"/>
          <w:lang w:val="en-US" w:bidi="ar-SA"/>
        </w:rPr>
        <w:t>2000</w:t>
      </w:r>
      <w:r>
        <w:rPr>
          <w:rFonts w:hint="eastAsia" w:ascii="宋体" w:hAnsi="宋体" w:eastAsia="宋体" w:cs="宋体"/>
          <w:color w:val="auto"/>
          <w:kern w:val="2"/>
          <w:sz w:val="21"/>
          <w:szCs w:val="21"/>
          <w:highlight w:val="none"/>
          <w:lang w:val="en-US" w:bidi="ar-SA"/>
        </w:rPr>
        <w:t>万元及以上的为小型企业；营业收入</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万元以下或资产总额</w:t>
      </w:r>
      <w:r>
        <w:rPr>
          <w:rFonts w:hint="eastAsia" w:asciiTheme="majorEastAsia" w:hAnsiTheme="majorEastAsia" w:eastAsiaTheme="majorEastAsia" w:cstheme="majorEastAsia"/>
          <w:color w:val="auto"/>
          <w:kern w:val="2"/>
          <w:sz w:val="21"/>
          <w:szCs w:val="21"/>
          <w:highlight w:val="none"/>
          <w:lang w:val="en-US" w:bidi="ar-SA"/>
        </w:rPr>
        <w:t>2000</w:t>
      </w:r>
      <w:r>
        <w:rPr>
          <w:rFonts w:hint="eastAsia" w:ascii="宋体" w:hAnsi="宋体" w:eastAsia="宋体" w:cs="宋体"/>
          <w:color w:val="auto"/>
          <w:kern w:val="2"/>
          <w:sz w:val="21"/>
          <w:szCs w:val="21"/>
          <w:highlight w:val="none"/>
          <w:lang w:val="en-US" w:bidi="ar-SA"/>
        </w:rPr>
        <w:t>万元以下的为微型企业。</w:t>
      </w:r>
    </w:p>
    <w:p w14:paraId="6BCD6652">
      <w:pPr>
        <w:spacing w:line="360" w:lineRule="auto"/>
        <w:ind w:firstLine="210" w:firstLineChars="10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（十四）物业管理。从业人员</w:t>
      </w:r>
      <w:r>
        <w:rPr>
          <w:rFonts w:hint="eastAsia" w:asciiTheme="majorEastAsia" w:hAnsiTheme="majorEastAsia" w:eastAsiaTheme="majorEastAsia" w:cstheme="majorEastAsia"/>
          <w:color w:val="auto"/>
          <w:kern w:val="2"/>
          <w:sz w:val="21"/>
          <w:szCs w:val="21"/>
          <w:highlight w:val="none"/>
          <w:lang w:val="en-US" w:bidi="ar-SA"/>
        </w:rPr>
        <w:t>1000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5000</w:t>
      </w:r>
      <w:r>
        <w:rPr>
          <w:rFonts w:hint="eastAsia" w:ascii="宋体" w:hAnsi="宋体" w:eastAsia="宋体" w:cs="宋体"/>
          <w:color w:val="auto"/>
          <w:kern w:val="2"/>
          <w:sz w:val="21"/>
          <w:szCs w:val="21"/>
          <w:highlight w:val="none"/>
          <w:lang w:val="en-US" w:bidi="ar-SA"/>
        </w:rPr>
        <w:t>万元以下的为中小微型企业。其中，从业人员</w:t>
      </w:r>
      <w:r>
        <w:rPr>
          <w:rFonts w:hint="eastAsia" w:asciiTheme="majorEastAsia" w:hAnsiTheme="majorEastAsia" w:eastAsiaTheme="majorEastAsia" w:cstheme="majorEastAsia"/>
          <w:color w:val="auto"/>
          <w:kern w:val="2"/>
          <w:sz w:val="21"/>
          <w:szCs w:val="21"/>
          <w:highlight w:val="none"/>
          <w:lang w:val="en-US" w:bidi="ar-SA"/>
        </w:rPr>
        <w:t>300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1000</w:t>
      </w:r>
      <w:r>
        <w:rPr>
          <w:rFonts w:hint="eastAsia" w:ascii="宋体" w:hAnsi="宋体" w:eastAsia="宋体" w:cs="宋体"/>
          <w:color w:val="auto"/>
          <w:kern w:val="2"/>
          <w:sz w:val="21"/>
          <w:szCs w:val="21"/>
          <w:highlight w:val="none"/>
          <w:lang w:val="en-US" w:bidi="ar-SA"/>
        </w:rPr>
        <w:t>万元及以上的为中型企业；从业人员</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人及以上，且营业收入</w:t>
      </w:r>
      <w:r>
        <w:rPr>
          <w:rFonts w:hint="eastAsia" w:asciiTheme="majorEastAsia" w:hAnsiTheme="majorEastAsia" w:eastAsiaTheme="majorEastAsia" w:cstheme="majorEastAsia"/>
          <w:color w:val="auto"/>
          <w:kern w:val="2"/>
          <w:sz w:val="21"/>
          <w:szCs w:val="21"/>
          <w:highlight w:val="none"/>
          <w:lang w:val="en-US" w:bidi="ar-SA"/>
        </w:rPr>
        <w:t>500</w:t>
      </w:r>
      <w:r>
        <w:rPr>
          <w:rFonts w:hint="eastAsia" w:ascii="宋体" w:hAnsi="宋体" w:eastAsia="宋体" w:cs="宋体"/>
          <w:color w:val="auto"/>
          <w:kern w:val="2"/>
          <w:sz w:val="21"/>
          <w:szCs w:val="21"/>
          <w:highlight w:val="none"/>
          <w:lang w:val="en-US" w:bidi="ar-SA"/>
        </w:rPr>
        <w:t>万元及以上的为小型企业；从业人员</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人以下或营业收入</w:t>
      </w:r>
      <w:r>
        <w:rPr>
          <w:rFonts w:hint="eastAsia" w:asciiTheme="majorEastAsia" w:hAnsiTheme="majorEastAsia" w:eastAsiaTheme="majorEastAsia" w:cstheme="majorEastAsia"/>
          <w:color w:val="auto"/>
          <w:kern w:val="2"/>
          <w:sz w:val="21"/>
          <w:szCs w:val="21"/>
          <w:highlight w:val="none"/>
          <w:lang w:val="en-US" w:bidi="ar-SA"/>
        </w:rPr>
        <w:t>500</w:t>
      </w:r>
      <w:r>
        <w:rPr>
          <w:rFonts w:hint="eastAsia" w:ascii="宋体" w:hAnsi="宋体" w:eastAsia="宋体" w:cs="宋体"/>
          <w:color w:val="auto"/>
          <w:kern w:val="2"/>
          <w:sz w:val="21"/>
          <w:szCs w:val="21"/>
          <w:highlight w:val="none"/>
          <w:lang w:val="en-US" w:bidi="ar-SA"/>
        </w:rPr>
        <w:t>万元以下的为微型企业。</w:t>
      </w:r>
    </w:p>
    <w:p w14:paraId="459B0412">
      <w:pPr>
        <w:spacing w:line="360" w:lineRule="auto"/>
        <w:ind w:firstLine="210" w:firstLineChars="10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（十五）租赁和商务服务业。从业人员</w:t>
      </w:r>
      <w:r>
        <w:rPr>
          <w:rFonts w:hint="eastAsia" w:asciiTheme="majorEastAsia" w:hAnsiTheme="majorEastAsia" w:eastAsiaTheme="majorEastAsia" w:cstheme="majorEastAsia"/>
          <w:color w:val="auto"/>
          <w:kern w:val="2"/>
          <w:sz w:val="21"/>
          <w:szCs w:val="21"/>
          <w:highlight w:val="none"/>
          <w:lang w:val="en-US" w:bidi="ar-SA"/>
        </w:rPr>
        <w:t>300</w:t>
      </w:r>
      <w:r>
        <w:rPr>
          <w:rFonts w:hint="eastAsia" w:ascii="宋体" w:hAnsi="宋体" w:eastAsia="宋体" w:cs="宋体"/>
          <w:color w:val="auto"/>
          <w:kern w:val="2"/>
          <w:sz w:val="21"/>
          <w:szCs w:val="21"/>
          <w:highlight w:val="none"/>
          <w:lang w:val="en-US" w:bidi="ar-SA"/>
        </w:rPr>
        <w:t>人以下或资产总额</w:t>
      </w:r>
      <w:r>
        <w:rPr>
          <w:rFonts w:hint="eastAsia" w:asciiTheme="majorEastAsia" w:hAnsiTheme="majorEastAsia" w:eastAsiaTheme="majorEastAsia" w:cstheme="majorEastAsia"/>
          <w:color w:val="auto"/>
          <w:kern w:val="2"/>
          <w:sz w:val="21"/>
          <w:szCs w:val="21"/>
          <w:highlight w:val="none"/>
          <w:lang w:val="en-US" w:bidi="ar-SA"/>
        </w:rPr>
        <w:t>120000</w:t>
      </w:r>
      <w:r>
        <w:rPr>
          <w:rFonts w:hint="eastAsia" w:ascii="宋体" w:hAnsi="宋体" w:eastAsia="宋体" w:cs="宋体"/>
          <w:color w:val="auto"/>
          <w:kern w:val="2"/>
          <w:sz w:val="21"/>
          <w:szCs w:val="21"/>
          <w:highlight w:val="none"/>
          <w:lang w:val="en-US" w:bidi="ar-SA"/>
        </w:rPr>
        <w:t>万元以下的为中小微型企业。其中，从业人员</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人及以上，且资产总额</w:t>
      </w:r>
      <w:r>
        <w:rPr>
          <w:rFonts w:hint="eastAsia" w:asciiTheme="majorEastAsia" w:hAnsiTheme="majorEastAsia" w:eastAsiaTheme="majorEastAsia" w:cstheme="majorEastAsia"/>
          <w:color w:val="auto"/>
          <w:kern w:val="2"/>
          <w:sz w:val="21"/>
          <w:szCs w:val="21"/>
          <w:highlight w:val="none"/>
          <w:lang w:val="en-US" w:bidi="ar-SA"/>
        </w:rPr>
        <w:t>8000</w:t>
      </w:r>
      <w:r>
        <w:rPr>
          <w:rFonts w:hint="eastAsia" w:ascii="宋体" w:hAnsi="宋体" w:eastAsia="宋体" w:cs="宋体"/>
          <w:color w:val="auto"/>
          <w:kern w:val="2"/>
          <w:sz w:val="21"/>
          <w:szCs w:val="21"/>
          <w:highlight w:val="none"/>
          <w:lang w:val="en-US" w:bidi="ar-SA"/>
        </w:rPr>
        <w:t>万元及以上的为中型企业；从业人员</w:t>
      </w:r>
      <w:r>
        <w:rPr>
          <w:rFonts w:hint="eastAsia" w:asciiTheme="majorEastAsia" w:hAnsiTheme="majorEastAsia" w:eastAsiaTheme="majorEastAsia" w:cstheme="majorEastAsia"/>
          <w:color w:val="auto"/>
          <w:kern w:val="2"/>
          <w:sz w:val="21"/>
          <w:szCs w:val="21"/>
          <w:highlight w:val="none"/>
          <w:lang w:val="en-US" w:bidi="ar-SA"/>
        </w:rPr>
        <w:t>10</w:t>
      </w:r>
      <w:r>
        <w:rPr>
          <w:rFonts w:hint="eastAsia" w:ascii="宋体" w:hAnsi="宋体" w:eastAsia="宋体" w:cs="宋体"/>
          <w:color w:val="auto"/>
          <w:kern w:val="2"/>
          <w:sz w:val="21"/>
          <w:szCs w:val="21"/>
          <w:highlight w:val="none"/>
          <w:lang w:val="en-US" w:bidi="ar-SA"/>
        </w:rPr>
        <w:t>人及以上，且资产总额</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万元及以上的为小型企业；从业人员</w:t>
      </w:r>
      <w:r>
        <w:rPr>
          <w:rFonts w:hint="eastAsia" w:asciiTheme="majorEastAsia" w:hAnsiTheme="majorEastAsia" w:eastAsiaTheme="majorEastAsia" w:cstheme="majorEastAsia"/>
          <w:color w:val="auto"/>
          <w:kern w:val="2"/>
          <w:sz w:val="21"/>
          <w:szCs w:val="21"/>
          <w:highlight w:val="none"/>
          <w:lang w:val="en-US" w:bidi="ar-SA"/>
        </w:rPr>
        <w:t>10</w:t>
      </w:r>
      <w:r>
        <w:rPr>
          <w:rFonts w:hint="eastAsia" w:ascii="宋体" w:hAnsi="宋体" w:eastAsia="宋体" w:cs="宋体"/>
          <w:color w:val="auto"/>
          <w:kern w:val="2"/>
          <w:sz w:val="21"/>
          <w:szCs w:val="21"/>
          <w:highlight w:val="none"/>
          <w:lang w:val="en-US" w:bidi="ar-SA"/>
        </w:rPr>
        <w:t>人以下或资产总额</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万元以下的为微型企业。</w:t>
      </w:r>
    </w:p>
    <w:p w14:paraId="68E08FA0">
      <w:pPr>
        <w:spacing w:line="360" w:lineRule="auto"/>
        <w:rPr>
          <w:rFonts w:ascii="宋体" w:hAnsi="宋体" w:eastAsia="宋体" w:cs="宋体"/>
          <w:color w:val="auto"/>
          <w:kern w:val="1"/>
          <w:sz w:val="24"/>
          <w:szCs w:val="24"/>
          <w:highlight w:val="none"/>
        </w:rPr>
      </w:pPr>
      <w:r>
        <w:rPr>
          <w:rFonts w:hint="eastAsia" w:ascii="宋体" w:hAnsi="宋体" w:eastAsia="宋体" w:cs="宋体"/>
          <w:color w:val="auto"/>
          <w:kern w:val="2"/>
          <w:sz w:val="21"/>
          <w:szCs w:val="21"/>
          <w:highlight w:val="none"/>
          <w:lang w:val="en-US" w:bidi="ar-SA"/>
        </w:rPr>
        <w:t>　　（十六）其他未列明行业。从业人员</w:t>
      </w:r>
      <w:r>
        <w:rPr>
          <w:rFonts w:hint="eastAsia" w:asciiTheme="majorEastAsia" w:hAnsiTheme="majorEastAsia" w:eastAsiaTheme="majorEastAsia" w:cstheme="majorEastAsia"/>
          <w:color w:val="auto"/>
          <w:kern w:val="2"/>
          <w:sz w:val="21"/>
          <w:szCs w:val="21"/>
          <w:highlight w:val="none"/>
          <w:lang w:val="en-US" w:bidi="ar-SA"/>
        </w:rPr>
        <w:t>300</w:t>
      </w:r>
      <w:r>
        <w:rPr>
          <w:rFonts w:hint="eastAsia" w:ascii="宋体" w:hAnsi="宋体" w:eastAsia="宋体" w:cs="宋体"/>
          <w:color w:val="auto"/>
          <w:kern w:val="2"/>
          <w:sz w:val="21"/>
          <w:szCs w:val="21"/>
          <w:highlight w:val="none"/>
          <w:lang w:val="en-US" w:bidi="ar-SA"/>
        </w:rPr>
        <w:t>人以下的为中小微型企业。其中，从业人员</w:t>
      </w:r>
      <w:r>
        <w:rPr>
          <w:rFonts w:hint="eastAsia" w:asciiTheme="majorEastAsia" w:hAnsiTheme="majorEastAsia" w:eastAsiaTheme="majorEastAsia" w:cstheme="majorEastAsia"/>
          <w:color w:val="auto"/>
          <w:kern w:val="2"/>
          <w:sz w:val="21"/>
          <w:szCs w:val="21"/>
          <w:highlight w:val="none"/>
          <w:lang w:val="en-US" w:bidi="ar-SA"/>
        </w:rPr>
        <w:t>100</w:t>
      </w:r>
      <w:r>
        <w:rPr>
          <w:rFonts w:hint="eastAsia" w:ascii="宋体" w:hAnsi="宋体" w:eastAsia="宋体" w:cs="宋体"/>
          <w:color w:val="auto"/>
          <w:kern w:val="2"/>
          <w:sz w:val="21"/>
          <w:szCs w:val="21"/>
          <w:highlight w:val="none"/>
          <w:lang w:val="en-US" w:bidi="ar-SA"/>
        </w:rPr>
        <w:t>人及以上的为中型企业；从业人员</w:t>
      </w:r>
      <w:r>
        <w:rPr>
          <w:rFonts w:hint="eastAsia" w:asciiTheme="majorEastAsia" w:hAnsiTheme="majorEastAsia" w:eastAsiaTheme="majorEastAsia" w:cstheme="majorEastAsia"/>
          <w:color w:val="auto"/>
          <w:kern w:val="2"/>
          <w:sz w:val="21"/>
          <w:szCs w:val="21"/>
          <w:highlight w:val="none"/>
          <w:lang w:val="en-US" w:bidi="ar-SA"/>
        </w:rPr>
        <w:t>10</w:t>
      </w:r>
      <w:r>
        <w:rPr>
          <w:rFonts w:hint="eastAsia" w:ascii="宋体" w:hAnsi="宋体" w:eastAsia="宋体" w:cs="宋体"/>
          <w:color w:val="auto"/>
          <w:kern w:val="2"/>
          <w:sz w:val="21"/>
          <w:szCs w:val="21"/>
          <w:highlight w:val="none"/>
          <w:lang w:val="en-US" w:bidi="ar-SA"/>
        </w:rPr>
        <w:t>人及以上的为小型企业；从业人员</w:t>
      </w:r>
      <w:r>
        <w:rPr>
          <w:rFonts w:hint="eastAsia" w:asciiTheme="majorEastAsia" w:hAnsiTheme="majorEastAsia" w:eastAsiaTheme="majorEastAsia" w:cstheme="majorEastAsia"/>
          <w:color w:val="auto"/>
          <w:kern w:val="2"/>
          <w:sz w:val="21"/>
          <w:szCs w:val="21"/>
          <w:highlight w:val="none"/>
          <w:lang w:val="en-US" w:bidi="ar-SA"/>
        </w:rPr>
        <w:t>10</w:t>
      </w:r>
      <w:r>
        <w:rPr>
          <w:rFonts w:hint="eastAsia" w:ascii="宋体" w:hAnsi="宋体" w:eastAsia="宋体" w:cs="宋体"/>
          <w:color w:val="auto"/>
          <w:kern w:val="2"/>
          <w:sz w:val="21"/>
          <w:szCs w:val="21"/>
          <w:highlight w:val="none"/>
          <w:lang w:val="en-US" w:bidi="ar-SA"/>
        </w:rPr>
        <w:t>人以下的为微型企业。</w:t>
      </w:r>
      <w:r>
        <w:rPr>
          <w:rFonts w:hint="eastAsia" w:ascii="宋体" w:hAnsi="宋体" w:eastAsia="宋体" w:cs="宋体"/>
          <w:color w:val="auto"/>
          <w:kern w:val="1"/>
          <w:sz w:val="24"/>
          <w:szCs w:val="24"/>
          <w:highlight w:val="none"/>
        </w:rPr>
        <w:br w:type="page"/>
      </w:r>
    </w:p>
    <w:p w14:paraId="14B4B096">
      <w:pPr>
        <w:spacing w:after="100" w:line="360" w:lineRule="auto"/>
        <w:jc w:val="both"/>
        <w:rPr>
          <w:rFonts w:ascii="宋体" w:hAnsi="宋体" w:eastAsia="宋体" w:cs="宋体"/>
          <w:b/>
          <w:bCs/>
          <w:color w:val="auto"/>
          <w:sz w:val="24"/>
          <w:szCs w:val="24"/>
          <w:highlight w:val="none"/>
          <w:lang w:val="en-US"/>
        </w:rPr>
      </w:pPr>
      <w:bookmarkStart w:id="369" w:name="_Toc28529"/>
      <w:bookmarkStart w:id="370" w:name="_Toc18420"/>
      <w:bookmarkStart w:id="371" w:name="_Toc4562"/>
      <w:bookmarkStart w:id="372" w:name="_Toc17638"/>
      <w:bookmarkStart w:id="373" w:name="_Toc16404"/>
      <w:r>
        <w:rPr>
          <w:rFonts w:hint="eastAsia" w:asciiTheme="majorEastAsia" w:hAnsiTheme="majorEastAsia" w:eastAsiaTheme="majorEastAsia" w:cstheme="majorEastAsia"/>
          <w:b/>
          <w:bCs/>
          <w:color w:val="auto"/>
          <w:sz w:val="24"/>
          <w:szCs w:val="24"/>
          <w:highlight w:val="none"/>
          <w:lang w:val="en-US"/>
        </w:rPr>
        <w:t>7</w:t>
      </w:r>
      <w:r>
        <w:rPr>
          <w:rFonts w:hint="eastAsia" w:ascii="宋体" w:hAnsi="宋体" w:eastAsia="宋体" w:cs="宋体"/>
          <w:b/>
          <w:bCs/>
          <w:color w:val="auto"/>
          <w:sz w:val="24"/>
          <w:szCs w:val="24"/>
          <w:highlight w:val="none"/>
          <w:lang w:val="en-US"/>
        </w:rPr>
        <w:t>.</w:t>
      </w:r>
      <w:r>
        <w:rPr>
          <w:rFonts w:hint="eastAsia" w:asciiTheme="majorEastAsia" w:hAnsiTheme="majorEastAsia" w:eastAsiaTheme="majorEastAsia" w:cstheme="majorEastAsia"/>
          <w:b/>
          <w:bCs/>
          <w:color w:val="auto"/>
          <w:sz w:val="24"/>
          <w:szCs w:val="24"/>
          <w:highlight w:val="none"/>
          <w:lang w:val="en-US"/>
        </w:rPr>
        <w:t>2</w:t>
      </w:r>
      <w:r>
        <w:rPr>
          <w:rFonts w:hint="eastAsia" w:ascii="宋体" w:hAnsi="宋体" w:eastAsia="宋体" w:cs="宋体"/>
          <w:b/>
          <w:bCs/>
          <w:color w:val="auto"/>
          <w:sz w:val="24"/>
          <w:szCs w:val="24"/>
          <w:highlight w:val="none"/>
          <w:lang w:val="en-US"/>
        </w:rPr>
        <w:t>残疾人福利性单位声明函</w:t>
      </w:r>
    </w:p>
    <w:p w14:paraId="69D1BC36">
      <w:pPr>
        <w:spacing w:line="360" w:lineRule="auto"/>
        <w:jc w:val="center"/>
        <w:rPr>
          <w:rFonts w:ascii="宋体" w:hAnsi="宋体" w:eastAsia="宋体" w:cs="宋体"/>
          <w:b/>
          <w:bCs/>
          <w:color w:val="auto"/>
          <w:sz w:val="36"/>
          <w:szCs w:val="36"/>
          <w:highlight w:val="none"/>
          <w:lang w:val="en-US"/>
        </w:rPr>
      </w:pPr>
    </w:p>
    <w:bookmarkEnd w:id="369"/>
    <w:bookmarkEnd w:id="370"/>
    <w:bookmarkEnd w:id="371"/>
    <w:bookmarkEnd w:id="372"/>
    <w:bookmarkEnd w:id="373"/>
    <w:p w14:paraId="45D0EA7D">
      <w:pPr>
        <w:keepNext/>
        <w:numPr>
          <w:ilvl w:val="1"/>
          <w:numId w:val="0"/>
        </w:numPr>
        <w:adjustRightInd w:val="0"/>
        <w:spacing w:before="120" w:line="360" w:lineRule="auto"/>
        <w:jc w:val="center"/>
        <w:textAlignment w:val="baseline"/>
        <w:rPr>
          <w:rFonts w:ascii="宋体" w:hAnsi="宋体" w:eastAsia="宋体" w:cs="宋体"/>
          <w:b/>
          <w:color w:val="auto"/>
          <w:sz w:val="28"/>
          <w:szCs w:val="28"/>
          <w:highlight w:val="none"/>
          <w:lang w:val="en-US" w:bidi="ar-SA"/>
        </w:rPr>
      </w:pPr>
      <w:bookmarkStart w:id="374" w:name="_Toc12807"/>
      <w:bookmarkStart w:id="375" w:name="_Toc80973387"/>
      <w:bookmarkStart w:id="376" w:name="_Toc9252"/>
      <w:bookmarkStart w:id="377" w:name="_Hlk512677434"/>
      <w:r>
        <w:rPr>
          <w:rFonts w:hint="eastAsia" w:ascii="宋体" w:hAnsi="宋体" w:eastAsia="宋体" w:cs="宋体"/>
          <w:b/>
          <w:color w:val="auto"/>
          <w:sz w:val="28"/>
          <w:szCs w:val="28"/>
          <w:highlight w:val="none"/>
          <w:lang w:val="en-US" w:bidi="ar-SA"/>
        </w:rPr>
        <w:t>残疾人福利性单位声明函（按需提供）</w:t>
      </w:r>
      <w:bookmarkEnd w:id="374"/>
      <w:bookmarkEnd w:id="375"/>
      <w:bookmarkEnd w:id="376"/>
    </w:p>
    <w:p w14:paraId="43881F63">
      <w:pPr>
        <w:autoSpaceDE/>
        <w:autoSpaceDN/>
        <w:spacing w:line="360" w:lineRule="auto"/>
        <w:ind w:firstLine="562" w:firstLineChars="200"/>
        <w:jc w:val="both"/>
        <w:rPr>
          <w:rFonts w:ascii="宋体" w:hAnsi="宋体" w:eastAsia="宋体" w:cs="宋体"/>
          <w:b/>
          <w:color w:val="auto"/>
          <w:kern w:val="2"/>
          <w:sz w:val="28"/>
          <w:szCs w:val="28"/>
          <w:highlight w:val="none"/>
          <w:lang w:val="en-US" w:bidi="ar-SA"/>
        </w:rPr>
      </w:pPr>
    </w:p>
    <w:p w14:paraId="0868A242">
      <w:pPr>
        <w:autoSpaceDE/>
        <w:autoSpaceDN/>
        <w:spacing w:line="360" w:lineRule="auto"/>
        <w:ind w:firstLine="420" w:firstLineChars="200"/>
        <w:jc w:val="both"/>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本单位郑重声明，根据《财政部 民政部 中国残疾人联合会关于促进残疾人就业政府采购政策的通知》（财库〔</w:t>
      </w:r>
      <w:r>
        <w:rPr>
          <w:rFonts w:hint="eastAsia" w:asciiTheme="majorEastAsia" w:hAnsiTheme="majorEastAsia" w:eastAsiaTheme="majorEastAsia" w:cstheme="majorEastAsia"/>
          <w:color w:val="auto"/>
          <w:kern w:val="2"/>
          <w:sz w:val="21"/>
          <w:szCs w:val="21"/>
          <w:highlight w:val="none"/>
          <w:lang w:val="en-US" w:bidi="ar-SA"/>
        </w:rPr>
        <w:t>2017</w:t>
      </w:r>
      <w:r>
        <w:rPr>
          <w:rFonts w:hint="eastAsia" w:ascii="宋体" w:hAnsi="宋体" w:eastAsia="宋体" w:cs="宋体"/>
          <w:color w:val="auto"/>
          <w:kern w:val="2"/>
          <w:sz w:val="21"/>
          <w:szCs w:val="21"/>
          <w:highlight w:val="none"/>
          <w:lang w:val="en-US" w:bidi="ar-SA"/>
        </w:rPr>
        <w:t>〕</w:t>
      </w:r>
      <w:r>
        <w:rPr>
          <w:rFonts w:hint="eastAsia" w:asciiTheme="majorEastAsia" w:hAnsiTheme="majorEastAsia" w:eastAsiaTheme="majorEastAsia" w:cstheme="majorEastAsia"/>
          <w:color w:val="auto"/>
          <w:kern w:val="2"/>
          <w:sz w:val="21"/>
          <w:szCs w:val="21"/>
          <w:highlight w:val="none"/>
          <w:lang w:val="en-US" w:bidi="ar-SA"/>
        </w:rPr>
        <w:t>141</w:t>
      </w:r>
      <w:r>
        <w:rPr>
          <w:rFonts w:hint="eastAsia" w:ascii="宋体" w:hAnsi="宋体" w:eastAsia="宋体" w:cs="宋体"/>
          <w:color w:val="auto"/>
          <w:kern w:val="2"/>
          <w:sz w:val="21"/>
          <w:szCs w:val="21"/>
          <w:highlight w:val="none"/>
          <w:lang w:val="en-US" w:bidi="ar-SA"/>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40850A">
      <w:pPr>
        <w:autoSpaceDE/>
        <w:autoSpaceDN/>
        <w:spacing w:line="360" w:lineRule="auto"/>
        <w:ind w:firstLine="420" w:firstLineChars="200"/>
        <w:jc w:val="both"/>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本单位对上述声明的真实性负责。如有虚假，将依法承担相应责任。</w:t>
      </w:r>
    </w:p>
    <w:p w14:paraId="2BF03536">
      <w:pPr>
        <w:autoSpaceDE/>
        <w:autoSpaceDN/>
        <w:spacing w:line="360" w:lineRule="auto"/>
        <w:ind w:firstLine="420" w:firstLineChars="200"/>
        <w:jc w:val="both"/>
        <w:rPr>
          <w:rFonts w:ascii="宋体" w:hAnsi="宋体" w:eastAsia="宋体" w:cs="宋体"/>
          <w:color w:val="auto"/>
          <w:kern w:val="2"/>
          <w:sz w:val="21"/>
          <w:szCs w:val="21"/>
          <w:highlight w:val="none"/>
          <w:lang w:val="en-US" w:bidi="ar-SA"/>
        </w:rPr>
      </w:pPr>
    </w:p>
    <w:p w14:paraId="1EABC4E0">
      <w:pPr>
        <w:autoSpaceDE/>
        <w:autoSpaceDN/>
        <w:spacing w:line="360" w:lineRule="auto"/>
        <w:ind w:firstLine="420" w:firstLineChars="200"/>
        <w:jc w:val="both"/>
        <w:rPr>
          <w:rFonts w:ascii="宋体" w:hAnsi="宋体" w:eastAsia="宋体" w:cs="宋体"/>
          <w:color w:val="auto"/>
          <w:kern w:val="2"/>
          <w:sz w:val="21"/>
          <w:szCs w:val="21"/>
          <w:highlight w:val="none"/>
          <w:lang w:val="en-US" w:bidi="ar-SA"/>
        </w:rPr>
      </w:pPr>
    </w:p>
    <w:bookmarkEnd w:id="377"/>
    <w:p w14:paraId="1F294E78">
      <w:pPr>
        <w:autoSpaceDE/>
        <w:autoSpaceDN/>
        <w:spacing w:line="480" w:lineRule="auto"/>
        <w:ind w:firstLine="420" w:firstLineChars="200"/>
        <w:jc w:val="center"/>
        <w:rPr>
          <w:rFonts w:ascii="宋体" w:hAnsi="宋体" w:eastAsia="宋体" w:cs="宋体"/>
          <w:color w:val="auto"/>
          <w:sz w:val="21"/>
          <w:szCs w:val="21"/>
          <w:highlight w:val="none"/>
          <w:shd w:val="clear" w:color="auto" w:fill="FFFFFF"/>
          <w:lang w:val="en-US" w:bidi="ar-SA"/>
        </w:rPr>
      </w:pPr>
      <w:r>
        <w:rPr>
          <w:rFonts w:hint="eastAsia" w:ascii="宋体" w:hAnsi="宋体" w:eastAsia="宋体" w:cs="宋体"/>
          <w:color w:val="auto"/>
          <w:sz w:val="21"/>
          <w:szCs w:val="21"/>
          <w:highlight w:val="none"/>
          <w:shd w:val="clear" w:color="auto" w:fill="FFFFFF"/>
          <w:lang w:val="en-US" w:bidi="ar-SA"/>
        </w:rPr>
        <w:t xml:space="preserve">                                                  企业名称(盖章):</w:t>
      </w:r>
    </w:p>
    <w:p w14:paraId="3759E04F">
      <w:pPr>
        <w:autoSpaceDE/>
        <w:autoSpaceDN/>
        <w:spacing w:line="480" w:lineRule="auto"/>
        <w:ind w:firstLine="420" w:firstLineChars="200"/>
        <w:jc w:val="center"/>
        <w:rPr>
          <w:rFonts w:ascii="宋体" w:hAnsi="宋体" w:eastAsia="宋体" w:cs="宋体"/>
          <w:color w:val="auto"/>
          <w:sz w:val="21"/>
          <w:szCs w:val="21"/>
          <w:highlight w:val="none"/>
          <w:shd w:val="clear" w:color="auto" w:fill="FFFFFF"/>
          <w:lang w:val="en-US" w:bidi="ar-SA"/>
        </w:rPr>
      </w:pPr>
      <w:r>
        <w:rPr>
          <w:rFonts w:hint="eastAsia" w:ascii="宋体" w:hAnsi="宋体" w:eastAsia="宋体" w:cs="宋体"/>
          <w:color w:val="auto"/>
          <w:sz w:val="21"/>
          <w:szCs w:val="21"/>
          <w:highlight w:val="none"/>
          <w:shd w:val="clear" w:color="auto" w:fill="FFFFFF"/>
          <w:lang w:val="en-US" w:bidi="ar-SA"/>
        </w:rPr>
        <w:t xml:space="preserve">                                          日  期:</w:t>
      </w:r>
    </w:p>
    <w:p w14:paraId="036E7B08">
      <w:pPr>
        <w:autoSpaceDE/>
        <w:autoSpaceDN/>
        <w:spacing w:line="360" w:lineRule="auto"/>
        <w:rPr>
          <w:rFonts w:ascii="宋体" w:hAnsi="宋体" w:eastAsia="宋体" w:cs="宋体"/>
          <w:color w:val="auto"/>
          <w:kern w:val="2"/>
          <w:sz w:val="21"/>
          <w:szCs w:val="21"/>
          <w:highlight w:val="none"/>
          <w:lang w:val="en-US" w:bidi="ar-SA"/>
        </w:rPr>
      </w:pPr>
    </w:p>
    <w:p w14:paraId="2FC5EE25">
      <w:pPr>
        <w:autoSpaceDE/>
        <w:autoSpaceDN/>
        <w:spacing w:line="360" w:lineRule="auto"/>
        <w:ind w:firstLine="420" w:firstLineChars="200"/>
        <w:rPr>
          <w:rFonts w:ascii="宋体" w:hAnsi="宋体" w:eastAsia="宋体" w:cs="宋体"/>
          <w:bCs/>
          <w:color w:val="auto"/>
          <w:kern w:val="2"/>
          <w:sz w:val="21"/>
          <w:szCs w:val="21"/>
          <w:highlight w:val="none"/>
          <w:lang w:val="en-US" w:bidi="ar-SA"/>
        </w:rPr>
      </w:pPr>
      <w:r>
        <w:rPr>
          <w:rFonts w:hint="eastAsia" w:ascii="宋体" w:hAnsi="宋体" w:eastAsia="宋体" w:cs="宋体"/>
          <w:bCs/>
          <w:color w:val="auto"/>
          <w:kern w:val="2"/>
          <w:sz w:val="21"/>
          <w:szCs w:val="21"/>
          <w:highlight w:val="none"/>
          <w:lang w:val="en-US" w:bidi="ar-SA"/>
        </w:rPr>
        <w:t>注：中标人为残疾人福利性单位的，其《残疾人福利性单位声明函》将随中标结果同时公告，接受社会监督。投标人提供的《残疾人福利性单位声明函》与事实不符的，依照</w:t>
      </w:r>
      <w:r>
        <w:rPr>
          <w:rFonts w:hint="eastAsia" w:ascii="宋体" w:hAnsi="宋体" w:eastAsia="宋体" w:cs="宋体"/>
          <w:bCs/>
          <w:color w:val="auto"/>
          <w:kern w:val="2"/>
          <w:sz w:val="21"/>
          <w:szCs w:val="21"/>
          <w:highlight w:val="none"/>
          <w:lang w:val="en-US" w:eastAsia="zh-CN" w:bidi="ar-SA"/>
        </w:rPr>
        <w:t>《中华人民共和国政府采购法》</w:t>
      </w:r>
      <w:r>
        <w:rPr>
          <w:rFonts w:hint="eastAsia" w:ascii="宋体" w:hAnsi="宋体" w:eastAsia="宋体" w:cs="宋体"/>
          <w:bCs/>
          <w:color w:val="auto"/>
          <w:kern w:val="2"/>
          <w:sz w:val="21"/>
          <w:szCs w:val="21"/>
          <w:highlight w:val="none"/>
          <w:lang w:val="en-US" w:bidi="ar-SA"/>
        </w:rPr>
        <w:t>第七十七条第一款的规定追究法律责任。</w:t>
      </w:r>
    </w:p>
    <w:p w14:paraId="3215A1A5">
      <w:pPr>
        <w:pStyle w:val="38"/>
        <w:rPr>
          <w:rFonts w:ascii="宋体" w:hAnsi="宋体" w:eastAsia="宋体" w:cs="宋体"/>
          <w:color w:val="auto"/>
          <w:kern w:val="1"/>
          <w:highlight w:val="none"/>
        </w:rPr>
        <w:sectPr>
          <w:footerReference r:id="rId12" w:type="default"/>
          <w:pgSz w:w="11911" w:h="16838"/>
          <w:pgMar w:top="1134" w:right="1134" w:bottom="1134" w:left="1134" w:header="850" w:footer="850" w:gutter="0"/>
          <w:pgNumType w:fmt="numberInDash"/>
          <w:cols w:space="720" w:num="1"/>
          <w:docGrid w:linePitch="1" w:charSpace="0"/>
        </w:sectPr>
      </w:pPr>
    </w:p>
    <w:p w14:paraId="0DFC216D">
      <w:pPr>
        <w:spacing w:after="100" w:line="360" w:lineRule="auto"/>
        <w:jc w:val="both"/>
        <w:rPr>
          <w:rFonts w:ascii="宋体" w:hAnsi="宋体" w:eastAsia="宋体" w:cs="宋体"/>
          <w:b/>
          <w:bCs/>
          <w:color w:val="auto"/>
          <w:sz w:val="24"/>
          <w:szCs w:val="24"/>
          <w:highlight w:val="none"/>
          <w:lang w:val="en-US"/>
        </w:rPr>
      </w:pPr>
      <w:bookmarkStart w:id="378" w:name="_Toc6795"/>
      <w:bookmarkStart w:id="379" w:name="_Toc18663"/>
      <w:bookmarkStart w:id="380" w:name="_Toc3297"/>
      <w:bookmarkStart w:id="381" w:name="_Toc20880"/>
      <w:bookmarkStart w:id="382" w:name="_Toc25711"/>
      <w:r>
        <w:rPr>
          <w:rFonts w:hint="eastAsia" w:asciiTheme="majorEastAsia" w:hAnsiTheme="majorEastAsia" w:eastAsiaTheme="majorEastAsia" w:cstheme="majorEastAsia"/>
          <w:b/>
          <w:bCs/>
          <w:color w:val="auto"/>
          <w:sz w:val="24"/>
          <w:szCs w:val="24"/>
          <w:highlight w:val="none"/>
          <w:lang w:val="en-US"/>
        </w:rPr>
        <w:t>7</w:t>
      </w:r>
      <w:r>
        <w:rPr>
          <w:rFonts w:hint="eastAsia" w:ascii="宋体" w:hAnsi="宋体" w:eastAsia="宋体" w:cs="宋体"/>
          <w:b/>
          <w:bCs/>
          <w:color w:val="auto"/>
          <w:sz w:val="24"/>
          <w:szCs w:val="24"/>
          <w:highlight w:val="none"/>
          <w:lang w:val="en-US"/>
        </w:rPr>
        <w:t>.</w:t>
      </w:r>
      <w:r>
        <w:rPr>
          <w:rFonts w:hint="eastAsia" w:asciiTheme="majorEastAsia" w:hAnsiTheme="majorEastAsia" w:eastAsiaTheme="majorEastAsia" w:cstheme="majorEastAsia"/>
          <w:b/>
          <w:bCs/>
          <w:color w:val="auto"/>
          <w:sz w:val="24"/>
          <w:szCs w:val="24"/>
          <w:highlight w:val="none"/>
          <w:lang w:val="en-US"/>
        </w:rPr>
        <w:t>3</w:t>
      </w:r>
      <w:r>
        <w:rPr>
          <w:rFonts w:hint="eastAsia" w:ascii="宋体" w:hAnsi="宋体" w:eastAsia="宋体" w:cs="宋体"/>
          <w:b/>
          <w:bCs/>
          <w:color w:val="auto"/>
          <w:sz w:val="24"/>
          <w:szCs w:val="24"/>
          <w:highlight w:val="none"/>
          <w:lang w:val="en-US"/>
        </w:rPr>
        <w:t>监狱企业证明文件</w:t>
      </w:r>
    </w:p>
    <w:bookmarkEnd w:id="378"/>
    <w:bookmarkEnd w:id="379"/>
    <w:bookmarkEnd w:id="380"/>
    <w:bookmarkEnd w:id="381"/>
    <w:bookmarkEnd w:id="382"/>
    <w:p w14:paraId="66CCC879">
      <w:pPr>
        <w:keepNext/>
        <w:numPr>
          <w:ilvl w:val="1"/>
          <w:numId w:val="0"/>
        </w:numPr>
        <w:adjustRightInd w:val="0"/>
        <w:spacing w:before="120" w:line="360" w:lineRule="auto"/>
        <w:jc w:val="center"/>
        <w:textAlignment w:val="baseline"/>
        <w:rPr>
          <w:rFonts w:ascii="宋体" w:hAnsi="宋体" w:eastAsia="宋体" w:cs="宋体"/>
          <w:b/>
          <w:color w:val="auto"/>
          <w:sz w:val="28"/>
          <w:szCs w:val="28"/>
          <w:highlight w:val="none"/>
          <w:lang w:val="en-US" w:bidi="ar-SA"/>
        </w:rPr>
      </w:pPr>
      <w:bookmarkStart w:id="383" w:name="_Toc523832877"/>
      <w:bookmarkStart w:id="384" w:name="_Toc20994"/>
      <w:bookmarkStart w:id="385" w:name="_Toc13361"/>
      <w:bookmarkStart w:id="386" w:name="_Toc80973388"/>
      <w:bookmarkStart w:id="387" w:name="_Hlk51937745"/>
      <w:r>
        <w:rPr>
          <w:rFonts w:hint="eastAsia" w:ascii="宋体" w:hAnsi="宋体" w:eastAsia="宋体" w:cs="宋体"/>
          <w:b/>
          <w:color w:val="auto"/>
          <w:sz w:val="28"/>
          <w:szCs w:val="28"/>
          <w:highlight w:val="none"/>
          <w:lang w:val="en-US" w:bidi="ar-SA"/>
        </w:rPr>
        <w:t>监狱企业证明文件</w:t>
      </w:r>
      <w:bookmarkEnd w:id="383"/>
      <w:r>
        <w:rPr>
          <w:rFonts w:hint="eastAsia" w:ascii="宋体" w:hAnsi="宋体" w:eastAsia="宋体" w:cs="宋体"/>
          <w:b/>
          <w:color w:val="auto"/>
          <w:sz w:val="28"/>
          <w:szCs w:val="28"/>
          <w:highlight w:val="none"/>
          <w:lang w:val="en-US" w:bidi="ar-SA"/>
        </w:rPr>
        <w:t>（按需提供）</w:t>
      </w:r>
      <w:bookmarkEnd w:id="384"/>
      <w:bookmarkEnd w:id="385"/>
      <w:bookmarkEnd w:id="386"/>
    </w:p>
    <w:p w14:paraId="49E37771">
      <w:pPr>
        <w:autoSpaceDE/>
        <w:autoSpaceDN/>
        <w:jc w:val="both"/>
        <w:rPr>
          <w:rFonts w:ascii="宋体" w:hAnsi="宋体" w:eastAsia="宋体" w:cs="宋体"/>
          <w:color w:val="auto"/>
          <w:kern w:val="2"/>
          <w:sz w:val="21"/>
          <w:szCs w:val="24"/>
          <w:highlight w:val="none"/>
          <w:lang w:val="en-US" w:bidi="ar-SA"/>
        </w:rPr>
      </w:pPr>
    </w:p>
    <w:p w14:paraId="0737CF52">
      <w:pPr>
        <w:autoSpaceDE/>
        <w:autoSpaceDN/>
        <w:spacing w:line="360" w:lineRule="auto"/>
        <w:ind w:firstLine="420" w:firstLineChars="20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根据《财政部司法部关于政府采购支持监狱企业发展有关问题的通知》（财库〔</w:t>
      </w:r>
      <w:r>
        <w:rPr>
          <w:rFonts w:hint="eastAsia" w:asciiTheme="majorEastAsia" w:hAnsiTheme="majorEastAsia" w:eastAsiaTheme="majorEastAsia" w:cstheme="majorEastAsia"/>
          <w:color w:val="auto"/>
          <w:kern w:val="2"/>
          <w:sz w:val="21"/>
          <w:szCs w:val="21"/>
          <w:highlight w:val="none"/>
          <w:lang w:val="en-US" w:bidi="ar-SA"/>
        </w:rPr>
        <w:t>2014</w:t>
      </w:r>
      <w:r>
        <w:rPr>
          <w:rFonts w:hint="eastAsia" w:ascii="宋体" w:hAnsi="宋体" w:eastAsia="宋体" w:cs="宋体"/>
          <w:color w:val="auto"/>
          <w:kern w:val="2"/>
          <w:sz w:val="21"/>
          <w:szCs w:val="21"/>
          <w:highlight w:val="none"/>
          <w:lang w:val="en-US" w:bidi="ar-SA"/>
        </w:rPr>
        <w:t>〕</w:t>
      </w:r>
      <w:r>
        <w:rPr>
          <w:rFonts w:hint="eastAsia" w:asciiTheme="majorEastAsia" w:hAnsiTheme="majorEastAsia" w:eastAsiaTheme="majorEastAsia" w:cstheme="majorEastAsia"/>
          <w:color w:val="auto"/>
          <w:kern w:val="2"/>
          <w:sz w:val="21"/>
          <w:szCs w:val="21"/>
          <w:highlight w:val="none"/>
          <w:lang w:val="en-US" w:bidi="ar-SA"/>
        </w:rPr>
        <w:t>68</w:t>
      </w:r>
      <w:r>
        <w:rPr>
          <w:rFonts w:hint="eastAsia" w:ascii="宋体" w:hAnsi="宋体" w:eastAsia="宋体" w:cs="宋体"/>
          <w:color w:val="auto"/>
          <w:kern w:val="2"/>
          <w:sz w:val="21"/>
          <w:szCs w:val="21"/>
          <w:highlight w:val="none"/>
          <w:lang w:val="en-US" w:bidi="ar-SA"/>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88B43B">
      <w:pPr>
        <w:autoSpaceDE/>
        <w:autoSpaceDN/>
        <w:spacing w:line="360" w:lineRule="auto"/>
        <w:ind w:firstLine="315" w:firstLineChars="150"/>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监狱企业参加政府采购活动时，应当提供由省级以上监狱管理局、戒毒管理局（含新疆生产建设兵团）出具的属于监狱企业的证明文件。</w:t>
      </w:r>
      <w:bookmarkEnd w:id="387"/>
    </w:p>
    <w:p w14:paraId="5677086B">
      <w:pPr>
        <w:pStyle w:val="11"/>
        <w:spacing w:before="6"/>
        <w:rPr>
          <w:rFonts w:ascii="宋体" w:hAnsi="宋体" w:eastAsia="宋体" w:cs="宋体"/>
          <w:color w:val="auto"/>
          <w:sz w:val="28"/>
          <w:szCs w:val="28"/>
          <w:highlight w:val="none"/>
        </w:rPr>
      </w:pPr>
    </w:p>
    <w:p w14:paraId="50004270">
      <w:pPr>
        <w:pStyle w:val="11"/>
        <w:spacing w:before="1"/>
        <w:rPr>
          <w:rFonts w:ascii="宋体" w:hAnsi="宋体" w:eastAsia="宋体" w:cs="宋体"/>
          <w:color w:val="auto"/>
          <w:sz w:val="28"/>
          <w:szCs w:val="28"/>
          <w:highlight w:val="none"/>
        </w:rPr>
      </w:pPr>
    </w:p>
    <w:p w14:paraId="5E480ADE">
      <w:pPr>
        <w:pStyle w:val="38"/>
        <w:rPr>
          <w:rFonts w:ascii="宋体" w:hAnsi="宋体" w:eastAsia="宋体" w:cs="宋体"/>
          <w:color w:val="auto"/>
          <w:kern w:val="1"/>
          <w:highlight w:val="none"/>
        </w:rPr>
      </w:pPr>
    </w:p>
    <w:p w14:paraId="4311EF74">
      <w:pPr>
        <w:pStyle w:val="38"/>
        <w:rPr>
          <w:rFonts w:ascii="宋体" w:hAnsi="宋体" w:eastAsia="宋体" w:cs="宋体"/>
          <w:color w:val="auto"/>
          <w:kern w:val="1"/>
          <w:highlight w:val="none"/>
        </w:rPr>
      </w:pPr>
    </w:p>
    <w:p w14:paraId="62738533">
      <w:pPr>
        <w:autoSpaceDE/>
        <w:autoSpaceDN/>
        <w:spacing w:line="360" w:lineRule="auto"/>
        <w:ind w:firstLine="420" w:firstLineChars="200"/>
        <w:rPr>
          <w:rFonts w:ascii="宋体" w:hAnsi="宋体" w:eastAsia="宋体" w:cs="宋体"/>
          <w:color w:val="auto"/>
          <w:kern w:val="2"/>
          <w:sz w:val="21"/>
          <w:szCs w:val="21"/>
          <w:highlight w:val="none"/>
          <w:lang w:val="en-US" w:bidi="ar-SA"/>
        </w:rPr>
        <w:sectPr>
          <w:pgSz w:w="11911" w:h="16838"/>
          <w:pgMar w:top="1134" w:right="1134" w:bottom="1134" w:left="1134" w:header="850" w:footer="850" w:gutter="0"/>
          <w:pgNumType w:fmt="numberInDash"/>
          <w:cols w:space="720" w:num="1"/>
          <w:docGrid w:linePitch="1" w:charSpace="0"/>
        </w:sectPr>
      </w:pPr>
      <w:r>
        <w:rPr>
          <w:rFonts w:hint="eastAsia" w:ascii="宋体" w:hAnsi="宋体" w:eastAsia="宋体" w:cs="宋体"/>
          <w:color w:val="auto"/>
          <w:kern w:val="2"/>
          <w:sz w:val="21"/>
          <w:szCs w:val="21"/>
          <w:highlight w:val="none"/>
          <w:lang w:val="en-US" w:bidi="ar-SA"/>
        </w:rPr>
        <w:t>注：符合条件的监狱企业在参加政府采购活动时，应当按《财政部 司法部关于政府采购支持监狱企业发展有关问题的通知》（财库[</w:t>
      </w:r>
      <w:r>
        <w:rPr>
          <w:rFonts w:hint="eastAsia" w:asciiTheme="majorEastAsia" w:hAnsiTheme="majorEastAsia" w:eastAsiaTheme="majorEastAsia" w:cstheme="majorEastAsia"/>
          <w:color w:val="auto"/>
          <w:kern w:val="2"/>
          <w:sz w:val="21"/>
          <w:szCs w:val="21"/>
          <w:highlight w:val="none"/>
          <w:lang w:val="en-US" w:bidi="ar-SA"/>
        </w:rPr>
        <w:t>2014</w:t>
      </w:r>
      <w:r>
        <w:rPr>
          <w:rFonts w:hint="eastAsia" w:ascii="宋体" w:hAnsi="宋体" w:eastAsia="宋体" w:cs="宋体"/>
          <w:color w:val="auto"/>
          <w:kern w:val="2"/>
          <w:sz w:val="21"/>
          <w:szCs w:val="21"/>
          <w:highlight w:val="none"/>
          <w:lang w:val="en-US" w:bidi="ar-SA"/>
        </w:rPr>
        <w:t>]</w:t>
      </w:r>
      <w:r>
        <w:rPr>
          <w:rFonts w:hint="eastAsia" w:asciiTheme="majorEastAsia" w:hAnsiTheme="majorEastAsia" w:eastAsiaTheme="majorEastAsia" w:cstheme="majorEastAsia"/>
          <w:color w:val="auto"/>
          <w:kern w:val="2"/>
          <w:sz w:val="21"/>
          <w:szCs w:val="21"/>
          <w:highlight w:val="none"/>
          <w:lang w:val="en-US" w:bidi="ar-SA"/>
        </w:rPr>
        <w:t>68</w:t>
      </w:r>
      <w:r>
        <w:rPr>
          <w:rFonts w:hint="eastAsia" w:ascii="宋体" w:hAnsi="宋体" w:eastAsia="宋体" w:cs="宋体"/>
          <w:color w:val="auto"/>
          <w:kern w:val="2"/>
          <w:sz w:val="21"/>
          <w:szCs w:val="21"/>
          <w:highlight w:val="none"/>
          <w:lang w:val="en-US" w:bidi="ar-SA"/>
        </w:rPr>
        <w:t>号）提供“监狱企业证明文件”，并对声明的真实性负责。</w:t>
      </w:r>
    </w:p>
    <w:p w14:paraId="0CE4A203">
      <w:pPr>
        <w:spacing w:after="100" w:line="360" w:lineRule="auto"/>
        <w:jc w:val="both"/>
        <w:outlineLvl w:val="2"/>
        <w:rPr>
          <w:rFonts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lang w:val="en-US"/>
        </w:rPr>
        <w:t>8.本项目特定的资格要求：</w:t>
      </w:r>
    </w:p>
    <w:p w14:paraId="2FB4764D">
      <w:pPr>
        <w:spacing w:after="100" w:line="360" w:lineRule="auto"/>
        <w:ind w:firstLine="420" w:firstLineChars="200"/>
        <w:jc w:val="both"/>
        <w:rPr>
          <w:rFonts w:ascii="宋体" w:hAnsi="宋体" w:eastAsia="宋体" w:cs="宋体"/>
          <w:color w:val="auto"/>
          <w:sz w:val="28"/>
          <w:szCs w:val="28"/>
          <w:highlight w:val="none"/>
          <w:lang w:val="en-US"/>
        </w:rPr>
        <w:sectPr>
          <w:pgSz w:w="11911" w:h="16838"/>
          <w:pgMar w:top="1134" w:right="1134" w:bottom="1134" w:left="1134" w:header="850" w:footer="850" w:gutter="0"/>
          <w:pgNumType w:fmt="numberInDash"/>
          <w:cols w:space="720" w:num="1"/>
          <w:docGrid w:linePitch="1" w:charSpace="0"/>
        </w:sectPr>
      </w:pPr>
      <w:r>
        <w:rPr>
          <w:rFonts w:hint="eastAsia" w:ascii="宋体" w:hAnsi="宋体" w:eastAsia="宋体" w:cs="宋体"/>
          <w:color w:val="auto"/>
          <w:sz w:val="21"/>
          <w:szCs w:val="21"/>
          <w:highlight w:val="none"/>
          <w:lang w:val="en-US"/>
        </w:rPr>
        <w:t>单位负责人为同一人或者存在直接控股、管理关系的不同投标人，不得参加同一合同项下的政府采购活动，提供承诺书（格式自拟，原件加盖电子公章）；</w:t>
      </w:r>
    </w:p>
    <w:p w14:paraId="7FA61CDD">
      <w:pPr>
        <w:spacing w:after="100" w:line="360" w:lineRule="auto"/>
        <w:jc w:val="both"/>
        <w:outlineLvl w:val="2"/>
        <w:rPr>
          <w:rFonts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lang w:val="en-US"/>
        </w:rPr>
        <w:t>9.其他需提供资格证明材料：</w:t>
      </w:r>
    </w:p>
    <w:p w14:paraId="59BE45D2">
      <w:pPr>
        <w:spacing w:line="360" w:lineRule="auto"/>
        <w:ind w:firstLine="420" w:firstLineChars="200"/>
        <w:jc w:val="both"/>
        <w:rPr>
          <w:rFonts w:ascii="宋体" w:hAnsi="宋体" w:eastAsia="宋体" w:cs="宋体"/>
          <w:color w:val="auto"/>
          <w:sz w:val="21"/>
          <w:szCs w:val="21"/>
          <w:highlight w:val="none"/>
          <w:lang w:val="en-US"/>
        </w:rPr>
        <w:sectPr>
          <w:pgSz w:w="11911" w:h="16838"/>
          <w:pgMar w:top="1134" w:right="1134" w:bottom="1134" w:left="1134" w:header="850" w:footer="850" w:gutter="0"/>
          <w:pgNumType w:fmt="numberInDash"/>
          <w:cols w:space="720" w:num="1"/>
          <w:docGrid w:linePitch="1" w:charSpace="0"/>
        </w:sectPr>
      </w:pPr>
      <w:r>
        <w:rPr>
          <w:rFonts w:hint="eastAsia" w:ascii="宋体" w:hAnsi="宋体" w:eastAsia="宋体" w:cs="宋体"/>
          <w:color w:val="auto"/>
          <w:sz w:val="21"/>
          <w:szCs w:val="21"/>
          <w:highlight w:val="none"/>
          <w:lang w:val="en-US"/>
        </w:rPr>
        <w:t>采购文件中所涉及到的相关资料及证明文件或投标人认为必须提供的其他相关资料。</w:t>
      </w:r>
    </w:p>
    <w:p w14:paraId="69132E31">
      <w:pPr>
        <w:pStyle w:val="4"/>
        <w:jc w:val="both"/>
        <w:rPr>
          <w:rFonts w:hint="default" w:eastAsia="宋体" w:cs="宋体"/>
          <w:color w:val="auto"/>
          <w:highlight w:val="none"/>
        </w:rPr>
      </w:pPr>
      <w:bookmarkStart w:id="388" w:name="_Toc19315"/>
      <w:bookmarkStart w:id="389" w:name="_Toc16482"/>
      <w:bookmarkStart w:id="390" w:name="_Toc12731"/>
      <w:bookmarkStart w:id="391" w:name="_Toc401"/>
      <w:bookmarkStart w:id="392" w:name="_Toc30798"/>
      <w:bookmarkStart w:id="393" w:name="_Toc9121"/>
      <w:bookmarkStart w:id="394" w:name="_Toc14018"/>
      <w:bookmarkStart w:id="395" w:name="_Toc28853"/>
      <w:bookmarkStart w:id="396" w:name="_Toc24004"/>
      <w:bookmarkStart w:id="397" w:name="_Toc21537"/>
      <w:r>
        <w:rPr>
          <w:rFonts w:eastAsia="宋体" w:cs="宋体"/>
          <w:color w:val="auto"/>
          <w:highlight w:val="none"/>
        </w:rPr>
        <w:t>二、</w:t>
      </w:r>
      <w:bookmarkEnd w:id="388"/>
      <w:bookmarkEnd w:id="389"/>
      <w:bookmarkEnd w:id="390"/>
      <w:bookmarkEnd w:id="391"/>
      <w:bookmarkEnd w:id="392"/>
      <w:r>
        <w:rPr>
          <w:rFonts w:eastAsia="宋体" w:cs="宋体"/>
          <w:color w:val="auto"/>
          <w:highlight w:val="none"/>
        </w:rPr>
        <w:t>投标报价文件</w:t>
      </w:r>
    </w:p>
    <w:p w14:paraId="6DB8B0B8">
      <w:pPr>
        <w:pStyle w:val="5"/>
        <w:jc w:val="both"/>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1.开标一览表</w:t>
      </w:r>
      <w:bookmarkEnd w:id="393"/>
      <w:bookmarkEnd w:id="394"/>
      <w:bookmarkEnd w:id="395"/>
    </w:p>
    <w:p w14:paraId="2E4FA228">
      <w:pPr>
        <w:pStyle w:val="11"/>
        <w:wordWrap w:val="0"/>
        <w:overflowPunct w:val="0"/>
        <w:spacing w:line="243" w:lineRule="auto"/>
        <w:ind w:right="13"/>
        <w:rPr>
          <w:rFonts w:ascii="宋体" w:hAnsi="宋体" w:eastAsia="宋体" w:cs="宋体"/>
          <w:color w:val="auto"/>
          <w:sz w:val="21"/>
          <w:szCs w:val="21"/>
          <w:highlight w:val="none"/>
        </w:rPr>
      </w:pPr>
    </w:p>
    <w:p w14:paraId="70AA2205">
      <w:pPr>
        <w:keepNext/>
        <w:keepLines/>
        <w:spacing w:before="100" w:after="100" w:line="360" w:lineRule="auto"/>
        <w:jc w:val="center"/>
        <w:rPr>
          <w:rFonts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lang w:val="en-US"/>
        </w:rPr>
        <w:t>开标一览表</w:t>
      </w:r>
    </w:p>
    <w:tbl>
      <w:tblPr>
        <w:tblStyle w:val="28"/>
        <w:tblpPr w:leftFromText="180" w:rightFromText="180" w:vertAnchor="text" w:horzAnchor="page" w:tblpXSpec="center" w:tblpY="125"/>
        <w:tblOverlap w:val="never"/>
        <w:tblW w:w="9628" w:type="dxa"/>
        <w:jc w:val="center"/>
        <w:tblBorders>
          <w:top w:val="thickThinMediumGap" w:color="000000" w:sz="12" w:space="0"/>
          <w:left w:val="thickThinMediumGap" w:color="000000" w:sz="12" w:space="0"/>
          <w:bottom w:val="thickThinMediumGap" w:color="000000" w:sz="12" w:space="0"/>
          <w:right w:val="thickThinMediumGap" w:color="000000" w:sz="12" w:space="0"/>
          <w:insideH w:val="thickThinMediumGap" w:color="000000" w:sz="12" w:space="0"/>
          <w:insideV w:val="thickThinMediumGap" w:color="000000" w:sz="12" w:space="0"/>
        </w:tblBorders>
        <w:tblLayout w:type="fixed"/>
        <w:tblCellMar>
          <w:top w:w="0" w:type="dxa"/>
          <w:left w:w="0" w:type="dxa"/>
          <w:bottom w:w="0" w:type="dxa"/>
          <w:right w:w="0" w:type="dxa"/>
        </w:tblCellMar>
      </w:tblPr>
      <w:tblGrid>
        <w:gridCol w:w="3057"/>
        <w:gridCol w:w="6571"/>
      </w:tblGrid>
      <w:tr w14:paraId="05BC330D">
        <w:tblPrEx>
          <w:tblBorders>
            <w:top w:val="thickThinMediumGap" w:color="000000" w:sz="12" w:space="0"/>
            <w:left w:val="thickThinMediumGap" w:color="000000" w:sz="12" w:space="0"/>
            <w:bottom w:val="thickThinMediumGap" w:color="000000" w:sz="12" w:space="0"/>
            <w:right w:val="thickThinMediumGap" w:color="000000" w:sz="12" w:space="0"/>
            <w:insideH w:val="thickThinMediumGap" w:color="000000" w:sz="12" w:space="0"/>
            <w:insideV w:val="thickThinMediumGap" w:color="000000" w:sz="12" w:space="0"/>
          </w:tblBorders>
          <w:tblCellMar>
            <w:top w:w="0" w:type="dxa"/>
            <w:left w:w="0" w:type="dxa"/>
            <w:bottom w:w="0" w:type="dxa"/>
            <w:right w:w="0" w:type="dxa"/>
          </w:tblCellMar>
        </w:tblPrEx>
        <w:trPr>
          <w:trHeight w:val="701" w:hRule="atLeast"/>
          <w:jc w:val="center"/>
        </w:trPr>
        <w:tc>
          <w:tcPr>
            <w:tcW w:w="3057" w:type="dxa"/>
            <w:vMerge w:val="restart"/>
            <w:tcBorders>
              <w:right w:val="single" w:color="000000" w:sz="4" w:space="0"/>
            </w:tcBorders>
            <w:vAlign w:val="center"/>
          </w:tcPr>
          <w:p w14:paraId="5CE4C381">
            <w:pPr>
              <w:pStyle w:val="42"/>
              <w:ind w:left="19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w:t>
            </w:r>
          </w:p>
        </w:tc>
        <w:tc>
          <w:tcPr>
            <w:tcW w:w="6571" w:type="dxa"/>
            <w:tcBorders>
              <w:left w:val="single" w:color="000000" w:sz="4" w:space="0"/>
              <w:bottom w:val="single" w:color="000000" w:sz="4" w:space="0"/>
            </w:tcBorders>
          </w:tcPr>
          <w:p w14:paraId="2C265B25">
            <w:pPr>
              <w:pStyle w:val="42"/>
              <w:spacing w:before="202"/>
              <w:ind w:left="13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r>
      <w:tr w14:paraId="2EE262D3">
        <w:tblPrEx>
          <w:tblBorders>
            <w:top w:val="thickThinMediumGap" w:color="000000" w:sz="12" w:space="0"/>
            <w:left w:val="thickThinMediumGap" w:color="000000" w:sz="12" w:space="0"/>
            <w:bottom w:val="thickThinMediumGap" w:color="000000" w:sz="12" w:space="0"/>
            <w:right w:val="thickThinMediumGap" w:color="000000" w:sz="12" w:space="0"/>
            <w:insideH w:val="thickThinMediumGap" w:color="000000" w:sz="12" w:space="0"/>
            <w:insideV w:val="thickThinMediumGap" w:color="000000" w:sz="12" w:space="0"/>
          </w:tblBorders>
          <w:tblCellMar>
            <w:top w:w="0" w:type="dxa"/>
            <w:left w:w="0" w:type="dxa"/>
            <w:bottom w:w="0" w:type="dxa"/>
            <w:right w:w="0" w:type="dxa"/>
          </w:tblCellMar>
        </w:tblPrEx>
        <w:trPr>
          <w:trHeight w:val="637" w:hRule="atLeast"/>
          <w:jc w:val="center"/>
        </w:trPr>
        <w:tc>
          <w:tcPr>
            <w:tcW w:w="3057" w:type="dxa"/>
            <w:vMerge w:val="continue"/>
            <w:tcBorders>
              <w:bottom w:val="single" w:color="000000" w:sz="4" w:space="0"/>
              <w:right w:val="single" w:color="000000" w:sz="4" w:space="0"/>
            </w:tcBorders>
            <w:vAlign w:val="center"/>
          </w:tcPr>
          <w:p w14:paraId="6222AFFD">
            <w:pPr>
              <w:jc w:val="center"/>
              <w:rPr>
                <w:rFonts w:ascii="宋体" w:hAnsi="宋体" w:eastAsia="宋体" w:cs="宋体"/>
                <w:color w:val="auto"/>
                <w:sz w:val="21"/>
                <w:szCs w:val="21"/>
                <w:highlight w:val="none"/>
              </w:rPr>
            </w:pPr>
          </w:p>
        </w:tc>
        <w:tc>
          <w:tcPr>
            <w:tcW w:w="6571" w:type="dxa"/>
            <w:tcBorders>
              <w:top w:val="single" w:color="000000" w:sz="4" w:space="0"/>
              <w:left w:val="single" w:color="000000" w:sz="4" w:space="0"/>
              <w:bottom w:val="single" w:color="000000" w:sz="4" w:space="0"/>
            </w:tcBorders>
          </w:tcPr>
          <w:p w14:paraId="1249E163">
            <w:pPr>
              <w:pStyle w:val="42"/>
              <w:spacing w:before="192"/>
              <w:ind w:left="13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tc>
      </w:tr>
      <w:tr w14:paraId="349E1298">
        <w:tblPrEx>
          <w:tblBorders>
            <w:top w:val="thickThinMediumGap" w:color="000000" w:sz="12" w:space="0"/>
            <w:left w:val="thickThinMediumGap" w:color="000000" w:sz="12" w:space="0"/>
            <w:bottom w:val="thickThinMediumGap" w:color="000000" w:sz="12" w:space="0"/>
            <w:right w:val="thickThinMediumGap" w:color="000000" w:sz="12" w:space="0"/>
            <w:insideH w:val="thickThinMediumGap" w:color="000000" w:sz="12" w:space="0"/>
            <w:insideV w:val="thickThinMediumGap" w:color="000000" w:sz="12" w:space="0"/>
          </w:tblBorders>
          <w:tblCellMar>
            <w:top w:w="0" w:type="dxa"/>
            <w:left w:w="0" w:type="dxa"/>
            <w:bottom w:w="0" w:type="dxa"/>
            <w:right w:w="0" w:type="dxa"/>
          </w:tblCellMar>
        </w:tblPrEx>
        <w:trPr>
          <w:trHeight w:val="634" w:hRule="atLeast"/>
          <w:jc w:val="center"/>
        </w:trPr>
        <w:tc>
          <w:tcPr>
            <w:tcW w:w="3057" w:type="dxa"/>
            <w:tcBorders>
              <w:top w:val="single" w:color="000000" w:sz="4" w:space="0"/>
              <w:bottom w:val="single" w:color="000000" w:sz="4" w:space="0"/>
              <w:right w:val="single" w:color="000000" w:sz="4" w:space="0"/>
            </w:tcBorders>
            <w:vAlign w:val="center"/>
          </w:tcPr>
          <w:p w14:paraId="2321C34B">
            <w:pPr>
              <w:pStyle w:val="42"/>
              <w:spacing w:before="193"/>
              <w:ind w:left="538" w:right="524"/>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合同履约期限</w:t>
            </w:r>
          </w:p>
          <w:p w14:paraId="3612A155">
            <w:pPr>
              <w:pStyle w:val="42"/>
              <w:spacing w:before="193"/>
              <w:ind w:left="538" w:right="524"/>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（服务期限）</w:t>
            </w:r>
          </w:p>
        </w:tc>
        <w:tc>
          <w:tcPr>
            <w:tcW w:w="6571" w:type="dxa"/>
            <w:tcBorders>
              <w:top w:val="single" w:color="000000" w:sz="4" w:space="0"/>
              <w:left w:val="single" w:color="000000" w:sz="4" w:space="0"/>
              <w:bottom w:val="single" w:color="000000" w:sz="4" w:space="0"/>
            </w:tcBorders>
          </w:tcPr>
          <w:p w14:paraId="48183340">
            <w:pPr>
              <w:pStyle w:val="42"/>
              <w:rPr>
                <w:rFonts w:ascii="宋体" w:hAnsi="宋体" w:eastAsia="宋体" w:cs="宋体"/>
                <w:color w:val="auto"/>
                <w:sz w:val="21"/>
                <w:szCs w:val="21"/>
                <w:highlight w:val="none"/>
              </w:rPr>
            </w:pPr>
          </w:p>
        </w:tc>
      </w:tr>
      <w:tr w14:paraId="6DCC994C">
        <w:tblPrEx>
          <w:tblBorders>
            <w:top w:val="thickThinMediumGap" w:color="000000" w:sz="12" w:space="0"/>
            <w:left w:val="thickThinMediumGap" w:color="000000" w:sz="12" w:space="0"/>
            <w:bottom w:val="thickThinMediumGap" w:color="000000" w:sz="12" w:space="0"/>
            <w:right w:val="thickThinMediumGap" w:color="000000" w:sz="12" w:space="0"/>
            <w:insideH w:val="thickThinMediumGap" w:color="000000" w:sz="12" w:space="0"/>
            <w:insideV w:val="thickThinMediumGap" w:color="000000" w:sz="12" w:space="0"/>
          </w:tblBorders>
          <w:tblCellMar>
            <w:top w:w="0" w:type="dxa"/>
            <w:left w:w="0" w:type="dxa"/>
            <w:bottom w:w="0" w:type="dxa"/>
            <w:right w:w="0" w:type="dxa"/>
          </w:tblCellMar>
        </w:tblPrEx>
        <w:trPr>
          <w:trHeight w:val="615" w:hRule="atLeast"/>
          <w:jc w:val="center"/>
        </w:trPr>
        <w:tc>
          <w:tcPr>
            <w:tcW w:w="3057" w:type="dxa"/>
            <w:tcBorders>
              <w:top w:val="single" w:color="000000" w:sz="4" w:space="0"/>
              <w:bottom w:val="single" w:color="000000" w:sz="4" w:space="0"/>
              <w:right w:val="single" w:color="000000" w:sz="4" w:space="0"/>
            </w:tcBorders>
            <w:vAlign w:val="center"/>
          </w:tcPr>
          <w:p w14:paraId="4F7A3A2F">
            <w:pPr>
              <w:pStyle w:val="42"/>
              <w:ind w:left="538" w:right="52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质量承诺</w:t>
            </w:r>
          </w:p>
        </w:tc>
        <w:tc>
          <w:tcPr>
            <w:tcW w:w="6571" w:type="dxa"/>
            <w:tcBorders>
              <w:top w:val="single" w:color="000000" w:sz="4" w:space="0"/>
              <w:left w:val="single" w:color="000000" w:sz="4" w:space="0"/>
              <w:bottom w:val="single" w:color="000000" w:sz="4" w:space="0"/>
            </w:tcBorders>
          </w:tcPr>
          <w:p w14:paraId="17F64813">
            <w:pPr>
              <w:pStyle w:val="42"/>
              <w:rPr>
                <w:rFonts w:ascii="宋体" w:hAnsi="宋体" w:eastAsia="宋体" w:cs="宋体"/>
                <w:color w:val="auto"/>
                <w:sz w:val="21"/>
                <w:szCs w:val="21"/>
                <w:highlight w:val="none"/>
              </w:rPr>
            </w:pPr>
          </w:p>
        </w:tc>
      </w:tr>
      <w:tr w14:paraId="51F45C6A">
        <w:tblPrEx>
          <w:tblBorders>
            <w:top w:val="thickThinMediumGap" w:color="000000" w:sz="12" w:space="0"/>
            <w:left w:val="thickThinMediumGap" w:color="000000" w:sz="12" w:space="0"/>
            <w:bottom w:val="thickThinMediumGap" w:color="000000" w:sz="12" w:space="0"/>
            <w:right w:val="thickThinMediumGap" w:color="000000" w:sz="12" w:space="0"/>
            <w:insideH w:val="thickThinMediumGap" w:color="000000" w:sz="12" w:space="0"/>
            <w:insideV w:val="thickThinMediumGap" w:color="000000" w:sz="12" w:space="0"/>
          </w:tblBorders>
          <w:tblCellMar>
            <w:top w:w="0" w:type="dxa"/>
            <w:left w:w="0" w:type="dxa"/>
            <w:bottom w:w="0" w:type="dxa"/>
            <w:right w:w="0" w:type="dxa"/>
          </w:tblCellMar>
        </w:tblPrEx>
        <w:trPr>
          <w:trHeight w:val="580" w:hRule="atLeast"/>
          <w:jc w:val="center"/>
        </w:trPr>
        <w:tc>
          <w:tcPr>
            <w:tcW w:w="3057" w:type="dxa"/>
            <w:tcBorders>
              <w:top w:val="single" w:color="000000" w:sz="4" w:space="0"/>
              <w:bottom w:val="single" w:color="000000" w:sz="4" w:space="0"/>
              <w:right w:val="single" w:color="000000" w:sz="4" w:space="0"/>
            </w:tcBorders>
            <w:vAlign w:val="center"/>
          </w:tcPr>
          <w:p w14:paraId="269F7CD2">
            <w:pPr>
              <w:widowControl/>
              <w:autoSpaceDE/>
              <w:autoSpaceDN/>
              <w:spacing w:line="240" w:lineRule="atLeast"/>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服务地点</w:t>
            </w:r>
          </w:p>
        </w:tc>
        <w:tc>
          <w:tcPr>
            <w:tcW w:w="6571" w:type="dxa"/>
            <w:tcBorders>
              <w:top w:val="single" w:color="000000" w:sz="4" w:space="0"/>
              <w:left w:val="single" w:color="000000" w:sz="4" w:space="0"/>
              <w:bottom w:val="single" w:color="000000" w:sz="4" w:space="0"/>
            </w:tcBorders>
            <w:vAlign w:val="center"/>
          </w:tcPr>
          <w:p w14:paraId="14669F25">
            <w:pPr>
              <w:widowControl/>
              <w:wordWrap w:val="0"/>
              <w:overflowPunct w:val="0"/>
              <w:autoSpaceDE/>
              <w:autoSpaceDN/>
              <w:spacing w:line="240" w:lineRule="atLeast"/>
              <w:jc w:val="both"/>
              <w:rPr>
                <w:rFonts w:ascii="宋体" w:hAnsi="宋体" w:eastAsia="宋体" w:cs="宋体"/>
                <w:color w:val="auto"/>
                <w:sz w:val="21"/>
                <w:szCs w:val="21"/>
                <w:highlight w:val="none"/>
              </w:rPr>
            </w:pPr>
          </w:p>
        </w:tc>
      </w:tr>
      <w:tr w14:paraId="5441C127">
        <w:tblPrEx>
          <w:tblBorders>
            <w:top w:val="thickThinMediumGap" w:color="000000" w:sz="12" w:space="0"/>
            <w:left w:val="thickThinMediumGap" w:color="000000" w:sz="12" w:space="0"/>
            <w:bottom w:val="thickThinMediumGap" w:color="000000" w:sz="12" w:space="0"/>
            <w:right w:val="thickThinMediumGap" w:color="000000" w:sz="12" w:space="0"/>
            <w:insideH w:val="thickThinMediumGap" w:color="000000" w:sz="12" w:space="0"/>
            <w:insideV w:val="thickThinMediumGap" w:color="000000" w:sz="12" w:space="0"/>
          </w:tblBorders>
          <w:tblCellMar>
            <w:top w:w="0" w:type="dxa"/>
            <w:left w:w="0" w:type="dxa"/>
            <w:bottom w:w="0" w:type="dxa"/>
            <w:right w:w="0" w:type="dxa"/>
          </w:tblCellMar>
        </w:tblPrEx>
        <w:trPr>
          <w:trHeight w:val="580" w:hRule="atLeast"/>
          <w:jc w:val="center"/>
        </w:trPr>
        <w:tc>
          <w:tcPr>
            <w:tcW w:w="3057" w:type="dxa"/>
            <w:tcBorders>
              <w:top w:val="single" w:color="000000" w:sz="4" w:space="0"/>
              <w:bottom w:val="single" w:color="000000" w:sz="4" w:space="0"/>
              <w:right w:val="single" w:color="000000" w:sz="4" w:space="0"/>
            </w:tcBorders>
            <w:vAlign w:val="center"/>
          </w:tcPr>
          <w:p w14:paraId="320A0807">
            <w:pPr>
              <w:widowControl/>
              <w:autoSpaceDE/>
              <w:autoSpaceDN/>
              <w:spacing w:line="240" w:lineRule="atLeas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c>
          <w:tcPr>
            <w:tcW w:w="6571" w:type="dxa"/>
            <w:tcBorders>
              <w:top w:val="single" w:color="000000" w:sz="4" w:space="0"/>
              <w:left w:val="single" w:color="000000" w:sz="4" w:space="0"/>
              <w:bottom w:val="single" w:color="000000" w:sz="4" w:space="0"/>
            </w:tcBorders>
            <w:vAlign w:val="center"/>
          </w:tcPr>
          <w:p w14:paraId="1304E8A0">
            <w:pPr>
              <w:widowControl/>
              <w:wordWrap w:val="0"/>
              <w:overflowPunct w:val="0"/>
              <w:autoSpaceDE/>
              <w:autoSpaceDN/>
              <w:spacing w:line="240" w:lineRule="atLeast"/>
              <w:jc w:val="both"/>
              <w:rPr>
                <w:rFonts w:ascii="宋体" w:hAnsi="宋体" w:eastAsia="宋体" w:cs="宋体"/>
                <w:color w:val="auto"/>
                <w:sz w:val="21"/>
                <w:szCs w:val="21"/>
                <w:highlight w:val="none"/>
              </w:rPr>
            </w:pPr>
          </w:p>
        </w:tc>
      </w:tr>
      <w:tr w14:paraId="1E74532E">
        <w:tblPrEx>
          <w:tblBorders>
            <w:top w:val="thickThinMediumGap" w:color="000000" w:sz="12" w:space="0"/>
            <w:left w:val="thickThinMediumGap" w:color="000000" w:sz="12" w:space="0"/>
            <w:bottom w:val="thickThinMediumGap" w:color="000000" w:sz="12" w:space="0"/>
            <w:right w:val="thickThinMediumGap" w:color="000000" w:sz="12" w:space="0"/>
            <w:insideH w:val="thickThinMediumGap" w:color="000000" w:sz="12" w:space="0"/>
            <w:insideV w:val="thickThinMediumGap" w:color="000000" w:sz="12" w:space="0"/>
          </w:tblBorders>
          <w:tblCellMar>
            <w:top w:w="0" w:type="dxa"/>
            <w:left w:w="0" w:type="dxa"/>
            <w:bottom w:w="0" w:type="dxa"/>
            <w:right w:w="0" w:type="dxa"/>
          </w:tblCellMar>
        </w:tblPrEx>
        <w:trPr>
          <w:trHeight w:val="717" w:hRule="atLeast"/>
          <w:jc w:val="center"/>
        </w:trPr>
        <w:tc>
          <w:tcPr>
            <w:tcW w:w="3057" w:type="dxa"/>
            <w:tcBorders>
              <w:top w:val="single" w:color="000000" w:sz="4" w:space="0"/>
              <w:bottom w:val="thickThinMediumGap" w:color="000000" w:sz="12" w:space="0"/>
              <w:right w:val="single" w:color="000000" w:sz="4" w:space="0"/>
            </w:tcBorders>
            <w:vAlign w:val="center"/>
          </w:tcPr>
          <w:p w14:paraId="7C56DE20">
            <w:pPr>
              <w:pStyle w:val="42"/>
              <w:spacing w:before="1"/>
              <w:ind w:left="538" w:right="524"/>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备注</w:t>
            </w:r>
          </w:p>
        </w:tc>
        <w:tc>
          <w:tcPr>
            <w:tcW w:w="6571" w:type="dxa"/>
            <w:tcBorders>
              <w:top w:val="single" w:color="000000" w:sz="4" w:space="0"/>
              <w:left w:val="single" w:color="000000" w:sz="4" w:space="0"/>
              <w:bottom w:val="thickThinMediumGap" w:color="000000" w:sz="12" w:space="0"/>
            </w:tcBorders>
          </w:tcPr>
          <w:p w14:paraId="2BA34466">
            <w:pPr>
              <w:pStyle w:val="42"/>
              <w:rPr>
                <w:rFonts w:ascii="宋体" w:hAnsi="宋体" w:eastAsia="宋体" w:cs="宋体"/>
                <w:color w:val="auto"/>
                <w:sz w:val="21"/>
                <w:szCs w:val="21"/>
                <w:highlight w:val="none"/>
              </w:rPr>
            </w:pPr>
          </w:p>
        </w:tc>
      </w:tr>
    </w:tbl>
    <w:p w14:paraId="2BDE2E39">
      <w:pPr>
        <w:spacing w:line="360" w:lineRule="auto"/>
        <w:ind w:left="0"/>
        <w:outlineLvl w:val="9"/>
        <w:rPr>
          <w:rFonts w:ascii="宋体" w:hAnsi="宋体" w:eastAsia="宋体" w:cs="宋体"/>
          <w:b w:val="0"/>
          <w:bCs w:val="0"/>
          <w:color w:val="auto"/>
          <w:sz w:val="20"/>
          <w:szCs w:val="20"/>
          <w:highlight w:val="none"/>
          <w:lang w:val="en-US"/>
        </w:rPr>
      </w:pPr>
      <w:r>
        <w:rPr>
          <w:rFonts w:hint="eastAsia" w:ascii="宋体" w:hAnsi="宋体" w:eastAsia="宋体" w:cs="宋体"/>
          <w:b w:val="0"/>
          <w:bCs w:val="0"/>
          <w:color w:val="auto"/>
          <w:sz w:val="20"/>
          <w:szCs w:val="20"/>
          <w:highlight w:val="none"/>
          <w:lang w:val="en-US"/>
        </w:rPr>
        <w:t>注：</w:t>
      </w:r>
    </w:p>
    <w:p w14:paraId="69E5EB7D">
      <w:pPr>
        <w:spacing w:line="360" w:lineRule="auto"/>
        <w:ind w:left="0" w:firstLine="400" w:firstLineChars="200"/>
        <w:outlineLvl w:val="9"/>
        <w:rPr>
          <w:rFonts w:ascii="宋体" w:hAnsi="宋体" w:eastAsia="宋体" w:cs="宋体"/>
          <w:b w:val="0"/>
          <w:bCs w:val="0"/>
          <w:color w:val="auto"/>
          <w:sz w:val="20"/>
          <w:szCs w:val="20"/>
          <w:highlight w:val="none"/>
          <w:lang w:val="en-US"/>
        </w:rPr>
      </w:pPr>
      <w:r>
        <w:rPr>
          <w:rFonts w:hint="eastAsia" w:asciiTheme="majorEastAsia" w:hAnsiTheme="majorEastAsia" w:eastAsiaTheme="majorEastAsia" w:cstheme="majorEastAsia"/>
          <w:b w:val="0"/>
          <w:bCs w:val="0"/>
          <w:color w:val="auto"/>
          <w:sz w:val="20"/>
          <w:szCs w:val="20"/>
          <w:highlight w:val="none"/>
          <w:lang w:val="en-US"/>
        </w:rPr>
        <w:t>1</w:t>
      </w:r>
      <w:r>
        <w:rPr>
          <w:rFonts w:hint="eastAsia" w:ascii="宋体" w:hAnsi="宋体" w:eastAsia="宋体" w:cs="宋体"/>
          <w:b w:val="0"/>
          <w:bCs w:val="0"/>
          <w:color w:val="auto"/>
          <w:sz w:val="20"/>
          <w:szCs w:val="20"/>
          <w:highlight w:val="none"/>
          <w:lang w:val="en-US"/>
        </w:rPr>
        <w:t>.</w:t>
      </w:r>
      <w:bookmarkStart w:id="398" w:name="四、资格审查文件部分"/>
      <w:bookmarkEnd w:id="398"/>
      <w:r>
        <w:rPr>
          <w:rFonts w:hint="eastAsia" w:ascii="宋体" w:hAnsi="宋体" w:eastAsia="宋体" w:cs="宋体"/>
          <w:b w:val="0"/>
          <w:bCs w:val="0"/>
          <w:color w:val="auto"/>
          <w:sz w:val="20"/>
          <w:szCs w:val="20"/>
          <w:highlight w:val="none"/>
          <w:lang w:val="en-US"/>
        </w:rPr>
        <w:t>开标时，投标文件中开标一览表(报价表)内容与投标文件中明细表内容不一致的，以开标一览表(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229D914C">
      <w:pPr>
        <w:spacing w:line="360" w:lineRule="auto"/>
        <w:ind w:firstLine="400" w:firstLineChars="200"/>
        <w:outlineLvl w:val="9"/>
        <w:rPr>
          <w:rFonts w:ascii="宋体" w:hAnsi="宋体" w:eastAsia="宋体" w:cs="宋体"/>
          <w:color w:val="auto"/>
          <w:sz w:val="20"/>
          <w:szCs w:val="20"/>
          <w:highlight w:val="none"/>
          <w:lang w:val="en-US"/>
        </w:rPr>
      </w:pPr>
      <w:r>
        <w:rPr>
          <w:rFonts w:hint="eastAsia" w:asciiTheme="majorEastAsia" w:hAnsiTheme="majorEastAsia" w:eastAsiaTheme="majorEastAsia" w:cstheme="majorEastAsia"/>
          <w:color w:val="auto"/>
          <w:sz w:val="20"/>
          <w:szCs w:val="20"/>
          <w:highlight w:val="none"/>
          <w:lang w:val="en-US" w:eastAsia="zh-CN"/>
        </w:rPr>
        <w:t>2</w:t>
      </w:r>
      <w:r>
        <w:rPr>
          <w:rFonts w:hint="eastAsia" w:ascii="宋体" w:hAnsi="宋体" w:eastAsia="宋体" w:cs="宋体"/>
          <w:color w:val="auto"/>
          <w:sz w:val="20"/>
          <w:szCs w:val="20"/>
          <w:highlight w:val="none"/>
          <w:lang w:val="en-US"/>
        </w:rPr>
        <w:t>.此表中的投标报价即为最终报价，不允许另有折扣说明。</w:t>
      </w:r>
    </w:p>
    <w:p w14:paraId="245E979F">
      <w:pPr>
        <w:wordWrap w:val="0"/>
        <w:overflowPunct w:val="0"/>
        <w:spacing w:before="100" w:after="100" w:line="360" w:lineRule="auto"/>
        <w:rPr>
          <w:rFonts w:ascii="宋体" w:hAnsi="宋体" w:eastAsia="宋体" w:cs="宋体"/>
          <w:color w:val="auto"/>
          <w:sz w:val="21"/>
          <w:szCs w:val="21"/>
          <w:highlight w:val="none"/>
        </w:rPr>
      </w:pPr>
    </w:p>
    <w:p w14:paraId="433D7FDB">
      <w:pPr>
        <w:wordWrap w:val="0"/>
        <w:overflowPunct w:val="0"/>
        <w:spacing w:before="100" w:after="10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（电子签章）</w:t>
      </w:r>
    </w:p>
    <w:p w14:paraId="34DF2DC7">
      <w:pPr>
        <w:wordWrap w:val="0"/>
        <w:overflowPunct w:val="0"/>
        <w:spacing w:before="100" w:after="10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（电子签章）       </w:t>
      </w:r>
    </w:p>
    <w:p w14:paraId="30DC624E">
      <w:pPr>
        <w:wordWrap w:val="0"/>
        <w:overflowPunct w:val="0"/>
        <w:spacing w:before="100" w:after="100" w:line="360" w:lineRule="auto"/>
        <w:rPr>
          <w:rFonts w:ascii="宋体" w:hAnsi="宋体" w:eastAsia="宋体" w:cs="宋体"/>
          <w:color w:val="auto"/>
          <w:sz w:val="21"/>
          <w:szCs w:val="21"/>
          <w:highlight w:val="none"/>
        </w:rPr>
        <w:sectPr>
          <w:footerReference r:id="rId13" w:type="default"/>
          <w:pgSz w:w="11911" w:h="16838"/>
          <w:pgMar w:top="1134" w:right="1134" w:bottom="1134" w:left="1134" w:header="850" w:footer="850" w:gutter="0"/>
          <w:pgNumType w:fmt="numberInDash"/>
          <w:cols w:space="720" w:num="1"/>
          <w:docGrid w:linePitch="1" w:charSpace="0"/>
        </w:sectPr>
      </w:pPr>
      <w:r>
        <w:rPr>
          <w:rFonts w:hint="eastAsia" w:ascii="宋体" w:hAnsi="宋体" w:eastAsia="宋体" w:cs="宋体"/>
          <w:color w:val="auto"/>
          <w:kern w:val="1"/>
          <w:sz w:val="21"/>
          <w:szCs w:val="21"/>
          <w:highlight w:val="none"/>
        </w:rPr>
        <w:t>日期：</w:t>
      </w:r>
      <w:r>
        <w:rPr>
          <w:rFonts w:hint="eastAsia" w:ascii="宋体" w:hAnsi="宋体" w:eastAsia="宋体" w:cs="宋体"/>
          <w:color w:val="auto"/>
          <w:kern w:val="1"/>
          <w:sz w:val="21"/>
          <w:szCs w:val="21"/>
          <w:highlight w:val="none"/>
          <w:u w:val="single"/>
        </w:rPr>
        <w:t>　　　</w:t>
      </w:r>
      <w:r>
        <w:rPr>
          <w:rFonts w:hint="eastAsia" w:ascii="宋体" w:hAnsi="宋体" w:eastAsia="宋体" w:cs="宋体"/>
          <w:color w:val="auto"/>
          <w:kern w:val="1"/>
          <w:sz w:val="21"/>
          <w:szCs w:val="21"/>
          <w:highlight w:val="none"/>
        </w:rPr>
        <w:t>年</w:t>
      </w:r>
      <w:r>
        <w:rPr>
          <w:rFonts w:hint="eastAsia" w:ascii="宋体" w:hAnsi="宋体" w:eastAsia="宋体" w:cs="宋体"/>
          <w:color w:val="auto"/>
          <w:kern w:val="1"/>
          <w:sz w:val="21"/>
          <w:szCs w:val="21"/>
          <w:highlight w:val="none"/>
          <w:u w:val="single"/>
        </w:rPr>
        <w:t>　　</w:t>
      </w:r>
      <w:r>
        <w:rPr>
          <w:rFonts w:hint="eastAsia" w:ascii="宋体" w:hAnsi="宋体" w:eastAsia="宋体" w:cs="宋体"/>
          <w:color w:val="auto"/>
          <w:kern w:val="1"/>
          <w:sz w:val="21"/>
          <w:szCs w:val="21"/>
          <w:highlight w:val="none"/>
        </w:rPr>
        <w:t>月</w:t>
      </w:r>
      <w:r>
        <w:rPr>
          <w:rFonts w:hint="eastAsia" w:ascii="宋体" w:hAnsi="宋体" w:eastAsia="宋体" w:cs="宋体"/>
          <w:color w:val="auto"/>
          <w:kern w:val="1"/>
          <w:sz w:val="21"/>
          <w:szCs w:val="21"/>
          <w:highlight w:val="none"/>
          <w:u w:val="single"/>
        </w:rPr>
        <w:t>　　</w:t>
      </w:r>
      <w:r>
        <w:rPr>
          <w:rFonts w:hint="eastAsia" w:ascii="宋体" w:hAnsi="宋体" w:eastAsia="宋体" w:cs="宋体"/>
          <w:color w:val="auto"/>
          <w:kern w:val="1"/>
          <w:sz w:val="21"/>
          <w:szCs w:val="21"/>
          <w:highlight w:val="none"/>
        </w:rPr>
        <w:t>日</w:t>
      </w:r>
    </w:p>
    <w:bookmarkEnd w:id="356"/>
    <w:bookmarkEnd w:id="357"/>
    <w:bookmarkEnd w:id="358"/>
    <w:bookmarkEnd w:id="359"/>
    <w:bookmarkEnd w:id="360"/>
    <w:bookmarkEnd w:id="361"/>
    <w:bookmarkEnd w:id="362"/>
    <w:bookmarkEnd w:id="363"/>
    <w:p w14:paraId="55B2904B">
      <w:pPr>
        <w:pStyle w:val="5"/>
        <w:jc w:val="both"/>
        <w:rPr>
          <w:rFonts w:ascii="宋体" w:hAnsi="宋体" w:eastAsia="宋体" w:cs="宋体"/>
          <w:color w:val="auto"/>
          <w:sz w:val="28"/>
          <w:szCs w:val="28"/>
          <w:highlight w:val="none"/>
          <w:lang w:val="en-US"/>
        </w:rPr>
      </w:pPr>
      <w:bookmarkStart w:id="399" w:name="_Toc396911148"/>
      <w:bookmarkStart w:id="400" w:name="_Toc396911333"/>
      <w:bookmarkStart w:id="401" w:name="_Toc32378"/>
      <w:bookmarkStart w:id="402" w:name="_Toc396911097"/>
      <w:r>
        <w:rPr>
          <w:rFonts w:hint="eastAsia" w:ascii="宋体" w:hAnsi="宋体" w:eastAsia="宋体" w:cs="宋体"/>
          <w:color w:val="auto"/>
          <w:sz w:val="28"/>
          <w:szCs w:val="28"/>
          <w:highlight w:val="none"/>
          <w:lang w:val="en-US"/>
        </w:rPr>
        <w:t>2.投标函</w:t>
      </w:r>
      <w:bookmarkEnd w:id="364"/>
      <w:bookmarkEnd w:id="396"/>
      <w:bookmarkEnd w:id="397"/>
      <w:bookmarkEnd w:id="399"/>
      <w:bookmarkEnd w:id="400"/>
      <w:bookmarkEnd w:id="401"/>
      <w:bookmarkEnd w:id="402"/>
    </w:p>
    <w:p w14:paraId="59FA10EC">
      <w:pPr>
        <w:keepNext/>
        <w:keepLines/>
        <w:spacing w:before="100" w:after="100"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投标函</w:t>
      </w:r>
    </w:p>
    <w:p w14:paraId="484FEA44">
      <w:pPr>
        <w:autoSpaceDE/>
        <w:autoSpaceDN/>
        <w:spacing w:line="480" w:lineRule="auto"/>
        <w:jc w:val="both"/>
        <w:rPr>
          <w:rFonts w:ascii="宋体" w:hAnsi="宋体" w:eastAsia="宋体" w:cs="宋体"/>
          <w:color w:val="auto"/>
          <w:kern w:val="2"/>
          <w:sz w:val="21"/>
          <w:szCs w:val="21"/>
          <w:highlight w:val="none"/>
          <w:u w:val="single"/>
          <w:lang w:val="en-US" w:bidi="ar-SA"/>
        </w:rPr>
      </w:pPr>
      <w:r>
        <w:rPr>
          <w:rFonts w:hint="eastAsia" w:ascii="宋体" w:hAnsi="宋体" w:eastAsia="宋体" w:cs="宋体"/>
          <w:color w:val="auto"/>
          <w:kern w:val="2"/>
          <w:sz w:val="21"/>
          <w:szCs w:val="21"/>
          <w:highlight w:val="none"/>
          <w:lang w:val="en-US" w:bidi="ar-SA"/>
        </w:rPr>
        <w:t>致：</w:t>
      </w:r>
      <w:r>
        <w:rPr>
          <w:rFonts w:hint="eastAsia" w:ascii="宋体" w:hAnsi="宋体" w:eastAsia="宋体" w:cs="宋体"/>
          <w:color w:val="auto"/>
          <w:kern w:val="2"/>
          <w:sz w:val="21"/>
          <w:szCs w:val="21"/>
          <w:highlight w:val="none"/>
          <w:u w:val="single"/>
          <w:lang w:val="en-US" w:bidi="ar-SA"/>
        </w:rPr>
        <w:t>（采购人名称）</w:t>
      </w:r>
    </w:p>
    <w:p w14:paraId="4903BAFA">
      <w:pPr>
        <w:autoSpaceDE/>
        <w:autoSpaceDN/>
        <w:spacing w:line="480" w:lineRule="auto"/>
        <w:ind w:firstLine="482"/>
        <w:jc w:val="both"/>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我方仔细研究了</w:t>
      </w:r>
      <w:r>
        <w:rPr>
          <w:rFonts w:hint="eastAsia" w:ascii="宋体" w:hAnsi="宋体" w:eastAsia="宋体" w:cs="宋体"/>
          <w:color w:val="auto"/>
          <w:kern w:val="2"/>
          <w:sz w:val="21"/>
          <w:szCs w:val="21"/>
          <w:highlight w:val="none"/>
          <w:u w:val="single"/>
          <w:lang w:val="en-US" w:bidi="ar-SA"/>
        </w:rPr>
        <w:t xml:space="preserve">（项目名称）   </w:t>
      </w:r>
      <w:r>
        <w:rPr>
          <w:rFonts w:hint="eastAsia" w:ascii="宋体" w:hAnsi="宋体" w:eastAsia="宋体" w:cs="宋体"/>
          <w:color w:val="auto"/>
          <w:kern w:val="2"/>
          <w:sz w:val="21"/>
          <w:szCs w:val="21"/>
          <w:highlight w:val="none"/>
          <w:lang w:val="en-US" w:bidi="ar-SA"/>
        </w:rPr>
        <w:t>（项目编号：）项目招标文件的全部内容，正式授权下述签字人</w:t>
      </w:r>
      <w:r>
        <w:rPr>
          <w:rFonts w:hint="eastAsia" w:ascii="宋体" w:hAnsi="宋体" w:eastAsia="宋体" w:cs="宋体"/>
          <w:color w:val="auto"/>
          <w:kern w:val="2"/>
          <w:sz w:val="21"/>
          <w:szCs w:val="21"/>
          <w:highlight w:val="none"/>
          <w:u w:val="single"/>
          <w:lang w:val="en-US" w:bidi="ar-SA"/>
        </w:rPr>
        <w:t xml:space="preserve">   （姓名和职务）     </w:t>
      </w:r>
      <w:r>
        <w:rPr>
          <w:rFonts w:hint="eastAsia" w:ascii="宋体" w:hAnsi="宋体" w:eastAsia="宋体" w:cs="宋体"/>
          <w:color w:val="auto"/>
          <w:kern w:val="2"/>
          <w:sz w:val="21"/>
          <w:szCs w:val="21"/>
          <w:highlight w:val="none"/>
          <w:lang w:val="en-US" w:bidi="ar-SA"/>
        </w:rPr>
        <w:t>全权代表投标人</w:t>
      </w:r>
      <w:r>
        <w:rPr>
          <w:rFonts w:hint="eastAsia" w:ascii="宋体" w:hAnsi="宋体" w:eastAsia="宋体" w:cs="宋体"/>
          <w:color w:val="auto"/>
          <w:kern w:val="2"/>
          <w:sz w:val="21"/>
          <w:szCs w:val="21"/>
          <w:highlight w:val="none"/>
          <w:u w:val="single"/>
          <w:lang w:val="en-US" w:bidi="ar-SA"/>
        </w:rPr>
        <w:t xml:space="preserve">  （投标人全称）   </w:t>
      </w:r>
      <w:r>
        <w:rPr>
          <w:rFonts w:hint="eastAsia" w:ascii="宋体" w:hAnsi="宋体" w:eastAsia="宋体" w:cs="宋体"/>
          <w:color w:val="auto"/>
          <w:kern w:val="2"/>
          <w:sz w:val="21"/>
          <w:szCs w:val="21"/>
          <w:highlight w:val="none"/>
          <w:lang w:val="en-US" w:bidi="ar-SA"/>
        </w:rPr>
        <w:t>参加投标，并愿意以“开标一览表”所填写的投标报价，向你方提供招标文件要求的货物/工程/服务。</w:t>
      </w:r>
    </w:p>
    <w:p w14:paraId="35457FAC">
      <w:pPr>
        <w:autoSpaceDE/>
        <w:autoSpaceDN/>
        <w:spacing w:line="480" w:lineRule="auto"/>
        <w:ind w:firstLine="420"/>
        <w:jc w:val="both"/>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据此函，签字人兹宣布同意如下：</w:t>
      </w:r>
    </w:p>
    <w:p w14:paraId="0AFA798D">
      <w:pPr>
        <w:autoSpaceDE/>
        <w:autoSpaceDN/>
        <w:spacing w:line="480" w:lineRule="auto"/>
        <w:ind w:firstLine="420"/>
        <w:jc w:val="both"/>
        <w:rPr>
          <w:rFonts w:ascii="宋体" w:hAnsi="宋体" w:eastAsia="宋体" w:cs="宋体"/>
          <w:color w:val="auto"/>
          <w:spacing w:val="-10"/>
          <w:kern w:val="2"/>
          <w:sz w:val="21"/>
          <w:szCs w:val="21"/>
          <w:highlight w:val="none"/>
          <w:lang w:val="en-US" w:bidi="ar-SA"/>
        </w:rPr>
      </w:pPr>
      <w:r>
        <w:rPr>
          <w:rFonts w:hint="eastAsia" w:asciiTheme="majorEastAsia" w:hAnsiTheme="majorEastAsia" w:eastAsiaTheme="majorEastAsia" w:cstheme="majorEastAsia"/>
          <w:color w:val="auto"/>
          <w:kern w:val="2"/>
          <w:sz w:val="21"/>
          <w:szCs w:val="21"/>
          <w:highlight w:val="none"/>
          <w:lang w:val="en-US" w:bidi="ar-SA"/>
        </w:rPr>
        <w:t>1</w:t>
      </w:r>
      <w:r>
        <w:rPr>
          <w:rFonts w:hint="eastAsia" w:ascii="宋体" w:hAnsi="宋体" w:eastAsia="宋体" w:cs="宋体"/>
          <w:color w:val="auto"/>
          <w:kern w:val="2"/>
          <w:sz w:val="21"/>
          <w:szCs w:val="21"/>
          <w:highlight w:val="none"/>
          <w:lang w:val="en-US" w:bidi="ar-SA"/>
        </w:rPr>
        <w:t>、</w:t>
      </w:r>
      <w:r>
        <w:rPr>
          <w:rFonts w:hint="eastAsia" w:ascii="宋体" w:hAnsi="宋体" w:eastAsia="宋体" w:cs="宋体"/>
          <w:color w:val="auto"/>
          <w:spacing w:val="-10"/>
          <w:kern w:val="2"/>
          <w:sz w:val="21"/>
          <w:szCs w:val="21"/>
          <w:highlight w:val="none"/>
          <w:lang w:val="en-US" w:bidi="ar-SA"/>
        </w:rPr>
        <w:t>我方已详细审查全部招标文件，包括</w:t>
      </w:r>
      <w:r>
        <w:rPr>
          <w:rFonts w:hint="eastAsia" w:ascii="宋体" w:hAnsi="宋体" w:eastAsia="宋体" w:cs="宋体"/>
          <w:color w:val="auto"/>
          <w:spacing w:val="-10"/>
          <w:kern w:val="2"/>
          <w:sz w:val="21"/>
          <w:szCs w:val="21"/>
          <w:highlight w:val="none"/>
          <w:u w:val="single"/>
          <w:lang w:val="en-US" w:bidi="ar-SA"/>
        </w:rPr>
        <w:t>（澄清文件）(如果有的话)</w:t>
      </w:r>
      <w:r>
        <w:rPr>
          <w:rFonts w:hint="eastAsia" w:ascii="宋体" w:hAnsi="宋体" w:eastAsia="宋体" w:cs="宋体"/>
          <w:color w:val="auto"/>
          <w:spacing w:val="-10"/>
          <w:kern w:val="2"/>
          <w:sz w:val="21"/>
          <w:szCs w:val="21"/>
          <w:highlight w:val="none"/>
          <w:lang w:val="en-US" w:bidi="ar-SA"/>
        </w:rPr>
        <w:t>。我方完全理解相关文件要求，并承担对这方面有不明及误解的后果。</w:t>
      </w:r>
    </w:p>
    <w:p w14:paraId="404E7002">
      <w:pPr>
        <w:autoSpaceDE/>
        <w:autoSpaceDN/>
        <w:spacing w:line="480" w:lineRule="auto"/>
        <w:ind w:firstLine="420"/>
        <w:jc w:val="both"/>
        <w:rPr>
          <w:rFonts w:ascii="宋体" w:hAnsi="宋体" w:eastAsia="宋体" w:cs="宋体"/>
          <w:color w:val="auto"/>
          <w:kern w:val="2"/>
          <w:sz w:val="21"/>
          <w:szCs w:val="21"/>
          <w:highlight w:val="none"/>
          <w:lang w:val="en-US" w:bidi="ar-SA"/>
        </w:rPr>
      </w:pPr>
      <w:r>
        <w:rPr>
          <w:rFonts w:hint="eastAsia" w:asciiTheme="majorEastAsia" w:hAnsiTheme="majorEastAsia" w:eastAsiaTheme="majorEastAsia" w:cstheme="majorEastAsia"/>
          <w:color w:val="auto"/>
          <w:kern w:val="2"/>
          <w:sz w:val="21"/>
          <w:szCs w:val="21"/>
          <w:highlight w:val="none"/>
          <w:lang w:val="en-US" w:bidi="ar-SA"/>
        </w:rPr>
        <w:t>2</w:t>
      </w:r>
      <w:r>
        <w:rPr>
          <w:rFonts w:hint="eastAsia" w:ascii="宋体" w:hAnsi="宋体" w:eastAsia="宋体" w:cs="宋体"/>
          <w:color w:val="auto"/>
          <w:kern w:val="2"/>
          <w:sz w:val="21"/>
          <w:szCs w:val="21"/>
          <w:highlight w:val="none"/>
          <w:lang w:val="en-US" w:bidi="ar-SA"/>
        </w:rPr>
        <w:t>、在投标人须知规定的开标日期起遵循本投标文件，并在投标人须知第</w:t>
      </w:r>
      <w:r>
        <w:rPr>
          <w:rFonts w:hint="eastAsia" w:asciiTheme="majorEastAsia" w:hAnsiTheme="majorEastAsia" w:eastAsiaTheme="majorEastAsia" w:cstheme="majorEastAsia"/>
          <w:color w:val="auto"/>
          <w:kern w:val="2"/>
          <w:sz w:val="21"/>
          <w:szCs w:val="21"/>
          <w:highlight w:val="none"/>
          <w:lang w:val="en-US" w:bidi="ar-SA"/>
        </w:rPr>
        <w:t>17</w:t>
      </w:r>
      <w:r>
        <w:rPr>
          <w:rFonts w:hint="eastAsia" w:ascii="宋体" w:hAnsi="宋体" w:eastAsia="宋体" w:cs="宋体"/>
          <w:color w:val="auto"/>
          <w:kern w:val="2"/>
          <w:sz w:val="21"/>
          <w:szCs w:val="21"/>
          <w:highlight w:val="none"/>
          <w:lang w:val="en-US" w:bidi="ar-SA"/>
        </w:rPr>
        <w:t>.</w:t>
      </w:r>
      <w:r>
        <w:rPr>
          <w:rFonts w:hint="eastAsia" w:asciiTheme="majorEastAsia" w:hAnsiTheme="majorEastAsia" w:eastAsiaTheme="majorEastAsia" w:cstheme="majorEastAsia"/>
          <w:color w:val="auto"/>
          <w:kern w:val="2"/>
          <w:sz w:val="21"/>
          <w:szCs w:val="21"/>
          <w:highlight w:val="none"/>
          <w:lang w:val="en-US" w:bidi="ar-SA"/>
        </w:rPr>
        <w:t>1</w:t>
      </w:r>
      <w:r>
        <w:rPr>
          <w:rFonts w:hint="eastAsia" w:ascii="宋体" w:hAnsi="宋体" w:eastAsia="宋体" w:cs="宋体"/>
          <w:color w:val="auto"/>
          <w:kern w:val="2"/>
          <w:sz w:val="21"/>
          <w:szCs w:val="21"/>
          <w:highlight w:val="none"/>
          <w:lang w:val="en-US" w:bidi="ar-SA"/>
        </w:rPr>
        <w:t>条规定的投标文件有效期满之前均具有约束力。</w:t>
      </w:r>
    </w:p>
    <w:p w14:paraId="6B743B80">
      <w:pPr>
        <w:autoSpaceDE/>
        <w:autoSpaceDN/>
        <w:spacing w:line="480" w:lineRule="auto"/>
        <w:ind w:firstLine="420"/>
        <w:jc w:val="both"/>
        <w:rPr>
          <w:rFonts w:ascii="宋体" w:hAnsi="宋体" w:eastAsia="宋体" w:cs="宋体"/>
          <w:color w:val="auto"/>
          <w:kern w:val="2"/>
          <w:sz w:val="21"/>
          <w:szCs w:val="21"/>
          <w:highlight w:val="none"/>
          <w:lang w:val="en-US" w:bidi="ar-SA"/>
        </w:rPr>
      </w:pPr>
      <w:r>
        <w:rPr>
          <w:rFonts w:hint="eastAsia" w:asciiTheme="majorEastAsia" w:hAnsiTheme="majorEastAsia" w:eastAsiaTheme="majorEastAsia" w:cstheme="majorEastAsia"/>
          <w:color w:val="auto"/>
          <w:kern w:val="2"/>
          <w:sz w:val="21"/>
          <w:szCs w:val="21"/>
          <w:highlight w:val="none"/>
          <w:lang w:val="en-US" w:bidi="ar-SA"/>
        </w:rPr>
        <w:t>3</w:t>
      </w:r>
      <w:r>
        <w:rPr>
          <w:rFonts w:hint="eastAsia" w:ascii="宋体" w:hAnsi="宋体" w:eastAsia="宋体" w:cs="宋体"/>
          <w:color w:val="auto"/>
          <w:kern w:val="2"/>
          <w:sz w:val="21"/>
          <w:szCs w:val="21"/>
          <w:highlight w:val="none"/>
          <w:lang w:val="en-US" w:bidi="ar-SA"/>
        </w:rPr>
        <w:t>、同意投标人须知中关于投标保证金不予退还的规定。</w:t>
      </w:r>
    </w:p>
    <w:p w14:paraId="6C628974">
      <w:pPr>
        <w:autoSpaceDE/>
        <w:autoSpaceDN/>
        <w:spacing w:line="480" w:lineRule="auto"/>
        <w:ind w:firstLine="420"/>
        <w:jc w:val="both"/>
        <w:rPr>
          <w:rFonts w:ascii="宋体" w:hAnsi="宋体" w:eastAsia="宋体" w:cs="宋体"/>
          <w:color w:val="auto"/>
          <w:kern w:val="2"/>
          <w:sz w:val="21"/>
          <w:szCs w:val="21"/>
          <w:highlight w:val="none"/>
          <w:lang w:val="en-US" w:bidi="ar-SA"/>
        </w:rPr>
      </w:pPr>
      <w:r>
        <w:rPr>
          <w:rFonts w:hint="eastAsia" w:asciiTheme="majorEastAsia" w:hAnsiTheme="majorEastAsia" w:eastAsiaTheme="majorEastAsia" w:cstheme="majorEastAsia"/>
          <w:color w:val="auto"/>
          <w:kern w:val="2"/>
          <w:sz w:val="21"/>
          <w:szCs w:val="21"/>
          <w:highlight w:val="none"/>
          <w:lang w:val="en-US" w:bidi="ar-SA"/>
        </w:rPr>
        <w:t>4</w:t>
      </w:r>
      <w:r>
        <w:rPr>
          <w:rFonts w:hint="eastAsia" w:ascii="宋体" w:hAnsi="宋体" w:eastAsia="宋体" w:cs="宋体"/>
          <w:color w:val="auto"/>
          <w:kern w:val="2"/>
          <w:sz w:val="21"/>
          <w:szCs w:val="21"/>
          <w:highlight w:val="none"/>
          <w:lang w:val="en-US" w:bidi="ar-SA"/>
        </w:rPr>
        <w:t>、同意应贵方要求提供与本投标有关的任何数据或资料，并保证数据和资料的完整性和真实性。</w:t>
      </w:r>
    </w:p>
    <w:p w14:paraId="7C831B4C">
      <w:pPr>
        <w:autoSpaceDE/>
        <w:autoSpaceDN/>
        <w:spacing w:line="480" w:lineRule="auto"/>
        <w:ind w:firstLine="420"/>
        <w:jc w:val="both"/>
        <w:rPr>
          <w:rFonts w:ascii="宋体" w:hAnsi="宋体" w:eastAsia="宋体" w:cs="宋体"/>
          <w:color w:val="auto"/>
          <w:kern w:val="2"/>
          <w:sz w:val="21"/>
          <w:szCs w:val="21"/>
          <w:highlight w:val="none"/>
          <w:lang w:val="en-US" w:bidi="ar-SA"/>
        </w:rPr>
      </w:pPr>
      <w:r>
        <w:rPr>
          <w:rFonts w:hint="eastAsia" w:asciiTheme="majorEastAsia" w:hAnsiTheme="majorEastAsia" w:eastAsiaTheme="majorEastAsia" w:cstheme="majorEastAsia"/>
          <w:color w:val="auto"/>
          <w:kern w:val="2"/>
          <w:sz w:val="21"/>
          <w:szCs w:val="21"/>
          <w:highlight w:val="none"/>
          <w:lang w:val="en-US" w:bidi="ar-SA"/>
        </w:rPr>
        <w:t>5</w:t>
      </w:r>
      <w:r>
        <w:rPr>
          <w:rFonts w:hint="eastAsia" w:ascii="宋体" w:hAnsi="宋体" w:eastAsia="宋体" w:cs="宋体"/>
          <w:color w:val="auto"/>
          <w:kern w:val="2"/>
          <w:sz w:val="21"/>
          <w:szCs w:val="21"/>
          <w:highlight w:val="none"/>
          <w:lang w:val="en-US" w:bidi="ar-SA"/>
        </w:rPr>
        <w:t xml:space="preserve">．如我方中标： </w:t>
      </w:r>
    </w:p>
    <w:p w14:paraId="236D0706">
      <w:pPr>
        <w:autoSpaceDE/>
        <w:autoSpaceDN/>
        <w:spacing w:line="480" w:lineRule="auto"/>
        <w:ind w:firstLine="420"/>
        <w:jc w:val="both"/>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w:t>
      </w:r>
      <w:r>
        <w:rPr>
          <w:rFonts w:hint="eastAsia" w:asciiTheme="majorEastAsia" w:hAnsiTheme="majorEastAsia" w:eastAsiaTheme="majorEastAsia" w:cstheme="majorEastAsia"/>
          <w:color w:val="auto"/>
          <w:kern w:val="2"/>
          <w:sz w:val="21"/>
          <w:szCs w:val="21"/>
          <w:highlight w:val="none"/>
          <w:lang w:val="en-US" w:bidi="ar-SA"/>
        </w:rPr>
        <w:t>1</w:t>
      </w:r>
      <w:r>
        <w:rPr>
          <w:rFonts w:hint="eastAsia" w:ascii="宋体" w:hAnsi="宋体" w:eastAsia="宋体" w:cs="宋体"/>
          <w:color w:val="auto"/>
          <w:kern w:val="2"/>
          <w:sz w:val="21"/>
          <w:szCs w:val="21"/>
          <w:highlight w:val="none"/>
          <w:lang w:val="en-US" w:bidi="ar-SA"/>
        </w:rPr>
        <w:t>）我方承诺在收到中标通知书后，在规定的期限内与你方签订合同，并履行相应的合同责任和义务。如因我方原因导致未能在规定期限内签订合同的，愿意接受一切不利于我方的后果。</w:t>
      </w:r>
    </w:p>
    <w:p w14:paraId="7A57E74A">
      <w:pPr>
        <w:autoSpaceDE/>
        <w:autoSpaceDN/>
        <w:spacing w:line="480" w:lineRule="auto"/>
        <w:ind w:firstLine="420"/>
        <w:jc w:val="both"/>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w:t>
      </w:r>
      <w:r>
        <w:rPr>
          <w:rFonts w:hint="eastAsia" w:asciiTheme="majorEastAsia" w:hAnsiTheme="majorEastAsia" w:eastAsiaTheme="majorEastAsia" w:cstheme="majorEastAsia"/>
          <w:color w:val="auto"/>
          <w:kern w:val="2"/>
          <w:sz w:val="21"/>
          <w:szCs w:val="21"/>
          <w:highlight w:val="none"/>
          <w:lang w:val="en-US" w:bidi="ar-SA"/>
        </w:rPr>
        <w:t>2</w:t>
      </w:r>
      <w:r>
        <w:rPr>
          <w:rFonts w:hint="eastAsia" w:ascii="宋体" w:hAnsi="宋体" w:eastAsia="宋体" w:cs="宋体"/>
          <w:color w:val="auto"/>
          <w:kern w:val="2"/>
          <w:sz w:val="21"/>
          <w:szCs w:val="21"/>
          <w:highlight w:val="none"/>
          <w:lang w:val="en-US" w:bidi="ar-SA"/>
        </w:rPr>
        <w:t>）我方承诺按照招标文件规定向你方递交履约担保。如因我方原因导致未能在规定期限递交履约担保的，愿意接受一切不利于我方的后果。</w:t>
      </w:r>
    </w:p>
    <w:p w14:paraId="2DE2FB17">
      <w:pPr>
        <w:autoSpaceDE/>
        <w:autoSpaceDN/>
        <w:spacing w:line="480" w:lineRule="auto"/>
        <w:ind w:firstLine="420"/>
        <w:jc w:val="both"/>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w:t>
      </w:r>
      <w:r>
        <w:rPr>
          <w:rFonts w:hint="eastAsia" w:asciiTheme="majorEastAsia" w:hAnsiTheme="majorEastAsia" w:eastAsiaTheme="majorEastAsia" w:cstheme="majorEastAsia"/>
          <w:color w:val="auto"/>
          <w:kern w:val="2"/>
          <w:sz w:val="21"/>
          <w:szCs w:val="21"/>
          <w:highlight w:val="none"/>
          <w:lang w:val="en-US" w:bidi="ar-SA"/>
        </w:rPr>
        <w:t>3</w:t>
      </w:r>
      <w:r>
        <w:rPr>
          <w:rFonts w:hint="eastAsia" w:ascii="宋体" w:hAnsi="宋体" w:eastAsia="宋体" w:cs="宋体"/>
          <w:color w:val="auto"/>
          <w:kern w:val="2"/>
          <w:sz w:val="21"/>
          <w:szCs w:val="21"/>
          <w:highlight w:val="none"/>
          <w:lang w:val="en-US" w:bidi="ar-SA"/>
        </w:rPr>
        <w:t>）我方承诺按合同约定的期限和地点，提供符合招标文件要求的全部的招标货物/ 服务。</w:t>
      </w:r>
    </w:p>
    <w:p w14:paraId="3969F35D">
      <w:pPr>
        <w:autoSpaceDE/>
        <w:autoSpaceDN/>
        <w:spacing w:line="480" w:lineRule="auto"/>
        <w:ind w:firstLine="420"/>
        <w:jc w:val="both"/>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w:t>
      </w:r>
      <w:r>
        <w:rPr>
          <w:rFonts w:hint="eastAsia" w:asciiTheme="majorEastAsia" w:hAnsiTheme="majorEastAsia" w:eastAsiaTheme="majorEastAsia" w:cstheme="majorEastAsia"/>
          <w:color w:val="auto"/>
          <w:kern w:val="2"/>
          <w:sz w:val="21"/>
          <w:szCs w:val="21"/>
          <w:highlight w:val="none"/>
          <w:lang w:val="en-US" w:bidi="ar-SA"/>
        </w:rPr>
        <w:t>4</w:t>
      </w:r>
      <w:r>
        <w:rPr>
          <w:rFonts w:hint="eastAsia" w:ascii="宋体" w:hAnsi="宋体" w:eastAsia="宋体" w:cs="宋体"/>
          <w:color w:val="auto"/>
          <w:kern w:val="2"/>
          <w:sz w:val="21"/>
          <w:szCs w:val="21"/>
          <w:highlight w:val="none"/>
          <w:lang w:val="en-US" w:bidi="ar-SA"/>
        </w:rPr>
        <w:t>）除商务条款偏离表和技术规格偏离表列出的偏差外，我方满足招标文件的全部要求。</w:t>
      </w:r>
    </w:p>
    <w:p w14:paraId="53BDD4AE">
      <w:pPr>
        <w:autoSpaceDE/>
        <w:autoSpaceDN/>
        <w:spacing w:line="480" w:lineRule="auto"/>
        <w:ind w:firstLine="420"/>
        <w:jc w:val="both"/>
        <w:rPr>
          <w:rFonts w:ascii="宋体" w:hAnsi="宋体" w:eastAsia="宋体" w:cs="宋体"/>
          <w:color w:val="auto"/>
          <w:kern w:val="2"/>
          <w:sz w:val="21"/>
          <w:szCs w:val="21"/>
          <w:highlight w:val="none"/>
          <w:lang w:val="en-US" w:bidi="ar-SA"/>
        </w:rPr>
      </w:pPr>
      <w:r>
        <w:rPr>
          <w:rFonts w:hint="eastAsia" w:asciiTheme="majorEastAsia" w:hAnsiTheme="majorEastAsia" w:eastAsiaTheme="majorEastAsia" w:cstheme="majorEastAsia"/>
          <w:color w:val="auto"/>
          <w:kern w:val="2"/>
          <w:sz w:val="21"/>
          <w:szCs w:val="21"/>
          <w:highlight w:val="none"/>
          <w:lang w:val="en-US" w:bidi="ar-SA"/>
        </w:rPr>
        <w:t>6</w:t>
      </w:r>
      <w:r>
        <w:rPr>
          <w:rFonts w:hint="eastAsia" w:ascii="宋体" w:hAnsi="宋体" w:eastAsia="宋体" w:cs="宋体"/>
          <w:color w:val="auto"/>
          <w:kern w:val="2"/>
          <w:sz w:val="21"/>
          <w:szCs w:val="21"/>
          <w:highlight w:val="none"/>
          <w:lang w:val="en-US" w:bidi="ar-SA"/>
        </w:rPr>
        <w:t>．我方在此声明，所递交的投标文件及有关资料内容完整、真实和准确。</w:t>
      </w:r>
    </w:p>
    <w:p w14:paraId="7F24245D">
      <w:pPr>
        <w:autoSpaceDE/>
        <w:autoSpaceDN/>
        <w:spacing w:line="480" w:lineRule="auto"/>
        <w:ind w:firstLine="420"/>
        <w:jc w:val="both"/>
        <w:rPr>
          <w:rFonts w:ascii="宋体" w:hAnsi="宋体" w:eastAsia="宋体" w:cs="宋体"/>
          <w:color w:val="auto"/>
          <w:kern w:val="2"/>
          <w:sz w:val="21"/>
          <w:szCs w:val="21"/>
          <w:highlight w:val="none"/>
          <w:lang w:val="en-US" w:bidi="ar-SA"/>
        </w:rPr>
      </w:pPr>
      <w:r>
        <w:rPr>
          <w:rFonts w:hint="eastAsia" w:asciiTheme="majorEastAsia" w:hAnsiTheme="majorEastAsia" w:eastAsiaTheme="majorEastAsia" w:cstheme="majorEastAsia"/>
          <w:color w:val="auto"/>
          <w:kern w:val="2"/>
          <w:sz w:val="21"/>
          <w:szCs w:val="21"/>
          <w:highlight w:val="none"/>
          <w:lang w:val="en-US" w:bidi="ar-SA"/>
        </w:rPr>
        <w:t>7</w:t>
      </w:r>
      <w:r>
        <w:rPr>
          <w:rFonts w:hint="eastAsia" w:ascii="宋体" w:hAnsi="宋体" w:eastAsia="宋体" w:cs="宋体"/>
          <w:color w:val="auto"/>
          <w:kern w:val="2"/>
          <w:sz w:val="21"/>
          <w:szCs w:val="21"/>
          <w:highlight w:val="none"/>
          <w:lang w:val="en-US" w:bidi="ar-SA"/>
        </w:rPr>
        <w:t>．</w:t>
      </w:r>
      <w:r>
        <w:rPr>
          <w:rFonts w:hint="eastAsia" w:ascii="宋体" w:hAnsi="宋体" w:eastAsia="宋体" w:cs="宋体"/>
          <w:color w:val="auto"/>
          <w:kern w:val="2"/>
          <w:sz w:val="21"/>
          <w:szCs w:val="21"/>
          <w:highlight w:val="none"/>
          <w:u w:val="single"/>
          <w:lang w:val="en-US" w:bidi="ar-SA"/>
        </w:rPr>
        <w:t xml:space="preserve">                             </w:t>
      </w:r>
      <w:r>
        <w:rPr>
          <w:rFonts w:hint="eastAsia" w:ascii="宋体" w:hAnsi="宋体" w:eastAsia="宋体" w:cs="宋体"/>
          <w:color w:val="auto"/>
          <w:kern w:val="2"/>
          <w:sz w:val="21"/>
          <w:szCs w:val="21"/>
          <w:highlight w:val="none"/>
          <w:lang w:val="en-US" w:bidi="ar-SA"/>
        </w:rPr>
        <w:t>（其他补充说明，若有）。</w:t>
      </w:r>
    </w:p>
    <w:p w14:paraId="25BB8C42">
      <w:pPr>
        <w:autoSpaceDE/>
        <w:autoSpaceDN/>
        <w:spacing w:line="480" w:lineRule="auto"/>
        <w:ind w:firstLine="480" w:firstLineChars="200"/>
        <w:rPr>
          <w:rFonts w:ascii="宋体" w:hAnsi="宋体" w:eastAsia="宋体" w:cs="宋体"/>
          <w:color w:val="auto"/>
          <w:sz w:val="24"/>
          <w:szCs w:val="24"/>
          <w:highlight w:val="none"/>
        </w:rPr>
      </w:pPr>
    </w:p>
    <w:p w14:paraId="3E01C3E4">
      <w:pPr>
        <w:autoSpaceDE/>
        <w:autoSpaceDN/>
        <w:spacing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与本投标有关的正式通讯地址为：</w:t>
      </w:r>
    </w:p>
    <w:p w14:paraId="586763A2">
      <w:pPr>
        <w:autoSpaceDE/>
        <w:autoSpaceDN/>
        <w:spacing w:line="480" w:lineRule="auto"/>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57BF7B63">
      <w:pPr>
        <w:autoSpaceDE/>
        <w:autoSpaceDN/>
        <w:spacing w:line="480" w:lineRule="auto"/>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51B8121F">
      <w:pPr>
        <w:autoSpaceDE/>
        <w:autoSpaceDN/>
        <w:spacing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BB8CE60">
      <w:pPr>
        <w:autoSpaceDE/>
        <w:autoSpaceDN/>
        <w:spacing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0D02230">
      <w:pPr>
        <w:autoSpaceDE/>
        <w:autoSpaceDN/>
        <w:spacing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账    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814833B">
      <w:pPr>
        <w:spacing w:line="480" w:lineRule="auto"/>
        <w:ind w:firstLine="420" w:firstLineChars="200"/>
        <w:rPr>
          <w:rFonts w:ascii="宋体" w:hAnsi="宋体" w:eastAsia="宋体" w:cs="宋体"/>
          <w:color w:val="auto"/>
          <w:sz w:val="21"/>
          <w:szCs w:val="21"/>
          <w:highlight w:val="none"/>
        </w:rPr>
      </w:pPr>
    </w:p>
    <w:p w14:paraId="31FDBC78">
      <w:pPr>
        <w:wordWrap w:val="0"/>
        <w:overflowPunct w:val="0"/>
        <w:spacing w:before="100" w:after="100" w:line="480" w:lineRule="auto"/>
        <w:rPr>
          <w:rFonts w:ascii="宋体" w:hAnsi="宋体" w:eastAsia="宋体" w:cs="宋体"/>
          <w:color w:val="auto"/>
          <w:sz w:val="21"/>
          <w:szCs w:val="21"/>
          <w:highlight w:val="none"/>
        </w:rPr>
      </w:pPr>
      <w:bookmarkStart w:id="403" w:name="_Toc25671"/>
      <w:bookmarkStart w:id="404" w:name="_Toc396"/>
      <w:bookmarkStart w:id="405" w:name="_Toc13063"/>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（电子签章）</w:t>
      </w:r>
    </w:p>
    <w:p w14:paraId="67B49182">
      <w:pPr>
        <w:wordWrap w:val="0"/>
        <w:overflowPunct w:val="0"/>
        <w:spacing w:before="100" w:after="100" w:line="48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（电子签章）       </w:t>
      </w:r>
    </w:p>
    <w:p w14:paraId="617007A0">
      <w:pPr>
        <w:wordWrap w:val="0"/>
        <w:overflowPunct w:val="0"/>
        <w:spacing w:before="100" w:after="100" w:line="480" w:lineRule="auto"/>
        <w:rPr>
          <w:rFonts w:ascii="宋体" w:hAnsi="宋体" w:eastAsia="宋体" w:cs="宋体"/>
          <w:color w:val="auto"/>
          <w:sz w:val="21"/>
          <w:szCs w:val="21"/>
          <w:highlight w:val="none"/>
        </w:rPr>
        <w:sectPr>
          <w:footerReference r:id="rId14" w:type="default"/>
          <w:pgSz w:w="11911" w:h="16838"/>
          <w:pgMar w:top="1134" w:right="1134" w:bottom="1134" w:left="1134" w:header="850" w:footer="850" w:gutter="0"/>
          <w:pgNumType w:fmt="numberInDash"/>
          <w:cols w:space="720" w:num="1"/>
          <w:docGrid w:linePitch="1" w:charSpace="0"/>
        </w:sectPr>
      </w:pPr>
      <w:r>
        <w:rPr>
          <w:rFonts w:hint="eastAsia" w:ascii="宋体" w:hAnsi="宋体" w:eastAsia="宋体" w:cs="宋体"/>
          <w:color w:val="auto"/>
          <w:kern w:val="1"/>
          <w:sz w:val="21"/>
          <w:szCs w:val="21"/>
          <w:highlight w:val="none"/>
        </w:rPr>
        <w:t>日期：</w:t>
      </w:r>
      <w:r>
        <w:rPr>
          <w:rFonts w:hint="eastAsia" w:ascii="宋体" w:hAnsi="宋体" w:eastAsia="宋体" w:cs="宋体"/>
          <w:color w:val="auto"/>
          <w:kern w:val="1"/>
          <w:sz w:val="21"/>
          <w:szCs w:val="21"/>
          <w:highlight w:val="none"/>
          <w:u w:val="single"/>
        </w:rPr>
        <w:t>　　　</w:t>
      </w:r>
      <w:r>
        <w:rPr>
          <w:rFonts w:hint="eastAsia" w:ascii="宋体" w:hAnsi="宋体" w:eastAsia="宋体" w:cs="宋体"/>
          <w:color w:val="auto"/>
          <w:kern w:val="1"/>
          <w:sz w:val="21"/>
          <w:szCs w:val="21"/>
          <w:highlight w:val="none"/>
        </w:rPr>
        <w:t>年</w:t>
      </w:r>
      <w:r>
        <w:rPr>
          <w:rFonts w:hint="eastAsia" w:ascii="宋体" w:hAnsi="宋体" w:eastAsia="宋体" w:cs="宋体"/>
          <w:color w:val="auto"/>
          <w:kern w:val="1"/>
          <w:sz w:val="21"/>
          <w:szCs w:val="21"/>
          <w:highlight w:val="none"/>
          <w:u w:val="single"/>
        </w:rPr>
        <w:t>　　</w:t>
      </w:r>
      <w:r>
        <w:rPr>
          <w:rFonts w:hint="eastAsia" w:ascii="宋体" w:hAnsi="宋体" w:eastAsia="宋体" w:cs="宋体"/>
          <w:color w:val="auto"/>
          <w:kern w:val="1"/>
          <w:sz w:val="21"/>
          <w:szCs w:val="21"/>
          <w:highlight w:val="none"/>
        </w:rPr>
        <w:t>月</w:t>
      </w:r>
      <w:r>
        <w:rPr>
          <w:rFonts w:hint="eastAsia" w:ascii="宋体" w:hAnsi="宋体" w:eastAsia="宋体" w:cs="宋体"/>
          <w:color w:val="auto"/>
          <w:kern w:val="1"/>
          <w:sz w:val="21"/>
          <w:szCs w:val="21"/>
          <w:highlight w:val="none"/>
          <w:u w:val="single"/>
        </w:rPr>
        <w:t>　　</w:t>
      </w:r>
      <w:r>
        <w:rPr>
          <w:rFonts w:hint="eastAsia" w:ascii="宋体" w:hAnsi="宋体" w:eastAsia="宋体" w:cs="宋体"/>
          <w:color w:val="auto"/>
          <w:kern w:val="1"/>
          <w:sz w:val="21"/>
          <w:szCs w:val="21"/>
          <w:highlight w:val="none"/>
        </w:rPr>
        <w:t>日</w:t>
      </w:r>
    </w:p>
    <w:bookmarkEnd w:id="365"/>
    <w:bookmarkEnd w:id="366"/>
    <w:bookmarkEnd w:id="367"/>
    <w:bookmarkEnd w:id="368"/>
    <w:bookmarkEnd w:id="403"/>
    <w:bookmarkEnd w:id="404"/>
    <w:bookmarkEnd w:id="405"/>
    <w:p w14:paraId="780958B0">
      <w:pPr>
        <w:pStyle w:val="4"/>
        <w:jc w:val="both"/>
        <w:rPr>
          <w:rFonts w:hint="default" w:eastAsia="宋体" w:cs="宋体"/>
          <w:color w:val="auto"/>
          <w:highlight w:val="none"/>
        </w:rPr>
      </w:pPr>
      <w:bookmarkStart w:id="406" w:name="_Toc21921"/>
      <w:bookmarkStart w:id="407" w:name="_Toc27622"/>
      <w:bookmarkStart w:id="408" w:name="_Toc28665"/>
      <w:bookmarkStart w:id="409" w:name="_Toc17098"/>
      <w:bookmarkStart w:id="410" w:name="_Toc10621"/>
      <w:bookmarkStart w:id="411" w:name="_Toc29105"/>
      <w:bookmarkStart w:id="412" w:name="_Toc20567"/>
      <w:bookmarkStart w:id="413" w:name="_Toc26213"/>
      <w:bookmarkStart w:id="414" w:name="_Toc10472"/>
      <w:bookmarkStart w:id="415" w:name="_Toc25138"/>
      <w:bookmarkStart w:id="416" w:name="_Toc24610"/>
      <w:bookmarkStart w:id="417" w:name="_Toc12399"/>
      <w:bookmarkStart w:id="418" w:name="_Toc29916"/>
      <w:r>
        <w:rPr>
          <w:rFonts w:eastAsia="宋体" w:cs="宋体"/>
          <w:color w:val="auto"/>
          <w:highlight w:val="none"/>
        </w:rPr>
        <w:t>三、</w:t>
      </w:r>
      <w:bookmarkEnd w:id="406"/>
      <w:bookmarkEnd w:id="407"/>
      <w:r>
        <w:rPr>
          <w:rFonts w:eastAsia="宋体" w:cs="宋体"/>
          <w:color w:val="auto"/>
          <w:highlight w:val="none"/>
        </w:rPr>
        <w:t>商务技术文件</w:t>
      </w:r>
    </w:p>
    <w:p w14:paraId="4A95D0E6">
      <w:pPr>
        <w:pStyle w:val="5"/>
        <w:jc w:val="both"/>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1.法定代表人</w:t>
      </w:r>
      <w:r>
        <w:rPr>
          <w:rFonts w:hint="eastAsia" w:ascii="宋体" w:hAnsi="宋体" w:eastAsia="宋体" w:cs="宋体"/>
          <w:color w:val="auto"/>
          <w:sz w:val="28"/>
          <w:szCs w:val="28"/>
          <w:highlight w:val="none"/>
          <w:lang w:val="en-US" w:eastAsia="zh-CN"/>
        </w:rPr>
        <w:t>（负责人）</w:t>
      </w:r>
      <w:r>
        <w:rPr>
          <w:rFonts w:hint="eastAsia" w:ascii="宋体" w:hAnsi="宋体" w:eastAsia="宋体" w:cs="宋体"/>
          <w:color w:val="auto"/>
          <w:sz w:val="28"/>
          <w:szCs w:val="28"/>
          <w:highlight w:val="none"/>
          <w:lang w:val="en-US"/>
        </w:rPr>
        <w:t>身份证明书及授权委托书</w:t>
      </w:r>
    </w:p>
    <w:p w14:paraId="436573E2">
      <w:pPr>
        <w:jc w:val="center"/>
        <w:rPr>
          <w:rFonts w:ascii="宋体" w:hAnsi="宋体" w:eastAsia="宋体" w:cs="宋体"/>
          <w:b/>
          <w:bCs/>
          <w:color w:val="auto"/>
          <w:sz w:val="28"/>
          <w:szCs w:val="28"/>
          <w:highlight w:val="none"/>
          <w:lang w:val="en-US"/>
        </w:rPr>
      </w:pPr>
    </w:p>
    <w:p w14:paraId="2D15C203">
      <w:pPr>
        <w:jc w:val="center"/>
        <w:rPr>
          <w:rFonts w:ascii="宋体" w:hAnsi="宋体" w:eastAsia="宋体" w:cs="宋体"/>
          <w:color w:val="auto"/>
          <w:sz w:val="28"/>
          <w:szCs w:val="28"/>
          <w:highlight w:val="none"/>
          <w:lang w:val="en-US"/>
        </w:rPr>
      </w:pPr>
      <w:r>
        <w:rPr>
          <w:rFonts w:hint="eastAsia" w:ascii="宋体" w:hAnsi="宋体" w:eastAsia="宋体" w:cs="宋体"/>
          <w:b/>
          <w:bCs/>
          <w:color w:val="auto"/>
          <w:sz w:val="28"/>
          <w:szCs w:val="28"/>
          <w:highlight w:val="none"/>
          <w:lang w:val="en-US"/>
        </w:rPr>
        <w:t>法定代表人</w:t>
      </w:r>
      <w:r>
        <w:rPr>
          <w:rFonts w:hint="eastAsia" w:ascii="宋体" w:hAnsi="宋体" w:eastAsia="宋体" w:cs="宋体"/>
          <w:b/>
          <w:bCs/>
          <w:color w:val="auto"/>
          <w:sz w:val="28"/>
          <w:szCs w:val="28"/>
          <w:highlight w:val="none"/>
          <w:lang w:val="en-US" w:eastAsia="zh-CN"/>
        </w:rPr>
        <w:t>（负责人）</w:t>
      </w:r>
      <w:r>
        <w:rPr>
          <w:rFonts w:hint="eastAsia" w:ascii="宋体" w:hAnsi="宋体" w:eastAsia="宋体" w:cs="宋体"/>
          <w:b/>
          <w:bCs/>
          <w:color w:val="auto"/>
          <w:sz w:val="28"/>
          <w:szCs w:val="28"/>
          <w:highlight w:val="none"/>
          <w:lang w:val="en-US"/>
        </w:rPr>
        <w:t>身份证明书</w:t>
      </w:r>
    </w:p>
    <w:p w14:paraId="72DB7CED">
      <w:pPr>
        <w:spacing w:line="500" w:lineRule="exact"/>
        <w:rPr>
          <w:rFonts w:ascii="宋体" w:hAnsi="宋体" w:eastAsia="宋体" w:cs="宋体"/>
          <w:color w:val="auto"/>
          <w:sz w:val="26"/>
          <w:szCs w:val="26"/>
          <w:highlight w:val="none"/>
        </w:rPr>
      </w:pPr>
    </w:p>
    <w:p w14:paraId="6A8AFDBE">
      <w:pPr>
        <w:wordWrap w:val="0"/>
        <w:overflowPunct w:val="0"/>
        <w:autoSpaceDE/>
        <w:autoSpaceDN/>
        <w:spacing w:line="48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rPr>
        <w:t xml:space="preserve"> </w:t>
      </w:r>
    </w:p>
    <w:p w14:paraId="75EAEDFD">
      <w:pPr>
        <w:wordWrap w:val="0"/>
        <w:overflowPunct w:val="0"/>
        <w:autoSpaceDE/>
        <w:autoSpaceDN/>
        <w:spacing w:line="480" w:lineRule="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单位性质：</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rPr>
        <w:t xml:space="preserve"> </w:t>
      </w:r>
    </w:p>
    <w:p w14:paraId="486C9B7E">
      <w:pPr>
        <w:wordWrap w:val="0"/>
        <w:overflowPunct w:val="0"/>
        <w:autoSpaceDE/>
        <w:autoSpaceDN/>
        <w:spacing w:line="480" w:lineRule="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rPr>
        <w:t xml:space="preserve"> </w:t>
      </w:r>
    </w:p>
    <w:p w14:paraId="76D958A3">
      <w:pPr>
        <w:wordWrap w:val="0"/>
        <w:overflowPunct w:val="0"/>
        <w:autoSpaceDE/>
        <w:autoSpaceDN/>
        <w:spacing w:line="480" w:lineRule="auto"/>
        <w:rPr>
          <w:rFonts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成立时间：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年  月  日</w:t>
      </w:r>
      <w:r>
        <w:rPr>
          <w:rFonts w:hint="eastAsia" w:ascii="宋体" w:hAnsi="宋体" w:eastAsia="宋体" w:cs="宋体"/>
          <w:color w:val="auto"/>
          <w:sz w:val="21"/>
          <w:szCs w:val="21"/>
          <w:highlight w:val="none"/>
          <w:u w:val="single"/>
          <w:lang w:val="en-US"/>
        </w:rPr>
        <w:t xml:space="preserve">      </w:t>
      </w:r>
    </w:p>
    <w:p w14:paraId="3DAF614C">
      <w:pPr>
        <w:wordWrap w:val="0"/>
        <w:overflowPunct w:val="0"/>
        <w:autoSpaceDE/>
        <w:autoSpaceDN/>
        <w:spacing w:line="480" w:lineRule="auto"/>
        <w:rPr>
          <w:rFonts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经营期限：</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rPr>
        <w:t xml:space="preserve">             </w:t>
      </w:r>
    </w:p>
    <w:p w14:paraId="4E3A8824">
      <w:pPr>
        <w:autoSpaceDE/>
        <w:autoSpaceDN/>
        <w:spacing w:line="480" w:lineRule="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rPr>
        <w:t>投标人</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的法定代表人</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w:t>
      </w:r>
    </w:p>
    <w:p w14:paraId="3AF6D91A">
      <w:pPr>
        <w:spacing w:line="480" w:lineRule="auto"/>
        <w:ind w:firstLine="61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4E966B60">
      <w:pPr>
        <w:spacing w:line="480" w:lineRule="auto"/>
        <w:ind w:firstLine="61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SA"/>
        </w:rPr>
        <mc:AlternateContent>
          <mc:Choice Requires="wps">
            <w:drawing>
              <wp:anchor distT="0" distB="0" distL="114300" distR="114300" simplePos="0" relativeHeight="251670528" behindDoc="0" locked="0" layoutInCell="1" allowOverlap="1">
                <wp:simplePos x="0" y="0"/>
                <wp:positionH relativeFrom="column">
                  <wp:posOffset>70485</wp:posOffset>
                </wp:positionH>
                <wp:positionV relativeFrom="paragraph">
                  <wp:posOffset>257175</wp:posOffset>
                </wp:positionV>
                <wp:extent cx="5821680" cy="1835785"/>
                <wp:effectExtent l="4445" t="5080" r="22225" b="6985"/>
                <wp:wrapNone/>
                <wp:docPr id="3" name="矩形 3"/>
                <wp:cNvGraphicFramePr/>
                <a:graphic xmlns:a="http://schemas.openxmlformats.org/drawingml/2006/main">
                  <a:graphicData uri="http://schemas.microsoft.com/office/word/2010/wordprocessingShape">
                    <wps:wsp>
                      <wps:cNvSpPr/>
                      <wps:spPr>
                        <a:xfrm>
                          <a:off x="0" y="0"/>
                          <a:ext cx="5821680" cy="18357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08B667">
                            <w:pPr>
                              <w:rPr>
                                <w:rFonts w:ascii="黑体" w:hAnsi="宋体" w:eastAsia="黑体"/>
                                <w:b/>
                                <w:szCs w:val="32"/>
                              </w:rPr>
                            </w:pPr>
                          </w:p>
                          <w:p w14:paraId="1960AF93">
                            <w:pPr>
                              <w:rPr>
                                <w:rFonts w:ascii="宋体" w:hAnsi="宋体"/>
                                <w:b/>
                                <w:szCs w:val="32"/>
                              </w:rPr>
                            </w:pPr>
                          </w:p>
                          <w:p w14:paraId="1074D640">
                            <w:pPr>
                              <w:jc w:val="center"/>
                              <w:rPr>
                                <w:b/>
                                <w:sz w:val="28"/>
                                <w:szCs w:val="21"/>
                              </w:rPr>
                            </w:pPr>
                          </w:p>
                          <w:p w14:paraId="1CC579B1">
                            <w:pPr>
                              <w:jc w:val="center"/>
                              <w:rPr>
                                <w:sz w:val="28"/>
                                <w:szCs w:val="21"/>
                              </w:rPr>
                            </w:pPr>
                            <w:r>
                              <w:rPr>
                                <w:rFonts w:hint="eastAsia"/>
                                <w:b/>
                                <w:sz w:val="28"/>
                                <w:szCs w:val="21"/>
                              </w:rPr>
                              <w:t>附法定代表人身份证（正、反面）</w:t>
                            </w:r>
                          </w:p>
                        </w:txbxContent>
                      </wps:txbx>
                      <wps:bodyPr vert="horz" wrap="square" anchor="t" anchorCtr="0" upright="1"/>
                    </wps:wsp>
                  </a:graphicData>
                </a:graphic>
              </wp:anchor>
            </w:drawing>
          </mc:Choice>
          <mc:Fallback>
            <w:pict>
              <v:rect id="_x0000_s1026" o:spid="_x0000_s1026" o:spt="1" style="position:absolute;left:0pt;margin-left:5.55pt;margin-top:20.25pt;height:144.55pt;width:458.4pt;z-index:251670528;mso-width-relative:page;mso-height-relative:page;" fillcolor="#FFFFFF" filled="t" stroked="t" coordsize="21600,21600" o:gfxdata="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kW&#10;FF7XAAAACQEAAA8AAAAAAAAAAQAgAAAAIgAAAGRycy9kb3ducmV2LnhtbFBLAQIUABQAAAAIAIdO&#10;4kBpE/U5JAIAAGsEAAAOAAAAAAAAAAEAIAAAACYBAABkcnMvZTJvRG9jLnhtbFBLBQYAAAAABgAG&#10;AFkBAAC8BQAAAAA=&#10;">
                <v:fill on="t" focussize="0,0"/>
                <v:stroke color="#000000" joinstyle="miter"/>
                <v:imagedata o:title=""/>
                <o:lock v:ext="edit" aspectratio="f"/>
                <v:textbox>
                  <w:txbxContent>
                    <w:p w14:paraId="5008B667">
                      <w:pPr>
                        <w:rPr>
                          <w:rFonts w:ascii="黑体" w:hAnsi="宋体" w:eastAsia="黑体"/>
                          <w:b/>
                          <w:szCs w:val="32"/>
                        </w:rPr>
                      </w:pPr>
                    </w:p>
                    <w:p w14:paraId="1960AF93">
                      <w:pPr>
                        <w:rPr>
                          <w:rFonts w:ascii="宋体" w:hAnsi="宋体"/>
                          <w:b/>
                          <w:szCs w:val="32"/>
                        </w:rPr>
                      </w:pPr>
                    </w:p>
                    <w:p w14:paraId="1074D640">
                      <w:pPr>
                        <w:jc w:val="center"/>
                        <w:rPr>
                          <w:b/>
                          <w:sz w:val="28"/>
                          <w:szCs w:val="21"/>
                        </w:rPr>
                      </w:pPr>
                    </w:p>
                    <w:p w14:paraId="1CC579B1">
                      <w:pPr>
                        <w:jc w:val="center"/>
                        <w:rPr>
                          <w:sz w:val="28"/>
                          <w:szCs w:val="21"/>
                        </w:rPr>
                      </w:pPr>
                      <w:r>
                        <w:rPr>
                          <w:rFonts w:hint="eastAsia"/>
                          <w:b/>
                          <w:sz w:val="28"/>
                          <w:szCs w:val="21"/>
                        </w:rPr>
                        <w:t>附法定代表人身份证（正、反面）</w:t>
                      </w:r>
                    </w:p>
                  </w:txbxContent>
                </v:textbox>
              </v:rect>
            </w:pict>
          </mc:Fallback>
        </mc:AlternateContent>
      </w:r>
    </w:p>
    <w:p w14:paraId="17A0AE92">
      <w:pPr>
        <w:spacing w:line="480" w:lineRule="auto"/>
        <w:ind w:firstLine="610"/>
        <w:rPr>
          <w:rFonts w:ascii="宋体" w:hAnsi="宋体" w:eastAsia="宋体" w:cs="宋体"/>
          <w:color w:val="auto"/>
          <w:sz w:val="21"/>
          <w:szCs w:val="21"/>
          <w:highlight w:val="none"/>
        </w:rPr>
      </w:pPr>
    </w:p>
    <w:p w14:paraId="4C6D0D80">
      <w:pPr>
        <w:spacing w:line="480" w:lineRule="auto"/>
        <w:ind w:firstLine="610"/>
        <w:rPr>
          <w:rFonts w:ascii="宋体" w:hAnsi="宋体" w:eastAsia="宋体" w:cs="宋体"/>
          <w:color w:val="auto"/>
          <w:sz w:val="21"/>
          <w:szCs w:val="21"/>
          <w:highlight w:val="none"/>
        </w:rPr>
      </w:pPr>
    </w:p>
    <w:p w14:paraId="4F919A01">
      <w:pPr>
        <w:spacing w:line="480" w:lineRule="auto"/>
        <w:ind w:firstLine="610"/>
        <w:rPr>
          <w:rFonts w:ascii="宋体" w:hAnsi="宋体" w:eastAsia="宋体" w:cs="宋体"/>
          <w:color w:val="auto"/>
          <w:sz w:val="21"/>
          <w:szCs w:val="21"/>
          <w:highlight w:val="none"/>
        </w:rPr>
      </w:pPr>
    </w:p>
    <w:p w14:paraId="4239D5B3">
      <w:pPr>
        <w:tabs>
          <w:tab w:val="left" w:pos="720"/>
          <w:tab w:val="left" w:pos="900"/>
        </w:tabs>
        <w:spacing w:line="480" w:lineRule="auto"/>
        <w:rPr>
          <w:rFonts w:ascii="宋体" w:hAnsi="宋体" w:eastAsia="宋体" w:cs="宋体"/>
          <w:color w:val="auto"/>
          <w:sz w:val="21"/>
          <w:szCs w:val="21"/>
          <w:highlight w:val="none"/>
        </w:rPr>
      </w:pPr>
    </w:p>
    <w:p w14:paraId="62D8E7C8">
      <w:pPr>
        <w:spacing w:line="480" w:lineRule="auto"/>
        <w:ind w:firstLine="3805" w:firstLineChars="1812"/>
        <w:rPr>
          <w:rFonts w:ascii="宋体" w:hAnsi="宋体" w:eastAsia="宋体" w:cs="宋体"/>
          <w:color w:val="auto"/>
          <w:sz w:val="21"/>
          <w:szCs w:val="21"/>
          <w:highlight w:val="none"/>
        </w:rPr>
      </w:pPr>
    </w:p>
    <w:p w14:paraId="58784102">
      <w:pPr>
        <w:spacing w:before="100" w:after="100" w:line="480" w:lineRule="auto"/>
        <w:jc w:val="right"/>
        <w:rPr>
          <w:rFonts w:ascii="宋体" w:hAnsi="宋体" w:eastAsia="宋体" w:cs="宋体"/>
          <w:color w:val="auto"/>
          <w:sz w:val="21"/>
          <w:szCs w:val="21"/>
          <w:highlight w:val="none"/>
        </w:rPr>
      </w:pPr>
    </w:p>
    <w:p w14:paraId="47A52354">
      <w:pPr>
        <w:spacing w:before="100" w:after="100" w:line="480" w:lineRule="auto"/>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（电子签章）</w:t>
      </w:r>
    </w:p>
    <w:p w14:paraId="49A3168A">
      <w:pPr>
        <w:spacing w:before="100" w:after="100" w:line="480" w:lineRule="auto"/>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（电子签章）</w:t>
      </w:r>
    </w:p>
    <w:p w14:paraId="1123F017">
      <w:pPr>
        <w:spacing w:before="100" w:after="100" w:line="480" w:lineRule="auto"/>
        <w:jc w:val="right"/>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日</w:t>
      </w:r>
    </w:p>
    <w:p w14:paraId="310D77A1">
      <w:pPr>
        <w:spacing w:before="100" w:after="100" w:line="360" w:lineRule="auto"/>
        <w:rPr>
          <w:rFonts w:ascii="宋体" w:hAnsi="宋体" w:eastAsia="宋体" w:cs="宋体"/>
          <w:color w:val="auto"/>
          <w:sz w:val="28"/>
          <w:szCs w:val="28"/>
          <w:highlight w:val="none"/>
          <w:lang w:val="en-US"/>
        </w:rPr>
        <w:sectPr>
          <w:footerReference r:id="rId15" w:type="default"/>
          <w:pgSz w:w="11911" w:h="16838"/>
          <w:pgMar w:top="1134" w:right="1134" w:bottom="1134" w:left="1134" w:header="850" w:footer="850" w:gutter="0"/>
          <w:pgNumType w:fmt="numberInDash"/>
          <w:cols w:space="720" w:num="1"/>
          <w:docGrid w:linePitch="1" w:charSpace="0"/>
        </w:sectPr>
      </w:pPr>
    </w:p>
    <w:p w14:paraId="6641B77D">
      <w:pPr>
        <w:jc w:val="center"/>
        <w:rPr>
          <w:rFonts w:ascii="宋体" w:hAnsi="宋体" w:eastAsia="宋体" w:cs="宋体"/>
          <w:b/>
          <w:bCs/>
          <w:color w:val="auto"/>
          <w:sz w:val="28"/>
          <w:szCs w:val="36"/>
          <w:highlight w:val="none"/>
          <w:lang w:val="en-US"/>
        </w:rPr>
      </w:pPr>
      <w:r>
        <w:rPr>
          <w:rFonts w:hint="eastAsia" w:ascii="宋体" w:hAnsi="宋体" w:eastAsia="宋体" w:cs="宋体"/>
          <w:b/>
          <w:bCs/>
          <w:color w:val="auto"/>
          <w:sz w:val="28"/>
          <w:szCs w:val="36"/>
          <w:highlight w:val="none"/>
          <w:lang w:val="en-US"/>
        </w:rPr>
        <w:t>法定代表人</w:t>
      </w:r>
      <w:r>
        <w:rPr>
          <w:rFonts w:hint="eastAsia" w:ascii="宋体" w:hAnsi="宋体" w:eastAsia="宋体" w:cs="宋体"/>
          <w:b/>
          <w:bCs/>
          <w:color w:val="auto"/>
          <w:sz w:val="28"/>
          <w:szCs w:val="36"/>
          <w:highlight w:val="none"/>
          <w:lang w:val="en-US" w:eastAsia="zh-CN"/>
        </w:rPr>
        <w:t>（负责人）</w:t>
      </w:r>
      <w:r>
        <w:rPr>
          <w:rFonts w:hint="eastAsia" w:ascii="宋体" w:hAnsi="宋体" w:eastAsia="宋体" w:cs="宋体"/>
          <w:b/>
          <w:bCs/>
          <w:color w:val="auto"/>
          <w:sz w:val="28"/>
          <w:szCs w:val="36"/>
          <w:highlight w:val="none"/>
          <w:lang w:val="en-US"/>
        </w:rPr>
        <w:t>授权委托书</w:t>
      </w:r>
    </w:p>
    <w:p w14:paraId="0477B6F9">
      <w:pPr>
        <w:adjustRightInd w:val="0"/>
        <w:spacing w:line="360" w:lineRule="auto"/>
        <w:ind w:firstLine="550" w:firstLineChars="250"/>
        <w:rPr>
          <w:rFonts w:ascii="宋体" w:hAnsi="宋体" w:eastAsia="宋体" w:cs="宋体"/>
          <w:color w:val="auto"/>
          <w:szCs w:val="21"/>
          <w:highlight w:val="none"/>
        </w:rPr>
      </w:pPr>
    </w:p>
    <w:p w14:paraId="64A4B839">
      <w:pPr>
        <w:spacing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（投标人名称）</w:t>
      </w:r>
      <w:r>
        <w:rPr>
          <w:rFonts w:hint="eastAsia" w:ascii="宋体" w:hAnsi="宋体" w:eastAsia="宋体" w:cs="宋体"/>
          <w:color w:val="auto"/>
          <w:sz w:val="21"/>
          <w:szCs w:val="21"/>
          <w:highlight w:val="none"/>
        </w:rPr>
        <w:t>的法定代表人</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，现委托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投标文件、签订合同和处理有关事宜，其法律后果由我方承担。</w:t>
      </w:r>
    </w:p>
    <w:p w14:paraId="15462660">
      <w:pPr>
        <w:spacing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rPr>
        <w:t xml:space="preserve">                                </w:t>
      </w:r>
    </w:p>
    <w:p w14:paraId="6D0D0F09">
      <w:pPr>
        <w:spacing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1B40B897">
      <w:pPr>
        <w:spacing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附：附授权委托人身份证</w:t>
      </w:r>
    </w:p>
    <w:p w14:paraId="730B39F9">
      <w:pPr>
        <w:spacing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ar-SA"/>
        </w:rPr>
        <mc:AlternateContent>
          <mc:Choice Requires="wps">
            <w:drawing>
              <wp:anchor distT="0" distB="0" distL="114300" distR="114300" simplePos="0" relativeHeight="251671552" behindDoc="0" locked="0" layoutInCell="1" allowOverlap="1">
                <wp:simplePos x="0" y="0"/>
                <wp:positionH relativeFrom="column">
                  <wp:posOffset>-36830</wp:posOffset>
                </wp:positionH>
                <wp:positionV relativeFrom="paragraph">
                  <wp:posOffset>199390</wp:posOffset>
                </wp:positionV>
                <wp:extent cx="6233160" cy="1585595"/>
                <wp:effectExtent l="5080" t="5080" r="10160" b="9525"/>
                <wp:wrapNone/>
                <wp:docPr id="2" name="矩形 2"/>
                <wp:cNvGraphicFramePr/>
                <a:graphic xmlns:a="http://schemas.openxmlformats.org/drawingml/2006/main">
                  <a:graphicData uri="http://schemas.microsoft.com/office/word/2010/wordprocessingShape">
                    <wps:wsp>
                      <wps:cNvSpPr/>
                      <wps:spPr>
                        <a:xfrm>
                          <a:off x="0" y="0"/>
                          <a:ext cx="6233160" cy="15855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9A9AC1B">
                            <w:pPr>
                              <w:rPr>
                                <w:rFonts w:ascii="黑体" w:hAnsi="宋体" w:eastAsia="黑体"/>
                                <w:b/>
                                <w:szCs w:val="32"/>
                              </w:rPr>
                            </w:pPr>
                          </w:p>
                          <w:p w14:paraId="2005FDEA">
                            <w:pPr>
                              <w:rPr>
                                <w:rFonts w:ascii="黑体" w:hAnsi="宋体" w:eastAsia="黑体"/>
                                <w:b/>
                                <w:szCs w:val="32"/>
                              </w:rPr>
                            </w:pPr>
                          </w:p>
                          <w:p w14:paraId="0EC31F8C">
                            <w:pPr>
                              <w:rPr>
                                <w:rFonts w:ascii="黑体" w:hAnsi="宋体" w:eastAsia="黑体"/>
                                <w:b/>
                                <w:szCs w:val="32"/>
                              </w:rPr>
                            </w:pPr>
                          </w:p>
                          <w:p w14:paraId="60155719">
                            <w:pPr>
                              <w:jc w:val="center"/>
                              <w:rPr>
                                <w:sz w:val="28"/>
                                <w:szCs w:val="21"/>
                              </w:rPr>
                            </w:pPr>
                            <w:r>
                              <w:rPr>
                                <w:rFonts w:hint="eastAsia"/>
                                <w:b/>
                                <w:sz w:val="28"/>
                                <w:szCs w:val="21"/>
                              </w:rPr>
                              <w:t>附授权委托人身份证（正、反面）</w:t>
                            </w:r>
                          </w:p>
                        </w:txbxContent>
                      </wps:txbx>
                      <wps:bodyPr vert="horz" wrap="square" anchor="t" anchorCtr="0" upright="1"/>
                    </wps:wsp>
                  </a:graphicData>
                </a:graphic>
              </wp:anchor>
            </w:drawing>
          </mc:Choice>
          <mc:Fallback>
            <w:pict>
              <v:rect id="_x0000_s1026" o:spid="_x0000_s1026" o:spt="1" style="position:absolute;left:0pt;margin-left:-2.9pt;margin-top:15.7pt;height:124.85pt;width:490.8pt;z-index:251671552;mso-width-relative:page;mso-height-relative:page;" fillcolor="#FFFFFF" filled="t" stroked="t" coordsize="21600,21600" o:gfxdata="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R29U9gAAAAJAQAADwAAAAAAAAABACAAAAAiAAAAZHJzL2Rvd25yZXYueG1sUEsBAhQAFAAAAAgA&#10;h07iQOppJWolAgAAawQAAA4AAAAAAAAAAQAgAAAAJwEAAGRycy9lMm9Eb2MueG1sUEsFBgAAAAAG&#10;AAYAWQEAAL4FAAAAAA==&#10;">
                <v:fill on="t" focussize="0,0"/>
                <v:stroke color="#000000" joinstyle="miter"/>
                <v:imagedata o:title=""/>
                <o:lock v:ext="edit" aspectratio="f"/>
                <v:textbox>
                  <w:txbxContent>
                    <w:p w14:paraId="19A9AC1B">
                      <w:pPr>
                        <w:rPr>
                          <w:rFonts w:ascii="黑体" w:hAnsi="宋体" w:eastAsia="黑体"/>
                          <w:b/>
                          <w:szCs w:val="32"/>
                        </w:rPr>
                      </w:pPr>
                    </w:p>
                    <w:p w14:paraId="2005FDEA">
                      <w:pPr>
                        <w:rPr>
                          <w:rFonts w:ascii="黑体" w:hAnsi="宋体" w:eastAsia="黑体"/>
                          <w:b/>
                          <w:szCs w:val="32"/>
                        </w:rPr>
                      </w:pPr>
                    </w:p>
                    <w:p w14:paraId="0EC31F8C">
                      <w:pPr>
                        <w:rPr>
                          <w:rFonts w:ascii="黑体" w:hAnsi="宋体" w:eastAsia="黑体"/>
                          <w:b/>
                          <w:szCs w:val="32"/>
                        </w:rPr>
                      </w:pPr>
                    </w:p>
                    <w:p w14:paraId="60155719">
                      <w:pPr>
                        <w:jc w:val="center"/>
                        <w:rPr>
                          <w:sz w:val="28"/>
                          <w:szCs w:val="21"/>
                        </w:rPr>
                      </w:pPr>
                      <w:r>
                        <w:rPr>
                          <w:rFonts w:hint="eastAsia"/>
                          <w:b/>
                          <w:sz w:val="28"/>
                          <w:szCs w:val="21"/>
                        </w:rPr>
                        <w:t>附授权委托人身份证（正、反面）</w:t>
                      </w:r>
                    </w:p>
                  </w:txbxContent>
                </v:textbox>
              </v:rect>
            </w:pict>
          </mc:Fallback>
        </mc:AlternateContent>
      </w:r>
    </w:p>
    <w:p w14:paraId="4EFA7533">
      <w:pPr>
        <w:spacing w:line="480" w:lineRule="auto"/>
        <w:ind w:firstLine="420" w:firstLineChars="200"/>
        <w:rPr>
          <w:rFonts w:ascii="宋体" w:hAnsi="宋体" w:eastAsia="宋体" w:cs="宋体"/>
          <w:color w:val="auto"/>
          <w:sz w:val="21"/>
          <w:szCs w:val="21"/>
          <w:highlight w:val="none"/>
        </w:rPr>
      </w:pPr>
    </w:p>
    <w:p w14:paraId="4FD01001">
      <w:pPr>
        <w:spacing w:line="480" w:lineRule="auto"/>
        <w:ind w:firstLine="4725" w:firstLineChars="2250"/>
        <w:rPr>
          <w:rFonts w:ascii="宋体" w:hAnsi="宋体" w:eastAsia="宋体" w:cs="宋体"/>
          <w:color w:val="auto"/>
          <w:sz w:val="21"/>
          <w:szCs w:val="21"/>
          <w:highlight w:val="none"/>
        </w:rPr>
      </w:pPr>
    </w:p>
    <w:p w14:paraId="568471D4">
      <w:pPr>
        <w:spacing w:line="480" w:lineRule="auto"/>
        <w:ind w:firstLine="4725" w:firstLineChars="2250"/>
        <w:rPr>
          <w:rFonts w:ascii="宋体" w:hAnsi="宋体" w:eastAsia="宋体" w:cs="宋体"/>
          <w:color w:val="auto"/>
          <w:sz w:val="21"/>
          <w:szCs w:val="21"/>
          <w:highlight w:val="none"/>
        </w:rPr>
      </w:pPr>
    </w:p>
    <w:p w14:paraId="0411DE77">
      <w:pPr>
        <w:spacing w:line="480" w:lineRule="auto"/>
        <w:ind w:firstLine="4725" w:firstLineChars="2250"/>
        <w:rPr>
          <w:rFonts w:ascii="宋体" w:hAnsi="宋体" w:eastAsia="宋体" w:cs="宋体"/>
          <w:color w:val="auto"/>
          <w:sz w:val="21"/>
          <w:szCs w:val="21"/>
          <w:highlight w:val="none"/>
        </w:rPr>
      </w:pPr>
    </w:p>
    <w:p w14:paraId="41D3B4E7">
      <w:pPr>
        <w:spacing w:line="480" w:lineRule="auto"/>
        <w:ind w:firstLine="4725" w:firstLineChars="2250"/>
        <w:rPr>
          <w:rFonts w:ascii="宋体" w:hAnsi="宋体" w:eastAsia="宋体" w:cs="宋体"/>
          <w:color w:val="auto"/>
          <w:sz w:val="21"/>
          <w:szCs w:val="21"/>
          <w:highlight w:val="none"/>
        </w:rPr>
      </w:pPr>
    </w:p>
    <w:p w14:paraId="26983452">
      <w:pPr>
        <w:spacing w:line="480" w:lineRule="auto"/>
        <w:rPr>
          <w:rFonts w:ascii="宋体" w:hAnsi="宋体" w:eastAsia="宋体" w:cs="宋体"/>
          <w:color w:val="auto"/>
          <w:sz w:val="21"/>
          <w:szCs w:val="21"/>
          <w:highlight w:val="none"/>
        </w:rPr>
      </w:pPr>
    </w:p>
    <w:p w14:paraId="450032F1">
      <w:pPr>
        <w:spacing w:line="480" w:lineRule="auto"/>
        <w:ind w:firstLine="716" w:firstLineChars="341"/>
        <w:rPr>
          <w:rFonts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lang w:val="en-US"/>
        </w:rPr>
        <w:t>投标人名称：</w:t>
      </w:r>
      <w:r>
        <w:rPr>
          <w:rFonts w:hint="eastAsia" w:ascii="宋体" w:hAnsi="宋体" w:eastAsia="宋体" w:cs="宋体"/>
          <w:color w:val="auto"/>
          <w:sz w:val="21"/>
          <w:szCs w:val="21"/>
          <w:highlight w:val="none"/>
          <w:u w:val="single"/>
          <w:lang w:val="en-US"/>
        </w:rPr>
        <w:t xml:space="preserve">                        （电子签章）</w:t>
      </w:r>
    </w:p>
    <w:p w14:paraId="1163E799">
      <w:pPr>
        <w:spacing w:line="480" w:lineRule="auto"/>
        <w:ind w:firstLine="716" w:firstLineChars="341"/>
        <w:rPr>
          <w:rFonts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u w:val="single"/>
          <w:lang w:val="en-US"/>
        </w:rPr>
        <w:t xml:space="preserve">                        （电子签章）</w:t>
      </w:r>
    </w:p>
    <w:p w14:paraId="521D97AE">
      <w:pPr>
        <w:spacing w:line="480" w:lineRule="auto"/>
        <w:ind w:firstLine="716" w:firstLineChars="341"/>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 xml:space="preserve">   </w:t>
      </w:r>
    </w:p>
    <w:p w14:paraId="258EB821">
      <w:pPr>
        <w:spacing w:line="480" w:lineRule="auto"/>
        <w:ind w:firstLine="716" w:firstLineChars="341"/>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（签字或盖章）</w:t>
      </w:r>
      <w:r>
        <w:rPr>
          <w:rFonts w:hint="eastAsia" w:ascii="宋体" w:hAnsi="宋体" w:eastAsia="宋体" w:cs="宋体"/>
          <w:color w:val="auto"/>
          <w:sz w:val="21"/>
          <w:szCs w:val="21"/>
          <w:highlight w:val="none"/>
          <w:u w:val="single"/>
          <w:lang w:val="en-US"/>
        </w:rPr>
        <w:t xml:space="preserve"> </w:t>
      </w:r>
    </w:p>
    <w:p w14:paraId="0133053B">
      <w:pPr>
        <w:spacing w:line="480" w:lineRule="auto"/>
        <w:ind w:firstLine="716" w:firstLineChars="341"/>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 xml:space="preserve">  </w:t>
      </w:r>
    </w:p>
    <w:p w14:paraId="5609432F">
      <w:pPr>
        <w:spacing w:line="480" w:lineRule="auto"/>
        <w:ind w:firstLine="840" w:firstLineChars="4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2D2BA3">
      <w:pPr>
        <w:pStyle w:val="8"/>
        <w:spacing w:line="480" w:lineRule="auto"/>
        <w:ind w:firstLine="422"/>
        <w:rPr>
          <w:rFonts w:ascii="宋体" w:hAnsi="宋体" w:eastAsia="宋体" w:cs="宋体"/>
          <w:b/>
          <w:color w:val="auto"/>
          <w:sz w:val="21"/>
          <w:szCs w:val="21"/>
          <w:highlight w:val="none"/>
        </w:rPr>
      </w:pPr>
    </w:p>
    <w:p w14:paraId="7FA62EE2">
      <w:pPr>
        <w:pStyle w:val="8"/>
        <w:spacing w:line="480" w:lineRule="auto"/>
        <w:rPr>
          <w:rFonts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注：如投标人由法定代表人</w:t>
      </w:r>
      <w:r>
        <w:rPr>
          <w:rFonts w:hint="eastAsia" w:ascii="宋体" w:hAnsi="宋体" w:eastAsia="宋体" w:cs="宋体"/>
          <w:bCs/>
          <w:color w:val="auto"/>
          <w:sz w:val="21"/>
          <w:szCs w:val="21"/>
          <w:highlight w:val="none"/>
          <w:lang w:val="en-US" w:eastAsia="zh-CN"/>
        </w:rPr>
        <w:t>（负责人）</w:t>
      </w:r>
      <w:r>
        <w:rPr>
          <w:rFonts w:hint="eastAsia" w:ascii="宋体" w:hAnsi="宋体" w:eastAsia="宋体" w:cs="宋体"/>
          <w:bCs/>
          <w:color w:val="auto"/>
          <w:sz w:val="21"/>
          <w:szCs w:val="21"/>
          <w:highlight w:val="none"/>
        </w:rPr>
        <w:t>亲自签署投标文件并参与相关活动，则不需要办理授权。如有被授权的代理人签署上述文件，则必须按本格式规定填报并提交授权书，否则被授权的代理人将不被认可。</w:t>
      </w:r>
    </w:p>
    <w:p w14:paraId="2189E0C6">
      <w:pPr>
        <w:rPr>
          <w:rFonts w:ascii="宋体" w:hAnsi="宋体" w:eastAsia="宋体" w:cs="宋体"/>
          <w:color w:val="auto"/>
          <w:highlight w:val="none"/>
          <w:lang w:val="en-US"/>
        </w:rPr>
        <w:sectPr>
          <w:pgSz w:w="11911" w:h="16838"/>
          <w:pgMar w:top="1134" w:right="1134" w:bottom="1134" w:left="1134" w:header="850" w:footer="850" w:gutter="0"/>
          <w:pgNumType w:fmt="numberInDash"/>
          <w:cols w:space="720" w:num="1"/>
          <w:docGrid w:linePitch="1" w:charSpace="0"/>
        </w:sectPr>
      </w:pPr>
      <w:bookmarkStart w:id="419" w:name="格式7、企业简介"/>
      <w:bookmarkEnd w:id="419"/>
    </w:p>
    <w:bookmarkEnd w:id="408"/>
    <w:bookmarkEnd w:id="409"/>
    <w:bookmarkEnd w:id="410"/>
    <w:bookmarkEnd w:id="411"/>
    <w:bookmarkEnd w:id="412"/>
    <w:bookmarkEnd w:id="413"/>
    <w:bookmarkEnd w:id="414"/>
    <w:bookmarkEnd w:id="415"/>
    <w:bookmarkEnd w:id="416"/>
    <w:bookmarkEnd w:id="417"/>
    <w:bookmarkEnd w:id="418"/>
    <w:p w14:paraId="2D4805CE">
      <w:pPr>
        <w:pStyle w:val="5"/>
        <w:jc w:val="both"/>
        <w:rPr>
          <w:rFonts w:ascii="宋体" w:hAnsi="宋体" w:eastAsia="宋体" w:cs="宋体"/>
          <w:color w:val="auto"/>
          <w:sz w:val="28"/>
          <w:szCs w:val="28"/>
          <w:highlight w:val="none"/>
          <w:lang w:val="en-US"/>
        </w:rPr>
      </w:pPr>
      <w:bookmarkStart w:id="420" w:name="_Toc3561"/>
      <w:bookmarkStart w:id="421" w:name="_Toc6920"/>
      <w:bookmarkStart w:id="422" w:name="_Toc22344"/>
      <w:bookmarkStart w:id="423" w:name="_Toc29906"/>
      <w:bookmarkStart w:id="424" w:name="_Toc10467"/>
      <w:bookmarkStart w:id="425" w:name="_Toc12432"/>
      <w:r>
        <w:rPr>
          <w:rFonts w:hint="eastAsia" w:ascii="宋体" w:hAnsi="宋体" w:eastAsia="宋体" w:cs="宋体"/>
          <w:color w:val="auto"/>
          <w:sz w:val="28"/>
          <w:szCs w:val="28"/>
          <w:highlight w:val="none"/>
          <w:lang w:val="en-US"/>
        </w:rPr>
        <w:t>2.商务条款偏离表</w:t>
      </w:r>
      <w:bookmarkEnd w:id="420"/>
      <w:bookmarkEnd w:id="421"/>
    </w:p>
    <w:p w14:paraId="44209797">
      <w:pPr>
        <w:pStyle w:val="11"/>
        <w:spacing w:line="360" w:lineRule="auto"/>
        <w:jc w:val="center"/>
        <w:rPr>
          <w:rFonts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lang w:val="en-US"/>
        </w:rPr>
        <w:t>商务条款偏离表</w:t>
      </w:r>
    </w:p>
    <w:p w14:paraId="723DCBD4">
      <w:pPr>
        <w:pStyle w:val="11"/>
        <w:spacing w:line="360" w:lineRule="auto"/>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投标人应逐条对应采购文件第三章“合同书样式及主要条款”合同条款中要求的内容，并根据实际投标情况如实填写本表格。</w:t>
      </w:r>
    </w:p>
    <w:p w14:paraId="4F01EFC5">
      <w:pPr>
        <w:pStyle w:val="11"/>
        <w:spacing w:line="360" w:lineRule="auto"/>
        <w:rPr>
          <w:rFonts w:ascii="宋体" w:hAnsi="宋体" w:eastAsia="宋体" w:cs="宋体"/>
          <w:color w:val="auto"/>
          <w:sz w:val="21"/>
          <w:szCs w:val="21"/>
          <w:highlight w:val="none"/>
          <w:lang w:val="en-US"/>
        </w:rPr>
      </w:pPr>
    </w:p>
    <w:p w14:paraId="12743CAE">
      <w:pPr>
        <w:pStyle w:val="11"/>
        <w:spacing w:line="360" w:lineRule="auto"/>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A.□我公司已详细阅读采购文件中各项商务要求，所有商务要求均无偏离，中标后我公司将严格遵照执行。</w:t>
      </w:r>
    </w:p>
    <w:p w14:paraId="371DDC59">
      <w:pPr>
        <w:pStyle w:val="11"/>
        <w:spacing w:line="360" w:lineRule="auto"/>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B.□我公司已详细阅读采购文件中各项商务要求，除下述条款有偏离外，其余条款我公司均予以认可，中标后将严格遵照执行。</w:t>
      </w:r>
    </w:p>
    <w:tbl>
      <w:tblPr>
        <w:tblStyle w:val="28"/>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3959"/>
        <w:gridCol w:w="4785"/>
      </w:tblGrid>
      <w:tr w14:paraId="0A8E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4B57B836">
            <w:pPr>
              <w:pStyle w:val="11"/>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序号</w:t>
            </w:r>
          </w:p>
        </w:tc>
        <w:tc>
          <w:tcPr>
            <w:tcW w:w="3959" w:type="dxa"/>
            <w:vAlign w:val="center"/>
          </w:tcPr>
          <w:p w14:paraId="2B4E72EB">
            <w:pPr>
              <w:pStyle w:val="11"/>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采购文件的商务条款要求</w:t>
            </w:r>
          </w:p>
        </w:tc>
        <w:tc>
          <w:tcPr>
            <w:tcW w:w="4785" w:type="dxa"/>
            <w:vAlign w:val="center"/>
          </w:tcPr>
          <w:p w14:paraId="7D81A0D8">
            <w:pPr>
              <w:pStyle w:val="11"/>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投标文件的商务条款</w:t>
            </w:r>
          </w:p>
        </w:tc>
      </w:tr>
      <w:tr w14:paraId="7C41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09EB4D41">
            <w:pPr>
              <w:pStyle w:val="11"/>
              <w:rPr>
                <w:rFonts w:ascii="宋体" w:hAnsi="宋体" w:eastAsia="宋体" w:cs="宋体"/>
                <w:color w:val="auto"/>
                <w:sz w:val="21"/>
                <w:szCs w:val="21"/>
                <w:highlight w:val="none"/>
                <w:lang w:val="en-US"/>
              </w:rPr>
            </w:pPr>
          </w:p>
        </w:tc>
        <w:tc>
          <w:tcPr>
            <w:tcW w:w="3959" w:type="dxa"/>
            <w:vAlign w:val="center"/>
          </w:tcPr>
          <w:p w14:paraId="0941806C">
            <w:pPr>
              <w:pStyle w:val="11"/>
              <w:rPr>
                <w:rFonts w:ascii="宋体" w:hAnsi="宋体" w:eastAsia="宋体" w:cs="宋体"/>
                <w:color w:val="auto"/>
                <w:sz w:val="21"/>
                <w:szCs w:val="21"/>
                <w:highlight w:val="none"/>
                <w:lang w:val="en-US"/>
              </w:rPr>
            </w:pPr>
          </w:p>
        </w:tc>
        <w:tc>
          <w:tcPr>
            <w:tcW w:w="4785" w:type="dxa"/>
            <w:vAlign w:val="center"/>
          </w:tcPr>
          <w:p w14:paraId="1924D17C">
            <w:pPr>
              <w:pStyle w:val="11"/>
              <w:rPr>
                <w:rFonts w:ascii="宋体" w:hAnsi="宋体" w:eastAsia="宋体" w:cs="宋体"/>
                <w:color w:val="auto"/>
                <w:sz w:val="21"/>
                <w:szCs w:val="21"/>
                <w:highlight w:val="none"/>
                <w:lang w:val="en-US"/>
              </w:rPr>
            </w:pPr>
          </w:p>
        </w:tc>
      </w:tr>
      <w:tr w14:paraId="060E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2D2071B2">
            <w:pPr>
              <w:pStyle w:val="11"/>
              <w:rPr>
                <w:rFonts w:ascii="宋体" w:hAnsi="宋体" w:eastAsia="宋体" w:cs="宋体"/>
                <w:color w:val="auto"/>
                <w:sz w:val="21"/>
                <w:szCs w:val="21"/>
                <w:highlight w:val="none"/>
                <w:lang w:val="en-US"/>
              </w:rPr>
            </w:pPr>
          </w:p>
        </w:tc>
        <w:tc>
          <w:tcPr>
            <w:tcW w:w="3959" w:type="dxa"/>
            <w:vAlign w:val="center"/>
          </w:tcPr>
          <w:p w14:paraId="5A9F7E22">
            <w:pPr>
              <w:pStyle w:val="11"/>
              <w:rPr>
                <w:rFonts w:ascii="宋体" w:hAnsi="宋体" w:eastAsia="宋体" w:cs="宋体"/>
                <w:color w:val="auto"/>
                <w:sz w:val="21"/>
                <w:szCs w:val="21"/>
                <w:highlight w:val="none"/>
                <w:lang w:val="en-US"/>
              </w:rPr>
            </w:pPr>
          </w:p>
        </w:tc>
        <w:tc>
          <w:tcPr>
            <w:tcW w:w="4785" w:type="dxa"/>
            <w:vAlign w:val="center"/>
          </w:tcPr>
          <w:p w14:paraId="60DB0E37">
            <w:pPr>
              <w:pStyle w:val="11"/>
              <w:rPr>
                <w:rFonts w:ascii="宋体" w:hAnsi="宋体" w:eastAsia="宋体" w:cs="宋体"/>
                <w:color w:val="auto"/>
                <w:sz w:val="21"/>
                <w:szCs w:val="21"/>
                <w:highlight w:val="none"/>
                <w:lang w:val="en-US"/>
              </w:rPr>
            </w:pPr>
          </w:p>
        </w:tc>
      </w:tr>
      <w:tr w14:paraId="2864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46B9CD40">
            <w:pPr>
              <w:pStyle w:val="11"/>
              <w:rPr>
                <w:rFonts w:ascii="宋体" w:hAnsi="宋体" w:eastAsia="宋体" w:cs="宋体"/>
                <w:color w:val="auto"/>
                <w:sz w:val="21"/>
                <w:szCs w:val="21"/>
                <w:highlight w:val="none"/>
                <w:lang w:val="en-US"/>
              </w:rPr>
            </w:pPr>
          </w:p>
        </w:tc>
        <w:tc>
          <w:tcPr>
            <w:tcW w:w="3959" w:type="dxa"/>
            <w:vAlign w:val="center"/>
          </w:tcPr>
          <w:p w14:paraId="2A3D7EBA">
            <w:pPr>
              <w:pStyle w:val="11"/>
              <w:rPr>
                <w:rFonts w:ascii="宋体" w:hAnsi="宋体" w:eastAsia="宋体" w:cs="宋体"/>
                <w:color w:val="auto"/>
                <w:sz w:val="21"/>
                <w:szCs w:val="21"/>
                <w:highlight w:val="none"/>
                <w:lang w:val="en-US"/>
              </w:rPr>
            </w:pPr>
          </w:p>
        </w:tc>
        <w:tc>
          <w:tcPr>
            <w:tcW w:w="4785" w:type="dxa"/>
            <w:vAlign w:val="center"/>
          </w:tcPr>
          <w:p w14:paraId="48194B45">
            <w:pPr>
              <w:pStyle w:val="11"/>
              <w:rPr>
                <w:rFonts w:ascii="宋体" w:hAnsi="宋体" w:eastAsia="宋体" w:cs="宋体"/>
                <w:color w:val="auto"/>
                <w:sz w:val="21"/>
                <w:szCs w:val="21"/>
                <w:highlight w:val="none"/>
                <w:lang w:val="en-US"/>
              </w:rPr>
            </w:pPr>
          </w:p>
        </w:tc>
      </w:tr>
      <w:tr w14:paraId="79FD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364CA8E0">
            <w:pPr>
              <w:pStyle w:val="11"/>
              <w:rPr>
                <w:rFonts w:ascii="宋体" w:hAnsi="宋体" w:eastAsia="宋体" w:cs="宋体"/>
                <w:color w:val="auto"/>
                <w:sz w:val="21"/>
                <w:szCs w:val="21"/>
                <w:highlight w:val="none"/>
                <w:lang w:val="en-US"/>
              </w:rPr>
            </w:pPr>
          </w:p>
        </w:tc>
        <w:tc>
          <w:tcPr>
            <w:tcW w:w="3959" w:type="dxa"/>
            <w:vAlign w:val="center"/>
          </w:tcPr>
          <w:p w14:paraId="13FBAD6D">
            <w:pPr>
              <w:pStyle w:val="11"/>
              <w:rPr>
                <w:rFonts w:ascii="宋体" w:hAnsi="宋体" w:eastAsia="宋体" w:cs="宋体"/>
                <w:color w:val="auto"/>
                <w:sz w:val="21"/>
                <w:szCs w:val="21"/>
                <w:highlight w:val="none"/>
                <w:lang w:val="en-US"/>
              </w:rPr>
            </w:pPr>
          </w:p>
        </w:tc>
        <w:tc>
          <w:tcPr>
            <w:tcW w:w="4785" w:type="dxa"/>
            <w:vAlign w:val="center"/>
          </w:tcPr>
          <w:p w14:paraId="35E5860A">
            <w:pPr>
              <w:pStyle w:val="11"/>
              <w:rPr>
                <w:rFonts w:ascii="宋体" w:hAnsi="宋体" w:eastAsia="宋体" w:cs="宋体"/>
                <w:color w:val="auto"/>
                <w:sz w:val="21"/>
                <w:szCs w:val="21"/>
                <w:highlight w:val="none"/>
                <w:lang w:val="en-US"/>
              </w:rPr>
            </w:pPr>
          </w:p>
        </w:tc>
      </w:tr>
    </w:tbl>
    <w:p w14:paraId="656C5BF7">
      <w:pPr>
        <w:pStyle w:val="11"/>
        <w:rPr>
          <w:rFonts w:ascii="宋体" w:hAnsi="宋体" w:eastAsia="宋体" w:cs="宋体"/>
          <w:color w:val="auto"/>
          <w:sz w:val="21"/>
          <w:szCs w:val="21"/>
          <w:highlight w:val="none"/>
          <w:lang w:val="en-US"/>
        </w:rPr>
      </w:pPr>
    </w:p>
    <w:p w14:paraId="563BB8AC">
      <w:pPr>
        <w:pStyle w:val="11"/>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表格填写说明：</w:t>
      </w:r>
    </w:p>
    <w:p w14:paraId="3480CF78">
      <w:pPr>
        <w:pStyle w:val="11"/>
        <w:rPr>
          <w:rFonts w:ascii="宋体" w:hAnsi="宋体" w:eastAsia="宋体" w:cs="宋体"/>
          <w:color w:val="auto"/>
          <w:sz w:val="21"/>
          <w:szCs w:val="21"/>
          <w:highlight w:val="none"/>
          <w:lang w:val="en-US"/>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宋体" w:hAnsi="宋体" w:eastAsia="宋体" w:cs="宋体"/>
          <w:color w:val="auto"/>
          <w:sz w:val="21"/>
          <w:szCs w:val="21"/>
          <w:highlight w:val="none"/>
          <w:lang w:val="en-US"/>
        </w:rPr>
        <w:t>投标人根据应根据实际投标情况，填写本表格，若无偏离，则勾选A项，签字盖章即可。若有偏离，则勾选B项，按表格要求及实际情况填写后，签字盖章。</w:t>
      </w:r>
    </w:p>
    <w:p w14:paraId="05FBA9D8">
      <w:pPr>
        <w:pStyle w:val="11"/>
        <w:rPr>
          <w:rFonts w:ascii="宋体" w:hAnsi="宋体" w:eastAsia="宋体" w:cs="宋体"/>
          <w:color w:val="auto"/>
          <w:sz w:val="21"/>
          <w:szCs w:val="21"/>
          <w:highlight w:val="none"/>
          <w:lang w:val="en-US"/>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宋体" w:hAnsi="宋体" w:eastAsia="宋体" w:cs="宋体"/>
          <w:color w:val="auto"/>
          <w:sz w:val="21"/>
          <w:szCs w:val="21"/>
          <w:highlight w:val="none"/>
          <w:lang w:val="en-US"/>
        </w:rPr>
        <w:t>表格中“采购文件的商务条款要求”在填写时应注明该条款在采购文件的页码及条款号。</w:t>
      </w:r>
    </w:p>
    <w:p w14:paraId="4AD49AF9">
      <w:pPr>
        <w:pStyle w:val="11"/>
        <w:rPr>
          <w:rFonts w:ascii="宋体" w:hAnsi="宋体" w:eastAsia="宋体" w:cs="宋体"/>
          <w:color w:val="auto"/>
          <w:sz w:val="21"/>
          <w:szCs w:val="21"/>
          <w:highlight w:val="none"/>
          <w:lang w:val="en-US"/>
        </w:rPr>
      </w:pPr>
      <w:r>
        <w:rPr>
          <w:rFonts w:hint="eastAsia" w:asciiTheme="majorEastAsia" w:hAnsiTheme="majorEastAsia" w:eastAsiaTheme="majorEastAsia" w:cstheme="majorEastAsia"/>
          <w:color w:val="auto"/>
          <w:sz w:val="21"/>
          <w:szCs w:val="21"/>
          <w:highlight w:val="none"/>
          <w:lang w:val="en-US" w:eastAsia="zh-CN"/>
        </w:rPr>
        <w:t>3.</w:t>
      </w:r>
      <w:r>
        <w:rPr>
          <w:rFonts w:hint="eastAsia" w:ascii="宋体" w:hAnsi="宋体" w:eastAsia="宋体" w:cs="宋体"/>
          <w:color w:val="auto"/>
          <w:sz w:val="21"/>
          <w:szCs w:val="21"/>
          <w:highlight w:val="none"/>
          <w:lang w:val="en-US"/>
        </w:rPr>
        <w:t>表格中“投标文件的商务条款”请投标人根据实际投标情况如实、完整、准确地填写。</w:t>
      </w:r>
    </w:p>
    <w:p w14:paraId="4A210B9A">
      <w:pPr>
        <w:pStyle w:val="11"/>
        <w:rPr>
          <w:rFonts w:ascii="宋体" w:hAnsi="宋体" w:eastAsia="宋体" w:cs="宋体"/>
          <w:color w:val="auto"/>
          <w:sz w:val="21"/>
          <w:szCs w:val="21"/>
          <w:highlight w:val="none"/>
          <w:lang w:val="en-US"/>
        </w:rPr>
      </w:pPr>
      <w:r>
        <w:rPr>
          <w:rFonts w:hint="eastAsia" w:asciiTheme="majorEastAsia" w:hAnsiTheme="majorEastAsia" w:eastAsiaTheme="majorEastAsia" w:cstheme="majorEastAsia"/>
          <w:color w:val="auto"/>
          <w:sz w:val="21"/>
          <w:szCs w:val="21"/>
          <w:highlight w:val="none"/>
          <w:lang w:val="en-US" w:eastAsia="zh-CN"/>
        </w:rPr>
        <w:t>4.</w:t>
      </w:r>
      <w:r>
        <w:rPr>
          <w:rFonts w:hint="eastAsia" w:ascii="宋体" w:hAnsi="宋体" w:eastAsia="宋体" w:cs="宋体"/>
          <w:color w:val="auto"/>
          <w:sz w:val="21"/>
          <w:szCs w:val="21"/>
          <w:highlight w:val="none"/>
          <w:lang w:val="en-US"/>
        </w:rPr>
        <w:t>本表格中内容与投标文件其余部分不一致的，以本表格为准。</w:t>
      </w:r>
    </w:p>
    <w:p w14:paraId="0B170829">
      <w:pPr>
        <w:spacing w:line="360" w:lineRule="auto"/>
        <w:rPr>
          <w:rFonts w:ascii="宋体" w:hAnsi="宋体" w:eastAsia="宋体" w:cs="宋体"/>
          <w:color w:val="auto"/>
          <w:sz w:val="21"/>
          <w:szCs w:val="21"/>
          <w:highlight w:val="none"/>
          <w:lang w:val="en-US"/>
        </w:rPr>
      </w:pPr>
    </w:p>
    <w:p w14:paraId="0E3DB859">
      <w:pPr>
        <w:pStyle w:val="11"/>
        <w:rPr>
          <w:rFonts w:ascii="宋体" w:hAnsi="宋体" w:eastAsia="宋体" w:cs="宋体"/>
          <w:color w:val="auto"/>
          <w:sz w:val="21"/>
          <w:szCs w:val="21"/>
          <w:highlight w:val="none"/>
          <w:lang w:val="en-US"/>
        </w:rPr>
      </w:pPr>
    </w:p>
    <w:p w14:paraId="611C17F2">
      <w:pPr>
        <w:rPr>
          <w:rFonts w:ascii="宋体" w:hAnsi="宋体" w:eastAsia="宋体" w:cs="宋体"/>
          <w:color w:val="auto"/>
          <w:sz w:val="21"/>
          <w:szCs w:val="21"/>
          <w:highlight w:val="none"/>
          <w:lang w:val="en-US"/>
        </w:rPr>
      </w:pPr>
    </w:p>
    <w:p w14:paraId="4F4A8C1F">
      <w:pPr>
        <w:spacing w:before="100" w:after="10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（电子签章）</w:t>
      </w:r>
    </w:p>
    <w:p w14:paraId="4F8E1746">
      <w:pPr>
        <w:spacing w:before="100" w:after="10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（电子签章）</w:t>
      </w:r>
    </w:p>
    <w:p w14:paraId="2F0E9016">
      <w:pPr>
        <w:spacing w:before="100" w:after="100" w:line="360" w:lineRule="auto"/>
        <w:rPr>
          <w:rFonts w:ascii="宋体" w:hAnsi="宋体" w:eastAsia="宋体" w:cs="宋体"/>
          <w:color w:val="auto"/>
          <w:highlight w:val="none"/>
          <w:lang w:val="en-US"/>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日</w:t>
      </w:r>
    </w:p>
    <w:p w14:paraId="0F9F85CC">
      <w:pPr>
        <w:rPr>
          <w:rFonts w:ascii="宋体" w:hAnsi="宋体" w:eastAsia="宋体" w:cs="宋体"/>
          <w:color w:val="auto"/>
          <w:highlight w:val="none"/>
          <w:lang w:val="en-US"/>
        </w:rPr>
        <w:sectPr>
          <w:pgSz w:w="11911" w:h="16838"/>
          <w:pgMar w:top="1134" w:right="1134" w:bottom="1134" w:left="1134" w:header="850" w:footer="850" w:gutter="0"/>
          <w:pgNumType w:fmt="numberInDash"/>
          <w:cols w:space="720" w:num="1"/>
          <w:docGrid w:linePitch="1" w:charSpace="0"/>
        </w:sectPr>
      </w:pPr>
    </w:p>
    <w:bookmarkEnd w:id="422"/>
    <w:p w14:paraId="6538C209">
      <w:pPr>
        <w:pStyle w:val="5"/>
        <w:jc w:val="both"/>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3.项目理解及需求分析</w:t>
      </w:r>
    </w:p>
    <w:p w14:paraId="1099D242">
      <w:pPr>
        <w:autoSpaceDE/>
        <w:autoSpaceDN/>
        <w:spacing w:line="480" w:lineRule="auto"/>
        <w:rPr>
          <w:rFonts w:ascii="宋体" w:hAnsi="宋体" w:eastAsia="宋体" w:cs="宋体"/>
          <w:color w:val="auto"/>
          <w:sz w:val="24"/>
          <w:highlight w:val="none"/>
          <w:lang w:val="en-US"/>
        </w:rPr>
      </w:pPr>
      <w:bookmarkStart w:id="426" w:name="_Toc28226"/>
      <w:bookmarkStart w:id="427" w:name="_Toc11439"/>
      <w:r>
        <w:rPr>
          <w:rFonts w:hint="eastAsia" w:ascii="宋体" w:hAnsi="宋体" w:eastAsia="宋体" w:cs="宋体"/>
          <w:color w:val="auto"/>
          <w:sz w:val="24"/>
          <w:highlight w:val="none"/>
          <w:lang w:val="en-US"/>
        </w:rPr>
        <w:t>投标人根据“采购需求”、“评审办法”及实际情况自行编写，</w:t>
      </w:r>
      <w:r>
        <w:rPr>
          <w:rFonts w:hint="eastAsia" w:ascii="宋体" w:hAnsi="宋体" w:eastAsia="宋体" w:cs="宋体"/>
          <w:color w:val="auto"/>
          <w:sz w:val="24"/>
          <w:highlight w:val="none"/>
        </w:rPr>
        <w:t>格式自拟</w:t>
      </w:r>
      <w:bookmarkEnd w:id="426"/>
      <w:bookmarkEnd w:id="427"/>
      <w:r>
        <w:rPr>
          <w:rFonts w:hint="eastAsia" w:ascii="宋体" w:hAnsi="宋体" w:eastAsia="宋体" w:cs="宋体"/>
          <w:color w:val="auto"/>
          <w:sz w:val="24"/>
          <w:highlight w:val="none"/>
        </w:rPr>
        <w:t>。</w:t>
      </w:r>
    </w:p>
    <w:p w14:paraId="3FFFA6D2">
      <w:pPr>
        <w:pStyle w:val="38"/>
        <w:rPr>
          <w:rFonts w:ascii="宋体" w:hAnsi="宋体" w:eastAsia="宋体" w:cs="宋体"/>
          <w:color w:val="auto"/>
          <w:highlight w:val="none"/>
          <w:lang w:val="en-US"/>
        </w:rPr>
      </w:pPr>
    </w:p>
    <w:p w14:paraId="63BF5DB3">
      <w:pPr>
        <w:pStyle w:val="38"/>
        <w:rPr>
          <w:rFonts w:ascii="宋体" w:hAnsi="宋体" w:eastAsia="宋体" w:cs="宋体"/>
          <w:color w:val="auto"/>
          <w:highlight w:val="none"/>
          <w:lang w:val="en-US"/>
        </w:rPr>
      </w:pPr>
    </w:p>
    <w:p w14:paraId="42BFC27F">
      <w:pPr>
        <w:pStyle w:val="38"/>
        <w:rPr>
          <w:rFonts w:ascii="宋体" w:hAnsi="宋体" w:eastAsia="宋体" w:cs="宋体"/>
          <w:color w:val="auto"/>
          <w:highlight w:val="none"/>
          <w:lang w:val="en-US"/>
        </w:rPr>
      </w:pPr>
    </w:p>
    <w:p w14:paraId="6980CF84">
      <w:pPr>
        <w:pStyle w:val="38"/>
        <w:rPr>
          <w:rFonts w:ascii="宋体" w:hAnsi="宋体" w:eastAsia="宋体" w:cs="宋体"/>
          <w:color w:val="auto"/>
          <w:highlight w:val="none"/>
          <w:lang w:val="en-US"/>
        </w:rPr>
      </w:pPr>
    </w:p>
    <w:p w14:paraId="7EA45BB9">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7588310B">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0D59B4A6">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733ECDB0">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55CDF6A8">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342BAEAD">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7CECE360">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3F6331FC">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5D5D432E">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3773799E">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2E2952ED">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7B065590">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1E81894E">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3EA4F74B">
      <w:pPr>
        <w:rPr>
          <w:rFonts w:ascii="宋体" w:hAnsi="宋体" w:eastAsia="宋体" w:cs="宋体"/>
          <w:color w:val="auto"/>
          <w:highlight w:val="none"/>
          <w:lang w:val="en-US"/>
        </w:rPr>
        <w:sectPr>
          <w:pgSz w:w="11911" w:h="16838"/>
          <w:pgMar w:top="1134" w:right="1134" w:bottom="1134" w:left="1134" w:header="850" w:footer="850" w:gutter="0"/>
          <w:pgNumType w:fmt="numberInDash"/>
          <w:cols w:space="720" w:num="1"/>
          <w:docGrid w:linePitch="1" w:charSpace="0"/>
        </w:sectPr>
      </w:pPr>
    </w:p>
    <w:bookmarkEnd w:id="423"/>
    <w:bookmarkEnd w:id="424"/>
    <w:bookmarkEnd w:id="425"/>
    <w:p w14:paraId="0064A584">
      <w:pPr>
        <w:pStyle w:val="5"/>
        <w:jc w:val="both"/>
        <w:rPr>
          <w:rFonts w:ascii="宋体" w:hAnsi="宋体" w:eastAsia="宋体" w:cs="宋体"/>
          <w:color w:val="auto"/>
          <w:sz w:val="28"/>
          <w:szCs w:val="28"/>
          <w:highlight w:val="none"/>
          <w:lang w:val="en-US"/>
        </w:rPr>
      </w:pPr>
      <w:bookmarkStart w:id="428" w:name="_Toc5807"/>
      <w:bookmarkStart w:id="429" w:name="_Toc32372"/>
      <w:bookmarkStart w:id="430" w:name="_Toc24788"/>
      <w:bookmarkStart w:id="431" w:name="_Toc13300"/>
      <w:bookmarkStart w:id="432" w:name="_Toc24971"/>
      <w:r>
        <w:rPr>
          <w:rFonts w:hint="eastAsia" w:ascii="宋体" w:hAnsi="宋体" w:eastAsia="宋体" w:cs="宋体"/>
          <w:color w:val="auto"/>
          <w:sz w:val="28"/>
          <w:szCs w:val="28"/>
          <w:highlight w:val="none"/>
          <w:lang w:val="en-US"/>
        </w:rPr>
        <w:t>4.</w:t>
      </w:r>
      <w:bookmarkEnd w:id="428"/>
      <w:bookmarkEnd w:id="429"/>
      <w:r>
        <w:rPr>
          <w:rFonts w:hint="eastAsia" w:ascii="宋体" w:hAnsi="宋体" w:eastAsia="宋体" w:cs="宋体"/>
          <w:color w:val="auto"/>
          <w:sz w:val="28"/>
          <w:szCs w:val="28"/>
          <w:highlight w:val="none"/>
          <w:lang w:val="en-US"/>
        </w:rPr>
        <w:t>总体设计方案</w:t>
      </w:r>
    </w:p>
    <w:p w14:paraId="1DF27B5D">
      <w:pPr>
        <w:autoSpaceDE/>
        <w:autoSpaceDN/>
        <w:spacing w:line="360" w:lineRule="auto"/>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投标人根据“采购需求”、“评审办法”及实际情况自行编写，</w:t>
      </w:r>
      <w:r>
        <w:rPr>
          <w:rFonts w:hint="eastAsia" w:ascii="宋体" w:hAnsi="宋体" w:eastAsia="宋体" w:cs="宋体"/>
          <w:color w:val="auto"/>
          <w:sz w:val="24"/>
          <w:highlight w:val="none"/>
        </w:rPr>
        <w:t>格式自拟。</w:t>
      </w:r>
    </w:p>
    <w:p w14:paraId="156C664E">
      <w:pPr>
        <w:rPr>
          <w:rFonts w:ascii="宋体" w:hAnsi="宋体" w:eastAsia="宋体" w:cs="宋体"/>
          <w:color w:val="auto"/>
          <w:highlight w:val="none"/>
        </w:rPr>
      </w:pPr>
    </w:p>
    <w:p w14:paraId="41004329">
      <w:pPr>
        <w:rPr>
          <w:rFonts w:ascii="宋体" w:hAnsi="宋体" w:eastAsia="宋体" w:cs="宋体"/>
          <w:color w:val="auto"/>
          <w:highlight w:val="none"/>
        </w:rPr>
      </w:pPr>
    </w:p>
    <w:p w14:paraId="57A1B3CF">
      <w:pPr>
        <w:spacing w:line="360" w:lineRule="auto"/>
        <w:ind w:firstLine="560" w:firstLineChars="200"/>
        <w:rPr>
          <w:rFonts w:ascii="宋体" w:hAnsi="宋体" w:eastAsia="宋体" w:cs="宋体"/>
          <w:color w:val="auto"/>
          <w:sz w:val="28"/>
          <w:szCs w:val="28"/>
          <w:highlight w:val="none"/>
          <w:lang w:val="en-US"/>
        </w:rPr>
      </w:pPr>
      <w:bookmarkStart w:id="433" w:name="格式3、承诺书（投标人）"/>
      <w:bookmarkEnd w:id="433"/>
      <w:bookmarkStart w:id="434" w:name="格式5、交货方案及时间进度计划安排"/>
      <w:bookmarkEnd w:id="434"/>
      <w:bookmarkStart w:id="435" w:name="格式8、中小企业声明函"/>
      <w:bookmarkEnd w:id="435"/>
      <w:bookmarkStart w:id="436" w:name="格式4、投标质量保证书"/>
      <w:bookmarkEnd w:id="436"/>
      <w:bookmarkStart w:id="437" w:name="格式2、经营活动中重大违法情况及声明"/>
      <w:bookmarkEnd w:id="437"/>
    </w:p>
    <w:p w14:paraId="6E933CFB">
      <w:pPr>
        <w:spacing w:line="360" w:lineRule="auto"/>
        <w:ind w:firstLine="560" w:firstLineChars="200"/>
        <w:rPr>
          <w:rFonts w:ascii="宋体" w:hAnsi="宋体" w:eastAsia="宋体" w:cs="宋体"/>
          <w:color w:val="auto"/>
          <w:sz w:val="28"/>
          <w:szCs w:val="28"/>
          <w:highlight w:val="none"/>
          <w:lang w:val="en-US"/>
        </w:rPr>
      </w:pPr>
    </w:p>
    <w:p w14:paraId="483E1F6A">
      <w:pPr>
        <w:spacing w:line="360" w:lineRule="auto"/>
        <w:ind w:firstLine="560" w:firstLineChars="200"/>
        <w:rPr>
          <w:rFonts w:ascii="宋体" w:hAnsi="宋体" w:eastAsia="宋体" w:cs="宋体"/>
          <w:color w:val="auto"/>
          <w:sz w:val="28"/>
          <w:szCs w:val="28"/>
          <w:highlight w:val="none"/>
          <w:lang w:val="en-US"/>
        </w:rPr>
      </w:pPr>
    </w:p>
    <w:p w14:paraId="04D0CB34">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1396F622">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68F748C8">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228E3840">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0113B3F4">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76BE1AE5">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2DE1E644">
      <w:pPr>
        <w:spacing w:before="100" w:after="100" w:line="360" w:lineRule="auto"/>
        <w:ind w:firstLine="560" w:firstLineChars="200"/>
        <w:jc w:val="both"/>
        <w:rPr>
          <w:rFonts w:ascii="宋体" w:hAnsi="宋体" w:eastAsia="宋体" w:cs="宋体"/>
          <w:color w:val="auto"/>
          <w:sz w:val="28"/>
          <w:szCs w:val="28"/>
          <w:highlight w:val="none"/>
        </w:rPr>
      </w:pPr>
    </w:p>
    <w:p w14:paraId="79A563E3">
      <w:pPr>
        <w:spacing w:before="100" w:after="100" w:line="360" w:lineRule="auto"/>
        <w:ind w:firstLine="560" w:firstLineChars="200"/>
        <w:jc w:val="both"/>
        <w:rPr>
          <w:rFonts w:ascii="宋体" w:hAnsi="宋体" w:eastAsia="宋体" w:cs="宋体"/>
          <w:color w:val="auto"/>
          <w:sz w:val="28"/>
          <w:szCs w:val="28"/>
          <w:highlight w:val="none"/>
        </w:rPr>
      </w:pPr>
    </w:p>
    <w:p w14:paraId="18CF1E7C">
      <w:pPr>
        <w:spacing w:before="100" w:after="100" w:line="360" w:lineRule="auto"/>
        <w:ind w:firstLine="560" w:firstLineChars="200"/>
        <w:jc w:val="both"/>
        <w:rPr>
          <w:rFonts w:ascii="宋体" w:hAnsi="宋体" w:eastAsia="宋体" w:cs="宋体"/>
          <w:color w:val="auto"/>
          <w:sz w:val="28"/>
          <w:szCs w:val="28"/>
          <w:highlight w:val="none"/>
        </w:rPr>
      </w:pPr>
    </w:p>
    <w:p w14:paraId="13DD3177">
      <w:pPr>
        <w:spacing w:line="360" w:lineRule="auto"/>
        <w:ind w:firstLine="560" w:firstLineChars="200"/>
        <w:rPr>
          <w:rFonts w:ascii="宋体" w:hAnsi="宋体" w:eastAsia="宋体" w:cs="宋体"/>
          <w:color w:val="auto"/>
          <w:sz w:val="28"/>
          <w:szCs w:val="28"/>
          <w:highlight w:val="none"/>
          <w:lang w:val="en-US"/>
        </w:rPr>
      </w:pPr>
    </w:p>
    <w:p w14:paraId="1F499F44">
      <w:pPr>
        <w:overflowPunct w:val="0"/>
        <w:spacing w:line="360" w:lineRule="auto"/>
        <w:ind w:firstLine="480" w:firstLineChars="200"/>
        <w:rPr>
          <w:rFonts w:ascii="宋体" w:hAnsi="宋体" w:eastAsia="宋体" w:cs="宋体"/>
          <w:color w:val="auto"/>
          <w:sz w:val="24"/>
          <w:szCs w:val="24"/>
          <w:highlight w:val="none"/>
        </w:rPr>
        <w:sectPr>
          <w:pgSz w:w="11911" w:h="16838"/>
          <w:pgMar w:top="1134" w:right="1134" w:bottom="1134" w:left="1134" w:header="850" w:footer="850" w:gutter="0"/>
          <w:pgNumType w:fmt="numberInDash"/>
          <w:cols w:space="720" w:num="1"/>
          <w:docGrid w:linePitch="1" w:charSpace="0"/>
        </w:sectPr>
      </w:pPr>
    </w:p>
    <w:bookmarkEnd w:id="430"/>
    <w:bookmarkEnd w:id="431"/>
    <w:bookmarkEnd w:id="432"/>
    <w:p w14:paraId="69600439">
      <w:pPr>
        <w:pStyle w:val="5"/>
        <w:jc w:val="both"/>
        <w:rPr>
          <w:rFonts w:ascii="宋体" w:hAnsi="宋体" w:eastAsia="宋体" w:cs="宋体"/>
          <w:color w:val="auto"/>
          <w:sz w:val="28"/>
          <w:szCs w:val="28"/>
          <w:highlight w:val="none"/>
          <w:lang w:val="en-US"/>
        </w:rPr>
      </w:pPr>
      <w:bookmarkStart w:id="438" w:name="_Toc11537"/>
      <w:r>
        <w:rPr>
          <w:rFonts w:hint="eastAsia" w:asciiTheme="majorEastAsia" w:hAnsiTheme="majorEastAsia" w:eastAsiaTheme="majorEastAsia" w:cstheme="majorEastAsia"/>
          <w:color w:val="auto"/>
          <w:sz w:val="28"/>
          <w:szCs w:val="28"/>
          <w:highlight w:val="none"/>
          <w:lang w:val="en-US"/>
        </w:rPr>
        <w:t>5</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服务设计方案</w:t>
      </w:r>
    </w:p>
    <w:p w14:paraId="42F0A79E">
      <w:pPr>
        <w:rPr>
          <w:rFonts w:ascii="宋体" w:hAnsi="宋体" w:eastAsia="宋体" w:cs="宋体"/>
          <w:color w:val="auto"/>
          <w:highlight w:val="none"/>
          <w:lang w:val="en-US"/>
        </w:rPr>
      </w:pPr>
    </w:p>
    <w:p w14:paraId="74F92E55">
      <w:pPr>
        <w:autoSpaceDE/>
        <w:autoSpaceDN/>
        <w:spacing w:line="360" w:lineRule="auto"/>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投标人根据“采购需求”、“评审办法”及实际情况自行编写，</w:t>
      </w:r>
      <w:r>
        <w:rPr>
          <w:rFonts w:hint="eastAsia" w:ascii="宋体" w:hAnsi="宋体" w:eastAsia="宋体" w:cs="宋体"/>
          <w:color w:val="auto"/>
          <w:sz w:val="24"/>
          <w:highlight w:val="none"/>
        </w:rPr>
        <w:t>格式自拟。</w:t>
      </w:r>
    </w:p>
    <w:p w14:paraId="492FD1CA">
      <w:pPr>
        <w:rPr>
          <w:rFonts w:ascii="宋体" w:hAnsi="宋体" w:eastAsia="宋体" w:cs="宋体"/>
          <w:color w:val="auto"/>
          <w:highlight w:val="none"/>
        </w:rPr>
      </w:pPr>
    </w:p>
    <w:p w14:paraId="1559529F">
      <w:pPr>
        <w:rPr>
          <w:rFonts w:ascii="宋体" w:hAnsi="宋体" w:eastAsia="宋体" w:cs="宋体"/>
          <w:color w:val="auto"/>
          <w:highlight w:val="none"/>
        </w:rPr>
      </w:pPr>
    </w:p>
    <w:p w14:paraId="169F2CA2">
      <w:pPr>
        <w:spacing w:line="360" w:lineRule="auto"/>
        <w:ind w:firstLine="560" w:firstLineChars="200"/>
        <w:rPr>
          <w:rFonts w:ascii="宋体" w:hAnsi="宋体" w:eastAsia="宋体" w:cs="宋体"/>
          <w:color w:val="auto"/>
          <w:sz w:val="28"/>
          <w:szCs w:val="28"/>
          <w:highlight w:val="none"/>
          <w:lang w:val="en-US"/>
        </w:rPr>
      </w:pPr>
    </w:p>
    <w:p w14:paraId="6DA1C2F2">
      <w:pPr>
        <w:spacing w:line="360" w:lineRule="auto"/>
        <w:ind w:firstLine="560" w:firstLineChars="200"/>
        <w:rPr>
          <w:rFonts w:ascii="宋体" w:hAnsi="宋体" w:eastAsia="宋体" w:cs="宋体"/>
          <w:color w:val="auto"/>
          <w:sz w:val="28"/>
          <w:szCs w:val="28"/>
          <w:highlight w:val="none"/>
          <w:lang w:val="en-US"/>
        </w:rPr>
      </w:pPr>
    </w:p>
    <w:p w14:paraId="3E9408EB">
      <w:pPr>
        <w:spacing w:line="360" w:lineRule="auto"/>
        <w:ind w:firstLine="560" w:firstLineChars="200"/>
        <w:rPr>
          <w:rFonts w:ascii="宋体" w:hAnsi="宋体" w:eastAsia="宋体" w:cs="宋体"/>
          <w:color w:val="auto"/>
          <w:sz w:val="28"/>
          <w:szCs w:val="28"/>
          <w:highlight w:val="none"/>
          <w:lang w:val="en-US"/>
        </w:rPr>
      </w:pPr>
    </w:p>
    <w:p w14:paraId="0B6EC449">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19792906">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7779F37C">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1FDEFBD3">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449F6CB4">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10A08DE4">
      <w:pPr>
        <w:wordWrap w:val="0"/>
        <w:overflowPunct w:val="0"/>
        <w:spacing w:line="360" w:lineRule="auto"/>
        <w:ind w:firstLine="560" w:firstLineChars="200"/>
        <w:jc w:val="right"/>
        <w:rPr>
          <w:rFonts w:ascii="宋体" w:hAnsi="宋体" w:eastAsia="宋体" w:cs="宋体"/>
          <w:color w:val="auto"/>
          <w:sz w:val="28"/>
          <w:szCs w:val="28"/>
          <w:highlight w:val="none"/>
          <w:lang w:val="en-US"/>
        </w:rPr>
      </w:pPr>
    </w:p>
    <w:p w14:paraId="39BFD743">
      <w:pPr>
        <w:spacing w:before="100" w:after="100" w:line="360" w:lineRule="auto"/>
        <w:ind w:firstLine="560" w:firstLineChars="200"/>
        <w:jc w:val="both"/>
        <w:rPr>
          <w:rFonts w:ascii="宋体" w:hAnsi="宋体" w:eastAsia="宋体" w:cs="宋体"/>
          <w:color w:val="auto"/>
          <w:sz w:val="28"/>
          <w:szCs w:val="28"/>
          <w:highlight w:val="none"/>
        </w:rPr>
      </w:pPr>
    </w:p>
    <w:p w14:paraId="0D9DCDAC">
      <w:pPr>
        <w:spacing w:before="100" w:after="100" w:line="360" w:lineRule="auto"/>
        <w:ind w:firstLine="560" w:firstLineChars="200"/>
        <w:jc w:val="both"/>
        <w:rPr>
          <w:rFonts w:ascii="宋体" w:hAnsi="宋体" w:eastAsia="宋体" w:cs="宋体"/>
          <w:color w:val="auto"/>
          <w:sz w:val="28"/>
          <w:szCs w:val="28"/>
          <w:highlight w:val="none"/>
        </w:rPr>
      </w:pPr>
    </w:p>
    <w:p w14:paraId="1CAD6B03">
      <w:pPr>
        <w:spacing w:before="100" w:after="100" w:line="360" w:lineRule="auto"/>
        <w:ind w:firstLine="560" w:firstLineChars="200"/>
        <w:jc w:val="both"/>
        <w:rPr>
          <w:rFonts w:ascii="宋体" w:hAnsi="宋体" w:eastAsia="宋体" w:cs="宋体"/>
          <w:color w:val="auto"/>
          <w:sz w:val="28"/>
          <w:szCs w:val="28"/>
          <w:highlight w:val="none"/>
        </w:rPr>
      </w:pPr>
    </w:p>
    <w:p w14:paraId="742AC408">
      <w:pPr>
        <w:pStyle w:val="5"/>
        <w:rPr>
          <w:rFonts w:ascii="宋体" w:hAnsi="宋体" w:eastAsia="宋体" w:cs="宋体"/>
          <w:color w:val="auto"/>
          <w:highlight w:val="none"/>
          <w:lang w:val="en-US"/>
        </w:rPr>
        <w:sectPr>
          <w:pgSz w:w="11911" w:h="16838"/>
          <w:pgMar w:top="1134" w:right="1134" w:bottom="1134" w:left="1134" w:header="850" w:footer="850" w:gutter="0"/>
          <w:pgNumType w:fmt="numberInDash"/>
          <w:cols w:space="720" w:num="1"/>
          <w:docGrid w:linePitch="1" w:charSpace="0"/>
        </w:sectPr>
      </w:pPr>
    </w:p>
    <w:p w14:paraId="0F7AB633">
      <w:pPr>
        <w:pStyle w:val="5"/>
        <w:jc w:val="left"/>
        <w:rPr>
          <w:rFonts w:ascii="宋体" w:hAnsi="宋体" w:eastAsia="宋体" w:cs="宋体"/>
          <w:color w:val="auto"/>
          <w:sz w:val="28"/>
          <w:szCs w:val="28"/>
          <w:highlight w:val="none"/>
          <w:lang w:val="en-US"/>
        </w:rPr>
      </w:pPr>
      <w:r>
        <w:rPr>
          <w:rFonts w:hint="eastAsia" w:asciiTheme="majorEastAsia" w:hAnsiTheme="majorEastAsia" w:eastAsiaTheme="majorEastAsia" w:cstheme="majorEastAsia"/>
          <w:color w:val="auto"/>
          <w:sz w:val="28"/>
          <w:szCs w:val="28"/>
          <w:highlight w:val="none"/>
          <w:lang w:val="en-US"/>
        </w:rPr>
        <w:t>6</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风险控制方案</w:t>
      </w:r>
    </w:p>
    <w:p w14:paraId="3BB368AA">
      <w:pPr>
        <w:autoSpaceDE/>
        <w:autoSpaceDN/>
        <w:spacing w:line="360" w:lineRule="auto"/>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投标人根据“采购需求”、“评审办法”及实际情况自行编写，</w:t>
      </w:r>
      <w:r>
        <w:rPr>
          <w:rFonts w:hint="eastAsia" w:ascii="宋体" w:hAnsi="宋体" w:eastAsia="宋体" w:cs="宋体"/>
          <w:color w:val="auto"/>
          <w:sz w:val="24"/>
          <w:highlight w:val="none"/>
        </w:rPr>
        <w:t>格式自拟。</w:t>
      </w:r>
    </w:p>
    <w:p w14:paraId="4D3FE8C1">
      <w:pPr>
        <w:spacing w:before="100" w:after="100" w:line="360" w:lineRule="auto"/>
        <w:ind w:firstLine="560" w:firstLineChars="200"/>
        <w:jc w:val="both"/>
        <w:rPr>
          <w:rFonts w:ascii="宋体" w:hAnsi="宋体" w:eastAsia="宋体" w:cs="宋体"/>
          <w:color w:val="auto"/>
          <w:sz w:val="28"/>
          <w:szCs w:val="28"/>
          <w:highlight w:val="none"/>
        </w:rPr>
      </w:pPr>
    </w:p>
    <w:p w14:paraId="5579D15F">
      <w:pPr>
        <w:spacing w:before="100" w:after="100" w:line="360" w:lineRule="auto"/>
        <w:ind w:firstLine="560" w:firstLineChars="200"/>
        <w:jc w:val="both"/>
        <w:rPr>
          <w:rFonts w:ascii="宋体" w:hAnsi="宋体" w:eastAsia="宋体" w:cs="宋体"/>
          <w:color w:val="auto"/>
          <w:sz w:val="28"/>
          <w:szCs w:val="28"/>
          <w:highlight w:val="none"/>
        </w:rPr>
      </w:pPr>
    </w:p>
    <w:p w14:paraId="140CE650">
      <w:pPr>
        <w:spacing w:before="100" w:after="100" w:line="360" w:lineRule="auto"/>
        <w:ind w:firstLine="560" w:firstLineChars="200"/>
        <w:jc w:val="both"/>
        <w:rPr>
          <w:rFonts w:ascii="宋体" w:hAnsi="宋体" w:eastAsia="宋体" w:cs="宋体"/>
          <w:color w:val="auto"/>
          <w:sz w:val="28"/>
          <w:szCs w:val="28"/>
          <w:highlight w:val="none"/>
        </w:rPr>
      </w:pPr>
    </w:p>
    <w:p w14:paraId="09B201B7">
      <w:pPr>
        <w:spacing w:before="100" w:after="100" w:line="360" w:lineRule="auto"/>
        <w:ind w:firstLine="560" w:firstLineChars="200"/>
        <w:jc w:val="both"/>
        <w:rPr>
          <w:rFonts w:ascii="宋体" w:hAnsi="宋体" w:eastAsia="宋体" w:cs="宋体"/>
          <w:color w:val="auto"/>
          <w:sz w:val="28"/>
          <w:szCs w:val="28"/>
          <w:highlight w:val="none"/>
        </w:rPr>
      </w:pPr>
    </w:p>
    <w:p w14:paraId="51525E40">
      <w:pPr>
        <w:spacing w:before="100" w:after="100" w:line="360" w:lineRule="auto"/>
        <w:ind w:firstLine="560" w:firstLineChars="200"/>
        <w:jc w:val="both"/>
        <w:rPr>
          <w:rFonts w:ascii="宋体" w:hAnsi="宋体" w:eastAsia="宋体" w:cs="宋体"/>
          <w:color w:val="auto"/>
          <w:sz w:val="28"/>
          <w:szCs w:val="28"/>
          <w:highlight w:val="none"/>
        </w:rPr>
      </w:pPr>
    </w:p>
    <w:p w14:paraId="4612891D">
      <w:pPr>
        <w:spacing w:before="100" w:after="100" w:line="360" w:lineRule="auto"/>
        <w:ind w:firstLine="560" w:firstLineChars="200"/>
        <w:jc w:val="both"/>
        <w:rPr>
          <w:rFonts w:ascii="宋体" w:hAnsi="宋体" w:eastAsia="宋体" w:cs="宋体"/>
          <w:color w:val="auto"/>
          <w:sz w:val="28"/>
          <w:szCs w:val="28"/>
          <w:highlight w:val="none"/>
        </w:rPr>
      </w:pPr>
    </w:p>
    <w:p w14:paraId="602F6DEF">
      <w:pPr>
        <w:spacing w:before="100" w:after="100" w:line="360" w:lineRule="auto"/>
        <w:ind w:firstLine="560" w:firstLineChars="200"/>
        <w:jc w:val="both"/>
        <w:rPr>
          <w:rFonts w:ascii="宋体" w:hAnsi="宋体" w:eastAsia="宋体" w:cs="宋体"/>
          <w:color w:val="auto"/>
          <w:sz w:val="28"/>
          <w:szCs w:val="28"/>
          <w:highlight w:val="none"/>
        </w:rPr>
      </w:pPr>
    </w:p>
    <w:p w14:paraId="5EFFCFB0">
      <w:pPr>
        <w:spacing w:before="100" w:after="100" w:line="360" w:lineRule="auto"/>
        <w:ind w:firstLine="560" w:firstLineChars="200"/>
        <w:jc w:val="both"/>
        <w:rPr>
          <w:rFonts w:ascii="宋体" w:hAnsi="宋体" w:eastAsia="宋体" w:cs="宋体"/>
          <w:color w:val="auto"/>
          <w:sz w:val="28"/>
          <w:szCs w:val="28"/>
          <w:highlight w:val="none"/>
        </w:rPr>
      </w:pPr>
    </w:p>
    <w:p w14:paraId="00C29C9D">
      <w:pPr>
        <w:spacing w:before="100" w:after="100" w:line="360" w:lineRule="auto"/>
        <w:ind w:firstLine="560" w:firstLineChars="200"/>
        <w:jc w:val="both"/>
        <w:rPr>
          <w:rFonts w:ascii="宋体" w:hAnsi="宋体" w:eastAsia="宋体" w:cs="宋体"/>
          <w:color w:val="auto"/>
          <w:sz w:val="28"/>
          <w:szCs w:val="28"/>
          <w:highlight w:val="none"/>
        </w:rPr>
      </w:pPr>
    </w:p>
    <w:p w14:paraId="7D2CBDBC">
      <w:pPr>
        <w:spacing w:before="100" w:after="100" w:line="360" w:lineRule="auto"/>
        <w:ind w:firstLine="560" w:firstLineChars="200"/>
        <w:jc w:val="both"/>
        <w:rPr>
          <w:rFonts w:ascii="宋体" w:hAnsi="宋体" w:eastAsia="宋体" w:cs="宋体"/>
          <w:color w:val="auto"/>
          <w:sz w:val="28"/>
          <w:szCs w:val="28"/>
          <w:highlight w:val="none"/>
        </w:rPr>
      </w:pPr>
    </w:p>
    <w:p w14:paraId="2CEC6BEA">
      <w:pPr>
        <w:spacing w:before="100" w:after="100" w:line="360" w:lineRule="auto"/>
        <w:ind w:firstLine="560" w:firstLineChars="200"/>
        <w:jc w:val="both"/>
        <w:rPr>
          <w:rFonts w:ascii="宋体" w:hAnsi="宋体" w:eastAsia="宋体" w:cs="宋体"/>
          <w:color w:val="auto"/>
          <w:sz w:val="28"/>
          <w:szCs w:val="28"/>
          <w:highlight w:val="none"/>
        </w:rPr>
      </w:pPr>
    </w:p>
    <w:bookmarkEnd w:id="438"/>
    <w:p w14:paraId="2FD1ED03">
      <w:pPr>
        <w:rPr>
          <w:rFonts w:ascii="宋体" w:hAnsi="宋体" w:eastAsia="宋体" w:cs="宋体"/>
          <w:color w:val="auto"/>
          <w:highlight w:val="none"/>
          <w:lang w:val="en-US"/>
        </w:rPr>
      </w:pPr>
      <w:bookmarkStart w:id="439" w:name="_Toc3061"/>
      <w:bookmarkStart w:id="440" w:name="_Toc5605"/>
      <w:r>
        <w:rPr>
          <w:rFonts w:hint="eastAsia" w:ascii="宋体" w:hAnsi="宋体" w:eastAsia="宋体" w:cs="宋体"/>
          <w:color w:val="auto"/>
          <w:highlight w:val="none"/>
          <w:lang w:val="en-US"/>
        </w:rPr>
        <w:br w:type="page"/>
      </w:r>
    </w:p>
    <w:p w14:paraId="370999AC">
      <w:pPr>
        <w:pStyle w:val="5"/>
        <w:jc w:val="both"/>
        <w:rPr>
          <w:rFonts w:ascii="宋体" w:hAnsi="宋体" w:eastAsia="宋体" w:cs="宋体"/>
          <w:color w:val="auto"/>
          <w:sz w:val="28"/>
          <w:szCs w:val="28"/>
          <w:highlight w:val="none"/>
          <w:lang w:val="en-US"/>
        </w:rPr>
      </w:pPr>
      <w:r>
        <w:rPr>
          <w:rFonts w:hint="eastAsia" w:asciiTheme="majorEastAsia" w:hAnsiTheme="majorEastAsia" w:eastAsiaTheme="majorEastAsia" w:cstheme="majorEastAsia"/>
          <w:color w:val="auto"/>
          <w:sz w:val="28"/>
          <w:szCs w:val="28"/>
          <w:highlight w:val="none"/>
          <w:lang w:val="en-US"/>
        </w:rPr>
        <w:t>7</w:t>
      </w:r>
      <w:r>
        <w:rPr>
          <w:rFonts w:hint="eastAsia" w:ascii="宋体" w:hAnsi="宋体" w:eastAsia="宋体" w:cs="宋体"/>
          <w:color w:val="auto"/>
          <w:sz w:val="28"/>
          <w:szCs w:val="28"/>
          <w:highlight w:val="none"/>
          <w:lang w:val="en-US"/>
        </w:rPr>
        <w:t>.</w:t>
      </w:r>
      <w:bookmarkEnd w:id="439"/>
      <w:bookmarkEnd w:id="440"/>
      <w:r>
        <w:rPr>
          <w:rFonts w:hint="eastAsia" w:ascii="宋体" w:hAnsi="宋体" w:eastAsia="宋体" w:cs="宋体"/>
          <w:color w:val="auto"/>
          <w:sz w:val="28"/>
          <w:szCs w:val="28"/>
          <w:highlight w:val="none"/>
          <w:lang w:val="en-US" w:eastAsia="zh-CN"/>
        </w:rPr>
        <w:t>服务保障方案</w:t>
      </w:r>
    </w:p>
    <w:p w14:paraId="1E035553">
      <w:pPr>
        <w:rPr>
          <w:rFonts w:hint="eastAsia" w:ascii="宋体" w:hAnsi="宋体" w:eastAsia="宋体" w:cs="宋体"/>
          <w:color w:val="auto"/>
          <w:highlight w:val="none"/>
        </w:rPr>
      </w:pPr>
      <w:r>
        <w:rPr>
          <w:rFonts w:hint="eastAsia" w:ascii="宋体" w:hAnsi="宋体" w:eastAsia="宋体" w:cs="宋体"/>
          <w:color w:val="auto"/>
          <w:highlight w:val="none"/>
          <w:lang w:val="en-US"/>
        </w:rPr>
        <w:t>投标人根据“采购需求”、“评审办法”及实际情况自行编写，</w:t>
      </w:r>
      <w:r>
        <w:rPr>
          <w:rFonts w:hint="eastAsia" w:ascii="宋体" w:hAnsi="宋体" w:eastAsia="宋体" w:cs="宋体"/>
          <w:color w:val="auto"/>
          <w:highlight w:val="none"/>
        </w:rPr>
        <w:t>格式自拟。</w:t>
      </w:r>
    </w:p>
    <w:p w14:paraId="5C48229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98AC43">
      <w:pPr>
        <w:keepNext/>
        <w:keepLines/>
        <w:widowControl w:val="0"/>
        <w:autoSpaceDE w:val="0"/>
        <w:autoSpaceDN w:val="0"/>
        <w:spacing w:before="100" w:after="100" w:line="360" w:lineRule="auto"/>
        <w:jc w:val="both"/>
        <w:outlineLvl w:val="2"/>
        <w:rPr>
          <w:rFonts w:ascii="宋体" w:hAnsi="宋体" w:eastAsia="宋体" w:cs="宋体"/>
          <w:b/>
          <w:bCs/>
          <w:color w:val="auto"/>
          <w:sz w:val="28"/>
          <w:szCs w:val="28"/>
          <w:highlight w:val="none"/>
          <w:lang w:val="en-US" w:eastAsia="zh-CN" w:bidi="zh-CN"/>
        </w:rPr>
      </w:pPr>
      <w:r>
        <w:rPr>
          <w:rFonts w:hint="eastAsia" w:ascii="宋体" w:hAnsi="宋体" w:eastAsia="宋体" w:cs="宋体"/>
          <w:b/>
          <w:bCs/>
          <w:color w:val="auto"/>
          <w:sz w:val="28"/>
          <w:szCs w:val="28"/>
          <w:highlight w:val="none"/>
          <w:lang w:val="en-US" w:eastAsia="zh-CN" w:bidi="zh-CN"/>
        </w:rPr>
        <w:t>8.项目培训方案</w:t>
      </w:r>
    </w:p>
    <w:p w14:paraId="1C39A727">
      <w:pPr>
        <w:rPr>
          <w:rFonts w:hint="eastAsia" w:ascii="宋体" w:hAnsi="宋体" w:eastAsia="宋体" w:cs="宋体"/>
          <w:color w:val="auto"/>
          <w:highlight w:val="none"/>
        </w:rPr>
      </w:pPr>
      <w:r>
        <w:rPr>
          <w:rFonts w:hint="eastAsia" w:ascii="宋体" w:hAnsi="宋体" w:eastAsia="宋体" w:cs="宋体"/>
          <w:color w:val="auto"/>
          <w:highlight w:val="none"/>
          <w:lang w:val="en-US"/>
        </w:rPr>
        <w:t>投标人根据“采购需求”、“评审办法”及实际情况自行编写，</w:t>
      </w:r>
      <w:r>
        <w:rPr>
          <w:rFonts w:hint="eastAsia" w:ascii="宋体" w:hAnsi="宋体" w:eastAsia="宋体" w:cs="宋体"/>
          <w:color w:val="auto"/>
          <w:highlight w:val="none"/>
        </w:rPr>
        <w:t>格式自拟。</w:t>
      </w:r>
    </w:p>
    <w:p w14:paraId="40E80ED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BC51FD9">
      <w:pPr>
        <w:keepNext/>
        <w:keepLines/>
        <w:widowControl w:val="0"/>
        <w:autoSpaceDE w:val="0"/>
        <w:autoSpaceDN w:val="0"/>
        <w:spacing w:before="100" w:after="100" w:line="360" w:lineRule="auto"/>
        <w:jc w:val="both"/>
        <w:outlineLvl w:val="2"/>
        <w:rPr>
          <w:rFonts w:ascii="宋体" w:hAnsi="宋体" w:eastAsia="宋体" w:cs="宋体"/>
          <w:b/>
          <w:bCs/>
          <w:color w:val="auto"/>
          <w:sz w:val="28"/>
          <w:szCs w:val="28"/>
          <w:highlight w:val="none"/>
          <w:lang w:val="en-US" w:eastAsia="zh-CN" w:bidi="zh-CN"/>
        </w:rPr>
      </w:pPr>
      <w:r>
        <w:rPr>
          <w:rFonts w:hint="eastAsia" w:ascii="宋体" w:hAnsi="宋体" w:eastAsia="宋体" w:cs="宋体"/>
          <w:b/>
          <w:bCs/>
          <w:color w:val="auto"/>
          <w:sz w:val="28"/>
          <w:szCs w:val="28"/>
          <w:highlight w:val="none"/>
          <w:lang w:val="en-US" w:eastAsia="zh-CN" w:bidi="zh-CN"/>
        </w:rPr>
        <w:t>9.安全保障方案</w:t>
      </w:r>
    </w:p>
    <w:p w14:paraId="54BD1910">
      <w:pPr>
        <w:rPr>
          <w:rFonts w:hint="eastAsia" w:ascii="宋体" w:hAnsi="宋体" w:eastAsia="宋体" w:cs="宋体"/>
          <w:color w:val="auto"/>
          <w:highlight w:val="none"/>
        </w:rPr>
      </w:pPr>
      <w:r>
        <w:rPr>
          <w:rFonts w:hint="eastAsia" w:ascii="宋体" w:hAnsi="宋体" w:eastAsia="宋体" w:cs="宋体"/>
          <w:color w:val="auto"/>
          <w:highlight w:val="none"/>
          <w:lang w:val="en-US"/>
        </w:rPr>
        <w:t>投标人根据“采购需求”、“评审办法”及实际情况自行编写，</w:t>
      </w:r>
      <w:r>
        <w:rPr>
          <w:rFonts w:hint="eastAsia" w:ascii="宋体" w:hAnsi="宋体" w:eastAsia="宋体" w:cs="宋体"/>
          <w:color w:val="auto"/>
          <w:highlight w:val="none"/>
        </w:rPr>
        <w:t>格式自拟。</w:t>
      </w:r>
    </w:p>
    <w:p w14:paraId="55E843B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3820204">
      <w:pPr>
        <w:keepNext/>
        <w:keepLines/>
        <w:widowControl w:val="0"/>
        <w:autoSpaceDE w:val="0"/>
        <w:autoSpaceDN w:val="0"/>
        <w:spacing w:before="100" w:after="100" w:line="360" w:lineRule="auto"/>
        <w:jc w:val="both"/>
        <w:outlineLvl w:val="2"/>
        <w:rPr>
          <w:rFonts w:ascii="宋体" w:hAnsi="宋体" w:eastAsia="宋体" w:cs="宋体"/>
          <w:b/>
          <w:bCs/>
          <w:color w:val="auto"/>
          <w:sz w:val="28"/>
          <w:szCs w:val="28"/>
          <w:highlight w:val="none"/>
          <w:lang w:val="en-US" w:eastAsia="zh-CN" w:bidi="zh-CN"/>
        </w:rPr>
      </w:pPr>
      <w:r>
        <w:rPr>
          <w:rFonts w:hint="eastAsia" w:ascii="宋体" w:hAnsi="宋体" w:eastAsia="宋体" w:cs="宋体"/>
          <w:b/>
          <w:bCs/>
          <w:color w:val="auto"/>
          <w:sz w:val="28"/>
          <w:szCs w:val="28"/>
          <w:highlight w:val="none"/>
          <w:lang w:val="en-US" w:eastAsia="zh-CN" w:bidi="zh-CN"/>
        </w:rPr>
        <w:t>10.售后服务方案</w:t>
      </w:r>
    </w:p>
    <w:p w14:paraId="2413978D">
      <w:pPr>
        <w:rPr>
          <w:rFonts w:hint="eastAsia" w:ascii="宋体" w:hAnsi="宋体" w:eastAsia="宋体" w:cs="宋体"/>
          <w:color w:val="auto"/>
          <w:highlight w:val="none"/>
        </w:rPr>
      </w:pPr>
      <w:r>
        <w:rPr>
          <w:rFonts w:hint="eastAsia" w:ascii="宋体" w:hAnsi="宋体" w:eastAsia="宋体" w:cs="宋体"/>
          <w:color w:val="auto"/>
          <w:highlight w:val="none"/>
          <w:lang w:val="en-US"/>
        </w:rPr>
        <w:t>投标人根据“采购需求”、“评审办法”及实际情况自行编写，</w:t>
      </w:r>
      <w:r>
        <w:rPr>
          <w:rFonts w:hint="eastAsia" w:ascii="宋体" w:hAnsi="宋体" w:eastAsia="宋体" w:cs="宋体"/>
          <w:color w:val="auto"/>
          <w:highlight w:val="none"/>
        </w:rPr>
        <w:t>格式自拟。</w:t>
      </w:r>
    </w:p>
    <w:p w14:paraId="6D2544C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38BE418">
      <w:pPr>
        <w:keepNext/>
        <w:keepLines/>
        <w:widowControl w:val="0"/>
        <w:autoSpaceDE w:val="0"/>
        <w:autoSpaceDN w:val="0"/>
        <w:spacing w:before="100" w:after="100" w:line="360" w:lineRule="auto"/>
        <w:jc w:val="both"/>
        <w:outlineLvl w:val="2"/>
        <w:rPr>
          <w:rFonts w:hint="eastAsia" w:ascii="宋体" w:hAnsi="宋体" w:eastAsia="宋体" w:cs="宋体"/>
          <w:b/>
          <w:bCs/>
          <w:color w:val="auto"/>
          <w:sz w:val="28"/>
          <w:szCs w:val="28"/>
          <w:highlight w:val="none"/>
          <w:lang w:val="en-US" w:eastAsia="zh-CN" w:bidi="zh-CN"/>
        </w:rPr>
      </w:pPr>
      <w:r>
        <w:rPr>
          <w:rFonts w:hint="eastAsia" w:ascii="宋体" w:hAnsi="宋体" w:eastAsia="宋体" w:cs="宋体"/>
          <w:b/>
          <w:bCs/>
          <w:color w:val="auto"/>
          <w:sz w:val="28"/>
          <w:szCs w:val="28"/>
          <w:highlight w:val="none"/>
          <w:lang w:val="en-US" w:eastAsia="zh-CN" w:bidi="zh-CN"/>
        </w:rPr>
        <w:t>11.项目团队人员配备</w:t>
      </w:r>
    </w:p>
    <w:p w14:paraId="24053633">
      <w:pPr>
        <w:jc w:val="center"/>
        <w:outlineLvl w:val="9"/>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项目团队人员配备情况表</w:t>
      </w:r>
    </w:p>
    <w:tbl>
      <w:tblPr>
        <w:tblStyle w:val="28"/>
        <w:tblW w:w="10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083"/>
        <w:gridCol w:w="993"/>
        <w:gridCol w:w="850"/>
        <w:gridCol w:w="992"/>
        <w:gridCol w:w="1134"/>
        <w:gridCol w:w="1449"/>
        <w:gridCol w:w="1449"/>
        <w:gridCol w:w="1955"/>
      </w:tblGrid>
      <w:tr w14:paraId="50C3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46" w:type="dxa"/>
            <w:vAlign w:val="center"/>
          </w:tcPr>
          <w:p w14:paraId="1DFA4745">
            <w:pPr>
              <w:autoSpaceDE/>
              <w:autoSpaceDN/>
              <w:jc w:val="center"/>
              <w:rPr>
                <w:rFonts w:ascii="宋体" w:hAnsi="宋体" w:eastAsia="宋体" w:cs="宋体"/>
                <w:color w:val="auto"/>
                <w:sz w:val="24"/>
                <w:lang w:val="en-US" w:eastAsia="en-US" w:bidi="ar-SA"/>
              </w:rPr>
            </w:pPr>
            <w:r>
              <w:rPr>
                <w:rFonts w:hint="eastAsia" w:ascii="宋体" w:hAnsi="宋体" w:eastAsia="宋体" w:cs="宋体"/>
                <w:color w:val="auto"/>
                <w:sz w:val="24"/>
                <w:lang w:val="en-US" w:eastAsia="en-US" w:bidi="ar-SA"/>
              </w:rPr>
              <w:t>序号</w:t>
            </w:r>
          </w:p>
        </w:tc>
        <w:tc>
          <w:tcPr>
            <w:tcW w:w="1083" w:type="dxa"/>
            <w:vAlign w:val="center"/>
          </w:tcPr>
          <w:p w14:paraId="19BF9614">
            <w:pPr>
              <w:autoSpaceDE/>
              <w:autoSpaceDN/>
              <w:jc w:val="center"/>
              <w:rPr>
                <w:rFonts w:ascii="宋体" w:hAnsi="宋体" w:eastAsia="宋体" w:cs="宋体"/>
                <w:color w:val="auto"/>
                <w:sz w:val="24"/>
                <w:lang w:val="en-US" w:eastAsia="en-US" w:bidi="ar-SA"/>
              </w:rPr>
            </w:pPr>
            <w:r>
              <w:rPr>
                <w:rFonts w:hint="eastAsia" w:ascii="宋体" w:hAnsi="宋体" w:eastAsia="宋体" w:cs="宋体"/>
                <w:color w:val="auto"/>
                <w:sz w:val="24"/>
                <w:lang w:val="en-US" w:eastAsia="en-US" w:bidi="ar-SA"/>
              </w:rPr>
              <w:t>职务</w:t>
            </w:r>
          </w:p>
        </w:tc>
        <w:tc>
          <w:tcPr>
            <w:tcW w:w="993" w:type="dxa"/>
            <w:vAlign w:val="center"/>
          </w:tcPr>
          <w:p w14:paraId="5EFBC954">
            <w:pPr>
              <w:autoSpaceDE/>
              <w:autoSpaceDN/>
              <w:jc w:val="center"/>
              <w:rPr>
                <w:rFonts w:ascii="宋体" w:hAnsi="宋体" w:eastAsia="宋体" w:cs="宋体"/>
                <w:color w:val="auto"/>
                <w:sz w:val="24"/>
                <w:lang w:val="en-US" w:eastAsia="en-US" w:bidi="ar-SA"/>
              </w:rPr>
            </w:pPr>
            <w:r>
              <w:rPr>
                <w:rFonts w:hint="eastAsia" w:ascii="宋体" w:hAnsi="宋体" w:eastAsia="宋体" w:cs="宋体"/>
                <w:color w:val="auto"/>
                <w:sz w:val="24"/>
                <w:lang w:val="en-US" w:eastAsia="en-US" w:bidi="ar-SA"/>
              </w:rPr>
              <w:t>姓名</w:t>
            </w:r>
          </w:p>
        </w:tc>
        <w:tc>
          <w:tcPr>
            <w:tcW w:w="850" w:type="dxa"/>
            <w:vAlign w:val="center"/>
          </w:tcPr>
          <w:p w14:paraId="68338644">
            <w:pPr>
              <w:autoSpaceDE/>
              <w:autoSpaceDN/>
              <w:jc w:val="center"/>
              <w:rPr>
                <w:rFonts w:ascii="宋体" w:hAnsi="宋体" w:eastAsia="宋体" w:cs="宋体"/>
                <w:color w:val="auto"/>
                <w:sz w:val="24"/>
                <w:lang w:val="en-US" w:eastAsia="en-US" w:bidi="ar-SA"/>
              </w:rPr>
            </w:pPr>
            <w:r>
              <w:rPr>
                <w:rFonts w:hint="eastAsia" w:ascii="宋体" w:hAnsi="宋体" w:eastAsia="宋体" w:cs="宋体"/>
                <w:color w:val="auto"/>
                <w:sz w:val="24"/>
                <w:lang w:val="en-US" w:eastAsia="en-US" w:bidi="ar-SA"/>
              </w:rPr>
              <w:t>年龄</w:t>
            </w:r>
          </w:p>
        </w:tc>
        <w:tc>
          <w:tcPr>
            <w:tcW w:w="992" w:type="dxa"/>
            <w:vAlign w:val="center"/>
          </w:tcPr>
          <w:p w14:paraId="70DBCBC4">
            <w:pPr>
              <w:autoSpaceDE/>
              <w:autoSpaceDN/>
              <w:jc w:val="center"/>
              <w:rPr>
                <w:rFonts w:ascii="宋体" w:hAnsi="宋体" w:eastAsia="宋体" w:cs="宋体"/>
                <w:color w:val="auto"/>
                <w:sz w:val="24"/>
                <w:lang w:val="en-US" w:eastAsia="en-US" w:bidi="ar-SA"/>
              </w:rPr>
            </w:pPr>
            <w:r>
              <w:rPr>
                <w:rFonts w:hint="eastAsia" w:ascii="宋体" w:hAnsi="宋体" w:eastAsia="宋体" w:cs="宋体"/>
                <w:color w:val="auto"/>
                <w:sz w:val="24"/>
                <w:lang w:val="en-US" w:eastAsia="en-US" w:bidi="ar-SA"/>
              </w:rPr>
              <w:t>职称</w:t>
            </w:r>
          </w:p>
        </w:tc>
        <w:tc>
          <w:tcPr>
            <w:tcW w:w="1134" w:type="dxa"/>
            <w:vAlign w:val="center"/>
          </w:tcPr>
          <w:p w14:paraId="0DEFB193">
            <w:pPr>
              <w:autoSpaceDE/>
              <w:autoSpaceDN/>
              <w:jc w:val="center"/>
              <w:rPr>
                <w:rFonts w:ascii="宋体" w:hAnsi="宋体" w:eastAsia="宋体" w:cs="宋体"/>
                <w:color w:val="auto"/>
                <w:sz w:val="24"/>
                <w:lang w:val="en-US" w:eastAsia="en-US" w:bidi="ar-SA"/>
              </w:rPr>
            </w:pPr>
            <w:r>
              <w:rPr>
                <w:rFonts w:hint="eastAsia" w:ascii="宋体" w:hAnsi="宋体" w:eastAsia="宋体" w:cs="宋体"/>
                <w:color w:val="auto"/>
                <w:sz w:val="24"/>
                <w:lang w:val="en-US" w:eastAsia="en-US" w:bidi="ar-SA"/>
              </w:rPr>
              <w:t>专业</w:t>
            </w:r>
          </w:p>
        </w:tc>
        <w:tc>
          <w:tcPr>
            <w:tcW w:w="1449" w:type="dxa"/>
            <w:vAlign w:val="center"/>
          </w:tcPr>
          <w:p w14:paraId="670EDB61">
            <w:pPr>
              <w:autoSpaceDE/>
              <w:autoSpaceDN/>
              <w:jc w:val="center"/>
              <w:rPr>
                <w:rFonts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业绩</w:t>
            </w:r>
          </w:p>
        </w:tc>
        <w:tc>
          <w:tcPr>
            <w:tcW w:w="1449" w:type="dxa"/>
            <w:vAlign w:val="center"/>
          </w:tcPr>
          <w:p w14:paraId="147D95D6">
            <w:pPr>
              <w:autoSpaceDE/>
              <w:autoSpaceDN/>
              <w:jc w:val="center"/>
              <w:rPr>
                <w:rFonts w:ascii="宋体" w:hAnsi="宋体" w:eastAsia="宋体" w:cs="宋体"/>
                <w:color w:val="auto"/>
                <w:sz w:val="24"/>
                <w:lang w:val="en-US" w:eastAsia="en-US" w:bidi="ar-SA"/>
              </w:rPr>
            </w:pPr>
            <w:r>
              <w:rPr>
                <w:rFonts w:hint="eastAsia" w:ascii="宋体" w:hAnsi="宋体" w:eastAsia="宋体" w:cs="宋体"/>
                <w:color w:val="auto"/>
                <w:sz w:val="24"/>
                <w:lang w:val="en-US" w:eastAsia="en-US" w:bidi="ar-SA"/>
              </w:rPr>
              <w:t>拟担任职务</w:t>
            </w:r>
          </w:p>
        </w:tc>
        <w:tc>
          <w:tcPr>
            <w:tcW w:w="1955" w:type="dxa"/>
            <w:vAlign w:val="center"/>
          </w:tcPr>
          <w:p w14:paraId="20F454CA">
            <w:pPr>
              <w:autoSpaceDE/>
              <w:autoSpaceDN/>
              <w:jc w:val="center"/>
              <w:rPr>
                <w:rFonts w:ascii="宋体" w:hAnsi="宋体" w:eastAsia="宋体" w:cs="宋体"/>
                <w:color w:val="auto"/>
                <w:sz w:val="24"/>
                <w:lang w:val="en-US" w:eastAsia="en-US" w:bidi="ar-SA"/>
              </w:rPr>
            </w:pPr>
            <w:r>
              <w:rPr>
                <w:rFonts w:hint="eastAsia" w:ascii="宋体" w:hAnsi="宋体" w:eastAsia="宋体" w:cs="宋体"/>
                <w:color w:val="auto"/>
                <w:sz w:val="24"/>
                <w:lang w:val="en-US" w:eastAsia="en-US" w:bidi="ar-SA"/>
              </w:rPr>
              <w:t>从专业工作时间</w:t>
            </w:r>
          </w:p>
        </w:tc>
      </w:tr>
      <w:tr w14:paraId="26E3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6" w:type="dxa"/>
            <w:vAlign w:val="center"/>
          </w:tcPr>
          <w:p w14:paraId="2F9A2AC5">
            <w:pPr>
              <w:autoSpaceDE/>
              <w:autoSpaceDN/>
              <w:jc w:val="center"/>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1</w:t>
            </w:r>
          </w:p>
        </w:tc>
        <w:tc>
          <w:tcPr>
            <w:tcW w:w="1083" w:type="dxa"/>
            <w:vAlign w:val="center"/>
          </w:tcPr>
          <w:p w14:paraId="01B53428">
            <w:pPr>
              <w:autoSpaceDE/>
              <w:autoSpaceDN/>
              <w:jc w:val="center"/>
              <w:rPr>
                <w:rFonts w:ascii="宋体" w:hAnsi="宋体" w:eastAsia="宋体" w:cs="宋体"/>
                <w:color w:val="auto"/>
                <w:sz w:val="24"/>
                <w:lang w:val="en-US" w:eastAsia="en-US" w:bidi="ar-SA"/>
              </w:rPr>
            </w:pPr>
          </w:p>
        </w:tc>
        <w:tc>
          <w:tcPr>
            <w:tcW w:w="993" w:type="dxa"/>
            <w:vAlign w:val="center"/>
          </w:tcPr>
          <w:p w14:paraId="7226D080">
            <w:pPr>
              <w:autoSpaceDE/>
              <w:autoSpaceDN/>
              <w:jc w:val="center"/>
              <w:rPr>
                <w:rFonts w:ascii="宋体" w:hAnsi="宋体" w:eastAsia="宋体" w:cs="宋体"/>
                <w:color w:val="auto"/>
                <w:sz w:val="24"/>
                <w:lang w:val="en-US" w:eastAsia="en-US" w:bidi="ar-SA"/>
              </w:rPr>
            </w:pPr>
          </w:p>
        </w:tc>
        <w:tc>
          <w:tcPr>
            <w:tcW w:w="850" w:type="dxa"/>
            <w:vAlign w:val="center"/>
          </w:tcPr>
          <w:p w14:paraId="4180F05F">
            <w:pPr>
              <w:autoSpaceDE/>
              <w:autoSpaceDN/>
              <w:jc w:val="center"/>
              <w:rPr>
                <w:rFonts w:ascii="宋体" w:hAnsi="宋体" w:eastAsia="宋体" w:cs="宋体"/>
                <w:color w:val="auto"/>
                <w:sz w:val="24"/>
                <w:lang w:val="en-US" w:eastAsia="en-US" w:bidi="ar-SA"/>
              </w:rPr>
            </w:pPr>
          </w:p>
        </w:tc>
        <w:tc>
          <w:tcPr>
            <w:tcW w:w="992" w:type="dxa"/>
            <w:vAlign w:val="center"/>
          </w:tcPr>
          <w:p w14:paraId="4F833857">
            <w:pPr>
              <w:autoSpaceDE/>
              <w:autoSpaceDN/>
              <w:jc w:val="center"/>
              <w:rPr>
                <w:rFonts w:ascii="宋体" w:hAnsi="宋体" w:eastAsia="宋体" w:cs="宋体"/>
                <w:color w:val="auto"/>
                <w:sz w:val="24"/>
                <w:lang w:val="en-US" w:eastAsia="en-US" w:bidi="ar-SA"/>
              </w:rPr>
            </w:pPr>
          </w:p>
        </w:tc>
        <w:tc>
          <w:tcPr>
            <w:tcW w:w="1134" w:type="dxa"/>
            <w:vAlign w:val="center"/>
          </w:tcPr>
          <w:p w14:paraId="7F34D684">
            <w:pPr>
              <w:autoSpaceDE/>
              <w:autoSpaceDN/>
              <w:jc w:val="center"/>
              <w:rPr>
                <w:rFonts w:ascii="宋体" w:hAnsi="宋体" w:eastAsia="宋体" w:cs="宋体"/>
                <w:color w:val="auto"/>
                <w:sz w:val="24"/>
                <w:lang w:val="en-US" w:eastAsia="en-US" w:bidi="ar-SA"/>
              </w:rPr>
            </w:pPr>
          </w:p>
        </w:tc>
        <w:tc>
          <w:tcPr>
            <w:tcW w:w="1449" w:type="dxa"/>
            <w:vAlign w:val="center"/>
          </w:tcPr>
          <w:p w14:paraId="22F47F81">
            <w:pPr>
              <w:autoSpaceDE/>
              <w:autoSpaceDN/>
              <w:jc w:val="center"/>
              <w:rPr>
                <w:rFonts w:ascii="宋体" w:hAnsi="宋体" w:eastAsia="宋体" w:cs="宋体"/>
                <w:color w:val="auto"/>
                <w:sz w:val="24"/>
                <w:lang w:val="en-US" w:eastAsia="en-US" w:bidi="ar-SA"/>
              </w:rPr>
            </w:pPr>
          </w:p>
        </w:tc>
        <w:tc>
          <w:tcPr>
            <w:tcW w:w="1449" w:type="dxa"/>
            <w:vAlign w:val="center"/>
          </w:tcPr>
          <w:p w14:paraId="10085089">
            <w:pPr>
              <w:autoSpaceDE/>
              <w:autoSpaceDN/>
              <w:jc w:val="center"/>
              <w:rPr>
                <w:rFonts w:ascii="宋体" w:hAnsi="宋体" w:eastAsia="宋体" w:cs="宋体"/>
                <w:color w:val="auto"/>
                <w:sz w:val="24"/>
                <w:lang w:val="en-US" w:eastAsia="en-US" w:bidi="ar-SA"/>
              </w:rPr>
            </w:pPr>
          </w:p>
        </w:tc>
        <w:tc>
          <w:tcPr>
            <w:tcW w:w="1955" w:type="dxa"/>
            <w:vAlign w:val="center"/>
          </w:tcPr>
          <w:p w14:paraId="16F61FE8">
            <w:pPr>
              <w:autoSpaceDE/>
              <w:autoSpaceDN/>
              <w:jc w:val="center"/>
              <w:rPr>
                <w:rFonts w:ascii="宋体" w:hAnsi="宋体" w:eastAsia="宋体" w:cs="宋体"/>
                <w:color w:val="auto"/>
                <w:sz w:val="24"/>
                <w:lang w:val="en-US" w:eastAsia="en-US" w:bidi="ar-SA"/>
              </w:rPr>
            </w:pPr>
          </w:p>
        </w:tc>
      </w:tr>
      <w:tr w14:paraId="05C0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6" w:type="dxa"/>
            <w:vAlign w:val="center"/>
          </w:tcPr>
          <w:p w14:paraId="655E8D0F">
            <w:pPr>
              <w:autoSpaceDE/>
              <w:autoSpaceDN/>
              <w:jc w:val="center"/>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2</w:t>
            </w:r>
          </w:p>
        </w:tc>
        <w:tc>
          <w:tcPr>
            <w:tcW w:w="1083" w:type="dxa"/>
            <w:vAlign w:val="center"/>
          </w:tcPr>
          <w:p w14:paraId="5C0622A4">
            <w:pPr>
              <w:autoSpaceDE/>
              <w:autoSpaceDN/>
              <w:jc w:val="center"/>
              <w:rPr>
                <w:rFonts w:ascii="宋体" w:hAnsi="宋体" w:eastAsia="宋体" w:cs="宋体"/>
                <w:color w:val="auto"/>
                <w:sz w:val="24"/>
                <w:lang w:val="en-US" w:eastAsia="en-US" w:bidi="ar-SA"/>
              </w:rPr>
            </w:pPr>
          </w:p>
        </w:tc>
        <w:tc>
          <w:tcPr>
            <w:tcW w:w="993" w:type="dxa"/>
            <w:vAlign w:val="center"/>
          </w:tcPr>
          <w:p w14:paraId="5571584F">
            <w:pPr>
              <w:autoSpaceDE/>
              <w:autoSpaceDN/>
              <w:jc w:val="center"/>
              <w:rPr>
                <w:rFonts w:ascii="宋体" w:hAnsi="宋体" w:eastAsia="宋体" w:cs="宋体"/>
                <w:color w:val="auto"/>
                <w:sz w:val="24"/>
                <w:lang w:val="en-US" w:eastAsia="en-US" w:bidi="ar-SA"/>
              </w:rPr>
            </w:pPr>
          </w:p>
        </w:tc>
        <w:tc>
          <w:tcPr>
            <w:tcW w:w="850" w:type="dxa"/>
            <w:vAlign w:val="center"/>
          </w:tcPr>
          <w:p w14:paraId="6F729F7E">
            <w:pPr>
              <w:autoSpaceDE/>
              <w:autoSpaceDN/>
              <w:jc w:val="center"/>
              <w:rPr>
                <w:rFonts w:ascii="宋体" w:hAnsi="宋体" w:eastAsia="宋体" w:cs="宋体"/>
                <w:color w:val="auto"/>
                <w:sz w:val="24"/>
                <w:lang w:val="en-US" w:eastAsia="en-US" w:bidi="ar-SA"/>
              </w:rPr>
            </w:pPr>
          </w:p>
        </w:tc>
        <w:tc>
          <w:tcPr>
            <w:tcW w:w="992" w:type="dxa"/>
            <w:vAlign w:val="center"/>
          </w:tcPr>
          <w:p w14:paraId="49C722C6">
            <w:pPr>
              <w:autoSpaceDE/>
              <w:autoSpaceDN/>
              <w:jc w:val="center"/>
              <w:rPr>
                <w:rFonts w:ascii="宋体" w:hAnsi="宋体" w:eastAsia="宋体" w:cs="宋体"/>
                <w:color w:val="auto"/>
                <w:sz w:val="24"/>
                <w:lang w:val="en-US" w:eastAsia="en-US" w:bidi="ar-SA"/>
              </w:rPr>
            </w:pPr>
          </w:p>
        </w:tc>
        <w:tc>
          <w:tcPr>
            <w:tcW w:w="1134" w:type="dxa"/>
            <w:vAlign w:val="center"/>
          </w:tcPr>
          <w:p w14:paraId="735C7DF1">
            <w:pPr>
              <w:autoSpaceDE/>
              <w:autoSpaceDN/>
              <w:jc w:val="center"/>
              <w:rPr>
                <w:rFonts w:ascii="宋体" w:hAnsi="宋体" w:eastAsia="宋体" w:cs="宋体"/>
                <w:color w:val="auto"/>
                <w:sz w:val="24"/>
                <w:lang w:val="en-US" w:eastAsia="en-US" w:bidi="ar-SA"/>
              </w:rPr>
            </w:pPr>
          </w:p>
        </w:tc>
        <w:tc>
          <w:tcPr>
            <w:tcW w:w="1449" w:type="dxa"/>
            <w:vAlign w:val="center"/>
          </w:tcPr>
          <w:p w14:paraId="55EE17AB">
            <w:pPr>
              <w:autoSpaceDE/>
              <w:autoSpaceDN/>
              <w:jc w:val="center"/>
              <w:rPr>
                <w:rFonts w:ascii="宋体" w:hAnsi="宋体" w:eastAsia="宋体" w:cs="宋体"/>
                <w:color w:val="auto"/>
                <w:sz w:val="24"/>
                <w:lang w:val="en-US" w:eastAsia="en-US" w:bidi="ar-SA"/>
              </w:rPr>
            </w:pPr>
          </w:p>
        </w:tc>
        <w:tc>
          <w:tcPr>
            <w:tcW w:w="1449" w:type="dxa"/>
            <w:vAlign w:val="center"/>
          </w:tcPr>
          <w:p w14:paraId="7A5D2865">
            <w:pPr>
              <w:autoSpaceDE/>
              <w:autoSpaceDN/>
              <w:jc w:val="center"/>
              <w:rPr>
                <w:rFonts w:ascii="宋体" w:hAnsi="宋体" w:eastAsia="宋体" w:cs="宋体"/>
                <w:color w:val="auto"/>
                <w:sz w:val="24"/>
                <w:lang w:val="en-US" w:eastAsia="en-US" w:bidi="ar-SA"/>
              </w:rPr>
            </w:pPr>
          </w:p>
        </w:tc>
        <w:tc>
          <w:tcPr>
            <w:tcW w:w="1955" w:type="dxa"/>
            <w:vAlign w:val="center"/>
          </w:tcPr>
          <w:p w14:paraId="56C64721">
            <w:pPr>
              <w:autoSpaceDE/>
              <w:autoSpaceDN/>
              <w:jc w:val="center"/>
              <w:rPr>
                <w:rFonts w:ascii="宋体" w:hAnsi="宋体" w:eastAsia="宋体" w:cs="宋体"/>
                <w:color w:val="auto"/>
                <w:sz w:val="24"/>
                <w:lang w:val="en-US" w:eastAsia="en-US" w:bidi="ar-SA"/>
              </w:rPr>
            </w:pPr>
          </w:p>
        </w:tc>
      </w:tr>
      <w:tr w14:paraId="6D3F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6" w:type="dxa"/>
            <w:vAlign w:val="center"/>
          </w:tcPr>
          <w:p w14:paraId="354EEF30">
            <w:pPr>
              <w:autoSpaceDE/>
              <w:autoSpaceDN/>
              <w:jc w:val="center"/>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w:t>
            </w:r>
          </w:p>
        </w:tc>
        <w:tc>
          <w:tcPr>
            <w:tcW w:w="1083" w:type="dxa"/>
            <w:vAlign w:val="center"/>
          </w:tcPr>
          <w:p w14:paraId="284AD5B9">
            <w:pPr>
              <w:autoSpaceDE/>
              <w:autoSpaceDN/>
              <w:jc w:val="center"/>
              <w:rPr>
                <w:rFonts w:ascii="宋体" w:hAnsi="宋体" w:eastAsia="宋体" w:cs="宋体"/>
                <w:color w:val="auto"/>
                <w:sz w:val="24"/>
                <w:lang w:val="en-US" w:eastAsia="en-US" w:bidi="ar-SA"/>
              </w:rPr>
            </w:pPr>
          </w:p>
        </w:tc>
        <w:tc>
          <w:tcPr>
            <w:tcW w:w="993" w:type="dxa"/>
            <w:vAlign w:val="center"/>
          </w:tcPr>
          <w:p w14:paraId="2516658C">
            <w:pPr>
              <w:autoSpaceDE/>
              <w:autoSpaceDN/>
              <w:jc w:val="center"/>
              <w:rPr>
                <w:rFonts w:ascii="宋体" w:hAnsi="宋体" w:eastAsia="宋体" w:cs="宋体"/>
                <w:color w:val="auto"/>
                <w:sz w:val="24"/>
                <w:lang w:val="en-US" w:eastAsia="en-US" w:bidi="ar-SA"/>
              </w:rPr>
            </w:pPr>
          </w:p>
        </w:tc>
        <w:tc>
          <w:tcPr>
            <w:tcW w:w="850" w:type="dxa"/>
            <w:vAlign w:val="center"/>
          </w:tcPr>
          <w:p w14:paraId="647531DD">
            <w:pPr>
              <w:autoSpaceDE/>
              <w:autoSpaceDN/>
              <w:jc w:val="center"/>
              <w:rPr>
                <w:rFonts w:ascii="宋体" w:hAnsi="宋体" w:eastAsia="宋体" w:cs="宋体"/>
                <w:color w:val="auto"/>
                <w:sz w:val="24"/>
                <w:lang w:val="en-US" w:eastAsia="en-US" w:bidi="ar-SA"/>
              </w:rPr>
            </w:pPr>
          </w:p>
        </w:tc>
        <w:tc>
          <w:tcPr>
            <w:tcW w:w="992" w:type="dxa"/>
            <w:vAlign w:val="center"/>
          </w:tcPr>
          <w:p w14:paraId="2821DAD5">
            <w:pPr>
              <w:autoSpaceDE/>
              <w:autoSpaceDN/>
              <w:jc w:val="center"/>
              <w:rPr>
                <w:rFonts w:ascii="宋体" w:hAnsi="宋体" w:eastAsia="宋体" w:cs="宋体"/>
                <w:color w:val="auto"/>
                <w:sz w:val="24"/>
                <w:lang w:val="en-US" w:eastAsia="en-US" w:bidi="ar-SA"/>
              </w:rPr>
            </w:pPr>
          </w:p>
        </w:tc>
        <w:tc>
          <w:tcPr>
            <w:tcW w:w="1134" w:type="dxa"/>
            <w:vAlign w:val="center"/>
          </w:tcPr>
          <w:p w14:paraId="5B03975A">
            <w:pPr>
              <w:autoSpaceDE/>
              <w:autoSpaceDN/>
              <w:jc w:val="center"/>
              <w:rPr>
                <w:rFonts w:ascii="宋体" w:hAnsi="宋体" w:eastAsia="宋体" w:cs="宋体"/>
                <w:color w:val="auto"/>
                <w:sz w:val="24"/>
                <w:lang w:val="en-US" w:eastAsia="en-US" w:bidi="ar-SA"/>
              </w:rPr>
            </w:pPr>
          </w:p>
        </w:tc>
        <w:tc>
          <w:tcPr>
            <w:tcW w:w="1449" w:type="dxa"/>
            <w:vAlign w:val="center"/>
          </w:tcPr>
          <w:p w14:paraId="6A78E848">
            <w:pPr>
              <w:autoSpaceDE/>
              <w:autoSpaceDN/>
              <w:jc w:val="center"/>
              <w:rPr>
                <w:rFonts w:ascii="宋体" w:hAnsi="宋体" w:eastAsia="宋体" w:cs="宋体"/>
                <w:color w:val="auto"/>
                <w:sz w:val="24"/>
                <w:lang w:val="en-US" w:eastAsia="en-US" w:bidi="ar-SA"/>
              </w:rPr>
            </w:pPr>
          </w:p>
        </w:tc>
        <w:tc>
          <w:tcPr>
            <w:tcW w:w="1449" w:type="dxa"/>
            <w:vAlign w:val="center"/>
          </w:tcPr>
          <w:p w14:paraId="28C2AF2F">
            <w:pPr>
              <w:autoSpaceDE/>
              <w:autoSpaceDN/>
              <w:jc w:val="center"/>
              <w:rPr>
                <w:rFonts w:ascii="宋体" w:hAnsi="宋体" w:eastAsia="宋体" w:cs="宋体"/>
                <w:color w:val="auto"/>
                <w:sz w:val="24"/>
                <w:lang w:val="en-US" w:eastAsia="en-US" w:bidi="ar-SA"/>
              </w:rPr>
            </w:pPr>
          </w:p>
        </w:tc>
        <w:tc>
          <w:tcPr>
            <w:tcW w:w="1955" w:type="dxa"/>
            <w:vAlign w:val="center"/>
          </w:tcPr>
          <w:p w14:paraId="665CE9E8">
            <w:pPr>
              <w:autoSpaceDE/>
              <w:autoSpaceDN/>
              <w:jc w:val="center"/>
              <w:rPr>
                <w:rFonts w:ascii="宋体" w:hAnsi="宋体" w:eastAsia="宋体" w:cs="宋体"/>
                <w:color w:val="auto"/>
                <w:sz w:val="24"/>
                <w:lang w:val="en-US" w:eastAsia="en-US" w:bidi="ar-SA"/>
              </w:rPr>
            </w:pPr>
          </w:p>
        </w:tc>
      </w:tr>
      <w:tr w14:paraId="30A1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6" w:type="dxa"/>
            <w:vAlign w:val="center"/>
          </w:tcPr>
          <w:p w14:paraId="76B792B0">
            <w:pPr>
              <w:autoSpaceDE/>
              <w:autoSpaceDN/>
              <w:jc w:val="center"/>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4</w:t>
            </w:r>
          </w:p>
        </w:tc>
        <w:tc>
          <w:tcPr>
            <w:tcW w:w="1083" w:type="dxa"/>
            <w:vAlign w:val="center"/>
          </w:tcPr>
          <w:p w14:paraId="419914D2">
            <w:pPr>
              <w:autoSpaceDE/>
              <w:autoSpaceDN/>
              <w:jc w:val="center"/>
              <w:rPr>
                <w:rFonts w:ascii="宋体" w:hAnsi="宋体" w:eastAsia="宋体" w:cs="宋体"/>
                <w:color w:val="auto"/>
                <w:sz w:val="24"/>
                <w:lang w:val="en-US" w:eastAsia="en-US" w:bidi="ar-SA"/>
              </w:rPr>
            </w:pPr>
          </w:p>
        </w:tc>
        <w:tc>
          <w:tcPr>
            <w:tcW w:w="993" w:type="dxa"/>
            <w:vAlign w:val="center"/>
          </w:tcPr>
          <w:p w14:paraId="3DEE105B">
            <w:pPr>
              <w:autoSpaceDE/>
              <w:autoSpaceDN/>
              <w:jc w:val="center"/>
              <w:rPr>
                <w:rFonts w:ascii="宋体" w:hAnsi="宋体" w:eastAsia="宋体" w:cs="宋体"/>
                <w:color w:val="auto"/>
                <w:sz w:val="24"/>
                <w:lang w:val="en-US" w:eastAsia="en-US" w:bidi="ar-SA"/>
              </w:rPr>
            </w:pPr>
          </w:p>
        </w:tc>
        <w:tc>
          <w:tcPr>
            <w:tcW w:w="850" w:type="dxa"/>
            <w:vAlign w:val="center"/>
          </w:tcPr>
          <w:p w14:paraId="07DB408F">
            <w:pPr>
              <w:autoSpaceDE/>
              <w:autoSpaceDN/>
              <w:jc w:val="center"/>
              <w:rPr>
                <w:rFonts w:ascii="宋体" w:hAnsi="宋体" w:eastAsia="宋体" w:cs="宋体"/>
                <w:color w:val="auto"/>
                <w:sz w:val="24"/>
                <w:lang w:val="en-US" w:eastAsia="en-US" w:bidi="ar-SA"/>
              </w:rPr>
            </w:pPr>
          </w:p>
        </w:tc>
        <w:tc>
          <w:tcPr>
            <w:tcW w:w="992" w:type="dxa"/>
            <w:vAlign w:val="center"/>
          </w:tcPr>
          <w:p w14:paraId="6FCC2621">
            <w:pPr>
              <w:autoSpaceDE/>
              <w:autoSpaceDN/>
              <w:jc w:val="center"/>
              <w:rPr>
                <w:rFonts w:ascii="宋体" w:hAnsi="宋体" w:eastAsia="宋体" w:cs="宋体"/>
                <w:color w:val="auto"/>
                <w:sz w:val="24"/>
                <w:lang w:val="en-US" w:eastAsia="en-US" w:bidi="ar-SA"/>
              </w:rPr>
            </w:pPr>
          </w:p>
        </w:tc>
        <w:tc>
          <w:tcPr>
            <w:tcW w:w="1134" w:type="dxa"/>
            <w:vAlign w:val="center"/>
          </w:tcPr>
          <w:p w14:paraId="1D5CA10C">
            <w:pPr>
              <w:autoSpaceDE/>
              <w:autoSpaceDN/>
              <w:jc w:val="center"/>
              <w:rPr>
                <w:rFonts w:ascii="宋体" w:hAnsi="宋体" w:eastAsia="宋体" w:cs="宋体"/>
                <w:color w:val="auto"/>
                <w:sz w:val="24"/>
                <w:lang w:val="en-US" w:eastAsia="en-US" w:bidi="ar-SA"/>
              </w:rPr>
            </w:pPr>
          </w:p>
        </w:tc>
        <w:tc>
          <w:tcPr>
            <w:tcW w:w="1449" w:type="dxa"/>
            <w:vAlign w:val="center"/>
          </w:tcPr>
          <w:p w14:paraId="4528A245">
            <w:pPr>
              <w:autoSpaceDE/>
              <w:autoSpaceDN/>
              <w:jc w:val="center"/>
              <w:rPr>
                <w:rFonts w:ascii="宋体" w:hAnsi="宋体" w:eastAsia="宋体" w:cs="宋体"/>
                <w:color w:val="auto"/>
                <w:sz w:val="24"/>
                <w:lang w:val="en-US" w:eastAsia="en-US" w:bidi="ar-SA"/>
              </w:rPr>
            </w:pPr>
          </w:p>
        </w:tc>
        <w:tc>
          <w:tcPr>
            <w:tcW w:w="1449" w:type="dxa"/>
            <w:vAlign w:val="center"/>
          </w:tcPr>
          <w:p w14:paraId="68F9E486">
            <w:pPr>
              <w:autoSpaceDE/>
              <w:autoSpaceDN/>
              <w:jc w:val="center"/>
              <w:rPr>
                <w:rFonts w:ascii="宋体" w:hAnsi="宋体" w:eastAsia="宋体" w:cs="宋体"/>
                <w:color w:val="auto"/>
                <w:sz w:val="24"/>
                <w:lang w:val="en-US" w:eastAsia="en-US" w:bidi="ar-SA"/>
              </w:rPr>
            </w:pPr>
          </w:p>
        </w:tc>
        <w:tc>
          <w:tcPr>
            <w:tcW w:w="1955" w:type="dxa"/>
            <w:vAlign w:val="center"/>
          </w:tcPr>
          <w:p w14:paraId="427B9207">
            <w:pPr>
              <w:autoSpaceDE/>
              <w:autoSpaceDN/>
              <w:jc w:val="center"/>
              <w:rPr>
                <w:rFonts w:ascii="宋体" w:hAnsi="宋体" w:eastAsia="宋体" w:cs="宋体"/>
                <w:color w:val="auto"/>
                <w:sz w:val="24"/>
                <w:lang w:val="en-US" w:eastAsia="en-US" w:bidi="ar-SA"/>
              </w:rPr>
            </w:pPr>
          </w:p>
        </w:tc>
      </w:tr>
      <w:tr w14:paraId="7955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6" w:type="dxa"/>
            <w:vAlign w:val="center"/>
          </w:tcPr>
          <w:p w14:paraId="2865CDA0">
            <w:pPr>
              <w:autoSpaceDE/>
              <w:autoSpaceDN/>
              <w:jc w:val="center"/>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5</w:t>
            </w:r>
          </w:p>
        </w:tc>
        <w:tc>
          <w:tcPr>
            <w:tcW w:w="1083" w:type="dxa"/>
            <w:vAlign w:val="center"/>
          </w:tcPr>
          <w:p w14:paraId="47C9E56F">
            <w:pPr>
              <w:autoSpaceDE/>
              <w:autoSpaceDN/>
              <w:jc w:val="center"/>
              <w:rPr>
                <w:rFonts w:ascii="宋体" w:hAnsi="宋体" w:eastAsia="宋体" w:cs="宋体"/>
                <w:color w:val="auto"/>
                <w:sz w:val="24"/>
                <w:lang w:val="en-US" w:eastAsia="en-US" w:bidi="ar-SA"/>
              </w:rPr>
            </w:pPr>
          </w:p>
        </w:tc>
        <w:tc>
          <w:tcPr>
            <w:tcW w:w="993" w:type="dxa"/>
            <w:vAlign w:val="center"/>
          </w:tcPr>
          <w:p w14:paraId="08438D61">
            <w:pPr>
              <w:autoSpaceDE/>
              <w:autoSpaceDN/>
              <w:jc w:val="center"/>
              <w:rPr>
                <w:rFonts w:ascii="宋体" w:hAnsi="宋体" w:eastAsia="宋体" w:cs="宋体"/>
                <w:color w:val="auto"/>
                <w:sz w:val="24"/>
                <w:lang w:val="en-US" w:eastAsia="en-US" w:bidi="ar-SA"/>
              </w:rPr>
            </w:pPr>
          </w:p>
        </w:tc>
        <w:tc>
          <w:tcPr>
            <w:tcW w:w="850" w:type="dxa"/>
            <w:vAlign w:val="center"/>
          </w:tcPr>
          <w:p w14:paraId="4EB0284F">
            <w:pPr>
              <w:autoSpaceDE/>
              <w:autoSpaceDN/>
              <w:jc w:val="center"/>
              <w:rPr>
                <w:rFonts w:ascii="宋体" w:hAnsi="宋体" w:eastAsia="宋体" w:cs="宋体"/>
                <w:color w:val="auto"/>
                <w:sz w:val="24"/>
                <w:lang w:val="en-US" w:eastAsia="en-US" w:bidi="ar-SA"/>
              </w:rPr>
            </w:pPr>
          </w:p>
        </w:tc>
        <w:tc>
          <w:tcPr>
            <w:tcW w:w="992" w:type="dxa"/>
            <w:vAlign w:val="center"/>
          </w:tcPr>
          <w:p w14:paraId="3DBFA587">
            <w:pPr>
              <w:autoSpaceDE/>
              <w:autoSpaceDN/>
              <w:jc w:val="center"/>
              <w:rPr>
                <w:rFonts w:ascii="宋体" w:hAnsi="宋体" w:eastAsia="宋体" w:cs="宋体"/>
                <w:color w:val="auto"/>
                <w:sz w:val="24"/>
                <w:lang w:val="en-US" w:eastAsia="en-US" w:bidi="ar-SA"/>
              </w:rPr>
            </w:pPr>
          </w:p>
        </w:tc>
        <w:tc>
          <w:tcPr>
            <w:tcW w:w="1134" w:type="dxa"/>
            <w:vAlign w:val="center"/>
          </w:tcPr>
          <w:p w14:paraId="10DF2BE3">
            <w:pPr>
              <w:autoSpaceDE/>
              <w:autoSpaceDN/>
              <w:jc w:val="center"/>
              <w:rPr>
                <w:rFonts w:ascii="宋体" w:hAnsi="宋体" w:eastAsia="宋体" w:cs="宋体"/>
                <w:color w:val="auto"/>
                <w:sz w:val="24"/>
                <w:lang w:val="en-US" w:eastAsia="en-US" w:bidi="ar-SA"/>
              </w:rPr>
            </w:pPr>
          </w:p>
        </w:tc>
        <w:tc>
          <w:tcPr>
            <w:tcW w:w="1449" w:type="dxa"/>
            <w:vAlign w:val="center"/>
          </w:tcPr>
          <w:p w14:paraId="43C35B57">
            <w:pPr>
              <w:autoSpaceDE/>
              <w:autoSpaceDN/>
              <w:jc w:val="center"/>
              <w:rPr>
                <w:rFonts w:ascii="宋体" w:hAnsi="宋体" w:eastAsia="宋体" w:cs="宋体"/>
                <w:color w:val="auto"/>
                <w:sz w:val="24"/>
                <w:lang w:val="en-US" w:eastAsia="en-US" w:bidi="ar-SA"/>
              </w:rPr>
            </w:pPr>
          </w:p>
        </w:tc>
        <w:tc>
          <w:tcPr>
            <w:tcW w:w="1449" w:type="dxa"/>
            <w:vAlign w:val="center"/>
          </w:tcPr>
          <w:p w14:paraId="34BEC691">
            <w:pPr>
              <w:autoSpaceDE/>
              <w:autoSpaceDN/>
              <w:jc w:val="center"/>
              <w:rPr>
                <w:rFonts w:ascii="宋体" w:hAnsi="宋体" w:eastAsia="宋体" w:cs="宋体"/>
                <w:color w:val="auto"/>
                <w:sz w:val="24"/>
                <w:lang w:val="en-US" w:eastAsia="en-US" w:bidi="ar-SA"/>
              </w:rPr>
            </w:pPr>
          </w:p>
        </w:tc>
        <w:tc>
          <w:tcPr>
            <w:tcW w:w="1955" w:type="dxa"/>
            <w:vAlign w:val="center"/>
          </w:tcPr>
          <w:p w14:paraId="71220FEC">
            <w:pPr>
              <w:autoSpaceDE/>
              <w:autoSpaceDN/>
              <w:jc w:val="center"/>
              <w:rPr>
                <w:rFonts w:ascii="宋体" w:hAnsi="宋体" w:eastAsia="宋体" w:cs="宋体"/>
                <w:color w:val="auto"/>
                <w:sz w:val="24"/>
                <w:lang w:val="en-US" w:eastAsia="en-US" w:bidi="ar-SA"/>
              </w:rPr>
            </w:pPr>
          </w:p>
        </w:tc>
      </w:tr>
      <w:tr w14:paraId="6D12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6" w:type="dxa"/>
            <w:vAlign w:val="center"/>
          </w:tcPr>
          <w:p w14:paraId="52289EF8">
            <w:pPr>
              <w:autoSpaceDE/>
              <w:autoSpaceDN/>
              <w:jc w:val="center"/>
              <w:rPr>
                <w:rFonts w:ascii="宋体" w:hAnsi="宋体" w:eastAsia="宋体" w:cs="宋体"/>
                <w:color w:val="auto"/>
                <w:sz w:val="24"/>
                <w:lang w:val="en-US" w:eastAsia="en-US" w:bidi="ar-SA"/>
              </w:rPr>
            </w:pPr>
            <w:r>
              <w:rPr>
                <w:rFonts w:hint="eastAsia" w:ascii="宋体" w:hAnsi="宋体" w:eastAsia="宋体" w:cs="宋体"/>
                <w:color w:val="auto"/>
                <w:sz w:val="24"/>
                <w:lang w:val="en-US" w:eastAsia="en-US" w:bidi="ar-SA"/>
              </w:rPr>
              <w:t>...</w:t>
            </w:r>
          </w:p>
        </w:tc>
        <w:tc>
          <w:tcPr>
            <w:tcW w:w="1083" w:type="dxa"/>
            <w:vAlign w:val="center"/>
          </w:tcPr>
          <w:p w14:paraId="5752DA65">
            <w:pPr>
              <w:autoSpaceDE/>
              <w:autoSpaceDN/>
              <w:jc w:val="center"/>
              <w:rPr>
                <w:rFonts w:ascii="宋体" w:hAnsi="宋体" w:eastAsia="宋体" w:cs="宋体"/>
                <w:color w:val="auto"/>
                <w:sz w:val="24"/>
                <w:lang w:val="en-US" w:eastAsia="en-US" w:bidi="ar-SA"/>
              </w:rPr>
            </w:pPr>
          </w:p>
        </w:tc>
        <w:tc>
          <w:tcPr>
            <w:tcW w:w="993" w:type="dxa"/>
            <w:vAlign w:val="center"/>
          </w:tcPr>
          <w:p w14:paraId="03D9F4E6">
            <w:pPr>
              <w:autoSpaceDE/>
              <w:autoSpaceDN/>
              <w:jc w:val="center"/>
              <w:rPr>
                <w:rFonts w:ascii="宋体" w:hAnsi="宋体" w:eastAsia="宋体" w:cs="宋体"/>
                <w:color w:val="auto"/>
                <w:sz w:val="24"/>
                <w:lang w:val="en-US" w:eastAsia="en-US" w:bidi="ar-SA"/>
              </w:rPr>
            </w:pPr>
          </w:p>
        </w:tc>
        <w:tc>
          <w:tcPr>
            <w:tcW w:w="850" w:type="dxa"/>
            <w:vAlign w:val="center"/>
          </w:tcPr>
          <w:p w14:paraId="1D21DBC6">
            <w:pPr>
              <w:autoSpaceDE/>
              <w:autoSpaceDN/>
              <w:jc w:val="center"/>
              <w:rPr>
                <w:rFonts w:ascii="宋体" w:hAnsi="宋体" w:eastAsia="宋体" w:cs="宋体"/>
                <w:color w:val="auto"/>
                <w:sz w:val="24"/>
                <w:lang w:val="en-US" w:eastAsia="en-US" w:bidi="ar-SA"/>
              </w:rPr>
            </w:pPr>
          </w:p>
        </w:tc>
        <w:tc>
          <w:tcPr>
            <w:tcW w:w="992" w:type="dxa"/>
            <w:vAlign w:val="center"/>
          </w:tcPr>
          <w:p w14:paraId="3CAB26EF">
            <w:pPr>
              <w:autoSpaceDE/>
              <w:autoSpaceDN/>
              <w:jc w:val="center"/>
              <w:rPr>
                <w:rFonts w:ascii="宋体" w:hAnsi="宋体" w:eastAsia="宋体" w:cs="宋体"/>
                <w:color w:val="auto"/>
                <w:sz w:val="24"/>
                <w:lang w:val="en-US" w:eastAsia="en-US" w:bidi="ar-SA"/>
              </w:rPr>
            </w:pPr>
          </w:p>
        </w:tc>
        <w:tc>
          <w:tcPr>
            <w:tcW w:w="1134" w:type="dxa"/>
            <w:vAlign w:val="center"/>
          </w:tcPr>
          <w:p w14:paraId="538B9B75">
            <w:pPr>
              <w:autoSpaceDE/>
              <w:autoSpaceDN/>
              <w:jc w:val="center"/>
              <w:rPr>
                <w:rFonts w:ascii="宋体" w:hAnsi="宋体" w:eastAsia="宋体" w:cs="宋体"/>
                <w:color w:val="auto"/>
                <w:sz w:val="24"/>
                <w:lang w:val="en-US" w:eastAsia="en-US" w:bidi="ar-SA"/>
              </w:rPr>
            </w:pPr>
          </w:p>
        </w:tc>
        <w:tc>
          <w:tcPr>
            <w:tcW w:w="1449" w:type="dxa"/>
            <w:vAlign w:val="center"/>
          </w:tcPr>
          <w:p w14:paraId="34373450">
            <w:pPr>
              <w:autoSpaceDE/>
              <w:autoSpaceDN/>
              <w:jc w:val="center"/>
              <w:rPr>
                <w:rFonts w:ascii="宋体" w:hAnsi="宋体" w:eastAsia="宋体" w:cs="宋体"/>
                <w:color w:val="auto"/>
                <w:sz w:val="24"/>
                <w:lang w:val="en-US" w:eastAsia="en-US" w:bidi="ar-SA"/>
              </w:rPr>
            </w:pPr>
          </w:p>
        </w:tc>
        <w:tc>
          <w:tcPr>
            <w:tcW w:w="1449" w:type="dxa"/>
            <w:vAlign w:val="center"/>
          </w:tcPr>
          <w:p w14:paraId="2E940409">
            <w:pPr>
              <w:autoSpaceDE/>
              <w:autoSpaceDN/>
              <w:jc w:val="center"/>
              <w:rPr>
                <w:rFonts w:ascii="宋体" w:hAnsi="宋体" w:eastAsia="宋体" w:cs="宋体"/>
                <w:color w:val="auto"/>
                <w:sz w:val="24"/>
                <w:lang w:val="en-US" w:eastAsia="en-US" w:bidi="ar-SA"/>
              </w:rPr>
            </w:pPr>
          </w:p>
        </w:tc>
        <w:tc>
          <w:tcPr>
            <w:tcW w:w="1955" w:type="dxa"/>
            <w:vAlign w:val="center"/>
          </w:tcPr>
          <w:p w14:paraId="10C09BE6">
            <w:pPr>
              <w:autoSpaceDE/>
              <w:autoSpaceDN/>
              <w:jc w:val="center"/>
              <w:rPr>
                <w:rFonts w:ascii="宋体" w:hAnsi="宋体" w:eastAsia="宋体" w:cs="宋体"/>
                <w:color w:val="auto"/>
                <w:sz w:val="24"/>
                <w:lang w:val="en-US" w:eastAsia="en-US" w:bidi="ar-SA"/>
              </w:rPr>
            </w:pPr>
          </w:p>
        </w:tc>
      </w:tr>
    </w:tbl>
    <w:p w14:paraId="3A7C16B0">
      <w:pPr>
        <w:autoSpaceDE/>
        <w:autoSpaceDN/>
        <w:spacing w:before="100"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（本表可扩展）</w:t>
      </w:r>
    </w:p>
    <w:p w14:paraId="27CF8C8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注：投标人根据“评审办法”及实际情况自行提供相关证明材料。</w:t>
      </w:r>
    </w:p>
    <w:p w14:paraId="351BDCE2">
      <w:pPr>
        <w:pStyle w:val="16"/>
        <w:rPr>
          <w:color w:val="auto"/>
          <w:lang w:val="en-US"/>
        </w:rPr>
      </w:pPr>
    </w:p>
    <w:p w14:paraId="4ED1EEC7">
      <w:pPr>
        <w:pStyle w:val="16"/>
        <w:rPr>
          <w:color w:val="auto"/>
          <w:lang w:val="en-US"/>
        </w:rPr>
      </w:pPr>
    </w:p>
    <w:p w14:paraId="3D23A928">
      <w:pPr>
        <w:pStyle w:val="16"/>
        <w:rPr>
          <w:color w:val="auto"/>
          <w:lang w:val="en-US"/>
        </w:rPr>
      </w:pPr>
    </w:p>
    <w:p w14:paraId="56167FEF">
      <w:pPr>
        <w:pStyle w:val="16"/>
        <w:rPr>
          <w:color w:val="auto"/>
          <w:lang w:val="en-US"/>
        </w:rPr>
      </w:pPr>
    </w:p>
    <w:p w14:paraId="254B5556">
      <w:pPr>
        <w:rPr>
          <w:rFonts w:ascii="宋体" w:hAnsi="宋体" w:eastAsia="宋体" w:cs="宋体"/>
          <w:color w:val="auto"/>
          <w:highlight w:val="none"/>
        </w:rPr>
      </w:pPr>
    </w:p>
    <w:p w14:paraId="668F88D1">
      <w:pPr>
        <w:rPr>
          <w:rFonts w:ascii="宋体" w:hAnsi="宋体" w:eastAsia="宋体" w:cs="宋体"/>
          <w:color w:val="auto"/>
          <w:sz w:val="28"/>
          <w:szCs w:val="28"/>
          <w:highlight w:val="none"/>
          <w:lang w:val="en-US"/>
        </w:rPr>
      </w:pPr>
      <w:bookmarkStart w:id="441" w:name="_Toc26894"/>
      <w:bookmarkStart w:id="442" w:name="_Toc2260"/>
      <w:bookmarkStart w:id="443" w:name="_Toc4793"/>
      <w:bookmarkStart w:id="444" w:name="_Toc30171"/>
      <w:bookmarkStart w:id="445" w:name="_Toc11019"/>
      <w:bookmarkStart w:id="446" w:name="_Toc22686"/>
      <w:bookmarkStart w:id="447" w:name="_Toc6332"/>
      <w:bookmarkStart w:id="448" w:name="_Toc6226"/>
      <w:r>
        <w:rPr>
          <w:rFonts w:hint="eastAsia" w:ascii="宋体" w:hAnsi="宋体" w:eastAsia="宋体" w:cs="宋体"/>
          <w:color w:val="auto"/>
          <w:sz w:val="28"/>
          <w:szCs w:val="28"/>
          <w:highlight w:val="none"/>
          <w:lang w:val="en-US"/>
        </w:rPr>
        <w:br w:type="page"/>
      </w:r>
    </w:p>
    <w:p w14:paraId="30B7BE23">
      <w:pPr>
        <w:pStyle w:val="5"/>
        <w:jc w:val="both"/>
        <w:rPr>
          <w:rFonts w:hint="eastAsia" w:ascii="宋体" w:hAnsi="宋体" w:eastAsia="宋体" w:cs="宋体"/>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12</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类似业绩</w:t>
      </w:r>
      <w:bookmarkEnd w:id="441"/>
      <w:bookmarkEnd w:id="442"/>
      <w:bookmarkEnd w:id="443"/>
    </w:p>
    <w:p w14:paraId="59002E87">
      <w:pPr>
        <w:jc w:val="center"/>
        <w:outlineLvl w:val="9"/>
        <w:rPr>
          <w:rFonts w:hint="default"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类似业绩情况表</w:t>
      </w:r>
    </w:p>
    <w:tbl>
      <w:tblPr>
        <w:tblStyle w:val="28"/>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154"/>
        <w:gridCol w:w="1906"/>
        <w:gridCol w:w="1658"/>
        <w:gridCol w:w="1804"/>
        <w:gridCol w:w="1219"/>
      </w:tblGrid>
      <w:tr w14:paraId="3D14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3" w:type="dxa"/>
            <w:vAlign w:val="center"/>
          </w:tcPr>
          <w:p w14:paraId="00908AE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54" w:type="dxa"/>
            <w:vAlign w:val="center"/>
          </w:tcPr>
          <w:p w14:paraId="4B7644E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906" w:type="dxa"/>
            <w:vAlign w:val="center"/>
          </w:tcPr>
          <w:p w14:paraId="0FAF51C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采购单位名称</w:t>
            </w:r>
          </w:p>
        </w:tc>
        <w:tc>
          <w:tcPr>
            <w:tcW w:w="1658" w:type="dxa"/>
            <w:vAlign w:val="center"/>
          </w:tcPr>
          <w:p w14:paraId="21C0FDD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1804" w:type="dxa"/>
            <w:vAlign w:val="center"/>
          </w:tcPr>
          <w:p w14:paraId="62FA2DE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p>
        </w:tc>
        <w:tc>
          <w:tcPr>
            <w:tcW w:w="1219" w:type="dxa"/>
            <w:vAlign w:val="center"/>
          </w:tcPr>
          <w:p w14:paraId="0C5674F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E05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33" w:type="dxa"/>
            <w:vAlign w:val="center"/>
          </w:tcPr>
          <w:p w14:paraId="5F5C4E0D">
            <w:pPr>
              <w:spacing w:line="240" w:lineRule="atLeast"/>
              <w:jc w:val="center"/>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p>
        </w:tc>
        <w:tc>
          <w:tcPr>
            <w:tcW w:w="2154" w:type="dxa"/>
            <w:vAlign w:val="center"/>
          </w:tcPr>
          <w:p w14:paraId="31F28625">
            <w:pPr>
              <w:spacing w:line="240" w:lineRule="atLeast"/>
              <w:jc w:val="center"/>
              <w:rPr>
                <w:rFonts w:ascii="宋体" w:hAnsi="宋体" w:eastAsia="宋体" w:cs="宋体"/>
                <w:color w:val="auto"/>
                <w:sz w:val="24"/>
                <w:szCs w:val="24"/>
                <w:highlight w:val="none"/>
              </w:rPr>
            </w:pPr>
          </w:p>
        </w:tc>
        <w:tc>
          <w:tcPr>
            <w:tcW w:w="1906" w:type="dxa"/>
            <w:vAlign w:val="center"/>
          </w:tcPr>
          <w:p w14:paraId="41C6755C">
            <w:pPr>
              <w:spacing w:line="240" w:lineRule="atLeast"/>
              <w:jc w:val="center"/>
              <w:rPr>
                <w:rFonts w:ascii="宋体" w:hAnsi="宋体" w:eastAsia="宋体" w:cs="宋体"/>
                <w:color w:val="auto"/>
                <w:sz w:val="24"/>
                <w:szCs w:val="24"/>
                <w:highlight w:val="none"/>
              </w:rPr>
            </w:pPr>
          </w:p>
        </w:tc>
        <w:tc>
          <w:tcPr>
            <w:tcW w:w="1658" w:type="dxa"/>
            <w:vAlign w:val="center"/>
          </w:tcPr>
          <w:p w14:paraId="22A387F3">
            <w:pPr>
              <w:spacing w:line="240" w:lineRule="atLeast"/>
              <w:jc w:val="center"/>
              <w:rPr>
                <w:rFonts w:ascii="宋体" w:hAnsi="宋体" w:eastAsia="宋体" w:cs="宋体"/>
                <w:color w:val="auto"/>
                <w:sz w:val="24"/>
                <w:szCs w:val="24"/>
                <w:highlight w:val="none"/>
              </w:rPr>
            </w:pPr>
          </w:p>
        </w:tc>
        <w:tc>
          <w:tcPr>
            <w:tcW w:w="1804" w:type="dxa"/>
            <w:vAlign w:val="center"/>
          </w:tcPr>
          <w:p w14:paraId="4D8E67FC">
            <w:pPr>
              <w:spacing w:line="240" w:lineRule="atLeast"/>
              <w:jc w:val="center"/>
              <w:rPr>
                <w:rFonts w:ascii="宋体" w:hAnsi="宋体" w:eastAsia="宋体" w:cs="宋体"/>
                <w:color w:val="auto"/>
                <w:sz w:val="24"/>
                <w:szCs w:val="24"/>
                <w:highlight w:val="none"/>
              </w:rPr>
            </w:pPr>
          </w:p>
        </w:tc>
        <w:tc>
          <w:tcPr>
            <w:tcW w:w="1219" w:type="dxa"/>
            <w:vAlign w:val="center"/>
          </w:tcPr>
          <w:p w14:paraId="4F04714A">
            <w:pPr>
              <w:spacing w:line="240" w:lineRule="atLeast"/>
              <w:jc w:val="center"/>
              <w:rPr>
                <w:rFonts w:ascii="宋体" w:hAnsi="宋体" w:eastAsia="宋体" w:cs="宋体"/>
                <w:color w:val="auto"/>
                <w:sz w:val="24"/>
                <w:szCs w:val="24"/>
                <w:highlight w:val="none"/>
              </w:rPr>
            </w:pPr>
          </w:p>
        </w:tc>
      </w:tr>
      <w:tr w14:paraId="7404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33" w:type="dxa"/>
            <w:vAlign w:val="center"/>
          </w:tcPr>
          <w:p w14:paraId="3E01736F">
            <w:pPr>
              <w:spacing w:line="240" w:lineRule="atLeast"/>
              <w:jc w:val="center"/>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w:t>
            </w:r>
          </w:p>
        </w:tc>
        <w:tc>
          <w:tcPr>
            <w:tcW w:w="2154" w:type="dxa"/>
            <w:vAlign w:val="center"/>
          </w:tcPr>
          <w:p w14:paraId="7CCDE354">
            <w:pPr>
              <w:spacing w:line="240" w:lineRule="atLeast"/>
              <w:jc w:val="center"/>
              <w:rPr>
                <w:rFonts w:ascii="宋体" w:hAnsi="宋体" w:eastAsia="宋体" w:cs="宋体"/>
                <w:color w:val="auto"/>
                <w:sz w:val="24"/>
                <w:szCs w:val="24"/>
                <w:highlight w:val="none"/>
              </w:rPr>
            </w:pPr>
          </w:p>
        </w:tc>
        <w:tc>
          <w:tcPr>
            <w:tcW w:w="1906" w:type="dxa"/>
            <w:vAlign w:val="center"/>
          </w:tcPr>
          <w:p w14:paraId="005D190F">
            <w:pPr>
              <w:spacing w:line="240" w:lineRule="atLeast"/>
              <w:jc w:val="center"/>
              <w:rPr>
                <w:rFonts w:ascii="宋体" w:hAnsi="宋体" w:eastAsia="宋体" w:cs="宋体"/>
                <w:color w:val="auto"/>
                <w:sz w:val="24"/>
                <w:szCs w:val="24"/>
                <w:highlight w:val="none"/>
              </w:rPr>
            </w:pPr>
          </w:p>
        </w:tc>
        <w:tc>
          <w:tcPr>
            <w:tcW w:w="1658" w:type="dxa"/>
            <w:vAlign w:val="center"/>
          </w:tcPr>
          <w:p w14:paraId="67B03C78">
            <w:pPr>
              <w:spacing w:line="240" w:lineRule="atLeast"/>
              <w:jc w:val="center"/>
              <w:rPr>
                <w:rFonts w:ascii="宋体" w:hAnsi="宋体" w:eastAsia="宋体" w:cs="宋体"/>
                <w:color w:val="auto"/>
                <w:sz w:val="24"/>
                <w:szCs w:val="24"/>
                <w:highlight w:val="none"/>
              </w:rPr>
            </w:pPr>
          </w:p>
        </w:tc>
        <w:tc>
          <w:tcPr>
            <w:tcW w:w="1804" w:type="dxa"/>
            <w:vAlign w:val="center"/>
          </w:tcPr>
          <w:p w14:paraId="2AE7DE50">
            <w:pPr>
              <w:spacing w:line="240" w:lineRule="atLeast"/>
              <w:jc w:val="center"/>
              <w:rPr>
                <w:rFonts w:ascii="宋体" w:hAnsi="宋体" w:eastAsia="宋体" w:cs="宋体"/>
                <w:color w:val="auto"/>
                <w:sz w:val="24"/>
                <w:szCs w:val="24"/>
                <w:highlight w:val="none"/>
              </w:rPr>
            </w:pPr>
          </w:p>
        </w:tc>
        <w:tc>
          <w:tcPr>
            <w:tcW w:w="1219" w:type="dxa"/>
            <w:vAlign w:val="center"/>
          </w:tcPr>
          <w:p w14:paraId="12790570">
            <w:pPr>
              <w:spacing w:line="240" w:lineRule="atLeast"/>
              <w:jc w:val="center"/>
              <w:rPr>
                <w:rFonts w:ascii="宋体" w:hAnsi="宋体" w:eastAsia="宋体" w:cs="宋体"/>
                <w:color w:val="auto"/>
                <w:sz w:val="24"/>
                <w:szCs w:val="24"/>
                <w:highlight w:val="none"/>
              </w:rPr>
            </w:pPr>
          </w:p>
        </w:tc>
      </w:tr>
      <w:tr w14:paraId="57F8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33" w:type="dxa"/>
            <w:vAlign w:val="center"/>
          </w:tcPr>
          <w:p w14:paraId="12446A95">
            <w:pPr>
              <w:spacing w:line="240" w:lineRule="atLeast"/>
              <w:jc w:val="center"/>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w:t>
            </w:r>
          </w:p>
        </w:tc>
        <w:tc>
          <w:tcPr>
            <w:tcW w:w="2154" w:type="dxa"/>
            <w:vAlign w:val="center"/>
          </w:tcPr>
          <w:p w14:paraId="5143D97A">
            <w:pPr>
              <w:spacing w:line="240" w:lineRule="atLeast"/>
              <w:jc w:val="center"/>
              <w:rPr>
                <w:rFonts w:ascii="宋体" w:hAnsi="宋体" w:eastAsia="宋体" w:cs="宋体"/>
                <w:color w:val="auto"/>
                <w:sz w:val="24"/>
                <w:szCs w:val="24"/>
                <w:highlight w:val="none"/>
              </w:rPr>
            </w:pPr>
          </w:p>
        </w:tc>
        <w:tc>
          <w:tcPr>
            <w:tcW w:w="1906" w:type="dxa"/>
            <w:vAlign w:val="center"/>
          </w:tcPr>
          <w:p w14:paraId="6F105B01">
            <w:pPr>
              <w:spacing w:line="240" w:lineRule="atLeast"/>
              <w:jc w:val="center"/>
              <w:rPr>
                <w:rFonts w:ascii="宋体" w:hAnsi="宋体" w:eastAsia="宋体" w:cs="宋体"/>
                <w:color w:val="auto"/>
                <w:sz w:val="24"/>
                <w:szCs w:val="24"/>
                <w:highlight w:val="none"/>
              </w:rPr>
            </w:pPr>
          </w:p>
        </w:tc>
        <w:tc>
          <w:tcPr>
            <w:tcW w:w="1658" w:type="dxa"/>
            <w:vAlign w:val="center"/>
          </w:tcPr>
          <w:p w14:paraId="220CA54A">
            <w:pPr>
              <w:spacing w:line="240" w:lineRule="atLeast"/>
              <w:jc w:val="center"/>
              <w:rPr>
                <w:rFonts w:ascii="宋体" w:hAnsi="宋体" w:eastAsia="宋体" w:cs="宋体"/>
                <w:color w:val="auto"/>
                <w:sz w:val="24"/>
                <w:szCs w:val="24"/>
                <w:highlight w:val="none"/>
              </w:rPr>
            </w:pPr>
          </w:p>
        </w:tc>
        <w:tc>
          <w:tcPr>
            <w:tcW w:w="1804" w:type="dxa"/>
            <w:vAlign w:val="center"/>
          </w:tcPr>
          <w:p w14:paraId="44B5B78A">
            <w:pPr>
              <w:spacing w:line="240" w:lineRule="atLeast"/>
              <w:jc w:val="center"/>
              <w:rPr>
                <w:rFonts w:ascii="宋体" w:hAnsi="宋体" w:eastAsia="宋体" w:cs="宋体"/>
                <w:color w:val="auto"/>
                <w:sz w:val="24"/>
                <w:szCs w:val="24"/>
                <w:highlight w:val="none"/>
              </w:rPr>
            </w:pPr>
          </w:p>
        </w:tc>
        <w:tc>
          <w:tcPr>
            <w:tcW w:w="1219" w:type="dxa"/>
            <w:vAlign w:val="center"/>
          </w:tcPr>
          <w:p w14:paraId="6F9A1996">
            <w:pPr>
              <w:spacing w:line="240" w:lineRule="atLeast"/>
              <w:jc w:val="center"/>
              <w:rPr>
                <w:rFonts w:ascii="宋体" w:hAnsi="宋体" w:eastAsia="宋体" w:cs="宋体"/>
                <w:color w:val="auto"/>
                <w:sz w:val="24"/>
                <w:szCs w:val="24"/>
                <w:highlight w:val="none"/>
              </w:rPr>
            </w:pPr>
          </w:p>
        </w:tc>
      </w:tr>
      <w:tr w14:paraId="3ED8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33" w:type="dxa"/>
            <w:vAlign w:val="center"/>
          </w:tcPr>
          <w:p w14:paraId="2689FDEA">
            <w:pPr>
              <w:spacing w:line="240" w:lineRule="atLeast"/>
              <w:jc w:val="center"/>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4</w:t>
            </w:r>
          </w:p>
        </w:tc>
        <w:tc>
          <w:tcPr>
            <w:tcW w:w="2154" w:type="dxa"/>
            <w:vAlign w:val="center"/>
          </w:tcPr>
          <w:p w14:paraId="30809B4B">
            <w:pPr>
              <w:spacing w:line="240" w:lineRule="atLeast"/>
              <w:jc w:val="center"/>
              <w:rPr>
                <w:rFonts w:ascii="宋体" w:hAnsi="宋体" w:eastAsia="宋体" w:cs="宋体"/>
                <w:color w:val="auto"/>
                <w:sz w:val="24"/>
                <w:szCs w:val="24"/>
                <w:highlight w:val="none"/>
              </w:rPr>
            </w:pPr>
          </w:p>
        </w:tc>
        <w:tc>
          <w:tcPr>
            <w:tcW w:w="1906" w:type="dxa"/>
            <w:vAlign w:val="center"/>
          </w:tcPr>
          <w:p w14:paraId="6234AB64">
            <w:pPr>
              <w:spacing w:line="240" w:lineRule="atLeast"/>
              <w:jc w:val="center"/>
              <w:rPr>
                <w:rFonts w:ascii="宋体" w:hAnsi="宋体" w:eastAsia="宋体" w:cs="宋体"/>
                <w:color w:val="auto"/>
                <w:sz w:val="24"/>
                <w:szCs w:val="24"/>
                <w:highlight w:val="none"/>
              </w:rPr>
            </w:pPr>
          </w:p>
        </w:tc>
        <w:tc>
          <w:tcPr>
            <w:tcW w:w="1658" w:type="dxa"/>
            <w:vAlign w:val="center"/>
          </w:tcPr>
          <w:p w14:paraId="37A0731B">
            <w:pPr>
              <w:spacing w:line="240" w:lineRule="atLeast"/>
              <w:jc w:val="center"/>
              <w:rPr>
                <w:rFonts w:ascii="宋体" w:hAnsi="宋体" w:eastAsia="宋体" w:cs="宋体"/>
                <w:color w:val="auto"/>
                <w:sz w:val="24"/>
                <w:szCs w:val="24"/>
                <w:highlight w:val="none"/>
              </w:rPr>
            </w:pPr>
          </w:p>
        </w:tc>
        <w:tc>
          <w:tcPr>
            <w:tcW w:w="1804" w:type="dxa"/>
            <w:vAlign w:val="center"/>
          </w:tcPr>
          <w:p w14:paraId="4E85C1E2">
            <w:pPr>
              <w:spacing w:line="240" w:lineRule="atLeast"/>
              <w:jc w:val="center"/>
              <w:rPr>
                <w:rFonts w:ascii="宋体" w:hAnsi="宋体" w:eastAsia="宋体" w:cs="宋体"/>
                <w:color w:val="auto"/>
                <w:sz w:val="24"/>
                <w:szCs w:val="24"/>
                <w:highlight w:val="none"/>
              </w:rPr>
            </w:pPr>
          </w:p>
        </w:tc>
        <w:tc>
          <w:tcPr>
            <w:tcW w:w="1219" w:type="dxa"/>
            <w:vAlign w:val="center"/>
          </w:tcPr>
          <w:p w14:paraId="7A69D677">
            <w:pPr>
              <w:spacing w:line="240" w:lineRule="atLeast"/>
              <w:jc w:val="center"/>
              <w:rPr>
                <w:rFonts w:ascii="宋体" w:hAnsi="宋体" w:eastAsia="宋体" w:cs="宋体"/>
                <w:color w:val="auto"/>
                <w:sz w:val="24"/>
                <w:szCs w:val="24"/>
                <w:highlight w:val="none"/>
              </w:rPr>
            </w:pPr>
          </w:p>
        </w:tc>
      </w:tr>
      <w:tr w14:paraId="3240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33" w:type="dxa"/>
            <w:vAlign w:val="center"/>
          </w:tcPr>
          <w:p w14:paraId="1A585EFB">
            <w:pPr>
              <w:spacing w:line="240" w:lineRule="atLeast"/>
              <w:jc w:val="center"/>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5</w:t>
            </w:r>
          </w:p>
        </w:tc>
        <w:tc>
          <w:tcPr>
            <w:tcW w:w="2154" w:type="dxa"/>
            <w:vAlign w:val="center"/>
          </w:tcPr>
          <w:p w14:paraId="1E4C8DE6">
            <w:pPr>
              <w:spacing w:line="240" w:lineRule="atLeast"/>
              <w:jc w:val="center"/>
              <w:rPr>
                <w:rFonts w:ascii="宋体" w:hAnsi="宋体" w:eastAsia="宋体" w:cs="宋体"/>
                <w:color w:val="auto"/>
                <w:sz w:val="24"/>
                <w:szCs w:val="24"/>
                <w:highlight w:val="none"/>
              </w:rPr>
            </w:pPr>
          </w:p>
        </w:tc>
        <w:tc>
          <w:tcPr>
            <w:tcW w:w="1906" w:type="dxa"/>
            <w:vAlign w:val="center"/>
          </w:tcPr>
          <w:p w14:paraId="5D3DB792">
            <w:pPr>
              <w:spacing w:line="240" w:lineRule="atLeast"/>
              <w:jc w:val="center"/>
              <w:rPr>
                <w:rFonts w:ascii="宋体" w:hAnsi="宋体" w:eastAsia="宋体" w:cs="宋体"/>
                <w:color w:val="auto"/>
                <w:sz w:val="24"/>
                <w:szCs w:val="24"/>
                <w:highlight w:val="none"/>
              </w:rPr>
            </w:pPr>
          </w:p>
        </w:tc>
        <w:tc>
          <w:tcPr>
            <w:tcW w:w="1658" w:type="dxa"/>
            <w:vAlign w:val="center"/>
          </w:tcPr>
          <w:p w14:paraId="4D97609A">
            <w:pPr>
              <w:spacing w:line="240" w:lineRule="atLeast"/>
              <w:jc w:val="center"/>
              <w:rPr>
                <w:rFonts w:ascii="宋体" w:hAnsi="宋体" w:eastAsia="宋体" w:cs="宋体"/>
                <w:color w:val="auto"/>
                <w:sz w:val="24"/>
                <w:szCs w:val="24"/>
                <w:highlight w:val="none"/>
              </w:rPr>
            </w:pPr>
          </w:p>
        </w:tc>
        <w:tc>
          <w:tcPr>
            <w:tcW w:w="1804" w:type="dxa"/>
            <w:vAlign w:val="center"/>
          </w:tcPr>
          <w:p w14:paraId="1669D22E">
            <w:pPr>
              <w:spacing w:line="240" w:lineRule="atLeast"/>
              <w:jc w:val="center"/>
              <w:rPr>
                <w:rFonts w:ascii="宋体" w:hAnsi="宋体" w:eastAsia="宋体" w:cs="宋体"/>
                <w:color w:val="auto"/>
                <w:sz w:val="24"/>
                <w:szCs w:val="24"/>
                <w:highlight w:val="none"/>
              </w:rPr>
            </w:pPr>
          </w:p>
        </w:tc>
        <w:tc>
          <w:tcPr>
            <w:tcW w:w="1219" w:type="dxa"/>
            <w:vAlign w:val="center"/>
          </w:tcPr>
          <w:p w14:paraId="76CD4B39">
            <w:pPr>
              <w:spacing w:line="240" w:lineRule="atLeast"/>
              <w:jc w:val="center"/>
              <w:rPr>
                <w:rFonts w:ascii="宋体" w:hAnsi="宋体" w:eastAsia="宋体" w:cs="宋体"/>
                <w:color w:val="auto"/>
                <w:sz w:val="24"/>
                <w:szCs w:val="24"/>
                <w:highlight w:val="none"/>
              </w:rPr>
            </w:pPr>
          </w:p>
        </w:tc>
      </w:tr>
      <w:tr w14:paraId="46F0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33" w:type="dxa"/>
            <w:vAlign w:val="center"/>
          </w:tcPr>
          <w:p w14:paraId="7C7D1A3D">
            <w:pPr>
              <w:spacing w:line="240" w:lineRule="atLeast"/>
              <w:jc w:val="cente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p>
        </w:tc>
        <w:tc>
          <w:tcPr>
            <w:tcW w:w="2154" w:type="dxa"/>
            <w:vAlign w:val="center"/>
          </w:tcPr>
          <w:p w14:paraId="07FF2FCA">
            <w:pPr>
              <w:spacing w:line="240" w:lineRule="atLeast"/>
              <w:jc w:val="center"/>
              <w:rPr>
                <w:rFonts w:ascii="宋体" w:hAnsi="宋体" w:eastAsia="宋体" w:cs="宋体"/>
                <w:color w:val="auto"/>
                <w:sz w:val="24"/>
                <w:szCs w:val="24"/>
                <w:highlight w:val="none"/>
              </w:rPr>
            </w:pPr>
          </w:p>
        </w:tc>
        <w:tc>
          <w:tcPr>
            <w:tcW w:w="1906" w:type="dxa"/>
            <w:vAlign w:val="center"/>
          </w:tcPr>
          <w:p w14:paraId="6B4E6904">
            <w:pPr>
              <w:spacing w:line="240" w:lineRule="atLeast"/>
              <w:jc w:val="center"/>
              <w:rPr>
                <w:rFonts w:ascii="宋体" w:hAnsi="宋体" w:eastAsia="宋体" w:cs="宋体"/>
                <w:color w:val="auto"/>
                <w:sz w:val="24"/>
                <w:szCs w:val="24"/>
                <w:highlight w:val="none"/>
              </w:rPr>
            </w:pPr>
          </w:p>
        </w:tc>
        <w:tc>
          <w:tcPr>
            <w:tcW w:w="1658" w:type="dxa"/>
            <w:vAlign w:val="center"/>
          </w:tcPr>
          <w:p w14:paraId="3340A34D">
            <w:pPr>
              <w:spacing w:line="240" w:lineRule="atLeast"/>
              <w:jc w:val="center"/>
              <w:rPr>
                <w:rFonts w:ascii="宋体" w:hAnsi="宋体" w:eastAsia="宋体" w:cs="宋体"/>
                <w:color w:val="auto"/>
                <w:sz w:val="24"/>
                <w:szCs w:val="24"/>
                <w:highlight w:val="none"/>
              </w:rPr>
            </w:pPr>
          </w:p>
        </w:tc>
        <w:tc>
          <w:tcPr>
            <w:tcW w:w="1804" w:type="dxa"/>
            <w:vAlign w:val="center"/>
          </w:tcPr>
          <w:p w14:paraId="51822526">
            <w:pPr>
              <w:spacing w:line="240" w:lineRule="atLeast"/>
              <w:jc w:val="center"/>
              <w:rPr>
                <w:rFonts w:ascii="宋体" w:hAnsi="宋体" w:eastAsia="宋体" w:cs="宋体"/>
                <w:color w:val="auto"/>
                <w:sz w:val="24"/>
                <w:szCs w:val="24"/>
                <w:highlight w:val="none"/>
              </w:rPr>
            </w:pPr>
          </w:p>
        </w:tc>
        <w:tc>
          <w:tcPr>
            <w:tcW w:w="1219" w:type="dxa"/>
            <w:vAlign w:val="center"/>
          </w:tcPr>
          <w:p w14:paraId="04D078A4">
            <w:pPr>
              <w:spacing w:line="240" w:lineRule="atLeast"/>
              <w:jc w:val="center"/>
              <w:rPr>
                <w:rFonts w:ascii="宋体" w:hAnsi="宋体" w:eastAsia="宋体" w:cs="宋体"/>
                <w:color w:val="auto"/>
                <w:sz w:val="24"/>
                <w:szCs w:val="24"/>
                <w:highlight w:val="none"/>
              </w:rPr>
            </w:pPr>
          </w:p>
        </w:tc>
      </w:tr>
    </w:tbl>
    <w:p w14:paraId="5F4732B5">
      <w:pPr>
        <w:autoSpaceDE/>
        <w:autoSpaceDN/>
        <w:spacing w:before="100" w:after="10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（本表可扩展）</w:t>
      </w:r>
    </w:p>
    <w:p w14:paraId="3E5FE5C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注：投标人根据“评审办法”及实际情况自行提供相关证明材料。</w:t>
      </w:r>
    </w:p>
    <w:p w14:paraId="23CFBCAB">
      <w:pPr>
        <w:spacing w:line="360" w:lineRule="auto"/>
        <w:ind w:firstLine="840" w:firstLineChars="300"/>
        <w:rPr>
          <w:rFonts w:ascii="宋体" w:hAnsi="宋体" w:eastAsia="宋体" w:cs="宋体"/>
          <w:color w:val="auto"/>
          <w:sz w:val="28"/>
          <w:szCs w:val="28"/>
          <w:highlight w:val="none"/>
        </w:rPr>
      </w:pPr>
    </w:p>
    <w:p w14:paraId="0A1142A3">
      <w:pPr>
        <w:spacing w:line="360" w:lineRule="auto"/>
        <w:rPr>
          <w:rFonts w:ascii="宋体" w:hAnsi="宋体" w:eastAsia="宋体" w:cs="宋体"/>
          <w:color w:val="auto"/>
          <w:sz w:val="28"/>
          <w:szCs w:val="28"/>
          <w:highlight w:val="none"/>
        </w:rPr>
      </w:pPr>
    </w:p>
    <w:p w14:paraId="0B0DBDA0">
      <w:pPr>
        <w:pStyle w:val="4"/>
        <w:rPr>
          <w:rFonts w:hint="default" w:eastAsia="宋体" w:cs="宋体"/>
          <w:color w:val="auto"/>
          <w:highlight w:val="none"/>
        </w:rPr>
        <w:sectPr>
          <w:pgSz w:w="11911" w:h="16838"/>
          <w:pgMar w:top="1134" w:right="1134" w:bottom="1134" w:left="1134" w:header="850" w:footer="850" w:gutter="0"/>
          <w:pgNumType w:fmt="numberInDash"/>
          <w:cols w:space="720" w:num="1"/>
          <w:docGrid w:linePitch="1" w:charSpace="0"/>
        </w:sectPr>
      </w:pPr>
      <w:bookmarkStart w:id="449" w:name="_Toc9272"/>
    </w:p>
    <w:bookmarkEnd w:id="444"/>
    <w:bookmarkEnd w:id="445"/>
    <w:bookmarkEnd w:id="446"/>
    <w:bookmarkEnd w:id="447"/>
    <w:bookmarkEnd w:id="448"/>
    <w:bookmarkEnd w:id="449"/>
    <w:p w14:paraId="2A059410">
      <w:pPr>
        <w:pStyle w:val="5"/>
        <w:jc w:val="both"/>
        <w:rPr>
          <w:rFonts w:ascii="宋体" w:hAnsi="宋体" w:eastAsia="宋体" w:cs="宋体"/>
          <w:color w:val="auto"/>
          <w:sz w:val="28"/>
          <w:szCs w:val="28"/>
          <w:highlight w:val="none"/>
          <w:lang w:val="en-US"/>
        </w:rPr>
      </w:pPr>
      <w:r>
        <w:rPr>
          <w:rFonts w:hint="eastAsia" w:asciiTheme="majorEastAsia" w:hAnsiTheme="majorEastAsia" w:eastAsiaTheme="majorEastAsia" w:cstheme="majorEastAsia"/>
          <w:color w:val="auto"/>
          <w:sz w:val="28"/>
          <w:szCs w:val="28"/>
          <w:highlight w:val="none"/>
          <w:lang w:val="en-US"/>
        </w:rPr>
        <w:t>1</w:t>
      </w:r>
      <w:r>
        <w:rPr>
          <w:rFonts w:hint="eastAsia" w:asciiTheme="majorEastAsia" w:hAnsiTheme="majorEastAsia" w:eastAsiaTheme="majorEastAsia" w:cstheme="majorEastAsia"/>
          <w:color w:val="auto"/>
          <w:sz w:val="28"/>
          <w:szCs w:val="28"/>
          <w:highlight w:val="none"/>
          <w:lang w:val="en-US" w:eastAsia="zh-CN"/>
        </w:rPr>
        <w:t>3</w:t>
      </w:r>
      <w:r>
        <w:rPr>
          <w:rFonts w:hint="eastAsia" w:ascii="宋体" w:hAnsi="宋体" w:eastAsia="宋体" w:cs="宋体"/>
          <w:color w:val="auto"/>
          <w:sz w:val="28"/>
          <w:szCs w:val="28"/>
          <w:highlight w:val="none"/>
          <w:lang w:val="en-US"/>
        </w:rPr>
        <w:t>.其他资料</w:t>
      </w:r>
    </w:p>
    <w:p w14:paraId="4BCBE874">
      <w:pPr>
        <w:keepNext/>
        <w:keepLines/>
        <w:rPr>
          <w:rFonts w:ascii="宋体" w:hAnsi="宋体" w:eastAsia="宋体" w:cs="宋体"/>
          <w:color w:val="auto"/>
          <w:highlight w:val="none"/>
          <w:lang w:val="en-US"/>
        </w:rPr>
      </w:pPr>
      <w:r>
        <w:rPr>
          <w:rFonts w:hint="eastAsia" w:ascii="宋体" w:hAnsi="宋体" w:eastAsia="宋体" w:cs="宋体"/>
          <w:color w:val="auto"/>
          <w:highlight w:val="none"/>
          <w:lang w:val="en-US"/>
        </w:rPr>
        <w:t>（1）投标保证金交纳凭证（扫描件加盖电子签章）</w:t>
      </w:r>
    </w:p>
    <w:p w14:paraId="5499485E">
      <w:pPr>
        <w:keepNext/>
        <w:keepLines/>
        <w:rPr>
          <w:rFonts w:ascii="宋体" w:hAnsi="宋体" w:eastAsia="宋体" w:cs="宋体"/>
          <w:color w:val="auto"/>
          <w:highlight w:val="none"/>
          <w:lang w:val="en-US"/>
        </w:rPr>
      </w:pPr>
      <w:r>
        <w:rPr>
          <w:rFonts w:hint="eastAsia" w:ascii="宋体" w:hAnsi="宋体" w:eastAsia="宋体" w:cs="宋体"/>
          <w:color w:val="auto"/>
          <w:highlight w:val="none"/>
          <w:lang w:val="en-US"/>
        </w:rPr>
        <w:t>（2）投标人认为必须提供的其他相关资料。</w:t>
      </w:r>
    </w:p>
    <w:p w14:paraId="2AB5B081">
      <w:pPr>
        <w:rPr>
          <w:rFonts w:ascii="宋体" w:hAnsi="宋体" w:eastAsia="宋体" w:cs="宋体"/>
          <w:color w:val="auto"/>
          <w:highlight w:val="none"/>
        </w:rPr>
      </w:pPr>
    </w:p>
    <w:p w14:paraId="338B1398">
      <w:pPr>
        <w:pStyle w:val="14"/>
        <w:ind w:left="0" w:leftChars="0" w:firstLine="560"/>
        <w:rPr>
          <w:rFonts w:ascii="宋体" w:hAnsi="宋体" w:eastAsia="宋体" w:cs="宋体"/>
          <w:color w:val="auto"/>
          <w:sz w:val="28"/>
          <w:szCs w:val="32"/>
          <w:highlight w:val="none"/>
          <w:lang w:val="en-US"/>
        </w:rPr>
        <w:sectPr>
          <w:footerReference r:id="rId16" w:type="default"/>
          <w:pgSz w:w="11911" w:h="16838"/>
          <w:pgMar w:top="1134" w:right="1134" w:bottom="1134" w:left="1134" w:header="850" w:footer="850" w:gutter="0"/>
          <w:pgNumType w:fmt="numberInDash"/>
          <w:cols w:space="720" w:num="1"/>
          <w:docGrid w:linePitch="1" w:charSpace="0"/>
        </w:sectPr>
      </w:pPr>
    </w:p>
    <w:p w14:paraId="74CE0E01">
      <w:pPr>
        <w:pStyle w:val="3"/>
        <w:ind w:left="0"/>
        <w:rPr>
          <w:color w:val="auto"/>
          <w:highlight w:val="none"/>
        </w:rPr>
      </w:pPr>
      <w:bookmarkStart w:id="450" w:name="_Toc29387"/>
      <w:bookmarkStart w:id="451" w:name="_Toc16373"/>
      <w:bookmarkStart w:id="452" w:name="_Toc16536"/>
      <w:bookmarkStart w:id="453" w:name="_Toc3605"/>
      <w:bookmarkStart w:id="454" w:name="_Toc2494"/>
      <w:r>
        <w:rPr>
          <w:rFonts w:hint="eastAsia"/>
          <w:color w:val="auto"/>
          <w:highlight w:val="none"/>
        </w:rPr>
        <w:t>第五章 采购需求</w:t>
      </w:r>
      <w:bookmarkEnd w:id="450"/>
      <w:bookmarkEnd w:id="451"/>
      <w:bookmarkEnd w:id="452"/>
      <w:bookmarkEnd w:id="453"/>
      <w:bookmarkEnd w:id="454"/>
    </w:p>
    <w:p w14:paraId="5786A4DD">
      <w:pPr>
        <w:autoSpaceDE/>
        <w:autoSpaceDN/>
        <w:spacing w:line="560" w:lineRule="exact"/>
        <w:jc w:val="both"/>
        <w:rPr>
          <w:rFonts w:ascii="宋体" w:hAnsi="宋体" w:eastAsia="宋体" w:cs="宋体"/>
          <w:color w:val="auto"/>
          <w:sz w:val="24"/>
          <w:szCs w:val="24"/>
          <w:highlight w:val="none"/>
          <w:lang w:val="en-US"/>
        </w:rPr>
      </w:pPr>
      <w:bookmarkStart w:id="455" w:name="第六章_评标办法"/>
      <w:bookmarkEnd w:id="455"/>
      <w:bookmarkStart w:id="456" w:name="_Toc464056464"/>
      <w:r>
        <w:rPr>
          <w:rFonts w:hint="eastAsia" w:ascii="宋体" w:hAnsi="宋体" w:eastAsia="宋体" w:cs="宋体"/>
          <w:color w:val="auto"/>
          <w:sz w:val="24"/>
          <w:szCs w:val="24"/>
          <w:highlight w:val="none"/>
          <w:lang w:val="en-US"/>
        </w:rPr>
        <w:t>说明：</w:t>
      </w:r>
    </w:p>
    <w:p w14:paraId="172CD52D">
      <w:pPr>
        <w:autoSpaceDE/>
        <w:autoSpaceDN/>
        <w:spacing w:line="560" w:lineRule="exact"/>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各投标人必须对招标文件第五章《采购需求》中的规格、技术条款和性能要求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7B70B6D3">
      <w:pPr>
        <w:autoSpaceDE/>
        <w:autoSpaceDN/>
        <w:spacing w:line="560" w:lineRule="exact"/>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1A56235C">
      <w:pPr>
        <w:autoSpaceDE/>
        <w:autoSpaceDN/>
        <w:spacing w:line="560" w:lineRule="exact"/>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.投标人应保证其提供的货物、工程或者服务在采购人使用期间不受第三方可能提出的侵犯其所有权、知识产权、商标权、专利权、著作权等相关权利的起诉。</w:t>
      </w:r>
    </w:p>
    <w:p w14:paraId="352FF86F">
      <w:pPr>
        <w:autoSpaceDE/>
        <w:autoSpaceDN/>
        <w:spacing w:line="560" w:lineRule="exact"/>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.投标人应对在合同履行的过程中，涉及到采购人的工作信息等秘密内容进行保密。双方应共同对项目中涉及的技术情报和资料进行保密。</w:t>
      </w:r>
    </w:p>
    <w:p w14:paraId="5E004E45">
      <w:pPr>
        <w:autoSpaceDE/>
        <w:autoSpaceDN/>
        <w:spacing w:line="560" w:lineRule="exact"/>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5</w:t>
      </w:r>
      <w:r>
        <w:rPr>
          <w:rFonts w:hint="eastAsia" w:ascii="宋体" w:hAnsi="宋体" w:eastAsia="宋体" w:cs="宋体"/>
          <w:color w:val="auto"/>
          <w:sz w:val="24"/>
          <w:szCs w:val="24"/>
          <w:highlight w:val="none"/>
          <w:lang w:val="en-US"/>
        </w:rPr>
        <w:t>.投标人应严格按照《中华人民共和国政府采购法》、《中华人民共和国政府采购法实施条例》、《政府采购货物和服务招标投标管理办法》（财政部令第</w:t>
      </w:r>
      <w:r>
        <w:rPr>
          <w:rFonts w:hint="eastAsia" w:asciiTheme="majorEastAsia" w:hAnsiTheme="majorEastAsia" w:eastAsiaTheme="majorEastAsia" w:cstheme="majorEastAsia"/>
          <w:color w:val="auto"/>
          <w:sz w:val="24"/>
          <w:szCs w:val="24"/>
          <w:highlight w:val="none"/>
          <w:lang w:val="en-US"/>
        </w:rPr>
        <w:t>87</w:t>
      </w:r>
      <w:r>
        <w:rPr>
          <w:rFonts w:hint="eastAsia" w:ascii="宋体" w:hAnsi="宋体" w:eastAsia="宋体" w:cs="宋体"/>
          <w:color w:val="auto"/>
          <w:sz w:val="24"/>
          <w:szCs w:val="24"/>
          <w:highlight w:val="none"/>
          <w:lang w:val="en-US"/>
        </w:rPr>
        <w:t>号）等有关</w:t>
      </w:r>
      <w:r>
        <w:rPr>
          <w:rFonts w:hint="eastAsia" w:ascii="宋体" w:hAnsi="宋体" w:eastAsia="宋体" w:cs="宋体"/>
          <w:color w:val="auto"/>
          <w:sz w:val="24"/>
          <w:szCs w:val="24"/>
          <w:highlight w:val="none"/>
          <w:lang w:val="en-US" w:eastAsia="zh-CN"/>
        </w:rPr>
        <w:t>法律法规</w:t>
      </w:r>
      <w:r>
        <w:rPr>
          <w:rFonts w:hint="eastAsia" w:ascii="宋体" w:hAnsi="宋体" w:eastAsia="宋体" w:cs="宋体"/>
          <w:color w:val="auto"/>
          <w:sz w:val="24"/>
          <w:szCs w:val="24"/>
          <w:highlight w:val="none"/>
          <w:lang w:val="en-US"/>
        </w:rPr>
        <w:t>的规定进行投标，合同签订后采购人将按照中标人投标文件中所投货物、工程或者服务进行验收，一旦发现虚假应标行为，取消该中标人的中标资格，并保留追究其法律责任的权利。</w:t>
      </w:r>
    </w:p>
    <w:p w14:paraId="2D2470EE">
      <w:pPr>
        <w:autoSpaceDE/>
        <w:autoSpaceDN/>
        <w:spacing w:line="560" w:lineRule="exact"/>
        <w:ind w:firstLine="480" w:firstLineChars="200"/>
        <w:jc w:val="both"/>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6</w:t>
      </w:r>
      <w:r>
        <w:rPr>
          <w:rFonts w:hint="eastAsia" w:ascii="宋体" w:hAnsi="宋体" w:eastAsia="宋体" w:cs="宋体"/>
          <w:color w:val="auto"/>
          <w:sz w:val="24"/>
          <w:szCs w:val="24"/>
          <w:highlight w:val="none"/>
          <w:lang w:val="en-US"/>
        </w:rPr>
        <w:t>.本文件的解释权属于采购人、采购代理机构。</w:t>
      </w:r>
    </w:p>
    <w:p w14:paraId="3F7536AA">
      <w:pPr>
        <w:rPr>
          <w:rFonts w:ascii="宋体" w:hAnsi="宋体" w:eastAsia="宋体" w:cs="宋体"/>
          <w:b/>
          <w:bCs/>
          <w:color w:val="auto"/>
          <w:kern w:val="2"/>
          <w:sz w:val="24"/>
          <w:szCs w:val="24"/>
          <w:highlight w:val="none"/>
          <w:lang w:val="en-US" w:bidi="ar-SA"/>
        </w:rPr>
      </w:pPr>
      <w:r>
        <w:rPr>
          <w:rFonts w:hint="eastAsia" w:ascii="宋体" w:hAnsi="宋体" w:eastAsia="宋体" w:cs="宋体"/>
          <w:b/>
          <w:bCs/>
          <w:color w:val="auto"/>
          <w:kern w:val="2"/>
          <w:sz w:val="24"/>
          <w:szCs w:val="24"/>
          <w:highlight w:val="none"/>
          <w:lang w:val="en-US" w:bidi="ar-SA"/>
        </w:rPr>
        <w:br w:type="page"/>
      </w:r>
    </w:p>
    <w:bookmarkEnd w:id="456"/>
    <w:p w14:paraId="7FC123C9">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bookmarkStart w:id="457" w:name="_Toc7146"/>
      <w:bookmarkStart w:id="458" w:name="_Toc2995"/>
      <w:bookmarkStart w:id="459" w:name="_Toc22183"/>
      <w:bookmarkStart w:id="460" w:name="_Toc7134"/>
      <w:bookmarkStart w:id="461" w:name="_Toc3012"/>
      <w:bookmarkStart w:id="462" w:name="_Toc14988"/>
      <w:bookmarkStart w:id="463" w:name="_Toc28877"/>
      <w:bookmarkStart w:id="464" w:name="_Toc28224"/>
      <w:bookmarkStart w:id="465" w:name="_Toc27629"/>
      <w:bookmarkStart w:id="466" w:name="_Toc6850"/>
      <w:bookmarkStart w:id="467" w:name="_Toc24033"/>
      <w:r>
        <w:rPr>
          <w:rFonts w:hint="eastAsia" w:ascii="宋体" w:hAnsi="宋体" w:eastAsia="宋体" w:cs="宋体"/>
          <w:b/>
          <w:bCs/>
          <w:color w:val="auto"/>
          <w:kern w:val="2"/>
          <w:sz w:val="24"/>
          <w:szCs w:val="24"/>
          <w:highlight w:val="none"/>
          <w:lang w:val="en-US" w:eastAsia="zh-CN" w:bidi="ar-SA"/>
        </w:rPr>
        <w:t>一、项目背景</w:t>
      </w:r>
      <w:bookmarkEnd w:id="457"/>
      <w:bookmarkEnd w:id="458"/>
    </w:p>
    <w:p w14:paraId="223C0E3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当前，我国医疗保障事业已全面进入高质量发展新阶段，医保数据作为重要战略资源，在提升医保治理能力、优化服务水平、保障基金安全等方面的作用日益凸显。普洱市作为云南省面向东南亚辐射中心的前沿，近年来基本医疗保险覆盖面持续扩大，业务量显著增加。然而，在快速发展的同时，医保数据资源分散、系统性分析应用不足、基金监管手段相对单一、支付方式改革需进一步深化、医疗服务价格需动态优化等问题也逐渐显现，制约了医保精细化管理水平的提升。</w:t>
      </w:r>
    </w:p>
    <w:p w14:paraId="02D9D7B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根据《国家医疗保障局关于印发医保数据“两结合三赋能”工作方案的通知》《云南省医疗保障局关于印发医保数据“两结合三赋能”工作方案的通知》等文件精神，为深入贯彻落实国家及云南省关于医疗保障信息化、标准化建设的系列部署，</w:t>
      </w:r>
      <w:bookmarkStart w:id="468" w:name="_Toc23814"/>
      <w:bookmarkStart w:id="469" w:name="_Toc16972"/>
      <w:bookmarkStart w:id="470" w:name="_Toc21522"/>
      <w:r>
        <w:rPr>
          <w:rFonts w:hint="eastAsia" w:ascii="宋体" w:hAnsi="宋体" w:eastAsia="宋体" w:cs="宋体"/>
          <w:b w:val="0"/>
          <w:bCs w:val="0"/>
          <w:color w:val="auto"/>
          <w:kern w:val="2"/>
          <w:sz w:val="24"/>
          <w:szCs w:val="24"/>
          <w:highlight w:val="none"/>
          <w:lang w:val="en-US" w:eastAsia="zh-CN" w:bidi="ar-SA"/>
        </w:rPr>
        <w:t>结合国家智能监管改革试点工作，依托云南省医疗保障局数据专区，通过购买第三方服务，开展数据应用服务，通过数据分析，强化医保基金监管和基金运行监测，推动医疗保障事业高质量发展。</w:t>
      </w:r>
    </w:p>
    <w:p w14:paraId="5D3CC53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二、建设意义</w:t>
      </w:r>
      <w:bookmarkEnd w:id="468"/>
      <w:bookmarkEnd w:id="469"/>
      <w:bookmarkEnd w:id="470"/>
    </w:p>
    <w:p w14:paraId="6D636D6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普洱医保数据专区的建设，是推动本市医疗保障事业从“被动响应”向“主动治理”深刻转型的关键举措。其核心意义在于，通过汇聚与深度挖掘医保数据价值，为“一人一档”精准扩面、医疗服务价格动态调整、复合支付方式改革、基金智能监管等核心业务提供强大的数据引擎。实现向“数据驱动”的科学决策与精细治理跨越，为普洱市医保政策的制定、评估与优化提供坚实的数据支撑，全面提升医保治理体系和治理能力的现代化水平。</w:t>
      </w:r>
    </w:p>
    <w:p w14:paraId="3B83F3B8">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bookmarkStart w:id="471" w:name="_Toc27857"/>
      <w:bookmarkStart w:id="472" w:name="_Toc12236"/>
      <w:bookmarkStart w:id="473" w:name="_Toc23813"/>
      <w:r>
        <w:rPr>
          <w:rFonts w:hint="eastAsia" w:ascii="宋体" w:hAnsi="宋体" w:eastAsia="宋体" w:cs="宋体"/>
          <w:b/>
          <w:bCs/>
          <w:color w:val="auto"/>
          <w:kern w:val="2"/>
          <w:sz w:val="24"/>
          <w:szCs w:val="24"/>
          <w:highlight w:val="none"/>
          <w:lang w:val="en-US" w:eastAsia="zh-CN" w:bidi="ar-SA"/>
        </w:rPr>
        <w:t>三、现状分析</w:t>
      </w:r>
      <w:bookmarkEnd w:id="471"/>
      <w:bookmarkEnd w:id="472"/>
      <w:bookmarkEnd w:id="473"/>
    </w:p>
    <w:p w14:paraId="7FD03D5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当前，普洱市在利用医保数据支撑精细化管理和科学决策方面存在明显短板，难以满足高质量发展的迫切需求，主要问题体现在以下三个方面：</w:t>
      </w:r>
    </w:p>
    <w:p w14:paraId="40866A3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是数据应用深度不足，个性化服务能力弱。尽管省级平台提供了专区的基础数据库，但是本地无技术力量，无法对数据进行有效运用。同时通过现有的人工分析数据难以对数据进行深度挖掘与建模，导致在参保扩面、支付改革等关键领域，无法为本地化政策制定与效果评估提供精准的数据依据。</w:t>
      </w:r>
    </w:p>
    <w:p w14:paraId="3B57055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是动态监测与预警机制缺失，监管效能待提升。目前对基金运行、医疗服务行为和医药价格的监测多依赖于事后的人工统计与报表，缺乏实时、可视化的动态监控平台。无法对异常诊疗、疑似欺诈骗保行为进行有效的事前预警和事中干预，基金监管存在滞后性，难以适应日益复杂的监管形势。</w:t>
      </w:r>
    </w:p>
    <w:p w14:paraId="177D029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是分析维度单一，决策支持前瞻性不足。现有分析多局限于原始业务基础数据展现、简单维护的汇总统计，未能将医保数据与病种、跨区域流动等深层因素进行关联融合。这种单一维度的分析，导致无法精准预测基金运行风险，也难以对支付方式改革、医疗服务价格调整等重大政策进行前瞻性的仿真与效果预判，制约了管理决策的科学性。</w:t>
      </w:r>
      <w:bookmarkStart w:id="474" w:name="_Toc356"/>
    </w:p>
    <w:p w14:paraId="177EE8B3">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bookmarkStart w:id="475" w:name="_Toc12655"/>
      <w:bookmarkStart w:id="476" w:name="_Toc31020"/>
      <w:r>
        <w:rPr>
          <w:rFonts w:hint="eastAsia" w:ascii="宋体" w:hAnsi="宋体" w:eastAsia="宋体" w:cs="宋体"/>
          <w:b/>
          <w:bCs/>
          <w:color w:val="auto"/>
          <w:kern w:val="2"/>
          <w:sz w:val="24"/>
          <w:szCs w:val="24"/>
          <w:highlight w:val="none"/>
          <w:lang w:val="en-US" w:eastAsia="zh-CN" w:bidi="ar-SA"/>
        </w:rPr>
        <w:t>四、</w:t>
      </w:r>
      <w:bookmarkEnd w:id="474"/>
      <w:r>
        <w:rPr>
          <w:rFonts w:hint="eastAsia" w:ascii="宋体" w:hAnsi="宋体" w:eastAsia="宋体" w:cs="宋体"/>
          <w:b/>
          <w:bCs/>
          <w:color w:val="auto"/>
          <w:kern w:val="2"/>
          <w:sz w:val="24"/>
          <w:szCs w:val="24"/>
          <w:highlight w:val="none"/>
          <w:lang w:val="en-US" w:eastAsia="zh-CN" w:bidi="ar-SA"/>
        </w:rPr>
        <w:t>建设内容</w:t>
      </w:r>
      <w:bookmarkEnd w:id="475"/>
      <w:bookmarkEnd w:id="476"/>
    </w:p>
    <w:p w14:paraId="79E2BAF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w:t>
      </w:r>
      <w:bookmarkEnd w:id="459"/>
      <w:r>
        <w:rPr>
          <w:rFonts w:hint="eastAsia" w:ascii="宋体" w:hAnsi="宋体" w:eastAsia="宋体" w:cs="宋体"/>
          <w:b w:val="0"/>
          <w:bCs w:val="0"/>
          <w:color w:val="auto"/>
          <w:kern w:val="2"/>
          <w:sz w:val="24"/>
          <w:szCs w:val="24"/>
          <w:highlight w:val="none"/>
          <w:lang w:val="en-US" w:eastAsia="zh-CN" w:bidi="ar-SA"/>
        </w:rPr>
        <w:t>全民参保扩面数据分析运用</w:t>
      </w:r>
      <w:bookmarkEnd w:id="460"/>
      <w:bookmarkEnd w:id="461"/>
    </w:p>
    <w:p w14:paraId="0550B86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为破解普洱市因民族众多、山区广布、人口流动等因素导致的参保资源分布不清、重点对象识别不准等难题，本项目拟构建“全民参保扩面精准管理”数据分析应用模块。该模块旨在依托“一人一档”数据基础，深度融合民政、乡村振兴、卫健等外部数据，实现对全市参保状况的精准画像与动态监测</w:t>
      </w:r>
      <w:r>
        <w:rPr>
          <w:rFonts w:hint="eastAsia" w:ascii="宋体" w:hAnsi="宋体" w:eastAsia="宋体" w:cs="宋体"/>
          <w:color w:val="auto"/>
          <w:kern w:val="2"/>
          <w:sz w:val="24"/>
          <w:szCs w:val="24"/>
          <w:highlight w:val="none"/>
          <w:lang w:val="en-US" w:eastAsia="zh-CN" w:bidi="ar-SA"/>
        </w:rPr>
        <w:t>，为基金预算提供更精准的数据分析</w:t>
      </w:r>
      <w:r>
        <w:rPr>
          <w:rFonts w:hint="eastAsia" w:ascii="宋体" w:hAnsi="宋体" w:eastAsia="宋体" w:cs="宋体"/>
          <w:color w:val="auto"/>
          <w:kern w:val="2"/>
          <w:sz w:val="24"/>
          <w:szCs w:val="24"/>
          <w:highlight w:val="none"/>
          <w:lang w:val="en-US" w:bidi="ar-SA"/>
        </w:rPr>
        <w:t>。</w:t>
      </w:r>
    </w:p>
    <w:p w14:paraId="7AE3C91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bidi="ar-SA"/>
        </w:rPr>
        <w:t>多源数据融合与精准比对。</w:t>
      </w:r>
      <w:r>
        <w:rPr>
          <w:rFonts w:hint="eastAsia" w:ascii="宋体" w:hAnsi="宋体" w:eastAsia="宋体" w:cs="宋体"/>
          <w:color w:val="auto"/>
          <w:kern w:val="2"/>
          <w:sz w:val="24"/>
          <w:szCs w:val="24"/>
          <w:highlight w:val="none"/>
          <w:lang w:val="en-US" w:eastAsia="zh-CN" w:bidi="ar-SA"/>
        </w:rPr>
        <w:t>支持对外</w:t>
      </w:r>
      <w:r>
        <w:rPr>
          <w:rFonts w:hint="eastAsia" w:ascii="宋体" w:hAnsi="宋体" w:eastAsia="宋体" w:cs="宋体"/>
          <w:color w:val="auto"/>
          <w:kern w:val="2"/>
          <w:sz w:val="24"/>
          <w:szCs w:val="24"/>
          <w:highlight w:val="none"/>
          <w:lang w:val="en-US" w:bidi="ar-SA"/>
        </w:rPr>
        <w:t>部门数据</w:t>
      </w:r>
      <w:r>
        <w:rPr>
          <w:rFonts w:hint="eastAsia" w:ascii="宋体" w:hAnsi="宋体" w:eastAsia="宋体" w:cs="宋体"/>
          <w:color w:val="auto"/>
          <w:kern w:val="2"/>
          <w:sz w:val="24"/>
          <w:szCs w:val="24"/>
          <w:highlight w:val="none"/>
          <w:lang w:val="en-US" w:eastAsia="zh-CN" w:bidi="ar-SA"/>
        </w:rPr>
        <w:t>进行导入</w:t>
      </w:r>
      <w:r>
        <w:rPr>
          <w:rFonts w:hint="eastAsia" w:ascii="宋体" w:hAnsi="宋体" w:eastAsia="宋体" w:cs="宋体"/>
          <w:color w:val="auto"/>
          <w:kern w:val="2"/>
          <w:sz w:val="24"/>
          <w:szCs w:val="24"/>
          <w:highlight w:val="none"/>
          <w:lang w:val="en-US" w:bidi="ar-SA"/>
        </w:rPr>
        <w:t>与清洗比对机制，将户籍人口、学籍信息、低收入人口、新生儿、流动人口等与现有参保库进行</w:t>
      </w:r>
      <w:r>
        <w:rPr>
          <w:rFonts w:hint="eastAsia" w:ascii="宋体" w:hAnsi="宋体" w:eastAsia="宋体" w:cs="宋体"/>
          <w:color w:val="auto"/>
          <w:kern w:val="2"/>
          <w:sz w:val="24"/>
          <w:szCs w:val="24"/>
          <w:highlight w:val="none"/>
          <w:lang w:val="en-US" w:eastAsia="zh-CN" w:bidi="ar-SA"/>
        </w:rPr>
        <w:t>数据</w:t>
      </w:r>
      <w:r>
        <w:rPr>
          <w:rFonts w:hint="eastAsia" w:ascii="宋体" w:hAnsi="宋体" w:eastAsia="宋体" w:cs="宋体"/>
          <w:color w:val="auto"/>
          <w:kern w:val="2"/>
          <w:sz w:val="24"/>
          <w:szCs w:val="24"/>
          <w:highlight w:val="none"/>
          <w:lang w:val="en-US" w:bidi="ar-SA"/>
        </w:rPr>
        <w:t>比对，动态生成“未参保人员清单”、“断保续保人员清单”及“流动人员参保监测清单”，精准锁定扩面目标群体</w:t>
      </w:r>
      <w:r>
        <w:rPr>
          <w:rFonts w:hint="eastAsia" w:ascii="宋体" w:hAnsi="宋体" w:eastAsia="宋体" w:cs="宋体"/>
          <w:color w:val="auto"/>
          <w:kern w:val="2"/>
          <w:sz w:val="24"/>
          <w:szCs w:val="24"/>
          <w:highlight w:val="none"/>
          <w:lang w:val="en-US" w:eastAsia="zh-CN" w:bidi="ar-SA"/>
        </w:rPr>
        <w:t>。</w:t>
      </w:r>
    </w:p>
    <w:p w14:paraId="3E6BA23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bidi="ar-SA"/>
        </w:rPr>
        <w:t>参保态势分析与统计。提供全面的参保缴费业务分析</w:t>
      </w:r>
      <w:r>
        <w:rPr>
          <w:rFonts w:hint="eastAsia" w:ascii="宋体" w:hAnsi="宋体" w:eastAsia="宋体" w:cs="宋体"/>
          <w:color w:val="auto"/>
          <w:kern w:val="2"/>
          <w:sz w:val="24"/>
          <w:szCs w:val="24"/>
          <w:highlight w:val="none"/>
          <w:lang w:val="en-US" w:eastAsia="zh-CN" w:bidi="ar-SA"/>
        </w:rPr>
        <w:t>与统计</w:t>
      </w:r>
      <w:r>
        <w:rPr>
          <w:rFonts w:hint="eastAsia" w:ascii="宋体" w:hAnsi="宋体" w:eastAsia="宋体" w:cs="宋体"/>
          <w:color w:val="auto"/>
          <w:kern w:val="2"/>
          <w:sz w:val="24"/>
          <w:szCs w:val="24"/>
          <w:highlight w:val="none"/>
          <w:lang w:val="en-US" w:bidi="ar-SA"/>
        </w:rPr>
        <w:t>功能，包括：参保信息多维</w:t>
      </w:r>
      <w:r>
        <w:rPr>
          <w:rFonts w:hint="eastAsia" w:ascii="宋体" w:hAnsi="宋体" w:eastAsia="宋体" w:cs="宋体"/>
          <w:color w:val="auto"/>
          <w:kern w:val="2"/>
          <w:sz w:val="24"/>
          <w:szCs w:val="24"/>
          <w:highlight w:val="none"/>
          <w:lang w:val="en-US" w:eastAsia="zh-CN" w:bidi="ar-SA"/>
        </w:rPr>
        <w:t>统计</w:t>
      </w:r>
      <w:r>
        <w:rPr>
          <w:rFonts w:hint="eastAsia" w:ascii="宋体" w:hAnsi="宋体" w:eastAsia="宋体" w:cs="宋体"/>
          <w:color w:val="auto"/>
          <w:kern w:val="2"/>
          <w:sz w:val="24"/>
          <w:szCs w:val="24"/>
          <w:highlight w:val="none"/>
          <w:lang w:val="en-US" w:bidi="ar-SA"/>
        </w:rPr>
        <w:t>分析</w:t>
      </w:r>
      <w:r>
        <w:rPr>
          <w:rFonts w:hint="eastAsia" w:ascii="宋体" w:hAnsi="宋体" w:eastAsia="宋体" w:cs="宋体"/>
          <w:color w:val="auto"/>
          <w:kern w:val="2"/>
          <w:sz w:val="24"/>
          <w:szCs w:val="24"/>
          <w:highlight w:val="none"/>
          <w:lang w:val="en-US" w:eastAsia="zh-CN" w:bidi="ar-SA"/>
        </w:rPr>
        <w:t>到各个县（区）</w:t>
      </w:r>
      <w:r>
        <w:rPr>
          <w:rFonts w:hint="eastAsia" w:ascii="宋体" w:hAnsi="宋体" w:eastAsia="宋体" w:cs="宋体"/>
          <w:color w:val="auto"/>
          <w:kern w:val="2"/>
          <w:sz w:val="24"/>
          <w:szCs w:val="24"/>
          <w:highlight w:val="none"/>
          <w:lang w:val="en-US" w:bidi="ar-SA"/>
        </w:rPr>
        <w:t>（按区域、民族、年龄、人员类型等</w:t>
      </w:r>
      <w:r>
        <w:rPr>
          <w:rFonts w:hint="eastAsia" w:ascii="宋体" w:hAnsi="宋体" w:eastAsia="宋体" w:cs="宋体"/>
          <w:color w:val="auto"/>
          <w:kern w:val="2"/>
          <w:sz w:val="24"/>
          <w:szCs w:val="24"/>
          <w:highlight w:val="none"/>
          <w:lang w:val="en-US" w:eastAsia="zh-CN" w:bidi="ar-SA"/>
        </w:rPr>
        <w:t>多</w:t>
      </w:r>
      <w:r>
        <w:rPr>
          <w:rFonts w:hint="eastAsia" w:ascii="宋体" w:hAnsi="宋体" w:eastAsia="宋体" w:cs="宋体"/>
          <w:color w:val="auto"/>
          <w:kern w:val="2"/>
          <w:sz w:val="24"/>
          <w:szCs w:val="24"/>
          <w:highlight w:val="none"/>
          <w:lang w:val="en-US" w:bidi="ar-SA"/>
        </w:rPr>
        <w:t>维度穿透</w:t>
      </w:r>
      <w:r>
        <w:rPr>
          <w:rFonts w:hint="eastAsia" w:ascii="宋体" w:hAnsi="宋体" w:eastAsia="宋体" w:cs="宋体"/>
          <w:color w:val="auto"/>
          <w:kern w:val="2"/>
          <w:sz w:val="24"/>
          <w:szCs w:val="24"/>
          <w:highlight w:val="none"/>
          <w:lang w:val="en-US" w:eastAsia="zh-CN" w:bidi="ar-SA"/>
        </w:rPr>
        <w:t>统计分析</w:t>
      </w:r>
      <w:r>
        <w:rPr>
          <w:rFonts w:hint="eastAsia" w:ascii="宋体" w:hAnsi="宋体" w:eastAsia="宋体" w:cs="宋体"/>
          <w:color w:val="auto"/>
          <w:kern w:val="2"/>
          <w:sz w:val="24"/>
          <w:szCs w:val="24"/>
          <w:highlight w:val="none"/>
          <w:lang w:val="en-US" w:bidi="ar-SA"/>
        </w:rPr>
        <w:t>）、缴费情况监测分析、人员欠费与断保风险预警分析等。通过可视化图表，直观展示各县（区）参保覆盖率、参保结构变化趋势及扩面工作进展。</w:t>
      </w:r>
    </w:p>
    <w:p w14:paraId="43EA512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bookmarkStart w:id="477" w:name="_Toc25917"/>
      <w:bookmarkStart w:id="478" w:name="_Toc15029"/>
      <w:r>
        <w:rPr>
          <w:rFonts w:hint="eastAsia" w:ascii="宋体" w:hAnsi="宋体" w:eastAsia="宋体" w:cs="宋体"/>
          <w:b w:val="0"/>
          <w:bCs w:val="0"/>
          <w:color w:val="auto"/>
          <w:kern w:val="2"/>
          <w:sz w:val="24"/>
          <w:szCs w:val="24"/>
          <w:highlight w:val="none"/>
          <w:lang w:val="en-US" w:eastAsia="zh-CN" w:bidi="ar-SA"/>
        </w:rPr>
        <w:t>（二）医疗服务项目价格管理</w:t>
      </w:r>
      <w:bookmarkEnd w:id="477"/>
      <w:bookmarkEnd w:id="478"/>
    </w:p>
    <w:p w14:paraId="1E448C8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应对普洱市医疗服务价格管理中长期存在的定价调整依赖经验判断、缺乏本地化数据支撑、难以精准评估价格政策对基金和患者负担影响等挑战，通过构建数据分析应用模块。该模块旨在充分利用医保数据专区资源，为普洱市建立一套科学、精准、动态的医疗服务价格形成与监测机制，推动价格管理从“静态审批”向“动态调控”转变。</w:t>
      </w:r>
    </w:p>
    <w:p w14:paraId="1DEE61B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建立本地化医疗服务价格数据库与成本监测体系。系统将全面汇聚和管理普洱市各级定点医疗机构的医疗服务项目价格版本、调价历史及关联政策文件，形成标准化的本地价格目录库。同时，通过分析医疗机构资源消耗等基础数据，初步建立医疗服务项目成本核算框架，为衡量价格与成本的偏离度、识别价格调整的合理区间提供关键依据。</w:t>
      </w:r>
    </w:p>
    <w:p w14:paraId="58D2870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构建数据驱动的价格调整模拟测算与决策支持模型。针对“通用型”和“复杂型”项目，系统提供差异化的调价与模拟测算功能。通过设定与普洱经济发展水平（如GDP增速、居民收入等）挂钩的调价指标，系统能测算调价基准，并模拟推演价格调整对医保基金支出（分职工、居民）、医疗机构收入结构以及患者就医负担的综合性影响。为价格调整方案的遴选与优化提供了量化决策工具，确保调价方案的科学性与可控性。</w:t>
      </w:r>
    </w:p>
    <w:p w14:paraId="7C3B208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强化医疗价格服务政策执行的全过程动态监测与效果评估。在调价方案落地后，系统将对调价项目的执行情况进行持续追踪与多维监测。实时监测关键指标如调价项目基金消耗情况、医疗机构医疗服务收入变化、患者次均费用波动等，并与模拟测算结果进行对比分析。及时评估价格政策的实际成效，快速发现执行中的异常情况，为动态优化价格政策和加强事中事后监管提供即时数据反馈。</w:t>
      </w:r>
    </w:p>
    <w:p w14:paraId="053FA92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bookmarkStart w:id="479" w:name="_Toc4263"/>
      <w:bookmarkStart w:id="480" w:name="_Toc28686"/>
      <w:r>
        <w:rPr>
          <w:rFonts w:hint="eastAsia" w:ascii="宋体" w:hAnsi="宋体" w:eastAsia="宋体" w:cs="宋体"/>
          <w:b w:val="0"/>
          <w:bCs w:val="0"/>
          <w:color w:val="auto"/>
          <w:kern w:val="2"/>
          <w:sz w:val="24"/>
          <w:szCs w:val="24"/>
          <w:highlight w:val="none"/>
          <w:lang w:val="en-US" w:eastAsia="zh-CN" w:bidi="ar-SA"/>
        </w:rPr>
        <w:t>（三）复合支付方式改革服务</w:t>
      </w:r>
      <w:bookmarkEnd w:id="479"/>
      <w:bookmarkEnd w:id="480"/>
    </w:p>
    <w:p w14:paraId="1A417D1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bidi="ar-SA"/>
        </w:rPr>
        <w:t>为深入推进普洱市医保支付方式改革，</w:t>
      </w:r>
      <w:r>
        <w:rPr>
          <w:rFonts w:hint="eastAsia" w:ascii="宋体" w:hAnsi="宋体" w:eastAsia="宋体" w:cs="宋体"/>
          <w:color w:val="auto"/>
          <w:kern w:val="2"/>
          <w:sz w:val="24"/>
          <w:szCs w:val="24"/>
          <w:highlight w:val="none"/>
          <w:lang w:val="en-US" w:eastAsia="zh-CN" w:bidi="ar-SA"/>
        </w:rPr>
        <w:t>适应</w:t>
      </w:r>
      <w:r>
        <w:rPr>
          <w:rFonts w:hint="eastAsia" w:ascii="宋体" w:hAnsi="宋体" w:eastAsia="宋体" w:cs="宋体"/>
          <w:color w:val="auto"/>
          <w:kern w:val="2"/>
          <w:sz w:val="24"/>
          <w:szCs w:val="24"/>
          <w:highlight w:val="none"/>
          <w:lang w:val="en-US" w:bidi="ar-SA"/>
        </w:rPr>
        <w:t>紧密型医共体建设、</w:t>
      </w:r>
      <w:r>
        <w:rPr>
          <w:rFonts w:hint="eastAsia" w:ascii="宋体" w:hAnsi="宋体" w:eastAsia="宋体" w:cs="宋体"/>
          <w:color w:val="auto"/>
          <w:kern w:val="2"/>
          <w:sz w:val="24"/>
          <w:szCs w:val="24"/>
          <w:highlight w:val="none"/>
          <w:lang w:val="en-US" w:eastAsia="zh-CN" w:bidi="ar-SA"/>
        </w:rPr>
        <w:t>总额控制下复合型支付方式</w:t>
      </w:r>
      <w:r>
        <w:rPr>
          <w:rFonts w:hint="eastAsia" w:ascii="宋体" w:hAnsi="宋体" w:eastAsia="宋体" w:cs="宋体"/>
          <w:color w:val="auto"/>
          <w:kern w:val="2"/>
          <w:sz w:val="24"/>
          <w:szCs w:val="24"/>
          <w:highlight w:val="none"/>
          <w:lang w:val="en-US" w:bidi="ar-SA"/>
        </w:rPr>
        <w:t>并行所带来的复杂性挑战，拟构建“复合支付方式改革”数据分析应用模块。该模块旨在通过数据驱动，为支付方式的科学测算、模拟</w:t>
      </w:r>
      <w:r>
        <w:rPr>
          <w:rFonts w:hint="eastAsia" w:ascii="宋体" w:hAnsi="宋体" w:eastAsia="宋体" w:cs="宋体"/>
          <w:color w:val="auto"/>
          <w:kern w:val="2"/>
          <w:sz w:val="24"/>
          <w:szCs w:val="24"/>
          <w:highlight w:val="none"/>
          <w:lang w:val="en-US" w:eastAsia="zh-CN" w:bidi="ar-SA"/>
        </w:rPr>
        <w:t>运行</w:t>
      </w:r>
      <w:r>
        <w:rPr>
          <w:rFonts w:hint="eastAsia" w:ascii="宋体" w:hAnsi="宋体" w:eastAsia="宋体" w:cs="宋体"/>
          <w:color w:val="auto"/>
          <w:kern w:val="2"/>
          <w:sz w:val="24"/>
          <w:szCs w:val="24"/>
          <w:highlight w:val="none"/>
          <w:lang w:val="en-US" w:bidi="ar-SA"/>
        </w:rPr>
        <w:t>、效果监测</w:t>
      </w:r>
      <w:r>
        <w:rPr>
          <w:rFonts w:hint="eastAsia" w:ascii="宋体" w:hAnsi="宋体" w:eastAsia="宋体" w:cs="宋体"/>
          <w:color w:val="auto"/>
          <w:kern w:val="2"/>
          <w:sz w:val="24"/>
          <w:szCs w:val="24"/>
          <w:highlight w:val="none"/>
          <w:lang w:val="en-US" w:eastAsia="zh-CN" w:bidi="ar-SA"/>
        </w:rPr>
        <w:t>、评价分析</w:t>
      </w:r>
      <w:r>
        <w:rPr>
          <w:rFonts w:hint="eastAsia" w:ascii="宋体" w:hAnsi="宋体" w:eastAsia="宋体" w:cs="宋体"/>
          <w:color w:val="auto"/>
          <w:kern w:val="2"/>
          <w:sz w:val="24"/>
          <w:szCs w:val="24"/>
          <w:highlight w:val="none"/>
          <w:lang w:val="en-US" w:bidi="ar-SA"/>
        </w:rPr>
        <w:t>提供全链条</w:t>
      </w:r>
      <w:r>
        <w:rPr>
          <w:rFonts w:hint="eastAsia" w:ascii="宋体" w:hAnsi="宋体" w:eastAsia="宋体" w:cs="宋体"/>
          <w:color w:val="auto"/>
          <w:kern w:val="2"/>
          <w:sz w:val="24"/>
          <w:szCs w:val="24"/>
          <w:highlight w:val="none"/>
          <w:lang w:val="en-US" w:eastAsia="zh-CN" w:bidi="ar-SA"/>
        </w:rPr>
        <w:t>数据</w:t>
      </w:r>
      <w:r>
        <w:rPr>
          <w:rFonts w:hint="eastAsia" w:ascii="宋体" w:hAnsi="宋体" w:eastAsia="宋体" w:cs="宋体"/>
          <w:color w:val="auto"/>
          <w:kern w:val="2"/>
          <w:sz w:val="24"/>
          <w:szCs w:val="24"/>
          <w:highlight w:val="none"/>
          <w:lang w:val="en-US" w:bidi="ar-SA"/>
        </w:rPr>
        <w:t>支撑，助力普洱市建立管用高效的医保支付机制。</w:t>
      </w:r>
    </w:p>
    <w:p w14:paraId="10B6FE3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bidi="ar-SA"/>
        </w:rPr>
        <w:t>构建多元付费模式的科学测算。系统将基于普洱市历史诊疗与结算数据，</w:t>
      </w:r>
      <w:r>
        <w:rPr>
          <w:rFonts w:hint="eastAsia" w:ascii="宋体" w:hAnsi="宋体" w:eastAsia="宋体" w:cs="宋体"/>
          <w:color w:val="auto"/>
          <w:kern w:val="2"/>
          <w:sz w:val="24"/>
          <w:szCs w:val="24"/>
          <w:highlight w:val="none"/>
          <w:lang w:val="en-US" w:eastAsia="zh-CN" w:bidi="ar-SA"/>
        </w:rPr>
        <w:t>根据即将执行的政策要求和政策导向，</w:t>
      </w:r>
      <w:r>
        <w:rPr>
          <w:rFonts w:hint="eastAsia" w:ascii="宋体" w:hAnsi="宋体" w:eastAsia="宋体" w:cs="宋体"/>
          <w:color w:val="auto"/>
          <w:kern w:val="2"/>
          <w:sz w:val="24"/>
          <w:szCs w:val="24"/>
          <w:highlight w:val="none"/>
          <w:lang w:val="en-US" w:bidi="ar-SA"/>
        </w:rPr>
        <w:t>建立</w:t>
      </w:r>
      <w:r>
        <w:rPr>
          <w:rFonts w:hint="eastAsia" w:ascii="宋体" w:hAnsi="宋体" w:eastAsia="宋体" w:cs="宋体"/>
          <w:color w:val="auto"/>
          <w:kern w:val="2"/>
          <w:sz w:val="24"/>
          <w:szCs w:val="24"/>
          <w:highlight w:val="none"/>
          <w:lang w:val="en-US" w:eastAsia="zh-CN" w:bidi="ar-SA"/>
        </w:rPr>
        <w:t>费用</w:t>
      </w:r>
      <w:r>
        <w:rPr>
          <w:rFonts w:hint="eastAsia" w:ascii="宋体" w:hAnsi="宋体" w:eastAsia="宋体" w:cs="宋体"/>
          <w:color w:val="auto"/>
          <w:kern w:val="2"/>
          <w:sz w:val="24"/>
          <w:szCs w:val="24"/>
          <w:highlight w:val="none"/>
          <w:lang w:val="en-US" w:bidi="ar-SA"/>
        </w:rPr>
        <w:t>测算模型。支持对紧密型医共体医保基金打包付费的年度总额预算进行科学核定，并综合考虑按病种付费等其它支付方式的额度分配。系统提供</w:t>
      </w:r>
      <w:r>
        <w:rPr>
          <w:rFonts w:hint="eastAsia" w:ascii="宋体" w:hAnsi="宋体" w:eastAsia="宋体" w:cs="宋体"/>
          <w:color w:val="auto"/>
          <w:kern w:val="2"/>
          <w:sz w:val="24"/>
          <w:szCs w:val="24"/>
          <w:highlight w:val="none"/>
          <w:lang w:val="en-US" w:eastAsia="zh-CN" w:bidi="ar-SA"/>
        </w:rPr>
        <w:t>费用分析、指标测算、</w:t>
      </w:r>
      <w:r>
        <w:rPr>
          <w:rFonts w:hint="eastAsia" w:ascii="宋体" w:hAnsi="宋体" w:eastAsia="宋体" w:cs="宋体"/>
          <w:color w:val="auto"/>
          <w:kern w:val="2"/>
          <w:sz w:val="24"/>
          <w:szCs w:val="24"/>
          <w:highlight w:val="none"/>
          <w:lang w:val="en-US" w:bidi="ar-SA"/>
        </w:rPr>
        <w:t>模拟结算</w:t>
      </w:r>
      <w:r>
        <w:rPr>
          <w:rFonts w:hint="eastAsia" w:ascii="宋体" w:hAnsi="宋体" w:eastAsia="宋体" w:cs="宋体"/>
          <w:color w:val="auto"/>
          <w:kern w:val="2"/>
          <w:sz w:val="24"/>
          <w:szCs w:val="24"/>
          <w:highlight w:val="none"/>
          <w:lang w:val="en-US" w:eastAsia="zh-CN" w:bidi="ar-SA"/>
        </w:rPr>
        <w:t>等功能</w:t>
      </w:r>
      <w:r>
        <w:rPr>
          <w:rFonts w:hint="eastAsia" w:ascii="宋体" w:hAnsi="宋体" w:eastAsia="宋体" w:cs="宋体"/>
          <w:color w:val="auto"/>
          <w:kern w:val="2"/>
          <w:sz w:val="24"/>
          <w:szCs w:val="24"/>
          <w:highlight w:val="none"/>
          <w:lang w:val="en-US" w:bidi="ar-SA"/>
        </w:rPr>
        <w:t>，在政策正式实施前，对测算结果进行仿真运行与验证，确保改革平稳落地。</w:t>
      </w:r>
    </w:p>
    <w:p w14:paraId="3C56AF6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bidi="ar-SA"/>
        </w:rPr>
        <w:t>医共体</w:t>
      </w:r>
      <w:r>
        <w:rPr>
          <w:rFonts w:hint="eastAsia" w:ascii="宋体" w:hAnsi="宋体" w:eastAsia="宋体" w:cs="宋体"/>
          <w:color w:val="auto"/>
          <w:kern w:val="2"/>
          <w:sz w:val="24"/>
          <w:szCs w:val="24"/>
          <w:highlight w:val="none"/>
          <w:lang w:val="en-US" w:eastAsia="zh-CN" w:bidi="ar-SA"/>
        </w:rPr>
        <w:t>打包付费</w:t>
      </w:r>
      <w:r>
        <w:rPr>
          <w:rFonts w:hint="eastAsia" w:ascii="宋体" w:hAnsi="宋体" w:eastAsia="宋体" w:cs="宋体"/>
          <w:color w:val="auto"/>
          <w:kern w:val="2"/>
          <w:sz w:val="24"/>
          <w:szCs w:val="24"/>
          <w:highlight w:val="none"/>
          <w:lang w:val="en-US" w:bidi="ar-SA"/>
        </w:rPr>
        <w:t>的综合监管与</w:t>
      </w:r>
      <w:r>
        <w:rPr>
          <w:rFonts w:hint="eastAsia" w:ascii="宋体" w:hAnsi="宋体" w:eastAsia="宋体" w:cs="宋体"/>
          <w:color w:val="auto"/>
          <w:kern w:val="2"/>
          <w:sz w:val="24"/>
          <w:szCs w:val="24"/>
          <w:highlight w:val="none"/>
          <w:lang w:val="en-US" w:eastAsia="zh-CN" w:bidi="ar-SA"/>
        </w:rPr>
        <w:t>数据</w:t>
      </w:r>
      <w:r>
        <w:rPr>
          <w:rFonts w:hint="eastAsia" w:ascii="宋体" w:hAnsi="宋体" w:eastAsia="宋体" w:cs="宋体"/>
          <w:color w:val="auto"/>
          <w:kern w:val="2"/>
          <w:sz w:val="24"/>
          <w:szCs w:val="24"/>
          <w:highlight w:val="none"/>
          <w:lang w:val="en-US" w:bidi="ar-SA"/>
        </w:rPr>
        <w:t>分析。针对普洱市推进的紧密型医共体建设，系统提供专门的医共体医保基金结算与</w:t>
      </w:r>
      <w:r>
        <w:rPr>
          <w:rFonts w:hint="eastAsia" w:ascii="宋体" w:hAnsi="宋体" w:eastAsia="宋体" w:cs="宋体"/>
          <w:color w:val="auto"/>
          <w:kern w:val="2"/>
          <w:sz w:val="24"/>
          <w:szCs w:val="24"/>
          <w:highlight w:val="none"/>
          <w:lang w:val="en-US" w:eastAsia="zh-CN" w:bidi="ar-SA"/>
        </w:rPr>
        <w:t>数据</w:t>
      </w:r>
      <w:r>
        <w:rPr>
          <w:rFonts w:hint="eastAsia" w:ascii="宋体" w:hAnsi="宋体" w:eastAsia="宋体" w:cs="宋体"/>
          <w:color w:val="auto"/>
          <w:kern w:val="2"/>
          <w:sz w:val="24"/>
          <w:szCs w:val="24"/>
          <w:highlight w:val="none"/>
          <w:lang w:val="en-US" w:bidi="ar-SA"/>
        </w:rPr>
        <w:t>监测功能。通过</w:t>
      </w:r>
      <w:r>
        <w:rPr>
          <w:rFonts w:hint="eastAsia" w:ascii="宋体" w:hAnsi="宋体" w:eastAsia="宋体" w:cs="宋体"/>
          <w:color w:val="auto"/>
          <w:kern w:val="2"/>
          <w:sz w:val="24"/>
          <w:szCs w:val="24"/>
          <w:highlight w:val="none"/>
          <w:lang w:val="en-US" w:eastAsia="zh-CN" w:bidi="ar-SA"/>
        </w:rPr>
        <w:t>对就医数据的动态流向分析</w:t>
      </w:r>
      <w:r>
        <w:rPr>
          <w:rFonts w:hint="eastAsia" w:ascii="宋体" w:hAnsi="宋体" w:eastAsia="宋体" w:cs="宋体"/>
          <w:color w:val="auto"/>
          <w:kern w:val="2"/>
          <w:sz w:val="24"/>
          <w:szCs w:val="24"/>
          <w:highlight w:val="none"/>
          <w:lang w:val="en-US" w:bidi="ar-SA"/>
        </w:rPr>
        <w:t>，</w:t>
      </w:r>
      <w:r>
        <w:rPr>
          <w:rFonts w:hint="eastAsia" w:ascii="宋体" w:hAnsi="宋体" w:eastAsia="宋体" w:cs="宋体"/>
          <w:color w:val="auto"/>
          <w:kern w:val="2"/>
          <w:sz w:val="24"/>
          <w:szCs w:val="24"/>
          <w:highlight w:val="none"/>
          <w:lang w:val="en-US" w:eastAsia="zh-CN" w:bidi="ar-SA"/>
        </w:rPr>
        <w:t>监测结果展现，</w:t>
      </w:r>
      <w:r>
        <w:rPr>
          <w:rFonts w:hint="eastAsia" w:ascii="宋体" w:hAnsi="宋体" w:eastAsia="宋体" w:cs="宋体"/>
          <w:color w:val="auto"/>
          <w:kern w:val="2"/>
          <w:sz w:val="24"/>
          <w:szCs w:val="24"/>
          <w:highlight w:val="none"/>
          <w:lang w:val="en-US" w:bidi="ar-SA"/>
        </w:rPr>
        <w:t>动态展示各医共体医保基金使用进度、患者县域内就诊率、基层诊疗量占比、医疗服务质量等关键指标</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bidi="ar-SA"/>
        </w:rPr>
        <w:t>提升医共体整体结算效率，辅助医保部门从宏观上掌握改革成效，识别医共体运行风险。</w:t>
      </w:r>
    </w:p>
    <w:p w14:paraId="2D1700F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bidi="ar-SA"/>
        </w:rPr>
        <w:t>建立支付方式改革效果的持续评估与优化机制。将对各项支付方式的运行情况进行常态化、多维度监测与分析。定期（按年、季</w:t>
      </w:r>
      <w:r>
        <w:rPr>
          <w:rFonts w:hint="eastAsia"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lang w:val="en-US" w:bidi="ar-SA"/>
        </w:rPr>
        <w:t>）生成</w:t>
      </w:r>
      <w:r>
        <w:rPr>
          <w:rFonts w:hint="eastAsia" w:ascii="宋体" w:hAnsi="宋体" w:eastAsia="宋体" w:cs="宋体"/>
          <w:color w:val="auto"/>
          <w:kern w:val="2"/>
          <w:sz w:val="24"/>
          <w:szCs w:val="24"/>
          <w:highlight w:val="none"/>
          <w:lang w:val="en-US" w:eastAsia="zh-CN" w:bidi="ar-SA"/>
        </w:rPr>
        <w:t>到具体县（区）的</w:t>
      </w:r>
      <w:r>
        <w:rPr>
          <w:rFonts w:hint="eastAsia" w:ascii="宋体" w:hAnsi="宋体" w:eastAsia="宋体" w:cs="宋体"/>
          <w:color w:val="auto"/>
          <w:kern w:val="2"/>
          <w:sz w:val="24"/>
          <w:szCs w:val="24"/>
          <w:highlight w:val="none"/>
          <w:lang w:val="en-US" w:bidi="ar-SA"/>
        </w:rPr>
        <w:t>支付方式改革运行</w:t>
      </w:r>
      <w:r>
        <w:rPr>
          <w:rFonts w:hint="eastAsia" w:ascii="宋体" w:hAnsi="宋体" w:eastAsia="宋体" w:cs="宋体"/>
          <w:color w:val="auto"/>
          <w:kern w:val="2"/>
          <w:sz w:val="24"/>
          <w:szCs w:val="24"/>
          <w:highlight w:val="none"/>
          <w:lang w:val="en-US" w:eastAsia="zh-CN" w:bidi="ar-SA"/>
        </w:rPr>
        <w:t>分析</w:t>
      </w:r>
      <w:r>
        <w:rPr>
          <w:rFonts w:hint="eastAsia" w:ascii="宋体" w:hAnsi="宋体" w:eastAsia="宋体" w:cs="宋体"/>
          <w:color w:val="auto"/>
          <w:kern w:val="2"/>
          <w:sz w:val="24"/>
          <w:szCs w:val="24"/>
          <w:highlight w:val="none"/>
          <w:lang w:val="en-US" w:bidi="ar-SA"/>
        </w:rPr>
        <w:t>报告，深度评估CMI值、费用消耗、时间消耗等指标的变化，分析打包付费对基金支出和医疗行为的影响。通过对比改革前后数据，精准量化改革在控制医疗费用不合理增长、引导合理就医秩序、提升基金使用效率等方面的成效，为动态调整付费政策、优化付费结构提供决策依据</w:t>
      </w:r>
      <w:r>
        <w:rPr>
          <w:rFonts w:hint="eastAsia" w:ascii="宋体" w:hAnsi="宋体" w:eastAsia="宋体" w:cs="宋体"/>
          <w:color w:val="auto"/>
          <w:kern w:val="2"/>
          <w:sz w:val="24"/>
          <w:szCs w:val="24"/>
          <w:highlight w:val="none"/>
          <w:lang w:val="en-US" w:eastAsia="zh-CN" w:bidi="ar-SA"/>
        </w:rPr>
        <w:t xml:space="preserve">。完成总额预算下复合型医保支付方式改革的数据统计分析、费率测算、结算、清算等工作， </w:t>
      </w:r>
      <w:r>
        <w:rPr>
          <w:rFonts w:hint="eastAsia" w:ascii="宋体" w:hAnsi="宋体" w:eastAsia="宋体" w:cs="宋体"/>
          <w:color w:val="auto"/>
          <w:kern w:val="2"/>
          <w:sz w:val="24"/>
          <w:szCs w:val="24"/>
          <w:highlight w:val="none"/>
          <w:lang w:val="en-US" w:bidi="ar-SA"/>
        </w:rPr>
        <w:t>并针对性地为医疗机构提供业务咨询与培训服务，共同推动普洱市医保支付方式改革行稳致远。</w:t>
      </w:r>
    </w:p>
    <w:p w14:paraId="58A3FAD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bookmarkStart w:id="481" w:name="_Toc22530"/>
      <w:bookmarkStart w:id="482" w:name="_Toc25009"/>
      <w:r>
        <w:rPr>
          <w:rFonts w:hint="eastAsia" w:ascii="宋体" w:hAnsi="宋体" w:eastAsia="宋体" w:cs="宋体"/>
          <w:b w:val="0"/>
          <w:bCs w:val="0"/>
          <w:color w:val="auto"/>
          <w:kern w:val="2"/>
          <w:sz w:val="24"/>
          <w:szCs w:val="24"/>
          <w:highlight w:val="none"/>
          <w:lang w:val="en-US" w:eastAsia="zh-CN" w:bidi="ar-SA"/>
        </w:rPr>
        <w:t>（四）基金监管大数据运用</w:t>
      </w:r>
      <w:bookmarkEnd w:id="481"/>
      <w:bookmarkEnd w:id="482"/>
    </w:p>
    <w:p w14:paraId="5E7D2D6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应对普洱市医保基金监管面临的欺诈手段隐蔽化、监管对象众多、传统稽查效率不足等问题，拟构建医保基金监管大数据运用。该模块旨在利用大数据、医学知识库、审核规则模型等技术，构建一个相适应的“线上+线下”一体化智能监管体系，实现对基金使用全流程、动态监控与精准打击，全力守护好人民群众的“救命钱”。</w:t>
      </w:r>
    </w:p>
    <w:p w14:paraId="1CDCC61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构建融合本地特色的智能监管规则库与知识库。系统将整合国家及省级下发的监管规则和负面清单，并紧密结合普洱市本地的诊疗习惯、常见病种以及紧密型医共体运行特点，开发定制化的本地监管规则。重点针对分解住院、重复收费、超标准收费、串换等常见违规行为，进行跟踪识别。规则库支持动态更新，并能根据基金专项审计中发现的新问题快速更新规则库。</w:t>
      </w:r>
    </w:p>
    <w:p w14:paraId="3A8C299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开展全维度的动态监测与风险预警。基于本地构建的规则库，系统对全市定点医药机构的结算数据、诊疗行为进行实时扫描和动态监测。针对国家和省级下发的疑点线索，及时跟踪监测，范围覆盖定点医院、定点药店、参保人等多个主体，帮助监管人员快速定位违规机构、医师和参保人，提升线索发现的效率和精准度。</w:t>
      </w:r>
    </w:p>
    <w:p w14:paraId="3369F33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强化对重点领域与专项行为的分析能力。系统支持根据年度监管工作重点，对特定领域开展专项大数据分析。例如，针对异常就医、慢特病用药管理、高值医用耗材使用等重点领域，或对某一时期内费用增长过快的医疗机构，进行深度数据挖掘和关联分析，生成精准的疑点线索清单。</w:t>
      </w:r>
    </w:p>
    <w:p w14:paraId="40C861A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监督检查与现场稽查数据支持。系统将直接服务于交叉检查、专项检查工作全流程。在检查前，可基于历史数据和智能规则，精准筛选高风险机构作为备查对象，并生成该机构的“风险画像”和问题线索清单，使检查组能够带着问题进场，实现精准打击。在检查中，系统可为现场核查提供实时数据查询和关联分析支持，快速核实疑点。在检查后，系统将检查结果反馈至知识库，用于优化监管模型，形成“数据发现-监督检查-反馈优化”的监管闭环。</w:t>
      </w:r>
    </w:p>
    <w:p w14:paraId="711E5FE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bookmarkStart w:id="483" w:name="_Toc17504"/>
      <w:bookmarkStart w:id="484" w:name="_Toc3934"/>
      <w:r>
        <w:rPr>
          <w:rFonts w:hint="eastAsia" w:ascii="宋体" w:hAnsi="宋体" w:eastAsia="宋体" w:cs="宋体"/>
          <w:b w:val="0"/>
          <w:bCs w:val="0"/>
          <w:color w:val="auto"/>
          <w:kern w:val="2"/>
          <w:sz w:val="24"/>
          <w:szCs w:val="24"/>
          <w:highlight w:val="none"/>
          <w:lang w:val="en-US" w:eastAsia="zh-CN" w:bidi="ar-SA"/>
        </w:rPr>
        <w:t>（五）基金运行数据统计分析</w:t>
      </w:r>
      <w:bookmarkEnd w:id="483"/>
      <w:bookmarkEnd w:id="484"/>
    </w:p>
    <w:p w14:paraId="64D175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充分释放医保数据价值，解决普洱市在宏观决策、政策评估和日常管理中面临的数据支撑不足问题，拟构建“医保大数据综合分析决策”应用模块。该模块旨在整合医保全业务链条数据，结合普洱地方政策特点，构建一个集常规分析、专题监测、决策支持于一体的综合数据分析平台，全面赋能医保科学治理。</w:t>
      </w:r>
    </w:p>
    <w:p w14:paraId="513C0BB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构建覆盖医保全业务链的主题数据库与灵活查询体系。系统将围绕“参保-筹资-待遇-结算-支付-监管”的业务主线，对医保专区数据进行系统化梳理、整合与建模，形成标准化的主题数据库。在此基础上，提供查询与统计分析功能，支持业务人员根据需要，灵活选择区域、时间、机构类型、参保人群（如民族、人员类别）等多个维度，快速生成日常经办所需的统计报表和数据分析视图，彻底改变以往报表制作效率低下、数据口径不一的局面。</w:t>
      </w:r>
    </w:p>
    <w:p w14:paraId="3EA9BAF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医改关键政策的专项成效监测与量化评估分析模块。针对正在推进的分级诊疗、药品耗材集采、支付方式改革等重大医改政策，系统将建立专门的监测评估指标体系，如：集采中选企业、配送企业集采药品耗材质量供应保障监测评估及定点医药机构药品耗材集采报量、执行进度、完成情况等监测评估，支持动态追踪政策实施前后，在基金支出结构、患者就医流向、基层诊疗量占比、药品费用负担等方面的变化，可量化各项政策在普洱本地的实际效果，为政策的持续优化和动态调整提供客观、量化的数据依据。</w:t>
      </w:r>
    </w:p>
    <w:p w14:paraId="0F68F2A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基金运行动态监测与评估。系统对医保基金的运行状况进行全方位、周期性监测。对基金收支结余等总量指标，医疗待遇享受情况、药品耗材价格监测、定点机构服务行为、异地就医结算、智能监管疑点等层面。通过设置阈值和同比环比分析，生成包含趋势分析、排名对比和问题说明的分析报告，并同步生成疑点数据明细。</w:t>
      </w:r>
    </w:p>
    <w:p w14:paraId="248172E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bidi="ar-SA"/>
        </w:rPr>
      </w:pPr>
      <w:r>
        <w:rPr>
          <w:rFonts w:hint="eastAsia" w:ascii="宋体" w:hAnsi="宋体" w:eastAsia="宋体" w:cs="宋体"/>
          <w:color w:val="auto"/>
          <w:kern w:val="2"/>
          <w:sz w:val="24"/>
          <w:szCs w:val="24"/>
          <w:highlight w:val="none"/>
          <w:lang w:val="en-US" w:eastAsia="zh-CN" w:bidi="ar-SA"/>
        </w:rPr>
        <w:t>4.医保大数据监测驾驶舱。基于以上分析能力，建设普洱医保大数据监测指挥驾驶舱。直观、动态地展示全市医保核心运行态势，如参保覆盖率、基金累计结余、医共体打包基金使用进度、DRG分组执行情况、基金监管违规率等关键信息。为政策决策和综合管理提供最直观、最高效的数据支撑，全面提升普洱医保的数字化治理形象与水平。</w:t>
      </w:r>
    </w:p>
    <w:p w14:paraId="61240E2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五、服务要求</w:t>
      </w:r>
    </w:p>
    <w:p w14:paraId="7552C7A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1.合同履约期限（服务期限）：合同签订后，60日内上线运行，验收通过之后进入驻场服务期，驻场服务期为1年。驻场服务期结束后，进入日常运维保障期。</w:t>
      </w:r>
    </w:p>
    <w:p w14:paraId="53B51A5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2.质量要求：符合现行国家相关规定及行业标准、要求，满足采购人要求；</w:t>
      </w:r>
    </w:p>
    <w:p w14:paraId="6617E33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3.服务地点：普洱市医疗保障局及采购人指定地点；</w:t>
      </w:r>
    </w:p>
    <w:p w14:paraId="7E6C125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4.实施内容要求</w:t>
      </w:r>
    </w:p>
    <w:p w14:paraId="08D9DB9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4.1知识产权要求：投标人必须保证所提供的产品具有合法的知识产权，保证采购人在使用投标人所提供的产品时不受任何专利或版权等方面的侵权困扰，如出现类似纠纷，投标人应对由此产生的后果负全部责任，并赔偿采购单位由此而造成的全部损失。项目实施过程中，产生的知识产权归招标人所有。</w:t>
      </w:r>
      <w:r>
        <w:rPr>
          <w:rFonts w:hint="eastAsia" w:ascii="宋体" w:hAnsi="宋体" w:eastAsia="宋体" w:cs="宋体"/>
          <w:b/>
          <w:bCs/>
          <w:color w:val="auto"/>
          <w:kern w:val="2"/>
          <w:sz w:val="24"/>
          <w:szCs w:val="24"/>
          <w:highlight w:val="none"/>
          <w:lang w:val="en-US" w:eastAsia="zh-CN" w:bidi="ar-SA"/>
        </w:rPr>
        <w:t>提供承诺函（承诺函格式自拟）</w:t>
      </w:r>
    </w:p>
    <w:p w14:paraId="3C5AE8A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4.2数据安全要求：投标人应建立完善的数据安全运维运营保障机制，明确各方权责，加强数据安全风险信息的获取、分析、研判、预警。建立健全事前管审批、事中全留痕、事后可追溯的数据安全运行监管机制，协助采购人对数据使用申请合规性审查和白名单控制，建立全流程记录手段，提高对数据异常使用行为的发现、溯源和处置能力，形成数据安全管理闭环，筑牢数据安全防线。加强系统建设安全管理，保障数据应用健康稳定运行，确保数据安全。</w:t>
      </w:r>
    </w:p>
    <w:p w14:paraId="6A0F0D7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4.3保密要求：投标人必须对采购人提供的所有资料履行保密责任，与采购人签订项目保密协议，参与项目的服务人员应该履行保密义务。未经用户单位许可，投标人、参与项目的服务人员不得删改、篡改、剽窃，更不得向第三方泄露项目任何形式的数据或文档资料、知识产权、内部信息等，不得以任何形式将数据出租、出售或用于其他用途，一经发现立即终止合同，并追究其相应的法律责任，若涉嫌犯罪的交由司法机关进行处理，由投标人所派遣服务人员造成上述问题的，投标人应承担连带责任。</w:t>
      </w:r>
    </w:p>
    <w:p w14:paraId="4A30D14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4.4服务培训要求：（1）投标人提供的培训应包括系统技术培训、产品操作使用培训和业务培训等。（2）投标人应对系统管理员进行全面的系统管理、故障处理、日常维护等培训工作。当系统出现一般性问题时，系统管理员应能诊断和处理。（3）投标人应对采购人及有关部门的操作人员进行操作使用培训，使操作人员能够正常操作和使用系统提供的各项功能。（4）投标人应提供培训用的系统使用文档、操作手册、演示PPT、培训视频等培训材料。（5）培训方式应包括技术讲课、操作示范、参观学习和其它必须的业务指导和技术咨询，确保培训人员对系统基本理论、技术特性、操作规范、运行规程、管理维护等方面获得全面了解和掌握。（6）投标人需选派具有实践经验的专业技术人员负责技术培训工作。（7）投标人应制订详细的培训计划，能够根据服务需求，定期组织业务及相关培训，培训方式可以是现场培训、远程视频培训。培训至少包括系统使用培训、系统维护管理培训和业务培训。</w:t>
      </w:r>
    </w:p>
    <w:p w14:paraId="66FC270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4.5维护及技术支持要求：（1）在技术服务期内，投标人需提供灵活、多样的通信手段（包括但不限于场地、设备及人员、专用服务电话），提供7*24小时的响应服务，保证在任何时候业主人员都能及时找到服务人员。如遇驻场人员无法解决的问题或采购人认为需要，技术人员应在12小时内赶到现场支持。（2）所供软件出现问题时，其响应时间不超过15分钟，一般故障处理时间不大于2小时；特殊情况下，故障修复时间不大于24小时。（3）投标人需提供排除故障响应的具体流程。（4）投标人需在项目方案中说明技术指导和技术支持的范围和程度，提供技术服务内容。</w:t>
      </w:r>
    </w:p>
    <w:p w14:paraId="40FA5E8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4.6文档要求：投标人在项目开展过程中，需做好过程文档的编制和归档，文档包含但不限于，需求分析文档、设计文档、管理文档、产品文档、开发文档、制度规范等文档。在验收时，文档将作为主要的交付物进行确认。</w:t>
      </w:r>
    </w:p>
    <w:p w14:paraId="36EBD47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4.7项目团队要求：投标人需提供完善的项目服务管理团队。在建设期内至少有2人驻场人员和远程技术团队需要时加派驻场人员，进入驻场服务期之日起至驻场服务期结束，投标人持续提供技术与资源支持，并指派至少1名固定的工程师驻点专注现场服务执行。投标人安排的人员必须固定，若有替换，必须与采购人协商，并取得采购人同意。供应商提交人员替换申请(附新人员资质材料)后，采购人需在3个工作日内书面回复；逾期未回复的，视为同意替换，但新人员资质需符合本文件原要求。驻场服务期结束后，进入日常运维保障期，投标人须对本条要求进行承诺。</w:t>
      </w:r>
      <w:r>
        <w:rPr>
          <w:rFonts w:hint="eastAsia" w:ascii="宋体" w:hAnsi="宋体" w:eastAsia="宋体" w:cs="宋体"/>
          <w:b/>
          <w:bCs/>
          <w:color w:val="auto"/>
          <w:kern w:val="2"/>
          <w:sz w:val="24"/>
          <w:szCs w:val="24"/>
          <w:highlight w:val="none"/>
          <w:lang w:val="en-US" w:eastAsia="zh-CN" w:bidi="ar-SA"/>
        </w:rPr>
        <w:t>提供承诺函（承诺函格式自拟）</w:t>
      </w:r>
    </w:p>
    <w:p w14:paraId="41D66C9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bookmarkStart w:id="485" w:name="_Toc25672"/>
      <w:bookmarkStart w:id="486" w:name="_Toc150435725"/>
      <w:bookmarkStart w:id="487" w:name="_Toc151578145"/>
      <w:r>
        <w:rPr>
          <w:rFonts w:hint="eastAsia" w:ascii="宋体" w:hAnsi="宋体" w:eastAsia="宋体" w:cs="宋体"/>
          <w:color w:val="auto"/>
          <w:kern w:val="2"/>
          <w:sz w:val="24"/>
          <w:szCs w:val="24"/>
          <w:highlight w:val="none"/>
          <w:lang w:val="en-US" w:eastAsia="zh-CN" w:bidi="ar-SA"/>
        </w:rPr>
        <w:t>5.其他商务要求内容</w:t>
      </w:r>
      <w:bookmarkEnd w:id="485"/>
      <w:bookmarkEnd w:id="486"/>
      <w:bookmarkEnd w:id="487"/>
      <w:r>
        <w:rPr>
          <w:rFonts w:hint="eastAsia" w:ascii="宋体" w:hAnsi="宋体" w:eastAsia="宋体" w:cs="宋体"/>
          <w:color w:val="auto"/>
          <w:kern w:val="2"/>
          <w:sz w:val="24"/>
          <w:szCs w:val="24"/>
          <w:highlight w:val="none"/>
          <w:lang w:val="en-US" w:eastAsia="zh-CN" w:bidi="ar-SA"/>
        </w:rPr>
        <w:t>：其他未尽事宜由供需双方在采购合同中详细约定。</w:t>
      </w:r>
    </w:p>
    <w:p w14:paraId="6A2BAE3C">
      <w:pPr>
        <w:autoSpaceDE/>
        <w:autoSpaceDN/>
        <w:spacing w:line="560" w:lineRule="exact"/>
        <w:ind w:firstLine="482" w:firstLineChars="200"/>
        <w:jc w:val="both"/>
        <w:rPr>
          <w:rFonts w:ascii="宋体" w:hAnsi="宋体" w:eastAsia="宋体" w:cs="宋体"/>
          <w:b/>
          <w:bCs/>
          <w:color w:val="auto"/>
          <w:kern w:val="2"/>
          <w:sz w:val="24"/>
          <w:szCs w:val="24"/>
          <w:highlight w:val="none"/>
          <w:lang w:val="en-US" w:bidi="ar-SA"/>
        </w:rPr>
      </w:pPr>
    </w:p>
    <w:p w14:paraId="037EDA7D">
      <w:pPr>
        <w:spacing w:line="480" w:lineRule="auto"/>
        <w:ind w:firstLine="440" w:firstLineChars="200"/>
        <w:rPr>
          <w:rFonts w:ascii="宋体" w:hAnsi="宋体" w:eastAsia="宋体" w:cs="宋体"/>
          <w:color w:val="auto"/>
          <w:highlight w:val="none"/>
        </w:rPr>
      </w:pPr>
      <w:r>
        <w:rPr>
          <w:rFonts w:hint="eastAsia" w:ascii="宋体" w:hAnsi="宋体" w:eastAsia="宋体" w:cs="宋体"/>
          <w:color w:val="auto"/>
          <w:highlight w:val="none"/>
        </w:rPr>
        <w:br w:type="page"/>
      </w:r>
    </w:p>
    <w:p w14:paraId="7F004E35">
      <w:pPr>
        <w:pStyle w:val="3"/>
        <w:ind w:left="0"/>
        <w:rPr>
          <w:color w:val="auto"/>
          <w:highlight w:val="none"/>
        </w:rPr>
      </w:pPr>
      <w:r>
        <w:rPr>
          <w:rFonts w:hint="eastAsia"/>
          <w:color w:val="auto"/>
          <w:highlight w:val="none"/>
        </w:rPr>
        <w:t>第六章 资格</w:t>
      </w:r>
      <w:bookmarkEnd w:id="462"/>
      <w:r>
        <w:rPr>
          <w:rFonts w:hint="eastAsia"/>
          <w:color w:val="auto"/>
          <w:highlight w:val="none"/>
        </w:rPr>
        <w:t>审查</w:t>
      </w:r>
      <w:bookmarkEnd w:id="463"/>
    </w:p>
    <w:tbl>
      <w:tblPr>
        <w:tblStyle w:val="28"/>
        <w:tblW w:w="10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883"/>
        <w:gridCol w:w="8508"/>
      </w:tblGrid>
      <w:tr w14:paraId="63E9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noWrap/>
            <w:vAlign w:val="center"/>
          </w:tcPr>
          <w:p w14:paraId="0DA2E338">
            <w:pPr>
              <w:spacing w:before="100" w:beforeAutospacing="1" w:after="100" w:afterAutospacing="1"/>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评审程序</w:t>
            </w:r>
          </w:p>
        </w:tc>
        <w:tc>
          <w:tcPr>
            <w:tcW w:w="9391" w:type="dxa"/>
            <w:gridSpan w:val="2"/>
            <w:noWrap/>
            <w:vAlign w:val="center"/>
          </w:tcPr>
          <w:p w14:paraId="1CD8F52C">
            <w:pPr>
              <w:spacing w:before="100" w:beforeAutospacing="1" w:after="100" w:afterAutospacing="1"/>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审 内 容 及 标 准</w:t>
            </w:r>
          </w:p>
        </w:tc>
      </w:tr>
      <w:tr w14:paraId="2FBF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82" w:type="dxa"/>
            <w:vMerge w:val="restart"/>
            <w:noWrap/>
            <w:vAlign w:val="center"/>
          </w:tcPr>
          <w:p w14:paraId="46CC267F">
            <w:pPr>
              <w:spacing w:before="100" w:beforeAutospacing="1" w:after="100" w:afterAutospacing="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883" w:type="dxa"/>
            <w:noWrap/>
            <w:vAlign w:val="center"/>
          </w:tcPr>
          <w:p w14:paraId="4787E9C8">
            <w:pPr>
              <w:spacing w:before="100" w:beforeAutospacing="1" w:after="100" w:afterAutospacing="1"/>
              <w:jc w:val="center"/>
              <w:rPr>
                <w:rFonts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rPr>
              <w:t>1</w:t>
            </w:r>
          </w:p>
        </w:tc>
        <w:tc>
          <w:tcPr>
            <w:tcW w:w="8508" w:type="dxa"/>
            <w:noWrap/>
            <w:vAlign w:val="center"/>
          </w:tcPr>
          <w:p w14:paraId="56BA72EF">
            <w:pPr>
              <w:spacing w:before="100" w:beforeAutospacing="1" w:after="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rPr>
              <w:t>具有独立承担民事责任的能力：</w:t>
            </w:r>
            <w:r>
              <w:rPr>
                <w:rFonts w:hint="eastAsia" w:ascii="宋体" w:hAnsi="宋体" w:eastAsia="宋体" w:cs="宋体"/>
                <w:color w:val="auto"/>
                <w:sz w:val="24"/>
                <w:szCs w:val="24"/>
                <w:highlight w:val="none"/>
                <w:lang w:val="en-US" w:eastAsia="zh-CN"/>
              </w:rPr>
              <w:t>投标人为企业（包括合伙企业）的，应提供有效的“营业执照 ”；投标人为事业单位的，应提供有效的“事业单位法人证书 ”；投标人是非企业机构的，应提供有效的“执业许可证”、“登记证书”等证明文件；投标人是个体工商户的，应提供有效的“个体工商户营业执照 ”；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宋体" w:hAnsi="宋体" w:eastAsia="宋体" w:cs="宋体"/>
                <w:color w:val="auto"/>
                <w:sz w:val="24"/>
                <w:szCs w:val="24"/>
                <w:highlight w:val="none"/>
                <w:lang w:val="en-US"/>
              </w:rPr>
              <w:t>（扫描件加盖电子公章）</w:t>
            </w:r>
            <w:r>
              <w:rPr>
                <w:rFonts w:hint="eastAsia" w:ascii="宋体" w:hAnsi="宋体" w:eastAsia="宋体" w:cs="宋体"/>
                <w:color w:val="auto"/>
                <w:sz w:val="24"/>
                <w:szCs w:val="24"/>
                <w:highlight w:val="none"/>
                <w:lang w:val="en-US" w:eastAsia="zh-CN"/>
              </w:rPr>
              <w:t>。</w:t>
            </w:r>
          </w:p>
        </w:tc>
      </w:tr>
      <w:tr w14:paraId="1668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82" w:type="dxa"/>
            <w:vMerge w:val="continue"/>
            <w:noWrap/>
            <w:vAlign w:val="center"/>
          </w:tcPr>
          <w:p w14:paraId="63458FBC">
            <w:pPr>
              <w:spacing w:before="100" w:beforeAutospacing="1" w:after="100" w:afterAutospacing="1"/>
              <w:jc w:val="center"/>
              <w:rPr>
                <w:rFonts w:ascii="宋体" w:hAnsi="宋体" w:eastAsia="宋体" w:cs="宋体"/>
                <w:color w:val="auto"/>
                <w:sz w:val="24"/>
                <w:szCs w:val="24"/>
                <w:highlight w:val="none"/>
              </w:rPr>
            </w:pPr>
          </w:p>
        </w:tc>
        <w:tc>
          <w:tcPr>
            <w:tcW w:w="883" w:type="dxa"/>
            <w:noWrap/>
            <w:vAlign w:val="center"/>
          </w:tcPr>
          <w:p w14:paraId="0FF50FB6">
            <w:pPr>
              <w:spacing w:before="100" w:beforeAutospacing="1" w:after="100" w:afterAutospacing="1"/>
              <w:jc w:val="center"/>
              <w:rPr>
                <w:rFonts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rPr>
              <w:t>2</w:t>
            </w:r>
          </w:p>
        </w:tc>
        <w:tc>
          <w:tcPr>
            <w:tcW w:w="8508" w:type="dxa"/>
            <w:noWrap/>
            <w:vAlign w:val="center"/>
          </w:tcPr>
          <w:p w14:paraId="3524E0A7">
            <w:pPr>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具有良好的商业信誉和健全的财务会计制度：</w:t>
            </w:r>
          </w:p>
          <w:p w14:paraId="3CCC8509">
            <w:pP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）投标截止时间前三个月内基本户开户银行出具的资信证明（扫描件）；</w:t>
            </w:r>
          </w:p>
          <w:p w14:paraId="252B7FF4">
            <w:pP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2022年度</w:t>
            </w:r>
            <w:r>
              <w:rPr>
                <w:rFonts w:hint="eastAsia" w:asciiTheme="majorEastAsia" w:hAnsiTheme="majorEastAsia" w:eastAsiaTheme="majorEastAsia" w:cstheme="majorEastAsia"/>
                <w:color w:val="auto"/>
                <w:sz w:val="24"/>
                <w:szCs w:val="24"/>
                <w:highlight w:val="none"/>
                <w:lang w:val="en-US" w:eastAsia="zh-CN"/>
              </w:rPr>
              <w:t>至今</w:t>
            </w:r>
            <w:r>
              <w:rPr>
                <w:rFonts w:hint="eastAsia" w:asciiTheme="majorEastAsia" w:hAnsiTheme="majorEastAsia" w:eastAsiaTheme="majorEastAsia" w:cstheme="majorEastAsia"/>
                <w:color w:val="auto"/>
                <w:sz w:val="24"/>
                <w:szCs w:val="24"/>
                <w:highlight w:val="none"/>
                <w:lang w:val="en-US"/>
              </w:rPr>
              <w:t>度任意一年经第三方审计的审计报告及财务报表，财务报表须包括资产负债表、利润表、现金流量表、所有者权益变动表及财务报表附注（扫描件）。若投标人成立时间不足1年的，可根据自身实际情况提供成立至今的财务报表</w:t>
            </w:r>
            <w:r>
              <w:rPr>
                <w:rFonts w:hint="eastAsia" w:ascii="宋体" w:hAnsi="宋体" w:eastAsia="宋体" w:cs="宋体"/>
                <w:color w:val="auto"/>
                <w:sz w:val="24"/>
                <w:szCs w:val="24"/>
                <w:highlight w:val="none"/>
                <w:lang w:val="en-US"/>
              </w:rPr>
              <w:t>（扫描件）；</w:t>
            </w:r>
          </w:p>
          <w:p w14:paraId="7F3D7D25">
            <w:pPr>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）经财政部门认可政府采购专业担保机构出具的投标担保函，同时还须提供专业担保机构经财政部门认可的证明文件（扫描件）；</w:t>
            </w:r>
          </w:p>
          <w:p w14:paraId="506E5D18">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注：投标人根据自身情况提供以上任意一种证明材料即可（扫描件加盖电子公章）。</w:t>
            </w:r>
          </w:p>
        </w:tc>
      </w:tr>
      <w:tr w14:paraId="4E9D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82" w:type="dxa"/>
            <w:vMerge w:val="continue"/>
            <w:noWrap/>
            <w:vAlign w:val="center"/>
          </w:tcPr>
          <w:p w14:paraId="314ADE3B">
            <w:pPr>
              <w:spacing w:before="100" w:beforeAutospacing="1" w:after="100" w:afterAutospacing="1"/>
              <w:rPr>
                <w:rFonts w:ascii="宋体" w:hAnsi="宋体" w:eastAsia="宋体" w:cs="宋体"/>
                <w:color w:val="auto"/>
                <w:sz w:val="24"/>
                <w:szCs w:val="24"/>
                <w:highlight w:val="none"/>
              </w:rPr>
            </w:pPr>
          </w:p>
        </w:tc>
        <w:tc>
          <w:tcPr>
            <w:tcW w:w="883" w:type="dxa"/>
            <w:noWrap/>
            <w:vAlign w:val="center"/>
          </w:tcPr>
          <w:p w14:paraId="27A452F8">
            <w:pPr>
              <w:spacing w:before="100" w:beforeAutospacing="1" w:after="100" w:afterAutospacing="1"/>
              <w:jc w:val="center"/>
              <w:rPr>
                <w:rFonts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rPr>
              <w:t>3</w:t>
            </w:r>
          </w:p>
        </w:tc>
        <w:tc>
          <w:tcPr>
            <w:tcW w:w="8508" w:type="dxa"/>
            <w:noWrap/>
          </w:tcPr>
          <w:p w14:paraId="5075DA64">
            <w:pPr>
              <w:spacing w:before="100" w:beforeAutospacing="1" w:after="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具有履行合同所必需的设备和专业技术能力：投标人提供具有履行合同所必需的设备和专业技术能力证明材料（扫描件加盖电子公章）或承诺书（格式自拟，原件加盖电子公章）。</w:t>
            </w:r>
          </w:p>
        </w:tc>
      </w:tr>
      <w:tr w14:paraId="5652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82" w:type="dxa"/>
            <w:vMerge w:val="continue"/>
            <w:noWrap/>
            <w:vAlign w:val="center"/>
          </w:tcPr>
          <w:p w14:paraId="6526C366">
            <w:pPr>
              <w:spacing w:before="100" w:beforeAutospacing="1" w:after="100" w:afterAutospacing="1"/>
              <w:rPr>
                <w:rFonts w:ascii="宋体" w:hAnsi="宋体" w:eastAsia="宋体" w:cs="宋体"/>
                <w:color w:val="auto"/>
                <w:sz w:val="24"/>
                <w:szCs w:val="24"/>
                <w:highlight w:val="none"/>
              </w:rPr>
            </w:pPr>
          </w:p>
        </w:tc>
        <w:tc>
          <w:tcPr>
            <w:tcW w:w="883" w:type="dxa"/>
            <w:noWrap/>
            <w:vAlign w:val="center"/>
          </w:tcPr>
          <w:p w14:paraId="27F3C2BA">
            <w:pPr>
              <w:spacing w:before="100" w:beforeAutospacing="1" w:after="100" w:afterAutospacing="1"/>
              <w:jc w:val="center"/>
              <w:rPr>
                <w:rFonts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rPr>
              <w:t>4</w:t>
            </w:r>
          </w:p>
        </w:tc>
        <w:tc>
          <w:tcPr>
            <w:tcW w:w="8508" w:type="dxa"/>
            <w:noWrap/>
          </w:tcPr>
          <w:p w14:paraId="4F48797F">
            <w:pPr>
              <w:spacing w:after="1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具有依法缴纳税收和社会保障资金的良好记录：</w:t>
            </w:r>
          </w:p>
          <w:p w14:paraId="09F30B04">
            <w:pPr>
              <w:ind w:firstLine="480" w:firstLineChars="2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）投标人提供</w:t>
            </w:r>
            <w:r>
              <w:rPr>
                <w:rFonts w:hint="eastAsia" w:asciiTheme="majorEastAsia" w:hAnsiTheme="majorEastAsia" w:eastAsiaTheme="majorEastAsia" w:cstheme="majorEastAsia"/>
                <w:color w:val="auto"/>
                <w:sz w:val="24"/>
                <w:szCs w:val="24"/>
                <w:highlight w:val="none"/>
                <w:lang w:val="en-US"/>
              </w:rPr>
              <w:t>202</w:t>
            </w:r>
            <w:r>
              <w:rPr>
                <w:rFonts w:hint="eastAsia" w:asciiTheme="majorEastAsia" w:hAnsiTheme="majorEastAsia" w:eastAsiaTheme="majorEastAsia" w:cstheme="majorEastAsia"/>
                <w:color w:val="auto"/>
                <w:sz w:val="24"/>
                <w:szCs w:val="24"/>
                <w:highlight w:val="none"/>
                <w:lang w:val="en-US" w:eastAsia="zh-CN"/>
              </w:rPr>
              <w:t>5</w:t>
            </w:r>
            <w:r>
              <w:rPr>
                <w:rFonts w:hint="eastAsia" w:ascii="宋体" w:hAnsi="宋体" w:eastAsia="宋体" w:cs="宋体"/>
                <w:color w:val="auto"/>
                <w:sz w:val="24"/>
                <w:szCs w:val="24"/>
                <w:highlight w:val="none"/>
                <w:lang w:val="en-US"/>
              </w:rPr>
              <w:t>年0</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月至本项目投标文件提交截止时间前任意</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个月的税务局税收通用缴款书或银行电子缴税（费）凭证或税务局出具纳税情况的相关证明，依法免税的，应提供依法免税的相关证明文件；新成立的企业若无法提供需书面说明情况（扫描件加盖电子公章）；</w:t>
            </w:r>
          </w:p>
          <w:p w14:paraId="0787AB70">
            <w:pPr>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）投标人提供</w:t>
            </w:r>
            <w:r>
              <w:rPr>
                <w:rFonts w:hint="eastAsia" w:asciiTheme="majorEastAsia" w:hAnsiTheme="majorEastAsia" w:eastAsiaTheme="majorEastAsia" w:cstheme="majorEastAsia"/>
                <w:color w:val="auto"/>
                <w:sz w:val="24"/>
                <w:szCs w:val="24"/>
                <w:highlight w:val="none"/>
                <w:lang w:val="en-US"/>
              </w:rPr>
              <w:t>202</w:t>
            </w:r>
            <w:r>
              <w:rPr>
                <w:rFonts w:hint="eastAsia" w:asciiTheme="majorEastAsia" w:hAnsiTheme="majorEastAsia" w:eastAsiaTheme="majorEastAsia" w:cstheme="majorEastAsia"/>
                <w:color w:val="auto"/>
                <w:sz w:val="24"/>
                <w:szCs w:val="24"/>
                <w:highlight w:val="none"/>
                <w:lang w:val="en-US" w:eastAsia="zh-CN"/>
              </w:rPr>
              <w:t>5</w:t>
            </w:r>
            <w:r>
              <w:rPr>
                <w:rFonts w:hint="eastAsia" w:ascii="宋体" w:hAnsi="宋体" w:eastAsia="宋体" w:cs="宋体"/>
                <w:color w:val="auto"/>
                <w:sz w:val="24"/>
                <w:szCs w:val="24"/>
                <w:highlight w:val="none"/>
                <w:lang w:val="en-US"/>
              </w:rPr>
              <w:t>年0</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月至本项目投标文件提交截止时间前任意</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个月的社会保险费缴款书或银行电子缴税（费）凭证或社保管理部门出具的有效的缴款证明，依法免缴的，应提供依法免缴的相关证明文件；新成立的企业若无法提供需书面说明情况（扫描件加盖电子公章））；</w:t>
            </w:r>
          </w:p>
        </w:tc>
      </w:tr>
      <w:tr w14:paraId="02C9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882" w:type="dxa"/>
            <w:vMerge w:val="continue"/>
            <w:noWrap/>
            <w:vAlign w:val="center"/>
          </w:tcPr>
          <w:p w14:paraId="247FCD9F">
            <w:pPr>
              <w:spacing w:before="100" w:beforeAutospacing="1" w:after="100" w:afterAutospacing="1"/>
              <w:rPr>
                <w:rFonts w:ascii="宋体" w:hAnsi="宋体" w:eastAsia="宋体" w:cs="宋体"/>
                <w:color w:val="auto"/>
                <w:sz w:val="24"/>
                <w:szCs w:val="24"/>
                <w:highlight w:val="none"/>
              </w:rPr>
            </w:pPr>
          </w:p>
        </w:tc>
        <w:tc>
          <w:tcPr>
            <w:tcW w:w="883" w:type="dxa"/>
            <w:noWrap/>
            <w:vAlign w:val="center"/>
          </w:tcPr>
          <w:p w14:paraId="4B0CB02D">
            <w:pPr>
              <w:spacing w:before="100" w:beforeAutospacing="1" w:after="100" w:afterAutospacing="1"/>
              <w:jc w:val="center"/>
              <w:rPr>
                <w:rFonts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rPr>
              <w:t>5</w:t>
            </w:r>
          </w:p>
        </w:tc>
        <w:tc>
          <w:tcPr>
            <w:tcW w:w="8508" w:type="dxa"/>
            <w:noWrap/>
            <w:vAlign w:val="center"/>
          </w:tcPr>
          <w:p w14:paraId="0F04328A">
            <w:pPr>
              <w:spacing w:before="100" w:beforeAutospacing="1" w:after="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参加政府采购活动前三年内，在经营活动中没有重大违法记录：投标人提供参加政府采购活动前三年内，在经营活动中没有重大违法记录（重大违法记录，是指投标人因违法经营受到刑事处罚或者责令停产停业、吊销许可证或者执照、较大数额罚款等行政处罚）的书面声明（格式自拟，原件加盖电子公章）。</w:t>
            </w:r>
          </w:p>
        </w:tc>
      </w:tr>
      <w:tr w14:paraId="2FC4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882" w:type="dxa"/>
            <w:vMerge w:val="continue"/>
            <w:noWrap/>
            <w:vAlign w:val="center"/>
          </w:tcPr>
          <w:p w14:paraId="77867637">
            <w:pPr>
              <w:spacing w:before="100" w:beforeAutospacing="1" w:after="100" w:afterAutospacing="1"/>
              <w:rPr>
                <w:rFonts w:ascii="宋体" w:hAnsi="宋体" w:eastAsia="宋体" w:cs="宋体"/>
                <w:color w:val="auto"/>
                <w:sz w:val="24"/>
                <w:szCs w:val="24"/>
                <w:highlight w:val="none"/>
              </w:rPr>
            </w:pPr>
          </w:p>
        </w:tc>
        <w:tc>
          <w:tcPr>
            <w:tcW w:w="883" w:type="dxa"/>
            <w:noWrap/>
            <w:vAlign w:val="center"/>
          </w:tcPr>
          <w:p w14:paraId="790A8BAA">
            <w:pPr>
              <w:spacing w:before="100" w:beforeAutospacing="1" w:after="100" w:afterAutospacing="1"/>
              <w:jc w:val="center"/>
              <w:rPr>
                <w:rFonts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rPr>
              <w:t>6</w:t>
            </w:r>
          </w:p>
        </w:tc>
        <w:tc>
          <w:tcPr>
            <w:tcW w:w="8508" w:type="dxa"/>
            <w:noWrap/>
            <w:vAlign w:val="center"/>
          </w:tcPr>
          <w:p w14:paraId="00DB6F80">
            <w:pPr>
              <w:spacing w:before="100" w:beforeAutospacing="1" w:after="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val="en-US"/>
              </w:rPr>
              <w:t>投标人未被列入政府采购严重违法失信行为记录名单（以在中国政府采购网（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eastAsia="宋体" w:cs="宋体"/>
                <w:color w:val="auto"/>
                <w:sz w:val="24"/>
                <w:szCs w:val="24"/>
                <w:highlight w:val="none"/>
                <w:lang w:val="en-US"/>
              </w:rPr>
              <w:t>www.ccgp.gov.cn</w:t>
            </w:r>
            <w:r>
              <w:rPr>
                <w:rFonts w:hint="eastAsia" w:ascii="宋体" w:hAnsi="宋体" w:eastAsia="宋体" w:cs="宋体"/>
                <w:color w:val="auto"/>
                <w:sz w:val="24"/>
                <w:szCs w:val="24"/>
                <w:highlight w:val="none"/>
                <w:lang w:val="en-US"/>
              </w:rPr>
              <w:fldChar w:fldCharType="end"/>
            </w:r>
            <w:r>
              <w:rPr>
                <w:rFonts w:hint="eastAsia" w:ascii="宋体" w:hAnsi="宋体" w:eastAsia="宋体" w:cs="宋体"/>
                <w:color w:val="auto"/>
                <w:sz w:val="24"/>
                <w:szCs w:val="24"/>
                <w:highlight w:val="none"/>
                <w:lang w:val="en-US"/>
              </w:rPr>
              <w:t>）查询的信用记录为准、被禁止在一定期限内参加政府采购活动但期限届满的除外），提供承诺函（格式自拟，原件加盖电子公章）。</w:t>
            </w:r>
          </w:p>
        </w:tc>
      </w:tr>
      <w:tr w14:paraId="0095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82" w:type="dxa"/>
            <w:vMerge w:val="continue"/>
            <w:noWrap/>
            <w:vAlign w:val="center"/>
          </w:tcPr>
          <w:p w14:paraId="7963D891">
            <w:pPr>
              <w:spacing w:before="100" w:beforeAutospacing="1" w:after="100" w:afterAutospacing="1"/>
              <w:rPr>
                <w:rFonts w:ascii="宋体" w:hAnsi="宋体" w:eastAsia="宋体" w:cs="宋体"/>
                <w:color w:val="auto"/>
                <w:sz w:val="24"/>
                <w:szCs w:val="24"/>
                <w:highlight w:val="none"/>
              </w:rPr>
            </w:pPr>
          </w:p>
        </w:tc>
        <w:tc>
          <w:tcPr>
            <w:tcW w:w="883" w:type="dxa"/>
            <w:noWrap/>
            <w:vAlign w:val="center"/>
          </w:tcPr>
          <w:p w14:paraId="3FC7095E">
            <w:pPr>
              <w:spacing w:before="100" w:beforeAutospacing="1" w:after="100" w:afterAutospacing="1"/>
              <w:jc w:val="center"/>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7</w:t>
            </w:r>
          </w:p>
        </w:tc>
        <w:tc>
          <w:tcPr>
            <w:tcW w:w="8508" w:type="dxa"/>
            <w:noWrap/>
            <w:vAlign w:val="center"/>
          </w:tcPr>
          <w:p w14:paraId="27CCA20F">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本项目特定的资格要求：单位负责人为同一人或者存在直接控股、管理关系的不同投标人，不得参加同一合同项下的政府采购活动，提供承诺书（格式自拟，原件加盖电子公章）；</w:t>
            </w:r>
          </w:p>
        </w:tc>
      </w:tr>
    </w:tbl>
    <w:p w14:paraId="018F9115">
      <w:pPr>
        <w:pStyle w:val="26"/>
        <w:spacing w:before="0" w:beforeAutospacing="0" w:after="0" w:afterAutospacing="0" w:line="360" w:lineRule="auto"/>
        <w:ind w:firstLine="480" w:firstLineChars="200"/>
        <w:jc w:val="both"/>
        <w:rPr>
          <w:rFonts w:ascii="宋体" w:hAnsi="宋体" w:eastAsia="宋体" w:cs="宋体"/>
          <w:color w:val="auto"/>
          <w:szCs w:val="24"/>
          <w:highlight w:val="none"/>
        </w:rPr>
      </w:pPr>
      <w:r>
        <w:rPr>
          <w:rFonts w:hint="eastAsia" w:ascii="宋体" w:hAnsi="宋体" w:eastAsia="宋体" w:cs="宋体"/>
          <w:color w:val="auto"/>
          <w:kern w:val="2"/>
          <w:szCs w:val="24"/>
          <w:highlight w:val="none"/>
          <w:lang w:bidi="ar"/>
        </w:rPr>
        <w:t>注：</w:t>
      </w:r>
      <w:r>
        <w:rPr>
          <w:rFonts w:hint="eastAsia" w:asciiTheme="majorEastAsia" w:hAnsiTheme="majorEastAsia" w:eastAsiaTheme="majorEastAsia" w:cstheme="majorEastAsia"/>
          <w:color w:val="auto"/>
          <w:szCs w:val="24"/>
          <w:highlight w:val="none"/>
        </w:rPr>
        <w:t>1</w:t>
      </w:r>
      <w:r>
        <w:rPr>
          <w:rFonts w:hint="eastAsia" w:ascii="宋体" w:hAnsi="宋体" w:eastAsia="宋体" w:cs="宋体"/>
          <w:color w:val="auto"/>
          <w:szCs w:val="24"/>
          <w:highlight w:val="none"/>
        </w:rPr>
        <w:t>.开标结束后，采购人或者采购代理机构将依法对投标人的资格进行审查，合格投标人不足</w:t>
      </w:r>
      <w:r>
        <w:rPr>
          <w:rFonts w:hint="eastAsia" w:asciiTheme="majorEastAsia" w:hAnsiTheme="majorEastAsia" w:eastAsiaTheme="majorEastAsia" w:cstheme="majorEastAsia"/>
          <w:color w:val="auto"/>
          <w:szCs w:val="24"/>
          <w:highlight w:val="none"/>
        </w:rPr>
        <w:t>3</w:t>
      </w:r>
      <w:r>
        <w:rPr>
          <w:rFonts w:hint="eastAsia" w:ascii="宋体" w:hAnsi="宋体" w:eastAsia="宋体" w:cs="宋体"/>
          <w:color w:val="auto"/>
          <w:szCs w:val="24"/>
          <w:highlight w:val="none"/>
        </w:rPr>
        <w:t xml:space="preserve">家的，不得评标。 </w:t>
      </w:r>
    </w:p>
    <w:p w14:paraId="1F5F37DD">
      <w:pPr>
        <w:pStyle w:val="26"/>
        <w:spacing w:before="0" w:beforeAutospacing="0" w:after="0" w:afterAutospacing="0" w:line="360" w:lineRule="auto"/>
        <w:ind w:firstLine="480" w:firstLineChars="200"/>
        <w:jc w:val="both"/>
        <w:rPr>
          <w:rFonts w:ascii="宋体" w:hAnsi="宋体" w:eastAsia="宋体" w:cs="宋体"/>
          <w:color w:val="auto"/>
          <w:szCs w:val="24"/>
          <w:highlight w:val="none"/>
        </w:rPr>
      </w:pPr>
      <w:r>
        <w:rPr>
          <w:rFonts w:hint="eastAsia" w:asciiTheme="majorEastAsia" w:hAnsiTheme="majorEastAsia" w:eastAsiaTheme="majorEastAsia" w:cstheme="majorEastAsia"/>
          <w:color w:val="auto"/>
          <w:szCs w:val="24"/>
          <w:highlight w:val="none"/>
        </w:rPr>
        <w:t>2</w:t>
      </w:r>
      <w:r>
        <w:rPr>
          <w:rFonts w:hint="eastAsia" w:ascii="宋体" w:hAnsi="宋体" w:eastAsia="宋体" w:cs="宋体"/>
          <w:color w:val="auto"/>
          <w:szCs w:val="24"/>
          <w:highlight w:val="none"/>
        </w:rPr>
        <w:t>.采购人或者采购代理机构按照招标文件第一章《招标采购公告》“二、投标人资格要求”和第二章《投标人须知》“★</w:t>
      </w:r>
      <w:r>
        <w:rPr>
          <w:rFonts w:hint="eastAsia" w:asciiTheme="majorEastAsia" w:hAnsiTheme="majorEastAsia" w:eastAsiaTheme="majorEastAsia" w:cstheme="majorEastAsia"/>
          <w:color w:val="auto"/>
          <w:szCs w:val="24"/>
          <w:highlight w:val="none"/>
        </w:rPr>
        <w:t>4</w:t>
      </w:r>
      <w:r>
        <w:rPr>
          <w:rFonts w:hint="eastAsia" w:ascii="宋体" w:hAnsi="宋体" w:eastAsia="宋体" w:cs="宋体"/>
          <w:color w:val="auto"/>
          <w:szCs w:val="24"/>
          <w:highlight w:val="none"/>
        </w:rPr>
        <w:t>.</w:t>
      </w:r>
      <w:r>
        <w:rPr>
          <w:rFonts w:hint="eastAsia" w:asciiTheme="majorEastAsia" w:hAnsiTheme="majorEastAsia" w:eastAsiaTheme="majorEastAsia" w:cstheme="majorEastAsia"/>
          <w:color w:val="auto"/>
          <w:szCs w:val="24"/>
          <w:highlight w:val="none"/>
        </w:rPr>
        <w:t>1</w:t>
      </w:r>
      <w:r>
        <w:rPr>
          <w:rFonts w:hint="eastAsia" w:ascii="宋体" w:hAnsi="宋体" w:eastAsia="宋体" w:cs="宋体"/>
          <w:color w:val="auto"/>
          <w:szCs w:val="24"/>
          <w:highlight w:val="none"/>
        </w:rPr>
        <w:t xml:space="preserve"> 投标人资格要求”的规定对投标人电子投标文件中资格证明文件及采购人、采购代理机构通过互联网或者相关信息系统的查询结果进行审查。 </w:t>
      </w:r>
    </w:p>
    <w:p w14:paraId="2F7F49B3">
      <w:pPr>
        <w:pStyle w:val="26"/>
        <w:spacing w:before="0" w:beforeAutospacing="0" w:after="0" w:afterAutospacing="0" w:line="360" w:lineRule="auto"/>
        <w:ind w:firstLine="480" w:firstLineChars="200"/>
        <w:jc w:val="both"/>
        <w:rPr>
          <w:rFonts w:ascii="宋体" w:hAnsi="宋体" w:eastAsia="宋体" w:cs="宋体"/>
          <w:color w:val="auto"/>
          <w:szCs w:val="24"/>
          <w:highlight w:val="none"/>
        </w:rPr>
      </w:pPr>
      <w:r>
        <w:rPr>
          <w:rFonts w:hint="eastAsia" w:asciiTheme="majorEastAsia" w:hAnsiTheme="majorEastAsia" w:eastAsiaTheme="majorEastAsia" w:cstheme="majorEastAsia"/>
          <w:color w:val="auto"/>
          <w:szCs w:val="24"/>
          <w:highlight w:val="none"/>
        </w:rPr>
        <w:t>3</w:t>
      </w:r>
      <w:r>
        <w:rPr>
          <w:rFonts w:hint="eastAsia" w:ascii="宋体" w:hAnsi="宋体" w:eastAsia="宋体" w:cs="宋体"/>
          <w:color w:val="auto"/>
          <w:szCs w:val="24"/>
          <w:highlight w:val="none"/>
        </w:rPr>
        <w:t>.如投标人为满足投标人资格要求提供虚假材料，一经查实，将上报评审委员会，将该投标人投标文件按无效投标处理，并上报监管部门。</w:t>
      </w:r>
    </w:p>
    <w:p w14:paraId="369E8491">
      <w:pPr>
        <w:spacing w:before="60" w:after="60" w:line="360" w:lineRule="auto"/>
        <w:ind w:firstLine="480" w:firstLineChars="200"/>
        <w:rPr>
          <w:rFonts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lang w:val="en-US"/>
        </w:rPr>
        <w:t>4</w:t>
      </w:r>
      <w:r>
        <w:rPr>
          <w:rFonts w:hint="eastAsia" w:ascii="宋体" w:hAnsi="宋体" w:eastAsia="宋体" w:cs="宋体"/>
          <w:color w:val="auto"/>
          <w:sz w:val="24"/>
          <w:szCs w:val="24"/>
          <w:highlight w:val="none"/>
          <w:lang w:val="en-US"/>
        </w:rPr>
        <w:t>.采购人或者采购代理机构在资格审查过程中发现投标人有一项不符合上述规定的，该投标文件按无效投标处理。</w:t>
      </w:r>
    </w:p>
    <w:p w14:paraId="295E53F3">
      <w:pPr>
        <w:ind w:firstLine="440" w:firstLineChars="200"/>
        <w:rPr>
          <w:rFonts w:ascii="宋体" w:hAnsi="宋体" w:eastAsia="宋体" w:cs="宋体"/>
          <w:color w:val="auto"/>
          <w:highlight w:val="none"/>
        </w:rPr>
      </w:pPr>
      <w:r>
        <w:rPr>
          <w:rFonts w:hint="eastAsia" w:ascii="宋体" w:hAnsi="宋体" w:eastAsia="宋体" w:cs="宋体"/>
          <w:color w:val="auto"/>
          <w:highlight w:val="none"/>
        </w:rPr>
        <w:br w:type="page"/>
      </w:r>
    </w:p>
    <w:p w14:paraId="2DDBE853">
      <w:pPr>
        <w:pStyle w:val="3"/>
        <w:ind w:left="0"/>
        <w:rPr>
          <w:color w:val="auto"/>
          <w:highlight w:val="none"/>
        </w:rPr>
      </w:pPr>
      <w:bookmarkStart w:id="488" w:name="_Toc1650"/>
      <w:r>
        <w:rPr>
          <w:rFonts w:hint="eastAsia"/>
          <w:color w:val="auto"/>
          <w:highlight w:val="none"/>
        </w:rPr>
        <w:t xml:space="preserve">第七章 </w:t>
      </w:r>
      <w:bookmarkEnd w:id="464"/>
      <w:bookmarkEnd w:id="465"/>
      <w:bookmarkEnd w:id="466"/>
      <w:r>
        <w:rPr>
          <w:rFonts w:hint="eastAsia"/>
          <w:color w:val="auto"/>
          <w:highlight w:val="none"/>
        </w:rPr>
        <w:t>评审办法</w:t>
      </w:r>
      <w:bookmarkEnd w:id="467"/>
      <w:bookmarkEnd w:id="488"/>
    </w:p>
    <w:p w14:paraId="14B8D401">
      <w:pPr>
        <w:spacing w:before="100" w:after="100"/>
        <w:jc w:val="center"/>
        <w:outlineLvl w:val="1"/>
        <w:rPr>
          <w:rFonts w:ascii="宋体" w:hAnsi="宋体" w:eastAsia="宋体" w:cs="宋体"/>
          <w:b/>
          <w:bCs/>
          <w:color w:val="auto"/>
          <w:sz w:val="28"/>
          <w:szCs w:val="36"/>
          <w:highlight w:val="none"/>
        </w:rPr>
      </w:pPr>
      <w:bookmarkStart w:id="489" w:name="_Toc4442"/>
      <w:bookmarkStart w:id="490" w:name="_Toc3584"/>
      <w:bookmarkStart w:id="491" w:name="_Toc17648"/>
      <w:bookmarkStart w:id="492" w:name="_Toc2700"/>
      <w:bookmarkStart w:id="493" w:name="_Toc19844"/>
      <w:bookmarkStart w:id="494" w:name="_Toc31211"/>
      <w:bookmarkStart w:id="495" w:name="_Toc30137"/>
      <w:bookmarkStart w:id="496" w:name="_Toc20993"/>
      <w:bookmarkStart w:id="497" w:name="_Toc24656"/>
      <w:bookmarkStart w:id="498" w:name="_Toc4132"/>
      <w:bookmarkStart w:id="499" w:name="_Toc1012"/>
      <w:bookmarkStart w:id="500" w:name="_Toc483582880"/>
      <w:bookmarkStart w:id="501" w:name="_Toc3284"/>
      <w:bookmarkStart w:id="502" w:name="_Toc450232594"/>
      <w:r>
        <w:rPr>
          <w:rFonts w:hint="eastAsia" w:ascii="宋体" w:hAnsi="宋体" w:eastAsia="宋体" w:cs="宋体"/>
          <w:b/>
          <w:bCs/>
          <w:color w:val="auto"/>
          <w:sz w:val="28"/>
          <w:szCs w:val="36"/>
          <w:highlight w:val="none"/>
          <w:lang w:val="en-US"/>
        </w:rPr>
        <w:t>评审办法前附表</w:t>
      </w:r>
      <w:bookmarkEnd w:id="489"/>
      <w:bookmarkEnd w:id="490"/>
      <w:bookmarkEnd w:id="491"/>
      <w:bookmarkEnd w:id="492"/>
      <w:bookmarkEnd w:id="493"/>
      <w:bookmarkEnd w:id="494"/>
      <w:bookmarkEnd w:id="495"/>
      <w:bookmarkEnd w:id="496"/>
      <w:bookmarkEnd w:id="497"/>
      <w:bookmarkEnd w:id="498"/>
      <w:bookmarkEnd w:id="499"/>
    </w:p>
    <w:bookmarkEnd w:id="500"/>
    <w:bookmarkEnd w:id="501"/>
    <w:bookmarkEnd w:id="502"/>
    <w:tbl>
      <w:tblPr>
        <w:tblStyle w:val="28"/>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318"/>
        <w:gridCol w:w="2013"/>
        <w:gridCol w:w="6006"/>
      </w:tblGrid>
      <w:tr w14:paraId="30E4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blHeader/>
          <w:jc w:val="center"/>
        </w:trPr>
        <w:tc>
          <w:tcPr>
            <w:tcW w:w="2139" w:type="dxa"/>
            <w:gridSpan w:val="2"/>
            <w:vAlign w:val="center"/>
          </w:tcPr>
          <w:p w14:paraId="325A523B">
            <w:pPr>
              <w:spacing w:before="100" w:beforeAutospacing="1" w:after="100" w:afterAutospacing="1" w:line="360" w:lineRule="auto"/>
              <w:jc w:val="center"/>
              <w:rPr>
                <w:rFonts w:ascii="宋体" w:hAnsi="宋体" w:eastAsia="宋体" w:cs="宋体"/>
                <w:b/>
                <w:color w:val="auto"/>
                <w:sz w:val="24"/>
                <w:szCs w:val="24"/>
                <w:highlight w:val="none"/>
              </w:rPr>
            </w:pPr>
            <w:bookmarkStart w:id="503" w:name="_Toc31076"/>
            <w:bookmarkStart w:id="504" w:name="_Toc26122"/>
            <w:bookmarkStart w:id="505" w:name="_Toc29849"/>
            <w:bookmarkStart w:id="506" w:name="_Toc22133"/>
            <w:r>
              <w:rPr>
                <w:rFonts w:hint="eastAsia" w:ascii="宋体" w:hAnsi="宋体" w:eastAsia="宋体" w:cs="宋体"/>
                <w:b/>
                <w:color w:val="auto"/>
                <w:sz w:val="24"/>
                <w:szCs w:val="24"/>
                <w:highlight w:val="none"/>
              </w:rPr>
              <w:t>条款号</w:t>
            </w:r>
          </w:p>
        </w:tc>
        <w:tc>
          <w:tcPr>
            <w:tcW w:w="2013" w:type="dxa"/>
            <w:vAlign w:val="center"/>
          </w:tcPr>
          <w:p w14:paraId="3B34568A">
            <w:pPr>
              <w:spacing w:before="100" w:beforeAutospacing="1" w:after="100" w:afterAutospacing="1"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审 内 容</w:t>
            </w:r>
          </w:p>
        </w:tc>
        <w:tc>
          <w:tcPr>
            <w:tcW w:w="6006" w:type="dxa"/>
            <w:vAlign w:val="center"/>
          </w:tcPr>
          <w:p w14:paraId="61A24119">
            <w:pPr>
              <w:spacing w:before="100" w:beforeAutospacing="1" w:after="100" w:afterAutospacing="1"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审 标 准</w:t>
            </w:r>
          </w:p>
        </w:tc>
      </w:tr>
      <w:tr w14:paraId="51A4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vMerge w:val="restart"/>
            <w:vAlign w:val="center"/>
          </w:tcPr>
          <w:p w14:paraId="2D292FC2">
            <w:pPr>
              <w:spacing w:line="240" w:lineRule="atLeast"/>
              <w:jc w:val="center"/>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7</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p>
        </w:tc>
        <w:tc>
          <w:tcPr>
            <w:tcW w:w="1318" w:type="dxa"/>
            <w:vMerge w:val="restart"/>
            <w:vAlign w:val="center"/>
          </w:tcPr>
          <w:p w14:paraId="0864A419">
            <w:pPr>
              <w:spacing w:line="240" w:lineRule="atLeast"/>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符合性评审标准</w:t>
            </w:r>
          </w:p>
        </w:tc>
        <w:tc>
          <w:tcPr>
            <w:tcW w:w="2013" w:type="dxa"/>
            <w:vAlign w:val="center"/>
          </w:tcPr>
          <w:p w14:paraId="7B337D9A">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006" w:type="dxa"/>
            <w:vAlign w:val="center"/>
          </w:tcPr>
          <w:p w14:paraId="33504CFC">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w:t>
            </w:r>
            <w:r>
              <w:rPr>
                <w:rFonts w:hint="eastAsia" w:asciiTheme="majorEastAsia" w:hAnsiTheme="majorEastAsia" w:eastAsiaTheme="majorEastAsia" w:cstheme="majorEastAsia"/>
                <w:color w:val="auto"/>
                <w:sz w:val="24"/>
                <w:szCs w:val="24"/>
                <w:highlight w:val="none"/>
                <w:lang w:val="en-US"/>
              </w:rPr>
              <w:t>17</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rPr>
              <w:t>项规定</w:t>
            </w:r>
          </w:p>
        </w:tc>
      </w:tr>
      <w:tr w14:paraId="72B0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vAlign w:val="center"/>
          </w:tcPr>
          <w:p w14:paraId="68D90C11">
            <w:pPr>
              <w:spacing w:line="240" w:lineRule="atLeast"/>
              <w:jc w:val="center"/>
              <w:rPr>
                <w:rFonts w:ascii="宋体" w:hAnsi="宋体" w:eastAsia="宋体" w:cs="宋体"/>
                <w:color w:val="auto"/>
                <w:sz w:val="24"/>
                <w:szCs w:val="24"/>
                <w:highlight w:val="none"/>
              </w:rPr>
            </w:pPr>
          </w:p>
        </w:tc>
        <w:tc>
          <w:tcPr>
            <w:tcW w:w="1318" w:type="dxa"/>
            <w:vMerge w:val="continue"/>
            <w:vAlign w:val="center"/>
          </w:tcPr>
          <w:p w14:paraId="57F44E7A">
            <w:pPr>
              <w:spacing w:line="240" w:lineRule="atLeast"/>
              <w:contextualSpacing/>
              <w:jc w:val="center"/>
              <w:rPr>
                <w:rFonts w:ascii="宋体" w:hAnsi="宋体" w:eastAsia="宋体" w:cs="宋体"/>
                <w:color w:val="auto"/>
                <w:sz w:val="24"/>
                <w:szCs w:val="24"/>
                <w:highlight w:val="none"/>
              </w:rPr>
            </w:pPr>
          </w:p>
        </w:tc>
        <w:tc>
          <w:tcPr>
            <w:tcW w:w="2013" w:type="dxa"/>
            <w:vAlign w:val="center"/>
          </w:tcPr>
          <w:p w14:paraId="6155DDEE">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006" w:type="dxa"/>
            <w:vAlign w:val="center"/>
          </w:tcPr>
          <w:p w14:paraId="2E628F14">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w:t>
            </w:r>
            <w:r>
              <w:rPr>
                <w:rFonts w:hint="eastAsia" w:asciiTheme="majorEastAsia" w:hAnsiTheme="majorEastAsia" w:eastAsiaTheme="majorEastAsia" w:cstheme="majorEastAsia"/>
                <w:color w:val="auto"/>
                <w:sz w:val="24"/>
                <w:szCs w:val="24"/>
                <w:highlight w:val="none"/>
                <w:lang w:val="en-US"/>
              </w:rPr>
              <w:t>21</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rPr>
              <w:t>项规定</w:t>
            </w:r>
          </w:p>
        </w:tc>
      </w:tr>
      <w:tr w14:paraId="625D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vAlign w:val="center"/>
          </w:tcPr>
          <w:p w14:paraId="625EDC39">
            <w:pPr>
              <w:spacing w:line="240" w:lineRule="atLeast"/>
              <w:jc w:val="center"/>
              <w:rPr>
                <w:rFonts w:ascii="宋体" w:hAnsi="宋体" w:eastAsia="宋体" w:cs="宋体"/>
                <w:color w:val="auto"/>
                <w:sz w:val="24"/>
                <w:szCs w:val="24"/>
                <w:highlight w:val="none"/>
              </w:rPr>
            </w:pPr>
          </w:p>
        </w:tc>
        <w:tc>
          <w:tcPr>
            <w:tcW w:w="1318" w:type="dxa"/>
            <w:vMerge w:val="continue"/>
            <w:vAlign w:val="center"/>
          </w:tcPr>
          <w:p w14:paraId="62D24B51">
            <w:pPr>
              <w:spacing w:line="240" w:lineRule="atLeast"/>
              <w:contextualSpacing/>
              <w:jc w:val="center"/>
              <w:rPr>
                <w:rFonts w:ascii="宋体" w:hAnsi="宋体" w:eastAsia="宋体" w:cs="宋体"/>
                <w:color w:val="auto"/>
                <w:sz w:val="24"/>
                <w:szCs w:val="24"/>
                <w:highlight w:val="none"/>
              </w:rPr>
            </w:pPr>
          </w:p>
        </w:tc>
        <w:tc>
          <w:tcPr>
            <w:tcW w:w="2013" w:type="dxa"/>
            <w:vAlign w:val="center"/>
          </w:tcPr>
          <w:p w14:paraId="085099B1">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tc>
        <w:tc>
          <w:tcPr>
            <w:tcW w:w="6006" w:type="dxa"/>
            <w:vAlign w:val="center"/>
          </w:tcPr>
          <w:p w14:paraId="3AFC3056">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符合第四章“投标文件格式”的要求</w:t>
            </w:r>
          </w:p>
        </w:tc>
      </w:tr>
      <w:tr w14:paraId="4852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21" w:type="dxa"/>
            <w:vMerge w:val="continue"/>
            <w:vAlign w:val="center"/>
          </w:tcPr>
          <w:p w14:paraId="6281AA3F">
            <w:pPr>
              <w:spacing w:line="240" w:lineRule="atLeast"/>
              <w:jc w:val="center"/>
              <w:rPr>
                <w:rFonts w:ascii="宋体" w:hAnsi="宋体" w:eastAsia="宋体" w:cs="宋体"/>
                <w:color w:val="auto"/>
                <w:sz w:val="24"/>
                <w:szCs w:val="24"/>
                <w:highlight w:val="none"/>
              </w:rPr>
            </w:pPr>
          </w:p>
        </w:tc>
        <w:tc>
          <w:tcPr>
            <w:tcW w:w="1318" w:type="dxa"/>
            <w:vMerge w:val="continue"/>
            <w:vAlign w:val="center"/>
          </w:tcPr>
          <w:p w14:paraId="20F90253">
            <w:pPr>
              <w:spacing w:line="240" w:lineRule="atLeast"/>
              <w:contextualSpacing/>
              <w:jc w:val="center"/>
              <w:rPr>
                <w:rFonts w:ascii="宋体" w:hAnsi="宋体" w:eastAsia="宋体" w:cs="宋体"/>
                <w:color w:val="auto"/>
                <w:sz w:val="24"/>
                <w:szCs w:val="24"/>
                <w:highlight w:val="none"/>
              </w:rPr>
            </w:pPr>
          </w:p>
        </w:tc>
        <w:tc>
          <w:tcPr>
            <w:tcW w:w="2013" w:type="dxa"/>
            <w:vAlign w:val="center"/>
          </w:tcPr>
          <w:p w14:paraId="5E52F4A9">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投标文件签署、盖章</w:t>
            </w:r>
          </w:p>
        </w:tc>
        <w:tc>
          <w:tcPr>
            <w:tcW w:w="6006" w:type="dxa"/>
            <w:vAlign w:val="center"/>
          </w:tcPr>
          <w:p w14:paraId="18BD44A5">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符合采购文件签字盖章要求及第四章“投标文件格式”要求在规定位置盖电子签章、签字</w:t>
            </w:r>
          </w:p>
        </w:tc>
      </w:tr>
      <w:tr w14:paraId="2EEA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21" w:type="dxa"/>
            <w:vMerge w:val="continue"/>
            <w:vAlign w:val="center"/>
          </w:tcPr>
          <w:p w14:paraId="3934C783">
            <w:pPr>
              <w:spacing w:line="240" w:lineRule="atLeast"/>
              <w:jc w:val="center"/>
              <w:rPr>
                <w:rFonts w:ascii="宋体" w:hAnsi="宋体" w:eastAsia="宋体" w:cs="宋体"/>
                <w:color w:val="auto"/>
                <w:sz w:val="24"/>
                <w:szCs w:val="24"/>
                <w:highlight w:val="none"/>
              </w:rPr>
            </w:pPr>
          </w:p>
        </w:tc>
        <w:tc>
          <w:tcPr>
            <w:tcW w:w="1318" w:type="dxa"/>
            <w:vMerge w:val="continue"/>
            <w:vAlign w:val="center"/>
          </w:tcPr>
          <w:p w14:paraId="209F40C9">
            <w:pPr>
              <w:spacing w:line="240" w:lineRule="atLeast"/>
              <w:contextualSpacing/>
              <w:jc w:val="center"/>
              <w:rPr>
                <w:rFonts w:ascii="宋体" w:hAnsi="宋体" w:eastAsia="宋体" w:cs="宋体"/>
                <w:color w:val="auto"/>
                <w:sz w:val="24"/>
                <w:szCs w:val="24"/>
                <w:highlight w:val="none"/>
              </w:rPr>
            </w:pPr>
          </w:p>
        </w:tc>
        <w:tc>
          <w:tcPr>
            <w:tcW w:w="2013" w:type="dxa"/>
            <w:vAlign w:val="center"/>
          </w:tcPr>
          <w:p w14:paraId="272960E5">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006" w:type="dxa"/>
            <w:vAlign w:val="center"/>
          </w:tcPr>
          <w:p w14:paraId="56772987">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投标报价未超过招标文件中规定的预算金额或者招标最高限价的；</w:t>
            </w:r>
          </w:p>
        </w:tc>
      </w:tr>
      <w:tr w14:paraId="0A1A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1" w:type="dxa"/>
            <w:vMerge w:val="continue"/>
            <w:vAlign w:val="center"/>
          </w:tcPr>
          <w:p w14:paraId="6B601797">
            <w:pPr>
              <w:spacing w:line="240" w:lineRule="atLeast"/>
              <w:jc w:val="center"/>
              <w:rPr>
                <w:rFonts w:ascii="宋体" w:hAnsi="宋体" w:eastAsia="宋体" w:cs="宋体"/>
                <w:color w:val="auto"/>
                <w:sz w:val="24"/>
                <w:szCs w:val="24"/>
                <w:highlight w:val="none"/>
              </w:rPr>
            </w:pPr>
          </w:p>
        </w:tc>
        <w:tc>
          <w:tcPr>
            <w:tcW w:w="1318" w:type="dxa"/>
            <w:vMerge w:val="continue"/>
            <w:vAlign w:val="center"/>
          </w:tcPr>
          <w:p w14:paraId="7BFE58BB">
            <w:pPr>
              <w:spacing w:line="240" w:lineRule="atLeast"/>
              <w:contextualSpacing/>
              <w:jc w:val="center"/>
              <w:rPr>
                <w:rFonts w:ascii="宋体" w:hAnsi="宋体" w:eastAsia="宋体" w:cs="宋体"/>
                <w:color w:val="auto"/>
                <w:sz w:val="24"/>
                <w:szCs w:val="24"/>
                <w:highlight w:val="none"/>
              </w:rPr>
            </w:pPr>
          </w:p>
        </w:tc>
        <w:tc>
          <w:tcPr>
            <w:tcW w:w="2013" w:type="dxa"/>
          </w:tcPr>
          <w:p w14:paraId="0CEF91FD">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合同履约期限（服务期限）</w:t>
            </w:r>
          </w:p>
        </w:tc>
        <w:tc>
          <w:tcPr>
            <w:tcW w:w="6006" w:type="dxa"/>
            <w:vAlign w:val="center"/>
          </w:tcPr>
          <w:p w14:paraId="01281D3B">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符合第二章“投标人须知前附表”第</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rPr>
              <w:t>款规定</w:t>
            </w:r>
          </w:p>
        </w:tc>
      </w:tr>
      <w:tr w14:paraId="0B3D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vAlign w:val="center"/>
          </w:tcPr>
          <w:p w14:paraId="2FF76E77">
            <w:pPr>
              <w:spacing w:line="240" w:lineRule="atLeast"/>
              <w:jc w:val="center"/>
              <w:rPr>
                <w:rFonts w:ascii="宋体" w:hAnsi="宋体" w:eastAsia="宋体" w:cs="宋体"/>
                <w:color w:val="auto"/>
                <w:sz w:val="24"/>
                <w:szCs w:val="24"/>
                <w:highlight w:val="none"/>
              </w:rPr>
            </w:pPr>
          </w:p>
        </w:tc>
        <w:tc>
          <w:tcPr>
            <w:tcW w:w="1318" w:type="dxa"/>
            <w:vMerge w:val="continue"/>
            <w:vAlign w:val="center"/>
          </w:tcPr>
          <w:p w14:paraId="46D33823">
            <w:pPr>
              <w:spacing w:line="240" w:lineRule="atLeast"/>
              <w:contextualSpacing/>
              <w:jc w:val="center"/>
              <w:rPr>
                <w:rFonts w:ascii="宋体" w:hAnsi="宋体" w:eastAsia="宋体" w:cs="宋体"/>
                <w:color w:val="auto"/>
                <w:sz w:val="24"/>
                <w:szCs w:val="24"/>
                <w:highlight w:val="none"/>
              </w:rPr>
            </w:pPr>
          </w:p>
        </w:tc>
        <w:tc>
          <w:tcPr>
            <w:tcW w:w="2013" w:type="dxa"/>
            <w:vAlign w:val="center"/>
          </w:tcPr>
          <w:p w14:paraId="15B9BC99">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法定代表人身份证明书及法定代表人授权委托书</w:t>
            </w:r>
          </w:p>
        </w:tc>
        <w:tc>
          <w:tcPr>
            <w:tcW w:w="6006" w:type="dxa"/>
            <w:vAlign w:val="center"/>
          </w:tcPr>
          <w:p w14:paraId="6A222317">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符合采购文件规定的格式及内容，并加盖公章；法定代表人委托代理人投标的，应附法定代表人授权委托书原件</w:t>
            </w:r>
            <w:r>
              <w:rPr>
                <w:rFonts w:hint="eastAsia" w:ascii="宋体" w:hAnsi="宋体" w:eastAsia="宋体" w:cs="宋体"/>
                <w:color w:val="auto"/>
                <w:sz w:val="24"/>
                <w:szCs w:val="24"/>
                <w:highlight w:val="none"/>
                <w:lang w:val="en-US"/>
              </w:rPr>
              <w:t>扫描件</w:t>
            </w:r>
          </w:p>
        </w:tc>
      </w:tr>
      <w:tr w14:paraId="6256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vAlign w:val="center"/>
          </w:tcPr>
          <w:p w14:paraId="686979D6">
            <w:pPr>
              <w:spacing w:line="240" w:lineRule="atLeast"/>
              <w:jc w:val="center"/>
              <w:rPr>
                <w:rFonts w:ascii="宋体" w:hAnsi="宋体" w:eastAsia="宋体" w:cs="宋体"/>
                <w:color w:val="auto"/>
                <w:sz w:val="24"/>
                <w:szCs w:val="24"/>
                <w:highlight w:val="none"/>
              </w:rPr>
            </w:pPr>
          </w:p>
        </w:tc>
        <w:tc>
          <w:tcPr>
            <w:tcW w:w="1318" w:type="dxa"/>
            <w:vMerge w:val="continue"/>
            <w:vAlign w:val="center"/>
          </w:tcPr>
          <w:p w14:paraId="4025A1B2">
            <w:pPr>
              <w:spacing w:line="240" w:lineRule="atLeast"/>
              <w:contextualSpacing/>
              <w:jc w:val="center"/>
              <w:rPr>
                <w:rFonts w:ascii="宋体" w:hAnsi="宋体" w:eastAsia="宋体" w:cs="宋体"/>
                <w:color w:val="auto"/>
                <w:sz w:val="24"/>
                <w:szCs w:val="24"/>
                <w:highlight w:val="none"/>
              </w:rPr>
            </w:pPr>
          </w:p>
        </w:tc>
        <w:tc>
          <w:tcPr>
            <w:tcW w:w="2013" w:type="dxa"/>
            <w:vAlign w:val="center"/>
          </w:tcPr>
          <w:p w14:paraId="02A95F59">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其他无效情形</w:t>
            </w:r>
          </w:p>
        </w:tc>
        <w:tc>
          <w:tcPr>
            <w:tcW w:w="6006" w:type="dxa"/>
            <w:vAlign w:val="center"/>
          </w:tcPr>
          <w:p w14:paraId="6A1B8BA9">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rPr>
              <w:t>1</w:t>
            </w:r>
            <w:r>
              <w:rPr>
                <w:rFonts w:hint="eastAsia" w:ascii="宋体" w:hAnsi="宋体" w:eastAsia="宋体" w:cs="宋体"/>
                <w:color w:val="auto"/>
                <w:sz w:val="24"/>
                <w:szCs w:val="24"/>
                <w:highlight w:val="none"/>
              </w:rPr>
              <w:t>）不同投标人的投标文件由同一单位或者个人编制；</w:t>
            </w:r>
          </w:p>
          <w:p w14:paraId="21435889">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rPr>
              <w:t>2</w:t>
            </w:r>
            <w:r>
              <w:rPr>
                <w:rFonts w:hint="eastAsia" w:ascii="宋体" w:hAnsi="宋体" w:eastAsia="宋体" w:cs="宋体"/>
                <w:color w:val="auto"/>
                <w:sz w:val="24"/>
                <w:szCs w:val="24"/>
                <w:highlight w:val="none"/>
              </w:rPr>
              <w:t>）不同投标人委托同一单位或者个人办理投标事宜；</w:t>
            </w:r>
          </w:p>
          <w:p w14:paraId="65FAE8BE">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rPr>
              <w:t>3</w:t>
            </w:r>
            <w:r>
              <w:rPr>
                <w:rFonts w:hint="eastAsia" w:ascii="宋体" w:hAnsi="宋体" w:eastAsia="宋体" w:cs="宋体"/>
                <w:color w:val="auto"/>
                <w:sz w:val="24"/>
                <w:szCs w:val="24"/>
                <w:highlight w:val="none"/>
              </w:rPr>
              <w:t>）不同投标人的投标文件载明的项目管理成员或者联系人员为同一人；</w:t>
            </w:r>
          </w:p>
          <w:p w14:paraId="0176E65B">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rPr>
              <w:t>4</w:t>
            </w:r>
            <w:r>
              <w:rPr>
                <w:rFonts w:hint="eastAsia" w:ascii="宋体" w:hAnsi="宋体" w:eastAsia="宋体" w:cs="宋体"/>
                <w:color w:val="auto"/>
                <w:sz w:val="24"/>
                <w:szCs w:val="24"/>
                <w:highlight w:val="none"/>
              </w:rPr>
              <w:t>）不同投标人的投标文件异常一致或者投标报价呈规律性差异；</w:t>
            </w:r>
          </w:p>
          <w:p w14:paraId="367F37C2">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rPr>
              <w:t>5</w:t>
            </w:r>
            <w:r>
              <w:rPr>
                <w:rFonts w:hint="eastAsia" w:ascii="宋体" w:hAnsi="宋体" w:eastAsia="宋体" w:cs="宋体"/>
                <w:color w:val="auto"/>
                <w:sz w:val="24"/>
                <w:szCs w:val="24"/>
                <w:highlight w:val="none"/>
              </w:rPr>
              <w:t>）不同投标人的投标文件相互混装；</w:t>
            </w:r>
          </w:p>
          <w:p w14:paraId="6DD2F616">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rPr>
              <w:t>6</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法律法规和招标文件规定的其他无效情形。</w:t>
            </w:r>
          </w:p>
        </w:tc>
      </w:tr>
      <w:tr w14:paraId="2CEF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vAlign w:val="center"/>
          </w:tcPr>
          <w:p w14:paraId="12A0FD36">
            <w:pPr>
              <w:spacing w:line="240" w:lineRule="atLeast"/>
              <w:rPr>
                <w:rFonts w:ascii="宋体" w:hAnsi="宋体" w:eastAsia="宋体" w:cs="宋体"/>
                <w:color w:val="auto"/>
                <w:sz w:val="24"/>
                <w:szCs w:val="24"/>
                <w:highlight w:val="none"/>
              </w:rPr>
            </w:pPr>
          </w:p>
        </w:tc>
        <w:tc>
          <w:tcPr>
            <w:tcW w:w="1318" w:type="dxa"/>
            <w:vMerge w:val="continue"/>
            <w:vAlign w:val="center"/>
          </w:tcPr>
          <w:p w14:paraId="60233421">
            <w:pPr>
              <w:spacing w:line="240" w:lineRule="atLeast"/>
              <w:contextualSpacing/>
              <w:jc w:val="center"/>
              <w:rPr>
                <w:rFonts w:ascii="宋体" w:hAnsi="宋体" w:eastAsia="宋体" w:cs="宋体"/>
                <w:color w:val="auto"/>
                <w:sz w:val="24"/>
                <w:szCs w:val="24"/>
                <w:highlight w:val="none"/>
              </w:rPr>
            </w:pPr>
          </w:p>
        </w:tc>
        <w:tc>
          <w:tcPr>
            <w:tcW w:w="2013" w:type="dxa"/>
            <w:vAlign w:val="center"/>
          </w:tcPr>
          <w:p w14:paraId="025C9F4E">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6006" w:type="dxa"/>
            <w:vAlign w:val="center"/>
          </w:tcPr>
          <w:p w14:paraId="181EFDE6">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投标文件不含有采购人不能接受的附加条件的，法律法规和招标文件规定的其他无效情形。</w:t>
            </w:r>
          </w:p>
        </w:tc>
      </w:tr>
      <w:tr w14:paraId="76CF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vAlign w:val="center"/>
          </w:tcPr>
          <w:p w14:paraId="55DB028E">
            <w:pPr>
              <w:spacing w:line="240" w:lineRule="atLeast"/>
              <w:rPr>
                <w:rFonts w:ascii="宋体" w:hAnsi="宋体" w:eastAsia="宋体" w:cs="宋体"/>
                <w:color w:val="auto"/>
                <w:sz w:val="24"/>
                <w:szCs w:val="24"/>
                <w:highlight w:val="none"/>
              </w:rPr>
            </w:pPr>
          </w:p>
        </w:tc>
        <w:tc>
          <w:tcPr>
            <w:tcW w:w="1318" w:type="dxa"/>
            <w:vMerge w:val="continue"/>
            <w:vAlign w:val="center"/>
          </w:tcPr>
          <w:p w14:paraId="486E4542">
            <w:pPr>
              <w:spacing w:line="240" w:lineRule="atLeast"/>
              <w:contextualSpacing/>
              <w:jc w:val="center"/>
              <w:rPr>
                <w:rFonts w:ascii="宋体" w:hAnsi="宋体" w:eastAsia="宋体" w:cs="宋体"/>
                <w:color w:val="auto"/>
                <w:sz w:val="24"/>
                <w:szCs w:val="24"/>
                <w:highlight w:val="none"/>
              </w:rPr>
            </w:pPr>
          </w:p>
        </w:tc>
        <w:tc>
          <w:tcPr>
            <w:tcW w:w="2013" w:type="dxa"/>
            <w:shd w:val="clear" w:color="auto" w:fill="auto"/>
            <w:vAlign w:val="center"/>
          </w:tcPr>
          <w:p w14:paraId="58FBC047">
            <w:pPr>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其它实质性条件</w:t>
            </w:r>
          </w:p>
        </w:tc>
        <w:tc>
          <w:tcPr>
            <w:tcW w:w="6006" w:type="dxa"/>
            <w:shd w:val="clear" w:color="auto" w:fill="auto"/>
            <w:vAlign w:val="center"/>
          </w:tcPr>
          <w:p w14:paraId="57E9DFC2">
            <w:pPr>
              <w:spacing w:line="360" w:lineRule="auto"/>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未实质性响应招标文件中标注★条款内容的；</w:t>
            </w:r>
          </w:p>
        </w:tc>
      </w:tr>
      <w:tr w14:paraId="6E89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restart"/>
            <w:vAlign w:val="center"/>
          </w:tcPr>
          <w:p w14:paraId="08A84031">
            <w:pPr>
              <w:spacing w:line="240" w:lineRule="atLeast"/>
              <w:jc w:val="center"/>
              <w:rPr>
                <w:rFonts w:ascii="宋体" w:hAnsi="宋体" w:eastAsia="宋体" w:cs="宋体"/>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rPr>
              <w:t>7</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rPr>
              <w:t>2</w:t>
            </w:r>
          </w:p>
        </w:tc>
        <w:tc>
          <w:tcPr>
            <w:tcW w:w="1318" w:type="dxa"/>
            <w:vMerge w:val="restart"/>
            <w:vAlign w:val="center"/>
          </w:tcPr>
          <w:p w14:paraId="2796DBBF">
            <w:pPr>
              <w:spacing w:line="2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分值构成与评分标准</w:t>
            </w:r>
          </w:p>
        </w:tc>
        <w:tc>
          <w:tcPr>
            <w:tcW w:w="2013" w:type="dxa"/>
            <w:vAlign w:val="center"/>
          </w:tcPr>
          <w:p w14:paraId="46C684BC">
            <w:pPr>
              <w:spacing w:line="240" w:lineRule="atLeast"/>
              <w:rPr>
                <w:rFonts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宋体" w:hAnsi="宋体" w:eastAsia="宋体" w:cs="宋体"/>
                <w:color w:val="auto"/>
                <w:sz w:val="24"/>
                <w:szCs w:val="24"/>
                <w:highlight w:val="none"/>
              </w:rPr>
              <w:t>）评标总得分计算公式</w:t>
            </w:r>
          </w:p>
        </w:tc>
        <w:tc>
          <w:tcPr>
            <w:tcW w:w="6006" w:type="dxa"/>
            <w:vAlign w:val="center"/>
          </w:tcPr>
          <w:p w14:paraId="32AB195A">
            <w:pPr>
              <w:autoSpaceDE/>
              <w:autoSpaceDN/>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投标人的评审得分满分</w:t>
            </w:r>
            <w:r>
              <w:rPr>
                <w:rFonts w:hint="eastAsia" w:asciiTheme="majorEastAsia" w:hAnsiTheme="majorEastAsia" w:eastAsiaTheme="majorEastAsia" w:cstheme="majorEastAsia"/>
                <w:color w:val="auto"/>
                <w:sz w:val="24"/>
                <w:szCs w:val="24"/>
                <w:highlight w:val="none"/>
              </w:rPr>
              <w:t>100</w:t>
            </w:r>
            <w:r>
              <w:rPr>
                <w:rFonts w:hint="eastAsia" w:ascii="宋体" w:hAnsi="宋体" w:eastAsia="宋体" w:cs="宋体"/>
                <w:color w:val="auto"/>
                <w:sz w:val="24"/>
                <w:szCs w:val="24"/>
                <w:highlight w:val="none"/>
              </w:rPr>
              <w:t>分，</w:t>
            </w:r>
          </w:p>
          <w:p w14:paraId="1D55255D">
            <w:pPr>
              <w:autoSpaceDE/>
              <w:autoSpaceDN/>
              <w:spacing w:line="360" w:lineRule="auto"/>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投标人的评标总得分＝F</w:t>
            </w:r>
            <w:r>
              <w:rPr>
                <w:rFonts w:hint="eastAsia" w:asciiTheme="majorEastAsia" w:hAnsiTheme="majorEastAsia" w:eastAsiaTheme="majorEastAsia" w:cstheme="majorEastAsia"/>
                <w:color w:val="auto"/>
                <w:sz w:val="24"/>
                <w:szCs w:val="24"/>
                <w:highlight w:val="none"/>
              </w:rPr>
              <w:t>1</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F</w:t>
            </w:r>
            <w:r>
              <w:rPr>
                <w:rFonts w:hint="eastAsia" w:asciiTheme="majorEastAsia" w:hAnsiTheme="majorEastAsia" w:eastAsiaTheme="majorEastAsia" w:cstheme="majorEastAsia"/>
                <w:color w:val="auto"/>
                <w:sz w:val="24"/>
                <w:szCs w:val="24"/>
                <w:highlight w:val="none"/>
              </w:rPr>
              <w:t>2</w:t>
            </w:r>
            <w:r>
              <w:rPr>
                <w:rFonts w:hint="eastAsia" w:ascii="宋体" w:hAnsi="宋体" w:eastAsia="宋体" w:cs="宋体"/>
                <w:color w:val="auto"/>
                <w:sz w:val="24"/>
                <w:szCs w:val="24"/>
                <w:highlight w:val="none"/>
                <w:lang w:val="en-US"/>
              </w:rPr>
              <w:t>+F</w:t>
            </w:r>
            <w:r>
              <w:rPr>
                <w:rFonts w:hint="eastAsia" w:asciiTheme="majorEastAsia" w:hAnsiTheme="majorEastAsia" w:eastAsiaTheme="majorEastAsia" w:cstheme="majorEastAsia"/>
                <w:color w:val="auto"/>
                <w:sz w:val="24"/>
                <w:szCs w:val="24"/>
                <w:highlight w:val="none"/>
                <w:lang w:val="en-US"/>
              </w:rPr>
              <w:t>3</w:t>
            </w:r>
          </w:p>
          <w:p w14:paraId="7648B16F">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其中：F</w:t>
            </w:r>
            <w:r>
              <w:rPr>
                <w:rFonts w:hint="eastAsia" w:asciiTheme="majorEastAsia" w:hAnsiTheme="majorEastAsia" w:eastAsiaTheme="majorEastAsia" w:cstheme="majorEastAsia"/>
                <w:color w:val="auto"/>
                <w:sz w:val="24"/>
                <w:szCs w:val="24"/>
                <w:highlight w:val="none"/>
              </w:rPr>
              <w:t>1</w:t>
            </w:r>
            <w:r>
              <w:rPr>
                <w:rFonts w:hint="eastAsia" w:ascii="宋体" w:hAnsi="宋体" w:eastAsia="宋体" w:cs="宋体"/>
                <w:color w:val="auto"/>
                <w:sz w:val="24"/>
                <w:szCs w:val="24"/>
                <w:highlight w:val="none"/>
              </w:rPr>
              <w:t>、F</w:t>
            </w:r>
            <w:r>
              <w:rPr>
                <w:rFonts w:hint="eastAsia" w:asciiTheme="majorEastAsia" w:hAnsiTheme="majorEastAsia" w:eastAsiaTheme="majorEastAsia" w:cstheme="majorEastAsia"/>
                <w:color w:val="auto"/>
                <w:sz w:val="24"/>
                <w:szCs w:val="24"/>
                <w:highlight w:val="none"/>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F</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rPr>
              <w:t>分别为投标报价、技术部分、商务部分</w:t>
            </w:r>
            <w:r>
              <w:rPr>
                <w:rFonts w:hint="eastAsia" w:asciiTheme="majorEastAsia" w:hAnsiTheme="majorEastAsia" w:eastAsiaTheme="majorEastAsia" w:cstheme="majorEastAsia"/>
                <w:color w:val="auto"/>
                <w:sz w:val="24"/>
                <w:szCs w:val="24"/>
                <w:highlight w:val="none"/>
              </w:rPr>
              <w:t>3</w:t>
            </w:r>
            <w:r>
              <w:rPr>
                <w:rFonts w:hint="eastAsia" w:ascii="宋体" w:hAnsi="宋体" w:eastAsia="宋体" w:cs="宋体"/>
                <w:color w:val="auto"/>
                <w:sz w:val="24"/>
                <w:szCs w:val="24"/>
                <w:highlight w:val="none"/>
              </w:rPr>
              <w:t>项评分的汇总得分。</w:t>
            </w:r>
          </w:p>
        </w:tc>
      </w:tr>
      <w:tr w14:paraId="5B5A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vAlign w:val="center"/>
          </w:tcPr>
          <w:p w14:paraId="1D3BFD0D">
            <w:pPr>
              <w:spacing w:line="240" w:lineRule="atLeast"/>
              <w:rPr>
                <w:rFonts w:ascii="宋体" w:hAnsi="宋体" w:eastAsia="宋体" w:cs="宋体"/>
                <w:color w:val="auto"/>
                <w:sz w:val="24"/>
                <w:szCs w:val="24"/>
                <w:highlight w:val="none"/>
              </w:rPr>
            </w:pPr>
          </w:p>
        </w:tc>
        <w:tc>
          <w:tcPr>
            <w:tcW w:w="1318" w:type="dxa"/>
            <w:vMerge w:val="continue"/>
            <w:vAlign w:val="center"/>
          </w:tcPr>
          <w:p w14:paraId="3FECAE71">
            <w:pPr>
              <w:spacing w:line="240" w:lineRule="atLeast"/>
              <w:rPr>
                <w:rFonts w:ascii="宋体" w:hAnsi="宋体" w:eastAsia="宋体" w:cs="宋体"/>
                <w:color w:val="auto"/>
                <w:sz w:val="24"/>
                <w:szCs w:val="24"/>
                <w:highlight w:val="none"/>
              </w:rPr>
            </w:pPr>
          </w:p>
        </w:tc>
        <w:tc>
          <w:tcPr>
            <w:tcW w:w="2013" w:type="dxa"/>
            <w:vAlign w:val="center"/>
          </w:tcPr>
          <w:p w14:paraId="325640E5">
            <w:pPr>
              <w:autoSpaceDE/>
              <w:autoSpaceDN/>
              <w:spacing w:line="240" w:lineRule="atLeast"/>
              <w:jc w:val="center"/>
              <w:rPr>
                <w:rFonts w:ascii="宋体" w:hAnsi="宋体" w:eastAsia="宋体" w:cs="宋体"/>
                <w:color w:val="auto"/>
                <w:sz w:val="24"/>
                <w:szCs w:val="24"/>
                <w:highlight w:val="none"/>
              </w:rPr>
            </w:pPr>
            <w:r>
              <w:rPr>
                <w:rFonts w:hint="eastAsia" w:asciiTheme="majorEastAsia" w:hAnsiTheme="majorEastAsia" w:eastAsiaTheme="majorEastAsia" w:cstheme="majorEastAsia"/>
                <w:color w:val="auto"/>
                <w:sz w:val="24"/>
                <w:szCs w:val="24"/>
                <w:highlight w:val="none"/>
              </w:rPr>
              <w:t>2</w:t>
            </w:r>
            <w:r>
              <w:rPr>
                <w:rFonts w:hint="eastAsia" w:ascii="宋体" w:hAnsi="宋体" w:eastAsia="宋体" w:cs="宋体"/>
                <w:color w:val="auto"/>
                <w:sz w:val="24"/>
                <w:szCs w:val="24"/>
                <w:highlight w:val="none"/>
              </w:rPr>
              <w:t>）评审因素权重</w:t>
            </w:r>
          </w:p>
        </w:tc>
        <w:tc>
          <w:tcPr>
            <w:tcW w:w="6006" w:type="dxa"/>
            <w:vAlign w:val="center"/>
          </w:tcPr>
          <w:p w14:paraId="28AF065E">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投标报价F</w:t>
            </w:r>
            <w:r>
              <w:rPr>
                <w:rFonts w:hint="eastAsia" w:asciiTheme="majorEastAsia" w:hAnsiTheme="majorEastAsia" w:eastAsiaTheme="majorEastAsia" w:cstheme="majorEastAsia"/>
                <w:color w:val="auto"/>
                <w:sz w:val="24"/>
                <w:szCs w:val="24"/>
                <w:highlight w:val="none"/>
              </w:rPr>
              <w:t>1</w:t>
            </w: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rPr>
              <w:t>10</w:t>
            </w:r>
            <w:r>
              <w:rPr>
                <w:rFonts w:hint="eastAsia" w:ascii="宋体" w:hAnsi="宋体" w:eastAsia="宋体" w:cs="宋体"/>
                <w:color w:val="auto"/>
                <w:sz w:val="24"/>
                <w:szCs w:val="24"/>
                <w:highlight w:val="none"/>
              </w:rPr>
              <w:t>分。</w:t>
            </w:r>
          </w:p>
          <w:p w14:paraId="473C9B62">
            <w:pPr>
              <w:spacing w:line="360" w:lineRule="auto"/>
              <w:jc w:val="both"/>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技术部分F</w:t>
            </w:r>
            <w:r>
              <w:rPr>
                <w:rFonts w:hint="eastAsia" w:asciiTheme="majorEastAsia" w:hAnsiTheme="majorEastAsia" w:eastAsiaTheme="majorEastAsia" w:cstheme="majorEastAsia"/>
                <w:color w:val="auto"/>
                <w:sz w:val="24"/>
                <w:szCs w:val="24"/>
                <w:highlight w:val="none"/>
              </w:rPr>
              <w:t>2</w:t>
            </w:r>
            <w:r>
              <w:rPr>
                <w:rFonts w:hint="eastAsia" w:ascii="宋体" w:hAnsi="宋体" w:eastAsia="宋体" w:cs="宋体"/>
                <w:color w:val="auto"/>
                <w:sz w:val="24"/>
                <w:szCs w:val="24"/>
                <w:highlight w:val="none"/>
              </w:rPr>
              <w:t>：</w:t>
            </w:r>
            <w:r>
              <w:rPr>
                <w:rFonts w:hint="eastAsia" w:asciiTheme="majorEastAsia" w:hAnsiTheme="majorEastAsia" w:eastAsiaTheme="majorEastAsia" w:cstheme="majorEastAsia"/>
                <w:bCs/>
                <w:color w:val="auto"/>
                <w:sz w:val="24"/>
                <w:szCs w:val="24"/>
                <w:highlight w:val="none"/>
                <w:lang w:val="en-US" w:eastAsia="zh-CN"/>
              </w:rPr>
              <w:t>80</w:t>
            </w:r>
            <w:r>
              <w:rPr>
                <w:rFonts w:hint="eastAsia" w:ascii="宋体" w:hAnsi="宋体" w:eastAsia="宋体" w:cs="宋体"/>
                <w:bCs/>
                <w:color w:val="auto"/>
                <w:sz w:val="24"/>
                <w:szCs w:val="24"/>
                <w:highlight w:val="none"/>
                <w:lang w:val="en-US"/>
              </w:rPr>
              <w:t>分</w:t>
            </w:r>
            <w:r>
              <w:rPr>
                <w:rFonts w:hint="eastAsia" w:ascii="宋体" w:hAnsi="宋体" w:eastAsia="宋体" w:cs="宋体"/>
                <w:bCs/>
                <w:color w:val="auto"/>
                <w:sz w:val="24"/>
                <w:szCs w:val="24"/>
                <w:highlight w:val="none"/>
              </w:rPr>
              <w:t>。</w:t>
            </w:r>
          </w:p>
          <w:p w14:paraId="73C752B4">
            <w:pPr>
              <w:spacing w:line="360" w:lineRule="auto"/>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rPr>
              <w:t>F</w:t>
            </w:r>
            <w:r>
              <w:rPr>
                <w:rFonts w:hint="eastAsia" w:asciiTheme="majorEastAsia" w:hAnsiTheme="majorEastAsia" w:eastAsiaTheme="majorEastAsia" w:cstheme="majorEastAsia"/>
                <w:color w:val="auto"/>
                <w:sz w:val="24"/>
                <w:szCs w:val="24"/>
                <w:highlight w:val="none"/>
                <w:lang w:val="en-US"/>
              </w:rPr>
              <w:t>3</w:t>
            </w:r>
            <w:r>
              <w:rPr>
                <w:rFonts w:hint="eastAsia" w:ascii="宋体" w:hAnsi="宋体" w:eastAsia="宋体" w:cs="宋体"/>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eastAsia="zh-CN"/>
              </w:rPr>
              <w:t>10</w:t>
            </w:r>
            <w:r>
              <w:rPr>
                <w:rFonts w:hint="eastAsia" w:ascii="宋体" w:hAnsi="宋体" w:eastAsia="宋体" w:cs="宋体"/>
                <w:color w:val="auto"/>
                <w:sz w:val="24"/>
                <w:szCs w:val="24"/>
                <w:highlight w:val="none"/>
                <w:lang w:val="en-US"/>
              </w:rPr>
              <w:t>分。</w:t>
            </w:r>
          </w:p>
        </w:tc>
      </w:tr>
      <w:tr w14:paraId="2DEA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vAlign w:val="center"/>
          </w:tcPr>
          <w:p w14:paraId="365B256E">
            <w:pPr>
              <w:spacing w:line="240" w:lineRule="atLeast"/>
              <w:rPr>
                <w:rFonts w:ascii="宋体" w:hAnsi="宋体" w:eastAsia="宋体" w:cs="宋体"/>
                <w:color w:val="auto"/>
                <w:sz w:val="24"/>
                <w:szCs w:val="24"/>
                <w:highlight w:val="none"/>
              </w:rPr>
            </w:pPr>
          </w:p>
        </w:tc>
        <w:tc>
          <w:tcPr>
            <w:tcW w:w="1318" w:type="dxa"/>
            <w:vMerge w:val="continue"/>
            <w:vAlign w:val="center"/>
          </w:tcPr>
          <w:p w14:paraId="1A4C4F82">
            <w:pPr>
              <w:spacing w:line="240" w:lineRule="atLeast"/>
              <w:rPr>
                <w:rFonts w:ascii="宋体" w:hAnsi="宋体" w:eastAsia="宋体" w:cs="宋体"/>
                <w:color w:val="auto"/>
                <w:sz w:val="24"/>
                <w:szCs w:val="24"/>
                <w:highlight w:val="none"/>
              </w:rPr>
            </w:pPr>
          </w:p>
        </w:tc>
        <w:tc>
          <w:tcPr>
            <w:tcW w:w="2013" w:type="dxa"/>
            <w:vAlign w:val="center"/>
          </w:tcPr>
          <w:p w14:paraId="3F2988AA">
            <w:pPr>
              <w:tabs>
                <w:tab w:val="left" w:pos="540"/>
              </w:tabs>
              <w:autoSpaceDE/>
              <w:autoSpaceDN/>
              <w:spacing w:after="100" w:line="0" w:lineRule="atLeas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rPr>
              <w:t>F</w:t>
            </w:r>
            <w:r>
              <w:rPr>
                <w:rFonts w:hint="eastAsia" w:asciiTheme="majorEastAsia" w:hAnsiTheme="majorEastAsia" w:eastAsiaTheme="majorEastAsia" w:cstheme="majorEastAsia"/>
                <w:b/>
                <w:bCs/>
                <w:color w:val="auto"/>
                <w:sz w:val="24"/>
                <w:szCs w:val="24"/>
                <w:highlight w:val="none"/>
                <w:lang w:val="en-US"/>
              </w:rPr>
              <w:t>1</w:t>
            </w:r>
            <w:r>
              <w:rPr>
                <w:rFonts w:hint="eastAsia" w:ascii="宋体" w:hAnsi="宋体" w:eastAsia="宋体" w:cs="宋体"/>
                <w:b/>
                <w:bCs/>
                <w:color w:val="auto"/>
                <w:sz w:val="24"/>
                <w:szCs w:val="24"/>
                <w:highlight w:val="none"/>
                <w:lang w:val="en-US"/>
              </w:rPr>
              <w:t>报价部分评审（满分</w:t>
            </w:r>
            <w:r>
              <w:rPr>
                <w:rFonts w:hint="eastAsia" w:asciiTheme="majorEastAsia" w:hAnsiTheme="majorEastAsia" w:eastAsiaTheme="majorEastAsia" w:cstheme="majorEastAsia"/>
                <w:b/>
                <w:bCs/>
                <w:color w:val="auto"/>
                <w:sz w:val="24"/>
                <w:szCs w:val="24"/>
                <w:highlight w:val="none"/>
                <w:lang w:val="en-US"/>
              </w:rPr>
              <w:t>10</w:t>
            </w:r>
            <w:r>
              <w:rPr>
                <w:rFonts w:hint="eastAsia" w:ascii="宋体" w:hAnsi="宋体" w:eastAsia="宋体" w:cs="宋体"/>
                <w:b/>
                <w:bCs/>
                <w:color w:val="auto"/>
                <w:sz w:val="24"/>
                <w:szCs w:val="24"/>
                <w:highlight w:val="none"/>
                <w:lang w:val="en-US"/>
              </w:rPr>
              <w:t>分）</w:t>
            </w:r>
          </w:p>
        </w:tc>
        <w:tc>
          <w:tcPr>
            <w:tcW w:w="6006" w:type="dxa"/>
            <w:vAlign w:val="center"/>
          </w:tcPr>
          <w:p w14:paraId="0EAB457F">
            <w:pPr>
              <w:tabs>
                <w:tab w:val="left" w:pos="540"/>
              </w:tabs>
              <w:autoSpaceDE/>
              <w:autoSpaceDN/>
              <w:spacing w:after="100" w:line="0" w:lineRule="atLeast"/>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投标报价计算公式=评标基准价/投标报价×</w:t>
            </w:r>
            <w:r>
              <w:rPr>
                <w:rFonts w:hint="eastAsia" w:asciiTheme="majorEastAsia" w:hAnsiTheme="majorEastAsia" w:eastAsiaTheme="majorEastAsia" w:cstheme="majorEastAsia"/>
                <w:color w:val="auto"/>
                <w:sz w:val="24"/>
                <w:szCs w:val="24"/>
                <w:highlight w:val="none"/>
                <w:lang w:val="en-US"/>
              </w:rPr>
              <w:t>10</w:t>
            </w:r>
          </w:p>
          <w:p w14:paraId="3825E9F7">
            <w:pPr>
              <w:tabs>
                <w:tab w:val="left" w:pos="540"/>
              </w:tabs>
              <w:autoSpaceDE/>
              <w:autoSpaceDN/>
              <w:spacing w:after="100" w:line="0" w:lineRule="atLeast"/>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lang w:val="en-US"/>
              </w:rPr>
              <w:t>：F</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=[C/（B</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，B</w:t>
            </w:r>
            <w:r>
              <w:rPr>
                <w:rFonts w:hint="eastAsia" w:asciiTheme="majorEastAsia" w:hAnsiTheme="majorEastAsia" w:eastAsiaTheme="majorEastAsia" w:cstheme="majorEastAsia"/>
                <w:color w:val="auto"/>
                <w:sz w:val="24"/>
                <w:szCs w:val="24"/>
                <w:highlight w:val="none"/>
                <w:lang w:val="en-US"/>
              </w:rPr>
              <w:t>2</w:t>
            </w:r>
            <w:r>
              <w:rPr>
                <w:rFonts w:hint="eastAsia" w:ascii="宋体" w:hAnsi="宋体" w:eastAsia="宋体" w:cs="宋体"/>
                <w:color w:val="auto"/>
                <w:sz w:val="24"/>
                <w:szCs w:val="24"/>
                <w:highlight w:val="none"/>
                <w:lang w:val="en-US"/>
              </w:rPr>
              <w:t>，…，Bn）]×</w:t>
            </w:r>
            <w:r>
              <w:rPr>
                <w:rFonts w:hint="eastAsia" w:asciiTheme="majorEastAsia" w:hAnsiTheme="majorEastAsia" w:eastAsiaTheme="majorEastAsia" w:cstheme="majorEastAsia"/>
                <w:color w:val="auto"/>
                <w:sz w:val="24"/>
                <w:szCs w:val="24"/>
                <w:highlight w:val="none"/>
                <w:lang w:val="en-US"/>
              </w:rPr>
              <w:t>10</w:t>
            </w:r>
          </w:p>
          <w:p w14:paraId="7CD60CBD">
            <w:pPr>
              <w:tabs>
                <w:tab w:val="left" w:pos="540"/>
              </w:tabs>
              <w:autoSpaceDE/>
              <w:autoSpaceDN/>
              <w:spacing w:after="100" w:line="0" w:lineRule="atLeast"/>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注：C为评标基准价，即实质性要求审查合格且投标价格最低的有效投标报价；</w:t>
            </w:r>
          </w:p>
          <w:p w14:paraId="1F8D4795">
            <w:pPr>
              <w:tabs>
                <w:tab w:val="left" w:pos="540"/>
              </w:tabs>
              <w:autoSpaceDE/>
              <w:autoSpaceDN/>
              <w:spacing w:after="100" w:line="0" w:lineRule="atLeast"/>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Theme="majorEastAsia" w:hAnsiTheme="majorEastAsia" w:eastAsiaTheme="majorEastAsia" w:cstheme="majorEastAsia"/>
                <w:color w:val="auto"/>
                <w:sz w:val="24"/>
                <w:szCs w:val="24"/>
                <w:highlight w:val="none"/>
              </w:rPr>
              <w:t>1</w:t>
            </w:r>
            <w:r>
              <w:rPr>
                <w:rFonts w:hint="eastAsia" w:ascii="宋体" w:hAnsi="宋体" w:eastAsia="宋体" w:cs="宋体"/>
                <w:color w:val="auto"/>
                <w:sz w:val="24"/>
                <w:szCs w:val="24"/>
                <w:highlight w:val="none"/>
              </w:rPr>
              <w:t>，B</w:t>
            </w:r>
            <w:r>
              <w:rPr>
                <w:rFonts w:hint="eastAsia" w:asciiTheme="majorEastAsia" w:hAnsiTheme="majorEastAsia" w:eastAsiaTheme="majorEastAsia" w:cstheme="majorEastAsia"/>
                <w:color w:val="auto"/>
                <w:sz w:val="24"/>
                <w:szCs w:val="24"/>
                <w:highlight w:val="none"/>
              </w:rPr>
              <w:t>2</w:t>
            </w:r>
            <w:r>
              <w:rPr>
                <w:rFonts w:hint="eastAsia" w:ascii="宋体" w:hAnsi="宋体" w:eastAsia="宋体" w:cs="宋体"/>
                <w:color w:val="auto"/>
                <w:sz w:val="24"/>
                <w:szCs w:val="24"/>
                <w:highlight w:val="none"/>
              </w:rPr>
              <w:t>，…，Bn为第n个经初步审查合格的有效投标报价。</w:t>
            </w:r>
          </w:p>
          <w:p w14:paraId="79661F8D">
            <w:pPr>
              <w:tabs>
                <w:tab w:val="left" w:pos="540"/>
              </w:tabs>
              <w:autoSpaceDE/>
              <w:autoSpaceDN/>
              <w:spacing w:after="100" w:line="0" w:lineRule="atLeast"/>
              <w:jc w:val="both"/>
              <w:rPr>
                <w:rFonts w:ascii="宋体" w:hAnsi="宋体" w:eastAsia="宋体" w:cs="宋体"/>
                <w:bCs/>
                <w:color w:val="auto"/>
                <w:sz w:val="24"/>
                <w:szCs w:val="24"/>
                <w:highlight w:val="none"/>
                <w:lang w:val="en-US"/>
              </w:rPr>
            </w:pPr>
            <w:r>
              <w:rPr>
                <w:rFonts w:hint="eastAsia" w:ascii="宋体" w:hAnsi="宋体" w:eastAsia="宋体" w:cs="宋体"/>
                <w:b/>
                <w:bCs/>
                <w:color w:val="auto"/>
                <w:sz w:val="24"/>
                <w:szCs w:val="24"/>
                <w:highlight w:val="none"/>
              </w:rPr>
              <w:t>注：小微企业参与本项目享受</w:t>
            </w:r>
            <w:r>
              <w:rPr>
                <w:rFonts w:hint="eastAsia" w:asciiTheme="majorEastAsia" w:hAnsiTheme="majorEastAsia" w:eastAsiaTheme="majorEastAsia" w:cstheme="majorEastAsia"/>
                <w:b/>
                <w:bCs/>
                <w:color w:val="auto"/>
                <w:sz w:val="24"/>
                <w:szCs w:val="24"/>
                <w:highlight w:val="none"/>
              </w:rPr>
              <w:t>10</w:t>
            </w:r>
            <w:r>
              <w:rPr>
                <w:rFonts w:hint="eastAsia" w:ascii="宋体" w:hAnsi="宋体" w:eastAsia="宋体" w:cs="宋体"/>
                <w:b/>
                <w:bCs/>
                <w:color w:val="auto"/>
                <w:sz w:val="24"/>
                <w:szCs w:val="24"/>
                <w:highlight w:val="none"/>
              </w:rPr>
              <w:t>%价格评审优惠，残疾人企业、监狱企业视同于小微企业，不重复享受政策。</w:t>
            </w:r>
          </w:p>
        </w:tc>
      </w:tr>
      <w:tr w14:paraId="2E40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21" w:type="dxa"/>
            <w:vMerge w:val="continue"/>
            <w:vAlign w:val="center"/>
          </w:tcPr>
          <w:p w14:paraId="1FDD6862">
            <w:pPr>
              <w:spacing w:line="240" w:lineRule="atLeast"/>
              <w:rPr>
                <w:rFonts w:ascii="宋体" w:hAnsi="宋体" w:eastAsia="宋体" w:cs="宋体"/>
                <w:color w:val="auto"/>
                <w:sz w:val="24"/>
                <w:szCs w:val="24"/>
                <w:highlight w:val="none"/>
              </w:rPr>
            </w:pPr>
          </w:p>
        </w:tc>
        <w:tc>
          <w:tcPr>
            <w:tcW w:w="1318" w:type="dxa"/>
            <w:vMerge w:val="continue"/>
            <w:vAlign w:val="center"/>
          </w:tcPr>
          <w:p w14:paraId="46EF35A1">
            <w:pPr>
              <w:spacing w:line="240" w:lineRule="atLeast"/>
              <w:rPr>
                <w:rFonts w:ascii="宋体" w:hAnsi="宋体" w:eastAsia="宋体" w:cs="宋体"/>
                <w:color w:val="auto"/>
                <w:sz w:val="24"/>
                <w:szCs w:val="24"/>
                <w:highlight w:val="none"/>
              </w:rPr>
            </w:pPr>
          </w:p>
        </w:tc>
        <w:tc>
          <w:tcPr>
            <w:tcW w:w="2013" w:type="dxa"/>
            <w:vMerge w:val="restart"/>
            <w:vAlign w:val="center"/>
          </w:tcPr>
          <w:p w14:paraId="0CF39B1B">
            <w:pPr>
              <w:spacing w:line="240" w:lineRule="atLeast"/>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rPr>
              <w:t>F</w:t>
            </w:r>
            <w:r>
              <w:rPr>
                <w:rFonts w:hint="eastAsia" w:asciiTheme="majorEastAsia" w:hAnsiTheme="majorEastAsia" w:eastAsiaTheme="majorEastAsia" w:cstheme="majorEastAsia"/>
                <w:b/>
                <w:bCs/>
                <w:color w:val="auto"/>
                <w:sz w:val="24"/>
                <w:szCs w:val="24"/>
                <w:highlight w:val="none"/>
                <w:lang w:val="en-US"/>
              </w:rPr>
              <w:t>2</w:t>
            </w:r>
            <w:r>
              <w:rPr>
                <w:rFonts w:hint="eastAsia" w:ascii="宋体" w:hAnsi="宋体" w:eastAsia="宋体" w:cs="宋体"/>
                <w:b/>
                <w:bCs/>
                <w:color w:val="auto"/>
                <w:sz w:val="24"/>
                <w:szCs w:val="24"/>
                <w:highlight w:val="none"/>
              </w:rPr>
              <w:t>技术部分评审（满分</w:t>
            </w:r>
            <w:r>
              <w:rPr>
                <w:rFonts w:hint="eastAsia" w:asciiTheme="majorEastAsia" w:hAnsiTheme="majorEastAsia" w:eastAsiaTheme="majorEastAsia" w:cstheme="majorEastAsia"/>
                <w:b/>
                <w:color w:val="auto"/>
                <w:sz w:val="24"/>
                <w:szCs w:val="24"/>
                <w:highlight w:val="none"/>
                <w:lang w:val="en-US" w:eastAsia="zh-CN"/>
              </w:rPr>
              <w:t>80</w:t>
            </w:r>
            <w:r>
              <w:rPr>
                <w:rFonts w:hint="eastAsia" w:ascii="宋体" w:hAnsi="宋体" w:eastAsia="宋体" w:cs="宋体"/>
                <w:b/>
                <w:color w:val="auto"/>
                <w:sz w:val="24"/>
                <w:szCs w:val="24"/>
                <w:highlight w:val="none"/>
                <w:lang w:val="en-US"/>
              </w:rPr>
              <w:t>分</w:t>
            </w:r>
            <w:r>
              <w:rPr>
                <w:rFonts w:hint="eastAsia" w:ascii="宋体" w:hAnsi="宋体" w:eastAsia="宋体" w:cs="宋体"/>
                <w:b/>
                <w:bCs/>
                <w:color w:val="auto"/>
                <w:sz w:val="24"/>
                <w:szCs w:val="24"/>
                <w:highlight w:val="none"/>
              </w:rPr>
              <w:t>）</w:t>
            </w:r>
          </w:p>
        </w:tc>
        <w:tc>
          <w:tcPr>
            <w:tcW w:w="6006" w:type="dxa"/>
            <w:vAlign w:val="center"/>
          </w:tcPr>
          <w:p w14:paraId="12626645">
            <w:pPr>
              <w:keepNext w:val="0"/>
              <w:keepLines w:val="0"/>
              <w:pageBreakBefore w:val="0"/>
              <w:widowControl w:val="0"/>
              <w:tabs>
                <w:tab w:val="left" w:pos="540"/>
              </w:tabs>
              <w:kinsoku/>
              <w:wordWrap/>
              <w:overflowPunct/>
              <w:topLinePunct w:val="0"/>
              <w:autoSpaceDE/>
              <w:autoSpaceDN/>
              <w:bidi w:val="0"/>
              <w:adjustRightInd/>
              <w:snapToGrid/>
              <w:spacing w:after="100" w:line="288" w:lineRule="auto"/>
              <w:jc w:val="both"/>
              <w:textAlignment w:val="auto"/>
              <w:rPr>
                <w:rFonts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w:t>
            </w:r>
            <w:r>
              <w:rPr>
                <w:rFonts w:hint="eastAsia" w:asciiTheme="majorEastAsia" w:hAnsiTheme="majorEastAsia" w:eastAsiaTheme="majorEastAsia" w:cstheme="majorEastAsia"/>
                <w:b/>
                <w:bCs/>
                <w:color w:val="auto"/>
                <w:sz w:val="24"/>
                <w:szCs w:val="24"/>
                <w:highlight w:val="none"/>
                <w:lang w:val="en-US"/>
              </w:rPr>
              <w:t>1</w:t>
            </w:r>
            <w:r>
              <w:rPr>
                <w:rFonts w:hint="eastAsia" w:ascii="宋体" w:hAnsi="宋体" w:eastAsia="宋体" w:cs="宋体"/>
                <w:b/>
                <w:bCs/>
                <w:color w:val="auto"/>
                <w:sz w:val="24"/>
                <w:szCs w:val="24"/>
                <w:highlight w:val="none"/>
                <w:lang w:val="en-US"/>
              </w:rPr>
              <w:t>）项目理解及需求分析（满分</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val="en-US"/>
              </w:rPr>
              <w:t>分）</w:t>
            </w:r>
          </w:p>
          <w:p w14:paraId="4B2DC1EF">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rPr>
              <w:t>投标人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val="en-US"/>
              </w:rPr>
              <w:t>项目理解及需求分析</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val="en-US"/>
              </w:rPr>
              <w:t>投标人</w:t>
            </w:r>
            <w:r>
              <w:rPr>
                <w:rFonts w:hint="eastAsia" w:ascii="宋体" w:hAnsi="宋体" w:eastAsia="宋体" w:cs="宋体"/>
                <w:color w:val="auto"/>
                <w:sz w:val="24"/>
                <w:szCs w:val="24"/>
                <w:highlight w:val="none"/>
              </w:rPr>
              <w:t>针对本项目特点，结合采购人的需求</w:t>
            </w:r>
            <w:r>
              <w:rPr>
                <w:rFonts w:hint="eastAsia" w:ascii="宋体" w:hAnsi="宋体" w:eastAsia="宋体" w:cs="宋体"/>
                <w:color w:val="auto"/>
                <w:sz w:val="24"/>
                <w:szCs w:val="24"/>
                <w:highlight w:val="none"/>
                <w:lang w:val="en-US"/>
              </w:rPr>
              <w:t>及实际情况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拟制定的项目理解及需求分析，包括但不限于以下内容:</w:t>
            </w:r>
            <w:r>
              <w:rPr>
                <w:rFonts w:hint="eastAsia" w:ascii="宋体" w:hAnsi="宋体" w:eastAsia="宋体" w:cs="宋体"/>
                <w:b/>
                <w:bCs/>
                <w:color w:val="auto"/>
                <w:sz w:val="24"/>
                <w:szCs w:val="24"/>
                <w:highlight w:val="none"/>
              </w:rPr>
              <w:t>①对国家医保信息平台总体思路和国家医疗保障局对地方医保信息平台建设要求分析；②对本项目建设内容需求分析；③</w:t>
            </w:r>
            <w:r>
              <w:rPr>
                <w:rFonts w:hint="eastAsia" w:ascii="宋体" w:hAnsi="宋体" w:eastAsia="宋体" w:cs="宋体"/>
                <w:b/>
                <w:bCs/>
                <w:color w:val="auto"/>
                <w:sz w:val="24"/>
                <w:szCs w:val="24"/>
                <w:highlight w:val="none"/>
                <w:lang w:eastAsia="zh-CN"/>
              </w:rPr>
              <w:t>对云南省医保信息平台建设现状分析</w:t>
            </w:r>
            <w:r>
              <w:rPr>
                <w:rFonts w:hint="eastAsia" w:ascii="宋体" w:hAnsi="宋体" w:eastAsia="宋体" w:cs="宋体"/>
                <w:b/>
                <w:bCs/>
                <w:color w:val="auto"/>
                <w:sz w:val="24"/>
                <w:szCs w:val="24"/>
                <w:highlight w:val="none"/>
              </w:rPr>
              <w:t>；④对本项目的重难点问题分析。</w:t>
            </w:r>
          </w:p>
          <w:p w14:paraId="6D9DBD3B">
            <w:pPr>
              <w:pStyle w:val="19"/>
              <w:keepNext w:val="0"/>
              <w:keepLines w:val="0"/>
              <w:pageBreakBefore w:val="0"/>
              <w:widowControl w:val="0"/>
              <w:kinsoku/>
              <w:wordWrap/>
              <w:overflowPunct/>
              <w:topLinePunct w:val="0"/>
              <w:bidi w:val="0"/>
              <w:adjustRightInd/>
              <w:snapToGrid/>
              <w:spacing w:line="288"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所有要素齐全且完全满足项目要求得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分，每缺一个要素扣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分，每有一项要素内容缺陷的扣</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分；扣完为止。</w:t>
            </w:r>
          </w:p>
          <w:p w14:paraId="0DE4C240">
            <w:pPr>
              <w:pStyle w:val="19"/>
              <w:keepNext w:val="0"/>
              <w:keepLines w:val="0"/>
              <w:pageBreakBefore w:val="0"/>
              <w:widowControl w:val="0"/>
              <w:kinsoku/>
              <w:wordWrap/>
              <w:overflowPunct/>
              <w:topLinePunct w:val="0"/>
              <w:bidi w:val="0"/>
              <w:adjustRightInd/>
              <w:snapToGrid/>
              <w:spacing w:line="288" w:lineRule="auto"/>
              <w:ind w:firstLine="480" w:firstLineChars="200"/>
              <w:textAlignment w:val="auto"/>
              <w:rPr>
                <w:color w:val="auto"/>
                <w:highlight w:val="none"/>
              </w:rPr>
            </w:pPr>
            <w:r>
              <w:rPr>
                <w:rFonts w:hint="eastAsia" w:ascii="宋体" w:hAnsi="宋体" w:eastAsia="宋体" w:cs="宋体"/>
                <w:color w:val="auto"/>
                <w:sz w:val="24"/>
                <w:szCs w:val="24"/>
                <w:highlight w:val="none"/>
              </w:rPr>
              <w:t>注：“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6BF9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vMerge w:val="continue"/>
            <w:vAlign w:val="center"/>
          </w:tcPr>
          <w:p w14:paraId="4539C8E3">
            <w:pPr>
              <w:tabs>
                <w:tab w:val="left" w:pos="540"/>
              </w:tabs>
              <w:autoSpaceDE/>
              <w:autoSpaceDN/>
              <w:spacing w:after="100" w:line="0" w:lineRule="atLeast"/>
              <w:rPr>
                <w:rFonts w:ascii="宋体" w:hAnsi="宋体" w:eastAsia="宋体" w:cs="宋体"/>
                <w:color w:val="auto"/>
                <w:sz w:val="24"/>
                <w:szCs w:val="24"/>
                <w:highlight w:val="none"/>
              </w:rPr>
            </w:pPr>
          </w:p>
        </w:tc>
        <w:tc>
          <w:tcPr>
            <w:tcW w:w="1318" w:type="dxa"/>
            <w:vMerge w:val="continue"/>
            <w:vAlign w:val="center"/>
          </w:tcPr>
          <w:p w14:paraId="6681B0C4">
            <w:pPr>
              <w:tabs>
                <w:tab w:val="left" w:pos="540"/>
              </w:tabs>
              <w:autoSpaceDE/>
              <w:autoSpaceDN/>
              <w:spacing w:after="100" w:line="0" w:lineRule="atLeast"/>
              <w:rPr>
                <w:rFonts w:ascii="宋体" w:hAnsi="宋体" w:eastAsia="宋体" w:cs="宋体"/>
                <w:color w:val="auto"/>
                <w:sz w:val="24"/>
                <w:szCs w:val="24"/>
                <w:highlight w:val="none"/>
              </w:rPr>
            </w:pPr>
          </w:p>
        </w:tc>
        <w:tc>
          <w:tcPr>
            <w:tcW w:w="2013" w:type="dxa"/>
            <w:vMerge w:val="continue"/>
            <w:vAlign w:val="center"/>
          </w:tcPr>
          <w:p w14:paraId="45B3B554">
            <w:pPr>
              <w:spacing w:line="240" w:lineRule="atLeast"/>
              <w:rPr>
                <w:rFonts w:ascii="宋体" w:hAnsi="宋体" w:eastAsia="宋体" w:cs="宋体"/>
                <w:color w:val="auto"/>
                <w:sz w:val="24"/>
                <w:szCs w:val="24"/>
                <w:highlight w:val="none"/>
              </w:rPr>
            </w:pPr>
          </w:p>
        </w:tc>
        <w:tc>
          <w:tcPr>
            <w:tcW w:w="6006" w:type="dxa"/>
            <w:vAlign w:val="center"/>
          </w:tcPr>
          <w:p w14:paraId="0B8002EC">
            <w:pPr>
              <w:keepNext w:val="0"/>
              <w:keepLines w:val="0"/>
              <w:pageBreakBefore w:val="0"/>
              <w:widowControl w:val="0"/>
              <w:tabs>
                <w:tab w:val="left" w:pos="540"/>
              </w:tabs>
              <w:kinsoku/>
              <w:wordWrap/>
              <w:overflowPunct/>
              <w:topLinePunct w:val="0"/>
              <w:autoSpaceDE/>
              <w:autoSpaceDN/>
              <w:bidi w:val="0"/>
              <w:adjustRightInd/>
              <w:snapToGrid/>
              <w:spacing w:after="100" w:line="288" w:lineRule="auto"/>
              <w:jc w:val="both"/>
              <w:textAlignment w:val="auto"/>
              <w:rPr>
                <w:rFonts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w:t>
            </w:r>
            <w:r>
              <w:rPr>
                <w:rFonts w:hint="eastAsia" w:asciiTheme="majorEastAsia" w:hAnsiTheme="majorEastAsia" w:eastAsiaTheme="majorEastAsia" w:cstheme="majorEastAsia"/>
                <w:b/>
                <w:bCs/>
                <w:color w:val="auto"/>
                <w:sz w:val="24"/>
                <w:szCs w:val="24"/>
                <w:highlight w:val="none"/>
                <w:lang w:val="en-US"/>
              </w:rPr>
              <w:t>2</w:t>
            </w:r>
            <w:r>
              <w:rPr>
                <w:rFonts w:hint="eastAsia" w:ascii="宋体" w:hAnsi="宋体" w:eastAsia="宋体" w:cs="宋体"/>
                <w:b/>
                <w:bCs/>
                <w:color w:val="auto"/>
                <w:sz w:val="24"/>
                <w:szCs w:val="24"/>
                <w:highlight w:val="none"/>
                <w:lang w:val="en-US"/>
              </w:rPr>
              <w:t>）总体设计方案（满分</w:t>
            </w:r>
            <w:r>
              <w:rPr>
                <w:rFonts w:hint="eastAsia" w:asciiTheme="majorEastAsia" w:hAnsiTheme="majorEastAsia" w:eastAsiaTheme="majorEastAsia" w:cstheme="majorEastAsia"/>
                <w:b/>
                <w:bCs/>
                <w:color w:val="auto"/>
                <w:sz w:val="24"/>
                <w:szCs w:val="24"/>
                <w:highlight w:val="none"/>
                <w:lang w:val="en-US" w:eastAsia="zh-CN"/>
              </w:rPr>
              <w:t>12</w:t>
            </w:r>
            <w:r>
              <w:rPr>
                <w:rFonts w:hint="eastAsia" w:ascii="宋体" w:hAnsi="宋体" w:eastAsia="宋体" w:cs="宋体"/>
                <w:b/>
                <w:bCs/>
                <w:color w:val="auto"/>
                <w:sz w:val="24"/>
                <w:szCs w:val="24"/>
                <w:highlight w:val="none"/>
                <w:lang w:val="en-US"/>
              </w:rPr>
              <w:t>分）</w:t>
            </w:r>
          </w:p>
          <w:p w14:paraId="59361973">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根据投标人提供的总体设计方案进行评分，投标人针对本项目特点，结合采购人的需求及实际情况，拟制定的总体设计方案，包括但不限于以下内容:</w:t>
            </w:r>
            <w:r>
              <w:rPr>
                <w:rFonts w:hint="eastAsia" w:ascii="宋体" w:hAnsi="宋体" w:eastAsia="宋体" w:cs="宋体"/>
                <w:b/>
                <w:bCs/>
                <w:color w:val="auto"/>
                <w:sz w:val="24"/>
                <w:szCs w:val="24"/>
                <w:highlight w:val="none"/>
                <w:lang w:val="en-US" w:eastAsia="zh-CN"/>
              </w:rPr>
              <w:t>①</w:t>
            </w:r>
            <w:r>
              <w:rPr>
                <w:rFonts w:hint="eastAsia" w:ascii="宋体" w:hAnsi="宋体" w:eastAsia="宋体" w:cs="宋体"/>
                <w:b/>
                <w:bCs/>
                <w:color w:val="auto"/>
                <w:sz w:val="24"/>
                <w:szCs w:val="24"/>
                <w:highlight w:val="none"/>
                <w:lang w:val="en-US"/>
              </w:rPr>
              <w:t>总体架构设计</w:t>
            </w:r>
            <w:r>
              <w:rPr>
                <w:rFonts w:hint="eastAsia" w:ascii="宋体" w:hAnsi="宋体" w:eastAsia="宋体" w:cs="宋体"/>
                <w:b/>
                <w:bCs/>
                <w:color w:val="auto"/>
                <w:sz w:val="24"/>
                <w:szCs w:val="24"/>
                <w:highlight w:val="none"/>
                <w:lang w:val="en-US" w:eastAsia="zh-CN"/>
              </w:rPr>
              <w:t>②</w:t>
            </w:r>
            <w:r>
              <w:rPr>
                <w:rFonts w:hint="eastAsia" w:ascii="宋体" w:hAnsi="宋体" w:eastAsia="宋体" w:cs="宋体"/>
                <w:b/>
                <w:bCs/>
                <w:color w:val="auto"/>
                <w:sz w:val="24"/>
                <w:szCs w:val="24"/>
                <w:highlight w:val="none"/>
                <w:lang w:val="en-US"/>
              </w:rPr>
              <w:t>技术架构设计</w:t>
            </w:r>
            <w:r>
              <w:rPr>
                <w:rFonts w:hint="eastAsia" w:ascii="宋体" w:hAnsi="宋体" w:eastAsia="宋体" w:cs="宋体"/>
                <w:b/>
                <w:bCs/>
                <w:color w:val="auto"/>
                <w:sz w:val="24"/>
                <w:szCs w:val="24"/>
                <w:highlight w:val="none"/>
                <w:lang w:val="en-US" w:eastAsia="zh-CN"/>
              </w:rPr>
              <w:t>；③</w:t>
            </w:r>
            <w:r>
              <w:rPr>
                <w:rFonts w:hint="eastAsia" w:ascii="宋体" w:hAnsi="宋体" w:eastAsia="宋体" w:cs="宋体"/>
                <w:b/>
                <w:bCs/>
                <w:color w:val="auto"/>
                <w:sz w:val="24"/>
                <w:szCs w:val="24"/>
                <w:highlight w:val="none"/>
                <w:lang w:val="en-US"/>
              </w:rPr>
              <w:t>数据架构设计；</w:t>
            </w:r>
            <w:r>
              <w:rPr>
                <w:rFonts w:hint="eastAsia" w:ascii="宋体" w:hAnsi="宋体" w:eastAsia="宋体" w:cs="宋体"/>
                <w:b/>
                <w:bCs/>
                <w:color w:val="auto"/>
                <w:sz w:val="24"/>
                <w:szCs w:val="24"/>
                <w:highlight w:val="none"/>
                <w:lang w:val="en-US" w:eastAsia="zh-CN"/>
              </w:rPr>
              <w:t>④</w:t>
            </w:r>
            <w:r>
              <w:rPr>
                <w:rFonts w:hint="eastAsia" w:ascii="宋体" w:hAnsi="宋体" w:eastAsia="宋体" w:cs="宋体"/>
                <w:b/>
                <w:bCs/>
                <w:color w:val="auto"/>
                <w:sz w:val="24"/>
                <w:szCs w:val="24"/>
                <w:highlight w:val="none"/>
                <w:lang w:val="en-US"/>
              </w:rPr>
              <w:t>技术路线</w:t>
            </w:r>
            <w:r>
              <w:rPr>
                <w:rFonts w:hint="eastAsia" w:ascii="宋体" w:hAnsi="宋体" w:eastAsia="宋体" w:cs="宋体"/>
                <w:b/>
                <w:bCs/>
                <w:color w:val="auto"/>
                <w:sz w:val="24"/>
                <w:szCs w:val="24"/>
                <w:highlight w:val="none"/>
                <w:lang w:val="en-US" w:eastAsia="zh-CN"/>
              </w:rPr>
              <w:t>设计</w:t>
            </w:r>
            <w:r>
              <w:rPr>
                <w:rFonts w:hint="eastAsia" w:ascii="宋体" w:hAnsi="宋体" w:eastAsia="宋体" w:cs="宋体"/>
                <w:b/>
                <w:bCs/>
                <w:color w:val="auto"/>
                <w:sz w:val="24"/>
                <w:szCs w:val="24"/>
                <w:highlight w:val="none"/>
                <w:lang w:val="en-US"/>
              </w:rPr>
              <w:t>。</w:t>
            </w:r>
          </w:p>
          <w:p w14:paraId="0EF1B270">
            <w:pPr>
              <w:pStyle w:val="83"/>
              <w:keepNext w:val="0"/>
              <w:keepLines w:val="0"/>
              <w:pageBreakBefore w:val="0"/>
              <w:widowControl w:val="0"/>
              <w:kinsoku/>
              <w:wordWrap/>
              <w:overflowPunct/>
              <w:topLinePunct w:val="0"/>
              <w:bidi w:val="0"/>
              <w:adjustRightInd/>
              <w:snapToGrid/>
              <w:spacing w:line="288" w:lineRule="auto"/>
              <w:ind w:firstLine="480" w:firstLineChars="200"/>
              <w:textAlignment w:val="auto"/>
              <w:rPr>
                <w:rFonts w:hint="eastAsia" w:ascii="宋体" w:hAnsi="宋体" w:cs="宋体"/>
                <w:color w:val="auto"/>
                <w:kern w:val="0"/>
                <w:sz w:val="24"/>
                <w:szCs w:val="24"/>
                <w:highlight w:val="none"/>
                <w:lang w:bidi="zh-CN"/>
              </w:rPr>
            </w:pPr>
            <w:r>
              <w:rPr>
                <w:rFonts w:hint="eastAsia" w:ascii="宋体" w:hAnsi="宋体" w:cs="宋体"/>
                <w:color w:val="auto"/>
                <w:kern w:val="0"/>
                <w:sz w:val="24"/>
                <w:szCs w:val="24"/>
                <w:highlight w:val="none"/>
                <w:lang w:bidi="zh-CN"/>
              </w:rPr>
              <w:t>所有要素齐全且完全满足项目要求得</w:t>
            </w:r>
            <w:r>
              <w:rPr>
                <w:rFonts w:hint="eastAsia" w:ascii="宋体" w:hAnsi="宋体" w:cs="宋体"/>
                <w:color w:val="auto"/>
                <w:kern w:val="0"/>
                <w:sz w:val="24"/>
                <w:szCs w:val="24"/>
                <w:highlight w:val="none"/>
                <w:lang w:val="en-US" w:eastAsia="zh-CN" w:bidi="zh-CN"/>
              </w:rPr>
              <w:t>12</w:t>
            </w:r>
            <w:r>
              <w:rPr>
                <w:rFonts w:hint="eastAsia" w:ascii="宋体" w:hAnsi="宋体" w:cs="宋体"/>
                <w:color w:val="auto"/>
                <w:kern w:val="0"/>
                <w:sz w:val="24"/>
                <w:szCs w:val="24"/>
                <w:highlight w:val="none"/>
                <w:lang w:bidi="zh-CN"/>
              </w:rPr>
              <w:t>分，每缺一个要素扣</w:t>
            </w:r>
            <w:r>
              <w:rPr>
                <w:rFonts w:hint="eastAsia" w:ascii="宋体" w:hAnsi="宋体" w:cs="宋体"/>
                <w:color w:val="auto"/>
                <w:kern w:val="0"/>
                <w:sz w:val="24"/>
                <w:szCs w:val="24"/>
                <w:highlight w:val="none"/>
                <w:lang w:val="en-US" w:eastAsia="zh-CN" w:bidi="zh-CN"/>
              </w:rPr>
              <w:t>3</w:t>
            </w:r>
            <w:r>
              <w:rPr>
                <w:rFonts w:hint="eastAsia" w:ascii="宋体" w:hAnsi="宋体" w:cs="宋体"/>
                <w:color w:val="auto"/>
                <w:kern w:val="0"/>
                <w:sz w:val="24"/>
                <w:szCs w:val="24"/>
                <w:highlight w:val="none"/>
                <w:lang w:bidi="zh-CN"/>
              </w:rPr>
              <w:t>分，每有一项要素内容缺陷的扣</w:t>
            </w:r>
            <w:r>
              <w:rPr>
                <w:rFonts w:hint="eastAsia" w:ascii="宋体" w:hAnsi="宋体" w:cs="宋体"/>
                <w:color w:val="auto"/>
                <w:kern w:val="0"/>
                <w:sz w:val="24"/>
                <w:szCs w:val="24"/>
                <w:highlight w:val="none"/>
                <w:lang w:val="en-US" w:bidi="zh-CN"/>
              </w:rPr>
              <w:t>1.5</w:t>
            </w:r>
            <w:r>
              <w:rPr>
                <w:rFonts w:hint="eastAsia" w:ascii="宋体" w:hAnsi="宋体" w:cs="宋体"/>
                <w:color w:val="auto"/>
                <w:kern w:val="0"/>
                <w:sz w:val="24"/>
                <w:szCs w:val="24"/>
                <w:highlight w:val="none"/>
                <w:lang w:bidi="zh-CN"/>
              </w:rPr>
              <w:t>分；扣完为止。</w:t>
            </w:r>
          </w:p>
          <w:p w14:paraId="61536CA1">
            <w:pPr>
              <w:pStyle w:val="83"/>
              <w:keepNext w:val="0"/>
              <w:keepLines w:val="0"/>
              <w:pageBreakBefore w:val="0"/>
              <w:widowControl w:val="0"/>
              <w:kinsoku/>
              <w:wordWrap/>
              <w:overflowPunct/>
              <w:topLinePunct w:val="0"/>
              <w:bidi w:val="0"/>
              <w:adjustRightInd/>
              <w:snapToGrid/>
              <w:spacing w:line="288" w:lineRule="auto"/>
              <w:ind w:firstLine="480" w:firstLineChars="200"/>
              <w:textAlignment w:val="auto"/>
              <w:rPr>
                <w:color w:val="auto"/>
                <w:highlight w:val="none"/>
              </w:rPr>
            </w:pPr>
            <w:r>
              <w:rPr>
                <w:rFonts w:hint="eastAsia" w:ascii="宋体" w:hAnsi="宋体" w:cs="宋体"/>
                <w:color w:val="auto"/>
                <w:kern w:val="0"/>
                <w:sz w:val="24"/>
                <w:szCs w:val="24"/>
                <w:highlight w:val="none"/>
                <w:lang w:bidi="zh-CN"/>
              </w:rPr>
              <w:t>注：“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3BF1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821" w:type="dxa"/>
            <w:vMerge w:val="continue"/>
            <w:vAlign w:val="center"/>
          </w:tcPr>
          <w:p w14:paraId="5A9D3FE4">
            <w:pPr>
              <w:tabs>
                <w:tab w:val="left" w:pos="540"/>
              </w:tabs>
              <w:autoSpaceDE/>
              <w:autoSpaceDN/>
              <w:spacing w:after="100" w:line="0" w:lineRule="atLeast"/>
              <w:rPr>
                <w:rFonts w:ascii="宋体" w:hAnsi="宋体" w:eastAsia="宋体" w:cs="宋体"/>
                <w:color w:val="auto"/>
                <w:sz w:val="24"/>
                <w:szCs w:val="24"/>
                <w:highlight w:val="none"/>
              </w:rPr>
            </w:pPr>
          </w:p>
        </w:tc>
        <w:tc>
          <w:tcPr>
            <w:tcW w:w="1318" w:type="dxa"/>
            <w:vMerge w:val="continue"/>
            <w:vAlign w:val="center"/>
          </w:tcPr>
          <w:p w14:paraId="6085897A">
            <w:pPr>
              <w:tabs>
                <w:tab w:val="left" w:pos="540"/>
              </w:tabs>
              <w:autoSpaceDE/>
              <w:autoSpaceDN/>
              <w:spacing w:after="100" w:line="0" w:lineRule="atLeast"/>
              <w:rPr>
                <w:rFonts w:ascii="宋体" w:hAnsi="宋体" w:eastAsia="宋体" w:cs="宋体"/>
                <w:color w:val="auto"/>
                <w:sz w:val="24"/>
                <w:szCs w:val="24"/>
                <w:highlight w:val="none"/>
              </w:rPr>
            </w:pPr>
          </w:p>
        </w:tc>
        <w:tc>
          <w:tcPr>
            <w:tcW w:w="2013" w:type="dxa"/>
            <w:vMerge w:val="continue"/>
            <w:vAlign w:val="center"/>
          </w:tcPr>
          <w:p w14:paraId="1DA04977">
            <w:pPr>
              <w:spacing w:line="240" w:lineRule="atLeast"/>
              <w:rPr>
                <w:rFonts w:ascii="宋体" w:hAnsi="宋体" w:eastAsia="宋体" w:cs="宋体"/>
                <w:color w:val="auto"/>
                <w:sz w:val="24"/>
                <w:szCs w:val="24"/>
                <w:highlight w:val="none"/>
              </w:rPr>
            </w:pPr>
          </w:p>
        </w:tc>
        <w:tc>
          <w:tcPr>
            <w:tcW w:w="6006" w:type="dxa"/>
            <w:vAlign w:val="center"/>
          </w:tcPr>
          <w:p w14:paraId="704AB90F">
            <w:pPr>
              <w:keepNext w:val="0"/>
              <w:keepLines w:val="0"/>
              <w:pageBreakBefore w:val="0"/>
              <w:widowControl w:val="0"/>
              <w:tabs>
                <w:tab w:val="left" w:pos="540"/>
              </w:tabs>
              <w:kinsoku/>
              <w:wordWrap/>
              <w:overflowPunct/>
              <w:topLinePunct w:val="0"/>
              <w:autoSpaceDE/>
              <w:autoSpaceDN/>
              <w:bidi w:val="0"/>
              <w:adjustRightInd/>
              <w:snapToGrid/>
              <w:spacing w:after="100" w:line="288" w:lineRule="auto"/>
              <w:jc w:val="both"/>
              <w:textAlignment w:val="auto"/>
              <w:rPr>
                <w:rFonts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w:t>
            </w:r>
            <w:r>
              <w:rPr>
                <w:rFonts w:hint="eastAsia" w:asciiTheme="majorEastAsia" w:hAnsiTheme="majorEastAsia" w:eastAsiaTheme="majorEastAsia" w:cstheme="majorEastAsia"/>
                <w:b/>
                <w:bCs/>
                <w:color w:val="auto"/>
                <w:sz w:val="24"/>
                <w:szCs w:val="24"/>
                <w:highlight w:val="none"/>
                <w:lang w:val="en-US"/>
              </w:rPr>
              <w:t>3</w:t>
            </w:r>
            <w:r>
              <w:rPr>
                <w:rFonts w:hint="eastAsia" w:ascii="宋体" w:hAnsi="宋体" w:eastAsia="宋体" w:cs="宋体"/>
                <w:b/>
                <w:bCs/>
                <w:color w:val="auto"/>
                <w:sz w:val="24"/>
                <w:szCs w:val="24"/>
                <w:highlight w:val="none"/>
                <w:lang w:val="en-US"/>
              </w:rPr>
              <w:t>）</w:t>
            </w:r>
            <w:r>
              <w:rPr>
                <w:rFonts w:hint="eastAsia" w:ascii="宋体" w:hAnsi="宋体" w:eastAsia="宋体" w:cs="宋体"/>
                <w:b/>
                <w:bCs/>
                <w:color w:val="auto"/>
                <w:sz w:val="24"/>
                <w:szCs w:val="24"/>
                <w:highlight w:val="none"/>
                <w:lang w:val="en-US" w:eastAsia="zh-CN"/>
              </w:rPr>
              <w:t>服务设计方案</w:t>
            </w:r>
            <w:r>
              <w:rPr>
                <w:rFonts w:hint="eastAsia" w:ascii="宋体" w:hAnsi="宋体" w:eastAsia="宋体" w:cs="宋体"/>
                <w:b/>
                <w:bCs/>
                <w:color w:val="auto"/>
                <w:sz w:val="24"/>
                <w:szCs w:val="24"/>
                <w:highlight w:val="none"/>
                <w:lang w:val="en-US"/>
              </w:rPr>
              <w:t>（满分</w:t>
            </w:r>
            <w:r>
              <w:rPr>
                <w:rFonts w:hint="eastAsia" w:asciiTheme="majorEastAsia" w:hAnsiTheme="majorEastAsia" w:eastAsiaTheme="majorEastAsia" w:cstheme="majorEastAsia"/>
                <w:b/>
                <w:bCs/>
                <w:color w:val="auto"/>
                <w:sz w:val="24"/>
                <w:szCs w:val="24"/>
                <w:highlight w:val="none"/>
                <w:lang w:val="en-US" w:eastAsia="zh-CN"/>
              </w:rPr>
              <w:t>20</w:t>
            </w:r>
            <w:r>
              <w:rPr>
                <w:rFonts w:hint="eastAsia" w:ascii="宋体" w:hAnsi="宋体" w:eastAsia="宋体" w:cs="宋体"/>
                <w:b/>
                <w:bCs/>
                <w:color w:val="auto"/>
                <w:sz w:val="24"/>
                <w:szCs w:val="24"/>
                <w:highlight w:val="none"/>
                <w:lang w:val="en-US"/>
              </w:rPr>
              <w:t>分）</w:t>
            </w:r>
          </w:p>
          <w:p w14:paraId="61ADF49F">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b/>
                <w:bCs/>
                <w:color w:val="auto"/>
                <w:sz w:val="24"/>
                <w:szCs w:val="24"/>
                <w:highlight w:val="none"/>
                <w:lang w:val="en-US"/>
              </w:rPr>
            </w:pPr>
            <w:r>
              <w:rPr>
                <w:rFonts w:hint="eastAsia" w:ascii="宋体" w:hAnsi="宋体" w:eastAsia="宋体" w:cs="宋体"/>
                <w:color w:val="auto"/>
                <w:sz w:val="24"/>
                <w:szCs w:val="24"/>
                <w:highlight w:val="none"/>
                <w:lang w:val="en-US"/>
              </w:rPr>
              <w:t>根据投标人提供的</w:t>
            </w:r>
            <w:r>
              <w:rPr>
                <w:rFonts w:hint="eastAsia" w:ascii="宋体" w:hAnsi="宋体" w:eastAsia="宋体" w:cs="宋体"/>
                <w:color w:val="auto"/>
                <w:sz w:val="24"/>
                <w:szCs w:val="24"/>
                <w:highlight w:val="none"/>
                <w:lang w:val="en-US" w:eastAsia="zh-CN"/>
              </w:rPr>
              <w:t>服务设计方案</w:t>
            </w:r>
            <w:r>
              <w:rPr>
                <w:rFonts w:hint="eastAsia" w:ascii="宋体" w:hAnsi="宋体" w:eastAsia="宋体" w:cs="宋体"/>
                <w:color w:val="auto"/>
                <w:sz w:val="24"/>
                <w:szCs w:val="24"/>
                <w:highlight w:val="none"/>
                <w:lang w:val="en-US"/>
              </w:rPr>
              <w:t>进行评分，投标人针对本项目特点，结合采购人的需求及实际情况，拟制定的</w:t>
            </w:r>
            <w:r>
              <w:rPr>
                <w:rFonts w:hint="eastAsia" w:ascii="宋体" w:hAnsi="宋体" w:eastAsia="宋体" w:cs="宋体"/>
                <w:color w:val="auto"/>
                <w:sz w:val="24"/>
                <w:szCs w:val="24"/>
                <w:highlight w:val="none"/>
                <w:lang w:val="en-US" w:eastAsia="zh-CN"/>
              </w:rPr>
              <w:t>服务设计方案</w:t>
            </w:r>
            <w:r>
              <w:rPr>
                <w:rFonts w:hint="eastAsia" w:ascii="宋体" w:hAnsi="宋体" w:eastAsia="宋体" w:cs="宋体"/>
                <w:color w:val="auto"/>
                <w:sz w:val="24"/>
                <w:szCs w:val="24"/>
                <w:highlight w:val="none"/>
                <w:lang w:val="en-US"/>
              </w:rPr>
              <w:t>，包括但不限于以下内容:</w:t>
            </w:r>
            <w:r>
              <w:rPr>
                <w:rFonts w:hint="eastAsia" w:ascii="宋体" w:hAnsi="宋体" w:eastAsia="宋体" w:cs="宋体"/>
                <w:b/>
                <w:bCs/>
                <w:color w:val="auto"/>
                <w:sz w:val="24"/>
                <w:szCs w:val="24"/>
                <w:highlight w:val="none"/>
              </w:rPr>
              <w:t>①</w:t>
            </w:r>
            <w:r>
              <w:rPr>
                <w:rFonts w:hint="eastAsia" w:ascii="宋体" w:hAnsi="宋体" w:eastAsia="宋体" w:cs="宋体"/>
                <w:b/>
                <w:bCs/>
                <w:color w:val="auto"/>
                <w:sz w:val="24"/>
                <w:szCs w:val="24"/>
                <w:highlight w:val="none"/>
                <w:lang w:val="en-US" w:eastAsia="zh-CN"/>
              </w:rPr>
              <w:t>全民参保扩面数据分析运用</w:t>
            </w:r>
            <w:r>
              <w:rPr>
                <w:rFonts w:hint="eastAsia" w:ascii="宋体" w:hAnsi="宋体" w:eastAsia="宋体" w:cs="宋体"/>
                <w:b/>
                <w:bCs/>
                <w:color w:val="auto"/>
                <w:sz w:val="24"/>
                <w:szCs w:val="24"/>
                <w:highlight w:val="none"/>
              </w:rPr>
              <w:t>；②</w:t>
            </w:r>
            <w:r>
              <w:rPr>
                <w:rFonts w:hint="eastAsia" w:ascii="宋体" w:hAnsi="宋体" w:eastAsia="宋体" w:cs="宋体"/>
                <w:b/>
                <w:bCs/>
                <w:color w:val="auto"/>
                <w:sz w:val="24"/>
                <w:szCs w:val="24"/>
                <w:highlight w:val="none"/>
                <w:lang w:val="en-US" w:eastAsia="zh-CN"/>
              </w:rPr>
              <w:t>医疗服务项目价格管理</w:t>
            </w:r>
            <w:r>
              <w:rPr>
                <w:rFonts w:hint="eastAsia" w:ascii="宋体" w:hAnsi="宋体" w:eastAsia="宋体" w:cs="宋体"/>
                <w:b/>
                <w:bCs/>
                <w:color w:val="auto"/>
                <w:sz w:val="24"/>
                <w:szCs w:val="24"/>
                <w:highlight w:val="none"/>
              </w:rPr>
              <w:t>；③</w:t>
            </w:r>
            <w:r>
              <w:rPr>
                <w:rFonts w:hint="eastAsia" w:ascii="宋体" w:hAnsi="宋体" w:eastAsia="宋体" w:cs="宋体"/>
                <w:b/>
                <w:bCs/>
                <w:color w:val="auto"/>
                <w:sz w:val="24"/>
                <w:szCs w:val="24"/>
                <w:highlight w:val="none"/>
                <w:lang w:val="en-US" w:eastAsia="zh-CN"/>
              </w:rPr>
              <w:t>复合支付方式改革服务</w:t>
            </w:r>
            <w:r>
              <w:rPr>
                <w:rFonts w:hint="eastAsia" w:ascii="宋体" w:hAnsi="宋体" w:eastAsia="宋体" w:cs="宋体"/>
                <w:b/>
                <w:bCs/>
                <w:color w:val="auto"/>
                <w:sz w:val="24"/>
                <w:szCs w:val="24"/>
                <w:highlight w:val="none"/>
              </w:rPr>
              <w:t>；④</w:t>
            </w:r>
            <w:r>
              <w:rPr>
                <w:rFonts w:hint="eastAsia" w:ascii="宋体" w:hAnsi="宋体" w:eastAsia="宋体" w:cs="宋体"/>
                <w:b/>
                <w:bCs/>
                <w:color w:val="auto"/>
                <w:sz w:val="24"/>
                <w:szCs w:val="24"/>
                <w:highlight w:val="none"/>
                <w:lang w:val="en-US" w:eastAsia="zh-CN"/>
              </w:rPr>
              <w:t>基金监管大数据运用</w:t>
            </w:r>
            <w:r>
              <w:rPr>
                <w:rFonts w:hint="eastAsia" w:ascii="宋体" w:hAnsi="宋体" w:eastAsia="宋体" w:cs="宋体"/>
                <w:b/>
                <w:bCs/>
                <w:color w:val="auto"/>
                <w:sz w:val="24"/>
                <w:szCs w:val="24"/>
                <w:highlight w:val="none"/>
              </w:rPr>
              <w:t>；⑤</w:t>
            </w:r>
            <w:r>
              <w:rPr>
                <w:rFonts w:hint="eastAsia" w:ascii="宋体" w:hAnsi="宋体" w:eastAsia="宋体" w:cs="宋体"/>
                <w:b/>
                <w:bCs/>
                <w:color w:val="auto"/>
                <w:sz w:val="24"/>
                <w:szCs w:val="24"/>
                <w:highlight w:val="none"/>
                <w:lang w:val="en-US" w:eastAsia="zh-CN"/>
              </w:rPr>
              <w:t>基金运行数据统计分析</w:t>
            </w:r>
            <w:r>
              <w:rPr>
                <w:rFonts w:hint="eastAsia" w:ascii="宋体" w:hAnsi="宋体" w:eastAsia="宋体" w:cs="宋体"/>
                <w:b/>
                <w:bCs/>
                <w:color w:val="auto"/>
                <w:sz w:val="24"/>
                <w:szCs w:val="24"/>
                <w:highlight w:val="none"/>
              </w:rPr>
              <w:t>。</w:t>
            </w:r>
          </w:p>
          <w:p w14:paraId="15AC0486">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所有要素齐全且完全满足项目要求得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en-US"/>
              </w:rPr>
              <w:t>分，每缺一个要素扣</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分，每有一项要素内容缺陷的扣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分；扣完为止。</w:t>
            </w:r>
          </w:p>
          <w:p w14:paraId="06D4BFA8">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注：“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73E1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1" w:type="dxa"/>
            <w:vMerge w:val="continue"/>
            <w:vAlign w:val="center"/>
          </w:tcPr>
          <w:p w14:paraId="2A2FC640">
            <w:pPr>
              <w:tabs>
                <w:tab w:val="left" w:pos="540"/>
              </w:tabs>
              <w:autoSpaceDE/>
              <w:autoSpaceDN/>
              <w:spacing w:after="100" w:line="0" w:lineRule="atLeast"/>
              <w:rPr>
                <w:rFonts w:ascii="宋体" w:hAnsi="宋体" w:eastAsia="宋体" w:cs="宋体"/>
                <w:color w:val="auto"/>
                <w:sz w:val="24"/>
                <w:szCs w:val="24"/>
                <w:highlight w:val="none"/>
              </w:rPr>
            </w:pPr>
          </w:p>
        </w:tc>
        <w:tc>
          <w:tcPr>
            <w:tcW w:w="1318" w:type="dxa"/>
            <w:vMerge w:val="continue"/>
            <w:vAlign w:val="center"/>
          </w:tcPr>
          <w:p w14:paraId="64FE6DC6">
            <w:pPr>
              <w:tabs>
                <w:tab w:val="left" w:pos="540"/>
              </w:tabs>
              <w:autoSpaceDE/>
              <w:autoSpaceDN/>
              <w:spacing w:after="100" w:line="0" w:lineRule="atLeast"/>
              <w:rPr>
                <w:rFonts w:ascii="宋体" w:hAnsi="宋体" w:eastAsia="宋体" w:cs="宋体"/>
                <w:color w:val="auto"/>
                <w:sz w:val="24"/>
                <w:szCs w:val="24"/>
                <w:highlight w:val="none"/>
              </w:rPr>
            </w:pPr>
          </w:p>
        </w:tc>
        <w:tc>
          <w:tcPr>
            <w:tcW w:w="2013" w:type="dxa"/>
            <w:vMerge w:val="continue"/>
            <w:vAlign w:val="center"/>
          </w:tcPr>
          <w:p w14:paraId="28EB5136">
            <w:pPr>
              <w:spacing w:line="240" w:lineRule="atLeast"/>
              <w:rPr>
                <w:rFonts w:ascii="宋体" w:hAnsi="宋体" w:eastAsia="宋体" w:cs="宋体"/>
                <w:color w:val="auto"/>
                <w:sz w:val="24"/>
                <w:szCs w:val="24"/>
                <w:highlight w:val="none"/>
              </w:rPr>
            </w:pPr>
          </w:p>
        </w:tc>
        <w:tc>
          <w:tcPr>
            <w:tcW w:w="6006" w:type="dxa"/>
            <w:vAlign w:val="center"/>
          </w:tcPr>
          <w:p w14:paraId="6B5714B5">
            <w:pPr>
              <w:keepNext w:val="0"/>
              <w:keepLines w:val="0"/>
              <w:pageBreakBefore w:val="0"/>
              <w:widowControl w:val="0"/>
              <w:tabs>
                <w:tab w:val="left" w:pos="540"/>
              </w:tabs>
              <w:kinsoku/>
              <w:wordWrap/>
              <w:overflowPunct/>
              <w:topLinePunct w:val="0"/>
              <w:autoSpaceDE/>
              <w:autoSpaceDN/>
              <w:bidi w:val="0"/>
              <w:adjustRightInd/>
              <w:snapToGrid/>
              <w:spacing w:after="100" w:line="288" w:lineRule="auto"/>
              <w:jc w:val="both"/>
              <w:textAlignment w:val="auto"/>
              <w:rPr>
                <w:rFonts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w:t>
            </w:r>
            <w:r>
              <w:rPr>
                <w:rFonts w:hint="eastAsia" w:asciiTheme="majorEastAsia" w:hAnsiTheme="majorEastAsia" w:eastAsiaTheme="majorEastAsia" w:cstheme="majorEastAsia"/>
                <w:b/>
                <w:bCs/>
                <w:color w:val="auto"/>
                <w:sz w:val="24"/>
                <w:szCs w:val="24"/>
                <w:highlight w:val="none"/>
                <w:lang w:val="en-US"/>
              </w:rPr>
              <w:t>4</w:t>
            </w:r>
            <w:r>
              <w:rPr>
                <w:rFonts w:hint="eastAsia" w:ascii="宋体" w:hAnsi="宋体" w:eastAsia="宋体" w:cs="宋体"/>
                <w:b/>
                <w:bCs/>
                <w:color w:val="auto"/>
                <w:sz w:val="24"/>
                <w:szCs w:val="24"/>
                <w:highlight w:val="none"/>
                <w:lang w:val="en-US"/>
              </w:rPr>
              <w:t>）</w:t>
            </w:r>
            <w:r>
              <w:rPr>
                <w:rFonts w:hint="eastAsia" w:ascii="宋体" w:hAnsi="宋体" w:eastAsia="宋体" w:cs="宋体"/>
                <w:b/>
                <w:bCs/>
                <w:color w:val="auto"/>
                <w:sz w:val="24"/>
                <w:szCs w:val="24"/>
                <w:highlight w:val="none"/>
                <w:lang w:val="en-US" w:eastAsia="zh-CN"/>
              </w:rPr>
              <w:t>风险控制方案</w:t>
            </w:r>
            <w:r>
              <w:rPr>
                <w:rFonts w:hint="eastAsia" w:ascii="宋体" w:hAnsi="宋体" w:eastAsia="宋体" w:cs="宋体"/>
                <w:b/>
                <w:bCs/>
                <w:color w:val="auto"/>
                <w:sz w:val="24"/>
                <w:szCs w:val="24"/>
                <w:highlight w:val="none"/>
                <w:lang w:val="en-US"/>
              </w:rPr>
              <w:t>（满分</w:t>
            </w:r>
            <w:r>
              <w:rPr>
                <w:rFonts w:hint="eastAsia" w:asciiTheme="majorEastAsia" w:hAnsiTheme="majorEastAsia" w:eastAsiaTheme="majorEastAsia" w:cstheme="majorEastAsia"/>
                <w:b/>
                <w:bCs/>
                <w:color w:val="auto"/>
                <w:sz w:val="24"/>
                <w:szCs w:val="24"/>
                <w:highlight w:val="none"/>
                <w:lang w:val="en-US" w:eastAsia="zh-CN"/>
              </w:rPr>
              <w:t>8</w:t>
            </w:r>
            <w:r>
              <w:rPr>
                <w:rFonts w:hint="eastAsia" w:ascii="宋体" w:hAnsi="宋体" w:eastAsia="宋体" w:cs="宋体"/>
                <w:b/>
                <w:bCs/>
                <w:color w:val="auto"/>
                <w:sz w:val="24"/>
                <w:szCs w:val="24"/>
                <w:highlight w:val="none"/>
                <w:lang w:val="en-US"/>
              </w:rPr>
              <w:t>分）</w:t>
            </w:r>
          </w:p>
          <w:p w14:paraId="5C368FB2">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根据投标人提供的</w:t>
            </w:r>
            <w:r>
              <w:rPr>
                <w:rFonts w:hint="eastAsia" w:ascii="宋体" w:hAnsi="宋体" w:eastAsia="宋体" w:cs="宋体"/>
                <w:color w:val="auto"/>
                <w:sz w:val="24"/>
                <w:szCs w:val="24"/>
                <w:highlight w:val="none"/>
                <w:lang w:val="en-US" w:eastAsia="zh-CN"/>
              </w:rPr>
              <w:t>风险控制方案</w:t>
            </w:r>
            <w:r>
              <w:rPr>
                <w:rFonts w:hint="eastAsia" w:ascii="宋体" w:hAnsi="宋体" w:eastAsia="宋体" w:cs="宋体"/>
                <w:color w:val="auto"/>
                <w:sz w:val="24"/>
                <w:szCs w:val="24"/>
                <w:highlight w:val="none"/>
                <w:lang w:val="en-US"/>
              </w:rPr>
              <w:t>进行评分，投标人针对本项目特点，结合采购人的需求及实际情况，拟制定的</w:t>
            </w:r>
            <w:r>
              <w:rPr>
                <w:rFonts w:hint="eastAsia" w:ascii="宋体" w:hAnsi="宋体" w:eastAsia="宋体" w:cs="宋体"/>
                <w:color w:val="auto"/>
                <w:sz w:val="24"/>
                <w:szCs w:val="24"/>
                <w:highlight w:val="none"/>
                <w:lang w:val="en-US" w:eastAsia="zh-CN"/>
              </w:rPr>
              <w:t>风险控制方案</w:t>
            </w:r>
            <w:r>
              <w:rPr>
                <w:rFonts w:hint="eastAsia" w:ascii="宋体" w:hAnsi="宋体" w:eastAsia="宋体" w:cs="宋体"/>
                <w:color w:val="auto"/>
                <w:sz w:val="24"/>
                <w:szCs w:val="24"/>
                <w:highlight w:val="none"/>
                <w:lang w:val="en-US"/>
              </w:rPr>
              <w:t>，包括但不限于以下内容:</w:t>
            </w:r>
            <w:r>
              <w:rPr>
                <w:rFonts w:hint="eastAsia" w:ascii="宋体" w:hAnsi="宋体" w:eastAsia="宋体" w:cs="宋体"/>
                <w:b/>
                <w:bCs/>
                <w:color w:val="auto"/>
                <w:sz w:val="24"/>
                <w:szCs w:val="24"/>
                <w:highlight w:val="none"/>
                <w:lang w:val="en-US" w:eastAsia="zh-CN"/>
              </w:rPr>
              <w:t>①风险控制方法；②风险管理机制；③风险管理组织；④风险管理过程和风险规避及应对。</w:t>
            </w:r>
          </w:p>
          <w:p w14:paraId="1DCAA5D9">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所有要素齐全且完全满足项目要求得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rPr>
              <w:t>分，每缺一个要素扣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分，每有一项要素内容缺陷的扣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分；扣完为止。</w:t>
            </w:r>
          </w:p>
          <w:p w14:paraId="727207C0">
            <w:pPr>
              <w:keepNext w:val="0"/>
              <w:keepLines w:val="0"/>
              <w:pageBreakBefore w:val="0"/>
              <w:widowControl w:val="0"/>
              <w:tabs>
                <w:tab w:val="left" w:pos="540"/>
              </w:tabs>
              <w:kinsoku/>
              <w:wordWrap/>
              <w:overflowPunct/>
              <w:topLinePunct w:val="0"/>
              <w:autoSpaceDE/>
              <w:autoSpaceDN/>
              <w:bidi w:val="0"/>
              <w:adjustRightInd/>
              <w:snapToGrid/>
              <w:spacing w:after="100" w:line="288" w:lineRule="auto"/>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注：“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0D7B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1" w:type="dxa"/>
            <w:vMerge w:val="continue"/>
            <w:vAlign w:val="center"/>
          </w:tcPr>
          <w:p w14:paraId="044543E6">
            <w:pPr>
              <w:tabs>
                <w:tab w:val="left" w:pos="540"/>
              </w:tabs>
              <w:autoSpaceDE/>
              <w:autoSpaceDN/>
              <w:spacing w:after="100" w:line="0" w:lineRule="atLeast"/>
              <w:rPr>
                <w:rFonts w:ascii="宋体" w:hAnsi="宋体" w:eastAsia="宋体" w:cs="宋体"/>
                <w:color w:val="auto"/>
                <w:sz w:val="24"/>
                <w:szCs w:val="24"/>
                <w:highlight w:val="none"/>
              </w:rPr>
            </w:pPr>
          </w:p>
        </w:tc>
        <w:tc>
          <w:tcPr>
            <w:tcW w:w="1318" w:type="dxa"/>
            <w:vMerge w:val="continue"/>
            <w:vAlign w:val="center"/>
          </w:tcPr>
          <w:p w14:paraId="748E954C">
            <w:pPr>
              <w:tabs>
                <w:tab w:val="left" w:pos="540"/>
              </w:tabs>
              <w:autoSpaceDE/>
              <w:autoSpaceDN/>
              <w:spacing w:after="100" w:line="0" w:lineRule="atLeast"/>
              <w:rPr>
                <w:rFonts w:ascii="宋体" w:hAnsi="宋体" w:eastAsia="宋体" w:cs="宋体"/>
                <w:color w:val="auto"/>
                <w:sz w:val="24"/>
                <w:szCs w:val="24"/>
                <w:highlight w:val="none"/>
              </w:rPr>
            </w:pPr>
          </w:p>
        </w:tc>
        <w:tc>
          <w:tcPr>
            <w:tcW w:w="2013" w:type="dxa"/>
            <w:vMerge w:val="continue"/>
            <w:vAlign w:val="center"/>
          </w:tcPr>
          <w:p w14:paraId="4517E2B2">
            <w:pPr>
              <w:spacing w:line="240" w:lineRule="atLeast"/>
              <w:rPr>
                <w:rFonts w:ascii="宋体" w:hAnsi="宋体" w:eastAsia="宋体" w:cs="宋体"/>
                <w:color w:val="auto"/>
                <w:sz w:val="24"/>
                <w:szCs w:val="24"/>
                <w:highlight w:val="none"/>
              </w:rPr>
            </w:pPr>
          </w:p>
        </w:tc>
        <w:tc>
          <w:tcPr>
            <w:tcW w:w="6006" w:type="dxa"/>
            <w:vAlign w:val="center"/>
          </w:tcPr>
          <w:p w14:paraId="2DB66949">
            <w:pPr>
              <w:keepNext w:val="0"/>
              <w:keepLines w:val="0"/>
              <w:pageBreakBefore w:val="0"/>
              <w:widowControl w:val="0"/>
              <w:tabs>
                <w:tab w:val="left" w:pos="540"/>
              </w:tabs>
              <w:kinsoku/>
              <w:wordWrap/>
              <w:overflowPunct/>
              <w:topLinePunct w:val="0"/>
              <w:autoSpaceDE/>
              <w:autoSpaceDN/>
              <w:bidi w:val="0"/>
              <w:adjustRightInd/>
              <w:snapToGrid/>
              <w:spacing w:after="100" w:line="288" w:lineRule="auto"/>
              <w:jc w:val="both"/>
              <w:textAlignment w:val="auto"/>
              <w:rPr>
                <w:rFonts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w:t>
            </w:r>
            <w:r>
              <w:rPr>
                <w:rFonts w:hint="eastAsia" w:asciiTheme="majorEastAsia" w:hAnsiTheme="majorEastAsia" w:eastAsiaTheme="majorEastAsia" w:cstheme="majorEastAsia"/>
                <w:b/>
                <w:bCs/>
                <w:color w:val="auto"/>
                <w:sz w:val="24"/>
                <w:szCs w:val="24"/>
                <w:highlight w:val="none"/>
                <w:lang w:val="en-US" w:eastAsia="zh-CN"/>
              </w:rPr>
              <w:t>5</w:t>
            </w:r>
            <w:r>
              <w:rPr>
                <w:rFonts w:hint="eastAsia" w:ascii="宋体" w:hAnsi="宋体" w:eastAsia="宋体" w:cs="宋体"/>
                <w:b/>
                <w:bCs/>
                <w:color w:val="auto"/>
                <w:sz w:val="24"/>
                <w:szCs w:val="24"/>
                <w:highlight w:val="none"/>
                <w:lang w:val="en-US"/>
              </w:rPr>
              <w:t>）</w:t>
            </w:r>
            <w:r>
              <w:rPr>
                <w:rFonts w:hint="eastAsia" w:ascii="宋体" w:hAnsi="宋体" w:eastAsia="宋体" w:cs="宋体"/>
                <w:b/>
                <w:bCs/>
                <w:color w:val="auto"/>
                <w:sz w:val="24"/>
                <w:szCs w:val="24"/>
                <w:highlight w:val="none"/>
                <w:lang w:val="en-US" w:eastAsia="zh-CN"/>
              </w:rPr>
              <w:t>服务保障方案</w:t>
            </w:r>
            <w:r>
              <w:rPr>
                <w:rFonts w:hint="eastAsia" w:ascii="宋体" w:hAnsi="宋体" w:eastAsia="宋体" w:cs="宋体"/>
                <w:b/>
                <w:bCs/>
                <w:color w:val="auto"/>
                <w:sz w:val="24"/>
                <w:szCs w:val="24"/>
                <w:highlight w:val="none"/>
                <w:lang w:val="en-US"/>
              </w:rPr>
              <w:t>（满分</w:t>
            </w:r>
            <w:r>
              <w:rPr>
                <w:rFonts w:hint="eastAsia" w:asciiTheme="majorEastAsia" w:hAnsiTheme="majorEastAsia" w:eastAsiaTheme="majorEastAsia" w:cstheme="majorEastAsia"/>
                <w:b/>
                <w:bCs/>
                <w:color w:val="auto"/>
                <w:sz w:val="24"/>
                <w:szCs w:val="24"/>
                <w:highlight w:val="none"/>
                <w:lang w:val="en-US" w:eastAsia="zh-CN"/>
              </w:rPr>
              <w:t>12</w:t>
            </w:r>
            <w:r>
              <w:rPr>
                <w:rFonts w:hint="eastAsia" w:ascii="宋体" w:hAnsi="宋体" w:eastAsia="宋体" w:cs="宋体"/>
                <w:b/>
                <w:bCs/>
                <w:color w:val="auto"/>
                <w:sz w:val="24"/>
                <w:szCs w:val="24"/>
                <w:highlight w:val="none"/>
                <w:lang w:val="en-US"/>
              </w:rPr>
              <w:t>分）</w:t>
            </w:r>
          </w:p>
          <w:p w14:paraId="2617C270">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根据投标人提供的</w:t>
            </w:r>
            <w:r>
              <w:rPr>
                <w:rFonts w:hint="eastAsia" w:ascii="宋体" w:hAnsi="宋体" w:eastAsia="宋体" w:cs="宋体"/>
                <w:color w:val="auto"/>
                <w:sz w:val="24"/>
                <w:szCs w:val="24"/>
                <w:highlight w:val="none"/>
                <w:lang w:val="en-US" w:eastAsia="zh-CN"/>
              </w:rPr>
              <w:t>服务保障方案</w:t>
            </w:r>
            <w:r>
              <w:rPr>
                <w:rFonts w:hint="eastAsia" w:ascii="宋体" w:hAnsi="宋体" w:eastAsia="宋体" w:cs="宋体"/>
                <w:color w:val="auto"/>
                <w:sz w:val="24"/>
                <w:szCs w:val="24"/>
                <w:highlight w:val="none"/>
                <w:lang w:val="en-US"/>
              </w:rPr>
              <w:t>进行评分，投标人针对本项目特点，结合采购人的需求及实际情况，拟制定的</w:t>
            </w:r>
            <w:r>
              <w:rPr>
                <w:rFonts w:hint="eastAsia" w:ascii="宋体" w:hAnsi="宋体" w:eastAsia="宋体" w:cs="宋体"/>
                <w:color w:val="auto"/>
                <w:sz w:val="24"/>
                <w:szCs w:val="24"/>
                <w:highlight w:val="none"/>
                <w:lang w:val="en-US" w:eastAsia="zh-CN"/>
              </w:rPr>
              <w:t>服务保障方案</w:t>
            </w:r>
            <w:r>
              <w:rPr>
                <w:rFonts w:hint="eastAsia" w:ascii="宋体" w:hAnsi="宋体" w:eastAsia="宋体" w:cs="宋体"/>
                <w:color w:val="auto"/>
                <w:sz w:val="24"/>
                <w:szCs w:val="24"/>
                <w:highlight w:val="none"/>
                <w:lang w:val="en-US"/>
              </w:rPr>
              <w:t>，包括但不限于以下内容:</w:t>
            </w:r>
            <w:r>
              <w:rPr>
                <w:rFonts w:hint="eastAsia" w:ascii="宋体" w:hAnsi="宋体" w:eastAsia="宋体" w:cs="宋体"/>
                <w:b/>
                <w:bCs/>
                <w:color w:val="auto"/>
                <w:sz w:val="24"/>
                <w:szCs w:val="24"/>
                <w:highlight w:val="none"/>
                <w:lang w:val="en-US" w:eastAsia="zh-CN"/>
              </w:rPr>
              <w:t>①项目管理；②人员组织；③实施计划；④质量保障措施；⑤信息安全管理措施；⑥文档管理措施等内容</w:t>
            </w:r>
            <w:r>
              <w:rPr>
                <w:rFonts w:hint="eastAsia" w:ascii="宋体" w:hAnsi="宋体" w:eastAsia="宋体" w:cs="宋体"/>
                <w:b/>
                <w:bCs/>
                <w:color w:val="auto"/>
                <w:sz w:val="24"/>
                <w:szCs w:val="24"/>
                <w:highlight w:val="none"/>
                <w:lang w:val="en-US"/>
              </w:rPr>
              <w:t>。</w:t>
            </w:r>
          </w:p>
          <w:p w14:paraId="0EC7D10F">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所有要素齐全且完全满足项目要求得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en-US"/>
              </w:rPr>
              <w:t>分，每缺一个要素扣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分，每有一项要素内容缺陷的扣1分；扣完为止。</w:t>
            </w:r>
          </w:p>
          <w:p w14:paraId="3E2AEE2B">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注：“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6A17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1" w:type="dxa"/>
            <w:vMerge w:val="continue"/>
            <w:vAlign w:val="center"/>
          </w:tcPr>
          <w:p w14:paraId="4E663D7B">
            <w:pPr>
              <w:tabs>
                <w:tab w:val="left" w:pos="540"/>
              </w:tabs>
              <w:autoSpaceDE/>
              <w:autoSpaceDN/>
              <w:spacing w:after="100" w:line="0" w:lineRule="atLeast"/>
              <w:rPr>
                <w:rFonts w:ascii="宋体" w:hAnsi="宋体" w:eastAsia="宋体" w:cs="宋体"/>
                <w:color w:val="auto"/>
                <w:sz w:val="24"/>
                <w:szCs w:val="24"/>
                <w:highlight w:val="none"/>
              </w:rPr>
            </w:pPr>
          </w:p>
        </w:tc>
        <w:tc>
          <w:tcPr>
            <w:tcW w:w="1318" w:type="dxa"/>
            <w:vMerge w:val="continue"/>
            <w:vAlign w:val="center"/>
          </w:tcPr>
          <w:p w14:paraId="3FC626CB">
            <w:pPr>
              <w:tabs>
                <w:tab w:val="left" w:pos="540"/>
              </w:tabs>
              <w:autoSpaceDE/>
              <w:autoSpaceDN/>
              <w:spacing w:after="100" w:line="0" w:lineRule="atLeast"/>
              <w:rPr>
                <w:rFonts w:ascii="宋体" w:hAnsi="宋体" w:eastAsia="宋体" w:cs="宋体"/>
                <w:color w:val="auto"/>
                <w:sz w:val="24"/>
                <w:szCs w:val="24"/>
                <w:highlight w:val="none"/>
              </w:rPr>
            </w:pPr>
          </w:p>
        </w:tc>
        <w:tc>
          <w:tcPr>
            <w:tcW w:w="2013" w:type="dxa"/>
            <w:vMerge w:val="continue"/>
            <w:vAlign w:val="center"/>
          </w:tcPr>
          <w:p w14:paraId="429AA25F">
            <w:pPr>
              <w:spacing w:line="240" w:lineRule="atLeast"/>
              <w:rPr>
                <w:rFonts w:ascii="宋体" w:hAnsi="宋体" w:eastAsia="宋体" w:cs="宋体"/>
                <w:color w:val="auto"/>
                <w:sz w:val="24"/>
                <w:szCs w:val="24"/>
                <w:highlight w:val="none"/>
              </w:rPr>
            </w:pPr>
          </w:p>
        </w:tc>
        <w:tc>
          <w:tcPr>
            <w:tcW w:w="6006" w:type="dxa"/>
            <w:shd w:val="clear" w:color="auto" w:fill="auto"/>
            <w:vAlign w:val="center"/>
          </w:tcPr>
          <w:p w14:paraId="7B618845">
            <w:pPr>
              <w:keepNext w:val="0"/>
              <w:keepLines w:val="0"/>
              <w:pageBreakBefore w:val="0"/>
              <w:widowControl w:val="0"/>
              <w:tabs>
                <w:tab w:val="left" w:pos="540"/>
              </w:tabs>
              <w:kinsoku/>
              <w:wordWrap/>
              <w:overflowPunct/>
              <w:topLinePunct w:val="0"/>
              <w:autoSpaceDE/>
              <w:autoSpaceDN/>
              <w:bidi w:val="0"/>
              <w:adjustRightInd/>
              <w:snapToGrid/>
              <w:spacing w:after="100" w:line="288" w:lineRule="auto"/>
              <w:jc w:val="both"/>
              <w:textAlignment w:val="auto"/>
              <w:rPr>
                <w:rFonts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w:t>
            </w:r>
            <w:r>
              <w:rPr>
                <w:rFonts w:hint="eastAsia" w:asciiTheme="majorEastAsia" w:hAnsiTheme="majorEastAsia" w:eastAsiaTheme="majorEastAsia" w:cstheme="majorEastAsia"/>
                <w:b/>
                <w:bCs/>
                <w:color w:val="auto"/>
                <w:sz w:val="24"/>
                <w:szCs w:val="24"/>
                <w:highlight w:val="none"/>
                <w:lang w:val="en-US" w:eastAsia="zh-CN"/>
              </w:rPr>
              <w:t>6</w:t>
            </w:r>
            <w:r>
              <w:rPr>
                <w:rFonts w:hint="eastAsia" w:ascii="宋体" w:hAnsi="宋体" w:eastAsia="宋体" w:cs="宋体"/>
                <w:b/>
                <w:bCs/>
                <w:color w:val="auto"/>
                <w:sz w:val="24"/>
                <w:szCs w:val="24"/>
                <w:highlight w:val="none"/>
                <w:lang w:val="en-US"/>
              </w:rPr>
              <w:t>）</w:t>
            </w:r>
            <w:r>
              <w:rPr>
                <w:rFonts w:hint="eastAsia" w:ascii="宋体" w:hAnsi="宋体" w:eastAsia="宋体" w:cs="宋体"/>
                <w:b/>
                <w:bCs/>
                <w:color w:val="auto"/>
                <w:sz w:val="24"/>
                <w:szCs w:val="24"/>
                <w:highlight w:val="none"/>
                <w:lang w:val="en-US" w:eastAsia="zh-CN"/>
              </w:rPr>
              <w:t>项目培训方案</w:t>
            </w:r>
            <w:r>
              <w:rPr>
                <w:rFonts w:hint="eastAsia" w:ascii="宋体" w:hAnsi="宋体" w:eastAsia="宋体" w:cs="宋体"/>
                <w:b/>
                <w:bCs/>
                <w:color w:val="auto"/>
                <w:sz w:val="24"/>
                <w:szCs w:val="24"/>
                <w:highlight w:val="none"/>
                <w:lang w:val="en-US"/>
              </w:rPr>
              <w:t>（满分</w:t>
            </w:r>
            <w:r>
              <w:rPr>
                <w:rFonts w:hint="eastAsia" w:asciiTheme="majorEastAsia" w:hAnsiTheme="majorEastAsia" w:eastAsiaTheme="majorEastAsia" w:cstheme="majorEastAsia"/>
                <w:b/>
                <w:bCs/>
                <w:color w:val="auto"/>
                <w:sz w:val="24"/>
                <w:szCs w:val="24"/>
                <w:highlight w:val="none"/>
                <w:lang w:val="en-US" w:eastAsia="zh-CN"/>
              </w:rPr>
              <w:t>6</w:t>
            </w:r>
            <w:r>
              <w:rPr>
                <w:rFonts w:hint="eastAsia" w:ascii="宋体" w:hAnsi="宋体" w:eastAsia="宋体" w:cs="宋体"/>
                <w:b/>
                <w:bCs/>
                <w:color w:val="auto"/>
                <w:sz w:val="24"/>
                <w:szCs w:val="24"/>
                <w:highlight w:val="none"/>
                <w:lang w:val="en-US"/>
              </w:rPr>
              <w:t>分）</w:t>
            </w:r>
          </w:p>
          <w:p w14:paraId="428CB38A">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根据投标人提供的</w:t>
            </w:r>
            <w:r>
              <w:rPr>
                <w:rFonts w:hint="eastAsia" w:ascii="宋体" w:hAnsi="宋体" w:eastAsia="宋体" w:cs="宋体"/>
                <w:color w:val="auto"/>
                <w:sz w:val="24"/>
                <w:szCs w:val="24"/>
                <w:highlight w:val="none"/>
                <w:lang w:val="en-US" w:eastAsia="zh-CN"/>
              </w:rPr>
              <w:t>服务保障方案</w:t>
            </w:r>
            <w:r>
              <w:rPr>
                <w:rFonts w:hint="eastAsia" w:ascii="宋体" w:hAnsi="宋体" w:eastAsia="宋体" w:cs="宋体"/>
                <w:color w:val="auto"/>
                <w:sz w:val="24"/>
                <w:szCs w:val="24"/>
                <w:highlight w:val="none"/>
                <w:lang w:val="en-US"/>
              </w:rPr>
              <w:t>进行评分，投标人针对本项目特点，结合采购人的需求及实际情况，拟制定的</w:t>
            </w:r>
            <w:r>
              <w:rPr>
                <w:rFonts w:hint="eastAsia" w:ascii="宋体" w:hAnsi="宋体" w:eastAsia="宋体" w:cs="宋体"/>
                <w:color w:val="auto"/>
                <w:sz w:val="24"/>
                <w:szCs w:val="24"/>
                <w:highlight w:val="none"/>
                <w:lang w:val="en-US" w:eastAsia="zh-CN"/>
              </w:rPr>
              <w:t>服务保障方案</w:t>
            </w:r>
            <w:r>
              <w:rPr>
                <w:rFonts w:hint="eastAsia" w:ascii="宋体" w:hAnsi="宋体" w:eastAsia="宋体" w:cs="宋体"/>
                <w:color w:val="auto"/>
                <w:sz w:val="24"/>
                <w:szCs w:val="24"/>
                <w:highlight w:val="none"/>
                <w:lang w:val="en-US"/>
              </w:rPr>
              <w:t>，包括但不限于以下内容:</w:t>
            </w:r>
            <w:r>
              <w:rPr>
                <w:rFonts w:hint="eastAsia" w:ascii="宋体" w:hAnsi="宋体" w:eastAsia="宋体" w:cs="宋体"/>
                <w:b/>
                <w:bCs/>
                <w:color w:val="auto"/>
                <w:sz w:val="24"/>
                <w:szCs w:val="24"/>
                <w:highlight w:val="none"/>
                <w:lang w:val="en-US" w:eastAsia="zh-CN"/>
              </w:rPr>
              <w:t>①培训组织架构；②培训内容、方式、流程；③培训质量保障措施</w:t>
            </w:r>
            <w:r>
              <w:rPr>
                <w:rFonts w:hint="eastAsia" w:ascii="宋体" w:hAnsi="宋体" w:eastAsia="宋体" w:cs="宋体"/>
                <w:b/>
                <w:bCs/>
                <w:color w:val="auto"/>
                <w:sz w:val="24"/>
                <w:szCs w:val="24"/>
                <w:highlight w:val="none"/>
                <w:lang w:val="en-US"/>
              </w:rPr>
              <w:t>。</w:t>
            </w:r>
          </w:p>
          <w:p w14:paraId="706B32C5">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所有要素齐全且完全满足项目要求得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分，每缺一个要素扣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分，每有一项要素内容缺陷的扣1分；扣完为止。</w:t>
            </w:r>
          </w:p>
          <w:p w14:paraId="1F4C7E1F">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rPr>
              <w:t>注：“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42E0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1" w:type="dxa"/>
            <w:vMerge w:val="continue"/>
            <w:vAlign w:val="center"/>
          </w:tcPr>
          <w:p w14:paraId="39805B9F">
            <w:pPr>
              <w:tabs>
                <w:tab w:val="left" w:pos="540"/>
              </w:tabs>
              <w:autoSpaceDE/>
              <w:autoSpaceDN/>
              <w:spacing w:after="100" w:line="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安全保障方案</w:t>
            </w:r>
          </w:p>
          <w:p w14:paraId="655FEF92">
            <w:pPr>
              <w:tabs>
                <w:tab w:val="left" w:pos="540"/>
              </w:tabs>
              <w:autoSpaceDE/>
              <w:autoSpaceDN/>
              <w:spacing w:after="100" w:line="0" w:lineRule="atLeast"/>
              <w:rPr>
                <w:rFonts w:ascii="宋体" w:hAnsi="宋体" w:eastAsia="宋体" w:cs="宋体"/>
                <w:color w:val="auto"/>
                <w:sz w:val="24"/>
                <w:szCs w:val="24"/>
                <w:highlight w:val="none"/>
              </w:rPr>
            </w:pPr>
          </w:p>
        </w:tc>
        <w:tc>
          <w:tcPr>
            <w:tcW w:w="1318" w:type="dxa"/>
            <w:vMerge w:val="continue"/>
            <w:vAlign w:val="center"/>
          </w:tcPr>
          <w:p w14:paraId="0D31CBCC">
            <w:pPr>
              <w:tabs>
                <w:tab w:val="left" w:pos="540"/>
              </w:tabs>
              <w:autoSpaceDE/>
              <w:autoSpaceDN/>
              <w:spacing w:after="100" w:line="0" w:lineRule="atLeast"/>
              <w:rPr>
                <w:rFonts w:ascii="宋体" w:hAnsi="宋体" w:eastAsia="宋体" w:cs="宋体"/>
                <w:color w:val="auto"/>
                <w:sz w:val="24"/>
                <w:szCs w:val="24"/>
                <w:highlight w:val="none"/>
              </w:rPr>
            </w:pPr>
          </w:p>
        </w:tc>
        <w:tc>
          <w:tcPr>
            <w:tcW w:w="2013" w:type="dxa"/>
            <w:vMerge w:val="continue"/>
            <w:vAlign w:val="center"/>
          </w:tcPr>
          <w:p w14:paraId="635F2781">
            <w:pPr>
              <w:spacing w:line="240" w:lineRule="atLeast"/>
              <w:rPr>
                <w:rFonts w:ascii="宋体" w:hAnsi="宋体" w:eastAsia="宋体" w:cs="宋体"/>
                <w:color w:val="auto"/>
                <w:sz w:val="24"/>
                <w:szCs w:val="24"/>
                <w:highlight w:val="none"/>
              </w:rPr>
            </w:pPr>
          </w:p>
        </w:tc>
        <w:tc>
          <w:tcPr>
            <w:tcW w:w="6006" w:type="dxa"/>
            <w:shd w:val="clear" w:color="auto" w:fill="auto"/>
            <w:vAlign w:val="center"/>
          </w:tcPr>
          <w:p w14:paraId="7D6B7CB7">
            <w:pPr>
              <w:keepNext w:val="0"/>
              <w:keepLines w:val="0"/>
              <w:pageBreakBefore w:val="0"/>
              <w:widowControl w:val="0"/>
              <w:tabs>
                <w:tab w:val="left" w:pos="540"/>
              </w:tabs>
              <w:kinsoku/>
              <w:wordWrap/>
              <w:overflowPunct/>
              <w:topLinePunct w:val="0"/>
              <w:autoSpaceDE/>
              <w:autoSpaceDN/>
              <w:bidi w:val="0"/>
              <w:adjustRightInd/>
              <w:snapToGrid/>
              <w:spacing w:after="100" w:line="288" w:lineRule="auto"/>
              <w:jc w:val="both"/>
              <w:textAlignment w:val="auto"/>
              <w:rPr>
                <w:rFonts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w:t>
            </w:r>
            <w:r>
              <w:rPr>
                <w:rFonts w:hint="eastAsia" w:asciiTheme="majorEastAsia" w:hAnsiTheme="majorEastAsia" w:eastAsiaTheme="majorEastAsia" w:cstheme="majorEastAsia"/>
                <w:b/>
                <w:bCs/>
                <w:color w:val="auto"/>
                <w:sz w:val="24"/>
                <w:szCs w:val="24"/>
                <w:highlight w:val="none"/>
                <w:lang w:val="en-US" w:eastAsia="zh-CN"/>
              </w:rPr>
              <w:t>7</w:t>
            </w:r>
            <w:r>
              <w:rPr>
                <w:rFonts w:hint="eastAsia" w:ascii="宋体" w:hAnsi="宋体" w:eastAsia="宋体" w:cs="宋体"/>
                <w:b/>
                <w:bCs/>
                <w:color w:val="auto"/>
                <w:sz w:val="24"/>
                <w:szCs w:val="24"/>
                <w:highlight w:val="none"/>
                <w:lang w:val="en-US"/>
              </w:rPr>
              <w:t>）</w:t>
            </w:r>
            <w:r>
              <w:rPr>
                <w:rFonts w:hint="eastAsia" w:ascii="宋体" w:hAnsi="宋体" w:eastAsia="宋体" w:cs="宋体"/>
                <w:b/>
                <w:bCs/>
                <w:color w:val="auto"/>
                <w:sz w:val="24"/>
                <w:szCs w:val="24"/>
                <w:highlight w:val="none"/>
                <w:lang w:val="en-US" w:eastAsia="zh-CN"/>
              </w:rPr>
              <w:t>安全保障方案</w:t>
            </w:r>
            <w:r>
              <w:rPr>
                <w:rFonts w:hint="eastAsia" w:ascii="宋体" w:hAnsi="宋体" w:eastAsia="宋体" w:cs="宋体"/>
                <w:b/>
                <w:bCs/>
                <w:color w:val="auto"/>
                <w:sz w:val="24"/>
                <w:szCs w:val="24"/>
                <w:highlight w:val="none"/>
                <w:lang w:val="en-US"/>
              </w:rPr>
              <w:t>（满分</w:t>
            </w:r>
            <w:r>
              <w:rPr>
                <w:rFonts w:hint="eastAsia" w:asciiTheme="majorEastAsia" w:hAnsiTheme="majorEastAsia" w:eastAsiaTheme="majorEastAsia" w:cstheme="majorEastAsia"/>
                <w:b/>
                <w:bCs/>
                <w:color w:val="auto"/>
                <w:sz w:val="24"/>
                <w:szCs w:val="24"/>
                <w:highlight w:val="none"/>
                <w:lang w:val="en-US" w:eastAsia="zh-CN"/>
              </w:rPr>
              <w:t>4</w:t>
            </w:r>
            <w:r>
              <w:rPr>
                <w:rFonts w:hint="eastAsia" w:ascii="宋体" w:hAnsi="宋体" w:eastAsia="宋体" w:cs="宋体"/>
                <w:b/>
                <w:bCs/>
                <w:color w:val="auto"/>
                <w:sz w:val="24"/>
                <w:szCs w:val="24"/>
                <w:highlight w:val="none"/>
                <w:lang w:val="en-US"/>
              </w:rPr>
              <w:t>分）</w:t>
            </w:r>
          </w:p>
          <w:p w14:paraId="2B2853E0">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根据投标人提供的</w:t>
            </w:r>
            <w:r>
              <w:rPr>
                <w:rFonts w:hint="eastAsia" w:ascii="宋体" w:hAnsi="宋体" w:eastAsia="宋体" w:cs="宋体"/>
                <w:color w:val="auto"/>
                <w:sz w:val="24"/>
                <w:szCs w:val="24"/>
                <w:highlight w:val="none"/>
                <w:lang w:val="en-US" w:eastAsia="zh-CN"/>
              </w:rPr>
              <w:t>服务保障方案</w:t>
            </w:r>
            <w:r>
              <w:rPr>
                <w:rFonts w:hint="eastAsia" w:ascii="宋体" w:hAnsi="宋体" w:eastAsia="宋体" w:cs="宋体"/>
                <w:color w:val="auto"/>
                <w:sz w:val="24"/>
                <w:szCs w:val="24"/>
                <w:highlight w:val="none"/>
                <w:lang w:val="en-US"/>
              </w:rPr>
              <w:t>进行评分，投标人针对本项目特点，结合采购人的需求及实际情况，拟制定的</w:t>
            </w:r>
            <w:r>
              <w:rPr>
                <w:rFonts w:hint="eastAsia" w:ascii="宋体" w:hAnsi="宋体" w:eastAsia="宋体" w:cs="宋体"/>
                <w:color w:val="auto"/>
                <w:sz w:val="24"/>
                <w:szCs w:val="24"/>
                <w:highlight w:val="none"/>
                <w:lang w:val="en-US" w:eastAsia="zh-CN"/>
              </w:rPr>
              <w:t>服务保障方案</w:t>
            </w:r>
            <w:r>
              <w:rPr>
                <w:rFonts w:hint="eastAsia" w:ascii="宋体" w:hAnsi="宋体" w:eastAsia="宋体" w:cs="宋体"/>
                <w:color w:val="auto"/>
                <w:sz w:val="24"/>
                <w:szCs w:val="24"/>
                <w:highlight w:val="none"/>
                <w:lang w:val="en-US"/>
              </w:rPr>
              <w:t>，包括但不限于以下内容:</w:t>
            </w:r>
            <w:r>
              <w:rPr>
                <w:rFonts w:hint="eastAsia" w:ascii="宋体" w:hAnsi="宋体" w:eastAsia="宋体" w:cs="宋体"/>
                <w:b/>
                <w:bCs/>
                <w:color w:val="auto"/>
                <w:sz w:val="24"/>
                <w:szCs w:val="24"/>
                <w:highlight w:val="none"/>
                <w:lang w:val="en-US" w:eastAsia="zh-CN"/>
              </w:rPr>
              <w:t>①应用安全和数据安全；②应急方案</w:t>
            </w:r>
            <w:r>
              <w:rPr>
                <w:rFonts w:hint="eastAsia" w:ascii="宋体" w:hAnsi="宋体" w:eastAsia="宋体" w:cs="宋体"/>
                <w:b/>
                <w:bCs/>
                <w:color w:val="auto"/>
                <w:sz w:val="24"/>
                <w:szCs w:val="24"/>
                <w:highlight w:val="none"/>
                <w:lang w:val="en-US"/>
              </w:rPr>
              <w:t>。</w:t>
            </w:r>
          </w:p>
          <w:p w14:paraId="435E408F">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所有要素齐全且完全满足项目要求得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分，每缺一个要素扣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分，每有一项要素内容缺陷的扣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分；扣完为止。</w:t>
            </w:r>
          </w:p>
          <w:p w14:paraId="1D86A324">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注：“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39E1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vMerge w:val="continue"/>
            <w:vAlign w:val="center"/>
          </w:tcPr>
          <w:p w14:paraId="69B0E55D">
            <w:pPr>
              <w:tabs>
                <w:tab w:val="left" w:pos="540"/>
              </w:tabs>
              <w:autoSpaceDE/>
              <w:autoSpaceDN/>
              <w:spacing w:after="100" w:line="0" w:lineRule="atLeast"/>
              <w:rPr>
                <w:rFonts w:ascii="宋体" w:hAnsi="宋体" w:eastAsia="宋体" w:cs="宋体"/>
                <w:color w:val="auto"/>
                <w:sz w:val="24"/>
                <w:szCs w:val="24"/>
                <w:highlight w:val="none"/>
              </w:rPr>
            </w:pPr>
          </w:p>
        </w:tc>
        <w:tc>
          <w:tcPr>
            <w:tcW w:w="1318" w:type="dxa"/>
            <w:vMerge w:val="continue"/>
            <w:vAlign w:val="center"/>
          </w:tcPr>
          <w:p w14:paraId="62FE3080">
            <w:pPr>
              <w:tabs>
                <w:tab w:val="left" w:pos="540"/>
              </w:tabs>
              <w:autoSpaceDE/>
              <w:autoSpaceDN/>
              <w:spacing w:after="100" w:line="0" w:lineRule="atLeast"/>
              <w:rPr>
                <w:rFonts w:ascii="宋体" w:hAnsi="宋体" w:eastAsia="宋体" w:cs="宋体"/>
                <w:color w:val="auto"/>
                <w:sz w:val="24"/>
                <w:szCs w:val="24"/>
                <w:highlight w:val="none"/>
              </w:rPr>
            </w:pPr>
          </w:p>
        </w:tc>
        <w:tc>
          <w:tcPr>
            <w:tcW w:w="2013" w:type="dxa"/>
            <w:vMerge w:val="continue"/>
            <w:vAlign w:val="center"/>
          </w:tcPr>
          <w:p w14:paraId="32A96786">
            <w:pPr>
              <w:spacing w:line="240" w:lineRule="atLeast"/>
              <w:rPr>
                <w:rFonts w:ascii="宋体" w:hAnsi="宋体" w:eastAsia="宋体" w:cs="宋体"/>
                <w:color w:val="auto"/>
                <w:sz w:val="24"/>
                <w:szCs w:val="24"/>
                <w:highlight w:val="none"/>
              </w:rPr>
            </w:pPr>
          </w:p>
        </w:tc>
        <w:tc>
          <w:tcPr>
            <w:tcW w:w="6006" w:type="dxa"/>
            <w:shd w:val="clear" w:color="auto" w:fill="auto"/>
            <w:vAlign w:val="center"/>
          </w:tcPr>
          <w:p w14:paraId="0C72D3EC">
            <w:pPr>
              <w:keepNext w:val="0"/>
              <w:keepLines w:val="0"/>
              <w:pageBreakBefore w:val="0"/>
              <w:widowControl w:val="0"/>
              <w:tabs>
                <w:tab w:val="left" w:pos="540"/>
              </w:tabs>
              <w:kinsoku/>
              <w:wordWrap/>
              <w:overflowPunct/>
              <w:topLinePunct w:val="0"/>
              <w:autoSpaceDE/>
              <w:autoSpaceDN/>
              <w:bidi w:val="0"/>
              <w:adjustRightInd/>
              <w:snapToGrid/>
              <w:spacing w:after="100" w:line="288" w:lineRule="auto"/>
              <w:jc w:val="both"/>
              <w:textAlignment w:val="auto"/>
              <w:rPr>
                <w:rFonts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w:t>
            </w:r>
            <w:r>
              <w:rPr>
                <w:rFonts w:hint="eastAsia" w:asciiTheme="majorEastAsia" w:hAnsiTheme="majorEastAsia" w:eastAsiaTheme="majorEastAsia" w:cstheme="majorEastAsia"/>
                <w:b/>
                <w:bCs/>
                <w:color w:val="auto"/>
                <w:sz w:val="24"/>
                <w:szCs w:val="24"/>
                <w:highlight w:val="none"/>
                <w:lang w:val="en-US" w:eastAsia="zh-CN"/>
              </w:rPr>
              <w:t>8</w:t>
            </w:r>
            <w:r>
              <w:rPr>
                <w:rFonts w:hint="eastAsia" w:ascii="宋体" w:hAnsi="宋体" w:eastAsia="宋体" w:cs="宋体"/>
                <w:b/>
                <w:bCs/>
                <w:color w:val="auto"/>
                <w:sz w:val="24"/>
                <w:szCs w:val="24"/>
                <w:highlight w:val="none"/>
                <w:lang w:val="en-US"/>
              </w:rPr>
              <w:t>）</w:t>
            </w:r>
            <w:r>
              <w:rPr>
                <w:rFonts w:hint="eastAsia" w:ascii="宋体" w:hAnsi="宋体" w:eastAsia="宋体" w:cs="宋体"/>
                <w:b/>
                <w:bCs/>
                <w:color w:val="auto"/>
                <w:sz w:val="24"/>
                <w:szCs w:val="24"/>
                <w:highlight w:val="none"/>
                <w:lang w:val="en-US" w:eastAsia="zh-CN"/>
              </w:rPr>
              <w:t>售后服务方案</w:t>
            </w:r>
            <w:r>
              <w:rPr>
                <w:rFonts w:hint="eastAsia" w:ascii="宋体" w:hAnsi="宋体" w:eastAsia="宋体" w:cs="宋体"/>
                <w:b/>
                <w:bCs/>
                <w:color w:val="auto"/>
                <w:sz w:val="24"/>
                <w:szCs w:val="24"/>
                <w:highlight w:val="none"/>
                <w:lang w:val="en-US"/>
              </w:rPr>
              <w:t>（满分</w:t>
            </w:r>
            <w:r>
              <w:rPr>
                <w:rFonts w:hint="eastAsia" w:asciiTheme="majorEastAsia" w:hAnsiTheme="majorEastAsia" w:eastAsiaTheme="majorEastAsia" w:cstheme="majorEastAsia"/>
                <w:b/>
                <w:bCs/>
                <w:color w:val="auto"/>
                <w:sz w:val="24"/>
                <w:szCs w:val="24"/>
                <w:highlight w:val="none"/>
                <w:lang w:val="en-US" w:eastAsia="zh-CN"/>
              </w:rPr>
              <w:t>6</w:t>
            </w:r>
            <w:r>
              <w:rPr>
                <w:rFonts w:hint="eastAsia" w:ascii="宋体" w:hAnsi="宋体" w:eastAsia="宋体" w:cs="宋体"/>
                <w:b/>
                <w:bCs/>
                <w:color w:val="auto"/>
                <w:sz w:val="24"/>
                <w:szCs w:val="24"/>
                <w:highlight w:val="none"/>
                <w:lang w:val="en-US"/>
              </w:rPr>
              <w:t>分）</w:t>
            </w:r>
          </w:p>
          <w:p w14:paraId="466FA954">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根据投标人提供的</w:t>
            </w:r>
            <w:r>
              <w:rPr>
                <w:rFonts w:hint="eastAsia" w:ascii="宋体" w:hAnsi="宋体" w:eastAsia="宋体" w:cs="宋体"/>
                <w:color w:val="auto"/>
                <w:sz w:val="24"/>
                <w:szCs w:val="24"/>
                <w:highlight w:val="none"/>
                <w:lang w:val="en-US" w:eastAsia="zh-CN"/>
              </w:rPr>
              <w:t>服务保障方案</w:t>
            </w:r>
            <w:r>
              <w:rPr>
                <w:rFonts w:hint="eastAsia" w:ascii="宋体" w:hAnsi="宋体" w:eastAsia="宋体" w:cs="宋体"/>
                <w:color w:val="auto"/>
                <w:sz w:val="24"/>
                <w:szCs w:val="24"/>
                <w:highlight w:val="none"/>
                <w:lang w:val="en-US"/>
              </w:rPr>
              <w:t>进行评分，投标人针对本项目特点，结合采购人的需求及实际情况，拟制定的</w:t>
            </w:r>
            <w:r>
              <w:rPr>
                <w:rFonts w:hint="eastAsia" w:ascii="宋体" w:hAnsi="宋体" w:eastAsia="宋体" w:cs="宋体"/>
                <w:color w:val="auto"/>
                <w:sz w:val="24"/>
                <w:szCs w:val="24"/>
                <w:highlight w:val="none"/>
                <w:lang w:val="en-US" w:eastAsia="zh-CN"/>
              </w:rPr>
              <w:t>服务保障方案</w:t>
            </w:r>
            <w:r>
              <w:rPr>
                <w:rFonts w:hint="eastAsia" w:ascii="宋体" w:hAnsi="宋体" w:eastAsia="宋体" w:cs="宋体"/>
                <w:color w:val="auto"/>
                <w:sz w:val="24"/>
                <w:szCs w:val="24"/>
                <w:highlight w:val="none"/>
                <w:lang w:val="en-US"/>
              </w:rPr>
              <w:t>，包括但不限于以下内容:</w:t>
            </w:r>
            <w:r>
              <w:rPr>
                <w:rFonts w:hint="eastAsia" w:ascii="宋体" w:hAnsi="宋体" w:eastAsia="宋体" w:cs="宋体"/>
                <w:b/>
                <w:bCs/>
                <w:color w:val="auto"/>
                <w:sz w:val="24"/>
                <w:szCs w:val="24"/>
                <w:highlight w:val="none"/>
                <w:lang w:val="en-US" w:eastAsia="zh-CN"/>
              </w:rPr>
              <w:t>①售后服务内容；②售后服务响应时间；③售后服务保障措施等</w:t>
            </w:r>
            <w:r>
              <w:rPr>
                <w:rFonts w:hint="eastAsia" w:ascii="宋体" w:hAnsi="宋体" w:eastAsia="宋体" w:cs="宋体"/>
                <w:b/>
                <w:bCs/>
                <w:color w:val="auto"/>
                <w:sz w:val="24"/>
                <w:szCs w:val="24"/>
                <w:highlight w:val="none"/>
                <w:lang w:val="en-US"/>
              </w:rPr>
              <w:t>。</w:t>
            </w:r>
          </w:p>
          <w:p w14:paraId="7E3466AC">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所有要素齐全且完全满足项目要求得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分，每缺一个要素扣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分，每有一项要素内容缺陷的扣1分；扣完为止。</w:t>
            </w:r>
          </w:p>
          <w:p w14:paraId="115654D7">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rPr>
              <w:t>注：“内容缺陷”是指：①内容与实际情况不匹配、②不符合项目特点、③内容不完整或缺少关键节点、④存在描述内容过于简略、⑤缺失不全、⑥前后矛盾、⑦表述不清晰、⑧凭空编造、⑨逻辑混淆错误、⑩涉及的规范及标准错误不可能实现的情形等任意一种情形。</w:t>
            </w:r>
          </w:p>
        </w:tc>
      </w:tr>
      <w:tr w14:paraId="70FA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821" w:type="dxa"/>
            <w:vMerge w:val="continue"/>
            <w:tcBorders>
              <w:bottom w:val="single" w:color="auto" w:sz="4" w:space="0"/>
            </w:tcBorders>
            <w:vAlign w:val="center"/>
          </w:tcPr>
          <w:p w14:paraId="5851688B">
            <w:pPr>
              <w:tabs>
                <w:tab w:val="left" w:pos="540"/>
              </w:tabs>
              <w:autoSpaceDE/>
              <w:autoSpaceDN/>
              <w:spacing w:after="100" w:line="0" w:lineRule="atLeast"/>
              <w:rPr>
                <w:rFonts w:ascii="宋体" w:hAnsi="宋体" w:eastAsia="宋体" w:cs="宋体"/>
                <w:color w:val="auto"/>
                <w:sz w:val="24"/>
                <w:szCs w:val="24"/>
                <w:highlight w:val="none"/>
              </w:rPr>
            </w:pPr>
          </w:p>
        </w:tc>
        <w:tc>
          <w:tcPr>
            <w:tcW w:w="1318" w:type="dxa"/>
            <w:vMerge w:val="continue"/>
            <w:tcBorders>
              <w:bottom w:val="single" w:color="auto" w:sz="4" w:space="0"/>
            </w:tcBorders>
            <w:vAlign w:val="center"/>
          </w:tcPr>
          <w:p w14:paraId="25D43A52">
            <w:pPr>
              <w:tabs>
                <w:tab w:val="left" w:pos="540"/>
              </w:tabs>
              <w:autoSpaceDE/>
              <w:autoSpaceDN/>
              <w:spacing w:after="100" w:line="0" w:lineRule="atLeast"/>
              <w:rPr>
                <w:rFonts w:ascii="宋体" w:hAnsi="宋体" w:eastAsia="宋体" w:cs="宋体"/>
                <w:color w:val="auto"/>
                <w:sz w:val="24"/>
                <w:szCs w:val="24"/>
                <w:highlight w:val="none"/>
              </w:rPr>
            </w:pPr>
          </w:p>
        </w:tc>
        <w:tc>
          <w:tcPr>
            <w:tcW w:w="2013" w:type="dxa"/>
            <w:vMerge w:val="restart"/>
            <w:tcBorders>
              <w:bottom w:val="single" w:color="auto" w:sz="4" w:space="0"/>
            </w:tcBorders>
            <w:vAlign w:val="center"/>
          </w:tcPr>
          <w:p w14:paraId="1B29D03C">
            <w:pPr>
              <w:tabs>
                <w:tab w:val="left" w:pos="540"/>
              </w:tabs>
              <w:spacing w:after="100" w:line="0" w:lineRule="atLeast"/>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rPr>
              <w:t>F</w:t>
            </w:r>
            <w:r>
              <w:rPr>
                <w:rFonts w:hint="eastAsia" w:asciiTheme="majorEastAsia" w:hAnsiTheme="majorEastAsia" w:eastAsiaTheme="majorEastAsia" w:cstheme="majorEastAsia"/>
                <w:b/>
                <w:bCs/>
                <w:color w:val="auto"/>
                <w:sz w:val="24"/>
                <w:szCs w:val="24"/>
                <w:highlight w:val="none"/>
                <w:lang w:val="en-US"/>
              </w:rPr>
              <w:t>3</w:t>
            </w:r>
            <w:r>
              <w:rPr>
                <w:rFonts w:hint="eastAsia" w:ascii="宋体" w:hAnsi="宋体" w:eastAsia="宋体" w:cs="宋体"/>
                <w:b/>
                <w:bCs/>
                <w:color w:val="auto"/>
                <w:sz w:val="24"/>
                <w:szCs w:val="24"/>
                <w:highlight w:val="none"/>
              </w:rPr>
              <w:t>商务部分评审（满分</w:t>
            </w:r>
            <w:r>
              <w:rPr>
                <w:rFonts w:hint="eastAsia" w:asciiTheme="majorEastAsia" w:hAnsiTheme="majorEastAsia" w:eastAsiaTheme="majorEastAsia" w:cstheme="majorEastAsia"/>
                <w:b/>
                <w:bCs/>
                <w:color w:val="auto"/>
                <w:sz w:val="24"/>
                <w:szCs w:val="24"/>
                <w:highlight w:val="none"/>
                <w:lang w:val="en-US" w:eastAsia="zh-CN"/>
              </w:rPr>
              <w:t>10</w:t>
            </w:r>
            <w:r>
              <w:rPr>
                <w:rFonts w:hint="eastAsia" w:ascii="宋体" w:hAnsi="宋体" w:eastAsia="宋体" w:cs="宋体"/>
                <w:b/>
                <w:bCs/>
                <w:color w:val="auto"/>
                <w:sz w:val="24"/>
                <w:szCs w:val="24"/>
                <w:highlight w:val="none"/>
                <w:lang w:val="en-US"/>
              </w:rPr>
              <w:t>分</w:t>
            </w:r>
            <w:r>
              <w:rPr>
                <w:rFonts w:hint="eastAsia" w:ascii="宋体" w:hAnsi="宋体" w:eastAsia="宋体" w:cs="宋体"/>
                <w:b/>
                <w:bCs/>
                <w:color w:val="auto"/>
                <w:sz w:val="24"/>
                <w:szCs w:val="24"/>
                <w:highlight w:val="none"/>
              </w:rPr>
              <w:t>）</w:t>
            </w:r>
          </w:p>
        </w:tc>
        <w:tc>
          <w:tcPr>
            <w:tcW w:w="6006" w:type="dxa"/>
            <w:tcBorders>
              <w:bottom w:val="single" w:color="auto" w:sz="4" w:space="0"/>
            </w:tcBorders>
            <w:vAlign w:val="center"/>
          </w:tcPr>
          <w:p w14:paraId="4B1576D9">
            <w:pPr>
              <w:keepNext w:val="0"/>
              <w:keepLines w:val="0"/>
              <w:pageBreakBefore w:val="0"/>
              <w:widowControl w:val="0"/>
              <w:numPr>
                <w:ilvl w:val="0"/>
                <w:numId w:val="0"/>
              </w:numPr>
              <w:kinsoku/>
              <w:wordWrap/>
              <w:overflowPunct/>
              <w:topLinePunct w:val="0"/>
              <w:bidi w:val="0"/>
              <w:adjustRightInd/>
              <w:snapToGrid/>
              <w:spacing w:line="288" w:lineRule="auto"/>
              <w:jc w:val="both"/>
              <w:textAlignment w:val="auto"/>
              <w:rPr>
                <w:rFonts w:ascii="宋体" w:hAnsi="宋体" w:eastAsia="宋体" w:cs="宋体"/>
                <w:b/>
                <w:bCs/>
                <w:color w:val="auto"/>
                <w:sz w:val="24"/>
                <w:szCs w:val="24"/>
                <w:highlight w:val="none"/>
                <w:lang w:val="en-US"/>
              </w:rPr>
            </w:pPr>
            <w:r>
              <w:rPr>
                <w:rFonts w:ascii="宋体" w:hAnsi="宋体" w:eastAsia="宋体" w:cs="宋体"/>
                <w:b/>
                <w:bCs/>
                <w:color w:val="auto"/>
                <w:sz w:val="24"/>
                <w:szCs w:val="24"/>
                <w:lang w:val="en-US" w:eastAsia="zh-CN" w:bidi="zh-CN"/>
              </w:rPr>
              <w:t>（1）</w:t>
            </w:r>
            <w:r>
              <w:rPr>
                <w:rFonts w:hint="eastAsia" w:ascii="宋体" w:hAnsi="宋体" w:eastAsia="宋体" w:cs="宋体"/>
                <w:b/>
                <w:bCs/>
                <w:color w:val="auto"/>
                <w:sz w:val="24"/>
                <w:szCs w:val="24"/>
                <w:highlight w:val="none"/>
                <w:lang w:val="en-US"/>
              </w:rPr>
              <w:t>项目团队人员配备（满分</w:t>
            </w:r>
            <w:r>
              <w:rPr>
                <w:rFonts w:hint="eastAsia" w:asciiTheme="majorEastAsia" w:hAnsiTheme="majorEastAsia" w:eastAsiaTheme="majorEastAsia" w:cstheme="majorEastAsia"/>
                <w:b/>
                <w:bCs/>
                <w:color w:val="auto"/>
                <w:sz w:val="24"/>
                <w:szCs w:val="24"/>
                <w:highlight w:val="none"/>
                <w:lang w:val="en-US" w:eastAsia="zh-CN"/>
              </w:rPr>
              <w:t>5</w:t>
            </w:r>
            <w:r>
              <w:rPr>
                <w:rFonts w:hint="eastAsia" w:ascii="宋体" w:hAnsi="宋体" w:eastAsia="宋体" w:cs="宋体"/>
                <w:b/>
                <w:bCs/>
                <w:color w:val="auto"/>
                <w:sz w:val="24"/>
                <w:szCs w:val="24"/>
                <w:highlight w:val="none"/>
                <w:lang w:val="en-US"/>
              </w:rPr>
              <w:t>分）</w:t>
            </w:r>
          </w:p>
          <w:p w14:paraId="138111F6">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项目经理具备</w:t>
            </w:r>
            <w:r>
              <w:rPr>
                <w:rFonts w:hint="eastAsia" w:ascii="宋体" w:hAnsi="宋体" w:eastAsia="宋体" w:cs="宋体"/>
                <w:b/>
                <w:bCs/>
                <w:color w:val="auto"/>
                <w:sz w:val="24"/>
                <w:szCs w:val="24"/>
                <w:highlight w:val="none"/>
                <w:lang w:val="en-US" w:eastAsia="zh-CN"/>
              </w:rPr>
              <w:t>信息系统项目管理师</w:t>
            </w:r>
            <w:r>
              <w:rPr>
                <w:rFonts w:hint="eastAsia" w:ascii="宋体" w:hAnsi="宋体" w:eastAsia="宋体" w:cs="宋体"/>
                <w:color w:val="auto"/>
                <w:sz w:val="24"/>
                <w:szCs w:val="24"/>
                <w:highlight w:val="none"/>
                <w:lang w:val="en-US" w:eastAsia="zh-CN"/>
              </w:rPr>
              <w:t>（国家人力资源和社会保障部、工业和信息化部颁发）、</w:t>
            </w:r>
            <w:r>
              <w:rPr>
                <w:rFonts w:hint="eastAsia" w:ascii="宋体" w:hAnsi="宋体" w:eastAsia="宋体" w:cs="宋体"/>
                <w:b/>
                <w:bCs/>
                <w:color w:val="auto"/>
                <w:sz w:val="24"/>
                <w:szCs w:val="24"/>
                <w:highlight w:val="none"/>
                <w:lang w:val="en-US" w:eastAsia="zh-CN"/>
              </w:rPr>
              <w:t>数据库系统工程师</w:t>
            </w:r>
            <w:r>
              <w:rPr>
                <w:rFonts w:hint="eastAsia" w:ascii="宋体" w:hAnsi="宋体" w:eastAsia="宋体" w:cs="宋体"/>
                <w:color w:val="auto"/>
                <w:sz w:val="24"/>
                <w:szCs w:val="24"/>
                <w:highlight w:val="none"/>
                <w:lang w:val="en-US" w:eastAsia="zh-CN"/>
              </w:rPr>
              <w:t>（国家人力资源和社会保障部、工业和信息化部颁发）、</w:t>
            </w:r>
            <w:r>
              <w:rPr>
                <w:rFonts w:hint="eastAsia" w:ascii="宋体" w:hAnsi="宋体" w:eastAsia="宋体" w:cs="宋体"/>
                <w:b/>
                <w:bCs/>
                <w:color w:val="auto"/>
                <w:sz w:val="24"/>
                <w:szCs w:val="24"/>
                <w:highlight w:val="none"/>
                <w:lang w:val="en-US" w:eastAsia="zh-CN"/>
              </w:rPr>
              <w:t>软件设计师</w:t>
            </w:r>
            <w:r>
              <w:rPr>
                <w:rFonts w:hint="eastAsia" w:ascii="宋体" w:hAnsi="宋体" w:eastAsia="宋体" w:cs="宋体"/>
                <w:color w:val="auto"/>
                <w:sz w:val="24"/>
                <w:szCs w:val="24"/>
                <w:highlight w:val="none"/>
                <w:lang w:val="en-US" w:eastAsia="zh-CN"/>
              </w:rPr>
              <w:t>（国家人力资源和社会保障部、工业和信息化部颁发），每具备一项证书得0.5分，满分1.5分。</w:t>
            </w:r>
          </w:p>
          <w:p w14:paraId="7FF151C0">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2）项目团队成员（不含项目经理）具备</w:t>
            </w:r>
            <w:r>
              <w:rPr>
                <w:rFonts w:hint="eastAsia" w:ascii="宋体" w:hAnsi="宋体" w:eastAsia="宋体" w:cs="宋体"/>
                <w:b/>
                <w:bCs/>
                <w:color w:val="auto"/>
                <w:sz w:val="24"/>
                <w:szCs w:val="24"/>
                <w:highlight w:val="none"/>
                <w:lang w:val="en-US" w:eastAsia="zh-CN"/>
              </w:rPr>
              <w:t>云计算工程师</w:t>
            </w:r>
            <w:r>
              <w:rPr>
                <w:rFonts w:hint="eastAsia" w:ascii="宋体" w:hAnsi="宋体" w:eastAsia="宋体" w:cs="宋体"/>
                <w:color w:val="auto"/>
                <w:sz w:val="24"/>
                <w:szCs w:val="24"/>
                <w:highlight w:val="none"/>
                <w:lang w:val="en-US" w:eastAsia="zh-CN"/>
              </w:rPr>
              <w:t>（云计算厂商认证颁发）、</w:t>
            </w:r>
            <w:r>
              <w:rPr>
                <w:rFonts w:hint="eastAsia" w:ascii="宋体" w:hAnsi="宋体" w:eastAsia="宋体" w:cs="宋体"/>
                <w:b/>
                <w:bCs/>
                <w:color w:val="auto"/>
                <w:sz w:val="24"/>
                <w:szCs w:val="24"/>
                <w:highlight w:val="none"/>
                <w:lang w:val="en-US" w:eastAsia="zh-CN"/>
              </w:rPr>
              <w:t>信息系统项目管理师</w:t>
            </w:r>
            <w:r>
              <w:rPr>
                <w:rFonts w:hint="eastAsia" w:ascii="宋体" w:hAnsi="宋体" w:eastAsia="宋体" w:cs="宋体"/>
                <w:color w:val="auto"/>
                <w:sz w:val="24"/>
                <w:szCs w:val="24"/>
                <w:highlight w:val="none"/>
                <w:lang w:val="en-US" w:eastAsia="zh-CN"/>
              </w:rPr>
              <w:t>（国家人力资源和社会保障部、工业和信息化部颁发）、</w:t>
            </w:r>
            <w:r>
              <w:rPr>
                <w:rFonts w:hint="eastAsia" w:ascii="宋体" w:hAnsi="宋体" w:eastAsia="宋体" w:cs="宋体"/>
                <w:b/>
                <w:bCs/>
                <w:color w:val="auto"/>
                <w:sz w:val="24"/>
                <w:szCs w:val="24"/>
                <w:highlight w:val="none"/>
                <w:lang w:val="en-US" w:eastAsia="zh-CN"/>
              </w:rPr>
              <w:t>网络工程师</w:t>
            </w:r>
            <w:r>
              <w:rPr>
                <w:rFonts w:hint="eastAsia" w:ascii="宋体" w:hAnsi="宋体" w:eastAsia="宋体" w:cs="宋体"/>
                <w:color w:val="auto"/>
                <w:sz w:val="24"/>
                <w:szCs w:val="24"/>
                <w:highlight w:val="none"/>
                <w:lang w:val="en-US" w:eastAsia="zh-CN"/>
              </w:rPr>
              <w:t>（国家人力资源和社会保障部、工业和信息化部颁发）、</w:t>
            </w:r>
            <w:r>
              <w:rPr>
                <w:rFonts w:hint="eastAsia" w:ascii="宋体" w:hAnsi="宋体" w:eastAsia="宋体" w:cs="宋体"/>
                <w:b/>
                <w:bCs/>
                <w:color w:val="auto"/>
                <w:sz w:val="24"/>
                <w:szCs w:val="24"/>
                <w:highlight w:val="none"/>
                <w:lang w:val="en-US" w:eastAsia="zh-CN"/>
              </w:rPr>
              <w:t>软件设计师</w:t>
            </w:r>
            <w:r>
              <w:rPr>
                <w:rFonts w:hint="eastAsia" w:ascii="宋体" w:hAnsi="宋体" w:eastAsia="宋体" w:cs="宋体"/>
                <w:color w:val="auto"/>
                <w:sz w:val="24"/>
                <w:szCs w:val="24"/>
                <w:highlight w:val="none"/>
                <w:lang w:val="en-US" w:eastAsia="zh-CN"/>
              </w:rPr>
              <w:t>（国家人力资源和社会保障部、工业和信息化部颁发）、</w:t>
            </w:r>
            <w:r>
              <w:rPr>
                <w:rFonts w:hint="eastAsia" w:ascii="宋体" w:hAnsi="宋体" w:eastAsia="宋体" w:cs="宋体"/>
                <w:b/>
                <w:bCs/>
                <w:color w:val="auto"/>
                <w:sz w:val="24"/>
                <w:szCs w:val="24"/>
                <w:highlight w:val="none"/>
                <w:lang w:val="en-US" w:eastAsia="zh-CN"/>
              </w:rPr>
              <w:t>系统分析师</w:t>
            </w:r>
            <w:r>
              <w:rPr>
                <w:rFonts w:hint="eastAsia" w:ascii="宋体" w:hAnsi="宋体" w:eastAsia="宋体" w:cs="宋体"/>
                <w:color w:val="auto"/>
                <w:sz w:val="24"/>
                <w:szCs w:val="24"/>
                <w:highlight w:val="none"/>
                <w:lang w:val="en-US" w:eastAsia="zh-CN"/>
              </w:rPr>
              <w:t>（国家人力资源和社会保障部、工业和信息化部颁发）、</w:t>
            </w:r>
            <w:r>
              <w:rPr>
                <w:rFonts w:hint="eastAsia" w:ascii="宋体" w:hAnsi="宋体" w:eastAsia="宋体" w:cs="宋体"/>
                <w:b/>
                <w:bCs/>
                <w:color w:val="auto"/>
                <w:sz w:val="24"/>
                <w:szCs w:val="24"/>
                <w:highlight w:val="none"/>
                <w:lang w:val="en-US" w:eastAsia="zh-CN"/>
              </w:rPr>
              <w:t>系统规划与管理师</w:t>
            </w:r>
            <w:r>
              <w:rPr>
                <w:rFonts w:hint="eastAsia" w:ascii="宋体" w:hAnsi="宋体" w:eastAsia="宋体" w:cs="宋体"/>
                <w:color w:val="auto"/>
                <w:sz w:val="24"/>
                <w:szCs w:val="24"/>
                <w:highlight w:val="none"/>
                <w:lang w:val="en-US" w:eastAsia="zh-CN"/>
              </w:rPr>
              <w:t>（国家人力资源和社会保障部、工业和信息化部颁发）、</w:t>
            </w:r>
            <w:r>
              <w:rPr>
                <w:rFonts w:hint="eastAsia" w:ascii="宋体" w:hAnsi="宋体" w:eastAsia="宋体" w:cs="宋体"/>
                <w:b/>
                <w:bCs/>
                <w:color w:val="auto"/>
                <w:sz w:val="24"/>
                <w:szCs w:val="24"/>
                <w:highlight w:val="none"/>
                <w:lang w:val="en-US" w:eastAsia="zh-CN"/>
              </w:rPr>
              <w:t>注册信息安全工程师</w:t>
            </w:r>
            <w:r>
              <w:rPr>
                <w:rFonts w:hint="eastAsia" w:ascii="宋体" w:hAnsi="宋体" w:eastAsia="宋体" w:cs="宋体"/>
                <w:color w:val="auto"/>
                <w:sz w:val="24"/>
                <w:szCs w:val="24"/>
                <w:highlight w:val="none"/>
                <w:lang w:val="en-US" w:eastAsia="zh-CN"/>
              </w:rPr>
              <w:t>（中国信息安全测评中心颁发），任意一个证书得0.5分，同一人员具有多类证书不重复计分（满分3.5分）。</w:t>
            </w:r>
          </w:p>
          <w:p w14:paraId="6F9ECD07">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注：</w:t>
            </w:r>
            <w:r>
              <w:rPr>
                <w:rFonts w:ascii="宋体" w:hAnsi="宋体" w:eastAsia="宋体" w:cs="宋体"/>
                <w:color w:val="auto"/>
                <w:sz w:val="24"/>
                <w:szCs w:val="24"/>
                <w:highlight w:val="none"/>
                <w:lang w:val="en-US"/>
              </w:rPr>
              <w:t>人员资料均须</w:t>
            </w:r>
            <w:r>
              <w:rPr>
                <w:rFonts w:hint="eastAsia" w:ascii="宋体" w:hAnsi="宋体" w:eastAsia="宋体" w:cs="宋体"/>
                <w:color w:val="auto"/>
                <w:sz w:val="24"/>
                <w:szCs w:val="24"/>
                <w:highlight w:val="none"/>
                <w:lang w:val="en-US"/>
              </w:rPr>
              <w:t>提供</w:t>
            </w:r>
            <w:r>
              <w:rPr>
                <w:rFonts w:hint="eastAsia" w:ascii="宋体" w:hAnsi="宋体" w:eastAsia="宋体" w:cs="宋体"/>
                <w:color w:val="auto"/>
                <w:sz w:val="24"/>
                <w:szCs w:val="24"/>
                <w:highlight w:val="none"/>
                <w:lang w:val="en-US" w:eastAsia="zh-CN"/>
              </w:rPr>
              <w:t>身份证、上述对应证书及</w:t>
            </w:r>
            <w:r>
              <w:rPr>
                <w:rFonts w:hint="eastAsia" w:ascii="宋体" w:hAnsi="宋体" w:eastAsia="宋体" w:cs="宋体"/>
                <w:color w:val="auto"/>
                <w:sz w:val="24"/>
                <w:szCs w:val="24"/>
                <w:highlight w:val="none"/>
                <w:lang w:val="en-US"/>
              </w:rPr>
              <w:t>关系在本单位的社保证明或劳动合同或其他合法证明</w:t>
            </w:r>
            <w:r>
              <w:rPr>
                <w:rFonts w:ascii="宋体" w:hAnsi="宋体" w:eastAsia="宋体" w:cs="宋体"/>
                <w:color w:val="auto"/>
                <w:sz w:val="24"/>
                <w:szCs w:val="24"/>
                <w:highlight w:val="none"/>
                <w:lang w:val="en-US"/>
              </w:rPr>
              <w:t>复印件/扫描件，无人员或项目人员资料不明确、无法体现对应内容的，不予认可。</w:t>
            </w:r>
          </w:p>
        </w:tc>
      </w:tr>
      <w:tr w14:paraId="5AD9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21" w:type="dxa"/>
            <w:vMerge w:val="continue"/>
            <w:vAlign w:val="center"/>
          </w:tcPr>
          <w:p w14:paraId="7A4AA1B9">
            <w:pPr>
              <w:spacing w:line="240" w:lineRule="atLeast"/>
              <w:rPr>
                <w:rFonts w:ascii="宋体" w:hAnsi="宋体" w:eastAsia="宋体" w:cs="宋体"/>
                <w:color w:val="auto"/>
                <w:sz w:val="24"/>
                <w:szCs w:val="24"/>
                <w:highlight w:val="none"/>
              </w:rPr>
            </w:pPr>
          </w:p>
        </w:tc>
        <w:tc>
          <w:tcPr>
            <w:tcW w:w="1318" w:type="dxa"/>
            <w:vMerge w:val="continue"/>
            <w:vAlign w:val="center"/>
          </w:tcPr>
          <w:p w14:paraId="38F66C21">
            <w:pPr>
              <w:spacing w:line="240" w:lineRule="atLeast"/>
              <w:rPr>
                <w:rFonts w:ascii="宋体" w:hAnsi="宋体" w:eastAsia="宋体" w:cs="宋体"/>
                <w:color w:val="auto"/>
                <w:sz w:val="24"/>
                <w:szCs w:val="24"/>
                <w:highlight w:val="none"/>
              </w:rPr>
            </w:pPr>
          </w:p>
        </w:tc>
        <w:tc>
          <w:tcPr>
            <w:tcW w:w="2013" w:type="dxa"/>
            <w:vMerge w:val="continue"/>
            <w:vAlign w:val="center"/>
          </w:tcPr>
          <w:p w14:paraId="18E30B49">
            <w:pPr>
              <w:autoSpaceDE/>
              <w:autoSpaceDN/>
              <w:spacing w:line="240" w:lineRule="atLeast"/>
              <w:rPr>
                <w:rFonts w:ascii="宋体" w:hAnsi="宋体" w:eastAsia="宋体" w:cs="宋体"/>
                <w:color w:val="auto"/>
                <w:sz w:val="24"/>
                <w:szCs w:val="24"/>
                <w:highlight w:val="none"/>
              </w:rPr>
            </w:pPr>
          </w:p>
        </w:tc>
        <w:tc>
          <w:tcPr>
            <w:tcW w:w="6006" w:type="dxa"/>
            <w:vAlign w:val="center"/>
          </w:tcPr>
          <w:p w14:paraId="50841996">
            <w:pPr>
              <w:keepNext w:val="0"/>
              <w:keepLines w:val="0"/>
              <w:pageBreakBefore w:val="0"/>
              <w:widowControl w:val="0"/>
              <w:numPr>
                <w:ilvl w:val="0"/>
                <w:numId w:val="0"/>
              </w:numPr>
              <w:kinsoku/>
              <w:wordWrap/>
              <w:overflowPunct/>
              <w:topLinePunct w:val="0"/>
              <w:bidi w:val="0"/>
              <w:adjustRightInd/>
              <w:snapToGrid/>
              <w:spacing w:line="288" w:lineRule="auto"/>
              <w:jc w:val="both"/>
              <w:textAlignment w:val="auto"/>
              <w:rPr>
                <w:rFonts w:ascii="宋体" w:hAnsi="宋体" w:eastAsia="宋体" w:cs="宋体"/>
                <w:b/>
                <w:bCs/>
                <w:color w:val="auto"/>
                <w:sz w:val="24"/>
                <w:szCs w:val="24"/>
                <w:highlight w:val="none"/>
                <w:lang w:val="en-US"/>
              </w:rPr>
            </w:pPr>
            <w:r>
              <w:rPr>
                <w:rFonts w:ascii="宋体" w:hAnsi="宋体" w:eastAsia="宋体" w:cs="宋体"/>
                <w:b/>
                <w:bCs/>
                <w:color w:val="auto"/>
                <w:sz w:val="24"/>
                <w:szCs w:val="24"/>
                <w:lang w:val="en-US" w:eastAsia="zh-CN" w:bidi="zh-CN"/>
              </w:rPr>
              <w:t>（2）</w:t>
            </w:r>
            <w:r>
              <w:rPr>
                <w:rFonts w:hint="eastAsia" w:ascii="宋体" w:hAnsi="宋体" w:eastAsia="宋体" w:cs="宋体"/>
                <w:b/>
                <w:bCs/>
                <w:color w:val="auto"/>
                <w:sz w:val="24"/>
                <w:szCs w:val="24"/>
                <w:highlight w:val="none"/>
                <w:lang w:val="en-US"/>
              </w:rPr>
              <w:t>类似业绩（满分</w:t>
            </w:r>
            <w:r>
              <w:rPr>
                <w:rFonts w:hint="eastAsia" w:asciiTheme="majorEastAsia" w:hAnsiTheme="majorEastAsia" w:eastAsiaTheme="majorEastAsia" w:cstheme="majorEastAsia"/>
                <w:b/>
                <w:bCs/>
                <w:color w:val="auto"/>
                <w:sz w:val="24"/>
                <w:szCs w:val="24"/>
                <w:highlight w:val="none"/>
                <w:lang w:val="en-US" w:eastAsia="zh-CN"/>
              </w:rPr>
              <w:t>5</w:t>
            </w:r>
            <w:r>
              <w:rPr>
                <w:rFonts w:hint="eastAsia" w:ascii="宋体" w:hAnsi="宋体" w:eastAsia="宋体" w:cs="宋体"/>
                <w:b/>
                <w:bCs/>
                <w:color w:val="auto"/>
                <w:sz w:val="24"/>
                <w:szCs w:val="24"/>
                <w:highlight w:val="none"/>
                <w:lang w:val="en-US"/>
              </w:rPr>
              <w:t>分）</w:t>
            </w:r>
          </w:p>
          <w:p w14:paraId="760072FE">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rPr>
              <w:t>自</w:t>
            </w:r>
            <w:r>
              <w:rPr>
                <w:rFonts w:hint="eastAsia" w:asciiTheme="majorEastAsia" w:hAnsiTheme="majorEastAsia" w:eastAsiaTheme="majorEastAsia" w:cstheme="majorEastAsia"/>
                <w:color w:val="auto"/>
                <w:sz w:val="24"/>
                <w:szCs w:val="24"/>
                <w:highlight w:val="none"/>
                <w:lang w:val="en-US"/>
              </w:rPr>
              <w:t>2021</w:t>
            </w:r>
            <w:r>
              <w:rPr>
                <w:rFonts w:hint="eastAsia" w:ascii="宋体" w:hAnsi="宋体" w:eastAsia="宋体" w:cs="宋体"/>
                <w:color w:val="auto"/>
                <w:sz w:val="24"/>
                <w:szCs w:val="24"/>
                <w:highlight w:val="none"/>
                <w:lang w:val="en-US"/>
              </w:rPr>
              <w:t>年0</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月0</w:t>
            </w:r>
            <w:r>
              <w:rPr>
                <w:rFonts w:hint="eastAsia" w:asciiTheme="majorEastAsia" w:hAnsiTheme="majorEastAsia" w:eastAsiaTheme="majorEastAsia" w:cstheme="majorEastAsia"/>
                <w:color w:val="auto"/>
                <w:sz w:val="24"/>
                <w:szCs w:val="24"/>
                <w:highlight w:val="none"/>
                <w:lang w:val="en-US"/>
              </w:rPr>
              <w:t>1</w:t>
            </w:r>
            <w:r>
              <w:rPr>
                <w:rFonts w:hint="eastAsia" w:ascii="宋体" w:hAnsi="宋体" w:eastAsia="宋体" w:cs="宋体"/>
                <w:color w:val="auto"/>
                <w:sz w:val="24"/>
                <w:szCs w:val="24"/>
                <w:highlight w:val="none"/>
                <w:lang w:val="en-US"/>
              </w:rPr>
              <w:t>日至今取得</w:t>
            </w:r>
            <w:r>
              <w:rPr>
                <w:rFonts w:hint="eastAsia" w:asciiTheme="majorEastAsia" w:hAnsiTheme="majorEastAsia" w:eastAsiaTheme="majorEastAsia" w:cstheme="majorEastAsia"/>
                <w:color w:val="auto"/>
                <w:sz w:val="24"/>
                <w:szCs w:val="24"/>
                <w:highlight w:val="none"/>
                <w:lang w:val="en-US" w:eastAsia="zh-CN"/>
              </w:rPr>
              <w:t>的</w:t>
            </w:r>
            <w:r>
              <w:rPr>
                <w:rFonts w:hint="eastAsia" w:ascii="宋体" w:hAnsi="宋体" w:eastAsia="宋体" w:cs="宋体"/>
                <w:color w:val="auto"/>
                <w:sz w:val="24"/>
                <w:szCs w:val="24"/>
                <w:highlight w:val="none"/>
                <w:lang w:val="en-US"/>
              </w:rPr>
              <w:t>类似项目业绩的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每</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val="en-US"/>
              </w:rPr>
              <w:t>一项业绩的，得</w:t>
            </w:r>
            <w:r>
              <w:rPr>
                <w:rFonts w:hint="eastAsia" w:asciiTheme="majorEastAsia" w:hAnsiTheme="majorEastAsia" w:eastAsiaTheme="majorEastAsia" w:cstheme="majorEastAsia"/>
                <w:color w:val="auto"/>
                <w:sz w:val="24"/>
                <w:szCs w:val="24"/>
                <w:highlight w:val="none"/>
                <w:lang w:val="en-US" w:eastAsia="zh-CN"/>
              </w:rPr>
              <w:t>2.5</w:t>
            </w:r>
            <w:r>
              <w:rPr>
                <w:rFonts w:hint="eastAsia" w:ascii="宋体" w:hAnsi="宋体" w:eastAsia="宋体" w:cs="宋体"/>
                <w:color w:val="auto"/>
                <w:sz w:val="24"/>
                <w:szCs w:val="24"/>
                <w:highlight w:val="none"/>
                <w:lang w:val="en-US"/>
              </w:rPr>
              <w:t>分，未提供的不得分。本项最多得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14:paraId="174136B1">
            <w:pPr>
              <w:keepNext w:val="0"/>
              <w:keepLines w:val="0"/>
              <w:pageBreakBefore w:val="0"/>
              <w:widowControl w:val="0"/>
              <w:tabs>
                <w:tab w:val="left" w:pos="540"/>
              </w:tabs>
              <w:kinsoku/>
              <w:wordWrap/>
              <w:overflowPunct/>
              <w:topLinePunct w:val="0"/>
              <w:autoSpaceDE/>
              <w:autoSpaceDN/>
              <w:bidi w:val="0"/>
              <w:adjustRightInd/>
              <w:snapToGrid/>
              <w:spacing w:after="100" w:line="288"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业绩证明材料：中标（成交）通知书或合同或协议书</w:t>
            </w:r>
            <w:r>
              <w:rPr>
                <w:rFonts w:hint="eastAsia" w:ascii="宋体" w:hAnsi="宋体" w:eastAsia="宋体" w:cs="宋体"/>
                <w:color w:val="auto"/>
                <w:sz w:val="24"/>
                <w:szCs w:val="24"/>
                <w:highlight w:val="none"/>
                <w:lang w:val="en-US" w:eastAsia="zh-CN"/>
              </w:rPr>
              <w:t>。</w:t>
            </w:r>
          </w:p>
        </w:tc>
      </w:tr>
    </w:tbl>
    <w:p w14:paraId="5A8E399A">
      <w:pPr>
        <w:spacing w:before="314" w:line="391" w:lineRule="exact"/>
        <w:ind w:left="18"/>
        <w:outlineLvl w:val="1"/>
        <w:rPr>
          <w:rFonts w:ascii="宋体" w:hAnsi="宋体" w:eastAsia="宋体" w:cs="宋体"/>
          <w:b/>
          <w:bCs/>
          <w:color w:val="auto"/>
          <w:sz w:val="24"/>
          <w:szCs w:val="24"/>
          <w:highlight w:val="none"/>
        </w:rPr>
      </w:pPr>
      <w:bookmarkStart w:id="507" w:name="_Toc11147"/>
      <w:bookmarkStart w:id="508" w:name="_Toc9214"/>
      <w:bookmarkStart w:id="509" w:name="_Toc11446"/>
      <w:r>
        <w:rPr>
          <w:rFonts w:hint="eastAsia" w:ascii="宋体" w:hAnsi="宋体" w:eastAsia="宋体" w:cs="宋体"/>
          <w:b/>
          <w:bCs/>
          <w:color w:val="auto"/>
          <w:spacing w:val="10"/>
          <w:position w:val="3"/>
          <w:sz w:val="24"/>
          <w:szCs w:val="24"/>
          <w:highlight w:val="none"/>
        </w:rPr>
        <w:t>一</w:t>
      </w:r>
      <w:r>
        <w:rPr>
          <w:rFonts w:hint="eastAsia" w:ascii="宋体" w:hAnsi="宋体" w:eastAsia="宋体" w:cs="宋体"/>
          <w:b/>
          <w:bCs/>
          <w:color w:val="auto"/>
          <w:spacing w:val="7"/>
          <w:position w:val="3"/>
          <w:sz w:val="24"/>
          <w:szCs w:val="24"/>
          <w:highlight w:val="none"/>
        </w:rPr>
        <w:t>、</w:t>
      </w:r>
      <w:bookmarkEnd w:id="503"/>
      <w:bookmarkEnd w:id="504"/>
      <w:bookmarkEnd w:id="505"/>
      <w:bookmarkEnd w:id="506"/>
      <w:r>
        <w:rPr>
          <w:rFonts w:hint="eastAsia" w:ascii="宋体" w:hAnsi="宋体" w:eastAsia="宋体" w:cs="宋体"/>
          <w:b/>
          <w:bCs/>
          <w:color w:val="auto"/>
          <w:spacing w:val="7"/>
          <w:position w:val="3"/>
          <w:sz w:val="24"/>
          <w:szCs w:val="24"/>
          <w:highlight w:val="none"/>
        </w:rPr>
        <w:t>评审办法</w:t>
      </w:r>
      <w:bookmarkEnd w:id="507"/>
      <w:bookmarkEnd w:id="508"/>
      <w:bookmarkEnd w:id="509"/>
    </w:p>
    <w:p w14:paraId="13DF9AC2">
      <w:pPr>
        <w:spacing w:line="360" w:lineRule="auto"/>
        <w:ind w:firstLine="496" w:firstLineChars="200"/>
        <w:rPr>
          <w:rFonts w:ascii="宋体" w:hAnsi="宋体" w:eastAsia="宋体" w:cs="宋体"/>
          <w:color w:val="auto"/>
          <w:spacing w:val="4"/>
          <w:sz w:val="24"/>
          <w:szCs w:val="24"/>
          <w:highlight w:val="none"/>
        </w:rPr>
      </w:pP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 xml:space="preserve"> 总则 </w:t>
      </w:r>
    </w:p>
    <w:p w14:paraId="06F1590A">
      <w:pPr>
        <w:spacing w:line="360" w:lineRule="auto"/>
        <w:ind w:firstLine="496" w:firstLineChars="200"/>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rPr>
        <w:t>根据《中华人民共和国政府采购法》《中华人民共和国政府采购法实施条例》《政府采购货物和服务招标投标管理办法》(财政部令第</w:t>
      </w:r>
      <w:r>
        <w:rPr>
          <w:rFonts w:hint="eastAsia" w:asciiTheme="majorEastAsia" w:hAnsiTheme="majorEastAsia" w:eastAsiaTheme="majorEastAsia" w:cstheme="majorEastAsia"/>
          <w:color w:val="auto"/>
          <w:spacing w:val="4"/>
          <w:sz w:val="24"/>
          <w:szCs w:val="24"/>
          <w:highlight w:val="none"/>
          <w:lang w:val="en-US"/>
        </w:rPr>
        <w:t>87</w:t>
      </w:r>
      <w:r>
        <w:rPr>
          <w:rFonts w:hint="eastAsia" w:ascii="宋体" w:hAnsi="宋体" w:eastAsia="宋体" w:cs="宋体"/>
          <w:color w:val="auto"/>
          <w:spacing w:val="4"/>
          <w:sz w:val="24"/>
          <w:szCs w:val="24"/>
          <w:highlight w:val="none"/>
          <w:lang w:val="en-US"/>
        </w:rPr>
        <w:t xml:space="preserve">号)等有关法律法规和规章的规定，制定本办法。 </w:t>
      </w:r>
    </w:p>
    <w:p w14:paraId="31456066">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bookmarkStart w:id="510" w:name="_Toc23921"/>
      <w:bookmarkStart w:id="511" w:name="_Toc508191814"/>
      <w:bookmarkStart w:id="512" w:name="_Toc17280241"/>
      <w:bookmarkStart w:id="513" w:name="_Toc17453038"/>
      <w:r>
        <w:rPr>
          <w:rFonts w:hint="eastAsia" w:ascii="宋体" w:hAnsi="宋体" w:eastAsia="宋体" w:cs="宋体"/>
          <w:color w:val="auto"/>
          <w:spacing w:val="4"/>
          <w:sz w:val="24"/>
          <w:szCs w:val="24"/>
          <w:highlight w:val="none"/>
          <w:lang w:val="en-US"/>
        </w:rPr>
        <w:t xml:space="preserve"> 评标方法</w:t>
      </w:r>
      <w:bookmarkEnd w:id="510"/>
      <w:bookmarkEnd w:id="511"/>
      <w:bookmarkEnd w:id="512"/>
      <w:bookmarkEnd w:id="513"/>
    </w:p>
    <w:p w14:paraId="04A1C09B">
      <w:pPr>
        <w:spacing w:line="360" w:lineRule="auto"/>
        <w:ind w:firstLine="498" w:firstLineChars="200"/>
        <w:rPr>
          <w:rFonts w:ascii="宋体" w:hAnsi="宋体" w:eastAsia="宋体" w:cs="宋体"/>
          <w:color w:val="auto"/>
          <w:spacing w:val="4"/>
          <w:sz w:val="24"/>
          <w:szCs w:val="24"/>
          <w:highlight w:val="none"/>
          <w:lang w:val="en-US"/>
        </w:rPr>
      </w:pPr>
      <w:r>
        <w:rPr>
          <w:rFonts w:hint="eastAsia" w:ascii="宋体" w:hAnsi="宋体" w:eastAsia="宋体" w:cs="宋体"/>
          <w:b/>
          <w:bCs/>
          <w:color w:val="auto"/>
          <w:spacing w:val="4"/>
          <w:sz w:val="24"/>
          <w:szCs w:val="24"/>
          <w:highlight w:val="none"/>
          <w:lang w:val="en-US"/>
        </w:rPr>
        <w:t>本次评标采用综合评分法。</w:t>
      </w:r>
      <w:r>
        <w:rPr>
          <w:rFonts w:hint="eastAsia" w:ascii="宋体" w:hAnsi="宋体" w:eastAsia="宋体" w:cs="宋体"/>
          <w:color w:val="auto"/>
          <w:spacing w:val="4"/>
          <w:sz w:val="24"/>
          <w:szCs w:val="24"/>
          <w:highlight w:val="none"/>
          <w:lang w:val="en-US"/>
        </w:rPr>
        <w:t>评标委员会对满足招标文件全部实质性要求（即通过资格性评审及符合性评审）的投标文件，按照本章前附表规定的评分标准进行打分，并按评标总得分计算公式计算评标总得分，按总得分由高到低的顺序推荐</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名中标候选人；评标总得分相等时，按投标报价由低到高顺序排列；评标总得分相等且投标报价相同时，按技术部分得分高低顺序排列；所有得分均相等的，按项目</w:t>
      </w:r>
      <w:r>
        <w:rPr>
          <w:rFonts w:hint="eastAsia" w:ascii="宋体" w:hAnsi="宋体" w:eastAsia="宋体" w:cs="宋体"/>
          <w:color w:val="auto"/>
          <w:spacing w:val="4"/>
          <w:sz w:val="24"/>
          <w:szCs w:val="24"/>
          <w:highlight w:val="none"/>
          <w:lang w:val="en-US" w:eastAsia="zh-CN"/>
        </w:rPr>
        <w:t>商务部分</w:t>
      </w:r>
      <w:r>
        <w:rPr>
          <w:rFonts w:hint="eastAsia" w:ascii="宋体" w:hAnsi="宋体" w:eastAsia="宋体" w:cs="宋体"/>
          <w:color w:val="auto"/>
          <w:spacing w:val="4"/>
          <w:sz w:val="24"/>
          <w:szCs w:val="24"/>
          <w:highlight w:val="none"/>
          <w:lang w:val="en-US"/>
        </w:rPr>
        <w:t>得分高低顺序排列，投标产品中提供政府非强制采购节能、环保产品的优先，若以上政府采购政策的顺序排列相等，则评标委员会采取举手表决的方式推荐中标候选人。</w:t>
      </w:r>
    </w:p>
    <w:p w14:paraId="679E4605">
      <w:pPr>
        <w:spacing w:before="100" w:line="360" w:lineRule="auto"/>
        <w:ind w:left="23"/>
        <w:outlineLvl w:val="1"/>
        <w:rPr>
          <w:rFonts w:ascii="宋体" w:hAnsi="宋体" w:eastAsia="宋体" w:cs="宋体"/>
          <w:b/>
          <w:bCs/>
          <w:color w:val="auto"/>
          <w:spacing w:val="7"/>
          <w:position w:val="2"/>
          <w:sz w:val="24"/>
          <w:szCs w:val="24"/>
          <w:highlight w:val="none"/>
          <w:lang w:val="en-US"/>
        </w:rPr>
      </w:pPr>
      <w:bookmarkStart w:id="514" w:name="_Toc17484"/>
      <w:bookmarkStart w:id="515" w:name="_Toc31430"/>
      <w:r>
        <w:rPr>
          <w:rFonts w:hint="eastAsia" w:ascii="宋体" w:hAnsi="宋体" w:eastAsia="宋体" w:cs="宋体"/>
          <w:b/>
          <w:bCs/>
          <w:color w:val="auto"/>
          <w:spacing w:val="7"/>
          <w:position w:val="2"/>
          <w:sz w:val="24"/>
          <w:szCs w:val="24"/>
          <w:highlight w:val="none"/>
          <w:lang w:val="en-US"/>
        </w:rPr>
        <w:t>二、</w:t>
      </w:r>
      <w:bookmarkEnd w:id="514"/>
      <w:bookmarkEnd w:id="515"/>
      <w:r>
        <w:rPr>
          <w:rFonts w:hint="eastAsia" w:ascii="宋体" w:hAnsi="宋体" w:eastAsia="宋体" w:cs="宋体"/>
          <w:b/>
          <w:bCs/>
          <w:color w:val="auto"/>
          <w:spacing w:val="7"/>
          <w:position w:val="2"/>
          <w:sz w:val="24"/>
          <w:szCs w:val="24"/>
          <w:highlight w:val="none"/>
          <w:lang w:val="en-US"/>
        </w:rPr>
        <w:t>同品牌产品不同投标人的处理方式</w:t>
      </w:r>
    </w:p>
    <w:p w14:paraId="5C24BD7B">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5379646">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非单一产品采购项目，采购人应当根据采购项目技术构成、产品价格比重等合理确定核心产品，并在招标文件中载明。多家投标人提供的核心产品品牌相同的，按前款规定处理。</w:t>
      </w:r>
    </w:p>
    <w:p w14:paraId="44C3D0A5">
      <w:pPr>
        <w:spacing w:before="100" w:line="360" w:lineRule="auto"/>
        <w:ind w:left="23"/>
        <w:outlineLvl w:val="1"/>
        <w:rPr>
          <w:rFonts w:ascii="宋体" w:hAnsi="宋体" w:eastAsia="宋体" w:cs="宋体"/>
          <w:b/>
          <w:bCs/>
          <w:color w:val="auto"/>
          <w:spacing w:val="7"/>
          <w:position w:val="2"/>
          <w:sz w:val="24"/>
          <w:szCs w:val="24"/>
          <w:highlight w:val="none"/>
          <w:lang w:val="en-US"/>
        </w:rPr>
      </w:pPr>
      <w:bookmarkStart w:id="516" w:name="_Toc14697"/>
      <w:bookmarkStart w:id="517" w:name="_Toc29484"/>
      <w:r>
        <w:rPr>
          <w:rFonts w:hint="eastAsia" w:ascii="宋体" w:hAnsi="宋体" w:eastAsia="宋体" w:cs="宋体"/>
          <w:b/>
          <w:bCs/>
          <w:color w:val="auto"/>
          <w:spacing w:val="7"/>
          <w:position w:val="2"/>
          <w:sz w:val="24"/>
          <w:szCs w:val="24"/>
          <w:highlight w:val="none"/>
          <w:lang w:val="en-US"/>
        </w:rPr>
        <w:t>三、评审标准</w:t>
      </w:r>
      <w:bookmarkEnd w:id="516"/>
      <w:bookmarkEnd w:id="517"/>
    </w:p>
    <w:p w14:paraId="7BCAC674">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 xml:space="preserve"> 符合性评审</w:t>
      </w:r>
    </w:p>
    <w:p w14:paraId="41DA1FC5">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依据招标文件的规定，从投标文件的有效性、完整性和对招标文件的响应程度进行审查，以确定是否对招标文件的实质性要求作出响应；见评标办法前附表。</w:t>
      </w:r>
    </w:p>
    <w:p w14:paraId="653CB5E2">
      <w:pPr>
        <w:spacing w:line="360" w:lineRule="auto"/>
        <w:ind w:firstLine="496" w:firstLineChars="200"/>
        <w:rPr>
          <w:rFonts w:ascii="宋体" w:hAnsi="宋体" w:eastAsia="宋体" w:cs="宋体"/>
          <w:color w:val="auto"/>
          <w:spacing w:val="4"/>
          <w:sz w:val="24"/>
          <w:szCs w:val="24"/>
          <w:highlight w:val="none"/>
          <w:lang w:val="en-US"/>
        </w:rPr>
      </w:pPr>
      <w:bookmarkStart w:id="518" w:name="_Toc314817936"/>
      <w:bookmarkStart w:id="519" w:name="_Toc326218114"/>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 xml:space="preserve"> 分值构成与评分标准</w:t>
      </w:r>
      <w:bookmarkEnd w:id="518"/>
      <w:bookmarkEnd w:id="519"/>
    </w:p>
    <w:p w14:paraId="6B01D2FD">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 xml:space="preserve"> 分值构成</w:t>
      </w:r>
    </w:p>
    <w:p w14:paraId="5D475F21">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）投标报价：见评标办法前附表；</w:t>
      </w:r>
    </w:p>
    <w:p w14:paraId="62B73AFE">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）技术部分：见评标办法前附表；</w:t>
      </w:r>
    </w:p>
    <w:p w14:paraId="4632E948">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）商务部分：见评标办法前附表。</w:t>
      </w:r>
    </w:p>
    <w:p w14:paraId="7D685A6C">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评分标准</w:t>
      </w:r>
    </w:p>
    <w:p w14:paraId="1E01DAD7">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按招标文件中规定的评标方法和标准，对资格评审和符合性评审合格的投标文件进行商务和技术评估，综合比较与评价。</w:t>
      </w:r>
    </w:p>
    <w:p w14:paraId="073525B8">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）投标报价评分标准：见评标办法前附表；</w:t>
      </w:r>
    </w:p>
    <w:p w14:paraId="5B1ED407">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）技术部分评分标准：见评标办法前附表；</w:t>
      </w:r>
    </w:p>
    <w:p w14:paraId="6341BF43">
      <w:pPr>
        <w:pStyle w:val="11"/>
        <w:ind w:firstLine="496" w:firstLineChars="200"/>
        <w:rPr>
          <w:rFonts w:ascii="宋体" w:hAnsi="宋体" w:eastAsia="宋体" w:cs="宋体"/>
          <w:color w:val="auto"/>
          <w:spacing w:val="4"/>
          <w:highlight w:val="none"/>
          <w:lang w:val="en-US"/>
        </w:rPr>
      </w:pPr>
      <w:r>
        <w:rPr>
          <w:rFonts w:hint="eastAsia" w:ascii="宋体" w:hAnsi="宋体" w:eastAsia="宋体" w:cs="宋体"/>
          <w:color w:val="auto"/>
          <w:spacing w:val="4"/>
          <w:highlight w:val="none"/>
          <w:lang w:val="en-US"/>
        </w:rPr>
        <w:t>（</w:t>
      </w:r>
      <w:r>
        <w:rPr>
          <w:rFonts w:hint="eastAsia" w:asciiTheme="majorEastAsia" w:hAnsiTheme="majorEastAsia" w:eastAsiaTheme="majorEastAsia" w:cstheme="majorEastAsia"/>
          <w:color w:val="auto"/>
          <w:spacing w:val="4"/>
          <w:highlight w:val="none"/>
          <w:lang w:val="en-US"/>
        </w:rPr>
        <w:t>3</w:t>
      </w:r>
      <w:r>
        <w:rPr>
          <w:rFonts w:hint="eastAsia" w:ascii="宋体" w:hAnsi="宋体" w:eastAsia="宋体" w:cs="宋体"/>
          <w:color w:val="auto"/>
          <w:spacing w:val="4"/>
          <w:highlight w:val="none"/>
          <w:lang w:val="en-US"/>
        </w:rPr>
        <w:t>）商务部分评分标准：见评标办法前附表。</w:t>
      </w:r>
    </w:p>
    <w:p w14:paraId="5A183C51">
      <w:pPr>
        <w:spacing w:before="100" w:line="360" w:lineRule="auto"/>
        <w:ind w:left="23"/>
        <w:outlineLvl w:val="1"/>
        <w:rPr>
          <w:rFonts w:ascii="宋体" w:hAnsi="宋体" w:eastAsia="宋体" w:cs="宋体"/>
          <w:b/>
          <w:bCs/>
          <w:color w:val="auto"/>
          <w:spacing w:val="7"/>
          <w:position w:val="2"/>
          <w:sz w:val="24"/>
          <w:szCs w:val="24"/>
          <w:highlight w:val="none"/>
          <w:lang w:val="en-US"/>
        </w:rPr>
      </w:pPr>
      <w:bookmarkStart w:id="520" w:name="_Toc30586"/>
      <w:bookmarkStart w:id="521" w:name="_Toc17453041"/>
      <w:bookmarkStart w:id="522" w:name="_Toc29347"/>
      <w:bookmarkStart w:id="523" w:name="_Toc314817937"/>
      <w:bookmarkStart w:id="524" w:name="_Toc508191817"/>
      <w:bookmarkStart w:id="525" w:name="_Toc23009"/>
      <w:bookmarkStart w:id="526" w:name="_Toc326218115"/>
      <w:bookmarkStart w:id="527" w:name="_Toc17280244"/>
      <w:r>
        <w:rPr>
          <w:rFonts w:hint="eastAsia" w:ascii="宋体" w:hAnsi="宋体" w:eastAsia="宋体" w:cs="宋体"/>
          <w:b/>
          <w:bCs/>
          <w:color w:val="auto"/>
          <w:spacing w:val="7"/>
          <w:position w:val="2"/>
          <w:sz w:val="24"/>
          <w:szCs w:val="24"/>
          <w:highlight w:val="none"/>
          <w:lang w:val="en-US"/>
        </w:rPr>
        <w:t>四、评标程序</w:t>
      </w:r>
      <w:bookmarkEnd w:id="520"/>
      <w:bookmarkEnd w:id="521"/>
      <w:bookmarkEnd w:id="522"/>
      <w:bookmarkEnd w:id="523"/>
      <w:bookmarkEnd w:id="524"/>
      <w:bookmarkEnd w:id="525"/>
      <w:bookmarkEnd w:id="526"/>
      <w:bookmarkEnd w:id="527"/>
    </w:p>
    <w:p w14:paraId="2E337C34">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符合性评审</w:t>
      </w:r>
    </w:p>
    <w:p w14:paraId="17F03895">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依据本章第</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项规定的标准对投标文件进行符合性评审。有一项不符合评审标准的，作废标处理。</w:t>
      </w:r>
    </w:p>
    <w:p w14:paraId="7C6980CB">
      <w:pPr>
        <w:spacing w:line="360" w:lineRule="auto"/>
        <w:ind w:firstLine="496" w:firstLineChars="200"/>
        <w:rPr>
          <w:rFonts w:ascii="宋体" w:hAnsi="宋体" w:eastAsia="宋体" w:cs="宋体"/>
          <w:color w:val="auto"/>
          <w:spacing w:val="4"/>
          <w:sz w:val="24"/>
          <w:szCs w:val="24"/>
          <w:highlight w:val="none"/>
          <w:lang w:val="en-US"/>
        </w:rPr>
      </w:pPr>
      <w:bookmarkStart w:id="528" w:name="_Toc314817939"/>
      <w:bookmarkStart w:id="529" w:name="_Toc326218117"/>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 xml:space="preserve"> 详细评审</w:t>
      </w:r>
      <w:bookmarkEnd w:id="528"/>
      <w:bookmarkEnd w:id="529"/>
    </w:p>
    <w:p w14:paraId="18484C94">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 xml:space="preserve"> 评标委员会按本章第</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款规定的量化因素和分值进行打分，并计算出投标人的评标总得分。</w:t>
      </w:r>
    </w:p>
    <w:p w14:paraId="1DFF5D56">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）按本章规定的评分因素和分值对投标报价计算出得分F</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w:t>
      </w:r>
    </w:p>
    <w:p w14:paraId="0CC976DC">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）按本章规定的评分因素和分值对技术部分计算出得分F</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w:t>
      </w:r>
    </w:p>
    <w:p w14:paraId="23504C45">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）按本章规定的评分因素和分值对商务部分计算出得分F</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w:t>
      </w:r>
    </w:p>
    <w:p w14:paraId="4873812E">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）按本章所列公式计算评标总得分</w:t>
      </w:r>
    </w:p>
    <w:p w14:paraId="1CE2B84C">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 xml:space="preserve"> 投标文件如果出现计算或表达上的错误，修正错误的原则如下：</w:t>
      </w:r>
    </w:p>
    <w:p w14:paraId="2AF07733">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（一）投标文件中开标一览表（报价表）内容与投标文件中相应内容不一致的，以开标一览表（报价表）为准；</w:t>
      </w:r>
    </w:p>
    <w:p w14:paraId="4880E575">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（二）大写金额和小写金额不一致的，以大写金额为准；</w:t>
      </w:r>
    </w:p>
    <w:p w14:paraId="73C26939">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（三）单价金额小数点或者百分比有明显错位的，以开标一览表的总价为准，并修改单价；</w:t>
      </w:r>
    </w:p>
    <w:p w14:paraId="60CD9EE6">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（四）总价金额与按单价汇总金额不一致的，以单价金额计算结果为准。</w:t>
      </w:r>
    </w:p>
    <w:p w14:paraId="0C64427A">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★同时出现两种以上不一致的，按照前款规定的顺序修正。修正后的报价按照本章</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款的规定经投标人确认后产生约束力，投标人不确认的，其投标无效。</w:t>
      </w:r>
    </w:p>
    <w:p w14:paraId="3AF6126C">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技术部分（F</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）和商务部分（F</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）得分由评标委员会成员独立评分，计算各投标人得分的算术平均值计入各投标人总分。评分分值计算保留小数点后两位，小数点后第三位“四舍五入”。</w:t>
      </w:r>
    </w:p>
    <w:p w14:paraId="1068A6E2">
      <w:pPr>
        <w:spacing w:line="360" w:lineRule="auto"/>
        <w:ind w:firstLine="496" w:firstLineChars="200"/>
        <w:jc w:val="both"/>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b/>
          <w:bCs/>
          <w:color w:val="auto"/>
          <w:spacing w:val="4"/>
          <w:sz w:val="24"/>
          <w:szCs w:val="24"/>
          <w:highlight w:val="none"/>
          <w:lang w:val="en-US"/>
        </w:rPr>
        <w:t>4</w:t>
      </w:r>
      <w:r>
        <w:rPr>
          <w:rFonts w:hint="eastAsia" w:ascii="宋体" w:hAnsi="宋体" w:eastAsia="宋体" w:cs="宋体"/>
          <w:b/>
          <w:bCs/>
          <w:color w:val="auto"/>
          <w:spacing w:val="4"/>
          <w:sz w:val="24"/>
          <w:szCs w:val="24"/>
          <w:highlight w:val="none"/>
          <w:lang w:val="en-US"/>
        </w:rPr>
        <w:t>.</w:t>
      </w:r>
      <w:r>
        <w:rPr>
          <w:rFonts w:hint="eastAsia" w:asciiTheme="majorEastAsia" w:hAnsiTheme="majorEastAsia" w:eastAsiaTheme="majorEastAsia" w:cstheme="majorEastAsia"/>
          <w:b/>
          <w:bCs/>
          <w:color w:val="auto"/>
          <w:spacing w:val="4"/>
          <w:sz w:val="24"/>
          <w:szCs w:val="24"/>
          <w:highlight w:val="none"/>
          <w:lang w:val="en-US"/>
        </w:rPr>
        <w:t>2</w:t>
      </w:r>
      <w:r>
        <w:rPr>
          <w:rFonts w:hint="eastAsia" w:ascii="宋体" w:hAnsi="宋体" w:eastAsia="宋体" w:cs="宋体"/>
          <w:b/>
          <w:bCs/>
          <w:color w:val="auto"/>
          <w:spacing w:val="4"/>
          <w:sz w:val="24"/>
          <w:szCs w:val="24"/>
          <w:highlight w:val="none"/>
          <w:lang w:val="en-US"/>
        </w:rPr>
        <w:t>.</w:t>
      </w:r>
      <w:r>
        <w:rPr>
          <w:rFonts w:hint="eastAsia" w:asciiTheme="majorEastAsia" w:hAnsiTheme="majorEastAsia" w:eastAsiaTheme="majorEastAsia" w:cstheme="majorEastAsia"/>
          <w:b/>
          <w:bCs/>
          <w:color w:val="auto"/>
          <w:spacing w:val="4"/>
          <w:sz w:val="24"/>
          <w:szCs w:val="24"/>
          <w:highlight w:val="none"/>
          <w:lang w:val="en-US"/>
        </w:rPr>
        <w:t>4</w:t>
      </w:r>
      <w:r>
        <w:rPr>
          <w:rFonts w:hint="eastAsia" w:ascii="宋体" w:hAnsi="宋体" w:eastAsia="宋体" w:cs="宋体"/>
          <w:b/>
          <w:bCs/>
          <w:color w:val="auto"/>
          <w:spacing w:val="4"/>
          <w:sz w:val="24"/>
          <w:szCs w:val="24"/>
          <w:highlight w:val="none"/>
          <w:lang w:val="en-US"/>
        </w:rPr>
        <w:t xml:space="preserve"> 评标委员会认为投标人的报价明显低于其他通过符合性审查投标人的报价，有可能影响工程/货物/服务质量或者不能诚信履约的，应当要求其在评标现场合理的时间内提供书面说明，必要时提交相关证明材料；投标人不能证明其报价合理性的，评标委员会应当将其作为无效投标处理。</w:t>
      </w:r>
    </w:p>
    <w:p w14:paraId="5361EE65">
      <w:pPr>
        <w:spacing w:line="360" w:lineRule="auto"/>
        <w:ind w:firstLine="496" w:firstLineChars="200"/>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（1）政府采购评审中出现下列情形之一的，评审委员会应当启动异常低价投标（响应）审查程序：</w:t>
      </w:r>
    </w:p>
    <w:p w14:paraId="0193BBE3">
      <w:pPr>
        <w:spacing w:line="360" w:lineRule="auto"/>
        <w:ind w:firstLine="496" w:firstLineChars="200"/>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1.投标（响应）报价低于全部通过符合性审查供应商投标（响应）报价平均值50%的，即投标（响应）报价＜（小于）全部通过符合性审查供应商投标（响应）报价平均值×50%；</w:t>
      </w:r>
    </w:p>
    <w:p w14:paraId="4CC3120D">
      <w:pPr>
        <w:spacing w:line="360" w:lineRule="auto"/>
        <w:ind w:firstLine="496" w:firstLineChars="200"/>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2.投标（响应）报价低于通过符合性审查的次低报价供应商投标（响应）报价50%的，即投标（响应）报价＜（小于）通过符合性审查的次低报价供应商投标（响应）报价×50%；</w:t>
      </w:r>
    </w:p>
    <w:p w14:paraId="01093D7F">
      <w:pPr>
        <w:spacing w:line="360" w:lineRule="auto"/>
        <w:ind w:firstLine="496" w:firstLineChars="200"/>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3.投标（响应）报价低于采购项目最高限价45%的，即投标（响应）报价＜（小于）采购项目最高限价×45%；</w:t>
      </w:r>
    </w:p>
    <w:p w14:paraId="45E4122B">
      <w:pPr>
        <w:spacing w:line="360" w:lineRule="auto"/>
        <w:ind w:firstLine="496" w:firstLineChars="200"/>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4.评审委员会基于专业判断，认为供应商报价过低，有可能影响产品质量或者不能诚信履约的其他情形。</w:t>
      </w:r>
    </w:p>
    <w:p w14:paraId="60FE763E">
      <w:pPr>
        <w:spacing w:line="360" w:lineRule="auto"/>
        <w:ind w:firstLine="496" w:firstLineChars="200"/>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相关法律法规对供应商报价有规定的，从其规定。</w:t>
      </w:r>
    </w:p>
    <w:p w14:paraId="32246173">
      <w:pPr>
        <w:spacing w:line="360" w:lineRule="auto"/>
        <w:ind w:firstLine="496" w:firstLineChars="200"/>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2）评审委员会启动异常低价响应审查后，属于前述第①项至第④项情形的，应当要求相关投标人在评审现场合理的时间内对响应价格作出解释，提供项目具体成本测算等与报价合理性相关的书面说明及必要的证明材料，包括但不限于原材料成本、人工成本、制造费用等，给予相关投标人的合理时间一般不少于30分钟。其中，属于第③项情形，投标人已随投标文件一并提交相关书面说明及必要的证明材料的，在评审现场可不再重复提交。</w:t>
      </w:r>
    </w:p>
    <w:p w14:paraId="4FAE07F7">
      <w:pPr>
        <w:spacing w:line="360" w:lineRule="auto"/>
        <w:ind w:firstLine="496" w:firstLineChars="200"/>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3）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7AC73615">
      <w:pPr>
        <w:spacing w:line="360" w:lineRule="auto"/>
        <w:ind w:firstLine="496" w:firstLineChars="200"/>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（4）异常低价响应审查的启动原因、审查意见和审查结果应当在评审报告中记录，并随投标人提供的相关书面说明及证明材料，以及评审委员会有关互联网浏览、查询历史一并归档。</w:t>
      </w:r>
    </w:p>
    <w:p w14:paraId="2EC85797">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评标委员会成员要依法独立评审，并对评审意见承担个人责任。评标委员会成员对需要共同认定的事项存在争议的，按照少数服从多数的原则作出结论。持不同意见的评标委员会成员应当在评标报告上签署不同意见并说明理由，否则视为同意。</w:t>
      </w:r>
    </w:p>
    <w:p w14:paraId="73D04EBC">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6</w:t>
      </w:r>
      <w:r>
        <w:rPr>
          <w:rFonts w:hint="eastAsia" w:ascii="宋体" w:hAnsi="宋体" w:eastAsia="宋体" w:cs="宋体"/>
          <w:color w:val="auto"/>
          <w:spacing w:val="4"/>
          <w:sz w:val="24"/>
          <w:szCs w:val="24"/>
          <w:highlight w:val="none"/>
          <w:lang w:val="en-US"/>
        </w:rPr>
        <w:t>评标中若遇特殊问题，由评标委员会根据有关法律法规研究决定。</w:t>
      </w:r>
    </w:p>
    <w:p w14:paraId="0886D90E">
      <w:pPr>
        <w:spacing w:line="360" w:lineRule="auto"/>
        <w:ind w:firstLine="496" w:firstLineChars="200"/>
        <w:rPr>
          <w:rFonts w:ascii="宋体" w:hAnsi="宋体" w:eastAsia="宋体" w:cs="宋体"/>
          <w:color w:val="auto"/>
          <w:spacing w:val="4"/>
          <w:sz w:val="24"/>
          <w:szCs w:val="24"/>
          <w:highlight w:val="none"/>
          <w:lang w:val="en-US"/>
        </w:rPr>
      </w:pPr>
      <w:bookmarkStart w:id="530" w:name="_Toc326218118"/>
      <w:bookmarkStart w:id="531" w:name="_Toc314817940"/>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 xml:space="preserve"> 投标文件的澄清和补正统计分数原则</w:t>
      </w:r>
      <w:bookmarkEnd w:id="530"/>
      <w:bookmarkEnd w:id="531"/>
      <w:r>
        <w:rPr>
          <w:rFonts w:hint="eastAsia" w:ascii="宋体" w:hAnsi="宋体" w:eastAsia="宋体" w:cs="宋体"/>
          <w:color w:val="auto"/>
          <w:spacing w:val="4"/>
          <w:sz w:val="24"/>
          <w:szCs w:val="24"/>
          <w:highlight w:val="none"/>
          <w:lang w:val="en-US"/>
        </w:rPr>
        <w:t xml:space="preserve"> </w:t>
      </w:r>
    </w:p>
    <w:p w14:paraId="258EF696">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 xml:space="preserve"> 在评标过程中，评标委员会可以书面形式要求投标人对所提交的投标文件中含义不明确、同类问题表述不一致或者有明显文字和计算错误的内容，进行书面澄清或说明。评标委员会不接受投标人主动提出的澄清、说明。</w:t>
      </w:r>
    </w:p>
    <w:p w14:paraId="25F9DE35">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 xml:space="preserve"> 投标人的澄清、说明应当采用书面形式，由法定代表人或其授权的代表签字，澄清事项不得超出投标文件的范围并不得改变投标文件的实质性内容（算术性错误修正的除外）。投标人的书面澄清、说明属于投标文件的组成部分。</w:t>
      </w:r>
    </w:p>
    <w:p w14:paraId="34C2E55E">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 xml:space="preserve"> 评标委员会对投标人提交的澄清、说明有疑问的，可以要求投标人进一步澄清、说明。</w:t>
      </w:r>
    </w:p>
    <w:p w14:paraId="445D9771">
      <w:pPr>
        <w:spacing w:line="360" w:lineRule="auto"/>
        <w:ind w:firstLine="496" w:firstLineChars="200"/>
        <w:rPr>
          <w:rFonts w:ascii="宋体" w:hAnsi="宋体" w:eastAsia="宋体" w:cs="宋体"/>
          <w:color w:val="auto"/>
          <w:spacing w:val="4"/>
          <w:sz w:val="24"/>
          <w:szCs w:val="24"/>
          <w:highlight w:val="none"/>
          <w:lang w:val="en-US"/>
        </w:rPr>
      </w:pPr>
      <w:bookmarkStart w:id="532" w:name="_Toc314817941"/>
      <w:bookmarkStart w:id="533" w:name="_Toc326218119"/>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评标结果</w:t>
      </w:r>
      <w:bookmarkEnd w:id="532"/>
      <w:bookmarkEnd w:id="533"/>
    </w:p>
    <w:p w14:paraId="5081D6BE">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评标委员会按得分由高到低顺序推荐中标候选人，并提出书面评标报告。</w:t>
      </w:r>
    </w:p>
    <w:p w14:paraId="0EF3C30C">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采购人根据评标委员会提出的书面评标报告和推荐的中标候选人名单，确定中标人。</w:t>
      </w:r>
    </w:p>
    <w:p w14:paraId="0C89CCFC">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评标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16A5E03F">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其他</w:t>
      </w:r>
    </w:p>
    <w:p w14:paraId="05BB7E50">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其他未尽事宜遵照国家相关法律法规执行。</w:t>
      </w:r>
    </w:p>
    <w:p w14:paraId="2BBD56B2">
      <w:pPr>
        <w:spacing w:before="100" w:line="360" w:lineRule="auto"/>
        <w:ind w:left="23"/>
        <w:outlineLvl w:val="1"/>
        <w:rPr>
          <w:rFonts w:ascii="宋体" w:hAnsi="宋体" w:eastAsia="宋体" w:cs="宋体"/>
          <w:b/>
          <w:bCs/>
          <w:color w:val="auto"/>
          <w:spacing w:val="7"/>
          <w:position w:val="2"/>
          <w:sz w:val="24"/>
          <w:szCs w:val="24"/>
          <w:highlight w:val="none"/>
          <w:lang w:val="en-US"/>
        </w:rPr>
      </w:pPr>
      <w:bookmarkStart w:id="534" w:name="_Toc4682"/>
      <w:bookmarkStart w:id="535" w:name="_Toc10241"/>
      <w:bookmarkStart w:id="536" w:name="_Toc2450"/>
      <w:bookmarkStart w:id="537" w:name="_Toc26674"/>
      <w:bookmarkStart w:id="538" w:name="_Toc21335"/>
      <w:bookmarkStart w:id="539" w:name="_Toc12811"/>
      <w:bookmarkStart w:id="540" w:name="_Toc9138"/>
      <w:r>
        <w:rPr>
          <w:rFonts w:hint="eastAsia" w:ascii="宋体" w:hAnsi="宋体" w:eastAsia="宋体" w:cs="宋体"/>
          <w:b/>
          <w:bCs/>
          <w:color w:val="auto"/>
          <w:spacing w:val="7"/>
          <w:position w:val="2"/>
          <w:sz w:val="24"/>
          <w:szCs w:val="24"/>
          <w:highlight w:val="none"/>
          <w:lang w:val="en-US"/>
        </w:rPr>
        <w:t>五、</w:t>
      </w:r>
      <w:bookmarkEnd w:id="534"/>
      <w:bookmarkEnd w:id="535"/>
      <w:bookmarkEnd w:id="536"/>
      <w:bookmarkEnd w:id="537"/>
      <w:r>
        <w:rPr>
          <w:rFonts w:hint="eastAsia" w:ascii="宋体" w:hAnsi="宋体" w:eastAsia="宋体" w:cs="宋体"/>
          <w:b/>
          <w:bCs/>
          <w:color w:val="auto"/>
          <w:spacing w:val="7"/>
          <w:position w:val="2"/>
          <w:sz w:val="24"/>
          <w:szCs w:val="24"/>
          <w:highlight w:val="none"/>
          <w:lang w:val="en-US"/>
        </w:rPr>
        <w:t>关于中小企业</w:t>
      </w:r>
      <w:bookmarkEnd w:id="538"/>
      <w:bookmarkEnd w:id="539"/>
      <w:bookmarkEnd w:id="540"/>
    </w:p>
    <w:p w14:paraId="5CB63306">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 xml:space="preserve"> 根据财库[</w:t>
      </w:r>
      <w:r>
        <w:rPr>
          <w:rFonts w:hint="eastAsia" w:asciiTheme="majorEastAsia" w:hAnsiTheme="majorEastAsia" w:eastAsiaTheme="majorEastAsia" w:cstheme="majorEastAsia"/>
          <w:color w:val="auto"/>
          <w:spacing w:val="4"/>
          <w:sz w:val="24"/>
          <w:szCs w:val="24"/>
          <w:highlight w:val="none"/>
          <w:lang w:val="en-US"/>
        </w:rPr>
        <w:t>2020</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46</w:t>
      </w:r>
      <w:r>
        <w:rPr>
          <w:rFonts w:hint="eastAsia" w:ascii="宋体" w:hAnsi="宋体" w:eastAsia="宋体" w:cs="宋体"/>
          <w:color w:val="auto"/>
          <w:spacing w:val="4"/>
          <w:sz w:val="24"/>
          <w:szCs w:val="24"/>
          <w:highlight w:val="none"/>
          <w:lang w:val="en-US"/>
        </w:rPr>
        <w:t xml:space="preserve"> 号《财政部、工业和信息化部关于印发&lt;政府采购促进中小企业发展管理办法&gt;的通知》(下称“本办法”) 及财库〔</w:t>
      </w:r>
      <w:r>
        <w:rPr>
          <w:rFonts w:hint="eastAsia" w:asciiTheme="majorEastAsia" w:hAnsiTheme="majorEastAsia" w:eastAsiaTheme="majorEastAsia" w:cstheme="majorEastAsia"/>
          <w:color w:val="auto"/>
          <w:spacing w:val="4"/>
          <w:sz w:val="24"/>
          <w:szCs w:val="24"/>
          <w:highlight w:val="none"/>
          <w:lang w:val="en-US"/>
        </w:rPr>
        <w:t>2022</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19</w:t>
      </w:r>
      <w:r>
        <w:rPr>
          <w:rFonts w:hint="eastAsia" w:ascii="宋体" w:hAnsi="宋体" w:eastAsia="宋体" w:cs="宋体"/>
          <w:color w:val="auto"/>
          <w:spacing w:val="4"/>
          <w:sz w:val="24"/>
          <w:szCs w:val="24"/>
          <w:highlight w:val="none"/>
          <w:lang w:val="en-US"/>
        </w:rPr>
        <w:t xml:space="preserve"> 号《关于进一步加大政府采购支持中小企业力度的通知》的规定，在政府采购活动中，供应商提供的货物、工程或者服务符合下列情形的，享受本办法规定的中小企业扶持政策： </w:t>
      </w:r>
    </w:p>
    <w:p w14:paraId="6EFDADAF">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 xml:space="preserve">）在货物采购项目中，货物由中小企业制造，即货物由中小企业生产且使用该中小企业商号或者注册商标； </w:t>
      </w:r>
    </w:p>
    <w:p w14:paraId="1D193BE2">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 xml:space="preserve">）在工程采购项目中，工程由中小企业承建，即工程施工单位为中小企业； </w:t>
      </w:r>
    </w:p>
    <w:p w14:paraId="65254BBA">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 xml:space="preserve">）在服务采购项目中，服务由中小企业承接，即提供服务的人员为中小企业依照《中华人民共和国劳动合同法》订立劳动合同的从业人员。 </w:t>
      </w:r>
    </w:p>
    <w:p w14:paraId="29D2655E">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 xml:space="preserve"> 在货物采购项目中，供应商提供的货物既有中小企业制造货物，也有大型企业制造货物的，不享受本办法规定的中小企业扶持政策。 </w:t>
      </w:r>
    </w:p>
    <w:p w14:paraId="34EFD5B4">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 xml:space="preserve"> 以联合体形式参加政府采购活动，联合体各方均为中小企业的，联合体视同中小企业。其中，联合体各方均为小微企业的，联合体视同小微企业。 </w:t>
      </w:r>
    </w:p>
    <w:p w14:paraId="66F243FA">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 xml:space="preserve"> 对于经主管预算单位统筹后未预留份额专门面向中小企业采购的采购项目，以及预留份额项目中的非预留部分采购包，采购人、采购代理机构应当对符合本办法规定的小微企业报价给予 </w:t>
      </w:r>
      <w:r>
        <w:rPr>
          <w:rFonts w:hint="eastAsia" w:asciiTheme="majorEastAsia" w:hAnsiTheme="majorEastAsia" w:eastAsiaTheme="majorEastAsia" w:cstheme="majorEastAsia"/>
          <w:color w:val="auto"/>
          <w:spacing w:val="4"/>
          <w:sz w:val="24"/>
          <w:szCs w:val="24"/>
          <w:highlight w:val="none"/>
          <w:lang w:val="en-US"/>
        </w:rPr>
        <w:t>10</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20</w:t>
      </w:r>
      <w:r>
        <w:rPr>
          <w:rFonts w:hint="eastAsia" w:ascii="宋体" w:hAnsi="宋体" w:eastAsia="宋体" w:cs="宋体"/>
          <w:color w:val="auto"/>
          <w:spacing w:val="4"/>
          <w:sz w:val="24"/>
          <w:szCs w:val="24"/>
          <w:highlight w:val="none"/>
          <w:lang w:val="en-US"/>
        </w:rPr>
        <w:t xml:space="preserve">%（工程项目为 </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 xml:space="preserve">%）的扣除，用扣除后的价格参加评审。适用招标投标法的政府采购工程建设项目，采用综合评估法但未采用低价优先法计算价格分的，评标时应当在采用原报价进行评分的基础上增加其价格得分的 </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 xml:space="preserve">%作为其价格分。 </w:t>
      </w:r>
    </w:p>
    <w:p w14:paraId="089D9834">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 xml:space="preserve"> 接受大中型企业与小微企业组成联合体或者允许大中型企业向一家或者多家小微企业分包的采购项目，对于联合协议或者分包意向协议约定小微企业的合同份额占到合同总金额 </w:t>
      </w:r>
      <w:r>
        <w:rPr>
          <w:rFonts w:hint="eastAsia" w:asciiTheme="majorEastAsia" w:hAnsiTheme="majorEastAsia" w:eastAsiaTheme="majorEastAsia" w:cstheme="majorEastAsia"/>
          <w:color w:val="auto"/>
          <w:spacing w:val="4"/>
          <w:sz w:val="24"/>
          <w:szCs w:val="24"/>
          <w:highlight w:val="none"/>
          <w:lang w:val="en-US"/>
        </w:rPr>
        <w:t>30</w:t>
      </w:r>
      <w:r>
        <w:rPr>
          <w:rFonts w:hint="eastAsia" w:ascii="宋体" w:hAnsi="宋体" w:eastAsia="宋体" w:cs="宋体"/>
          <w:color w:val="auto"/>
          <w:spacing w:val="4"/>
          <w:sz w:val="24"/>
          <w:szCs w:val="24"/>
          <w:highlight w:val="none"/>
          <w:lang w:val="en-US"/>
        </w:rPr>
        <w:t xml:space="preserve">%以上的，采购人、采购代理机构应当对联合体或者大中型企业的报价给予 </w:t>
      </w: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6</w:t>
      </w:r>
      <w:r>
        <w:rPr>
          <w:rFonts w:hint="eastAsia" w:ascii="宋体" w:hAnsi="宋体" w:eastAsia="宋体" w:cs="宋体"/>
          <w:color w:val="auto"/>
          <w:spacing w:val="4"/>
          <w:sz w:val="24"/>
          <w:szCs w:val="24"/>
          <w:highlight w:val="none"/>
          <w:lang w:val="en-US"/>
        </w:rPr>
        <w:t xml:space="preserve">%（工程项目为 </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 xml:space="preserve">%）的扣除，用扣除后的价格参加评审。适用招标投标法的政府采购工程建设项目，采用综合评估法但未采用低价优先法计算价格分的，评标时应当在采用原报价进行评分的基础上增加其价格得分的 </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 xml:space="preserve">%作为其价格分。组成联合体或者接受分包的小微企业与联合体内其他企业、分包企业之间存在直接控股、管理关系的，不享受价格扣除优惠政策。 </w:t>
      </w:r>
    </w:p>
    <w:p w14:paraId="526AC464">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6</w:t>
      </w:r>
      <w:r>
        <w:rPr>
          <w:rFonts w:hint="eastAsia" w:ascii="宋体" w:hAnsi="宋体" w:eastAsia="宋体" w:cs="宋体"/>
          <w:color w:val="auto"/>
          <w:spacing w:val="4"/>
          <w:sz w:val="24"/>
          <w:szCs w:val="24"/>
          <w:highlight w:val="none"/>
          <w:lang w:val="en-US"/>
        </w:rPr>
        <w:t xml:space="preserve"> 价格扣除比例或者价格分加分比例对小型企业和微型企业同等对待，不作区分。具体采购项目的价格扣除比例或者价格分加分比例，由采购人根据采购标的相关行业平均利润率、市场竞争状况等，在本办法规定的幅度内确定。 </w:t>
      </w:r>
    </w:p>
    <w:p w14:paraId="3DC29ABD">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7</w:t>
      </w:r>
      <w:r>
        <w:rPr>
          <w:rFonts w:hint="eastAsia" w:ascii="宋体" w:hAnsi="宋体" w:eastAsia="宋体" w:cs="宋体"/>
          <w:color w:val="auto"/>
          <w:spacing w:val="4"/>
          <w:sz w:val="24"/>
          <w:szCs w:val="24"/>
          <w:highlight w:val="none"/>
          <w:lang w:val="en-US"/>
        </w:rPr>
        <w:t xml:space="preserve"> 中小企业参加政府采购活动，应当出具本办法规定的《中小企业声明函》，否则不得享受相关中小企业扶持政策。任何单位和个人不得要求供应商提供《中小企业声明函》之外的中小企业身份证明文件。 </w:t>
      </w:r>
    </w:p>
    <w:p w14:paraId="3E1DFFDA">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8</w:t>
      </w:r>
      <w:r>
        <w:rPr>
          <w:rFonts w:hint="eastAsia" w:ascii="宋体" w:hAnsi="宋体" w:eastAsia="宋体" w:cs="宋体"/>
          <w:color w:val="auto"/>
          <w:spacing w:val="4"/>
          <w:sz w:val="24"/>
          <w:szCs w:val="24"/>
          <w:highlight w:val="none"/>
          <w:lang w:val="en-US"/>
        </w:rPr>
        <w:t xml:space="preserve"> 依据本办法规定享受扶持政策获得政府采购合同的，小微企业不得将合同分包给大中型企业，中型企业不得将合同分包给大型企业。 </w:t>
      </w:r>
    </w:p>
    <w:p w14:paraId="48B8C2D8">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9</w:t>
      </w:r>
      <w:r>
        <w:rPr>
          <w:rFonts w:hint="eastAsia" w:ascii="宋体" w:hAnsi="宋体" w:eastAsia="宋体" w:cs="宋体"/>
          <w:color w:val="auto"/>
          <w:spacing w:val="4"/>
          <w:sz w:val="24"/>
          <w:szCs w:val="24"/>
          <w:highlight w:val="none"/>
          <w:lang w:val="en-US"/>
        </w:rPr>
        <w:t xml:space="preserve"> 中标、成交供应商享受本办法规定的中小企业扶持政策的，采购人、采购代理机构随中标、成交结果公开中标、成交供应商的《中小企业声明函》。 </w:t>
      </w:r>
    </w:p>
    <w:p w14:paraId="3538A76C">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 xml:space="preserve">适用招标投标法的政府采购工程建设项目，在公示中标候选人时公开中标候选人的《中小企业声明函》。 </w:t>
      </w:r>
    </w:p>
    <w:p w14:paraId="3723E027">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10</w:t>
      </w:r>
      <w:r>
        <w:rPr>
          <w:rFonts w:hint="eastAsia" w:ascii="宋体" w:hAnsi="宋体" w:eastAsia="宋体" w:cs="宋体"/>
          <w:color w:val="auto"/>
          <w:spacing w:val="4"/>
          <w:sz w:val="24"/>
          <w:szCs w:val="24"/>
          <w:highlight w:val="none"/>
          <w:lang w:val="en-US"/>
        </w:rPr>
        <w:t xml:space="preserve"> 供应商按照本办法规定提供声明函内容不实的，属于提供虚假材料谋取中标、成交，依照《中华人民共和国政府采购法》等国家有关规定追究相应责任。 </w:t>
      </w:r>
    </w:p>
    <w:p w14:paraId="5EFD4324">
      <w:pPr>
        <w:spacing w:line="360" w:lineRule="auto"/>
        <w:ind w:firstLine="496" w:firstLineChars="200"/>
        <w:rPr>
          <w:rFonts w:ascii="宋体" w:hAnsi="宋体" w:eastAsia="宋体" w:cs="宋体"/>
          <w:color w:val="auto"/>
          <w:spacing w:val="18"/>
          <w:sz w:val="24"/>
          <w:szCs w:val="24"/>
          <w:highlight w:val="none"/>
        </w:rPr>
      </w:pPr>
      <w:r>
        <w:rPr>
          <w:rFonts w:hint="eastAsia" w:ascii="宋体" w:hAnsi="宋体" w:eastAsia="宋体" w:cs="宋体"/>
          <w:color w:val="auto"/>
          <w:spacing w:val="4"/>
          <w:sz w:val="24"/>
          <w:szCs w:val="24"/>
          <w:highlight w:val="none"/>
          <w:lang w:val="en-US"/>
        </w:rPr>
        <w:t>适用招标投标法的政府采购工程建设项目，供应商按照本办法规定提供声明函内容不实的，属于弄虚作假骗取中标，依照《中华人民共和国招标投标法》等国家有关规定追究相应责任</w:t>
      </w:r>
      <w:r>
        <w:rPr>
          <w:rFonts w:hint="eastAsia" w:ascii="宋体" w:hAnsi="宋体" w:eastAsia="宋体" w:cs="宋体"/>
          <w:color w:val="auto"/>
          <w:spacing w:val="18"/>
          <w:sz w:val="24"/>
          <w:szCs w:val="24"/>
          <w:highlight w:val="none"/>
        </w:rPr>
        <w:t>。</w:t>
      </w:r>
    </w:p>
    <w:p w14:paraId="72A25701">
      <w:pPr>
        <w:spacing w:before="100" w:line="360" w:lineRule="auto"/>
        <w:ind w:left="23"/>
        <w:outlineLvl w:val="1"/>
        <w:rPr>
          <w:rFonts w:ascii="宋体" w:hAnsi="宋体" w:eastAsia="宋体" w:cs="宋体"/>
          <w:b/>
          <w:bCs/>
          <w:color w:val="auto"/>
          <w:spacing w:val="7"/>
          <w:position w:val="2"/>
          <w:sz w:val="24"/>
          <w:szCs w:val="24"/>
          <w:highlight w:val="none"/>
          <w:lang w:val="en-US"/>
        </w:rPr>
      </w:pPr>
      <w:bookmarkStart w:id="541" w:name="_Toc15354"/>
      <w:bookmarkStart w:id="542" w:name="_Toc1184"/>
      <w:bookmarkStart w:id="543" w:name="_Toc25424"/>
      <w:r>
        <w:rPr>
          <w:rFonts w:hint="eastAsia" w:ascii="宋体" w:hAnsi="宋体" w:eastAsia="宋体" w:cs="宋体"/>
          <w:b/>
          <w:bCs/>
          <w:color w:val="auto"/>
          <w:spacing w:val="7"/>
          <w:position w:val="2"/>
          <w:sz w:val="24"/>
          <w:szCs w:val="24"/>
          <w:highlight w:val="none"/>
          <w:lang w:val="en-US"/>
        </w:rPr>
        <w:t>六、关于节能产品及环境标志产品</w:t>
      </w:r>
      <w:bookmarkEnd w:id="541"/>
      <w:bookmarkEnd w:id="542"/>
      <w:bookmarkEnd w:id="543"/>
      <w:r>
        <w:rPr>
          <w:rFonts w:hint="eastAsia" w:ascii="宋体" w:hAnsi="宋体" w:eastAsia="宋体" w:cs="宋体"/>
          <w:b/>
          <w:bCs/>
          <w:color w:val="auto"/>
          <w:spacing w:val="7"/>
          <w:position w:val="2"/>
          <w:sz w:val="24"/>
          <w:szCs w:val="24"/>
          <w:highlight w:val="none"/>
          <w:lang w:val="en-US"/>
        </w:rPr>
        <w:t xml:space="preserve"> </w:t>
      </w:r>
    </w:p>
    <w:p w14:paraId="63F0D94F">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6</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 xml:space="preserve"> 按照财库〔</w:t>
      </w:r>
      <w:r>
        <w:rPr>
          <w:rFonts w:hint="eastAsia" w:asciiTheme="majorEastAsia" w:hAnsiTheme="majorEastAsia" w:eastAsiaTheme="majorEastAsia" w:cstheme="majorEastAsia"/>
          <w:color w:val="auto"/>
          <w:spacing w:val="4"/>
          <w:sz w:val="24"/>
          <w:szCs w:val="24"/>
          <w:highlight w:val="none"/>
          <w:lang w:val="en-US"/>
        </w:rPr>
        <w:t>2019</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9</w:t>
      </w:r>
      <w:r>
        <w:rPr>
          <w:rFonts w:hint="eastAsia" w:ascii="宋体" w:hAnsi="宋体" w:eastAsia="宋体" w:cs="宋体"/>
          <w:color w:val="auto"/>
          <w:spacing w:val="4"/>
          <w:sz w:val="24"/>
          <w:szCs w:val="24"/>
          <w:highlight w:val="none"/>
          <w:lang w:val="en-US"/>
        </w:rPr>
        <w:t xml:space="preserve"> 号《关于调整优化节能产品、环境标志产品政府采购执行机制的通知》的规定，对政府采购节能产品、环境标志产品实施品目清单管理，依据品目清单和认证证书实施政府优先采购和强制采购。 </w:t>
      </w:r>
    </w:p>
    <w:p w14:paraId="6730AFF7">
      <w:pPr>
        <w:spacing w:line="360" w:lineRule="auto"/>
        <w:ind w:firstLine="496" w:firstLineChars="200"/>
        <w:rPr>
          <w:rFonts w:ascii="宋体" w:hAnsi="宋体" w:eastAsia="宋体" w:cs="宋体"/>
          <w:color w:val="auto"/>
          <w:spacing w:val="18"/>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6</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 xml:space="preserve"> 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eastAsia="宋体" w:cs="宋体"/>
          <w:color w:val="auto"/>
          <w:spacing w:val="18"/>
          <w:sz w:val="24"/>
          <w:szCs w:val="24"/>
          <w:highlight w:val="none"/>
          <w:lang w:val="en-US"/>
        </w:rPr>
        <w:t xml:space="preserve">。 </w:t>
      </w:r>
    </w:p>
    <w:p w14:paraId="674B003F">
      <w:pPr>
        <w:spacing w:before="100" w:line="360" w:lineRule="auto"/>
        <w:ind w:left="23"/>
        <w:outlineLvl w:val="1"/>
        <w:rPr>
          <w:rFonts w:ascii="宋体" w:hAnsi="宋体" w:eastAsia="宋体" w:cs="宋体"/>
          <w:color w:val="auto"/>
          <w:spacing w:val="7"/>
          <w:position w:val="1"/>
          <w:sz w:val="24"/>
          <w:szCs w:val="24"/>
          <w:highlight w:val="none"/>
          <w:lang w:val="en-US"/>
        </w:rPr>
      </w:pPr>
      <w:bookmarkStart w:id="544" w:name="_Toc27004"/>
      <w:bookmarkStart w:id="545" w:name="_Toc15913"/>
      <w:bookmarkStart w:id="546" w:name="_Toc6120"/>
      <w:r>
        <w:rPr>
          <w:rFonts w:hint="eastAsia" w:ascii="宋体" w:hAnsi="宋体" w:eastAsia="宋体" w:cs="宋体"/>
          <w:b/>
          <w:bCs/>
          <w:color w:val="auto"/>
          <w:spacing w:val="7"/>
          <w:position w:val="1"/>
          <w:sz w:val="24"/>
          <w:szCs w:val="24"/>
          <w:highlight w:val="none"/>
          <w:lang w:val="en-US"/>
        </w:rPr>
        <w:t>七、关于</w:t>
      </w:r>
      <w:r>
        <w:rPr>
          <w:rFonts w:hint="eastAsia" w:ascii="宋体" w:hAnsi="宋体" w:eastAsia="宋体" w:cs="宋体"/>
          <w:b/>
          <w:bCs/>
          <w:color w:val="auto"/>
          <w:spacing w:val="7"/>
          <w:position w:val="2"/>
          <w:sz w:val="24"/>
          <w:szCs w:val="24"/>
          <w:highlight w:val="none"/>
          <w:lang w:val="en-US"/>
        </w:rPr>
        <w:t>监狱</w:t>
      </w:r>
      <w:r>
        <w:rPr>
          <w:rFonts w:hint="eastAsia" w:ascii="宋体" w:hAnsi="宋体" w:eastAsia="宋体" w:cs="宋体"/>
          <w:b/>
          <w:bCs/>
          <w:color w:val="auto"/>
          <w:spacing w:val="7"/>
          <w:position w:val="1"/>
          <w:sz w:val="24"/>
          <w:szCs w:val="24"/>
          <w:highlight w:val="none"/>
          <w:lang w:val="en-US"/>
        </w:rPr>
        <w:t>企业</w:t>
      </w:r>
      <w:bookmarkEnd w:id="544"/>
      <w:bookmarkEnd w:id="545"/>
      <w:bookmarkEnd w:id="546"/>
      <w:r>
        <w:rPr>
          <w:rFonts w:hint="eastAsia" w:ascii="宋体" w:hAnsi="宋体" w:eastAsia="宋体" w:cs="宋体"/>
          <w:color w:val="auto"/>
          <w:spacing w:val="7"/>
          <w:position w:val="1"/>
          <w:sz w:val="24"/>
          <w:szCs w:val="24"/>
          <w:highlight w:val="none"/>
          <w:lang w:val="en-US"/>
        </w:rPr>
        <w:t xml:space="preserve"> </w:t>
      </w:r>
    </w:p>
    <w:p w14:paraId="16E1F202">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7</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 xml:space="preserve"> 根据《财政部 司法部关于政府采购支持监狱企业发展有关问题的通知》（财库〔</w:t>
      </w:r>
      <w:r>
        <w:rPr>
          <w:rFonts w:hint="eastAsia" w:asciiTheme="majorEastAsia" w:hAnsiTheme="majorEastAsia" w:eastAsiaTheme="majorEastAsia" w:cstheme="majorEastAsia"/>
          <w:color w:val="auto"/>
          <w:spacing w:val="4"/>
          <w:sz w:val="24"/>
          <w:szCs w:val="24"/>
          <w:highlight w:val="none"/>
          <w:lang w:val="en-US"/>
        </w:rPr>
        <w:t>2014</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68</w:t>
      </w:r>
      <w:r>
        <w:rPr>
          <w:rFonts w:hint="eastAsia" w:ascii="宋体" w:hAnsi="宋体" w:eastAsia="宋体" w:cs="宋体"/>
          <w:color w:val="auto"/>
          <w:spacing w:val="4"/>
          <w:sz w:val="24"/>
          <w:szCs w:val="24"/>
          <w:highlight w:val="none"/>
          <w:lang w:val="en-US"/>
        </w:rPr>
        <w:t xml:space="preserve">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AEFB9E4">
      <w:pPr>
        <w:spacing w:line="360" w:lineRule="auto"/>
        <w:ind w:firstLine="496" w:firstLineChars="200"/>
        <w:rPr>
          <w:rFonts w:ascii="宋体" w:hAnsi="宋体" w:eastAsia="宋体" w:cs="宋体"/>
          <w:color w:val="auto"/>
          <w:spacing w:val="18"/>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7</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 xml:space="preserve"> 监狱企业参加政府采购活动时，应当提供由省级以上监狱管理局、戒毒管理局（含新疆生产建设兵团）出具的属于监狱企业的证明文件</w:t>
      </w:r>
      <w:r>
        <w:rPr>
          <w:rFonts w:hint="eastAsia" w:ascii="宋体" w:hAnsi="宋体" w:eastAsia="宋体" w:cs="宋体"/>
          <w:color w:val="auto"/>
          <w:spacing w:val="18"/>
          <w:sz w:val="24"/>
          <w:szCs w:val="24"/>
          <w:highlight w:val="none"/>
          <w:lang w:val="en-US"/>
        </w:rPr>
        <w:t xml:space="preserve">。 </w:t>
      </w:r>
    </w:p>
    <w:p w14:paraId="104C52C9">
      <w:pPr>
        <w:spacing w:before="100" w:line="360" w:lineRule="auto"/>
        <w:ind w:left="23"/>
        <w:outlineLvl w:val="1"/>
        <w:rPr>
          <w:rFonts w:ascii="宋体" w:hAnsi="宋体" w:eastAsia="宋体" w:cs="宋体"/>
          <w:b/>
          <w:bCs/>
          <w:color w:val="auto"/>
          <w:spacing w:val="7"/>
          <w:position w:val="1"/>
          <w:sz w:val="24"/>
          <w:szCs w:val="24"/>
          <w:highlight w:val="none"/>
          <w:lang w:val="en-US"/>
        </w:rPr>
      </w:pPr>
      <w:bookmarkStart w:id="547" w:name="_Toc2951"/>
      <w:bookmarkStart w:id="548" w:name="_Toc30277"/>
      <w:bookmarkStart w:id="549" w:name="_Toc22136"/>
      <w:r>
        <w:rPr>
          <w:rFonts w:hint="eastAsia" w:ascii="宋体" w:hAnsi="宋体" w:eastAsia="宋体" w:cs="宋体"/>
          <w:b/>
          <w:bCs/>
          <w:color w:val="auto"/>
          <w:spacing w:val="7"/>
          <w:position w:val="1"/>
          <w:sz w:val="24"/>
          <w:szCs w:val="24"/>
          <w:highlight w:val="none"/>
          <w:lang w:val="en-US"/>
        </w:rPr>
        <w:t>八、关于残疾人福利性单位</w:t>
      </w:r>
      <w:bookmarkEnd w:id="547"/>
      <w:bookmarkEnd w:id="548"/>
      <w:bookmarkEnd w:id="549"/>
      <w:r>
        <w:rPr>
          <w:rFonts w:hint="eastAsia" w:ascii="宋体" w:hAnsi="宋体" w:eastAsia="宋体" w:cs="宋体"/>
          <w:b/>
          <w:bCs/>
          <w:color w:val="auto"/>
          <w:spacing w:val="7"/>
          <w:position w:val="1"/>
          <w:sz w:val="24"/>
          <w:szCs w:val="24"/>
          <w:highlight w:val="none"/>
          <w:lang w:val="en-US"/>
        </w:rPr>
        <w:t xml:space="preserve"> </w:t>
      </w:r>
    </w:p>
    <w:p w14:paraId="70C82511">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8</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 xml:space="preserve"> 享受政府采购支持政策的残疾人福利性单位应当同时满足以下条件： </w:t>
      </w:r>
    </w:p>
    <w:p w14:paraId="3FC384C4">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 xml:space="preserve">）安置的残疾人占本单位在职职工人数的比例不低于 </w:t>
      </w:r>
      <w:r>
        <w:rPr>
          <w:rFonts w:hint="eastAsia" w:asciiTheme="majorEastAsia" w:hAnsiTheme="majorEastAsia" w:eastAsiaTheme="majorEastAsia" w:cstheme="majorEastAsia"/>
          <w:color w:val="auto"/>
          <w:spacing w:val="4"/>
          <w:sz w:val="24"/>
          <w:szCs w:val="24"/>
          <w:highlight w:val="none"/>
          <w:lang w:val="en-US"/>
        </w:rPr>
        <w:t>25</w:t>
      </w:r>
      <w:r>
        <w:rPr>
          <w:rFonts w:hint="eastAsia" w:ascii="宋体" w:hAnsi="宋体" w:eastAsia="宋体" w:cs="宋体"/>
          <w:color w:val="auto"/>
          <w:spacing w:val="4"/>
          <w:sz w:val="24"/>
          <w:szCs w:val="24"/>
          <w:highlight w:val="none"/>
          <w:lang w:val="en-US"/>
        </w:rPr>
        <w:t xml:space="preserve">%（含 </w:t>
      </w:r>
      <w:r>
        <w:rPr>
          <w:rFonts w:hint="eastAsia" w:asciiTheme="majorEastAsia" w:hAnsiTheme="majorEastAsia" w:eastAsiaTheme="majorEastAsia" w:cstheme="majorEastAsia"/>
          <w:color w:val="auto"/>
          <w:spacing w:val="4"/>
          <w:sz w:val="24"/>
          <w:szCs w:val="24"/>
          <w:highlight w:val="none"/>
          <w:lang w:val="en-US"/>
        </w:rPr>
        <w:t>25</w:t>
      </w:r>
      <w:r>
        <w:rPr>
          <w:rFonts w:hint="eastAsia" w:ascii="宋体" w:hAnsi="宋体" w:eastAsia="宋体" w:cs="宋体"/>
          <w:color w:val="auto"/>
          <w:spacing w:val="4"/>
          <w:sz w:val="24"/>
          <w:szCs w:val="24"/>
          <w:highlight w:val="none"/>
          <w:lang w:val="en-US"/>
        </w:rPr>
        <w:t>%），并且安置的残疾人人数不少于</w:t>
      </w:r>
      <w:r>
        <w:rPr>
          <w:rFonts w:hint="eastAsia" w:asciiTheme="majorEastAsia" w:hAnsiTheme="majorEastAsia" w:eastAsiaTheme="majorEastAsia" w:cstheme="majorEastAsia"/>
          <w:color w:val="auto"/>
          <w:spacing w:val="4"/>
          <w:sz w:val="24"/>
          <w:szCs w:val="24"/>
          <w:highlight w:val="none"/>
          <w:lang w:val="en-US"/>
        </w:rPr>
        <w:t>10</w:t>
      </w:r>
      <w:r>
        <w:rPr>
          <w:rFonts w:hint="eastAsia" w:ascii="宋体" w:hAnsi="宋体" w:eastAsia="宋体" w:cs="宋体"/>
          <w:color w:val="auto"/>
          <w:spacing w:val="4"/>
          <w:sz w:val="24"/>
          <w:szCs w:val="24"/>
          <w:highlight w:val="none"/>
          <w:lang w:val="en-US"/>
        </w:rPr>
        <w:t xml:space="preserve"> 人（含 </w:t>
      </w:r>
      <w:r>
        <w:rPr>
          <w:rFonts w:hint="eastAsia" w:asciiTheme="majorEastAsia" w:hAnsiTheme="majorEastAsia" w:eastAsiaTheme="majorEastAsia" w:cstheme="majorEastAsia"/>
          <w:color w:val="auto"/>
          <w:spacing w:val="4"/>
          <w:sz w:val="24"/>
          <w:szCs w:val="24"/>
          <w:highlight w:val="none"/>
          <w:lang w:val="en-US"/>
        </w:rPr>
        <w:t>10</w:t>
      </w:r>
      <w:r>
        <w:rPr>
          <w:rFonts w:hint="eastAsia" w:ascii="宋体" w:hAnsi="宋体" w:eastAsia="宋体" w:cs="宋体"/>
          <w:color w:val="auto"/>
          <w:spacing w:val="4"/>
          <w:sz w:val="24"/>
          <w:szCs w:val="24"/>
          <w:highlight w:val="none"/>
          <w:lang w:val="en-US"/>
        </w:rPr>
        <w:t xml:space="preserve"> 人）； </w:t>
      </w:r>
    </w:p>
    <w:p w14:paraId="18D4136C">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 xml:space="preserve">）依法与安置的每位残疾人签订了一年以上（含一年）的劳动合同或服务协议； </w:t>
      </w:r>
    </w:p>
    <w:p w14:paraId="65B3B876">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 xml:space="preserve">）为安置的每位残疾人按月足额缴纳了基本养老保险、基本医疗保险、失业保险、工伤保险和生育保险等社会保险费； </w:t>
      </w:r>
    </w:p>
    <w:p w14:paraId="213820B1">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 xml:space="preserve">）通过银行等金融机构向安置的每位残疾人，按月支付了不低于单位所在区县适用的经省级人民政府批准的月最低工资标准的工资； </w:t>
      </w:r>
    </w:p>
    <w:p w14:paraId="1318E420">
      <w:pPr>
        <w:spacing w:line="360" w:lineRule="auto"/>
        <w:ind w:firstLine="496" w:firstLineChars="200"/>
        <w:rPr>
          <w:rFonts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5</w:t>
      </w:r>
      <w:r>
        <w:rPr>
          <w:rFonts w:hint="eastAsia" w:ascii="宋体" w:hAnsi="宋体" w:eastAsia="宋体" w:cs="宋体"/>
          <w:color w:val="auto"/>
          <w:spacing w:val="4"/>
          <w:sz w:val="24"/>
          <w:szCs w:val="24"/>
          <w:highlight w:val="none"/>
          <w:lang w:val="en-US"/>
        </w:rPr>
        <w:t xml:space="preserve">）提供本单位制造的货物、承担的工程或者服务（以下简称产品），或者提供其他残疾人福利性单位制造的货物（不包括使用非残疾人福利性单位注册商标的货物）。 </w:t>
      </w:r>
    </w:p>
    <w:p w14:paraId="4DCA5CF4">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8</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2</w:t>
      </w:r>
      <w:r>
        <w:rPr>
          <w:rFonts w:hint="eastAsia" w:ascii="宋体" w:hAnsi="宋体" w:eastAsia="宋体" w:cs="宋体"/>
          <w:color w:val="auto"/>
          <w:spacing w:val="4"/>
          <w:sz w:val="24"/>
          <w:szCs w:val="24"/>
          <w:highlight w:val="none"/>
          <w:lang w:val="en-US"/>
        </w:rPr>
        <w:t xml:space="preserve"> 前款所称残疾人是指法定劳动年龄内，持有《中华人民共和国残疾人证》或者《中华人民共和国残疾军人证（</w:t>
      </w:r>
      <w:r>
        <w:rPr>
          <w:rFonts w:hint="eastAsia" w:asciiTheme="majorEastAsia" w:hAnsiTheme="majorEastAsia" w:eastAsiaTheme="majorEastAsia" w:cstheme="majorEastAsia"/>
          <w:color w:val="auto"/>
          <w:spacing w:val="4"/>
          <w:sz w:val="24"/>
          <w:szCs w:val="24"/>
          <w:highlight w:val="none"/>
          <w:lang w:val="en-US"/>
        </w:rPr>
        <w:t>1</w:t>
      </w:r>
      <w:r>
        <w:rPr>
          <w:rFonts w:hint="eastAsia" w:ascii="宋体" w:hAnsi="宋体" w:eastAsia="宋体" w:cs="宋体"/>
          <w:color w:val="auto"/>
          <w:spacing w:val="4"/>
          <w:sz w:val="24"/>
          <w:szCs w:val="24"/>
          <w:highlight w:val="none"/>
          <w:lang w:val="en-US"/>
        </w:rPr>
        <w:t xml:space="preserve"> 至 </w:t>
      </w:r>
      <w:r>
        <w:rPr>
          <w:rFonts w:hint="eastAsia" w:asciiTheme="majorEastAsia" w:hAnsiTheme="majorEastAsia" w:eastAsiaTheme="majorEastAsia" w:cstheme="majorEastAsia"/>
          <w:color w:val="auto"/>
          <w:spacing w:val="4"/>
          <w:sz w:val="24"/>
          <w:szCs w:val="24"/>
          <w:highlight w:val="none"/>
          <w:lang w:val="en-US"/>
        </w:rPr>
        <w:t>8</w:t>
      </w:r>
      <w:r>
        <w:rPr>
          <w:rFonts w:hint="eastAsia" w:ascii="宋体" w:hAnsi="宋体" w:eastAsia="宋体" w:cs="宋体"/>
          <w:color w:val="auto"/>
          <w:spacing w:val="4"/>
          <w:sz w:val="24"/>
          <w:szCs w:val="24"/>
          <w:highlight w:val="none"/>
          <w:lang w:val="en-US"/>
        </w:rPr>
        <w:t xml:space="preserve"> 级）》的自然人，包括具有劳动条件和劳动意愿的精神残疾人。在职职工人数是指与残疾人福利性单位建立劳动关系并依法签订劳动合同或者服务协议的雇员人数。 </w:t>
      </w:r>
    </w:p>
    <w:p w14:paraId="5D0855D9">
      <w:pPr>
        <w:spacing w:line="360" w:lineRule="auto"/>
        <w:ind w:firstLine="496" w:firstLineChars="200"/>
        <w:rPr>
          <w:rFonts w:ascii="宋体" w:hAnsi="宋体" w:eastAsia="宋体" w:cs="宋体"/>
          <w:color w:val="auto"/>
          <w:spacing w:val="4"/>
          <w:sz w:val="24"/>
          <w:szCs w:val="24"/>
          <w:highlight w:val="none"/>
          <w:lang w:val="en-US"/>
        </w:rPr>
      </w:pPr>
      <w:r>
        <w:rPr>
          <w:rFonts w:hint="eastAsia" w:asciiTheme="majorEastAsia" w:hAnsiTheme="majorEastAsia" w:eastAsiaTheme="majorEastAsia" w:cstheme="majorEastAsia"/>
          <w:color w:val="auto"/>
          <w:spacing w:val="4"/>
          <w:sz w:val="24"/>
          <w:szCs w:val="24"/>
          <w:highlight w:val="none"/>
          <w:lang w:val="en-US"/>
        </w:rPr>
        <w:t>8</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3</w:t>
      </w:r>
      <w:r>
        <w:rPr>
          <w:rFonts w:hint="eastAsia" w:ascii="宋体" w:hAnsi="宋体" w:eastAsia="宋体" w:cs="宋体"/>
          <w:color w:val="auto"/>
          <w:spacing w:val="4"/>
          <w:sz w:val="24"/>
          <w:szCs w:val="24"/>
          <w:highlight w:val="none"/>
          <w:lang w:val="en-US"/>
        </w:rPr>
        <w:t xml:space="preserve"> 符合条件的残疾人福利性单位在参加政府采购活动时，应当提供本《残疾人福利性单位声明函》（见附件），并对声明的真实性负责。任何单位或者个人在政府采购活动中均不得要求残疾人福利性单位提供其他证明声明函内容的材料。 </w:t>
      </w:r>
    </w:p>
    <w:p w14:paraId="5C65926F">
      <w:pPr>
        <w:spacing w:line="360" w:lineRule="auto"/>
        <w:ind w:firstLine="496" w:firstLineChars="200"/>
        <w:rPr>
          <w:rFonts w:ascii="宋体" w:hAnsi="宋体" w:eastAsia="宋体" w:cs="宋体"/>
          <w:color w:val="auto"/>
          <w:sz w:val="24"/>
          <w:szCs w:val="24"/>
          <w:highlight w:val="none"/>
        </w:rPr>
      </w:pPr>
      <w:r>
        <w:rPr>
          <w:rFonts w:hint="eastAsia" w:asciiTheme="majorEastAsia" w:hAnsiTheme="majorEastAsia" w:eastAsiaTheme="majorEastAsia" w:cstheme="majorEastAsia"/>
          <w:color w:val="auto"/>
          <w:spacing w:val="4"/>
          <w:sz w:val="24"/>
          <w:szCs w:val="24"/>
          <w:highlight w:val="none"/>
          <w:lang w:val="en-US"/>
        </w:rPr>
        <w:t>8</w:t>
      </w:r>
      <w:r>
        <w:rPr>
          <w:rFonts w:hint="eastAsia" w:ascii="宋体" w:hAnsi="宋体" w:eastAsia="宋体" w:cs="宋体"/>
          <w:color w:val="auto"/>
          <w:spacing w:val="4"/>
          <w:sz w:val="24"/>
          <w:szCs w:val="24"/>
          <w:highlight w:val="none"/>
          <w:lang w:val="en-US"/>
        </w:rPr>
        <w:t>.</w:t>
      </w:r>
      <w:r>
        <w:rPr>
          <w:rFonts w:hint="eastAsia" w:asciiTheme="majorEastAsia" w:hAnsiTheme="majorEastAsia" w:eastAsiaTheme="majorEastAsia" w:cstheme="majorEastAsia"/>
          <w:color w:val="auto"/>
          <w:spacing w:val="4"/>
          <w:sz w:val="24"/>
          <w:szCs w:val="24"/>
          <w:highlight w:val="none"/>
          <w:lang w:val="en-US"/>
        </w:rPr>
        <w:t>4</w:t>
      </w:r>
      <w:r>
        <w:rPr>
          <w:rFonts w:hint="eastAsia" w:ascii="宋体" w:hAnsi="宋体" w:eastAsia="宋体" w:cs="宋体"/>
          <w:color w:val="auto"/>
          <w:spacing w:val="4"/>
          <w:sz w:val="24"/>
          <w:szCs w:val="24"/>
          <w:highlight w:val="none"/>
          <w:lang w:val="en-US"/>
        </w:rPr>
        <w:t xml:space="preserve"> 成交供应商为残疾人福利性单位的，《残疾人福利性单位声明函》将与成交结果同时公告，接受社会监督。供应商提供的《残疾人福利性单位声明函》与事实不符的，依照</w:t>
      </w:r>
      <w:r>
        <w:rPr>
          <w:rFonts w:hint="eastAsia" w:ascii="宋体" w:hAnsi="宋体" w:eastAsia="宋体" w:cs="宋体"/>
          <w:color w:val="auto"/>
          <w:spacing w:val="4"/>
          <w:sz w:val="24"/>
          <w:szCs w:val="24"/>
          <w:highlight w:val="none"/>
          <w:lang w:val="en-US" w:eastAsia="zh-CN"/>
        </w:rPr>
        <w:t>《中华人民共和国政府采购法》</w:t>
      </w:r>
      <w:r>
        <w:rPr>
          <w:rFonts w:hint="eastAsia" w:ascii="宋体" w:hAnsi="宋体" w:eastAsia="宋体" w:cs="宋体"/>
          <w:color w:val="auto"/>
          <w:spacing w:val="4"/>
          <w:sz w:val="24"/>
          <w:szCs w:val="24"/>
          <w:highlight w:val="none"/>
          <w:lang w:val="en-US"/>
        </w:rPr>
        <w:t>第七十七条第一款的规定追究法律责任</w:t>
      </w:r>
      <w:r>
        <w:rPr>
          <w:rFonts w:hint="eastAsia" w:ascii="宋体" w:hAnsi="宋体" w:eastAsia="宋体" w:cs="宋体"/>
          <w:color w:val="auto"/>
          <w:spacing w:val="18"/>
          <w:sz w:val="24"/>
          <w:szCs w:val="24"/>
          <w:highlight w:val="none"/>
          <w:lang w:val="en-US"/>
        </w:rPr>
        <w:t>。</w:t>
      </w:r>
    </w:p>
    <w:sectPr>
      <w:pgSz w:w="11911" w:h="16838"/>
      <w:pgMar w:top="1134" w:right="1134" w:bottom="1134" w:left="1134" w:header="850" w:footer="850" w:gutter="0"/>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___WRD_EMBED_SUB_46">
    <w:altName w:val="微软雅黑"/>
    <w:panose1 w:val="00000000000000000000"/>
    <w:charset w:val="86"/>
    <w:family w:val="modern"/>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015A5">
    <w:pPr>
      <w:pStyle w:val="18"/>
      <w:jc w:val="right"/>
    </w:pPr>
    <w:r>
      <w:rPr>
        <w:rFonts w:hint="eastAsia"/>
        <w:b/>
        <w:bCs/>
        <w:sz w:val="20"/>
        <w:szCs w:val="24"/>
        <w:lang w:val="en-US"/>
      </w:rPr>
      <w:t>联系电话：0879-2302022</w:t>
    </w:r>
    <w:r>
      <w:rPr>
        <w:rFonts w:hint="eastAsia"/>
        <w:lang w:val="en-US" w:bidi="ar-SA"/>
      </w:rPr>
      <w:drawing>
        <wp:anchor distT="0" distB="0" distL="114300" distR="114300" simplePos="0" relativeHeight="251666432" behindDoc="0" locked="0" layoutInCell="1" allowOverlap="1">
          <wp:simplePos x="0" y="0"/>
          <wp:positionH relativeFrom="column">
            <wp:posOffset>10795</wp:posOffset>
          </wp:positionH>
          <wp:positionV relativeFrom="paragraph">
            <wp:posOffset>-25400</wp:posOffset>
          </wp:positionV>
          <wp:extent cx="1543050" cy="248285"/>
          <wp:effectExtent l="0" t="0" r="0" b="18415"/>
          <wp:wrapNone/>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pic:cNvPicPr>
                </pic:nvPicPr>
                <pic:blipFill>
                  <a:blip r:embed="rId1">
                    <a:grayscl/>
                  </a:blip>
                  <a:srcRect r="10159" b="-2486"/>
                  <a:stretch>
                    <a:fillRect/>
                  </a:stretch>
                </pic:blipFill>
                <pic:spPr>
                  <a:xfrm>
                    <a:off x="0" y="0"/>
                    <a:ext cx="1543050" cy="248285"/>
                  </a:xfrm>
                  <a:prstGeom prst="rect">
                    <a:avLst/>
                  </a:prstGeom>
                  <a:ln w="12700">
                    <a:noFill/>
                  </a:ln>
                </pic:spPr>
              </pic:pic>
            </a:graphicData>
          </a:graphic>
        </wp:anchor>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2E33">
    <w:pPr>
      <w:pStyle w:val="18"/>
      <w:jc w:val="right"/>
    </w:pPr>
    <w:r>
      <w:rPr>
        <w:rFonts w:hint="eastAsia"/>
        <w:b/>
        <w:bCs/>
        <w:sz w:val="20"/>
        <w:szCs w:val="24"/>
        <w:lang w:val="en-US"/>
      </w:rPr>
      <w:t>联系电话：0879-2302022</w:t>
    </w:r>
    <w:r>
      <w:rPr>
        <w:rFonts w:hint="eastAsia"/>
        <w:lang w:val="en-US" w:bidi="ar-SA"/>
      </w:rPr>
      <w:drawing>
        <wp:anchor distT="0" distB="0" distL="114300" distR="114300" simplePos="0" relativeHeight="251674624" behindDoc="0" locked="0" layoutInCell="1" allowOverlap="1">
          <wp:simplePos x="0" y="0"/>
          <wp:positionH relativeFrom="column">
            <wp:posOffset>10795</wp:posOffset>
          </wp:positionH>
          <wp:positionV relativeFrom="paragraph">
            <wp:posOffset>-25400</wp:posOffset>
          </wp:positionV>
          <wp:extent cx="1543050" cy="248285"/>
          <wp:effectExtent l="0" t="0" r="0" b="18415"/>
          <wp:wrapNone/>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1">
                    <a:grayscl/>
                  </a:blip>
                  <a:srcRect r="10159" b="-2486"/>
                  <a:stretch>
                    <a:fillRect/>
                  </a:stretch>
                </pic:blipFill>
                <pic:spPr>
                  <a:xfrm>
                    <a:off x="0" y="0"/>
                    <a:ext cx="1543050" cy="248285"/>
                  </a:xfrm>
                  <a:prstGeom prst="rect">
                    <a:avLst/>
                  </a:prstGeom>
                  <a:ln w="12700">
                    <a:noFill/>
                  </a:ln>
                </pic:spPr>
              </pic:pic>
            </a:graphicData>
          </a:graphic>
        </wp:anchor>
      </w:drawing>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F91B8B">
                          <w:pPr>
                            <w:pStyle w:val="18"/>
                          </w:pPr>
                          <w:r>
                            <w:t xml:space="preserve">第 </w:t>
                          </w:r>
                          <w:r>
                            <w:fldChar w:fldCharType="begin"/>
                          </w:r>
                          <w:r>
                            <w:instrText xml:space="preserve"> PAGE  \* MERGEFORMAT </w:instrText>
                          </w:r>
                          <w:r>
                            <w:fldChar w:fldCharType="separate"/>
                          </w:r>
                          <w:r>
                            <w:t>- 68 -</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14:paraId="2FF91B8B">
                    <w:pPr>
                      <w:pStyle w:val="18"/>
                    </w:pPr>
                    <w:r>
                      <w:t xml:space="preserve">第 </w:t>
                    </w:r>
                    <w:r>
                      <w:fldChar w:fldCharType="begin"/>
                    </w:r>
                    <w:r>
                      <w:instrText xml:space="preserve"> PAGE  \* MERGEFORMAT </w:instrText>
                    </w:r>
                    <w:r>
                      <w:fldChar w:fldCharType="separate"/>
                    </w:r>
                    <w:r>
                      <w:t>- 68 -</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1C57D">
    <w:pPr>
      <w:pStyle w:val="18"/>
    </w:pPr>
    <w:r>
      <w:rPr>
        <w:rFonts w:hint="eastAsia"/>
        <w:lang w:val="en-US" w:bidi="ar-SA"/>
      </w:rPr>
      <w:drawing>
        <wp:anchor distT="0" distB="0" distL="114300" distR="114300" simplePos="0" relativeHeight="251678720" behindDoc="0" locked="0" layoutInCell="1" allowOverlap="1">
          <wp:simplePos x="0" y="0"/>
          <wp:positionH relativeFrom="column">
            <wp:posOffset>10795</wp:posOffset>
          </wp:positionH>
          <wp:positionV relativeFrom="paragraph">
            <wp:posOffset>-25400</wp:posOffset>
          </wp:positionV>
          <wp:extent cx="1543050" cy="248285"/>
          <wp:effectExtent l="0" t="0" r="0" b="889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
                    <a:grayscl/>
                  </a:blip>
                  <a:srcRect r="10159" b="-2486"/>
                  <a:stretch>
                    <a:fillRect/>
                  </a:stretch>
                </pic:blipFill>
                <pic:spPr>
                  <a:xfrm>
                    <a:off x="0" y="0"/>
                    <a:ext cx="1543050" cy="248285"/>
                  </a:xfrm>
                  <a:prstGeom prst="rect">
                    <a:avLst/>
                  </a:prstGeom>
                  <a:ln w="12700">
                    <a:noFill/>
                  </a:ln>
                </pic:spPr>
              </pic:pic>
            </a:graphicData>
          </a:graphic>
        </wp:anchor>
      </w:drawing>
    </w:r>
    <w:r>
      <w:rPr>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A44F92">
                          <w:pPr>
                            <w:pStyle w:val="18"/>
                          </w:pPr>
                          <w:r>
                            <w:t xml:space="preserve">第 </w:t>
                          </w:r>
                          <w:r>
                            <w:fldChar w:fldCharType="begin"/>
                          </w:r>
                          <w:r>
                            <w:instrText xml:space="preserve"> PAGE  \* MERGEFORMAT </w:instrText>
                          </w:r>
                          <w:r>
                            <w:fldChar w:fldCharType="separate"/>
                          </w:r>
                          <w:r>
                            <w:t>- 84 -</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4FA44F92">
                    <w:pPr>
                      <w:pStyle w:val="18"/>
                    </w:pPr>
                    <w:r>
                      <w:t xml:space="preserve">第 </w:t>
                    </w:r>
                    <w:r>
                      <w:fldChar w:fldCharType="begin"/>
                    </w:r>
                    <w:r>
                      <w:instrText xml:space="preserve"> PAGE  \* MERGEFORMAT </w:instrText>
                    </w:r>
                    <w:r>
                      <w:fldChar w:fldCharType="separate"/>
                    </w:r>
                    <w:r>
                      <w:t>- 84 -</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D90EC">
    <w:pPr>
      <w:pStyle w:val="18"/>
      <w:jc w:val="right"/>
      <w:rPr>
        <w:b/>
        <w:bCs/>
        <w:sz w:val="20"/>
        <w:szCs w:val="24"/>
        <w:lang w:val="en-US"/>
      </w:rPr>
    </w:pPr>
    <w:r>
      <w:rPr>
        <w:rFonts w:hint="eastAsia"/>
        <w:b/>
        <w:bCs/>
        <w:sz w:val="20"/>
        <w:szCs w:val="24"/>
        <w:lang w:val="en-US"/>
      </w:rPr>
      <w:t>联系电话：0879-2302022</w:t>
    </w:r>
    <w:r>
      <w:rPr>
        <w:rFonts w:hint="eastAsia"/>
        <w:b/>
        <w:bCs/>
        <w:sz w:val="20"/>
        <w:szCs w:val="24"/>
        <w:lang w:val="en-US" w:bidi="ar-SA"/>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BBE8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34ABBE86">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b/>
        <w:bCs/>
        <w:sz w:val="20"/>
        <w:szCs w:val="24"/>
        <w:lang w:val="en-US" w:bidi="ar-SA"/>
      </w:rPr>
      <w:drawing>
        <wp:anchor distT="0" distB="0" distL="114300" distR="114300" simplePos="0" relativeHeight="251675648" behindDoc="0" locked="0" layoutInCell="1" allowOverlap="1">
          <wp:simplePos x="0" y="0"/>
          <wp:positionH relativeFrom="column">
            <wp:posOffset>10795</wp:posOffset>
          </wp:positionH>
          <wp:positionV relativeFrom="paragraph">
            <wp:posOffset>-25400</wp:posOffset>
          </wp:positionV>
          <wp:extent cx="1543050" cy="248285"/>
          <wp:effectExtent l="0" t="0" r="0" b="18415"/>
          <wp:wrapNone/>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1">
                    <a:grayscl/>
                  </a:blip>
                  <a:srcRect r="10159" b="-2486"/>
                  <a:stretch>
                    <a:fillRect/>
                  </a:stretch>
                </pic:blipFill>
                <pic:spPr>
                  <a:xfrm>
                    <a:off x="0" y="0"/>
                    <a:ext cx="1543050" cy="248285"/>
                  </a:xfrm>
                  <a:prstGeom prst="rect">
                    <a:avLst/>
                  </a:prstGeom>
                  <a:ln w="12700">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51B2">
    <w:pPr>
      <w:pStyle w:val="18"/>
      <w:jc w:val="right"/>
    </w:pPr>
    <w:r>
      <w:rPr>
        <w:rFonts w:hint="eastAsia"/>
        <w:b/>
        <w:bCs/>
        <w:sz w:val="20"/>
        <w:szCs w:val="24"/>
        <w:lang w:val="en-US"/>
      </w:rPr>
      <w:t>联系电话：0879-2302022</w:t>
    </w:r>
    <w:r>
      <w:rPr>
        <w:rFonts w:hint="eastAsia"/>
        <w:lang w:val="en-US" w:bidi="ar-SA"/>
      </w:rPr>
      <w:drawing>
        <wp:anchor distT="0" distB="0" distL="114300" distR="114300" simplePos="0" relativeHeight="251668480" behindDoc="0" locked="0" layoutInCell="1" allowOverlap="1">
          <wp:simplePos x="0" y="0"/>
          <wp:positionH relativeFrom="column">
            <wp:posOffset>10795</wp:posOffset>
          </wp:positionH>
          <wp:positionV relativeFrom="paragraph">
            <wp:posOffset>-25400</wp:posOffset>
          </wp:positionV>
          <wp:extent cx="1543050" cy="248285"/>
          <wp:effectExtent l="0" t="0" r="0" b="18415"/>
          <wp:wrapNone/>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
                    <a:grayscl/>
                  </a:blip>
                  <a:srcRect r="10159" b="-2486"/>
                  <a:stretch>
                    <a:fillRect/>
                  </a:stretch>
                </pic:blipFill>
                <pic:spPr>
                  <a:xfrm>
                    <a:off x="0" y="0"/>
                    <a:ext cx="1543050" cy="248285"/>
                  </a:xfrm>
                  <a:prstGeom prst="rect">
                    <a:avLst/>
                  </a:prstGeom>
                  <a:ln w="12700">
                    <a:noFill/>
                  </a:ln>
                </pic:spPr>
              </pic:pic>
            </a:graphicData>
          </a:graphic>
        </wp:anchor>
      </w:drawing>
    </w: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9AD6FC">
                          <w:pPr>
                            <w:pStyle w:val="18"/>
                          </w:pPr>
                          <w:r>
                            <w:t xml:space="preserve">第 </w:t>
                          </w:r>
                          <w:r>
                            <w:fldChar w:fldCharType="begin"/>
                          </w:r>
                          <w:r>
                            <w:instrText xml:space="preserve"> PAGE  \* MERGEFORMAT </w:instrText>
                          </w:r>
                          <w:r>
                            <w:fldChar w:fldCharType="separate"/>
                          </w:r>
                          <w:r>
                            <w:t>- 5 -</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2F9AD6FC">
                    <w:pPr>
                      <w:pStyle w:val="18"/>
                    </w:pPr>
                    <w:r>
                      <w:t xml:space="preserve">第 </w:t>
                    </w:r>
                    <w:r>
                      <w:fldChar w:fldCharType="begin"/>
                    </w:r>
                    <w:r>
                      <w:instrText xml:space="preserve"> PAGE  \* MERGEFORMAT </w:instrText>
                    </w:r>
                    <w:r>
                      <w:fldChar w:fldCharType="separate"/>
                    </w:r>
                    <w:r>
                      <w:t>- 5 -</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158AB">
    <w:pPr>
      <w:pStyle w:val="18"/>
    </w:pPr>
    <w:r>
      <w:rPr>
        <w:rFonts w:hint="eastAsia"/>
        <w:lang w:val="en-US" w:bidi="ar-SA"/>
      </w:rPr>
      <w:drawing>
        <wp:anchor distT="0" distB="0" distL="114300" distR="114300" simplePos="0" relativeHeight="251669504" behindDoc="0" locked="0" layoutInCell="1" allowOverlap="1">
          <wp:simplePos x="0" y="0"/>
          <wp:positionH relativeFrom="column">
            <wp:posOffset>10795</wp:posOffset>
          </wp:positionH>
          <wp:positionV relativeFrom="paragraph">
            <wp:posOffset>-25400</wp:posOffset>
          </wp:positionV>
          <wp:extent cx="1543050" cy="248285"/>
          <wp:effectExtent l="0" t="0" r="0" b="18415"/>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
                    <a:grayscl/>
                  </a:blip>
                  <a:srcRect r="10159" b="-2486"/>
                  <a:stretch>
                    <a:fillRect/>
                  </a:stretch>
                </pic:blipFill>
                <pic:spPr>
                  <a:xfrm>
                    <a:off x="0" y="0"/>
                    <a:ext cx="1543050" cy="248285"/>
                  </a:xfrm>
                  <a:prstGeom prst="rect">
                    <a:avLst/>
                  </a:prstGeom>
                  <a:ln w="12700">
                    <a:noFill/>
                  </a:ln>
                </pic:spPr>
              </pic:pic>
            </a:graphicData>
          </a:graphic>
        </wp:anchor>
      </w:drawing>
    </w: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E0ED3E">
                          <w:pPr>
                            <w:pStyle w:val="18"/>
                          </w:pPr>
                          <w:r>
                            <w:t xml:space="preserve">第 </w:t>
                          </w:r>
                          <w:r>
                            <w:fldChar w:fldCharType="begin"/>
                          </w:r>
                          <w:r>
                            <w:instrText xml:space="preserve"> PAGE  \* MERGEFORMAT </w:instrText>
                          </w:r>
                          <w:r>
                            <w:fldChar w:fldCharType="separate"/>
                          </w:r>
                          <w:r>
                            <w:t>- 20 -</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DE0ED3E">
                    <w:pPr>
                      <w:pStyle w:val="18"/>
                    </w:pPr>
                    <w:r>
                      <w:t xml:space="preserve">第 </w:t>
                    </w:r>
                    <w:r>
                      <w:fldChar w:fldCharType="begin"/>
                    </w:r>
                    <w:r>
                      <w:instrText xml:space="preserve"> PAGE  \* MERGEFORMAT </w:instrText>
                    </w:r>
                    <w:r>
                      <w:fldChar w:fldCharType="separate"/>
                    </w:r>
                    <w:r>
                      <w:t>- 20 -</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D1322">
    <w:pPr>
      <w:tabs>
        <w:tab w:val="center" w:pos="4153"/>
        <w:tab w:val="right" w:pos="8306"/>
      </w:tabs>
      <w:rPr>
        <w:rFonts w:ascii="Calibri" w:hAnsi="Calibri"/>
        <w:kern w:val="2"/>
        <w:sz w:val="18"/>
        <w:szCs w:val="18"/>
      </w:rPr>
    </w:pPr>
    <w:r>
      <w:rPr>
        <w:sz w:val="18"/>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C6F090">
                          <w:pPr>
                            <w:pStyle w:val="18"/>
                          </w:pPr>
                          <w:r>
                            <w:t xml:space="preserve">— </w:t>
                          </w:r>
                          <w:r>
                            <w:fldChar w:fldCharType="begin"/>
                          </w:r>
                          <w:r>
                            <w:instrText xml:space="preserve"> PAGE  \* MERGEFORMAT </w:instrText>
                          </w:r>
                          <w:r>
                            <w:fldChar w:fldCharType="separate"/>
                          </w:r>
                          <w:r>
                            <w:t>21</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1C6F090">
                    <w:pPr>
                      <w:pStyle w:val="18"/>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p w14:paraId="2735317B">
    <w:pPr>
      <w:tabs>
        <w:tab w:val="center" w:pos="4153"/>
        <w:tab w:val="right" w:pos="8306"/>
      </w:tabs>
      <w:rPr>
        <w:rFonts w:ascii="Calibri" w:hAnsi="Calibri"/>
        <w:kern w:val="2"/>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26A8">
    <w:pPr>
      <w:pStyle w:val="18"/>
      <w:jc w:val="right"/>
    </w:pPr>
    <w:r>
      <w:rPr>
        <w:rFonts w:hint="eastAsia"/>
        <w:b/>
        <w:bCs/>
        <w:sz w:val="20"/>
        <w:szCs w:val="24"/>
        <w:lang w:val="en-US"/>
      </w:rPr>
      <w:t>联系电话：0879-2302022</w:t>
    </w:r>
    <w:r>
      <w:rPr>
        <w:lang w:val="en-US" w:bidi="ar-SA"/>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2F645">
                          <w:pPr>
                            <w:pStyle w:val="18"/>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5042F645">
                    <w:pPr>
                      <w:pStyle w:val="18"/>
                    </w:pPr>
                    <w:r>
                      <w:fldChar w:fldCharType="begin"/>
                    </w:r>
                    <w:r>
                      <w:instrText xml:space="preserve"> PAGE  \* MERGEFORMAT </w:instrText>
                    </w:r>
                    <w:r>
                      <w:fldChar w:fldCharType="separate"/>
                    </w:r>
                    <w:r>
                      <w:t>- 47 -</w:t>
                    </w:r>
                    <w:r>
                      <w:fldChar w:fldCharType="end"/>
                    </w:r>
                  </w:p>
                </w:txbxContent>
              </v:textbox>
            </v:shape>
          </w:pict>
        </mc:Fallback>
      </mc:AlternateContent>
    </w:r>
    <w:r>
      <w:rPr>
        <w:rFonts w:hint="eastAsia"/>
        <w:lang w:val="en-US" w:bidi="ar-SA"/>
      </w:rPr>
      <w:drawing>
        <wp:anchor distT="0" distB="0" distL="114300" distR="114300" simplePos="0" relativeHeight="251670528" behindDoc="0" locked="0" layoutInCell="1" allowOverlap="1">
          <wp:simplePos x="0" y="0"/>
          <wp:positionH relativeFrom="column">
            <wp:posOffset>10795</wp:posOffset>
          </wp:positionH>
          <wp:positionV relativeFrom="paragraph">
            <wp:posOffset>-25400</wp:posOffset>
          </wp:positionV>
          <wp:extent cx="1543050" cy="248285"/>
          <wp:effectExtent l="0" t="0" r="0" b="18415"/>
          <wp:wrapNone/>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
                    <a:grayscl/>
                  </a:blip>
                  <a:srcRect r="10159" b="-2486"/>
                  <a:stretch>
                    <a:fillRect/>
                  </a:stretch>
                </pic:blipFill>
                <pic:spPr>
                  <a:xfrm>
                    <a:off x="0" y="0"/>
                    <a:ext cx="1543050" cy="248285"/>
                  </a:xfrm>
                  <a:prstGeom prst="rect">
                    <a:avLst/>
                  </a:prstGeom>
                  <a:ln w="12700">
                    <a:noFill/>
                  </a:ln>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4AFE2">
    <w:pPr>
      <w:pStyle w:val="18"/>
      <w:jc w:val="right"/>
    </w:pPr>
    <w:r>
      <w:rPr>
        <w:rFonts w:hint="eastAsia"/>
        <w:b/>
        <w:bCs/>
        <w:sz w:val="20"/>
        <w:szCs w:val="24"/>
        <w:lang w:val="en-US"/>
      </w:rPr>
      <w:t>联系电话：0879-2302022</w:t>
    </w:r>
    <w:r>
      <w:rPr>
        <w:rFonts w:hint="eastAsia"/>
        <w:lang w:val="en-US" w:bidi="ar-SA"/>
      </w:rPr>
      <w:drawing>
        <wp:anchor distT="0" distB="0" distL="114300" distR="114300" simplePos="0" relativeHeight="251671552" behindDoc="0" locked="0" layoutInCell="1" allowOverlap="1">
          <wp:simplePos x="0" y="0"/>
          <wp:positionH relativeFrom="column">
            <wp:posOffset>10795</wp:posOffset>
          </wp:positionH>
          <wp:positionV relativeFrom="paragraph">
            <wp:posOffset>-25400</wp:posOffset>
          </wp:positionV>
          <wp:extent cx="1543050" cy="248285"/>
          <wp:effectExtent l="0" t="0" r="0" b="18415"/>
          <wp:wrapNone/>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
                    <a:grayscl/>
                  </a:blip>
                  <a:srcRect r="10159" b="-2486"/>
                  <a:stretch>
                    <a:fillRect/>
                  </a:stretch>
                </pic:blipFill>
                <pic:spPr>
                  <a:xfrm>
                    <a:off x="0" y="0"/>
                    <a:ext cx="1543050" cy="248285"/>
                  </a:xfrm>
                  <a:prstGeom prst="rect">
                    <a:avLst/>
                  </a:prstGeom>
                  <a:ln w="12700">
                    <a:noFill/>
                  </a:ln>
                </pic:spPr>
              </pic:pic>
            </a:graphicData>
          </a:graphic>
        </wp:anchor>
      </w:drawing>
    </w: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A49773">
                          <w:pPr>
                            <w:pStyle w:val="18"/>
                          </w:pPr>
                          <w:r>
                            <w:t xml:space="preserve">第 </w:t>
                          </w:r>
                          <w:r>
                            <w:fldChar w:fldCharType="begin"/>
                          </w:r>
                          <w:r>
                            <w:instrText xml:space="preserve"> PAGE  \* MERGEFORMAT </w:instrText>
                          </w:r>
                          <w:r>
                            <w:fldChar w:fldCharType="separate"/>
                          </w:r>
                          <w:r>
                            <w:t>- 55 -</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75A49773">
                    <w:pPr>
                      <w:pStyle w:val="18"/>
                    </w:pPr>
                    <w:r>
                      <w:t xml:space="preserve">第 </w:t>
                    </w:r>
                    <w:r>
                      <w:fldChar w:fldCharType="begin"/>
                    </w:r>
                    <w:r>
                      <w:instrText xml:space="preserve"> PAGE  \* MERGEFORMAT </w:instrText>
                    </w:r>
                    <w:r>
                      <w:fldChar w:fldCharType="separate"/>
                    </w:r>
                    <w:r>
                      <w:t>- 55 -</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16463">
    <w:pPr>
      <w:pStyle w:val="18"/>
    </w:pPr>
    <w:r>
      <w:rPr>
        <w:rFonts w:hint="eastAsia"/>
        <w:lang w:val="en-US" w:bidi="ar-SA"/>
      </w:rPr>
      <w:drawing>
        <wp:anchor distT="0" distB="0" distL="114300" distR="114300" simplePos="0" relativeHeight="251672576" behindDoc="0" locked="0" layoutInCell="1" allowOverlap="1">
          <wp:simplePos x="0" y="0"/>
          <wp:positionH relativeFrom="column">
            <wp:posOffset>10795</wp:posOffset>
          </wp:positionH>
          <wp:positionV relativeFrom="paragraph">
            <wp:posOffset>-25400</wp:posOffset>
          </wp:positionV>
          <wp:extent cx="1543050" cy="248285"/>
          <wp:effectExtent l="0" t="0" r="0" b="18415"/>
          <wp:wrapNone/>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
                    <a:grayscl/>
                  </a:blip>
                  <a:srcRect r="10159" b="-2486"/>
                  <a:stretch>
                    <a:fillRect/>
                  </a:stretch>
                </pic:blipFill>
                <pic:spPr>
                  <a:xfrm>
                    <a:off x="0" y="0"/>
                    <a:ext cx="1543050" cy="248285"/>
                  </a:xfrm>
                  <a:prstGeom prst="rect">
                    <a:avLst/>
                  </a:prstGeom>
                  <a:ln w="12700">
                    <a:noFill/>
                  </a:ln>
                </pic:spPr>
              </pic:pic>
            </a:graphicData>
          </a:graphic>
        </wp:anchor>
      </w:drawing>
    </w: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E3978D">
                          <w:pPr>
                            <w:pStyle w:val="18"/>
                          </w:pPr>
                          <w:r>
                            <w:t xml:space="preserve">第 </w:t>
                          </w:r>
                          <w:r>
                            <w:fldChar w:fldCharType="begin"/>
                          </w:r>
                          <w:r>
                            <w:instrText xml:space="preserve"> PAGE  \* MERGEFORMAT </w:instrText>
                          </w:r>
                          <w:r>
                            <w:fldChar w:fldCharType="separate"/>
                          </w:r>
                          <w:r>
                            <w:t>- 56 -</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7E3978D">
                    <w:pPr>
                      <w:pStyle w:val="18"/>
                    </w:pPr>
                    <w:r>
                      <w:t xml:space="preserve">第 </w:t>
                    </w:r>
                    <w:r>
                      <w:fldChar w:fldCharType="begin"/>
                    </w:r>
                    <w:r>
                      <w:instrText xml:space="preserve"> PAGE  \* MERGEFORMAT </w:instrText>
                    </w:r>
                    <w:r>
                      <w:fldChar w:fldCharType="separate"/>
                    </w:r>
                    <w:r>
                      <w:t>- 56 -</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D4241">
    <w:pPr>
      <w:pStyle w:val="18"/>
    </w:pPr>
    <w:r>
      <w:rPr>
        <w:rFonts w:hint="eastAsia"/>
        <w:lang w:val="en-US" w:bidi="ar-SA"/>
      </w:rPr>
      <w:drawing>
        <wp:anchor distT="0" distB="0" distL="114300" distR="114300" simplePos="0" relativeHeight="251673600" behindDoc="0" locked="0" layoutInCell="1" allowOverlap="1">
          <wp:simplePos x="0" y="0"/>
          <wp:positionH relativeFrom="column">
            <wp:posOffset>10795</wp:posOffset>
          </wp:positionH>
          <wp:positionV relativeFrom="paragraph">
            <wp:posOffset>-25400</wp:posOffset>
          </wp:positionV>
          <wp:extent cx="1543050" cy="248285"/>
          <wp:effectExtent l="0" t="0" r="0" b="18415"/>
          <wp:wrapNone/>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
                    <a:grayscl/>
                  </a:blip>
                  <a:srcRect r="10159" b="-2486"/>
                  <a:stretch>
                    <a:fillRect/>
                  </a:stretch>
                </pic:blipFill>
                <pic:spPr>
                  <a:xfrm>
                    <a:off x="0" y="0"/>
                    <a:ext cx="1543050" cy="248285"/>
                  </a:xfrm>
                  <a:prstGeom prst="rect">
                    <a:avLst/>
                  </a:prstGeom>
                  <a:ln w="12700">
                    <a:noFill/>
                  </a:ln>
                </pic:spPr>
              </pic:pic>
            </a:graphicData>
          </a:graphic>
        </wp:anchor>
      </w:drawing>
    </w: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36459A">
                          <w:pPr>
                            <w:pStyle w:val="18"/>
                          </w:pPr>
                          <w:r>
                            <w:t xml:space="preserve">第 </w:t>
                          </w:r>
                          <w:r>
                            <w:fldChar w:fldCharType="begin"/>
                          </w:r>
                          <w:r>
                            <w:instrText xml:space="preserve"> PAGE  \* MERGEFORMAT </w:instrText>
                          </w:r>
                          <w:r>
                            <w:fldChar w:fldCharType="separate"/>
                          </w:r>
                          <w:r>
                            <w:t>- 58 -</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1736459A">
                    <w:pPr>
                      <w:pStyle w:val="18"/>
                    </w:pPr>
                    <w:r>
                      <w:t xml:space="preserve">第 </w:t>
                    </w:r>
                    <w:r>
                      <w:fldChar w:fldCharType="begin"/>
                    </w:r>
                    <w:r>
                      <w:instrText xml:space="preserve"> PAGE  \* MERGEFORMAT </w:instrText>
                    </w:r>
                    <w:r>
                      <w:fldChar w:fldCharType="separate"/>
                    </w:r>
                    <w:r>
                      <w:t>- 58 -</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A177">
    <w:pPr>
      <w:pStyle w:val="19"/>
      <w:pBdr>
        <w:bottom w:val="double" w:color="auto" w:sz="8" w:space="1"/>
      </w:pBdr>
      <w:jc w:val="left"/>
      <w:rPr>
        <w:rFonts w:ascii="宋体" w:hAnsi="宋体" w:eastAsia="宋体" w:cs="宋体"/>
      </w:rPr>
    </w:pPr>
    <w:r>
      <w:rPr>
        <w:rFonts w:hint="eastAsia" w:ascii="宋体" w:hAnsi="宋体" w:eastAsia="宋体" w:cs="宋体"/>
        <w:lang w:eastAsia="zh-CN"/>
      </w:rPr>
      <w:t>普洱市医保数据专区建设项目</w:t>
    </w:r>
    <w:r>
      <w:rPr>
        <w:rFonts w:hint="eastAsia" w:ascii="宋体" w:hAnsi="宋体" w:eastAsia="宋体" w:cs="宋体"/>
        <w:lang w:val="en-US"/>
      </w:rPr>
      <w:t xml:space="preserve">                  </w:t>
    </w:r>
    <w:r>
      <w:rPr>
        <w:rFonts w:hint="eastAsia" w:ascii="宋体" w:hAnsi="宋体" w:eastAsia="宋体" w:cs="宋体"/>
        <w:lang w:val="en-US" w:eastAsia="zh-CN"/>
      </w:rPr>
      <w:t xml:space="preserve">                                </w:t>
    </w:r>
    <w:r>
      <w:rPr>
        <w:rFonts w:hint="eastAsia" w:ascii="宋体" w:hAnsi="宋体" w:eastAsia="宋体" w:cs="宋体"/>
        <w:lang w:val="en-US"/>
      </w:rPr>
      <w:t xml:space="preserve">                       </w:t>
    </w:r>
    <w:r>
      <w:rPr>
        <w:rFonts w:hint="eastAsia" w:ascii="宋体" w:hAnsi="宋体" w:eastAsia="宋体" w:cs="宋体"/>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09CE1">
    <w:pPr>
      <w:pStyle w:val="19"/>
      <w:pBdr>
        <w:bottom w:val="double" w:color="auto" w:sz="8" w:space="1"/>
      </w:pBdr>
      <w:jc w:val="left"/>
      <w:rPr>
        <w:rFonts w:ascii="Calibri" w:hAnsi="Calibri"/>
        <w:kern w:val="2"/>
        <w:szCs w:val="18"/>
        <w:lang w:val="en-US"/>
      </w:rPr>
    </w:pPr>
    <w:r>
      <w:rPr>
        <w:rFonts w:hint="eastAsia" w:ascii="宋体" w:hAnsi="宋体" w:eastAsia="宋体" w:cs="宋体"/>
        <w:lang w:eastAsia="zh-CN"/>
      </w:rPr>
      <w:t>普洱市医保数据专区建设项目</w:t>
    </w:r>
    <w:r>
      <w:rPr>
        <w:rFonts w:hint="eastAsia" w:ascii="宋体" w:hAnsi="宋体" w:eastAsia="宋体" w:cs="宋体"/>
        <w:lang w:val="en-US"/>
      </w:rPr>
      <w:t xml:space="preserve">                                         </w:t>
    </w:r>
    <w:r>
      <w:rPr>
        <w:rFonts w:hint="eastAsia" w:ascii="宋体" w:hAnsi="宋体" w:eastAsia="宋体" w:cs="宋体"/>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470C3">
    <w:pPr>
      <w:pStyle w:val="19"/>
      <w:pBdr>
        <w:bottom w:val="double" w:color="auto" w:sz="8" w:space="1"/>
      </w:pBdr>
      <w:jc w:val="left"/>
    </w:pPr>
    <w:r>
      <w:rPr>
        <w:rFonts w:hint="eastAsia" w:ascii="宋体" w:hAnsi="宋体" w:eastAsia="宋体" w:cs="宋体"/>
        <w:lang w:eastAsia="zh-CN"/>
      </w:rPr>
      <w:t>普洱市医保数据专区建设项目</w:t>
    </w:r>
    <w:r>
      <w:rPr>
        <w:rFonts w:hint="eastAsia" w:ascii="宋体" w:hAnsi="宋体" w:eastAsia="宋体" w:cs="宋体"/>
        <w:lang w:val="en-US"/>
      </w:rPr>
      <w:t xml:space="preserve">                            </w:t>
    </w:r>
    <w:r>
      <w:rPr>
        <w:rFonts w:hint="eastAsia" w:ascii="宋体" w:hAnsi="宋体" w:eastAsia="宋体" w:cs="宋体"/>
        <w:lang w:val="en-US" w:eastAsia="zh-CN"/>
      </w:rPr>
      <w:t xml:space="preserve">                                </w:t>
    </w:r>
    <w:r>
      <w:rPr>
        <w:rFonts w:hint="eastAsia" w:ascii="宋体" w:hAnsi="宋体" w:eastAsia="宋体" w:cs="宋体"/>
        <w:lang w:val="en-US"/>
      </w:rPr>
      <w:t xml:space="preserve">             </w:t>
    </w:r>
    <w:r>
      <w:rPr>
        <w:rFonts w:hint="eastAsia" w:ascii="宋体" w:hAnsi="宋体" w:eastAsia="宋体" w:cs="宋体"/>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8255D"/>
    <w:multiLevelType w:val="singleLevel"/>
    <w:tmpl w:val="9498255D"/>
    <w:lvl w:ilvl="0" w:tentative="0">
      <w:start w:val="1"/>
      <w:numFmt w:val="chineseCounting"/>
      <w:lvlText w:val="第%1章"/>
      <w:lvlJc w:val="left"/>
      <w:rPr>
        <w:rFonts w:hint="eastAsia"/>
      </w:rPr>
    </w:lvl>
  </w:abstractNum>
  <w:abstractNum w:abstractNumId="1">
    <w:nsid w:val="CD2F6C8B"/>
    <w:multiLevelType w:val="singleLevel"/>
    <w:tmpl w:val="CD2F6C8B"/>
    <w:lvl w:ilvl="0" w:tentative="0">
      <w:start w:val="1"/>
      <w:numFmt w:val="decimal"/>
      <w:suff w:val="nothing"/>
      <w:lvlText w:val="%1、"/>
      <w:lvlJc w:val="left"/>
    </w:lvl>
  </w:abstractNum>
  <w:abstractNum w:abstractNumId="2">
    <w:nsid w:val="0315620E"/>
    <w:multiLevelType w:val="multilevel"/>
    <w:tmpl w:val="0315620E"/>
    <w:lvl w:ilvl="0" w:tentative="0">
      <w:start w:val="1"/>
      <w:numFmt w:val="decimal"/>
      <w:lvlText w:val="%1"/>
      <w:lvlJc w:val="left"/>
      <w:pPr>
        <w:tabs>
          <w:tab w:val="left" w:pos="928"/>
        </w:tabs>
        <w:ind w:left="852" w:hanging="284"/>
      </w:pPr>
      <w:rPr>
        <w:rFonts w:hint="default" w:ascii="Times New Roman" w:hAnsi="Times New Roman"/>
        <w:b/>
        <w:i w:val="0"/>
        <w:sz w:val="28"/>
      </w:rPr>
    </w:lvl>
    <w:lvl w:ilvl="1" w:tentative="0">
      <w:start w:val="1"/>
      <w:numFmt w:val="decimal"/>
      <w:lvlText w:val="%1.%2"/>
      <w:lvlJc w:val="left"/>
      <w:pPr>
        <w:tabs>
          <w:tab w:val="left" w:pos="1589"/>
        </w:tabs>
        <w:ind w:left="1589" w:hanging="596"/>
      </w:pPr>
      <w:rPr>
        <w:rFonts w:hint="default" w:ascii="Times New Roman" w:hAnsi="Times New Roman"/>
        <w:b/>
        <w:i w:val="0"/>
        <w:sz w:val="28"/>
      </w:rPr>
    </w:lvl>
    <w:lvl w:ilvl="2" w:tentative="0">
      <w:start w:val="1"/>
      <w:numFmt w:val="decimal"/>
      <w:lvlText w:val="%1.%2.%3"/>
      <w:lvlJc w:val="left"/>
      <w:pPr>
        <w:tabs>
          <w:tab w:val="left" w:pos="2156"/>
        </w:tabs>
        <w:ind w:left="2156" w:hanging="737"/>
      </w:pPr>
      <w:rPr>
        <w:rFonts w:hint="default" w:ascii="Times New Roman" w:hAnsi="Times New Roman"/>
        <w:b/>
        <w:i w:val="0"/>
        <w:sz w:val="24"/>
      </w:rPr>
    </w:lvl>
    <w:lvl w:ilvl="3" w:tentative="0">
      <w:start w:val="1"/>
      <w:numFmt w:val="decimal"/>
      <w:pStyle w:val="2"/>
      <w:lvlText w:val="%1.%2.%3.%4"/>
      <w:lvlJc w:val="left"/>
      <w:pPr>
        <w:tabs>
          <w:tab w:val="left" w:pos="2723"/>
        </w:tabs>
        <w:ind w:left="2723" w:hanging="1078"/>
      </w:pPr>
      <w:rPr>
        <w:rFonts w:hint="default" w:ascii="Arial" w:hAnsi="Arial"/>
        <w:b w:val="0"/>
        <w:i w:val="0"/>
        <w:sz w:val="24"/>
      </w:rPr>
    </w:lvl>
    <w:lvl w:ilvl="4" w:tentative="0">
      <w:start w:val="1"/>
      <w:numFmt w:val="decimal"/>
      <w:lvlText w:val="%1.%2.%3.%4.%5"/>
      <w:lvlJc w:val="left"/>
      <w:pPr>
        <w:tabs>
          <w:tab w:val="left" w:pos="3709"/>
        </w:tabs>
        <w:ind w:left="3119" w:hanging="850"/>
      </w:pPr>
      <w:rPr>
        <w:rFonts w:hint="eastAsia"/>
      </w:rPr>
    </w:lvl>
    <w:lvl w:ilvl="5" w:tentative="0">
      <w:start w:val="1"/>
      <w:numFmt w:val="decimal"/>
      <w:lvlText w:val="%1.%2.%3.%4.%5.%6"/>
      <w:lvlJc w:val="left"/>
      <w:pPr>
        <w:tabs>
          <w:tab w:val="left" w:pos="4134"/>
        </w:tabs>
        <w:ind w:left="3828" w:hanging="1134"/>
      </w:pPr>
      <w:rPr>
        <w:rFonts w:hint="eastAsia"/>
      </w:rPr>
    </w:lvl>
    <w:lvl w:ilvl="6" w:tentative="0">
      <w:start w:val="1"/>
      <w:numFmt w:val="decimal"/>
      <w:lvlText w:val="%1.%2.%3.%4.%5.%6.%7"/>
      <w:lvlJc w:val="left"/>
      <w:pPr>
        <w:tabs>
          <w:tab w:val="left" w:pos="4919"/>
        </w:tabs>
        <w:ind w:left="4395" w:hanging="1276"/>
      </w:pPr>
      <w:rPr>
        <w:rFonts w:hint="eastAsia"/>
      </w:rPr>
    </w:lvl>
    <w:lvl w:ilvl="7" w:tentative="0">
      <w:start w:val="1"/>
      <w:numFmt w:val="decimal"/>
      <w:lvlText w:val="%1.%2.%3.%4.%5.%6.%7.%8"/>
      <w:lvlJc w:val="left"/>
      <w:pPr>
        <w:tabs>
          <w:tab w:val="left" w:pos="5704"/>
        </w:tabs>
        <w:ind w:left="4962" w:hanging="1418"/>
      </w:pPr>
      <w:rPr>
        <w:rFonts w:hint="eastAsia"/>
      </w:rPr>
    </w:lvl>
    <w:lvl w:ilvl="8" w:tentative="0">
      <w:start w:val="1"/>
      <w:numFmt w:val="decimal"/>
      <w:lvlText w:val="%1.%2.%3.%4.%5.%6.%7.%8.%9"/>
      <w:lvlJc w:val="left"/>
      <w:pPr>
        <w:tabs>
          <w:tab w:val="left" w:pos="6130"/>
        </w:tabs>
        <w:ind w:left="5670" w:hanging="1700"/>
      </w:pPr>
      <w:rPr>
        <w:rFonts w:hint="eastAsia"/>
      </w:rPr>
    </w:lvl>
  </w:abstractNum>
  <w:abstractNum w:abstractNumId="3">
    <w:nsid w:val="6FE7BB17"/>
    <w:multiLevelType w:val="singleLevel"/>
    <w:tmpl w:val="6FE7BB17"/>
    <w:lvl w:ilvl="0" w:tentative="0">
      <w:start w:val="3"/>
      <w:numFmt w:val="chineseCounting"/>
      <w:suff w:val="space"/>
      <w:lvlText w:val="第%1章"/>
      <w:lvlJc w:val="left"/>
      <w:pPr>
        <w:ind w:left="-133"/>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OWJlYmM5NTczY2MzZTNjMTdjOGQyMjE3ZThhNjEifQ=="/>
  </w:docVars>
  <w:rsids>
    <w:rsidRoot w:val="30F13498"/>
    <w:rsid w:val="0008141C"/>
    <w:rsid w:val="000B798E"/>
    <w:rsid w:val="000C27F0"/>
    <w:rsid w:val="000D4CE8"/>
    <w:rsid w:val="000E222A"/>
    <w:rsid w:val="000E2FF8"/>
    <w:rsid w:val="000E39D9"/>
    <w:rsid w:val="000E3B08"/>
    <w:rsid w:val="00101AE9"/>
    <w:rsid w:val="00122398"/>
    <w:rsid w:val="00125861"/>
    <w:rsid w:val="00136D23"/>
    <w:rsid w:val="0014253B"/>
    <w:rsid w:val="001B7372"/>
    <w:rsid w:val="00264E69"/>
    <w:rsid w:val="0026740F"/>
    <w:rsid w:val="002854F7"/>
    <w:rsid w:val="002A155C"/>
    <w:rsid w:val="002A1C0A"/>
    <w:rsid w:val="00316C86"/>
    <w:rsid w:val="0036428D"/>
    <w:rsid w:val="003A417A"/>
    <w:rsid w:val="003C6954"/>
    <w:rsid w:val="003D2F23"/>
    <w:rsid w:val="003F5BE1"/>
    <w:rsid w:val="004B0529"/>
    <w:rsid w:val="004B450A"/>
    <w:rsid w:val="005232CE"/>
    <w:rsid w:val="00542CA1"/>
    <w:rsid w:val="00557CA6"/>
    <w:rsid w:val="005838DC"/>
    <w:rsid w:val="00587A88"/>
    <w:rsid w:val="005A319F"/>
    <w:rsid w:val="005C381C"/>
    <w:rsid w:val="005D2854"/>
    <w:rsid w:val="00631814"/>
    <w:rsid w:val="00631F68"/>
    <w:rsid w:val="00645CB4"/>
    <w:rsid w:val="007013AB"/>
    <w:rsid w:val="00730C2C"/>
    <w:rsid w:val="00731990"/>
    <w:rsid w:val="00747B85"/>
    <w:rsid w:val="00851150"/>
    <w:rsid w:val="008A0699"/>
    <w:rsid w:val="008B07D0"/>
    <w:rsid w:val="008C5F00"/>
    <w:rsid w:val="0090607C"/>
    <w:rsid w:val="009254EC"/>
    <w:rsid w:val="00990C09"/>
    <w:rsid w:val="009C0234"/>
    <w:rsid w:val="009E70F5"/>
    <w:rsid w:val="00A46D5C"/>
    <w:rsid w:val="00A571AD"/>
    <w:rsid w:val="00A75ED6"/>
    <w:rsid w:val="00A87F44"/>
    <w:rsid w:val="00B76509"/>
    <w:rsid w:val="00C05026"/>
    <w:rsid w:val="00C064BD"/>
    <w:rsid w:val="00C40D45"/>
    <w:rsid w:val="00C500F2"/>
    <w:rsid w:val="00C9363C"/>
    <w:rsid w:val="00CA4183"/>
    <w:rsid w:val="00CA613C"/>
    <w:rsid w:val="00CC1FC8"/>
    <w:rsid w:val="00CF6881"/>
    <w:rsid w:val="00D0512F"/>
    <w:rsid w:val="00D53AE6"/>
    <w:rsid w:val="00D5688F"/>
    <w:rsid w:val="00DC48A2"/>
    <w:rsid w:val="00E15623"/>
    <w:rsid w:val="00E32C3D"/>
    <w:rsid w:val="00E532CE"/>
    <w:rsid w:val="00E85078"/>
    <w:rsid w:val="00EB443B"/>
    <w:rsid w:val="00ED1E2A"/>
    <w:rsid w:val="00F17BC8"/>
    <w:rsid w:val="00F323F7"/>
    <w:rsid w:val="00F40FD8"/>
    <w:rsid w:val="00F73C7A"/>
    <w:rsid w:val="00F75B77"/>
    <w:rsid w:val="00F85B4F"/>
    <w:rsid w:val="00F907CF"/>
    <w:rsid w:val="00FB38C4"/>
    <w:rsid w:val="00FC791D"/>
    <w:rsid w:val="00FF0251"/>
    <w:rsid w:val="01207B0A"/>
    <w:rsid w:val="01502034"/>
    <w:rsid w:val="0159126E"/>
    <w:rsid w:val="01A462C2"/>
    <w:rsid w:val="01AF2E41"/>
    <w:rsid w:val="01CB1796"/>
    <w:rsid w:val="01F0101A"/>
    <w:rsid w:val="01F831E8"/>
    <w:rsid w:val="01F86CD9"/>
    <w:rsid w:val="0200793B"/>
    <w:rsid w:val="020E3E06"/>
    <w:rsid w:val="02117D9A"/>
    <w:rsid w:val="021C7819"/>
    <w:rsid w:val="02290C40"/>
    <w:rsid w:val="02344825"/>
    <w:rsid w:val="023D0B8F"/>
    <w:rsid w:val="02415F3A"/>
    <w:rsid w:val="02443CCC"/>
    <w:rsid w:val="028A385C"/>
    <w:rsid w:val="028D5850"/>
    <w:rsid w:val="0290639A"/>
    <w:rsid w:val="02940520"/>
    <w:rsid w:val="02B726F0"/>
    <w:rsid w:val="02BA743D"/>
    <w:rsid w:val="02BF3353"/>
    <w:rsid w:val="02C445F5"/>
    <w:rsid w:val="02E1227F"/>
    <w:rsid w:val="02E54EA2"/>
    <w:rsid w:val="02EB2D48"/>
    <w:rsid w:val="02EE2DDF"/>
    <w:rsid w:val="02FB7FA3"/>
    <w:rsid w:val="031B2C7F"/>
    <w:rsid w:val="032D650E"/>
    <w:rsid w:val="03326F08"/>
    <w:rsid w:val="0337738D"/>
    <w:rsid w:val="0360556D"/>
    <w:rsid w:val="036D2455"/>
    <w:rsid w:val="03764359"/>
    <w:rsid w:val="03792EDF"/>
    <w:rsid w:val="037B2C03"/>
    <w:rsid w:val="03AF1619"/>
    <w:rsid w:val="03B10EED"/>
    <w:rsid w:val="03B11F6A"/>
    <w:rsid w:val="03B64756"/>
    <w:rsid w:val="03B92498"/>
    <w:rsid w:val="03DE3CAC"/>
    <w:rsid w:val="03DE5A5A"/>
    <w:rsid w:val="03E219EE"/>
    <w:rsid w:val="03E7444B"/>
    <w:rsid w:val="03FF434E"/>
    <w:rsid w:val="042007FF"/>
    <w:rsid w:val="04284D32"/>
    <w:rsid w:val="043A221A"/>
    <w:rsid w:val="043B6BC3"/>
    <w:rsid w:val="046643CE"/>
    <w:rsid w:val="0486237A"/>
    <w:rsid w:val="04966335"/>
    <w:rsid w:val="04AC5B58"/>
    <w:rsid w:val="04C410F4"/>
    <w:rsid w:val="04D23811"/>
    <w:rsid w:val="04DC643E"/>
    <w:rsid w:val="05361879"/>
    <w:rsid w:val="053F69CD"/>
    <w:rsid w:val="05412745"/>
    <w:rsid w:val="0545320E"/>
    <w:rsid w:val="056132C5"/>
    <w:rsid w:val="05614B95"/>
    <w:rsid w:val="056B1570"/>
    <w:rsid w:val="058C61CE"/>
    <w:rsid w:val="05932CAD"/>
    <w:rsid w:val="05A51887"/>
    <w:rsid w:val="05AD1B88"/>
    <w:rsid w:val="05B13426"/>
    <w:rsid w:val="05BB6053"/>
    <w:rsid w:val="05C07B0D"/>
    <w:rsid w:val="05FA69FC"/>
    <w:rsid w:val="05FE23E4"/>
    <w:rsid w:val="063E0A32"/>
    <w:rsid w:val="064424ED"/>
    <w:rsid w:val="06505A75"/>
    <w:rsid w:val="0669327F"/>
    <w:rsid w:val="066E56EB"/>
    <w:rsid w:val="06715AC6"/>
    <w:rsid w:val="06935222"/>
    <w:rsid w:val="0694595D"/>
    <w:rsid w:val="069D39AB"/>
    <w:rsid w:val="06B156A8"/>
    <w:rsid w:val="06CD79BD"/>
    <w:rsid w:val="06D45439"/>
    <w:rsid w:val="06F653D7"/>
    <w:rsid w:val="070D0803"/>
    <w:rsid w:val="071E0F8F"/>
    <w:rsid w:val="07247C28"/>
    <w:rsid w:val="072D3687"/>
    <w:rsid w:val="0754675F"/>
    <w:rsid w:val="075B5D40"/>
    <w:rsid w:val="07697D31"/>
    <w:rsid w:val="077C00DD"/>
    <w:rsid w:val="07982206"/>
    <w:rsid w:val="07B74F40"/>
    <w:rsid w:val="07C35693"/>
    <w:rsid w:val="07CF4038"/>
    <w:rsid w:val="07E8334B"/>
    <w:rsid w:val="08273E74"/>
    <w:rsid w:val="083D3697"/>
    <w:rsid w:val="083D71F3"/>
    <w:rsid w:val="084C44FB"/>
    <w:rsid w:val="085B3405"/>
    <w:rsid w:val="08613D03"/>
    <w:rsid w:val="0895702F"/>
    <w:rsid w:val="089E3A0A"/>
    <w:rsid w:val="08A83193"/>
    <w:rsid w:val="08BE04FA"/>
    <w:rsid w:val="08D726B2"/>
    <w:rsid w:val="090010DC"/>
    <w:rsid w:val="09205CFF"/>
    <w:rsid w:val="09306D58"/>
    <w:rsid w:val="09412D13"/>
    <w:rsid w:val="09412F8F"/>
    <w:rsid w:val="09582CC3"/>
    <w:rsid w:val="095A30A9"/>
    <w:rsid w:val="097067D3"/>
    <w:rsid w:val="09BB6C68"/>
    <w:rsid w:val="09F67FE5"/>
    <w:rsid w:val="0A12645E"/>
    <w:rsid w:val="0A256191"/>
    <w:rsid w:val="0A2F7010"/>
    <w:rsid w:val="0A374116"/>
    <w:rsid w:val="0A6F1F98"/>
    <w:rsid w:val="0A7464E2"/>
    <w:rsid w:val="0AC57B9E"/>
    <w:rsid w:val="0AE13FEF"/>
    <w:rsid w:val="0AEC2A51"/>
    <w:rsid w:val="0B0C10FF"/>
    <w:rsid w:val="0B0F299D"/>
    <w:rsid w:val="0B3E3044"/>
    <w:rsid w:val="0B50394C"/>
    <w:rsid w:val="0B52270F"/>
    <w:rsid w:val="0B595CCC"/>
    <w:rsid w:val="0B6158EF"/>
    <w:rsid w:val="0B9F1F73"/>
    <w:rsid w:val="0B9F3D21"/>
    <w:rsid w:val="0BA15CEB"/>
    <w:rsid w:val="0BE8391A"/>
    <w:rsid w:val="0BF26547"/>
    <w:rsid w:val="0C060244"/>
    <w:rsid w:val="0C157E50"/>
    <w:rsid w:val="0C1D4D8D"/>
    <w:rsid w:val="0C6E292A"/>
    <w:rsid w:val="0C985340"/>
    <w:rsid w:val="0CD81BE1"/>
    <w:rsid w:val="0CE752B4"/>
    <w:rsid w:val="0CF167FE"/>
    <w:rsid w:val="0D047579"/>
    <w:rsid w:val="0D2A47AA"/>
    <w:rsid w:val="0D42705A"/>
    <w:rsid w:val="0D6C5618"/>
    <w:rsid w:val="0D6E42F3"/>
    <w:rsid w:val="0D894C89"/>
    <w:rsid w:val="0DA17E16"/>
    <w:rsid w:val="0DFE1F35"/>
    <w:rsid w:val="0E1704E7"/>
    <w:rsid w:val="0E1F739B"/>
    <w:rsid w:val="0E2B334C"/>
    <w:rsid w:val="0E3E1F17"/>
    <w:rsid w:val="0E3F3599"/>
    <w:rsid w:val="0E5E7EC3"/>
    <w:rsid w:val="0E8548DB"/>
    <w:rsid w:val="0E9F2BD1"/>
    <w:rsid w:val="0EBC4206"/>
    <w:rsid w:val="0EC50BC0"/>
    <w:rsid w:val="0ECF2B6F"/>
    <w:rsid w:val="0EEF3EB1"/>
    <w:rsid w:val="0F360E40"/>
    <w:rsid w:val="0F4A5329"/>
    <w:rsid w:val="0F7B1786"/>
    <w:rsid w:val="0F86406A"/>
    <w:rsid w:val="0FA21A66"/>
    <w:rsid w:val="0FD81622"/>
    <w:rsid w:val="10057B28"/>
    <w:rsid w:val="1043306C"/>
    <w:rsid w:val="10455D10"/>
    <w:rsid w:val="1053332C"/>
    <w:rsid w:val="106578D7"/>
    <w:rsid w:val="1081433D"/>
    <w:rsid w:val="10842309"/>
    <w:rsid w:val="10946AD2"/>
    <w:rsid w:val="10993435"/>
    <w:rsid w:val="10A83678"/>
    <w:rsid w:val="10D601E5"/>
    <w:rsid w:val="10DC6144"/>
    <w:rsid w:val="10FC2B06"/>
    <w:rsid w:val="110B4996"/>
    <w:rsid w:val="11270A41"/>
    <w:rsid w:val="112A0531"/>
    <w:rsid w:val="11301FEB"/>
    <w:rsid w:val="11360D37"/>
    <w:rsid w:val="117A14B8"/>
    <w:rsid w:val="117C5DB9"/>
    <w:rsid w:val="117D2D2B"/>
    <w:rsid w:val="119105B0"/>
    <w:rsid w:val="11996CE5"/>
    <w:rsid w:val="11C101AE"/>
    <w:rsid w:val="11C50198"/>
    <w:rsid w:val="11DA772E"/>
    <w:rsid w:val="11DC5CCF"/>
    <w:rsid w:val="11DF131B"/>
    <w:rsid w:val="11F34DC7"/>
    <w:rsid w:val="12062D4C"/>
    <w:rsid w:val="120945EA"/>
    <w:rsid w:val="120D52C6"/>
    <w:rsid w:val="12143DA6"/>
    <w:rsid w:val="121527D9"/>
    <w:rsid w:val="12332314"/>
    <w:rsid w:val="12467C52"/>
    <w:rsid w:val="12505D75"/>
    <w:rsid w:val="12630DB6"/>
    <w:rsid w:val="12837BED"/>
    <w:rsid w:val="129211D8"/>
    <w:rsid w:val="12927B02"/>
    <w:rsid w:val="12932417"/>
    <w:rsid w:val="12A32349"/>
    <w:rsid w:val="12B10BEC"/>
    <w:rsid w:val="12B66520"/>
    <w:rsid w:val="12E0534B"/>
    <w:rsid w:val="12E553E9"/>
    <w:rsid w:val="12EA001E"/>
    <w:rsid w:val="12F671D7"/>
    <w:rsid w:val="13051255"/>
    <w:rsid w:val="13141499"/>
    <w:rsid w:val="13286CF2"/>
    <w:rsid w:val="133D454B"/>
    <w:rsid w:val="13630062"/>
    <w:rsid w:val="137F5EF2"/>
    <w:rsid w:val="1384217A"/>
    <w:rsid w:val="13873A19"/>
    <w:rsid w:val="139029BB"/>
    <w:rsid w:val="139E79A1"/>
    <w:rsid w:val="13AB3BAB"/>
    <w:rsid w:val="13AC35F0"/>
    <w:rsid w:val="13C20EF5"/>
    <w:rsid w:val="13CC5E5A"/>
    <w:rsid w:val="13D33DAB"/>
    <w:rsid w:val="142C5ECA"/>
    <w:rsid w:val="14313FF0"/>
    <w:rsid w:val="1444190A"/>
    <w:rsid w:val="144A32A9"/>
    <w:rsid w:val="144B2C98"/>
    <w:rsid w:val="144B7904"/>
    <w:rsid w:val="145F04F1"/>
    <w:rsid w:val="145F4995"/>
    <w:rsid w:val="147F0B94"/>
    <w:rsid w:val="14853EC4"/>
    <w:rsid w:val="149F2C3E"/>
    <w:rsid w:val="14A30D26"/>
    <w:rsid w:val="14BF71E2"/>
    <w:rsid w:val="14D013EF"/>
    <w:rsid w:val="14FC7705"/>
    <w:rsid w:val="14FD1F9C"/>
    <w:rsid w:val="15107A3E"/>
    <w:rsid w:val="153B2D0D"/>
    <w:rsid w:val="153C0833"/>
    <w:rsid w:val="154366FC"/>
    <w:rsid w:val="15842905"/>
    <w:rsid w:val="159E329B"/>
    <w:rsid w:val="15A06AEA"/>
    <w:rsid w:val="15AC3C0A"/>
    <w:rsid w:val="15C471A6"/>
    <w:rsid w:val="16023A61"/>
    <w:rsid w:val="16066CA6"/>
    <w:rsid w:val="162B0B1E"/>
    <w:rsid w:val="163C6D3C"/>
    <w:rsid w:val="164200CB"/>
    <w:rsid w:val="164E6403"/>
    <w:rsid w:val="166149F5"/>
    <w:rsid w:val="16970417"/>
    <w:rsid w:val="169C3C7F"/>
    <w:rsid w:val="16A11295"/>
    <w:rsid w:val="16B41D43"/>
    <w:rsid w:val="16BE3959"/>
    <w:rsid w:val="16E01DBD"/>
    <w:rsid w:val="16E1759A"/>
    <w:rsid w:val="17210DBE"/>
    <w:rsid w:val="17233A58"/>
    <w:rsid w:val="17263716"/>
    <w:rsid w:val="176A51F7"/>
    <w:rsid w:val="178169D1"/>
    <w:rsid w:val="17A0779F"/>
    <w:rsid w:val="17BB0135"/>
    <w:rsid w:val="17C70888"/>
    <w:rsid w:val="17CE0748"/>
    <w:rsid w:val="17CF21B6"/>
    <w:rsid w:val="17E72CD8"/>
    <w:rsid w:val="17EA0A1A"/>
    <w:rsid w:val="18057602"/>
    <w:rsid w:val="180E4708"/>
    <w:rsid w:val="181F06C4"/>
    <w:rsid w:val="18371EB1"/>
    <w:rsid w:val="18383B5B"/>
    <w:rsid w:val="18694035"/>
    <w:rsid w:val="1874494D"/>
    <w:rsid w:val="187B21C5"/>
    <w:rsid w:val="188624F1"/>
    <w:rsid w:val="18912A5B"/>
    <w:rsid w:val="18A23AA9"/>
    <w:rsid w:val="18A64941"/>
    <w:rsid w:val="18B34B7F"/>
    <w:rsid w:val="18BB55FD"/>
    <w:rsid w:val="18D70986"/>
    <w:rsid w:val="18E80CA3"/>
    <w:rsid w:val="19137AFC"/>
    <w:rsid w:val="19241875"/>
    <w:rsid w:val="19544599"/>
    <w:rsid w:val="195720DF"/>
    <w:rsid w:val="196C5B8A"/>
    <w:rsid w:val="19967278"/>
    <w:rsid w:val="19B17A41"/>
    <w:rsid w:val="19B60BB4"/>
    <w:rsid w:val="19C21C4E"/>
    <w:rsid w:val="19CD1908"/>
    <w:rsid w:val="19D159ED"/>
    <w:rsid w:val="19D454DE"/>
    <w:rsid w:val="19D674A8"/>
    <w:rsid w:val="1A077661"/>
    <w:rsid w:val="1A27385F"/>
    <w:rsid w:val="1A295829"/>
    <w:rsid w:val="1A347DD3"/>
    <w:rsid w:val="1A66082C"/>
    <w:rsid w:val="1A6677EF"/>
    <w:rsid w:val="1A7F369B"/>
    <w:rsid w:val="1A8D5817"/>
    <w:rsid w:val="1A973BD2"/>
    <w:rsid w:val="1AB708E9"/>
    <w:rsid w:val="1AB93A45"/>
    <w:rsid w:val="1AC1332D"/>
    <w:rsid w:val="1AC13CB4"/>
    <w:rsid w:val="1AC440B6"/>
    <w:rsid w:val="1ACE3EF4"/>
    <w:rsid w:val="1AEC6857"/>
    <w:rsid w:val="1AF5570C"/>
    <w:rsid w:val="1B1F3055"/>
    <w:rsid w:val="1B2E0C1E"/>
    <w:rsid w:val="1B42017F"/>
    <w:rsid w:val="1B423DEB"/>
    <w:rsid w:val="1B527002"/>
    <w:rsid w:val="1B5763C6"/>
    <w:rsid w:val="1B7E7DF7"/>
    <w:rsid w:val="1B943177"/>
    <w:rsid w:val="1B9E3FF5"/>
    <w:rsid w:val="1BA01B1B"/>
    <w:rsid w:val="1BC872C4"/>
    <w:rsid w:val="1BCC553F"/>
    <w:rsid w:val="1BCF2401"/>
    <w:rsid w:val="1BDE2644"/>
    <w:rsid w:val="1BF91A76"/>
    <w:rsid w:val="1C1872F0"/>
    <w:rsid w:val="1C3404B6"/>
    <w:rsid w:val="1C3861F8"/>
    <w:rsid w:val="1C576B97"/>
    <w:rsid w:val="1C6E31FF"/>
    <w:rsid w:val="1C8431EB"/>
    <w:rsid w:val="1C856F63"/>
    <w:rsid w:val="1CCE1885"/>
    <w:rsid w:val="1CDC7121"/>
    <w:rsid w:val="1CEE66D7"/>
    <w:rsid w:val="1CF842F2"/>
    <w:rsid w:val="1D204952"/>
    <w:rsid w:val="1D4330A6"/>
    <w:rsid w:val="1D44297A"/>
    <w:rsid w:val="1D4A4435"/>
    <w:rsid w:val="1D5B109D"/>
    <w:rsid w:val="1D5E3A3C"/>
    <w:rsid w:val="1D5E6D94"/>
    <w:rsid w:val="1D6372A4"/>
    <w:rsid w:val="1D646B79"/>
    <w:rsid w:val="1D7141FA"/>
    <w:rsid w:val="1DBB3379"/>
    <w:rsid w:val="1DE95F1B"/>
    <w:rsid w:val="1E1862E1"/>
    <w:rsid w:val="1E214A6A"/>
    <w:rsid w:val="1E266DB9"/>
    <w:rsid w:val="1E5170FD"/>
    <w:rsid w:val="1E544E3F"/>
    <w:rsid w:val="1E6037E4"/>
    <w:rsid w:val="1E672DC4"/>
    <w:rsid w:val="1E6E59FD"/>
    <w:rsid w:val="1E721445"/>
    <w:rsid w:val="1E7B7CE6"/>
    <w:rsid w:val="1EB411E3"/>
    <w:rsid w:val="1EBC3110"/>
    <w:rsid w:val="1EDC730E"/>
    <w:rsid w:val="1EE512C1"/>
    <w:rsid w:val="1EF108E0"/>
    <w:rsid w:val="1F0333E6"/>
    <w:rsid w:val="1F093E7B"/>
    <w:rsid w:val="1F274302"/>
    <w:rsid w:val="1F464788"/>
    <w:rsid w:val="1F4B42D0"/>
    <w:rsid w:val="1F5F584A"/>
    <w:rsid w:val="1F941A0F"/>
    <w:rsid w:val="1FA30C88"/>
    <w:rsid w:val="1FB42039"/>
    <w:rsid w:val="1FB461B0"/>
    <w:rsid w:val="1FC571D9"/>
    <w:rsid w:val="1FC87893"/>
    <w:rsid w:val="1FDE13BB"/>
    <w:rsid w:val="1FEA7809"/>
    <w:rsid w:val="1FF75B04"/>
    <w:rsid w:val="201D4BCC"/>
    <w:rsid w:val="20473132"/>
    <w:rsid w:val="20516BD2"/>
    <w:rsid w:val="20546BA6"/>
    <w:rsid w:val="207F2647"/>
    <w:rsid w:val="2095099D"/>
    <w:rsid w:val="209634ED"/>
    <w:rsid w:val="20AC4ABE"/>
    <w:rsid w:val="20B47E17"/>
    <w:rsid w:val="20C767C3"/>
    <w:rsid w:val="20D14525"/>
    <w:rsid w:val="20DB35F6"/>
    <w:rsid w:val="20DD55C0"/>
    <w:rsid w:val="20DE6C42"/>
    <w:rsid w:val="2113623D"/>
    <w:rsid w:val="213827F6"/>
    <w:rsid w:val="213D1FAB"/>
    <w:rsid w:val="214174DD"/>
    <w:rsid w:val="214747E7"/>
    <w:rsid w:val="21496E6C"/>
    <w:rsid w:val="21505D92"/>
    <w:rsid w:val="217557F8"/>
    <w:rsid w:val="2181015B"/>
    <w:rsid w:val="21A87B04"/>
    <w:rsid w:val="21AC5078"/>
    <w:rsid w:val="21CB39E4"/>
    <w:rsid w:val="21FC7BF9"/>
    <w:rsid w:val="220D2C4E"/>
    <w:rsid w:val="222D1C2F"/>
    <w:rsid w:val="224A0C1A"/>
    <w:rsid w:val="22525B39"/>
    <w:rsid w:val="225D0766"/>
    <w:rsid w:val="22745AB0"/>
    <w:rsid w:val="228C2DF9"/>
    <w:rsid w:val="228D0920"/>
    <w:rsid w:val="22A85759"/>
    <w:rsid w:val="22DA5E82"/>
    <w:rsid w:val="22DD02A0"/>
    <w:rsid w:val="22E70030"/>
    <w:rsid w:val="22F83FEB"/>
    <w:rsid w:val="230639FB"/>
    <w:rsid w:val="2309269C"/>
    <w:rsid w:val="23203542"/>
    <w:rsid w:val="23305E7B"/>
    <w:rsid w:val="23405B2C"/>
    <w:rsid w:val="2357071D"/>
    <w:rsid w:val="235A63D9"/>
    <w:rsid w:val="235D4796"/>
    <w:rsid w:val="23923F53"/>
    <w:rsid w:val="2393640A"/>
    <w:rsid w:val="23A12D42"/>
    <w:rsid w:val="23AD6B8C"/>
    <w:rsid w:val="23B25C80"/>
    <w:rsid w:val="23DA1943"/>
    <w:rsid w:val="23FA1FE5"/>
    <w:rsid w:val="24253506"/>
    <w:rsid w:val="24286B52"/>
    <w:rsid w:val="2444040C"/>
    <w:rsid w:val="24455956"/>
    <w:rsid w:val="2463402E"/>
    <w:rsid w:val="247022A7"/>
    <w:rsid w:val="24942439"/>
    <w:rsid w:val="24AD00AC"/>
    <w:rsid w:val="24AF2DCF"/>
    <w:rsid w:val="24D42219"/>
    <w:rsid w:val="25184E18"/>
    <w:rsid w:val="25315EDA"/>
    <w:rsid w:val="253F4153"/>
    <w:rsid w:val="25453733"/>
    <w:rsid w:val="254539C5"/>
    <w:rsid w:val="25460B6C"/>
    <w:rsid w:val="25516352"/>
    <w:rsid w:val="25643BBA"/>
    <w:rsid w:val="25661C11"/>
    <w:rsid w:val="25761B3F"/>
    <w:rsid w:val="259A25D7"/>
    <w:rsid w:val="259C15A5"/>
    <w:rsid w:val="25C91C6F"/>
    <w:rsid w:val="25F56F08"/>
    <w:rsid w:val="26087CB8"/>
    <w:rsid w:val="262F241A"/>
    <w:rsid w:val="26846E76"/>
    <w:rsid w:val="26850942"/>
    <w:rsid w:val="268838D8"/>
    <w:rsid w:val="26CB1A16"/>
    <w:rsid w:val="26F62F37"/>
    <w:rsid w:val="273E392F"/>
    <w:rsid w:val="27417143"/>
    <w:rsid w:val="2749750B"/>
    <w:rsid w:val="27750733"/>
    <w:rsid w:val="27D63670"/>
    <w:rsid w:val="28202F32"/>
    <w:rsid w:val="283A50A6"/>
    <w:rsid w:val="28613546"/>
    <w:rsid w:val="28A644E9"/>
    <w:rsid w:val="28A941AB"/>
    <w:rsid w:val="28CF3A40"/>
    <w:rsid w:val="28DD582E"/>
    <w:rsid w:val="28FA6433"/>
    <w:rsid w:val="29143B49"/>
    <w:rsid w:val="295E42C0"/>
    <w:rsid w:val="295F2887"/>
    <w:rsid w:val="298011DE"/>
    <w:rsid w:val="299627B0"/>
    <w:rsid w:val="29AA03E4"/>
    <w:rsid w:val="29B50E88"/>
    <w:rsid w:val="29B73939"/>
    <w:rsid w:val="29B9024C"/>
    <w:rsid w:val="29BD5F8E"/>
    <w:rsid w:val="29C00F7C"/>
    <w:rsid w:val="29D46F00"/>
    <w:rsid w:val="29E21551"/>
    <w:rsid w:val="29FA4AED"/>
    <w:rsid w:val="29FA689B"/>
    <w:rsid w:val="2A1A0CEB"/>
    <w:rsid w:val="2A27165A"/>
    <w:rsid w:val="2A68414C"/>
    <w:rsid w:val="2A73664D"/>
    <w:rsid w:val="2A992557"/>
    <w:rsid w:val="2AB60388"/>
    <w:rsid w:val="2AC81DBC"/>
    <w:rsid w:val="2AF91248"/>
    <w:rsid w:val="2AFE0B0D"/>
    <w:rsid w:val="2B1C0D4E"/>
    <w:rsid w:val="2B1E2A5D"/>
    <w:rsid w:val="2B2A31B0"/>
    <w:rsid w:val="2B2D7144"/>
    <w:rsid w:val="2B381D70"/>
    <w:rsid w:val="2B4B7AFB"/>
    <w:rsid w:val="2B4D3342"/>
    <w:rsid w:val="2B9920E3"/>
    <w:rsid w:val="2BA306E8"/>
    <w:rsid w:val="2BB138D1"/>
    <w:rsid w:val="2BBD04C8"/>
    <w:rsid w:val="2BC273F1"/>
    <w:rsid w:val="2BEA3463"/>
    <w:rsid w:val="2BEC2335"/>
    <w:rsid w:val="2C1D4AC2"/>
    <w:rsid w:val="2C204F78"/>
    <w:rsid w:val="2C324A12"/>
    <w:rsid w:val="2C4C35F9"/>
    <w:rsid w:val="2C6356AE"/>
    <w:rsid w:val="2C845BAC"/>
    <w:rsid w:val="2C865A57"/>
    <w:rsid w:val="2C8E776E"/>
    <w:rsid w:val="2C974875"/>
    <w:rsid w:val="2CE5316F"/>
    <w:rsid w:val="2CEF03AD"/>
    <w:rsid w:val="2CF577ED"/>
    <w:rsid w:val="2D064542"/>
    <w:rsid w:val="2D28192A"/>
    <w:rsid w:val="2D4349FC"/>
    <w:rsid w:val="2D5C7718"/>
    <w:rsid w:val="2D6230D5"/>
    <w:rsid w:val="2D63047F"/>
    <w:rsid w:val="2D662499"/>
    <w:rsid w:val="2D6C3F53"/>
    <w:rsid w:val="2D8748E9"/>
    <w:rsid w:val="2D947006"/>
    <w:rsid w:val="2D991C48"/>
    <w:rsid w:val="2DA74F8B"/>
    <w:rsid w:val="2DB15E0A"/>
    <w:rsid w:val="2DC54CAA"/>
    <w:rsid w:val="2DC86CB0"/>
    <w:rsid w:val="2DE02CDD"/>
    <w:rsid w:val="2DE35471"/>
    <w:rsid w:val="2DE47F71"/>
    <w:rsid w:val="2E183793"/>
    <w:rsid w:val="2E221CCA"/>
    <w:rsid w:val="2E2B796A"/>
    <w:rsid w:val="2E32483A"/>
    <w:rsid w:val="2E371004"/>
    <w:rsid w:val="2E3B3926"/>
    <w:rsid w:val="2E3B3A3F"/>
    <w:rsid w:val="2E600977"/>
    <w:rsid w:val="2E614264"/>
    <w:rsid w:val="2E84086D"/>
    <w:rsid w:val="2E861BC1"/>
    <w:rsid w:val="2EA86CFC"/>
    <w:rsid w:val="2EB711FE"/>
    <w:rsid w:val="2EBA279B"/>
    <w:rsid w:val="2EC76F67"/>
    <w:rsid w:val="2ED022C0"/>
    <w:rsid w:val="2ED578D6"/>
    <w:rsid w:val="2EE1627B"/>
    <w:rsid w:val="2EE218C6"/>
    <w:rsid w:val="2EE93605"/>
    <w:rsid w:val="2F230642"/>
    <w:rsid w:val="2F490E46"/>
    <w:rsid w:val="2F4B1946"/>
    <w:rsid w:val="2F520F27"/>
    <w:rsid w:val="2F6C023B"/>
    <w:rsid w:val="2F706637"/>
    <w:rsid w:val="2F807842"/>
    <w:rsid w:val="2F9A6D97"/>
    <w:rsid w:val="2FAC6889"/>
    <w:rsid w:val="2FB63264"/>
    <w:rsid w:val="2FBB2F70"/>
    <w:rsid w:val="2FD14541"/>
    <w:rsid w:val="2FD26F5B"/>
    <w:rsid w:val="2FD72DD7"/>
    <w:rsid w:val="2FE53B49"/>
    <w:rsid w:val="3005551A"/>
    <w:rsid w:val="30224D9D"/>
    <w:rsid w:val="30405B2C"/>
    <w:rsid w:val="30517430"/>
    <w:rsid w:val="30672894"/>
    <w:rsid w:val="309D08C8"/>
    <w:rsid w:val="30A76195"/>
    <w:rsid w:val="30B5239D"/>
    <w:rsid w:val="30BD0622"/>
    <w:rsid w:val="30BD0BF2"/>
    <w:rsid w:val="30E365D5"/>
    <w:rsid w:val="30EE2ED1"/>
    <w:rsid w:val="30EE4C7F"/>
    <w:rsid w:val="30F13498"/>
    <w:rsid w:val="311F1372"/>
    <w:rsid w:val="312A223F"/>
    <w:rsid w:val="31301C58"/>
    <w:rsid w:val="31306C36"/>
    <w:rsid w:val="313A1C72"/>
    <w:rsid w:val="313C08E0"/>
    <w:rsid w:val="31496359"/>
    <w:rsid w:val="314F1BC2"/>
    <w:rsid w:val="31692558"/>
    <w:rsid w:val="31771119"/>
    <w:rsid w:val="317F3B29"/>
    <w:rsid w:val="31B22151"/>
    <w:rsid w:val="31BE0CDC"/>
    <w:rsid w:val="31DE3900"/>
    <w:rsid w:val="31E63BA8"/>
    <w:rsid w:val="31FD5C03"/>
    <w:rsid w:val="320570E9"/>
    <w:rsid w:val="320D7387"/>
    <w:rsid w:val="32333292"/>
    <w:rsid w:val="32483F8C"/>
    <w:rsid w:val="324E3C27"/>
    <w:rsid w:val="32515DC6"/>
    <w:rsid w:val="32764F2C"/>
    <w:rsid w:val="3284589B"/>
    <w:rsid w:val="32A25D21"/>
    <w:rsid w:val="32B75C71"/>
    <w:rsid w:val="32E00D80"/>
    <w:rsid w:val="32ED5D5F"/>
    <w:rsid w:val="32F36FFC"/>
    <w:rsid w:val="33070D20"/>
    <w:rsid w:val="3336623C"/>
    <w:rsid w:val="3341553A"/>
    <w:rsid w:val="33430AE1"/>
    <w:rsid w:val="3348367B"/>
    <w:rsid w:val="33727DEA"/>
    <w:rsid w:val="337A0A4C"/>
    <w:rsid w:val="339715FE"/>
    <w:rsid w:val="33AC2377"/>
    <w:rsid w:val="33B6755C"/>
    <w:rsid w:val="33C5616B"/>
    <w:rsid w:val="33CB3829"/>
    <w:rsid w:val="33D502B3"/>
    <w:rsid w:val="33E76628"/>
    <w:rsid w:val="3410338C"/>
    <w:rsid w:val="3419746D"/>
    <w:rsid w:val="343D21A6"/>
    <w:rsid w:val="34483291"/>
    <w:rsid w:val="34554A3F"/>
    <w:rsid w:val="34AE6BFF"/>
    <w:rsid w:val="34B1257E"/>
    <w:rsid w:val="34B23E72"/>
    <w:rsid w:val="34B8132C"/>
    <w:rsid w:val="34D16D92"/>
    <w:rsid w:val="34D36666"/>
    <w:rsid w:val="350F27C8"/>
    <w:rsid w:val="35103416"/>
    <w:rsid w:val="351A4295"/>
    <w:rsid w:val="352F7D57"/>
    <w:rsid w:val="354461A4"/>
    <w:rsid w:val="355E6877"/>
    <w:rsid w:val="35611EC4"/>
    <w:rsid w:val="35725E7F"/>
    <w:rsid w:val="357C0CF9"/>
    <w:rsid w:val="357D7A03"/>
    <w:rsid w:val="35813837"/>
    <w:rsid w:val="35895CA1"/>
    <w:rsid w:val="35942299"/>
    <w:rsid w:val="35AE3717"/>
    <w:rsid w:val="35B069A7"/>
    <w:rsid w:val="35BE1032"/>
    <w:rsid w:val="35BF4E3C"/>
    <w:rsid w:val="35BF6BEA"/>
    <w:rsid w:val="35D94150"/>
    <w:rsid w:val="35F74A58"/>
    <w:rsid w:val="360B1E2F"/>
    <w:rsid w:val="36160F00"/>
    <w:rsid w:val="36495FFD"/>
    <w:rsid w:val="365732C7"/>
    <w:rsid w:val="366453A6"/>
    <w:rsid w:val="36752D27"/>
    <w:rsid w:val="369D33CF"/>
    <w:rsid w:val="36AA789A"/>
    <w:rsid w:val="36BE50F4"/>
    <w:rsid w:val="36CA5847"/>
    <w:rsid w:val="36CC5EF9"/>
    <w:rsid w:val="36F17277"/>
    <w:rsid w:val="36F80E03"/>
    <w:rsid w:val="36FA2AA1"/>
    <w:rsid w:val="370D2C80"/>
    <w:rsid w:val="37360C4C"/>
    <w:rsid w:val="37440B31"/>
    <w:rsid w:val="374D70E4"/>
    <w:rsid w:val="375872F6"/>
    <w:rsid w:val="375A12C0"/>
    <w:rsid w:val="37604154"/>
    <w:rsid w:val="37661A13"/>
    <w:rsid w:val="3772660A"/>
    <w:rsid w:val="37797999"/>
    <w:rsid w:val="37825134"/>
    <w:rsid w:val="378679C0"/>
    <w:rsid w:val="37A80938"/>
    <w:rsid w:val="37B02C8E"/>
    <w:rsid w:val="37B207B5"/>
    <w:rsid w:val="37C16C4A"/>
    <w:rsid w:val="37C940A9"/>
    <w:rsid w:val="37D911E5"/>
    <w:rsid w:val="37DC7F27"/>
    <w:rsid w:val="37E04705"/>
    <w:rsid w:val="37E636B4"/>
    <w:rsid w:val="37EA24F8"/>
    <w:rsid w:val="380D00E1"/>
    <w:rsid w:val="380D6333"/>
    <w:rsid w:val="3825367C"/>
    <w:rsid w:val="38471845"/>
    <w:rsid w:val="38483246"/>
    <w:rsid w:val="385C6972"/>
    <w:rsid w:val="38D3448C"/>
    <w:rsid w:val="38D36803"/>
    <w:rsid w:val="38F727F5"/>
    <w:rsid w:val="38F90665"/>
    <w:rsid w:val="390C0E36"/>
    <w:rsid w:val="39233A8A"/>
    <w:rsid w:val="39612A47"/>
    <w:rsid w:val="396957EB"/>
    <w:rsid w:val="397F0B6A"/>
    <w:rsid w:val="39C13B7F"/>
    <w:rsid w:val="39C46EC5"/>
    <w:rsid w:val="39DE7864"/>
    <w:rsid w:val="39FC21BB"/>
    <w:rsid w:val="3A15327D"/>
    <w:rsid w:val="3A482167"/>
    <w:rsid w:val="3A575643"/>
    <w:rsid w:val="3A6A35C8"/>
    <w:rsid w:val="3A86542E"/>
    <w:rsid w:val="3A8B6D50"/>
    <w:rsid w:val="3A960861"/>
    <w:rsid w:val="3AA34D2C"/>
    <w:rsid w:val="3AAE5AF0"/>
    <w:rsid w:val="3ABA03AA"/>
    <w:rsid w:val="3AEE43F8"/>
    <w:rsid w:val="3B00217F"/>
    <w:rsid w:val="3B1847F0"/>
    <w:rsid w:val="3B211706"/>
    <w:rsid w:val="3B2F16EF"/>
    <w:rsid w:val="3B3360B0"/>
    <w:rsid w:val="3B547DD5"/>
    <w:rsid w:val="3B653318"/>
    <w:rsid w:val="3BA448B8"/>
    <w:rsid w:val="3BAB20EB"/>
    <w:rsid w:val="3BAE3989"/>
    <w:rsid w:val="3BD553B9"/>
    <w:rsid w:val="3BF33A92"/>
    <w:rsid w:val="3C113235"/>
    <w:rsid w:val="3C177780"/>
    <w:rsid w:val="3C29300F"/>
    <w:rsid w:val="3C487939"/>
    <w:rsid w:val="3C773418"/>
    <w:rsid w:val="3C8E3A03"/>
    <w:rsid w:val="3C925059"/>
    <w:rsid w:val="3C972C08"/>
    <w:rsid w:val="3C9A05A6"/>
    <w:rsid w:val="3CD15B81"/>
    <w:rsid w:val="3CD94A35"/>
    <w:rsid w:val="3CE138EA"/>
    <w:rsid w:val="3CEA09F1"/>
    <w:rsid w:val="3D015D3A"/>
    <w:rsid w:val="3D1E069A"/>
    <w:rsid w:val="3D3E672C"/>
    <w:rsid w:val="3D3F6549"/>
    <w:rsid w:val="3D4B4DAF"/>
    <w:rsid w:val="3D6036BC"/>
    <w:rsid w:val="3D673DEF"/>
    <w:rsid w:val="3D793FC3"/>
    <w:rsid w:val="3D7D056C"/>
    <w:rsid w:val="3D8A36A4"/>
    <w:rsid w:val="3D900D1C"/>
    <w:rsid w:val="3D934BE4"/>
    <w:rsid w:val="3D965B0C"/>
    <w:rsid w:val="3D97475C"/>
    <w:rsid w:val="3DA45043"/>
    <w:rsid w:val="3DA55D13"/>
    <w:rsid w:val="3DD376D7"/>
    <w:rsid w:val="3DD92421"/>
    <w:rsid w:val="3DEE62BF"/>
    <w:rsid w:val="3DF05BE8"/>
    <w:rsid w:val="3E173A67"/>
    <w:rsid w:val="3E210442"/>
    <w:rsid w:val="3E2A7787"/>
    <w:rsid w:val="3E300685"/>
    <w:rsid w:val="3E3F2FBE"/>
    <w:rsid w:val="3E4C6DBD"/>
    <w:rsid w:val="3E4D7489"/>
    <w:rsid w:val="3E693B97"/>
    <w:rsid w:val="3E7A310C"/>
    <w:rsid w:val="3E832EAB"/>
    <w:rsid w:val="3E894239"/>
    <w:rsid w:val="3E970704"/>
    <w:rsid w:val="3E9F2186"/>
    <w:rsid w:val="3EA85276"/>
    <w:rsid w:val="3ED01E68"/>
    <w:rsid w:val="3ED96F6F"/>
    <w:rsid w:val="3F253F62"/>
    <w:rsid w:val="3F381EE7"/>
    <w:rsid w:val="3F470AC9"/>
    <w:rsid w:val="3F48533E"/>
    <w:rsid w:val="3F6B3706"/>
    <w:rsid w:val="3F723E6E"/>
    <w:rsid w:val="3F827606"/>
    <w:rsid w:val="3F8C3FE1"/>
    <w:rsid w:val="3FA326BC"/>
    <w:rsid w:val="3FD15E98"/>
    <w:rsid w:val="3FD73D6F"/>
    <w:rsid w:val="40093D8A"/>
    <w:rsid w:val="40210BCD"/>
    <w:rsid w:val="402266F3"/>
    <w:rsid w:val="403C0D10"/>
    <w:rsid w:val="404C551E"/>
    <w:rsid w:val="405B576E"/>
    <w:rsid w:val="408A49C4"/>
    <w:rsid w:val="40A54830"/>
    <w:rsid w:val="40BB2DD0"/>
    <w:rsid w:val="40E805EE"/>
    <w:rsid w:val="40E816EB"/>
    <w:rsid w:val="40F55BB6"/>
    <w:rsid w:val="40FA4155"/>
    <w:rsid w:val="40FB39AE"/>
    <w:rsid w:val="41070573"/>
    <w:rsid w:val="410F4ECA"/>
    <w:rsid w:val="411241FC"/>
    <w:rsid w:val="41126768"/>
    <w:rsid w:val="411C1A61"/>
    <w:rsid w:val="414508EB"/>
    <w:rsid w:val="41465083"/>
    <w:rsid w:val="41523008"/>
    <w:rsid w:val="416E64C7"/>
    <w:rsid w:val="416F4130"/>
    <w:rsid w:val="4171348E"/>
    <w:rsid w:val="417967E7"/>
    <w:rsid w:val="41826DDD"/>
    <w:rsid w:val="4191768D"/>
    <w:rsid w:val="41B17D2F"/>
    <w:rsid w:val="41C07F72"/>
    <w:rsid w:val="41C31810"/>
    <w:rsid w:val="41D1217F"/>
    <w:rsid w:val="41EC1969"/>
    <w:rsid w:val="41F04B62"/>
    <w:rsid w:val="420D2CA6"/>
    <w:rsid w:val="420F2A8F"/>
    <w:rsid w:val="422C3859"/>
    <w:rsid w:val="42303B5B"/>
    <w:rsid w:val="423948E8"/>
    <w:rsid w:val="423B584A"/>
    <w:rsid w:val="42565461"/>
    <w:rsid w:val="42B06238"/>
    <w:rsid w:val="42C615B8"/>
    <w:rsid w:val="42CC4B4E"/>
    <w:rsid w:val="42D37886"/>
    <w:rsid w:val="42D77C69"/>
    <w:rsid w:val="42E12C5F"/>
    <w:rsid w:val="4323032A"/>
    <w:rsid w:val="43470F03"/>
    <w:rsid w:val="4355293C"/>
    <w:rsid w:val="435B2648"/>
    <w:rsid w:val="43604048"/>
    <w:rsid w:val="43650DD1"/>
    <w:rsid w:val="438168A6"/>
    <w:rsid w:val="439416B6"/>
    <w:rsid w:val="43987DEC"/>
    <w:rsid w:val="439E42E3"/>
    <w:rsid w:val="439E77C7"/>
    <w:rsid w:val="43BE4985"/>
    <w:rsid w:val="43D92301"/>
    <w:rsid w:val="43E7756F"/>
    <w:rsid w:val="43F22D88"/>
    <w:rsid w:val="43F263DD"/>
    <w:rsid w:val="43FF6FF8"/>
    <w:rsid w:val="44013A1B"/>
    <w:rsid w:val="442567B2"/>
    <w:rsid w:val="44550E45"/>
    <w:rsid w:val="447541CF"/>
    <w:rsid w:val="447E084B"/>
    <w:rsid w:val="448259B3"/>
    <w:rsid w:val="44965297"/>
    <w:rsid w:val="44A57709"/>
    <w:rsid w:val="44BC0EC5"/>
    <w:rsid w:val="44C47D79"/>
    <w:rsid w:val="44D64444"/>
    <w:rsid w:val="44E72278"/>
    <w:rsid w:val="44E977E0"/>
    <w:rsid w:val="44EE1A4A"/>
    <w:rsid w:val="44F56185"/>
    <w:rsid w:val="4504461A"/>
    <w:rsid w:val="450B1E4C"/>
    <w:rsid w:val="453E18DA"/>
    <w:rsid w:val="454455F7"/>
    <w:rsid w:val="45576E3F"/>
    <w:rsid w:val="45833790"/>
    <w:rsid w:val="45B636B2"/>
    <w:rsid w:val="45BE2A1A"/>
    <w:rsid w:val="46130FB8"/>
    <w:rsid w:val="46223F7E"/>
    <w:rsid w:val="46342C88"/>
    <w:rsid w:val="46460B3D"/>
    <w:rsid w:val="46515873"/>
    <w:rsid w:val="465F41FD"/>
    <w:rsid w:val="46690BD8"/>
    <w:rsid w:val="468F4ED9"/>
    <w:rsid w:val="46916381"/>
    <w:rsid w:val="4698770F"/>
    <w:rsid w:val="469E7DC1"/>
    <w:rsid w:val="46C95B1B"/>
    <w:rsid w:val="46DA1C5D"/>
    <w:rsid w:val="46E3449D"/>
    <w:rsid w:val="47105364"/>
    <w:rsid w:val="47172742"/>
    <w:rsid w:val="471B4A5A"/>
    <w:rsid w:val="472114B3"/>
    <w:rsid w:val="47255440"/>
    <w:rsid w:val="47307948"/>
    <w:rsid w:val="473236C0"/>
    <w:rsid w:val="473C67B8"/>
    <w:rsid w:val="473D2828"/>
    <w:rsid w:val="47502D99"/>
    <w:rsid w:val="476E2D65"/>
    <w:rsid w:val="47AE3565"/>
    <w:rsid w:val="47B451FC"/>
    <w:rsid w:val="47C307BC"/>
    <w:rsid w:val="47C52FFF"/>
    <w:rsid w:val="47CA38F8"/>
    <w:rsid w:val="47CC229D"/>
    <w:rsid w:val="47F4252A"/>
    <w:rsid w:val="482F7BFF"/>
    <w:rsid w:val="48952158"/>
    <w:rsid w:val="48AF3B53"/>
    <w:rsid w:val="48C90054"/>
    <w:rsid w:val="48DD53FB"/>
    <w:rsid w:val="48F72BA0"/>
    <w:rsid w:val="4924528A"/>
    <w:rsid w:val="4925565A"/>
    <w:rsid w:val="494F3E06"/>
    <w:rsid w:val="4954591A"/>
    <w:rsid w:val="4965715C"/>
    <w:rsid w:val="496C1F93"/>
    <w:rsid w:val="49975A5C"/>
    <w:rsid w:val="49A13C4D"/>
    <w:rsid w:val="49BB5BEF"/>
    <w:rsid w:val="49BE36D6"/>
    <w:rsid w:val="49E862B8"/>
    <w:rsid w:val="49F11610"/>
    <w:rsid w:val="49F61B36"/>
    <w:rsid w:val="49F75E0D"/>
    <w:rsid w:val="49FC1D63"/>
    <w:rsid w:val="4A080708"/>
    <w:rsid w:val="4A3F748D"/>
    <w:rsid w:val="4A62250E"/>
    <w:rsid w:val="4A7A3316"/>
    <w:rsid w:val="4A7B712C"/>
    <w:rsid w:val="4A9F44E3"/>
    <w:rsid w:val="4AAA5C63"/>
    <w:rsid w:val="4ABD06FF"/>
    <w:rsid w:val="4AC72371"/>
    <w:rsid w:val="4AE143AD"/>
    <w:rsid w:val="4AE9678B"/>
    <w:rsid w:val="4B1A06F3"/>
    <w:rsid w:val="4B1C1CAE"/>
    <w:rsid w:val="4B3754C5"/>
    <w:rsid w:val="4B375749"/>
    <w:rsid w:val="4B475260"/>
    <w:rsid w:val="4B4C0AC8"/>
    <w:rsid w:val="4B700C5B"/>
    <w:rsid w:val="4BAD77B9"/>
    <w:rsid w:val="4BAF1783"/>
    <w:rsid w:val="4BB70638"/>
    <w:rsid w:val="4BC114B6"/>
    <w:rsid w:val="4BC27E65"/>
    <w:rsid w:val="4BCB7C3F"/>
    <w:rsid w:val="4BE517BF"/>
    <w:rsid w:val="4BE60F1D"/>
    <w:rsid w:val="4BF61160"/>
    <w:rsid w:val="4C0066DA"/>
    <w:rsid w:val="4C087D28"/>
    <w:rsid w:val="4C1E4213"/>
    <w:rsid w:val="4C3E6663"/>
    <w:rsid w:val="4C4C5224"/>
    <w:rsid w:val="4C6B4F7E"/>
    <w:rsid w:val="4C716A38"/>
    <w:rsid w:val="4C7622A1"/>
    <w:rsid w:val="4C9170DB"/>
    <w:rsid w:val="4CAA1C51"/>
    <w:rsid w:val="4CAF130F"/>
    <w:rsid w:val="4CCE79E7"/>
    <w:rsid w:val="4CDA2830"/>
    <w:rsid w:val="4CDD7C2A"/>
    <w:rsid w:val="4CFB6302"/>
    <w:rsid w:val="4D4B1038"/>
    <w:rsid w:val="4D58355B"/>
    <w:rsid w:val="4D814A59"/>
    <w:rsid w:val="4D832CB1"/>
    <w:rsid w:val="4D891B60"/>
    <w:rsid w:val="4D9329DF"/>
    <w:rsid w:val="4D9E721C"/>
    <w:rsid w:val="4DB50BA7"/>
    <w:rsid w:val="4DBC5B34"/>
    <w:rsid w:val="4DBF5582"/>
    <w:rsid w:val="4DD16537"/>
    <w:rsid w:val="4DD21DDE"/>
    <w:rsid w:val="4DE17BEE"/>
    <w:rsid w:val="4DF416CF"/>
    <w:rsid w:val="4DFE60AA"/>
    <w:rsid w:val="4E0C3520"/>
    <w:rsid w:val="4E16324C"/>
    <w:rsid w:val="4E285C6A"/>
    <w:rsid w:val="4E3F66C2"/>
    <w:rsid w:val="4E522B9C"/>
    <w:rsid w:val="4E7740AE"/>
    <w:rsid w:val="4E775E5C"/>
    <w:rsid w:val="4E791BD4"/>
    <w:rsid w:val="4E810A89"/>
    <w:rsid w:val="4E8D5131"/>
    <w:rsid w:val="4E9E788D"/>
    <w:rsid w:val="4EAE5F19"/>
    <w:rsid w:val="4EB15812"/>
    <w:rsid w:val="4ECF4EE4"/>
    <w:rsid w:val="4EDD57A8"/>
    <w:rsid w:val="4EDF237F"/>
    <w:rsid w:val="4EE24FC1"/>
    <w:rsid w:val="4EE47996"/>
    <w:rsid w:val="4F111E0D"/>
    <w:rsid w:val="4F3124AF"/>
    <w:rsid w:val="4F3501F1"/>
    <w:rsid w:val="4F59043E"/>
    <w:rsid w:val="4F5F0DCA"/>
    <w:rsid w:val="4F6603AB"/>
    <w:rsid w:val="4F791EF0"/>
    <w:rsid w:val="4F7B5396"/>
    <w:rsid w:val="4F8847C5"/>
    <w:rsid w:val="4FAC7D88"/>
    <w:rsid w:val="4FAD0777"/>
    <w:rsid w:val="4FBA06F6"/>
    <w:rsid w:val="4FC02DFA"/>
    <w:rsid w:val="4FF028F6"/>
    <w:rsid w:val="500371EC"/>
    <w:rsid w:val="50074886"/>
    <w:rsid w:val="5039786D"/>
    <w:rsid w:val="503A35E5"/>
    <w:rsid w:val="504B75A0"/>
    <w:rsid w:val="5052092F"/>
    <w:rsid w:val="50605331"/>
    <w:rsid w:val="50A56A8C"/>
    <w:rsid w:val="50B60EBE"/>
    <w:rsid w:val="50BB2978"/>
    <w:rsid w:val="50C90F7E"/>
    <w:rsid w:val="50DC5B02"/>
    <w:rsid w:val="50F10148"/>
    <w:rsid w:val="50F73284"/>
    <w:rsid w:val="510332C1"/>
    <w:rsid w:val="511300BE"/>
    <w:rsid w:val="511703CE"/>
    <w:rsid w:val="513F75DA"/>
    <w:rsid w:val="51491D32"/>
    <w:rsid w:val="515327CC"/>
    <w:rsid w:val="515661FD"/>
    <w:rsid w:val="519263B0"/>
    <w:rsid w:val="519A433C"/>
    <w:rsid w:val="519B3756"/>
    <w:rsid w:val="51AF590D"/>
    <w:rsid w:val="51AF6163"/>
    <w:rsid w:val="51D04201"/>
    <w:rsid w:val="51E12EE1"/>
    <w:rsid w:val="51E27A91"/>
    <w:rsid w:val="51E8779D"/>
    <w:rsid w:val="51F021AD"/>
    <w:rsid w:val="51FA5514"/>
    <w:rsid w:val="51FF0AD3"/>
    <w:rsid w:val="5207117A"/>
    <w:rsid w:val="5209326F"/>
    <w:rsid w:val="52105073"/>
    <w:rsid w:val="524806C4"/>
    <w:rsid w:val="524B7CDA"/>
    <w:rsid w:val="52514F1D"/>
    <w:rsid w:val="5253273C"/>
    <w:rsid w:val="525D7890"/>
    <w:rsid w:val="528133F8"/>
    <w:rsid w:val="52A17027"/>
    <w:rsid w:val="52BC5C45"/>
    <w:rsid w:val="52CB5A1B"/>
    <w:rsid w:val="52DB31BC"/>
    <w:rsid w:val="52F12681"/>
    <w:rsid w:val="52F97B25"/>
    <w:rsid w:val="5300717A"/>
    <w:rsid w:val="53051C89"/>
    <w:rsid w:val="530A54F1"/>
    <w:rsid w:val="530F48B5"/>
    <w:rsid w:val="531E0F9C"/>
    <w:rsid w:val="5334431C"/>
    <w:rsid w:val="534B64C5"/>
    <w:rsid w:val="536F17F8"/>
    <w:rsid w:val="5395207E"/>
    <w:rsid w:val="53A235EB"/>
    <w:rsid w:val="53A91BED"/>
    <w:rsid w:val="53A9454A"/>
    <w:rsid w:val="53A94D0A"/>
    <w:rsid w:val="53DC242E"/>
    <w:rsid w:val="53E43F94"/>
    <w:rsid w:val="5426635A"/>
    <w:rsid w:val="545804DE"/>
    <w:rsid w:val="54646E83"/>
    <w:rsid w:val="546B6463"/>
    <w:rsid w:val="54776BB6"/>
    <w:rsid w:val="549210BA"/>
    <w:rsid w:val="549534E0"/>
    <w:rsid w:val="549A0AF6"/>
    <w:rsid w:val="54A176C8"/>
    <w:rsid w:val="54AF6350"/>
    <w:rsid w:val="54B5148C"/>
    <w:rsid w:val="54D82294"/>
    <w:rsid w:val="54EA6FB9"/>
    <w:rsid w:val="54FB1595"/>
    <w:rsid w:val="55055F70"/>
    <w:rsid w:val="55100F3D"/>
    <w:rsid w:val="55254864"/>
    <w:rsid w:val="552A36AA"/>
    <w:rsid w:val="55376FFB"/>
    <w:rsid w:val="5551484B"/>
    <w:rsid w:val="556709D9"/>
    <w:rsid w:val="556D5DE5"/>
    <w:rsid w:val="557B3584"/>
    <w:rsid w:val="55821D31"/>
    <w:rsid w:val="55824722"/>
    <w:rsid w:val="55AA638B"/>
    <w:rsid w:val="55AB3B29"/>
    <w:rsid w:val="55B34A86"/>
    <w:rsid w:val="55B97C4E"/>
    <w:rsid w:val="55C951EF"/>
    <w:rsid w:val="55E65002"/>
    <w:rsid w:val="55EC35D4"/>
    <w:rsid w:val="560D3E29"/>
    <w:rsid w:val="5621502B"/>
    <w:rsid w:val="562525BB"/>
    <w:rsid w:val="562C2C97"/>
    <w:rsid w:val="56465336"/>
    <w:rsid w:val="56520C3C"/>
    <w:rsid w:val="56556628"/>
    <w:rsid w:val="565F7902"/>
    <w:rsid w:val="566B729D"/>
    <w:rsid w:val="56837EA6"/>
    <w:rsid w:val="56BC0D4F"/>
    <w:rsid w:val="56BD51C2"/>
    <w:rsid w:val="56D65EF8"/>
    <w:rsid w:val="56E30533"/>
    <w:rsid w:val="56ED7603"/>
    <w:rsid w:val="56F049FE"/>
    <w:rsid w:val="57032983"/>
    <w:rsid w:val="570C0554"/>
    <w:rsid w:val="571903F8"/>
    <w:rsid w:val="57281234"/>
    <w:rsid w:val="574A675E"/>
    <w:rsid w:val="575326D1"/>
    <w:rsid w:val="577B4C0F"/>
    <w:rsid w:val="577D0987"/>
    <w:rsid w:val="57B32D3E"/>
    <w:rsid w:val="57DD4F82"/>
    <w:rsid w:val="57E207EA"/>
    <w:rsid w:val="57FD3876"/>
    <w:rsid w:val="5814471C"/>
    <w:rsid w:val="581A61D6"/>
    <w:rsid w:val="582E1C82"/>
    <w:rsid w:val="58397109"/>
    <w:rsid w:val="583A23D4"/>
    <w:rsid w:val="58417C07"/>
    <w:rsid w:val="58704048"/>
    <w:rsid w:val="587B24D1"/>
    <w:rsid w:val="58847AF3"/>
    <w:rsid w:val="58881D04"/>
    <w:rsid w:val="58977827"/>
    <w:rsid w:val="58A61818"/>
    <w:rsid w:val="58B354F0"/>
    <w:rsid w:val="58D370A0"/>
    <w:rsid w:val="58D565A1"/>
    <w:rsid w:val="58D740C7"/>
    <w:rsid w:val="5900361E"/>
    <w:rsid w:val="593A439E"/>
    <w:rsid w:val="59442646"/>
    <w:rsid w:val="599B6EA3"/>
    <w:rsid w:val="59B15F2B"/>
    <w:rsid w:val="59BA6CC4"/>
    <w:rsid w:val="59CC281A"/>
    <w:rsid w:val="59DF76D7"/>
    <w:rsid w:val="59F1552F"/>
    <w:rsid w:val="59F82547"/>
    <w:rsid w:val="59FD32C8"/>
    <w:rsid w:val="5A0031AA"/>
    <w:rsid w:val="5A144EA7"/>
    <w:rsid w:val="5A1B4488"/>
    <w:rsid w:val="5A2F0B08"/>
    <w:rsid w:val="5AA004E9"/>
    <w:rsid w:val="5AAA7F2C"/>
    <w:rsid w:val="5AC71F19"/>
    <w:rsid w:val="5ADB610F"/>
    <w:rsid w:val="5ADC3C17"/>
    <w:rsid w:val="5AE91E90"/>
    <w:rsid w:val="5AEB5C08"/>
    <w:rsid w:val="5AFA763F"/>
    <w:rsid w:val="5B113E9E"/>
    <w:rsid w:val="5B303F63"/>
    <w:rsid w:val="5B323837"/>
    <w:rsid w:val="5B394BC5"/>
    <w:rsid w:val="5B487EEC"/>
    <w:rsid w:val="5B5E2600"/>
    <w:rsid w:val="5B6537E3"/>
    <w:rsid w:val="5B7A6F8C"/>
    <w:rsid w:val="5B915813"/>
    <w:rsid w:val="5BB46942"/>
    <w:rsid w:val="5BB667F6"/>
    <w:rsid w:val="5BC621D1"/>
    <w:rsid w:val="5BC62A05"/>
    <w:rsid w:val="5BC86087"/>
    <w:rsid w:val="5BE144C3"/>
    <w:rsid w:val="5BE54D4D"/>
    <w:rsid w:val="5C133390"/>
    <w:rsid w:val="5C133668"/>
    <w:rsid w:val="5C156FF2"/>
    <w:rsid w:val="5C357F06"/>
    <w:rsid w:val="5C3D63E1"/>
    <w:rsid w:val="5C3D6937"/>
    <w:rsid w:val="5C676B3C"/>
    <w:rsid w:val="5C8005D2"/>
    <w:rsid w:val="5C8050E8"/>
    <w:rsid w:val="5CA73DB1"/>
    <w:rsid w:val="5CAA0F16"/>
    <w:rsid w:val="5CAB6A20"/>
    <w:rsid w:val="5CCA0A0E"/>
    <w:rsid w:val="5CD54DC2"/>
    <w:rsid w:val="5CD979DF"/>
    <w:rsid w:val="5CDC3F53"/>
    <w:rsid w:val="5CDC7EFE"/>
    <w:rsid w:val="5CE17112"/>
    <w:rsid w:val="5CE9261B"/>
    <w:rsid w:val="5CF3734C"/>
    <w:rsid w:val="5D176A9D"/>
    <w:rsid w:val="5D296EBB"/>
    <w:rsid w:val="5D423660"/>
    <w:rsid w:val="5D4810F0"/>
    <w:rsid w:val="5D515CC9"/>
    <w:rsid w:val="5D6021BA"/>
    <w:rsid w:val="5D765DE9"/>
    <w:rsid w:val="5D83481E"/>
    <w:rsid w:val="5DA02144"/>
    <w:rsid w:val="5DA327CA"/>
    <w:rsid w:val="5DBD31D1"/>
    <w:rsid w:val="5DC10EA2"/>
    <w:rsid w:val="5DCB7366"/>
    <w:rsid w:val="5DD24E5D"/>
    <w:rsid w:val="5DD46E27"/>
    <w:rsid w:val="5DE20690"/>
    <w:rsid w:val="5DF70D68"/>
    <w:rsid w:val="5E466D18"/>
    <w:rsid w:val="5E4B693D"/>
    <w:rsid w:val="5E5835B4"/>
    <w:rsid w:val="5E6D4B86"/>
    <w:rsid w:val="5E8575A0"/>
    <w:rsid w:val="5EA16ED0"/>
    <w:rsid w:val="5EA66A16"/>
    <w:rsid w:val="5EBD78BB"/>
    <w:rsid w:val="5ECA3D86"/>
    <w:rsid w:val="5EFE467C"/>
    <w:rsid w:val="5F1C5503"/>
    <w:rsid w:val="5F204545"/>
    <w:rsid w:val="5F2E5A98"/>
    <w:rsid w:val="5F337B7D"/>
    <w:rsid w:val="5F50072F"/>
    <w:rsid w:val="5F7268F8"/>
    <w:rsid w:val="5F9764D2"/>
    <w:rsid w:val="5F9A0552"/>
    <w:rsid w:val="5F9C1BC7"/>
    <w:rsid w:val="5FD70E51"/>
    <w:rsid w:val="5FF10E57"/>
    <w:rsid w:val="5FFA069B"/>
    <w:rsid w:val="6005151A"/>
    <w:rsid w:val="600F690F"/>
    <w:rsid w:val="601662F2"/>
    <w:rsid w:val="601A7822"/>
    <w:rsid w:val="6037544B"/>
    <w:rsid w:val="60402552"/>
    <w:rsid w:val="60536729"/>
    <w:rsid w:val="60565105"/>
    <w:rsid w:val="60912DAE"/>
    <w:rsid w:val="60934D78"/>
    <w:rsid w:val="60956D42"/>
    <w:rsid w:val="60A1162A"/>
    <w:rsid w:val="60BD74FA"/>
    <w:rsid w:val="60D96503"/>
    <w:rsid w:val="60E6130F"/>
    <w:rsid w:val="60EF228C"/>
    <w:rsid w:val="610025E2"/>
    <w:rsid w:val="61040BC2"/>
    <w:rsid w:val="61053275"/>
    <w:rsid w:val="610C68D8"/>
    <w:rsid w:val="613C60A5"/>
    <w:rsid w:val="614147D4"/>
    <w:rsid w:val="614D13CA"/>
    <w:rsid w:val="61581B1D"/>
    <w:rsid w:val="616B017F"/>
    <w:rsid w:val="61A3723C"/>
    <w:rsid w:val="61AD1E69"/>
    <w:rsid w:val="61C947C9"/>
    <w:rsid w:val="61FE4473"/>
    <w:rsid w:val="62121B84"/>
    <w:rsid w:val="622D6B06"/>
    <w:rsid w:val="624125B1"/>
    <w:rsid w:val="6247406C"/>
    <w:rsid w:val="625048C9"/>
    <w:rsid w:val="6255250B"/>
    <w:rsid w:val="625E7607"/>
    <w:rsid w:val="626525D5"/>
    <w:rsid w:val="62675C94"/>
    <w:rsid w:val="626D64AD"/>
    <w:rsid w:val="628506F0"/>
    <w:rsid w:val="628C5F22"/>
    <w:rsid w:val="62A72D5C"/>
    <w:rsid w:val="62AA0689"/>
    <w:rsid w:val="62B80AC5"/>
    <w:rsid w:val="62BC4D06"/>
    <w:rsid w:val="62EF6DBE"/>
    <w:rsid w:val="6300246C"/>
    <w:rsid w:val="630945DD"/>
    <w:rsid w:val="63100901"/>
    <w:rsid w:val="632E2B36"/>
    <w:rsid w:val="633F4D43"/>
    <w:rsid w:val="634C3DE6"/>
    <w:rsid w:val="63620A31"/>
    <w:rsid w:val="63D062E3"/>
    <w:rsid w:val="63D7728A"/>
    <w:rsid w:val="63DD630A"/>
    <w:rsid w:val="63E31B72"/>
    <w:rsid w:val="63EB4ECB"/>
    <w:rsid w:val="64354398"/>
    <w:rsid w:val="643C7516"/>
    <w:rsid w:val="64457697"/>
    <w:rsid w:val="645760BC"/>
    <w:rsid w:val="64644760"/>
    <w:rsid w:val="646C5FB1"/>
    <w:rsid w:val="646E0FFF"/>
    <w:rsid w:val="647025F4"/>
    <w:rsid w:val="6490146C"/>
    <w:rsid w:val="64A82DBC"/>
    <w:rsid w:val="64C60C10"/>
    <w:rsid w:val="64C6386E"/>
    <w:rsid w:val="64DE2339"/>
    <w:rsid w:val="6528497E"/>
    <w:rsid w:val="653323E1"/>
    <w:rsid w:val="653D3504"/>
    <w:rsid w:val="654C4F1C"/>
    <w:rsid w:val="65624670"/>
    <w:rsid w:val="65624D19"/>
    <w:rsid w:val="65967123"/>
    <w:rsid w:val="65AF7D19"/>
    <w:rsid w:val="65B75B1D"/>
    <w:rsid w:val="65D751EC"/>
    <w:rsid w:val="65D75707"/>
    <w:rsid w:val="65E9368C"/>
    <w:rsid w:val="66014531"/>
    <w:rsid w:val="66187ACD"/>
    <w:rsid w:val="663568D1"/>
    <w:rsid w:val="663766FC"/>
    <w:rsid w:val="665054B9"/>
    <w:rsid w:val="66630D48"/>
    <w:rsid w:val="66657BFB"/>
    <w:rsid w:val="669519CA"/>
    <w:rsid w:val="669E4476"/>
    <w:rsid w:val="672C1A82"/>
    <w:rsid w:val="675D1782"/>
    <w:rsid w:val="675F18D4"/>
    <w:rsid w:val="6779459B"/>
    <w:rsid w:val="67801050"/>
    <w:rsid w:val="67955879"/>
    <w:rsid w:val="67966EFB"/>
    <w:rsid w:val="679B4B1C"/>
    <w:rsid w:val="67A423FD"/>
    <w:rsid w:val="67A77DE6"/>
    <w:rsid w:val="67CA35FA"/>
    <w:rsid w:val="67FA392E"/>
    <w:rsid w:val="684B23DC"/>
    <w:rsid w:val="68594AF9"/>
    <w:rsid w:val="686314D3"/>
    <w:rsid w:val="686B482C"/>
    <w:rsid w:val="686D2352"/>
    <w:rsid w:val="689D06B4"/>
    <w:rsid w:val="68AB69D7"/>
    <w:rsid w:val="68BB5FD7"/>
    <w:rsid w:val="68E87C2B"/>
    <w:rsid w:val="690A7BA1"/>
    <w:rsid w:val="690C1B6B"/>
    <w:rsid w:val="69131AB9"/>
    <w:rsid w:val="691F77CE"/>
    <w:rsid w:val="6938470E"/>
    <w:rsid w:val="693C4D81"/>
    <w:rsid w:val="69475903"/>
    <w:rsid w:val="69513A22"/>
    <w:rsid w:val="6957632D"/>
    <w:rsid w:val="69670B4F"/>
    <w:rsid w:val="697542C9"/>
    <w:rsid w:val="697D4817"/>
    <w:rsid w:val="69877444"/>
    <w:rsid w:val="698E659C"/>
    <w:rsid w:val="69937B96"/>
    <w:rsid w:val="69A00BD6"/>
    <w:rsid w:val="69AF24F6"/>
    <w:rsid w:val="69C53AC8"/>
    <w:rsid w:val="69E14DA6"/>
    <w:rsid w:val="69E5416A"/>
    <w:rsid w:val="6A072332"/>
    <w:rsid w:val="6A3749C6"/>
    <w:rsid w:val="6A521800"/>
    <w:rsid w:val="6A96164E"/>
    <w:rsid w:val="6AB778B5"/>
    <w:rsid w:val="6ABF54E9"/>
    <w:rsid w:val="6AC16A1E"/>
    <w:rsid w:val="6B030D4C"/>
    <w:rsid w:val="6B19056F"/>
    <w:rsid w:val="6B286A04"/>
    <w:rsid w:val="6B2B3DFF"/>
    <w:rsid w:val="6B2B7D6D"/>
    <w:rsid w:val="6B2C5FEC"/>
    <w:rsid w:val="6B536E82"/>
    <w:rsid w:val="6B7B2FD8"/>
    <w:rsid w:val="6B833C3B"/>
    <w:rsid w:val="6B9145AA"/>
    <w:rsid w:val="6B930BEB"/>
    <w:rsid w:val="6BBD714D"/>
    <w:rsid w:val="6BC9782A"/>
    <w:rsid w:val="6BD44D33"/>
    <w:rsid w:val="6C046B2A"/>
    <w:rsid w:val="6C223454"/>
    <w:rsid w:val="6C2B7950"/>
    <w:rsid w:val="6C5C6966"/>
    <w:rsid w:val="6C5F1FB2"/>
    <w:rsid w:val="6C615D2A"/>
    <w:rsid w:val="6C6601C5"/>
    <w:rsid w:val="6C841A18"/>
    <w:rsid w:val="6C9A6C39"/>
    <w:rsid w:val="6CD3026D"/>
    <w:rsid w:val="6CD67CB8"/>
    <w:rsid w:val="6CD91BA0"/>
    <w:rsid w:val="6CE56C88"/>
    <w:rsid w:val="6CF44DF0"/>
    <w:rsid w:val="6D036DE1"/>
    <w:rsid w:val="6D1A237D"/>
    <w:rsid w:val="6D21370B"/>
    <w:rsid w:val="6D5B3AF9"/>
    <w:rsid w:val="6D5C2995"/>
    <w:rsid w:val="6D716441"/>
    <w:rsid w:val="6D927DAD"/>
    <w:rsid w:val="6DA265FA"/>
    <w:rsid w:val="6DA858DC"/>
    <w:rsid w:val="6DD62748"/>
    <w:rsid w:val="6DF00B04"/>
    <w:rsid w:val="6DF12530"/>
    <w:rsid w:val="6E0732BA"/>
    <w:rsid w:val="6E12467F"/>
    <w:rsid w:val="6E24447A"/>
    <w:rsid w:val="6E315BD0"/>
    <w:rsid w:val="6E3B6A4F"/>
    <w:rsid w:val="6E3D6323"/>
    <w:rsid w:val="6E490C15"/>
    <w:rsid w:val="6E6E57DA"/>
    <w:rsid w:val="6E8126B3"/>
    <w:rsid w:val="6E906D9A"/>
    <w:rsid w:val="6E971ED7"/>
    <w:rsid w:val="6EB01E99"/>
    <w:rsid w:val="6ED76777"/>
    <w:rsid w:val="6ED84825"/>
    <w:rsid w:val="6EED246F"/>
    <w:rsid w:val="6EF92388"/>
    <w:rsid w:val="6F00718C"/>
    <w:rsid w:val="6F0159B0"/>
    <w:rsid w:val="6F0F4163"/>
    <w:rsid w:val="6F1950F9"/>
    <w:rsid w:val="6F196D90"/>
    <w:rsid w:val="6F3516F0"/>
    <w:rsid w:val="6F465BC5"/>
    <w:rsid w:val="6F69033F"/>
    <w:rsid w:val="6F8166E3"/>
    <w:rsid w:val="6FA04DBB"/>
    <w:rsid w:val="6FAF0499"/>
    <w:rsid w:val="6FDC167B"/>
    <w:rsid w:val="6FDD600F"/>
    <w:rsid w:val="70173375"/>
    <w:rsid w:val="704562AE"/>
    <w:rsid w:val="70457711"/>
    <w:rsid w:val="7052448D"/>
    <w:rsid w:val="70666005"/>
    <w:rsid w:val="709116B5"/>
    <w:rsid w:val="709B5583"/>
    <w:rsid w:val="70B328CC"/>
    <w:rsid w:val="70BF140D"/>
    <w:rsid w:val="70D94AFA"/>
    <w:rsid w:val="70FB1992"/>
    <w:rsid w:val="71092E34"/>
    <w:rsid w:val="71341C5F"/>
    <w:rsid w:val="713F42FD"/>
    <w:rsid w:val="71597917"/>
    <w:rsid w:val="717209D9"/>
    <w:rsid w:val="71796EC1"/>
    <w:rsid w:val="71926986"/>
    <w:rsid w:val="71A650E3"/>
    <w:rsid w:val="71CE1B57"/>
    <w:rsid w:val="71CF1988"/>
    <w:rsid w:val="71DC40A5"/>
    <w:rsid w:val="720F6228"/>
    <w:rsid w:val="7218332F"/>
    <w:rsid w:val="72273572"/>
    <w:rsid w:val="72327E62"/>
    <w:rsid w:val="72330169"/>
    <w:rsid w:val="72345DC0"/>
    <w:rsid w:val="723D46F1"/>
    <w:rsid w:val="724834E8"/>
    <w:rsid w:val="72561E21"/>
    <w:rsid w:val="727B1B10"/>
    <w:rsid w:val="727B38BE"/>
    <w:rsid w:val="727F515C"/>
    <w:rsid w:val="729A65CE"/>
    <w:rsid w:val="72A46970"/>
    <w:rsid w:val="72B82F50"/>
    <w:rsid w:val="72BB3CBA"/>
    <w:rsid w:val="72C45145"/>
    <w:rsid w:val="72D1312B"/>
    <w:rsid w:val="72DF3E4C"/>
    <w:rsid w:val="72DF7E41"/>
    <w:rsid w:val="72E15E16"/>
    <w:rsid w:val="730074EB"/>
    <w:rsid w:val="73104006"/>
    <w:rsid w:val="73317ED1"/>
    <w:rsid w:val="733455DB"/>
    <w:rsid w:val="733A49E2"/>
    <w:rsid w:val="733F6699"/>
    <w:rsid w:val="734B3290"/>
    <w:rsid w:val="736507F6"/>
    <w:rsid w:val="73700F48"/>
    <w:rsid w:val="737427E7"/>
    <w:rsid w:val="73836095"/>
    <w:rsid w:val="73852C46"/>
    <w:rsid w:val="73914324"/>
    <w:rsid w:val="73934336"/>
    <w:rsid w:val="73C13552"/>
    <w:rsid w:val="73CB43D1"/>
    <w:rsid w:val="73D47729"/>
    <w:rsid w:val="73EC4A39"/>
    <w:rsid w:val="74095073"/>
    <w:rsid w:val="746B1995"/>
    <w:rsid w:val="747C1AD0"/>
    <w:rsid w:val="747D1B6F"/>
    <w:rsid w:val="74804FA2"/>
    <w:rsid w:val="749B3DA3"/>
    <w:rsid w:val="74C257D4"/>
    <w:rsid w:val="74C7103C"/>
    <w:rsid w:val="74CF3033"/>
    <w:rsid w:val="74E03EAC"/>
    <w:rsid w:val="74E663AC"/>
    <w:rsid w:val="74F556AA"/>
    <w:rsid w:val="7501454E"/>
    <w:rsid w:val="75051D90"/>
    <w:rsid w:val="75295853"/>
    <w:rsid w:val="75306379"/>
    <w:rsid w:val="75470E99"/>
    <w:rsid w:val="75706FDE"/>
    <w:rsid w:val="758614F3"/>
    <w:rsid w:val="759E3B4B"/>
    <w:rsid w:val="759E55CF"/>
    <w:rsid w:val="75A31161"/>
    <w:rsid w:val="75D457BF"/>
    <w:rsid w:val="75DA08FB"/>
    <w:rsid w:val="76071445"/>
    <w:rsid w:val="7625426C"/>
    <w:rsid w:val="76263B40"/>
    <w:rsid w:val="762A7AD4"/>
    <w:rsid w:val="762F50EB"/>
    <w:rsid w:val="765B7C8E"/>
    <w:rsid w:val="76684159"/>
    <w:rsid w:val="767415B3"/>
    <w:rsid w:val="76AD7DBE"/>
    <w:rsid w:val="76B42B7A"/>
    <w:rsid w:val="76B775BF"/>
    <w:rsid w:val="76B80C3C"/>
    <w:rsid w:val="76C23869"/>
    <w:rsid w:val="76CF41D8"/>
    <w:rsid w:val="76DB3F88"/>
    <w:rsid w:val="76EE4A59"/>
    <w:rsid w:val="77073972"/>
    <w:rsid w:val="77112A42"/>
    <w:rsid w:val="77124879"/>
    <w:rsid w:val="77216F4A"/>
    <w:rsid w:val="772207AC"/>
    <w:rsid w:val="7765009B"/>
    <w:rsid w:val="77884AB3"/>
    <w:rsid w:val="77AB515F"/>
    <w:rsid w:val="77B402E4"/>
    <w:rsid w:val="77C57139"/>
    <w:rsid w:val="77E6583A"/>
    <w:rsid w:val="782A3DBC"/>
    <w:rsid w:val="783C3AEF"/>
    <w:rsid w:val="785E3A65"/>
    <w:rsid w:val="785F5C3D"/>
    <w:rsid w:val="7863107C"/>
    <w:rsid w:val="78872618"/>
    <w:rsid w:val="788A485A"/>
    <w:rsid w:val="789C1508"/>
    <w:rsid w:val="789D6CAA"/>
    <w:rsid w:val="78A23952"/>
    <w:rsid w:val="78B84AD0"/>
    <w:rsid w:val="78BC1F96"/>
    <w:rsid w:val="790C526F"/>
    <w:rsid w:val="792702FB"/>
    <w:rsid w:val="79273628"/>
    <w:rsid w:val="794D6C70"/>
    <w:rsid w:val="795A5FDB"/>
    <w:rsid w:val="7970568D"/>
    <w:rsid w:val="797A2FE7"/>
    <w:rsid w:val="799C4845"/>
    <w:rsid w:val="79A2404B"/>
    <w:rsid w:val="79B25E17"/>
    <w:rsid w:val="79B650F9"/>
    <w:rsid w:val="79BA116F"/>
    <w:rsid w:val="79C773E8"/>
    <w:rsid w:val="79DF2984"/>
    <w:rsid w:val="7A0667B1"/>
    <w:rsid w:val="7A102AD6"/>
    <w:rsid w:val="7A344A7E"/>
    <w:rsid w:val="7A3507F6"/>
    <w:rsid w:val="7A467FEA"/>
    <w:rsid w:val="7A4B1DC7"/>
    <w:rsid w:val="7A6B4218"/>
    <w:rsid w:val="7A8A28F0"/>
    <w:rsid w:val="7AE00762"/>
    <w:rsid w:val="7AE216A4"/>
    <w:rsid w:val="7AE819EB"/>
    <w:rsid w:val="7AF4685B"/>
    <w:rsid w:val="7AFB2B92"/>
    <w:rsid w:val="7B0A57DF"/>
    <w:rsid w:val="7B346CFF"/>
    <w:rsid w:val="7B6F7877"/>
    <w:rsid w:val="7B712530"/>
    <w:rsid w:val="7B7535A0"/>
    <w:rsid w:val="7B803780"/>
    <w:rsid w:val="7B810197"/>
    <w:rsid w:val="7B8C4D91"/>
    <w:rsid w:val="7B9E276A"/>
    <w:rsid w:val="7BBD6CF5"/>
    <w:rsid w:val="7C00240D"/>
    <w:rsid w:val="7C1C0B4E"/>
    <w:rsid w:val="7C1E59E5"/>
    <w:rsid w:val="7C224DAA"/>
    <w:rsid w:val="7C257CE7"/>
    <w:rsid w:val="7C286864"/>
    <w:rsid w:val="7C3C47A7"/>
    <w:rsid w:val="7C53103D"/>
    <w:rsid w:val="7C5E2286"/>
    <w:rsid w:val="7CD75552"/>
    <w:rsid w:val="7CF36E72"/>
    <w:rsid w:val="7CFE1373"/>
    <w:rsid w:val="7D0D15B6"/>
    <w:rsid w:val="7D0D7808"/>
    <w:rsid w:val="7D24527D"/>
    <w:rsid w:val="7D32101D"/>
    <w:rsid w:val="7D3D1E41"/>
    <w:rsid w:val="7D4551F4"/>
    <w:rsid w:val="7D61719C"/>
    <w:rsid w:val="7D650B15"/>
    <w:rsid w:val="7DA32BE1"/>
    <w:rsid w:val="7DA71A0B"/>
    <w:rsid w:val="7DB61C4E"/>
    <w:rsid w:val="7DFD26CF"/>
    <w:rsid w:val="7E1B5633"/>
    <w:rsid w:val="7E4521C3"/>
    <w:rsid w:val="7E590F57"/>
    <w:rsid w:val="7E7E201E"/>
    <w:rsid w:val="7EAD7761"/>
    <w:rsid w:val="7EAF6B83"/>
    <w:rsid w:val="7ECB3117"/>
    <w:rsid w:val="7ECB34D7"/>
    <w:rsid w:val="7F025F9A"/>
    <w:rsid w:val="7F030EC3"/>
    <w:rsid w:val="7F233313"/>
    <w:rsid w:val="7F4F46DF"/>
    <w:rsid w:val="7F6A0DAF"/>
    <w:rsid w:val="7F800F26"/>
    <w:rsid w:val="7FA97CBC"/>
    <w:rsid w:val="7FDF723A"/>
    <w:rsid w:val="7FE900B8"/>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link w:val="33"/>
    <w:qFormat/>
    <w:uiPriority w:val="0"/>
    <w:pPr>
      <w:tabs>
        <w:tab w:val="left" w:pos="1281"/>
      </w:tabs>
      <w:spacing w:before="54" w:beforeAutospacing="1" w:after="100" w:afterAutospacing="1"/>
      <w:ind w:left="660" w:right="274"/>
      <w:jc w:val="center"/>
      <w:outlineLvl w:val="0"/>
    </w:pPr>
    <w:rPr>
      <w:rFonts w:ascii="宋体" w:hAnsi="宋体" w:eastAsia="黑体" w:cs="Times New Roman"/>
      <w:b/>
      <w:bCs/>
      <w:color w:val="000000"/>
      <w:sz w:val="30"/>
      <w:szCs w:val="48"/>
      <w:lang w:val="en-US" w:bidi="ar-SA"/>
    </w:rPr>
  </w:style>
  <w:style w:type="paragraph" w:styleId="4">
    <w:name w:val="heading 2"/>
    <w:basedOn w:val="1"/>
    <w:next w:val="1"/>
    <w:link w:val="34"/>
    <w:unhideWhenUsed/>
    <w:qFormat/>
    <w:uiPriority w:val="0"/>
    <w:pPr>
      <w:spacing w:before="100" w:beforeAutospacing="1" w:after="100" w:afterAutospacing="1"/>
      <w:jc w:val="center"/>
      <w:outlineLvl w:val="1"/>
    </w:pPr>
    <w:rPr>
      <w:rFonts w:hint="eastAsia" w:ascii="宋体" w:hAnsi="宋体" w:cs="Times New Roman"/>
      <w:b/>
      <w:bCs/>
      <w:sz w:val="36"/>
      <w:szCs w:val="36"/>
      <w:lang w:val="en-US" w:bidi="ar-SA"/>
    </w:rPr>
  </w:style>
  <w:style w:type="paragraph" w:styleId="5">
    <w:name w:val="heading 3"/>
    <w:basedOn w:val="1"/>
    <w:next w:val="1"/>
    <w:link w:val="35"/>
    <w:unhideWhenUsed/>
    <w:qFormat/>
    <w:uiPriority w:val="0"/>
    <w:pPr>
      <w:keepNext/>
      <w:keepLines/>
      <w:spacing w:before="100" w:after="100" w:line="360" w:lineRule="auto"/>
      <w:jc w:val="center"/>
      <w:outlineLvl w:val="2"/>
    </w:pPr>
    <w:rPr>
      <w:rFonts w:ascii="Times New Roman" w:hAnsi="Times New Roman"/>
      <w:b/>
      <w:bCs/>
      <w:sz w:val="32"/>
      <w:szCs w:val="32"/>
    </w:rPr>
  </w:style>
  <w:style w:type="paragraph" w:styleId="2">
    <w:name w:val="heading 4"/>
    <w:basedOn w:val="1"/>
    <w:next w:val="1"/>
    <w:qFormat/>
    <w:uiPriority w:val="0"/>
    <w:pPr>
      <w:numPr>
        <w:ilvl w:val="3"/>
        <w:numId w:val="1"/>
      </w:numPr>
      <w:tabs>
        <w:tab w:val="left" w:pos="2155"/>
      </w:tabs>
      <w:adjustRightInd w:val="0"/>
      <w:spacing w:before="120" w:line="360" w:lineRule="auto"/>
      <w:textAlignment w:val="baseline"/>
      <w:outlineLvl w:val="3"/>
    </w:pPr>
    <w:rPr>
      <w:rFonts w:ascii="Arial" w:hAnsi="Arial" w:eastAsia="黑体"/>
      <w:kern w:val="0"/>
      <w:sz w:val="28"/>
      <w:szCs w:val="20"/>
    </w:rPr>
  </w:style>
  <w:style w:type="paragraph" w:styleId="6">
    <w:name w:val="heading 5"/>
    <w:basedOn w:val="1"/>
    <w:next w:val="1"/>
    <w:qFormat/>
    <w:uiPriority w:val="1"/>
    <w:pPr>
      <w:ind w:left="676"/>
      <w:outlineLvl w:val="4"/>
    </w:pPr>
    <w:rPr>
      <w:b/>
      <w:bCs/>
      <w:sz w:val="24"/>
      <w:szCs w:val="24"/>
    </w:rPr>
  </w:style>
  <w:style w:type="paragraph" w:styleId="7">
    <w:name w:val="heading 6"/>
    <w:basedOn w:val="1"/>
    <w:next w:val="1"/>
    <w:link w:val="36"/>
    <w:unhideWhenUsed/>
    <w:qFormat/>
    <w:uiPriority w:val="0"/>
    <w:pPr>
      <w:keepNext/>
      <w:keepLines/>
      <w:widowControl/>
      <w:tabs>
        <w:tab w:val="left" w:pos="1440"/>
      </w:tabs>
      <w:spacing w:before="240" w:after="64" w:line="320" w:lineRule="auto"/>
      <w:ind w:left="1152" w:hanging="1152"/>
      <w:outlineLvl w:val="5"/>
    </w:pPr>
    <w:rPr>
      <w:rFonts w:ascii="Arial" w:hAnsi="Arial" w:eastAsia="黑体"/>
      <w:bCs/>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firstLineChars="200"/>
    </w:pPr>
  </w:style>
  <w:style w:type="paragraph" w:styleId="9">
    <w:name w:val="Document Map"/>
    <w:basedOn w:val="1"/>
    <w:qFormat/>
    <w:uiPriority w:val="99"/>
    <w:pPr>
      <w:spacing w:line="480" w:lineRule="auto"/>
      <w:ind w:firstLine="200" w:firstLineChars="200"/>
      <w:jc w:val="both"/>
    </w:pPr>
    <w:rPr>
      <w:rFonts w:ascii="宋体"/>
      <w:sz w:val="18"/>
      <w:szCs w:val="18"/>
    </w:rPr>
  </w:style>
  <w:style w:type="paragraph" w:styleId="10">
    <w:name w:val="annotation text"/>
    <w:basedOn w:val="1"/>
    <w:qFormat/>
    <w:uiPriority w:val="0"/>
  </w:style>
  <w:style w:type="paragraph" w:styleId="11">
    <w:name w:val="Body Text"/>
    <w:basedOn w:val="1"/>
    <w:next w:val="12"/>
    <w:qFormat/>
    <w:uiPriority w:val="1"/>
    <w:rPr>
      <w:sz w:val="24"/>
      <w:szCs w:val="24"/>
    </w:rPr>
  </w:style>
  <w:style w:type="paragraph" w:styleId="12">
    <w:name w:val="toc 5"/>
    <w:basedOn w:val="1"/>
    <w:next w:val="1"/>
    <w:qFormat/>
    <w:uiPriority w:val="39"/>
    <w:pPr>
      <w:ind w:left="800" w:leftChars="800"/>
    </w:pPr>
  </w:style>
  <w:style w:type="paragraph" w:styleId="13">
    <w:name w:val="Body Text Indent"/>
    <w:basedOn w:val="1"/>
    <w:next w:val="14"/>
    <w:qFormat/>
    <w:uiPriority w:val="0"/>
    <w:pPr>
      <w:spacing w:line="480" w:lineRule="auto"/>
      <w:ind w:firstLine="600"/>
    </w:pPr>
    <w:rPr>
      <w:sz w:val="28"/>
    </w:rPr>
  </w:style>
  <w:style w:type="paragraph" w:styleId="14">
    <w:name w:val="Body Text First Indent 2"/>
    <w:basedOn w:val="13"/>
    <w:next w:val="15"/>
    <w:qFormat/>
    <w:uiPriority w:val="0"/>
    <w:pPr>
      <w:spacing w:after="120" w:line="240" w:lineRule="auto"/>
      <w:ind w:left="420" w:leftChars="200" w:firstLine="420" w:firstLineChars="200"/>
    </w:pPr>
    <w:rPr>
      <w:sz w:val="21"/>
    </w:rPr>
  </w:style>
  <w:style w:type="paragraph" w:styleId="15">
    <w:name w:val="Body Text First Indent"/>
    <w:basedOn w:val="11"/>
    <w:next w:val="1"/>
    <w:unhideWhenUsed/>
    <w:qFormat/>
    <w:uiPriority w:val="99"/>
    <w:pPr>
      <w:spacing w:after="120"/>
      <w:ind w:firstLine="420" w:firstLineChars="100"/>
    </w:pPr>
    <w:rPr>
      <w:sz w:val="21"/>
    </w:rPr>
  </w:style>
  <w:style w:type="paragraph" w:styleId="16">
    <w:name w:val="Plain Text"/>
    <w:basedOn w:val="1"/>
    <w:qFormat/>
    <w:uiPriority w:val="0"/>
    <w:rPr>
      <w:rFonts w:ascii="宋体" w:hAnsi="Courier New" w:eastAsia="宋体" w:cs="Times New Roman"/>
    </w:rPr>
  </w:style>
  <w:style w:type="paragraph" w:styleId="17">
    <w:name w:val="Balloon Text"/>
    <w:basedOn w:val="1"/>
    <w:link w:val="84"/>
    <w:qFormat/>
    <w:uiPriority w:val="0"/>
    <w:rPr>
      <w:sz w:val="18"/>
      <w:szCs w:val="18"/>
    </w:rPr>
  </w:style>
  <w:style w:type="paragraph" w:styleId="18">
    <w:name w:val="footer"/>
    <w:basedOn w:val="1"/>
    <w:qFormat/>
    <w:uiPriority w:val="0"/>
    <w:pPr>
      <w:tabs>
        <w:tab w:val="center" w:pos="4153"/>
        <w:tab w:val="right" w:pos="8306"/>
      </w:tabs>
      <w:snapToGrid w:val="0"/>
    </w:pPr>
    <w:rPr>
      <w:sz w:val="18"/>
    </w:rPr>
  </w:style>
  <w:style w:type="paragraph" w:styleId="1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next w:val="1"/>
    <w:qFormat/>
    <w:uiPriority w:val="1"/>
    <w:pPr>
      <w:spacing w:before="123"/>
      <w:ind w:right="1065"/>
      <w:jc w:val="right"/>
    </w:pPr>
    <w:rPr>
      <w:b/>
      <w:bCs/>
      <w:sz w:val="20"/>
      <w:szCs w:val="20"/>
    </w:rPr>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toc 2"/>
    <w:basedOn w:val="1"/>
    <w:next w:val="1"/>
    <w:qFormat/>
    <w:uiPriority w:val="1"/>
    <w:pPr>
      <w:spacing w:before="3"/>
      <w:ind w:right="1065"/>
      <w:jc w:val="right"/>
    </w:pPr>
    <w:rPr>
      <w:sz w:val="20"/>
      <w:szCs w:val="20"/>
    </w:rPr>
  </w:style>
  <w:style w:type="paragraph" w:styleId="23">
    <w:name w:val="toc 9"/>
    <w:basedOn w:val="1"/>
    <w:next w:val="1"/>
    <w:qFormat/>
    <w:uiPriority w:val="0"/>
    <w:pPr>
      <w:ind w:left="1680"/>
    </w:pPr>
    <w:rPr>
      <w:sz w:val="18"/>
      <w:szCs w:val="18"/>
    </w:rPr>
  </w:style>
  <w:style w:type="paragraph" w:styleId="24">
    <w:name w:val="Body Text 2"/>
    <w:basedOn w:val="1"/>
    <w:qFormat/>
    <w:uiPriority w:val="0"/>
    <w:rPr>
      <w:rFonts w:ascii="宋体"/>
      <w:sz w:val="13"/>
      <w:szCs w:val="20"/>
    </w:rPr>
  </w:style>
  <w:style w:type="paragraph" w:styleId="2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bidi="ar-SA"/>
    </w:rPr>
  </w:style>
  <w:style w:type="paragraph" w:styleId="26">
    <w:name w:val="Normal (Web)"/>
    <w:basedOn w:val="1"/>
    <w:next w:val="1"/>
    <w:qFormat/>
    <w:uiPriority w:val="0"/>
    <w:pPr>
      <w:spacing w:before="100" w:beforeAutospacing="1" w:after="100" w:afterAutospacing="1"/>
    </w:pPr>
    <w:rPr>
      <w:rFonts w:cs="Times New Roman"/>
      <w:sz w:val="24"/>
      <w:lang w:val="en-US" w:bidi="ar-SA"/>
    </w:rPr>
  </w:style>
  <w:style w:type="paragraph" w:styleId="27">
    <w:name w:val="Title"/>
    <w:basedOn w:val="1"/>
    <w:next w:val="1"/>
    <w:qFormat/>
    <w:uiPriority w:val="0"/>
    <w:pPr>
      <w:wordWrap w:val="0"/>
      <w:overflowPunct w:val="0"/>
      <w:adjustRightInd w:val="0"/>
      <w:spacing w:before="240" w:after="60" w:line="360" w:lineRule="auto"/>
      <w:jc w:val="center"/>
      <w:textAlignment w:val="baseline"/>
      <w:outlineLvl w:val="0"/>
    </w:pPr>
    <w:rPr>
      <w:rFonts w:ascii="等线 Light" w:hAnsi="等线 Light"/>
      <w:b/>
      <w:bCs/>
      <w:sz w:val="32"/>
      <w:szCs w:val="32"/>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Hyperlink"/>
    <w:basedOn w:val="30"/>
    <w:qFormat/>
    <w:uiPriority w:val="0"/>
    <w:rPr>
      <w:color w:val="0000FF"/>
      <w:u w:val="single"/>
    </w:rPr>
  </w:style>
  <w:style w:type="character" w:customStyle="1" w:styleId="33">
    <w:name w:val="标题 1 Char"/>
    <w:link w:val="3"/>
    <w:qFormat/>
    <w:uiPriority w:val="0"/>
    <w:rPr>
      <w:rFonts w:ascii="宋体" w:hAnsi="宋体" w:eastAsia="黑体" w:cs="宋体"/>
      <w:b/>
      <w:bCs/>
      <w:color w:val="000000"/>
      <w:sz w:val="30"/>
      <w:szCs w:val="48"/>
      <w:lang w:val="en-US" w:eastAsia="zh-CN" w:bidi="ar"/>
    </w:rPr>
  </w:style>
  <w:style w:type="character" w:customStyle="1" w:styleId="34">
    <w:name w:val="标题 2 Char"/>
    <w:link w:val="4"/>
    <w:qFormat/>
    <w:uiPriority w:val="0"/>
    <w:rPr>
      <w:rFonts w:ascii="宋体" w:hAnsi="宋体" w:eastAsia="仿宋" w:cs="Times New Roman"/>
      <w:bCs/>
      <w:kern w:val="2"/>
      <w:sz w:val="28"/>
      <w:szCs w:val="32"/>
    </w:rPr>
  </w:style>
  <w:style w:type="character" w:customStyle="1" w:styleId="35">
    <w:name w:val="标题 3 Char"/>
    <w:link w:val="5"/>
    <w:qFormat/>
    <w:uiPriority w:val="0"/>
    <w:rPr>
      <w:rFonts w:ascii="Times New Roman" w:hAnsi="Times New Roman" w:eastAsia="仿宋" w:cs="Times New Roman"/>
      <w:b/>
      <w:bCs/>
      <w:sz w:val="32"/>
      <w:szCs w:val="32"/>
    </w:rPr>
  </w:style>
  <w:style w:type="character" w:customStyle="1" w:styleId="36">
    <w:name w:val="标题 6 Char"/>
    <w:link w:val="7"/>
    <w:qFormat/>
    <w:uiPriority w:val="0"/>
    <w:rPr>
      <w:rFonts w:ascii="Arial" w:hAnsi="Arial" w:eastAsia="黑体" w:cs="Times New Roman"/>
      <w:bCs/>
      <w:kern w:val="0"/>
      <w:sz w:val="24"/>
      <w:szCs w:val="24"/>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Default"/>
    <w:basedOn w:val="1"/>
    <w:qFormat/>
    <w:uiPriority w:val="6"/>
    <w:pPr>
      <w:adjustRightInd w:val="0"/>
    </w:pPr>
    <w:rPr>
      <w:sz w:val="24"/>
      <w:szCs w:val="24"/>
    </w:rPr>
  </w:style>
  <w:style w:type="paragraph" w:customStyle="1" w:styleId="39">
    <w:name w:val="表格文字"/>
    <w:basedOn w:val="1"/>
    <w:qFormat/>
    <w:uiPriority w:val="0"/>
    <w:pPr>
      <w:spacing w:before="25" w:after="25"/>
    </w:pPr>
    <w:rPr>
      <w:rFonts w:ascii="Times New Roman" w:hAnsi="Times New Roman"/>
      <w:bCs/>
      <w:spacing w:val="10"/>
      <w:sz w:val="24"/>
    </w:rPr>
  </w:style>
  <w:style w:type="paragraph" w:styleId="40">
    <w:name w:val="List Paragraph"/>
    <w:basedOn w:val="1"/>
    <w:qFormat/>
    <w:uiPriority w:val="1"/>
    <w:pPr>
      <w:ind w:left="676" w:firstLine="480"/>
    </w:pPr>
  </w:style>
  <w:style w:type="paragraph" w:customStyle="1" w:styleId="41">
    <w:name w:val="p1"/>
    <w:basedOn w:val="1"/>
    <w:qFormat/>
    <w:uiPriority w:val="0"/>
    <w:pPr>
      <w:spacing w:line="30" w:lineRule="atLeast"/>
      <w:jc w:val="center"/>
    </w:pPr>
    <w:rPr>
      <w:rFonts w:hint="eastAsia" w:ascii="宋体" w:hAnsi="宋体"/>
      <w:sz w:val="28"/>
      <w:szCs w:val="28"/>
    </w:rPr>
  </w:style>
  <w:style w:type="paragraph" w:customStyle="1" w:styleId="42">
    <w:name w:val="Table Paragraph"/>
    <w:basedOn w:val="1"/>
    <w:qFormat/>
    <w:uiPriority w:val="1"/>
  </w:style>
  <w:style w:type="character" w:customStyle="1" w:styleId="43">
    <w:name w:val="font81"/>
    <w:basedOn w:val="30"/>
    <w:qFormat/>
    <w:uiPriority w:val="0"/>
    <w:rPr>
      <w:rFonts w:hint="eastAsia" w:ascii="宋体" w:hAnsi="宋体" w:eastAsia="宋体" w:cs="宋体"/>
      <w:color w:val="000000"/>
      <w:sz w:val="21"/>
      <w:szCs w:val="21"/>
      <w:u w:val="none"/>
    </w:rPr>
  </w:style>
  <w:style w:type="character" w:customStyle="1" w:styleId="44">
    <w:name w:val="font122"/>
    <w:basedOn w:val="30"/>
    <w:qFormat/>
    <w:uiPriority w:val="0"/>
    <w:rPr>
      <w:rFonts w:hint="eastAsia" w:ascii="宋体" w:hAnsi="宋体" w:eastAsia="宋体" w:cs="宋体"/>
      <w:color w:val="000000"/>
      <w:sz w:val="20"/>
      <w:szCs w:val="20"/>
      <w:u w:val="none"/>
    </w:rPr>
  </w:style>
  <w:style w:type="character" w:customStyle="1" w:styleId="45">
    <w:name w:val="font12"/>
    <w:basedOn w:val="30"/>
    <w:qFormat/>
    <w:uiPriority w:val="0"/>
    <w:rPr>
      <w:rFonts w:hint="default" w:ascii="Times New Roman" w:hAnsi="Times New Roman" w:cs="Times New Roman"/>
      <w:color w:val="000000"/>
      <w:sz w:val="21"/>
      <w:szCs w:val="21"/>
      <w:u w:val="none"/>
    </w:rPr>
  </w:style>
  <w:style w:type="character" w:customStyle="1" w:styleId="46">
    <w:name w:val="font141"/>
    <w:basedOn w:val="30"/>
    <w:qFormat/>
    <w:uiPriority w:val="0"/>
    <w:rPr>
      <w:rFonts w:hint="eastAsia" w:ascii="宋体" w:hAnsi="宋体" w:eastAsia="宋体" w:cs="宋体"/>
      <w:color w:val="000000"/>
      <w:sz w:val="20"/>
      <w:szCs w:val="20"/>
      <w:u w:val="none"/>
    </w:rPr>
  </w:style>
  <w:style w:type="character" w:customStyle="1" w:styleId="47">
    <w:name w:val="font161"/>
    <w:basedOn w:val="30"/>
    <w:qFormat/>
    <w:uiPriority w:val="0"/>
    <w:rPr>
      <w:rFonts w:hint="eastAsia" w:ascii="宋体" w:hAnsi="宋体" w:eastAsia="宋体" w:cs="宋体"/>
      <w:color w:val="000000"/>
      <w:sz w:val="24"/>
      <w:szCs w:val="24"/>
      <w:u w:val="none"/>
    </w:rPr>
  </w:style>
  <w:style w:type="paragraph" w:customStyle="1" w:styleId="4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1">
    <w:name w:val="_Style 2"/>
    <w:basedOn w:val="1"/>
    <w:qFormat/>
    <w:uiPriority w:val="0"/>
  </w:style>
  <w:style w:type="paragraph" w:customStyle="1" w:styleId="52">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font31"/>
    <w:basedOn w:val="30"/>
    <w:qFormat/>
    <w:uiPriority w:val="0"/>
    <w:rPr>
      <w:rFonts w:hint="eastAsia" w:ascii="等线" w:hAnsi="等线" w:eastAsia="等线" w:cs="等线"/>
      <w:b/>
      <w:bCs/>
      <w:color w:val="000000"/>
      <w:sz w:val="20"/>
      <w:szCs w:val="20"/>
      <w:u w:val="none"/>
    </w:rPr>
  </w:style>
  <w:style w:type="character" w:customStyle="1" w:styleId="54">
    <w:name w:val="font21"/>
    <w:basedOn w:val="30"/>
    <w:qFormat/>
    <w:uiPriority w:val="0"/>
    <w:rPr>
      <w:rFonts w:hint="eastAsia" w:ascii="宋体" w:hAnsi="宋体" w:eastAsia="宋体" w:cs="宋体"/>
      <w:color w:val="000000"/>
      <w:sz w:val="20"/>
      <w:szCs w:val="20"/>
      <w:u w:val="none"/>
    </w:rPr>
  </w:style>
  <w:style w:type="character" w:customStyle="1" w:styleId="55">
    <w:name w:val="font111"/>
    <w:basedOn w:val="30"/>
    <w:qFormat/>
    <w:uiPriority w:val="0"/>
    <w:rPr>
      <w:rFonts w:hint="default" w:ascii="Times New Roman" w:hAnsi="Times New Roman" w:cs="Times New Roman"/>
      <w:color w:val="000000"/>
      <w:sz w:val="20"/>
      <w:szCs w:val="20"/>
      <w:u w:val="none"/>
    </w:rPr>
  </w:style>
  <w:style w:type="character" w:customStyle="1" w:styleId="56">
    <w:name w:val="font91"/>
    <w:basedOn w:val="30"/>
    <w:qFormat/>
    <w:uiPriority w:val="0"/>
    <w:rPr>
      <w:rFonts w:hint="default" w:ascii="Times New Roman" w:hAnsi="Times New Roman" w:cs="Times New Roman"/>
      <w:color w:val="000000"/>
      <w:sz w:val="20"/>
      <w:szCs w:val="20"/>
      <w:u w:val="none"/>
    </w:rPr>
  </w:style>
  <w:style w:type="character" w:customStyle="1" w:styleId="57">
    <w:name w:val="font131"/>
    <w:basedOn w:val="30"/>
    <w:qFormat/>
    <w:uiPriority w:val="0"/>
    <w:rPr>
      <w:rFonts w:hint="eastAsia" w:ascii="宋体" w:hAnsi="宋体" w:eastAsia="宋体" w:cs="宋体"/>
      <w:color w:val="000000"/>
      <w:sz w:val="20"/>
      <w:szCs w:val="20"/>
      <w:u w:val="none"/>
    </w:rPr>
  </w:style>
  <w:style w:type="character" w:customStyle="1" w:styleId="58">
    <w:name w:val="font51"/>
    <w:basedOn w:val="30"/>
    <w:qFormat/>
    <w:uiPriority w:val="0"/>
    <w:rPr>
      <w:rFonts w:hint="eastAsia" w:ascii="等线" w:hAnsi="等线" w:eastAsia="等线" w:cs="等线"/>
      <w:b/>
      <w:bCs/>
      <w:color w:val="000000"/>
      <w:sz w:val="20"/>
      <w:szCs w:val="20"/>
      <w:u w:val="none"/>
    </w:rPr>
  </w:style>
  <w:style w:type="character" w:customStyle="1" w:styleId="59">
    <w:name w:val="font101"/>
    <w:basedOn w:val="30"/>
    <w:qFormat/>
    <w:uiPriority w:val="0"/>
    <w:rPr>
      <w:rFonts w:hint="default" w:ascii="Times New Roman" w:hAnsi="Times New Roman" w:cs="Times New Roman"/>
      <w:color w:val="000000"/>
      <w:sz w:val="20"/>
      <w:szCs w:val="20"/>
      <w:u w:val="none"/>
    </w:rPr>
  </w:style>
  <w:style w:type="character" w:customStyle="1" w:styleId="60">
    <w:name w:val="font01"/>
    <w:basedOn w:val="30"/>
    <w:qFormat/>
    <w:uiPriority w:val="0"/>
    <w:rPr>
      <w:rFonts w:ascii="宋体" w:hAnsi="宋体" w:eastAsia="宋体" w:cs="宋体"/>
      <w:color w:val="000000"/>
      <w:sz w:val="20"/>
      <w:szCs w:val="20"/>
      <w:u w:val="none"/>
    </w:rPr>
  </w:style>
  <w:style w:type="character" w:customStyle="1" w:styleId="61">
    <w:name w:val="font112"/>
    <w:basedOn w:val="30"/>
    <w:qFormat/>
    <w:uiPriority w:val="0"/>
    <w:rPr>
      <w:rFonts w:hint="default" w:ascii="Times New Roman" w:hAnsi="Times New Roman" w:cs="Times New Roman"/>
      <w:color w:val="000000"/>
      <w:sz w:val="20"/>
      <w:szCs w:val="20"/>
      <w:u w:val="none"/>
    </w:rPr>
  </w:style>
  <w:style w:type="character" w:customStyle="1" w:styleId="62">
    <w:name w:val="font121"/>
    <w:basedOn w:val="30"/>
    <w:qFormat/>
    <w:uiPriority w:val="0"/>
    <w:rPr>
      <w:rFonts w:hint="default" w:ascii="Times New Roman" w:hAnsi="Times New Roman" w:cs="Times New Roman"/>
      <w:color w:val="000000"/>
      <w:sz w:val="20"/>
      <w:szCs w:val="20"/>
      <w:u w:val="none"/>
    </w:rPr>
  </w:style>
  <w:style w:type="character" w:customStyle="1" w:styleId="63">
    <w:name w:val="font41"/>
    <w:basedOn w:val="30"/>
    <w:qFormat/>
    <w:uiPriority w:val="0"/>
    <w:rPr>
      <w:rFonts w:hint="eastAsia" w:ascii="等线" w:hAnsi="等线" w:eastAsia="等线" w:cs="等线"/>
      <w:b/>
      <w:bCs/>
      <w:color w:val="000000"/>
      <w:sz w:val="20"/>
      <w:szCs w:val="20"/>
      <w:u w:val="none"/>
    </w:rPr>
  </w:style>
  <w:style w:type="character" w:customStyle="1" w:styleId="64">
    <w:name w:val="font151"/>
    <w:basedOn w:val="30"/>
    <w:qFormat/>
    <w:uiPriority w:val="0"/>
    <w:rPr>
      <w:rFonts w:hint="eastAsia" w:ascii="宋体" w:hAnsi="宋体" w:eastAsia="宋体" w:cs="宋体"/>
      <w:color w:val="000000"/>
      <w:sz w:val="20"/>
      <w:szCs w:val="20"/>
      <w:u w:val="none"/>
    </w:rPr>
  </w:style>
  <w:style w:type="character" w:customStyle="1" w:styleId="65">
    <w:name w:val="font11"/>
    <w:basedOn w:val="30"/>
    <w:qFormat/>
    <w:uiPriority w:val="0"/>
    <w:rPr>
      <w:rFonts w:hint="default" w:ascii="Times New Roman" w:hAnsi="Times New Roman" w:cs="Times New Roman"/>
      <w:color w:val="000000"/>
      <w:sz w:val="20"/>
      <w:szCs w:val="20"/>
      <w:u w:val="none"/>
    </w:rPr>
  </w:style>
  <w:style w:type="paragraph" w:customStyle="1" w:styleId="66">
    <w:name w:val="样式 三号"/>
    <w:qFormat/>
    <w:uiPriority w:val="0"/>
    <w:pPr>
      <w:widowControl w:val="0"/>
      <w:spacing w:line="560" w:lineRule="exact"/>
      <w:jc w:val="both"/>
    </w:pPr>
    <w:rPr>
      <w:rFonts w:ascii="Times New Roman" w:hAnsi="Times New Roman" w:eastAsia="方正仿宋_GBK" w:cs="Times New Roman"/>
      <w:spacing w:val="-4"/>
      <w:kern w:val="2"/>
      <w:sz w:val="32"/>
      <w:lang w:val="en-US" w:eastAsia="zh-CN" w:bidi="ar-SA"/>
    </w:rPr>
  </w:style>
  <w:style w:type="paragraph" w:customStyle="1" w:styleId="67">
    <w:name w:val="正文_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8">
    <w:name w:val="NormalCharacter"/>
    <w:link w:val="69"/>
    <w:qFormat/>
    <w:uiPriority w:val="0"/>
  </w:style>
  <w:style w:type="paragraph" w:customStyle="1" w:styleId="69">
    <w:name w:val="UserStyle_1"/>
    <w:basedOn w:val="1"/>
    <w:link w:val="68"/>
    <w:qFormat/>
    <w:uiPriority w:val="0"/>
  </w:style>
  <w:style w:type="character" w:customStyle="1" w:styleId="70">
    <w:name w:val="grame"/>
    <w:basedOn w:val="30"/>
    <w:qFormat/>
    <w:uiPriority w:val="0"/>
  </w:style>
  <w:style w:type="paragraph" w:customStyle="1" w:styleId="71">
    <w:name w:val="xl23"/>
    <w:next w:val="23"/>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72">
    <w:name w:val="Absatz2AL"/>
    <w:basedOn w:val="11"/>
    <w:next w:val="1"/>
    <w:qFormat/>
    <w:uiPriority w:val="0"/>
    <w:pPr>
      <w:widowControl/>
      <w:overflowPunct w:val="0"/>
      <w:adjustRightInd w:val="0"/>
      <w:textAlignment w:val="baseline"/>
    </w:pPr>
    <w:rPr>
      <w:rFonts w:ascii="Times New Roman" w:hAnsi="Times New Roman" w:eastAsia="楷体_GB2312"/>
      <w:lang w:val="de-DE" w:eastAsia="de-DE"/>
    </w:rPr>
  </w:style>
  <w:style w:type="paragraph" w:customStyle="1" w:styleId="73">
    <w:name w:val="Normal Indent1"/>
    <w:basedOn w:val="74"/>
    <w:qFormat/>
    <w:uiPriority w:val="99"/>
    <w:pPr>
      <w:ind w:firstLine="420" w:firstLineChars="200"/>
    </w:pPr>
  </w:style>
  <w:style w:type="paragraph" w:customStyle="1" w:styleId="74">
    <w:name w:val="正文 New New New"/>
    <w:next w:val="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文本 (2)1"/>
    <w:basedOn w:val="1"/>
    <w:link w:val="76"/>
    <w:qFormat/>
    <w:uiPriority w:val="99"/>
    <w:pPr>
      <w:shd w:val="clear" w:color="auto" w:fill="FFFFFF"/>
      <w:spacing w:before="660" w:after="480" w:line="547" w:lineRule="exact"/>
      <w:jc w:val="distribute"/>
    </w:pPr>
    <w:rPr>
      <w:rFonts w:ascii="宋体" w:cs="宋体"/>
    </w:rPr>
  </w:style>
  <w:style w:type="character" w:customStyle="1" w:styleId="76">
    <w:name w:val="正文文本 (2)_"/>
    <w:basedOn w:val="30"/>
    <w:link w:val="75"/>
    <w:qFormat/>
    <w:locked/>
    <w:uiPriority w:val="99"/>
    <w:rPr>
      <w:rFonts w:ascii="宋体" w:cs="宋体"/>
      <w:sz w:val="22"/>
    </w:rPr>
  </w:style>
  <w:style w:type="character" w:customStyle="1" w:styleId="77">
    <w:name w:val="正文文本 (2) + 粗体"/>
    <w:basedOn w:val="76"/>
    <w:qFormat/>
    <w:uiPriority w:val="99"/>
    <w:rPr>
      <w:rFonts w:ascii="宋体" w:eastAsia="宋体" w:cs="宋体"/>
      <w:b/>
      <w:bCs/>
      <w:color w:val="auto"/>
      <w:sz w:val="22"/>
      <w:szCs w:val="22"/>
      <w:lang w:val="en-US"/>
    </w:rPr>
  </w:style>
  <w:style w:type="character" w:customStyle="1" w:styleId="78">
    <w:name w:val="正文文本 (2) + 10 pt"/>
    <w:basedOn w:val="76"/>
    <w:qFormat/>
    <w:uiPriority w:val="99"/>
    <w:rPr>
      <w:rFonts w:ascii="宋体" w:eastAsia="宋体" w:cs="宋体"/>
      <w:color w:val="auto"/>
      <w:sz w:val="20"/>
      <w:szCs w:val="20"/>
      <w:lang w:val="en-US"/>
    </w:rPr>
  </w:style>
  <w:style w:type="character" w:customStyle="1" w:styleId="79">
    <w:name w:val="正文文本 (2) + 10 pt2"/>
    <w:basedOn w:val="76"/>
    <w:qFormat/>
    <w:uiPriority w:val="99"/>
    <w:rPr>
      <w:rFonts w:ascii="宋体" w:eastAsia="宋体" w:cs="宋体"/>
      <w:color w:val="auto"/>
      <w:spacing w:val="40"/>
      <w:sz w:val="20"/>
      <w:szCs w:val="20"/>
      <w:lang w:val="en-US"/>
    </w:rPr>
  </w:style>
  <w:style w:type="paragraph" w:customStyle="1" w:styleId="80">
    <w:name w:val="列出段落2"/>
    <w:basedOn w:val="1"/>
    <w:qFormat/>
    <w:uiPriority w:val="34"/>
    <w:pPr>
      <w:ind w:firstLine="420" w:firstLineChars="200"/>
    </w:pPr>
  </w:style>
  <w:style w:type="paragraph" w:customStyle="1" w:styleId="81">
    <w:name w:val="列出段落1"/>
    <w:basedOn w:val="1"/>
    <w:qFormat/>
    <w:uiPriority w:val="0"/>
    <w:pPr>
      <w:ind w:firstLine="420" w:firstLineChars="200"/>
    </w:pPr>
    <w:rPr>
      <w:szCs w:val="21"/>
    </w:rPr>
  </w:style>
  <w:style w:type="paragraph" w:customStyle="1" w:styleId="82">
    <w:name w:val="表格文字居中"/>
    <w:next w:val="1"/>
    <w:qFormat/>
    <w:uiPriority w:val="0"/>
    <w:pPr>
      <w:tabs>
        <w:tab w:val="left" w:pos="720"/>
        <w:tab w:val="left" w:pos="900"/>
      </w:tabs>
      <w:wordWrap w:val="0"/>
      <w:adjustRightInd w:val="0"/>
      <w:snapToGrid w:val="0"/>
      <w:spacing w:before="140" w:line="360" w:lineRule="auto"/>
      <w:contextualSpacing/>
      <w:jc w:val="center"/>
    </w:pPr>
    <w:rPr>
      <w:rFonts w:ascii="Times New Roman" w:hAnsi="Times New Roman" w:eastAsia="宋体" w:cs="Times New Roman"/>
      <w:sz w:val="21"/>
      <w:szCs w:val="21"/>
      <w:lang w:val="en-US" w:eastAsia="zh-CN" w:bidi="ar-SA"/>
    </w:rPr>
  </w:style>
  <w:style w:type="paragraph" w:customStyle="1" w:styleId="83">
    <w:name w:val="&quot;footnote text&quot;"/>
    <w:qFormat/>
    <w:uiPriority w:val="0"/>
    <w:pPr>
      <w:widowControl w:val="0"/>
      <w:jc w:val="both"/>
    </w:pPr>
    <w:rPr>
      <w:rFonts w:ascii="Calibri" w:hAnsi="Calibri" w:eastAsia="宋体" w:cs="Times New Roman"/>
      <w:kern w:val="2"/>
      <w:sz w:val="21"/>
      <w:szCs w:val="22"/>
      <w:lang w:val="en-US" w:eastAsia="zh-CN" w:bidi="ar-SA"/>
    </w:rPr>
  </w:style>
  <w:style w:type="character" w:customStyle="1" w:styleId="84">
    <w:name w:val="批注框文本 Char"/>
    <w:basedOn w:val="30"/>
    <w:link w:val="17"/>
    <w:qFormat/>
    <w:uiPriority w:val="0"/>
    <w:rPr>
      <w:rFonts w:ascii="仿宋" w:hAnsi="仿宋" w:eastAsia="仿宋" w:cs="仿宋"/>
      <w:sz w:val="18"/>
      <w:szCs w:val="18"/>
      <w:lang w:val="zh-CN" w:bidi="zh-CN"/>
    </w:rPr>
  </w:style>
  <w:style w:type="paragraph" w:customStyle="1" w:styleId="85">
    <w:name w:val="71e7dc79-1ff7-45e8-997d-0ebda3762b91"/>
    <w:basedOn w:val="4"/>
    <w:next w:val="86"/>
    <w:qFormat/>
    <w:uiPriority w:val="0"/>
    <w:pPr>
      <w:adjustRightInd w:val="0"/>
      <w:spacing w:before="0" w:after="0" w:line="288" w:lineRule="auto"/>
      <w:jc w:val="left"/>
    </w:pPr>
    <w:rPr>
      <w:rFonts w:ascii="微软雅黑" w:hAnsi="微软雅黑" w:eastAsia="微软雅黑"/>
      <w:bCs w:val="0"/>
      <w:color w:val="000000"/>
      <w:sz w:val="28"/>
    </w:rPr>
  </w:style>
  <w:style w:type="paragraph" w:customStyle="1" w:styleId="86">
    <w:name w:val="acbfdd8b-e11b-4d36-88ff-6049b138f862"/>
    <w:basedOn w:val="1"/>
    <w:qFormat/>
    <w:uiPriority w:val="0"/>
    <w:pPr>
      <w:adjustRightInd w:val="0"/>
      <w:spacing w:line="288" w:lineRule="auto"/>
      <w:ind w:firstLine="0"/>
      <w:jc w:val="left"/>
    </w:pPr>
    <w:rPr>
      <w:rFonts w:ascii="微软雅黑" w:hAnsi="微软雅黑" w:eastAsia="微软雅黑" w:cs="___WRD_EMBED_SUB_46"/>
      <w:color w:val="000000"/>
      <w:sz w:val="22"/>
    </w:rPr>
  </w:style>
  <w:style w:type="paragraph" w:customStyle="1" w:styleId="87">
    <w:name w:val="NormalIndent"/>
    <w:basedOn w:val="1"/>
    <w:qFormat/>
    <w:uiPriority w:val="0"/>
    <w:pPr>
      <w:ind w:firstLine="420"/>
    </w:pPr>
    <w:rPr>
      <w:rFonts w:ascii="Calibri" w:hAnsi="Calibri"/>
    </w:rPr>
  </w:style>
  <w:style w:type="paragraph" w:customStyle="1" w:styleId="88">
    <w:name w:val="21bc9c4b-6a32-43e5-beaa-fd2d792c5735"/>
    <w:basedOn w:val="3"/>
    <w:next w:val="86"/>
    <w:qFormat/>
    <w:uiPriority w:val="0"/>
    <w:pPr>
      <w:adjustRightInd w:val="0"/>
      <w:spacing w:before="0" w:after="0" w:line="288" w:lineRule="auto"/>
      <w:jc w:val="left"/>
    </w:pPr>
    <w:rPr>
      <w:rFonts w:ascii="微软雅黑" w:hAnsi="微软雅黑" w:eastAsia="微软雅黑" w:cs="方正楷体_GBK"/>
      <w:bCs w:val="0"/>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0bf99b83-5150-45d2-897f-f17cfb751272</errorID>
      <errorWord>医疗保障</errorWord>
      <group>L1_Word</group>
      <groupName>字词问题</groupName>
      <ability>L2_Typo</ability>
      <abilityName>字词错误</abilityName>
      <candidateList>
        <item>医疗保障局</item>
      </candidateList>
      <explain/>
      <paraID>   5B8CB</paraID>
      <start>79</start>
      <end>83</end>
      <status>unmodified</status>
      <modifiedWord/>
      <trackRevisions>false</trackRevisions>
    </reviewItem>
    <reviewItem>
      <errorID>bae482cd-c01d-4def-8c0a-fc4189b87c0b</errorID>
      <errorWord>-</errorWord>
      <group>L1_Format</group>
      <groupName>格式问题</groupName>
      <ability>L2_HalfPunc</ability>
      <abilityName>全半角检查</abilityName>
      <candidateList>
        <item>－</item>
      </candidateList>
      <explain>文本全半角错误。</explain>
      <paraID>7D80E37A</paraID>
      <start>51</start>
      <end>52</end>
      <status>unmodified</status>
      <modifiedWord/>
      <trackRevisions>false</trackRevisions>
    </reviewItem>
    <reviewItem>
      <errorID>9103f7ab-c8aa-40b0-ba93-0443fa750c77</errorID>
      <errorWord>-</errorWord>
      <group>L1_Format</group>
      <groupName>格式问题</groupName>
      <ability>L2_HalfPunc</ability>
      <abilityName>全半角检查</abilityName>
      <candidateList>
        <item>－</item>
      </candidateList>
      <explain>文本全半角错误。</explain>
      <paraID>7D80E37A</paraID>
      <start>56</start>
      <end>57</end>
      <status>unmodified</status>
      <modifiedWord/>
      <trackRevisions>false</trackRevisions>
    </reviewItem>
    <reviewItem>
      <errorID>2b24f458-6a2d-43c6-aa23-2ae17658b152</errorID>
      <errorWord>-</errorWord>
      <group>L1_Format</group>
      <groupName>格式问题</groupName>
      <ability>L2_HalfPunc</ability>
      <abilityName>全半角检查</abilityName>
      <candidateList>
        <item>－</item>
      </candidateList>
      <explain>文本全半角错误。</explain>
      <paraID>7D80E37A</paraID>
      <start>64</start>
      <end>65</end>
      <status>unmodified</status>
      <modifiedWord/>
      <trackRevisions>false</trackRevisions>
    </reviewItem>
    <reviewItem>
      <errorID>09826cbd-e23a-44f2-a86a-4cdbab5a5115</errorID>
      <errorWord>-</errorWord>
      <group>L1_Format</group>
      <groupName>格式问题</groupName>
      <ability>L2_HalfPunc</ability>
      <abilityName>全半角检查</abilityName>
      <candidateList>
        <item>－</item>
      </candidateList>
      <explain>文本全半角错误。</explain>
      <paraID>7D80E37A</paraID>
      <start>70</start>
      <end>71</end>
      <status>unmodified</status>
      <modifiedWord/>
      <trackRevisions>false</trackRevisions>
    </reviewItem>
    <reviewItem>
      <errorID>90bbf365-3025-413d-99f8-9576d96bfe48</errorID>
      <errorWord>凡</errorWord>
      <group>L1_Word</group>
      <groupName>字词问题</groupName>
      <ability>L2_Typo</ability>
      <abilityName>字词错误</abilityName>
      <candidateList>
        <item> 凡</item>
      </candidateList>
      <explain/>
      <paraID>1C78B7B5</paraID>
      <start>7</start>
      <end>8</end>
      <status>unmodified</status>
      <modifiedWord/>
      <trackRevisions>false</trackRevisions>
    </reviewItem>
    <reviewItem>
      <errorID>5447c6f4-4555-401d-a568-3e7c603e0a8c</errorID>
      <errorWord>p：</errorWord>
      <group>L1_Grammar</group>
      <groupName>语法问题</groupName>
      <ability>L2_Grammar</ability>
      <abilityName>语法错误</abilityName>
      <candidateList>
        <item>http:</item>
      </candidateList>
      <explain/>
      <paraID>1C78B7B5</paraID>
      <start>86</start>
      <end>88</end>
      <status>unmodified</status>
      <modifiedWord/>
      <trackRevisions>false</trackRevisions>
    </reviewItem>
    <reviewItem>
      <errorID>4aaa2dc1-0927-4fd3-b574-e78d68669dbe</errorID>
      <errorWord>＜紧急可拨19988166369&gt;</errorWord>
      <group>L1_Punc</group>
      <groupName>标点问题</groupName>
      <ability>L2_Punc</ability>
      <abilityName>标点符号检查</abilityName>
      <candidateList>
        <item>（紧急可拨19988166369）</item>
      </candidateList>
      <explain/>
      <paraID>1C78B7B5</paraID>
      <start>149</start>
      <end>166</end>
      <status>unmodified</status>
      <modifiedWord/>
      <trackRevisions>false</trackRevisions>
    </reviewItem>
    <reviewItem>
      <errorID>6f6ac4be-11d4-4546-a300-caf31241ae53</errorID>
      <errorWord>：</errorWord>
      <group>L1_Punc</group>
      <groupName>标点问题</groupName>
      <ability>L2_Punc</ability>
      <abilityName>标点符号检查</abilityName>
      <candidateList>
        <item>:</item>
      </candidateList>
      <explain/>
      <paraID>1C78B7B5</paraID>
      <start>173</start>
      <end>174</end>
      <status>unmodified</status>
      <modifiedWord/>
      <trackRevisions>false</trackRevisions>
    </reviewItem>
    <reviewItem>
      <errorID>97cf2825-7d58-4171-aae5-e65dfc9e8a49</errorID>
      <errorWord>投标人</errorWord>
      <group>L1_Punc</group>
      <groupName>标点问题</groupName>
      <ability>L2_Punc</ability>
      <abilityName>标点符号检查</abilityName>
      <candidateList>
        <item>。投标人</item>
      </candidateList>
      <explain/>
      <paraID>47366A93</paraID>
      <start>168</start>
      <end>171</end>
      <status>unmodified</status>
      <modifiedWord/>
      <trackRevisions>false</trackRevisions>
    </reviewItem>
    <reviewItem>
      <errorID>2be8ed1e-5dbc-45b4-a868-608d161fa8f6</errorID>
      <errorWord>1）</errorWord>
      <group>L1_Format</group>
      <groupName>格式问题</groupName>
      <ability>L2_Ordinal</ability>
      <abilityName>序号格式</abilityName>
      <candidateList>
        <item>3.8.3</item>
      </candidateList>
      <explain>标题顺序错误，请检查标题顺序是否合理。</explain>
      <paraID>3C278A4C</paraID>
      <start>1</start>
      <end>3</end>
      <status>unmodified</status>
      <modifiedWord/>
      <trackRevisions>false</trackRevisions>
    </reviewItem>
    <reviewItem>
      <errorID>db5c4e4e-4e05-430b-a3d3-5614ccffc43c</errorID>
      <errorWord>：</errorWord>
      <group>L1_Format</group>
      <groupName>格式问题</groupName>
      <ability>L2_HalfPunc</ability>
      <abilityName>全半角检查</abilityName>
      <candidateList>
        <item>:</item>
      </candidateList>
      <explain>文本全半角错误。</explain>
      <paraID>5484CA0D</paraID>
      <start>22</start>
      <end>23</end>
      <status>unmodified</status>
      <modifiedWord/>
      <trackRevisions>false</trackRevisions>
    </reviewItem>
    <reviewItem>
      <errorID>2538e888-2601-4dbc-8f41-e2dd3ba8c054</errorID>
      <errorWord>《</errorWord>
      <group>L1_Punc</group>
      <groupName>标点问题</groupName>
      <ability>L2_Punc</ability>
      <abilityName>标点符号检查</abilityName>
      <candidateList>
        <item/>
      </candidateList>
      <explain/>
      <paraID>6A79CB23</paraID>
      <start>20</start>
      <end>21</end>
      <status>unmodified</status>
      <modifiedWord/>
      <trackRevisions>false</trackRevisions>
    </reviewItem>
    <reviewItem>
      <errorID>4df544e8-74ae-47f3-9d8c-2465068224b2</errorID>
      <errorWord>》《</errorWord>
      <group>L1_Punc</group>
      <groupName>标点问题</groupName>
      <ability>L2_Punc</ability>
      <abilityName>标点符号检查</abilityName>
      <candidateList>
        <item>、</item>
      </candidateList>
      <explain/>
      <paraID>6A79CB23</paraID>
      <start>29</start>
      <end>31</end>
      <status>unmodified</status>
      <modifiedWord/>
      <trackRevisions>false</trackRevisions>
    </reviewItem>
    <reviewItem>
      <errorID>caf9a2b7-fc0f-4fa1-bf78-410c53c62965</errorID>
      <errorWord>》</errorWord>
      <group>L1_Punc</group>
      <groupName>标点问题</groupName>
      <ability>L2_Punc</ability>
      <abilityName>标点符号检查</abilityName>
      <candidateList>
        <item/>
      </candidateList>
      <explain/>
      <paraID>6A79CB23</paraID>
      <start>38</start>
      <end>39</end>
      <status>unmodified</status>
      <modifiedWord/>
      <trackRevisions>false</trackRevisions>
    </reviewItem>
    <reviewItem>
      <errorID>35f48e35-000e-439d-876d-106ad019ff17</errorID>
      <errorWord> </errorWord>
      <group>L1_Punc</group>
      <groupName>标点问题</groupName>
      <ability>L2_Punc</ability>
      <abilityName>标点符号检查</abilityName>
      <candidateList>
        <item/>
      </candidateList>
      <explain>此处空格冗余，建议删除。</explain>
      <paraID>11777CDD</paraID>
      <start>79</start>
      <end>80</end>
      <status>unmodified</status>
      <modifiedWord/>
      <trackRevisions>false</trackRevisions>
    </reviewItem>
    <reviewItem>
      <errorID>dd7b6354-4d50-4b12-b4b6-1350819a681b</errorID>
      <errorWord>CA</errorWord>
      <group>L1_Punc</group>
      <groupName>标点问题</groupName>
      <ability>L2_Punc</ability>
      <abilityName>标点符号检查</abilityName>
      <candidateList>
        <item>，CA</item>
      </candidateList>
      <explain/>
      <paraID>11777CDD</paraID>
      <start>109</start>
      <end>111</end>
      <status>unmodified</status>
      <modifiedWord/>
      <trackRevisions>false</trackRevisions>
    </reviewItem>
    <reviewItem>
      <errorID>34661b1f-5ae3-491a-a543-09357ed980c6</errorID>
      <errorWord>它</errorWord>
      <group>L1_Word</group>
      <groupName>字词问题</groupName>
      <ability>L2_Typo</ability>
      <abilityName>字词错误</abilityName>
      <candidateList>
        <item>他</item>
      </candidateList>
      <explain/>
      <paraID>11777CDD</paraID>
      <start>197</start>
      <end>198</end>
      <status>unmodified</status>
      <modifiedWord/>
      <trackRevisions>false</trackRevisions>
    </reviewItem>
    <reviewItem>
      <errorID>0bed6a75-18e5-45b6-a6d1-d7711ae4eae6</errorID>
      <errorWord>以及</errorWord>
      <group>L1_Punc</group>
      <groupName>标点问题</groupName>
      <ability>L2_Punc</ability>
      <abilityName>标点符号检查</abilityName>
      <candidateList>
        <item>，以及</item>
      </candidateList>
      <explain/>
      <paraID>5011F941</paraID>
      <start>181</start>
      <end>183</end>
      <status>unmodified</status>
      <modifiedWord/>
      <trackRevisions>false</trackRevisions>
    </reviewItem>
    <reviewItem>
      <errorID>53a42425-f8c2-42c1-ab4d-fae829ed54db</errorID>
      <errorWord>：</errorWord>
      <group>L1_Punc</group>
      <groupName>标点问题</groupName>
      <ability>L2_Punc</ability>
      <abilityName>标点符号检查</abilityName>
      <candidateList>
        <item>，</item>
      </candidateList>
      <explain/>
      <paraID>5011F941</paraID>
      <start>191</start>
      <end>192</end>
      <status>unmodified</status>
      <modifiedWord/>
      <trackRevisions>false</trackRevisions>
    </reviewItem>
    <reviewItem>
      <errorID>28133293-2a47-4090-8003-1f506d773250</errorID>
      <errorWord> </errorWord>
      <group>L1_Punc</group>
      <groupName>标点问题</groupName>
      <ability>L2_Punc</ability>
      <abilityName>标点符号检查</abilityName>
      <candidateList>
        <item/>
      </candidateList>
      <explain>此处空格冗余，建议删除。</explain>
      <paraID>5011F941</paraID>
      <start>211</start>
      <end>212</end>
      <status>unmodified</status>
      <modifiedWord/>
      <trackRevisions>false</trackRevisions>
    </reviewItem>
    <reviewItem>
      <errorID>2dcb807c-0868-41ae-9d81-f7a0dd96bcb3</errorID>
      <errorWord>3.1</errorWord>
      <group>L1_Format</group>
      <groupName>格式问题</groupName>
      <ability>L2_Ordinal</ability>
      <abilityName>序号格式</abilityName>
      <candidateList>
        <item>3.1.1</item>
      </candidateList>
      <explain>标题顺序错误，请检查标题顺序是否合理。</explain>
      <paraID>1CFF7028</paraID>
      <start>0</start>
      <end>3</end>
      <status>unmodified</status>
      <modifiedWord/>
      <trackRevisions>false</trackRevisions>
    </reviewItem>
    <reviewItem>
      <errorID>c80055fc-e0a4-446f-a87e-2f3b0f6e8623</errorID>
      <errorWord>★4.1</errorWord>
      <group>L1_Format</group>
      <groupName>格式问题</groupName>
      <ability>L2_Ordinal</ability>
      <abilityName>序号格式</abilityName>
      <candidateList>
        <item>3.2.1</item>
      </candidateList>
      <explain>标题顺序错误，请检查标题顺序是否合理。</explain>
      <paraID> 348C633</paraID>
      <start>0</start>
      <end>4</end>
      <status>unmodified</status>
      <modifiedWord/>
      <trackRevisions>false</trackRevisions>
    </reviewItem>
    <reviewItem>
      <errorID>57870d43-dd6e-4c76-9184-1d4312356e93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3771620B</paraID>
      <start>98</start>
      <end>101</end>
      <status>unmodified</status>
      <modifiedWord/>
      <trackRevisions>false</trackRevisions>
    </reviewItem>
    <reviewItem>
      <errorID>0624a4e6-58a8-42f1-889a-6f8494208d04</errorID>
      <errorWord>2）</errorWord>
      <group>L1_Format</group>
      <groupName>格式问题</groupName>
      <ability>L2_Ordinal</ability>
      <abilityName>序号格式</abilityName>
      <candidateList>
        <item>3.8.4</item>
      </candidateList>
      <explain>标题顺序错误，请检查标题顺序是否合理。</explain>
      <paraID>1226DA9E</paraID>
      <start>1</start>
      <end>3</end>
      <status>unmodified</status>
      <modifiedWord/>
      <trackRevisions>false</trackRevisions>
    </reviewItem>
    <reviewItem>
      <errorID>e875dc35-32a2-4e5f-b30f-4ae4e3f4f94e</errorID>
      <errorWord>2025年01月</errorWord>
      <group>L1_Knowledge</group>
      <groupName>知识性问题</groupName>
      <ability>L2_Time</ability>
      <abilityName>日期时间</abilityName>
      <candidateList>
        <item>2025年1月</item>
      </candidateList>
      <explain>根据日常书写习惯，月份一般会省略前导零。</explain>
      <paraID> 4A88FA8</paraID>
      <start>8</start>
      <end>16</end>
      <status>unmodified</status>
      <modifiedWord/>
      <trackRevisions>false</trackRevisions>
    </reviewItem>
    <reviewItem>
      <errorID>88861ce5-45be-4972-bcf8-355df40138a7</errorID>
      <errorWord>2025年01月</errorWord>
      <group>L1_Knowledge</group>
      <groupName>知识性问题</groupName>
      <ability>L2_Time</ability>
      <abilityName>日期时间</abilityName>
      <candidateList>
        <item>2025年1月</item>
      </candidateList>
      <explain>根据日常书写习惯，月份一般会省略前导零。</explain>
      <paraID>1EBF3515</paraID>
      <start>8</start>
      <end>16</end>
      <status>unmodified</status>
      <modifiedWord/>
      <trackRevisions>false</trackRevisions>
    </reviewItem>
    <reviewItem>
      <errorID>71e56357-5fcc-47d6-b07e-df616f11d584</errorID>
      <errorWord>）</errorWord>
      <group>L1_Punc</group>
      <groupName>标点问题</groupName>
      <ability>L2_Punc</ability>
      <abilityName>标点符号检查</abilityName>
      <candidateList>
        <item/>
      </candidateList>
      <explain/>
      <paraID>1EBF3515</paraID>
      <start>124</start>
      <end>125</end>
      <status>unmodified</status>
      <modifiedWord/>
      <trackRevisions>false</trackRevisions>
    </reviewItem>
    <reviewItem>
      <errorID>b9ff6fd2-f673-4c89-9f87-26cf1ffce3d9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1EBF3515</paraID>
      <start>125</start>
      <end>126</end>
      <status>unmodified</status>
      <modifiedWord/>
      <trackRevisions>false</trackRevisions>
    </reviewItem>
    <reviewItem>
      <errorID>3a9e3527-6d6c-4e79-b2ad-6384f154cd46</errorID>
      <errorWord>★4.3</errorWord>
      <group>L1_Format</group>
      <groupName>格式问题</groupName>
      <ability>L2_Ordinal</ability>
      <abilityName>序号格式</abilityName>
      <candidateList>
        <item>3.2.3</item>
      </candidateList>
      <explain>标题顺序错误，请检查标题顺序是否合理。</explain>
      <paraID> 21AAA20</paraID>
      <start>0</start>
      <end>4</end>
      <status>unmodified</status>
      <modifiedWord/>
      <trackRevisions>false</trackRevisions>
    </reviewItem>
    <reviewItem>
      <errorID>03c6886f-d1ca-4d86-bf59-ce72bc106c30</errorID>
      <errorWord>★4.5</errorWord>
      <group>L1_Format</group>
      <groupName>格式问题</groupName>
      <ability>L2_Ordinal</ability>
      <abilityName>序号格式</abilityName>
      <candidateList>
        <item>3.2.5</item>
      </candidateList>
      <explain>标题顺序错误，请检查标题顺序是否合理。</explain>
      <paraID>33DA2159</paraID>
      <start>0</start>
      <end>4</end>
      <status>unmodified</status>
      <modifiedWord/>
      <trackRevisions>false</trackRevisions>
    </reviewItem>
    <reviewItem>
      <errorID>204735dd-89a9-4332-b553-6d6ba6b22d4a</errorID>
      <errorWord>9.1</errorWord>
      <group>L1_Format</group>
      <groupName>格式问题</groupName>
      <ability>L2_Ordinal</ability>
      <abilityName>序号格式</abilityName>
      <candidateList>
        <item>3.3.1</item>
      </candidateList>
      <explain>标题顺序错误，请检查标题顺序是否合理。</explain>
      <paraID>1D32B0F4</paraID>
      <start>0</start>
      <end>3</end>
      <status>unmodified</status>
      <modifiedWord/>
      <trackRevisions>false</trackRevisions>
    </reviewItem>
    <reviewItem>
      <errorID>ff01ec00-af32-489b-aad2-c6b8c44f331f</errorID>
      <errorWord>★15.1</errorWord>
      <group>L1_Format</group>
      <groupName>格式问题</groupName>
      <ability>L2_Ordinal</ability>
      <abilityName>序号格式</abilityName>
      <candidateList>
        <item>3.4.1</item>
      </candidateList>
      <explain>标题顺序错误，请检查标题顺序是否合理。</explain>
      <paraID>36FB857B</paraID>
      <start>0</start>
      <end>5</end>
      <status>unmodified</status>
      <modifiedWord/>
      <trackRevisions>false</trackRevisions>
    </reviewItem>
    <reviewItem>
      <errorID>597a682c-f932-4d29-b500-c0274ab9b342</errorID>
      <errorWord>★17.1</errorWord>
      <group>L1_Format</group>
      <groupName>格式问题</groupName>
      <ability>L2_Ordinal</ability>
      <abilityName>序号格式</abilityName>
      <candidateList>
        <item>3.5.1</item>
      </candidateList>
      <explain>标题顺序错误，请检查标题顺序是否合理。</explain>
      <paraID> E21CDD2</paraID>
      <start>0</start>
      <end>5</end>
      <status>unmodified</status>
      <modifiedWord/>
      <trackRevisions>false</trackRevisions>
    </reviewItem>
    <reviewItem>
      <errorID>19fd08aa-e738-40f5-b9dd-251fa92b08ff</errorID>
      <errorWord>(</errorWord>
      <group>L1_Format</group>
      <groupName>格式问题</groupName>
      <ability>L2_HalfPunc</ability>
      <abilityName>全半角检查</abilityName>
      <candidateList>
        <item>（</item>
      </candidateList>
      <explain>文本全半角错误。</explain>
      <paraID>451D5F30</paraID>
      <start>13</start>
      <end>14</end>
      <status>unmodified</status>
      <modifiedWord/>
      <trackRevisions>false</trackRevisions>
    </reviewItem>
    <reviewItem>
      <errorID>b3f408e4-f507-4bda-9213-078ac28bf2f6</errorID>
      <errorWord>)</errorWord>
      <group>L1_Format</group>
      <groupName>格式问题</groupName>
      <ability>L2_HalfPunc</ability>
      <abilityName>全半角检查</abilityName>
      <candidateList>
        <item>）</item>
      </candidateList>
      <explain>文本全半角错误。</explain>
      <paraID>451D5F30</paraID>
      <start>23</start>
      <end>24</end>
      <status>unmodified</status>
      <modifiedWord/>
      <trackRevisions>false</trackRevisions>
    </reviewItem>
    <reviewItem>
      <errorID>8eb74d7f-d268-467f-aa80-7e7dc7942bfb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674C7E2C</paraID>
      <start>0</start>
      <end>2</end>
      <status>unmodified</status>
      <modifiedWord/>
      <trackRevisions>false</trackRevisions>
    </reviewItem>
    <reviewItem>
      <errorID>76045caa-9cd8-48aa-8d93-b720090e00ed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1BFF560D</paraID>
      <start>0</start>
      <end>2</end>
      <status>unmodified</status>
      <modifiedWord/>
      <trackRevisions>false</trackRevisions>
    </reviewItem>
    <reviewItem>
      <errorID>83cb9fe4-217f-4fcc-9f06-6cdc38fe72bc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21B1F309</paraID>
      <start>0</start>
      <end>2</end>
      <status>unmodified</status>
      <modifiedWord/>
      <trackRevisions>false</trackRevisions>
    </reviewItem>
    <reviewItem>
      <errorID>ae4aa1cc-f716-4e26-9d62-d52b4991e693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328BDD4F</paraID>
      <start>0</start>
      <end>2</end>
      <status>unmodified</status>
      <modifiedWord/>
      <trackRevisions>false</trackRevisions>
    </reviewItem>
    <reviewItem>
      <errorID>18a567a6-37ef-4fdb-b742-2c1f9e0d0645</errorID>
      <errorWord>22.2</errorWord>
      <group>L1_Format</group>
      <groupName>格式问题</groupName>
      <ability>L2_Ordinal</ability>
      <abilityName>序号格式</abilityName>
      <candidateList>
        <item>3.6.3</item>
      </candidateList>
      <explain>标题顺序错误，请检查标题顺序是否合理。</explain>
      <paraID>6E3DD5CE</paraID>
      <start>0</start>
      <end>4</end>
      <status>unmodified</status>
      <modifiedWord/>
      <trackRevisions>false</trackRevisions>
    </reviewItem>
    <reviewItem>
      <errorID>cf2fc512-264e-483a-97b4-959bd1fe4782</errorID>
      <errorWord>23.1</errorWord>
      <group>L1_Format</group>
      <groupName>格式问题</groupName>
      <ability>L2_Ordinal</ability>
      <abilityName>序号格式</abilityName>
      <candidateList>
        <item>3.6.4</item>
      </candidateList>
      <explain>标题顺序错误，请检查标题顺序是否合理。</explain>
      <paraID>23E84A1B</paraID>
      <start>0</start>
      <end>4</end>
      <status>unmodified</status>
      <modifiedWord/>
      <trackRevisions>false</trackRevisions>
    </reviewItem>
    <reviewItem>
      <errorID>8a256856-2791-4e69-820b-187fd80be5ac</errorID>
      <errorWord>23.2</errorWord>
      <group>L1_Format</group>
      <groupName>格式问题</groupName>
      <ability>L2_Ordinal</ability>
      <abilityName>序号格式</abilityName>
      <candidateList>
        <item>3.6.5</item>
      </candidateList>
      <explain>标题顺序错误，请检查标题顺序是否合理。</explain>
      <paraID>7BEA7A87</paraID>
      <start>0</start>
      <end>4</end>
      <status>unmodified</status>
      <modifiedWord/>
      <trackRevisions>false</trackRevisions>
    </reviewItem>
    <reviewItem>
      <errorID>8720b677-5d5b-4d57-adf8-5a9366d4ee2f</errorID>
      <errorWord>23.3</errorWord>
      <group>L1_Format</group>
      <groupName>格式问题</groupName>
      <ability>L2_Ordinal</ability>
      <abilityName>序号格式</abilityName>
      <candidateList>
        <item>3.6.6</item>
      </candidateList>
      <explain>标题顺序错误，请检查标题顺序是否合理。</explain>
      <paraID>57E7741A</paraID>
      <start>0</start>
      <end>4</end>
      <status>unmodified</status>
      <modifiedWord/>
      <trackRevisions>false</trackRevisions>
    </reviewItem>
    <reviewItem>
      <errorID>fcefb1bd-b091-46af-afd8-807220867ffd</errorID>
      <errorWord>24.1</errorWord>
      <group>L1_Format</group>
      <groupName>格式问题</groupName>
      <ability>L2_Ordinal</ability>
      <abilityName>序号格式</abilityName>
      <candidateList>
        <item>3.6.7</item>
      </candidateList>
      <explain>标题顺序错误，请检查标题顺序是否合理。</explain>
      <paraID>607A9350</paraID>
      <start>0</start>
      <end>4</end>
      <status>unmodified</status>
      <modifiedWord/>
      <trackRevisions>false</trackRevisions>
    </reviewItem>
    <reviewItem>
      <errorID>b1002cd3-913e-4aba-807f-c2d4fac277f8</errorID>
      <errorWord>26.3</errorWord>
      <group>L1_Format</group>
      <groupName>格式问题</groupName>
      <ability>L2_Ordinal</ability>
      <abilityName>序号格式</abilityName>
      <candidateList>
        <item>3.6.9</item>
      </candidateList>
      <explain>标题顺序错误，请检查标题顺序是否合理。</explain>
      <paraID>5D74F14B</paraID>
      <start>0</start>
      <end>4</end>
      <status>unmodified</status>
      <modifiedWord/>
      <trackRevisions>false</trackRevisions>
    </reviewItem>
    <reviewItem>
      <errorID>1cc57b2a-945a-4fe9-8358-b3c81dc29d47</errorID>
      <errorWord>31.1</errorWord>
      <group>L1_Format</group>
      <groupName>格式问题</groupName>
      <ability>L2_Ordinal</ability>
      <abilityName>序号格式</abilityName>
      <candidateList>
        <item>3.7.1</item>
      </candidateList>
      <explain>标题顺序错误，请检查标题顺序是否合理。</explain>
      <paraID>44ADB64A</paraID>
      <start>0</start>
      <end>4</end>
      <status>unmodified</status>
      <modifiedWord/>
      <trackRevisions>false</trackRevisions>
    </reviewItem>
    <reviewItem>
      <errorID>f0e0bf42-8f9d-4250-b5a4-7fca7a992778</errorID>
      <errorWord>网</errorWord>
      <group>L1_Word</group>
      <groupName>字词问题</groupName>
      <ability>L2_Typo</ability>
      <abilityName>字词错误</abilityName>
      <candidateList>
        <item>以网</item>
      </candidateList>
      <explain/>
      <paraID> 5820A56</paraID>
      <start>13</start>
      <end>14</end>
      <status>unmodified</status>
      <modifiedWord/>
      <trackRevisions>false</trackRevisions>
    </reviewItem>
    <reviewItem>
      <errorID>bc1a4686-a699-44f8-88f9-7294c5812e0c</errorID>
      <errorWord>34.1</errorWord>
      <group>L1_Format</group>
      <groupName>格式问题</groupName>
      <ability>L2_Ordinal</ability>
      <abilityName>序号格式</abilityName>
      <candidateList>
        <item>3.8.1</item>
      </candidateList>
      <explain>标题顺序错误，请检查标题顺序是否合理。</explain>
      <paraID> F899DED</paraID>
      <start>0</start>
      <end>4</end>
      <status>unmodified</status>
      <modifiedWord/>
      <trackRevisions>false</trackRevisions>
    </reviewItem>
    <reviewItem>
      <errorID>9fbed0f0-b669-405e-a074-238c9ca84985</errorID>
      <errorWord>34.2</errorWord>
      <group>L1_Format</group>
      <groupName>格式问题</groupName>
      <ability>L2_Ordinal</ability>
      <abilityName>序号格式</abilityName>
      <candidateList>
        <item>3.8.2</item>
      </candidateList>
      <explain>标题顺序错误，请检查标题顺序是否合理。</explain>
      <paraID>7594A2A4</paraID>
      <start>0</start>
      <end>4</end>
      <status>unmodified</status>
      <modifiedWord/>
      <trackRevisions>false</trackRevisions>
    </reviewItem>
    <reviewItem>
      <errorID>9d945260-e0d2-4114-adf8-ae6bceaafa6a</errorID>
      <errorWord>）</errorWord>
      <group>L1_Format</group>
      <groupName>格式问题</groupName>
      <ability>L2_HalfPunc</ability>
      <abilityName>全半角检查</abilityName>
      <candidateList>
        <item>)</item>
      </candidateList>
      <explain>文本全半角错误。</explain>
      <paraID>67CC59E9</paraID>
      <start>1</start>
      <end>2</end>
      <status>unmodified</status>
      <modifiedWord/>
      <trackRevisions>false</trackRevisions>
    </reviewItem>
    <reviewItem>
      <errorID>ed506c3a-f716-4069-8ee7-3f0b24e8ea21</errorID>
      <errorWord>）</errorWord>
      <group>L1_Format</group>
      <groupName>格式问题</groupName>
      <ability>L2_HalfPunc</ability>
      <abilityName>全半角检查</abilityName>
      <candidateList>
        <item>)</item>
      </candidateList>
      <explain>文本全半角错误。</explain>
      <paraID>555EEE79</paraID>
      <start>1</start>
      <end>2</end>
      <status>unmodified</status>
      <modifiedWord/>
      <trackRevisions>false</trackRevisions>
    </reviewItem>
    <reviewItem>
      <errorID>5212c993-6975-4291-9759-ea67408afb2d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5A905406</paraID>
      <start>0</start>
      <end>2</end>
      <status>unmodified</status>
      <modifiedWord/>
      <trackRevisions>false</trackRevisions>
    </reviewItem>
    <reviewItem>
      <errorID>659897dc-c951-442b-bb2c-153cf9f0d308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6F4E60F3</paraID>
      <start>0</start>
      <end>2</end>
      <status>unmodified</status>
      <modifiedWord/>
      <trackRevisions>false</trackRevisions>
    </reviewItem>
    <reviewItem>
      <errorID>15ae4a09-a967-4ba4-b7ba-81cf49a4b122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701ECD51</paraID>
      <start>0</start>
      <end>2</end>
      <status>unmodified</status>
      <modifiedWord/>
      <trackRevisions>false</trackRevisions>
    </reviewItem>
    <reviewItem>
      <errorID>e26babb7-fcf7-499e-959f-21395dc4ceba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503AA371</paraID>
      <start>0</start>
      <end>2</end>
      <status>unmodified</status>
      <modifiedWord/>
      <trackRevisions>false</trackRevisions>
    </reviewItem>
    <reviewItem>
      <errorID>711dd62f-3fa9-4b5d-a331-1628178b320c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6B8C3B10</paraID>
      <start>0</start>
      <end>3</end>
      <status>unmodified</status>
      <modifiedWord/>
      <trackRevisions>false</trackRevisions>
    </reviewItem>
    <reviewItem>
      <errorID>6b95bf7d-d8e2-4dc7-ad0f-0b81cb669395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292A6D77</paraID>
      <start>0</start>
      <end>3</end>
      <status>unmodified</status>
      <modifiedWord/>
      <trackRevisions>false</trackRevisions>
    </reviewItem>
    <reviewItem>
      <errorID>7282e7d5-3a25-44f5-b8f3-1cb9a2ea1078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2923B672</paraID>
      <start>0</start>
      <end>3</end>
      <status>unmodified</status>
      <modifiedWord/>
      <trackRevisions>false</trackRevisions>
    </reviewItem>
    <reviewItem>
      <errorID>cb43ff5d-6242-4a59-8e81-407bd78eb458</errorID>
      <errorWord>承担所有</errorWord>
      <group>L1_Grammar</group>
      <groupName>语法问题</groupName>
      <ability>L2_Grammar</ability>
      <abilityName>语法错误</abilityName>
      <candidateList>
        <item>承担</item>
      </candidateList>
      <explain/>
      <paraID>6B945092</paraID>
      <start>19</start>
      <end>23</end>
      <status>unmodified</status>
      <modifiedWord/>
      <trackRevisions>false</trackRevisions>
    </reviewItem>
    <reviewItem>
      <errorID>966e3f22-fc7c-4046-8959-cb8acd97e83f</errorID>
      <errorWord>位</errorWord>
      <group>L1_Word</group>
      <groupName>字词问题</groupName>
      <ability>L2_Typo</ability>
      <abilityName>字词错误</abilityName>
      <candidateList>
        <item>位公</item>
      </candidateList>
      <explain/>
      <paraID> CFECECE</paraID>
      <start>55</start>
      <end>56</end>
      <status>unmodified</status>
      <modifiedWord/>
      <trackRevisions>false</trackRevisions>
    </reviewItem>
    <reviewItem>
      <errorID>add6f6d8-2db9-4557-94e1-752bff1eeb56</errorID>
      <errorWord>(</errorWord>
      <group>L1_Format</group>
      <groupName>格式问题</groupName>
      <ability>L2_HalfPunc</ability>
      <abilityName>全半角检查</abilityName>
      <candidateList>
        <item>（</item>
      </candidateList>
      <explain>文本全半角错误。</explain>
      <paraID>47129FA5</paraID>
      <start>34</start>
      <end>35</end>
      <status>unmodified</status>
      <modifiedWord/>
      <trackRevisions>false</trackRevisions>
    </reviewItem>
    <reviewItem>
      <errorID>e0aab8dd-cb0c-4f67-b8e9-668b61771b32</errorID>
      <errorWord>)</errorWord>
      <group>L1_Format</group>
      <groupName>格式问题</groupName>
      <ability>L2_HalfPunc</ability>
      <abilityName>全半角检查</abilityName>
      <candidateList>
        <item>）</item>
      </candidateList>
      <explain>文本全半角错误。</explain>
      <paraID>47129FA5</paraID>
      <start>46</start>
      <end>47</end>
      <status>unmodified</status>
      <modifiedWord/>
      <trackRevisions>false</trackRevisions>
    </reviewItem>
    <reviewItem>
      <errorID>9c686e84-1b93-42b8-a022-a31638815554</errorID>
      <errorWord>，</errorWord>
      <group>L1_Punc</group>
      <groupName>标点问题</groupName>
      <ability>L2_Punc</ability>
      <abilityName>标点符号检查</abilityName>
      <candidateList>
        <item>。</item>
      </candidateList>
      <explain/>
      <paraID>42C947D5</paraID>
      <start>49</start>
      <end>50</end>
      <status>unmodified</status>
      <modifiedWord/>
      <trackRevisions>false</trackRevisions>
    </reviewItem>
    <reviewItem>
      <errorID>850f40c0-f08e-4eb0-86f7-b8642a266cb4</errorID>
      <errorWord>、包括</errorWord>
      <group>L1_Word</group>
      <groupName>字词问题</groupName>
      <ability>L2_Typo</ability>
      <abilityName>字词错误</abilityName>
      <candidateList>
        <item>，如</item>
      </candidateList>
      <explain/>
      <paraID>42C947D5</paraID>
      <start>67</start>
      <end>70</end>
      <status>unmodified</status>
      <modifiedWord/>
      <trackRevisions>false</trackRevisions>
    </reviewItem>
    <reviewItem>
      <errorID>6435ce6b-5bf2-4681-9c7d-1f0d450ad926</errorID>
      <errorWord>及</errorWord>
      <group>L1_Grammar</group>
      <groupName>语法问题</groupName>
      <ability>L2_Grammar</ability>
      <abilityName>语法错误</abilityName>
      <candidateList>
        <item>，以及</item>
      </candidateList>
      <explain/>
      <paraID>42C947D5</paraID>
      <start>123</start>
      <end>124</end>
      <status>unmodified</status>
      <modifiedWord/>
      <trackRevisions>false</trackRevisions>
    </reviewItem>
    <reviewItem>
      <errorID>9acf1b6d-fb42-4c43-b336-97a27aac630f</errorID>
      <errorWord>履行合同</errorWord>
      <group>L1_Grammar</group>
      <groupName>语法问题</groupName>
      <ability>L2_Grammar</ability>
      <abilityName>语法错误</abilityName>
      <candidateList>
        <item>合同</item>
      </candidateList>
      <explain/>
      <paraID>42C947D5</paraID>
      <start>192</start>
      <end>196</end>
      <status>unmodified</status>
      <modifiedWord/>
      <trackRevisions>false</trackRevisions>
    </reviewItem>
    <reviewItem>
      <errorID>bd59b6ae-b858-4c28-9e3d-54e234c66096</errorID>
      <errorWord>，</errorWord>
      <group>L1_Punc</group>
      <groupName>标点问题</groupName>
      <ability>L2_Punc</ability>
      <abilityName>标点符号检查</abilityName>
      <candidateList>
        <item>。</item>
      </candidateList>
      <explain/>
      <paraID>3948EB61</paraID>
      <start>27</start>
      <end>28</end>
      <status>unmodified</status>
      <modifiedWord/>
      <trackRevisions>false</trackRevisions>
    </reviewItem>
    <reviewItem>
      <errorID>d5662097-c556-425f-85ab-6d93e5333994</errorID>
      <errorWord>、商标权、专利权、著作权等相关权利</errorWord>
      <group>L1_Punc</group>
      <groupName>标点问题</groupName>
      <ability>L2_Punc</ability>
      <abilityName>标点符号检查</abilityName>
      <candidateList>
        <item>（如商标权、专利权、著作权等相关权利）</item>
      </candidateList>
      <explain/>
      <paraID>3948EB61</paraID>
      <start>93</start>
      <end>110</end>
      <status>unmodified</status>
      <modifiedWord/>
      <trackRevisions>false</trackRevisions>
    </reviewItem>
    <reviewItem>
      <errorID>10b0a8f0-d888-4963-b7d1-e53070d5f67e</errorID>
      <errorWord>位</errorWord>
      <group>L1_Word</group>
      <groupName>字词问题</groupName>
      <ability>L2_Typo</ability>
      <abilityName>字词错误</abilityName>
      <candidateList>
        <item>位公</item>
      </candidateList>
      <explain/>
      <paraID>7CCE7D81</paraID>
      <start>41</start>
      <end>42</end>
      <status>unmodified</status>
      <modifiedWord/>
      <trackRevisions>false</trackRevisions>
    </reviewItem>
    <reviewItem>
      <errorID>41ed80df-aa6c-4783-9fcb-d54e912095d6</errorID>
      <errorWord>的</errorWord>
      <group>L1_Grammar</group>
      <groupName>语法问题</groupName>
      <ability>L2_Grammar</ability>
      <abilityName>语法错误</abilityName>
      <candidateList>
        <item>内容的</item>
      </candidateList>
      <explain/>
      <paraID>4B3A8C77</paraID>
      <start>43</start>
      <end>44</end>
      <status>unmodified</status>
      <modifiedWord/>
      <trackRevisions>false</trackRevisions>
    </reviewItem>
    <reviewItem>
      <errorID>140ae644-65c6-441a-ae15-e984afc21400</errorID>
      <errorWord>的</errorWord>
      <group>L1_Grammar</group>
      <groupName>语法问题</groupName>
      <ability>L2_Grammar</ability>
      <abilityName>语法错误</abilityName>
      <candidateList>
        <item>要求的</item>
      </candidateList>
      <explain/>
      <paraID>4B3A8C77</paraID>
      <start>57</start>
      <end>58</end>
      <status>unmodified</status>
      <modifiedWord/>
      <trackRevisions>false</trackRevisions>
    </reviewItem>
    <reviewItem>
      <errorID>d441f4cd-834b-4bda-9efd-c1a02b54cabb</errorID>
      <errorWord>以前</errorWord>
      <group>L1_Word</group>
      <groupName>字词问题</groupName>
      <ability>L2_Typo</ability>
      <abilityName>字词错误</abilityName>
      <candidateList>
        <item>前，</item>
      </candidateList>
      <explain/>
      <paraID>4D226383</paraID>
      <start>29</start>
      <end>31</end>
      <status>unmodified</status>
      <modifiedWord/>
      <trackRevisions>false</trackRevisions>
    </reviewItem>
    <reviewItem>
      <errorID>20a0674f-635f-4e73-a7d5-9849671aa280</errorID>
      <errorWord>日</errorWord>
      <group>L1_Word</group>
      <groupName>字词问题</groupName>
      <ability>L2_Typo</ability>
      <abilityName>字词错误</abilityName>
      <candidateList>
        <item>日内</item>
      </candidateList>
      <explain/>
      <paraID>7FDD2BD3</paraID>
      <start>27</start>
      <end>28</end>
      <status>unmodified</status>
      <modifiedWord/>
      <trackRevisions>false</trackRevisions>
    </reviewItem>
    <reviewItem>
      <errorID>7f1ba41b-021c-47c5-bbb1-095770a53c88</errorID>
      <errorWord>—</errorWord>
      <group>L1_Punc</group>
      <groupName>标点问题</groupName>
      <ability>L2_Punc</ability>
      <abilityName>标点符号检查</abilityName>
      <candidateList>
        <item>——</item>
      </candidateList>
      <explain/>
      <paraID> 1317D2E</paraID>
      <start>21</start>
      <end>22</end>
      <status>unmodified</status>
      <modifiedWord/>
      <trackRevisions>false</trackRevisions>
    </reviewItem>
    <reviewItem>
      <errorID>fb29d423-9274-4a90-b182-6b31c1bab5ff</errorID>
      <errorWord>招标人</errorWord>
      <group>L1_Word</group>
      <groupName>字词问题</groupName>
      <ability>L2_Typo</ability>
      <abilityName>字词错误</abilityName>
      <candidateList>
        <item>投标人</item>
      </candidateList>
      <explain/>
      <paraID> 1317D2E</paraID>
      <start>62</start>
      <end>65</end>
      <status>modified</status>
      <modifiedWord>投标人</modifiedWord>
      <trackRevisions>false</trackRevisions>
    </reviewItem>
    <reviewItem>
      <errorID>9a63365a-c9af-43db-ba58-b8eb123e33d6</errorID>
      <errorWord>操作合</errorWord>
      <group>L1_Word</group>
      <groupName>字词问题</groupName>
      <ability>L2_Typo</ability>
      <abilityName>字词错误</abilityName>
      <candidateList>
        <item>操作台</item>
      </candidateList>
      <explain/>
      <paraID>79BA4E64</paraID>
      <start>9</start>
      <end>12</end>
      <status>unmodified</status>
      <modifiedWord/>
      <trackRevisions>false</trackRevisions>
    </reviewItem>
    <reviewItem>
      <errorID>2a8a9c2e-344a-442c-a6e8-23cfcac0c736</errorID>
      <errorWord> </errorWord>
      <group>L1_Punc</group>
      <groupName>标点问题</groupName>
      <ability>L2_Punc</ability>
      <abilityName>标点符号检查</abilityName>
      <candidateList>
        <item/>
      </candidateList>
      <explain>此处空格冗余，建议删除。</explain>
      <paraID>164C559F</paraID>
      <start>29</start>
      <end>30</end>
      <status>unmodified</status>
      <modifiedWord/>
      <trackRevisions>false</trackRevisions>
    </reviewItem>
    <reviewItem>
      <errorID>790d9fa1-7ebe-47f2-bf2c-87d4826460e9</errorID>
      <errorWord>电子</errorWord>
      <group>L1_Word</group>
      <groupName>字词问题</groupName>
      <ability>L2_Typo</ability>
      <abilityName>字词错误</abilityName>
      <candidateList>
        <item> 电子</item>
      </candidateList>
      <explain/>
      <paraID>68CCDE85</paraID>
      <start>4</start>
      <end>6</end>
      <status>unmodified</status>
      <modifiedWord/>
      <trackRevisions>false</trackRevisions>
    </reviewItem>
    <reviewItem>
      <errorID>31d3c47b-dcba-44fd-845d-6afb8c3d9593</errorID>
      <errorWord>出现</errorWord>
      <group>L1_Word</group>
      <groupName>字词问题</groupName>
      <ability>L2_Typo</ability>
      <abilityName>字词错误</abilityName>
      <candidateList>
        <item> 出现</item>
      </candidateList>
      <explain/>
      <paraID>2F87E79A</paraID>
      <start>4</start>
      <end>6</end>
      <status>unmodified</status>
      <modifiedWord/>
      <trackRevisions>false</trackRevisions>
    </reviewItem>
    <reviewItem>
      <errorID>c010b42e-bcbd-4c50-a784-6d7ba3d50fb0</errorID>
      <errorWord>中标人</errorWord>
      <group>L1_Word</group>
      <groupName>字词问题</groupName>
      <ability>L2_Typo</ability>
      <abilityName>字词错误</abilityName>
      <candidateList>
        <item> 中标人</item>
      </candidateList>
      <explain/>
      <paraID>259C51A9</paraID>
      <start>3</start>
      <end>6</end>
      <status>unmodified</status>
      <modifiedWord/>
      <trackRevisions>false</trackRevisions>
    </reviewItem>
    <reviewItem>
      <errorID>a02dc598-aa66-4eea-8ea2-4b83ebf508bb</errorID>
      <errorWord>采购</errorWord>
      <group>L1_Word</group>
      <groupName>字词问题</groupName>
      <ability>L2_Typo</ability>
      <abilityName>字词错误</abilityName>
      <candidateList>
        <item> 采购</item>
      </candidateList>
      <explain/>
      <paraID>5AA2FA76</paraID>
      <start>4</start>
      <end>6</end>
      <status>unmodified</status>
      <modifiedWord/>
      <trackRevisions>false</trackRevisions>
    </reviewItem>
    <reviewItem>
      <errorID>e211528a-230b-4567-91b5-2b3f502cb7d1</errorID>
      <errorWord>采购</errorWord>
      <group>L1_Word</group>
      <groupName>字词问题</groupName>
      <ability>L2_Typo</ability>
      <abilityName>字词错误</abilityName>
      <candidateList>
        <item> 采购</item>
      </candidateList>
      <explain/>
      <paraID> 933DCEC</paraID>
      <start>4</start>
      <end>6</end>
      <status>unmodified</status>
      <modifiedWord/>
      <trackRevisions>false</trackRevisions>
    </reviewItem>
    <reviewItem>
      <errorID>7fe2b840-fc76-49e9-9b4b-92fde4d97875</errorID>
      <errorWord>中标</errorWord>
      <group>L1_Word</group>
      <groupName>字词问题</groupName>
      <ability>L2_Typo</ability>
      <abilityName>字词错误</abilityName>
      <candidateList>
        <item> 中标</item>
      </candidateList>
      <explain/>
      <paraID>322A86B7</paraID>
      <start>3</start>
      <end>5</end>
      <status>unmodified</status>
      <modifiedWord/>
      <trackRevisions>false</trackRevisions>
    </reviewItem>
    <reviewItem>
      <errorID>46cb6068-f0f4-4ac2-9ed4-c9ea9825068f</errorID>
      <errorWord>中标人</errorWord>
      <group>L1_Word</group>
      <groupName>字词问题</groupName>
      <ability>L2_Typo</ability>
      <abilityName>字词错误</abilityName>
      <candidateList>
        <item> 中标人</item>
      </candidateList>
      <explain/>
      <paraID>202D7B09</paraID>
      <start>4</start>
      <end>7</end>
      <status>unmodified</status>
      <modifiedWord/>
      <trackRevisions>false</trackRevisions>
    </reviewItem>
    <reviewItem>
      <errorID>97b51a5b-f21e-480b-b8ea-a39a70dc6e56</errorID>
      <errorWord>中标</errorWord>
      <group>L1_Word</group>
      <groupName>字词问题</groupName>
      <ability>L2_Typo</ability>
      <abilityName>字词错误</abilityName>
      <candidateList>
        <item> 中标</item>
      </candidateList>
      <explain/>
      <paraID> 5C60456</paraID>
      <start>4</start>
      <end>6</end>
      <status>unmodified</status>
      <modifiedWord/>
      <trackRevisions>false</trackRevisions>
    </reviewItem>
    <reviewItem>
      <errorID>b2ff20de-8a0b-4dbc-b336-2d5f4f0766a6</errorID>
      <errorWord>签订合同</errorWord>
      <group>L1_Word</group>
      <groupName>字词问题</groupName>
      <ability>L2_Typo</ability>
      <abilityName>字词错误</abilityName>
      <candidateList>
        <item> 签订合同</item>
      </candidateList>
      <explain/>
      <paraID>403C13AD</paraID>
      <start>3</start>
      <end>7</end>
      <status>unmodified</status>
      <modifiedWord/>
      <trackRevisions>false</trackRevisions>
    </reviewItem>
    <reviewItem>
      <errorID>6293ed4f-dd00-4ff7-a658-9382fabbdb49</errorID>
      <errorWord>采购</errorWord>
      <group>L1_Word</group>
      <groupName>字词问题</groupName>
      <ability>L2_Typo</ability>
      <abilityName>字词错误</abilityName>
      <candidateList>
        <item> 采购</item>
      </candidateList>
      <explain/>
      <paraID>228EDBE6</paraID>
      <start>4</start>
      <end>6</end>
      <status>unmodified</status>
      <modifiedWord/>
      <trackRevisions>false</trackRevisions>
    </reviewItem>
    <reviewItem>
      <errorID>823bbd48-beb0-4044-8138-fd13efa6af0e</errorID>
      <errorWord>中标人</errorWord>
      <group>L1_Word</group>
      <groupName>字词问题</groupName>
      <ability>L2_Typo</ability>
      <abilityName>字词错误</abilityName>
      <candidateList>
        <item> 中标人</item>
      </candidateList>
      <explain/>
      <paraID>40A89F10</paraID>
      <start>4</start>
      <end>7</end>
      <status>unmodified</status>
      <modifiedWord/>
      <trackRevisions>false</trackRevisions>
    </reviewItem>
    <reviewItem>
      <errorID>67044199-fac5-45e6-a5e5-85819f150b50</errorID>
      <errorWord>政府</errorWord>
      <group>L1_Word</group>
      <groupName>字词问题</groupName>
      <ability>L2_Typo</ability>
      <abilityName>字词错误</abilityName>
      <candidateList>
        <item> 政府</item>
      </candidateList>
      <explain/>
      <paraID>2DE2CA0E</paraID>
      <start>4</start>
      <end>6</end>
      <status>unmodified</status>
      <modifiedWord/>
      <trackRevisions>false</trackRevisions>
    </reviewItem>
    <reviewItem>
      <errorID>cfbac5c8-8127-4f05-9d8e-0508904e6f0a</errorID>
      <errorWord>履约</errorWord>
      <group>L1_Word</group>
      <groupName>字词问题</groupName>
      <ability>L2_Typo</ability>
      <abilityName>字词错误</abilityName>
      <candidateList>
        <item> 履约</item>
      </candidateList>
      <explain/>
      <paraID>22EC6CD6</paraID>
      <start>3</start>
      <end>5</end>
      <status>unmodified</status>
      <modifiedWord/>
      <trackRevisions>false</trackRevisions>
    </reviewItem>
    <reviewItem>
      <errorID>8387ea28-3560-4281-82ec-9fde6f8dc225</errorID>
      <errorWord>32.1</errorWord>
      <group>L1_Format</group>
      <groupName>格式问题</groupName>
      <ability>L2_Ordinal</ability>
      <abilityName>序号格式</abilityName>
      <candidateList>
        <item>3.9.1</item>
      </candidateList>
      <explain>标题顺序错误，请检查标题顺序是否合理。</explain>
      <paraID>72125E5E</paraID>
      <start>0</start>
      <end>4</end>
      <status>unmodified</status>
      <modifiedWord/>
      <trackRevisions>false</trackRevisions>
    </reviewItem>
    <reviewItem>
      <errorID>f2f25aee-9bd5-4ede-99ee-6d854b018934</errorID>
      <errorWord>签订合同</errorWord>
      <group>L1_Word</group>
      <groupName>字词问题</groupName>
      <ability>L2_Typo</ability>
      <abilityName>字词错误</abilityName>
      <candidateList>
        <item> 签订合同</item>
      </candidateList>
      <explain/>
      <paraID>72125E5E</paraID>
      <start>4</start>
      <end>8</end>
      <status>unmodified</status>
      <modifiedWord/>
      <trackRevisions>false</trackRevisions>
    </reviewItem>
    <reviewItem>
      <errorID>8457ebe9-0009-4569-9991-a4de70e443de</errorID>
      <errorWord>签订合同</errorWord>
      <group>L1_Word</group>
      <groupName>字词问题</groupName>
      <ability>L2_Typo</ability>
      <abilityName>字词错误</abilityName>
      <candidateList>
        <item> 签订合同</item>
      </candidateList>
      <explain/>
      <paraID>682A93CF</paraID>
      <start>4</start>
      <end>8</end>
      <status>unmodified</status>
      <modifiedWord/>
      <trackRevisions>false</trackRevisions>
    </reviewItem>
    <reviewItem>
      <errorID>7d956489-6eef-44fd-a57d-b0c9eb167045</errorID>
      <errorWord>采购</errorWord>
      <group>L1_Word</group>
      <groupName>字词问题</groupName>
      <ability>L2_Typo</ability>
      <abilityName>字词错误</abilityName>
      <candidateList>
        <item> 采购</item>
      </candidateList>
      <explain/>
      <paraID>5882C02F</paraID>
      <start>3</start>
      <end>5</end>
      <status>unmodified</status>
      <modifiedWord/>
      <trackRevisions>false</trackRevisions>
    </reviewItem>
    <reviewItem>
      <errorID>715aa9d1-0714-417b-a482-2bb34f2775c6</errorID>
      <errorWord>按照</errorWord>
      <group>L1_Word</group>
      <groupName>字词问题</groupName>
      <ability>L2_Typo</ability>
      <abilityName>字词错误</abilityName>
      <candidateList>
        <item> 按照</item>
      </candidateList>
      <explain/>
      <paraID>4E2B35D5</paraID>
      <start>4</start>
      <end>6</end>
      <status>unmodified</status>
      <modifiedWord/>
      <trackRevisions>false</trackRevisions>
    </reviewItem>
    <reviewItem>
      <errorID>3cbb8517-d601-4c09-89ca-aeeff6aa9dbd</errorID>
      <errorWord>32.2</errorWord>
      <group>L1_Format</group>
      <groupName>格式问题</groupName>
      <ability>L2_Ordinal</ability>
      <abilityName>序号格式</abilityName>
      <candidateList>
        <item>3.9.2</item>
      </candidateList>
      <explain>标题顺序错误，请检查标题顺序是否合理。</explain>
      <paraID>40ED890E</paraID>
      <start>0</start>
      <end>4</end>
      <status>unmodified</status>
      <modifiedWord/>
      <trackRevisions>false</trackRevisions>
    </reviewItem>
    <reviewItem>
      <errorID>36c1d815-a5fc-493a-a2c8-5219ee101425</errorID>
      <errorWord>中标人</errorWord>
      <group>L1_Word</group>
      <groupName>字词问题</groupName>
      <ability>L2_Typo</ability>
      <abilityName>字词错误</abilityName>
      <candidateList>
        <item> 中标人</item>
      </candidateList>
      <explain/>
      <paraID>40ED890E</paraID>
      <start>4</start>
      <end>7</end>
      <status>unmodified</status>
      <modifiedWord/>
      <trackRevisions>false</trackRevisions>
    </reviewItem>
    <reviewItem>
      <errorID>f5eb556e-bb7c-408a-834e-3aa6356779d8</errorID>
      <errorWord>接受</errorWord>
      <group>L1_Word</group>
      <groupName>字词问题</groupName>
      <ability>L2_Typo</ability>
      <abilityName>字词错误</abilityName>
      <candidateList>
        <item>接收</item>
      </candidateList>
      <explain>存在发音相同字词的误用。</explain>
      <paraID>40ED890E</paraID>
      <start>9</start>
      <end>11</end>
      <status>unmodified</status>
      <modifiedWord/>
      <trackRevisions>false</trackRevisions>
    </reviewItem>
    <reviewItem>
      <errorID>5b3294d5-471e-45ee-bbb0-cd404f5fe085</errorID>
      <errorWord>32.3</errorWord>
      <group>L1_Format</group>
      <groupName>格式问题</groupName>
      <ability>L2_Ordinal</ability>
      <abilityName>序号格式</abilityName>
      <candidateList>
        <item>3.9.3</item>
      </candidateList>
      <explain>标题顺序错误，请检查标题顺序是否合理。</explain>
      <paraID>267688BE</paraID>
      <start>0</start>
      <end>4</end>
      <status>unmodified</status>
      <modifiedWord/>
      <trackRevisions>false</trackRevisions>
    </reviewItem>
    <reviewItem>
      <errorID>e9b32fa4-d94e-436d-af6f-f7487ecfb618</errorID>
      <errorWord>代理</errorWord>
      <group>L1_Word</group>
      <groupName>字词问题</groupName>
      <ability>L2_Typo</ability>
      <abilityName>字词错误</abilityName>
      <candidateList>
        <item> 代理</item>
      </candidateList>
      <explain/>
      <paraID>267688BE</paraID>
      <start>4</start>
      <end>6</end>
      <status>unmodified</status>
      <modifiedWord/>
      <trackRevisions>false</trackRevisions>
    </reviewItem>
    <reviewItem>
      <errorID>5eea1b6a-c351-45b1-997c-228d305fed00</errorID>
      <errorWord>53050168614000000434</errorWord>
      <group>L1_Punc</group>
      <groupName>标点问题</groupName>
      <ability>L2_Punc</ability>
      <abilityName>标点符号检查</abilityName>
      <candidateList>
        <item>：53050168614000000434</item>
      </candidateList>
      <explain/>
      <paraID>406CE4D0</paraID>
      <start>4</start>
      <end>24</end>
      <status>unmodified</status>
      <modifiedWord/>
      <trackRevisions>false</trackRevisions>
    </reviewItem>
    <reviewItem>
      <errorID>ef387dd3-c17e-44e9-982f-b901bcd16190</errorID>
      <errorWord>32.4</errorWord>
      <group>L1_Format</group>
      <groupName>格式问题</groupName>
      <ability>L2_Ordinal</ability>
      <abilityName>序号格式</abilityName>
      <candidateList>
        <item>3.9.4</item>
      </candidateList>
      <explain>标题顺序错误，请检查标题顺序是否合理。</explain>
      <paraID>1167F32C</paraID>
      <start>0</start>
      <end>4</end>
      <status>unmodified</status>
      <modifiedWord/>
      <trackRevisions>false</trackRevisions>
    </reviewItem>
    <reviewItem>
      <errorID>8cf509c3-3b8f-4eca-85a8-e0d0c5ed2f5c</errorID>
      <errorWord>其他</errorWord>
      <group>L1_Word</group>
      <groupName>字词问题</groupName>
      <ability>L2_Typo</ability>
      <abilityName>字词错误</abilityName>
      <candidateList>
        <item> 其他</item>
      </candidateList>
      <explain/>
      <paraID>1167F32C</paraID>
      <start>4</start>
      <end>6</end>
      <status>unmodified</status>
      <modifiedWord/>
      <trackRevisions>false</trackRevisions>
    </reviewItem>
    <reviewItem>
      <errorID>a4f0af76-a955-47f2-a3f2-4c0121a996e8</errorID>
      <errorWord>的其他</errorWord>
      <group>L1_Grammar</group>
      <groupName>语法问题</groupName>
      <ability>L2_Grammar</ability>
      <abilityName>语法错误</abilityName>
      <candidateList>
        <item>的</item>
      </candidateList>
      <explain/>
      <paraID>1167F32C</paraID>
      <start>10</start>
      <end>13</end>
      <status>unmodified</status>
      <modifiedWord/>
      <trackRevisions>false</trackRevisions>
    </reviewItem>
    <reviewItem>
      <errorID>b08e07b2-2a1d-42b6-882e-e1c3bc8c965c</errorID>
      <errorWord>33.1</errorWord>
      <group>L1_Format</group>
      <groupName>格式问题</groupName>
      <ability>L2_Ordinal</ability>
      <abilityName>序号格式</abilityName>
      <candidateList>
        <item>3.10.1</item>
      </candidateList>
      <explain>标题顺序错误，请检查标题顺序是否合理。</explain>
      <paraID>5D174A6C</paraID>
      <start>0</start>
      <end>4</end>
      <status>unmodified</status>
      <modifiedWord/>
      <trackRevisions>false</trackRevisions>
    </reviewItem>
    <reviewItem>
      <errorID>89dc98f6-8d1a-4468-b851-fe8aaed8e601</errorID>
      <errorWord>需要</errorWord>
      <group>L1_Word</group>
      <groupName>字词问题</groupName>
      <ability>L2_Typo</ability>
      <abilityName>字词错误</abilityName>
      <candidateList>
        <item> 需要</item>
      </candidateList>
      <explain/>
      <paraID> 6B63E1F</paraID>
      <start>3</start>
      <end>5</end>
      <status>unmodified</status>
      <modifiedWord/>
      <trackRevisions>false</trackRevisions>
    </reviewItem>
    <reviewItem>
      <errorID>8d5dd6c3-6c94-41d6-b5ea-9a7d99523aa0</errorID>
      <errorWord>34.1</errorWord>
      <group>L1_Format</group>
      <groupName>格式问题</groupName>
      <ability>L2_Ordinal</ability>
      <abilityName>序号格式</abilityName>
      <candidateList>
        <item>3.11.1</item>
      </candidateList>
      <explain>标题顺序错误，请检查标题顺序是否合理。</explain>
      <paraID>7397084A</paraID>
      <start>0</start>
      <end>4</end>
      <status>unmodified</status>
      <modifiedWord/>
      <trackRevisions>false</trackRevisions>
    </reviewItem>
    <reviewItem>
      <errorID>b2731169-2b84-4a8b-90bf-bba820e290b5</errorID>
      <errorWord>要求</errorWord>
      <group>L1_Punc</group>
      <groupName>标点问题</groupName>
      <ability>L2_Punc</ability>
      <abilityName>标点符号检查</abilityName>
      <candidateList>
        <item>要求。</item>
      </candidateList>
      <explain/>
      <paraID>7397084A</paraID>
      <start>114</start>
      <end>116</end>
      <status>unmodified</status>
      <modifiedWord/>
      <trackRevisions>false</trackRevisions>
    </reviewItem>
    <reviewItem>
      <errorID>d5acdf03-6871-4452-81fc-bbaae2c09214</errorID>
      <errorWord>34.2</errorWord>
      <group>L1_Format</group>
      <groupName>格式问题</groupName>
      <ability>L2_Ordinal</ability>
      <abilityName>序号格式</abilityName>
      <candidateList>
        <item>3.11.2</item>
      </candidateList>
      <explain>标题顺序错误，请检查标题顺序是否合理。</explain>
      <paraID>4173AD6D</paraID>
      <start>0</start>
      <end>4</end>
      <status>unmodified</status>
      <modifiedWord/>
      <trackRevisions>false</trackRevisions>
    </reviewItem>
    <reviewItem>
      <errorID>3dffe3b8-b7ff-4174-b97e-01cadbe2e116</errorID>
      <errorWord>其它</errorWord>
      <group>L1_Word</group>
      <groupName>字词问题</groupName>
      <ability>L2_Alias</ability>
      <abilityName>也作/曾用词</abilityName>
      <candidateList>
        <item>其他</item>
      </candidateList>
      <explain>词汇[其它]为不规范表述或旧称，其规范书面表述为[其他]。</explain>
      <paraID>4173AD6D</paraID>
      <start>4</start>
      <end>6</end>
      <status>unmodified</status>
      <modifiedWord/>
      <trackRevisions>false</trackRevisions>
    </reviewItem>
    <reviewItem>
      <errorID>81cd5e15-9cbb-4c49-b4e6-115da86c15d1</errorID>
      <errorWord>的其他</errorWord>
      <group>L1_Grammar</group>
      <groupName>语法问题</groupName>
      <ability>L2_Grammar</ability>
      <abilityName>语法错误</abilityName>
      <candidateList>
        <item>的</item>
      </candidateList>
      <explain/>
      <paraID>4173AD6D</paraID>
      <start>10</start>
      <end>13</end>
      <status>unmodified</status>
      <modifiedWord/>
      <trackRevisions>false</trackRevisions>
    </reviewItem>
    <reviewItem>
      <errorID>3e974ff6-ac34-43dc-945e-b236746fc01c</errorID>
      <errorWord>(</errorWord>
      <group>L1_Format</group>
      <groupName>格式问题</groupName>
      <ability>L2_HalfPunc</ability>
      <abilityName>全半角检查</abilityName>
      <candidateList>
        <item>（</item>
      </candidateList>
      <explain>文本全半角错误。</explain>
      <paraID>602EFAD9</paraID>
      <start>0</start>
      <end>1</end>
      <status>unmodified</status>
      <modifiedWord/>
      <trackRevisions>false</trackRevisions>
    </reviewItem>
    <reviewItem>
      <errorID>d3d14eca-febd-4992-a812-d7bb59b77c6b</errorID>
      <errorWord>)</errorWord>
      <group>L1_Format</group>
      <groupName>格式问题</groupName>
      <ability>L2_HalfPunc</ability>
      <abilityName>全半角检查</abilityName>
      <candidateList>
        <item>）</item>
      </candidateList>
      <explain>文本全半角错误。</explain>
      <paraID>602EFAD9</paraID>
      <start>32</start>
      <end>33</end>
      <status>unmodified</status>
      <modifiedWord/>
      <trackRevisions>false</trackRevisions>
    </reviewItem>
    <reviewItem>
      <errorID>16697fba-2ed7-420c-b85f-faec40b55821</errorID>
      <errorWord>:</errorWord>
      <group>L1_Format</group>
      <groupName>格式问题</groupName>
      <ability>L2_HalfPunc</ability>
      <abilityName>全半角检查</abilityName>
      <candidateList>
        <item>：</item>
      </candidateList>
      <explain>文本全半角错误。</explain>
      <paraID>4BC324F9</paraID>
      <start>11</start>
      <end>12</end>
      <status>unmodified</status>
      <modifiedWord/>
      <trackRevisions>false</trackRevisions>
    </reviewItem>
    <reviewItem>
      <errorID>de581e85-d3f4-4c76-870c-b998f7fa3e64</errorID>
      <errorWord>:</errorWord>
      <group>L1_Format</group>
      <groupName>格式问题</groupName>
      <ability>L2_HalfPunc</ability>
      <abilityName>全半角检查</abilityName>
      <candidateList>
        <item>：</item>
      </candidateList>
      <explain>文本全半角错误。</explain>
      <paraID>39F79CA1</paraID>
      <start>2</start>
      <end>3</end>
      <status>unmodified</status>
      <modifiedWord/>
      <trackRevisions>false</trackRevisions>
    </reviewItem>
    <reviewItem>
      <errorID>8ff1badf-2b85-448c-bce0-79d24aab877f</errorID>
      <errorWord> </errorWord>
      <group>L1_Punc</group>
      <groupName>标点问题</groupName>
      <ability>L2_Punc</ability>
      <abilityName>标点符号检查</abilityName>
      <candidateList>
        <item/>
      </candidateList>
      <explain>此处空格冗余，建议删除。</explain>
      <paraID>5766EF5C</paraID>
      <start>20</start>
      <end>21</end>
      <status>unmodified</status>
      <modifiedWord/>
      <trackRevisions>false</trackRevisions>
    </reviewItem>
    <reviewItem>
      <errorID>30d1262c-8feb-4f97-8c2b-0204a15a7b10</errorID>
      <errorWord>  </errorWord>
      <group>L1_Punc</group>
      <groupName>标点问题</groupName>
      <ability>L2_Punc</ability>
      <abilityName>标点符号检查</abilityName>
      <candidateList>
        <item/>
      </candidateList>
      <explain>此处空格冗余，建议删除。</explain>
      <paraID>39B9163A</paraID>
      <start>45</start>
      <end>47</end>
      <status>unmodified</status>
      <modifiedWord/>
      <trackRevisions>false</trackRevisions>
    </reviewItem>
    <reviewItem>
      <errorID>30dbe3f2-729d-42a7-9c17-1b0b8c7f301b</errorID>
      <errorWord> </errorWord>
      <group>L1_Punc</group>
      <groupName>标点问题</groupName>
      <ability>L2_Punc</ability>
      <abilityName>标点符号检查</abilityName>
      <candidateList>
        <item/>
      </candidateList>
      <explain>此处空格冗余，建议删除。</explain>
      <paraID>39B9163A</paraID>
      <start>100</start>
      <end>101</end>
      <status>unmodified</status>
      <modifiedWord/>
      <trackRevisions>false</trackRevisions>
    </reviewItem>
    <reviewItem>
      <errorID>fc4e4f75-2991-48b0-900a-643ad963c1a7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1C87AD5C</paraID>
      <start>13</start>
      <end>16</end>
      <status>unmodified</status>
      <modifiedWord/>
      <trackRevisions>false</trackRevisions>
    </reviewItem>
    <reviewItem>
      <errorID>cfece895-c7b3-40df-8d20-73d8a866af3c</errorID>
      <errorWord>   (以下简称：甲方)</errorWord>
      <group>L1_Punc</group>
      <groupName>标点问题</groupName>
      <ability>L2_Punc</ability>
      <abilityName>标点符号检查</abilityName>
      <candidateList>
        <item>（以下简称：甲方）</item>
      </candidateList>
      <explain/>
      <paraID>1C87AD5C</paraID>
      <start>70</start>
      <end>82</end>
      <status>unmodified</status>
      <modifiedWord/>
      <trackRevisions>false</trackRevisions>
    </reviewItem>
    <reviewItem>
      <errorID>fd645919-c0df-4ee0-b727-41b089fc1161</errorID>
      <errorWord>   (以下简称：乙方)</errorWord>
      <group>L1_Punc</group>
      <groupName>标点问题</groupName>
      <ability>L2_Punc</ability>
      <abilityName>标点符号检查</abilityName>
      <candidateList>
        <item>（以下简称：乙方）</item>
      </candidateList>
      <explain/>
      <paraID>1C87AD5C</paraID>
      <start>95</start>
      <end>107</end>
      <status>unmodified</status>
      <modifiedWord/>
      <trackRevisions>false</trackRevisions>
    </reviewItem>
    <reviewItem>
      <errorID>1b2457f6-68f9-4ccd-87e9-bdcdd0696444</errorID>
      <errorWord>约定外，除不可抗力</errorWord>
      <group>L1_Grammar</group>
      <groupName>语法问题</groupName>
      <ability>L2_Grammar</ability>
      <abilityName>语法错误</abilityName>
      <candidateList>
        <item>约定</item>
      </candidateList>
      <explain/>
      <paraID>70B85E96</paraID>
      <start>9</start>
      <end>18</end>
      <status>unmodified</status>
      <modifiedWord/>
      <trackRevisions>false</trackRevisions>
    </reviewItem>
    <reviewItem>
      <errorID>b265a964-c909-458d-82c1-2e76e68b386f</errorID>
      <errorWord>依</errorWord>
      <group>L1_Punc</group>
      <groupName>标点问题</groupName>
      <ability>L2_Punc</ability>
      <abilityName>标点符号检查</abilityName>
      <candidateList>
        <item>，依</item>
      </candidateList>
      <explain/>
      <paraID>3CDE5C02</paraID>
      <start>30</start>
      <end>31</end>
      <status>unmodified</status>
      <modifiedWord/>
      <trackRevisions>false</trackRevisions>
    </reviewItem>
    <reviewItem>
      <errorID>7a526172-d9bb-47a3-890b-6d40ae316dc4</errorID>
      <errorWord>:</errorWord>
      <group>L1_Format</group>
      <groupName>格式问题</groupName>
      <ability>L2_HalfPunc</ability>
      <abilityName>全半角检查</abilityName>
      <candidateList>
        <item>：</item>
      </candidateList>
      <explain>文本全半角错误。</explain>
      <paraID>58033309</paraID>
      <start>40</start>
      <end>41</end>
      <status>unmodified</status>
      <modifiedWord/>
      <trackRevisions>false</trackRevisions>
    </reviewItem>
    <reviewItem>
      <errorID>0463a6f4-6a7e-4c16-87c6-6a46f1f77935</errorID>
      <errorWord>:</errorWord>
      <group>L1_Format</group>
      <groupName>格式问题</groupName>
      <ability>L2_HalfPunc</ability>
      <abilityName>全半角检查</abilityName>
      <candidateList>
        <item>：</item>
      </candidateList>
      <explain>文本全半角错误。</explain>
      <paraID>261F59E5</paraID>
      <start>2</start>
      <end>3</end>
      <status>unmodified</status>
      <modifiedWord/>
      <trackRevisions>false</trackRevisions>
    </reviewItem>
    <reviewItem>
      <errorID>0302e2d0-2e47-4a7d-a81e-f5b40811ae6f</errorID>
      <errorWord>:</errorWord>
      <group>L1_Format</group>
      <groupName>格式问题</groupName>
      <ability>L2_HalfPunc</ability>
      <abilityName>全半角检查</abilityName>
      <candidateList>
        <item>：</item>
      </candidateList>
      <explain>文本全半角错误。</explain>
      <paraID>261F59E5</paraID>
      <start>41</start>
      <end>42</end>
      <status>unmodified</status>
      <modifiedWord/>
      <trackRevisions>false</trackRevisions>
    </reviewItem>
    <reviewItem>
      <errorID>728f864d-46b6-46e4-9710-bb70a33249dc</errorID>
      <errorWord>和</errorWord>
      <group>L1_Word</group>
      <groupName>字词问题</groupName>
      <ability>L2_Typo</ability>
      <abilityName>字词错误</abilityName>
      <candidateList>
        <item>、</item>
      </candidateList>
      <explain/>
      <paraID>2BFB308B</paraID>
      <start>23</start>
      <end>24</end>
      <status>unmodified</status>
      <modifiedWord/>
      <trackRevisions>false</trackRevisions>
    </reviewItem>
    <reviewItem>
      <errorID>40b08e80-67fc-475f-a11d-2450ecff1c52</errorID>
      <errorWord>(如果有的话)</errorWord>
      <group>L1_Punc</group>
      <groupName>标点问题</groupName>
      <ability>L2_Punc</ability>
      <abilityName>标点符号检查</abilityName>
      <candidateList>
        <item>（如果有的话）</item>
      </candidateList>
      <explain/>
      <paraID>2BFB308B</paraID>
      <start>30</start>
      <end>37</end>
      <status>unmodified</status>
      <modifiedWord/>
      <trackRevisions>false</trackRevisions>
    </reviewItem>
    <reviewItem>
      <errorID>40575ff2-a645-4b20-9660-afa705e94fd1</errorID>
      <errorWord>(如果被甲方接受的话)</errorWord>
      <group>L1_Punc</group>
      <groupName>标点问题</groupName>
      <ability>L2_Punc</ability>
      <abilityName>标点符号检查</abilityName>
      <candidateList>
        <item>（如果被甲方接受的话）</item>
      </candidateList>
      <explain/>
      <paraID>2BFB308B</paraID>
      <start>46</start>
      <end>57</end>
      <status>unmodified</status>
      <modifiedWord/>
      <trackRevisions>false</trackRevisions>
    </reviewItem>
    <reviewItem>
      <errorID>f8715db4-625f-4b6a-add6-98be24b679fd</errorID>
      <errorWord>工作日内</errorWord>
      <group>L1_Word</group>
      <groupName>字词问题</groupName>
      <ability>L2_Typo</ability>
      <abilityName>字词错误</abilityName>
      <candidateList>
        <item>个工作日内</item>
      </candidateList>
      <explain/>
      <paraID>6F06DCEF</paraID>
      <start>39</start>
      <end>43</end>
      <status>unmodified</status>
      <modifiedWord/>
      <trackRevisions>false</trackRevisions>
    </reviewItem>
    <reviewItem>
      <errorID>b5c2bf42-27bb-49ab-b164-512201736b3c</errorID>
      <errorWord>的形式</errorWord>
      <group>L1_Grammar</group>
      <groupName>语法问题</groupName>
      <ability>L2_Grammar</ability>
      <abilityName>语法错误</abilityName>
      <candidateList>
        <item>来</item>
      </candidateList>
      <explain/>
      <paraID>5A6BF013</paraID>
      <start>26</start>
      <end>29</end>
      <status>unmodified</status>
      <modifiedWord/>
      <trackRevisions>false</trackRevisions>
    </reviewItem>
    <reviewItem>
      <errorID>feb23815-478f-4113-aef1-2e66c2a04cb3</errorID>
      <errorWord>如果</errorWord>
      <group>L1_Word</group>
      <groupName>字词问题</groupName>
      <ability>L2_Typo</ability>
      <abilityName>字词错误</abilityName>
      <candidateList>
        <item> 如果</item>
      </candidateList>
      <explain/>
      <paraID>36111F7A</paraID>
      <start>6</start>
      <end>8</end>
      <status>unmodified</status>
      <modifiedWord/>
      <trackRevisions>false</trackRevisions>
    </reviewItem>
    <reviewItem>
      <errorID>68f50401-9be5-4338-aa85-6a9d5eaffe09</errorID>
      <errorWord>时间</errorWord>
      <group>L1_Word</group>
      <groupName>字词问题</groupName>
      <ability>L2_Typo</ability>
      <abilityName>字词错误</abilityName>
      <candidateList>
        <item>的时间</item>
      </candidateList>
      <explain/>
      <paraID>71E75BCA</paraID>
      <start>38</start>
      <end>40</end>
      <status>unmodified</status>
      <modifiedWord/>
      <trackRevisions>false</trackRevisions>
    </reviewItem>
    <reviewItem>
      <errorID>159b88a4-4dc3-485e-98c6-bf14d228a146</errorID>
      <errorWord>受</errorWord>
      <group>L1_Word</group>
      <groupName>字词问题</groupName>
      <ability>L2_Typo</ability>
      <abilityName>字词错误</abilityName>
      <candidateList>
        <item> 受</item>
      </candidateList>
      <explain/>
      <paraID>550A7053</paraID>
      <start>6</start>
      <end>7</end>
      <status>unmodified</status>
      <modifiedWord/>
      <trackRevisions>false</trackRevisions>
    </reviewItem>
    <reviewItem>
      <errorID>38485467-e183-4a6b-a5e4-32bd0794b47d</errorID>
      <errorWord>时间</errorWord>
      <group>L1_Word</group>
      <groupName>字词问题</groupName>
      <ability>L2_Typo</ability>
      <abilityName>字词错误</abilityName>
      <candidateList>
        <item>的时间</item>
      </candidateList>
      <explain/>
      <paraID>550A7053</paraID>
      <start>35</start>
      <end>37</end>
      <status>unmodified</status>
      <modifiedWord/>
      <trackRevisions>false</trackRevisions>
    </reviewItem>
    <reviewItem>
      <errorID>546c0447-18a5-48f3-add0-eb0095474f23</errorID>
      <errorWord>时间</errorWord>
      <group>L1_Word</group>
      <groupName>字词问题</groupName>
      <ability>L2_Typo</ability>
      <abilityName>字词错误</abilityName>
      <candidateList>
        <item>的时间</item>
      </candidateList>
      <explain/>
      <paraID>550A7053</paraID>
      <start>61</start>
      <end>63</end>
      <status>unmodified</status>
      <modifiedWord/>
      <trackRevisions>false</trackRevisions>
    </reviewItem>
    <reviewItem>
      <errorID>60b813a2-6f3e-4955-ab93-69247d4577bb</errorID>
      <errorWord>；</errorWord>
      <group>L1_Punc</group>
      <groupName>标点问题</groupName>
      <ability>L2_Punc</ability>
      <abilityName>标点符号检查</abilityName>
      <candidateList>
        <item>，</item>
      </candidateList>
      <explain/>
      <paraID>2CFAC040</paraID>
      <start>22</start>
      <end>23</end>
      <status>unmodified</status>
      <modifiedWord/>
      <trackRevisions>false</trackRevisions>
    </reviewItem>
    <reviewItem>
      <errorID>6edbdbce-3a38-4e59-b04e-53dec3a4958c</errorID>
      <errorWord>进行实施</errorWord>
      <group>L1_Word</group>
      <groupName>字词问题</groupName>
      <ability>L2_Typo</ability>
      <abilityName>字词错误</abilityName>
      <candidateList>
        <item>实施</item>
      </candidateList>
      <explain>〈动〉实行（法令、政策等）：付诸～｜～细则｜～新的办法。</explain>
      <paraID>2CFAC040</paraID>
      <start>36</start>
      <end>40</end>
      <status>unmodified</status>
      <modifiedWord/>
      <trackRevisions>false</trackRevisions>
    </reviewItem>
    <reviewItem>
      <errorID>4806d70c-bd8e-48b7-8d4d-de7fb2407aa0</errorID>
      <errorWord>人申请</errorWord>
      <group>L1_Grammar</group>
      <groupName>语法问题</groupName>
      <ability>L2_Grammar</ability>
      <abilityName>语法错误</abilityName>
      <candidateList>
        <item>人</item>
      </candidateList>
      <explain/>
      <paraID>7AC46B6F</paraID>
      <start>46</start>
      <end>49</end>
      <status>unmodified</status>
      <modifiedWord/>
      <trackRevisions>false</trackRevisions>
    </reviewItem>
    <reviewItem>
      <errorID>88b39ac2-4707-4a1f-bdf2-abd4ce397ffc</errorID>
      <errorWord> </errorWord>
      <group>L1_Punc</group>
      <groupName>标点问题</groupName>
      <ability>L2_Punc</ability>
      <abilityName>标点符号检查</abilityName>
      <candidateList>
        <item/>
      </candidateList>
      <explain>此处空格冗余，建议删除。</explain>
      <paraID>18EFF8FE</paraID>
      <start>87</start>
      <end>88</end>
      <status>unmodified</status>
      <modifiedWord/>
      <trackRevisions>false</trackRevisions>
    </reviewItem>
    <reviewItem>
      <errorID>30793ddb-55b6-43f0-9aa4-b07294716e5b</errorID>
      <errorWord>书就</errorWord>
      <group>L1_Word</group>
      <groupName>字词问题</groupName>
      <ability>L2_Typo</ability>
      <abilityName>字词错误</abilityName>
      <candidateList>
        <item>书写</item>
      </candidateList>
      <explain/>
      <paraID> 544516D</paraID>
      <start>13</start>
      <end>15</end>
      <status>modified</status>
      <modifiedWord>书写</modifiedWord>
      <trackRevisions>false</trackRevisions>
    </reviewItem>
    <reviewItem>
      <errorID>65bedc79-a2c7-49e8-86d9-e9692a09aa9b</errorID>
      <errorWord> </errorWord>
      <group>L1_Punc</group>
      <groupName>标点问题</groupName>
      <ability>L2_Punc</ability>
      <abilityName>标点符号检查</abilityName>
      <candidateList>
        <item/>
      </candidateList>
      <explain>此处空格冗余，建议删除。</explain>
      <paraID>4072ED90</paraID>
      <start>27</start>
      <end>28</end>
      <status>unmodified</status>
      <modifiedWord/>
      <trackRevisions>false</trackRevisions>
    </reviewItem>
    <reviewItem>
      <errorID>6a359566-d7b5-41b4-9f2b-c51388ae74f6</errorID>
      <errorWord> </errorWord>
      <group>L1_Punc</group>
      <groupName>标点问题</groupName>
      <ability>L2_Punc</ability>
      <abilityName>标点符号检查</abilityName>
      <candidateList>
        <item/>
      </candidateList>
      <explain>此处空格冗余，建议删除。</explain>
      <paraID>4072ED90</paraID>
      <start>55</start>
      <end>56</end>
      <status>unmodified</status>
      <modifiedWord/>
      <trackRevisions>false</trackRevisions>
    </reviewItem>
    <reviewItem>
      <errorID>22b1d259-ed62-496b-9b33-cf4dbe31c4e6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4072ED90</paraID>
      <start>81</start>
      <end>84</end>
      <status>unmodified</status>
      <modifiedWord/>
      <trackRevisions>false</trackRevisions>
    </reviewItem>
    <reviewItem>
      <errorID>33643039-60f7-46e7-8b8c-1e74c86a699d</errorID>
      <errorWord> </errorWord>
      <group>L1_Punc</group>
      <groupName>标点问题</groupName>
      <ability>L2_Punc</ability>
      <abilityName>标点符号检查</abilityName>
      <candidateList>
        <item/>
      </candidateList>
      <explain>此处空格冗余，建议删除。</explain>
      <paraID>4072ED90</paraID>
      <start>122</start>
      <end>123</end>
      <status>unmodified</status>
      <modifiedWord/>
      <trackRevisions>false</trackRevisions>
    </reviewItem>
    <reviewItem>
      <errorID>d88979fa-b72a-4527-9659-6c6d5c3d2d84</errorID>
      <errorWord>2025年01月</errorWord>
      <group>L1_Knowledge</group>
      <groupName>知识性问题</groupName>
      <ability>L2_Time</ability>
      <abilityName>日期时间</abilityName>
      <candidateList>
        <item>2025年1月</item>
      </candidateList>
      <explain>根据日常书写习惯，月份一般会省略前导零。</explain>
      <paraID> AA1FE59</paraID>
      <start>8</start>
      <end>16</end>
      <status>unmodified</status>
      <modifiedWord/>
      <trackRevisions>false</trackRevisions>
    </reviewItem>
    <reviewItem>
      <errorID>224ec60a-c28e-488d-8aae-3c9cfafff46a</errorID>
      <errorWord>2025年01月</errorWord>
      <group>L1_Knowledge</group>
      <groupName>知识性问题</groupName>
      <ability>L2_Time</ability>
      <abilityName>日期时间</abilityName>
      <candidateList>
        <item>2025年1月</item>
      </candidateList>
      <explain>根据日常书写习惯，月份一般会省略前导零。</explain>
      <paraID>16BF99DF</paraID>
      <start>8</start>
      <end>16</end>
      <status>unmodified</status>
      <modifiedWord/>
      <trackRevisions>false</trackRevisions>
    </reviewItem>
    <reviewItem>
      <errorID>0b56cb7b-6e72-4113-b373-bb921577be9b</errorID>
      <errorWord>）</errorWord>
      <group>L1_Punc</group>
      <groupName>标点问题</groupName>
      <ability>L2_Punc</ability>
      <abilityName>标点符号检查</abilityName>
      <candidateList>
        <item/>
      </candidateList>
      <explain/>
      <paraID>16BF99DF</paraID>
      <start>124</start>
      <end>125</end>
      <status>unmodified</status>
      <modifiedWord/>
      <trackRevisions>false</trackRevisions>
    </reviewItem>
    <reviewItem>
      <errorID>7ad203f1-ed48-48c9-bf9d-94d4f3ec664f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16BF99DF</paraID>
      <start>125</start>
      <end>126</end>
      <status>unmodified</status>
      <modifiedWord/>
      <trackRevisions>false</trackRevisions>
    </reviewItem>
    <reviewItem>
      <errorID>80f7d72d-6d6e-4065-a039-f84bdd6d6682</errorID>
      <errorWord>(</errorWord>
      <group>L1_Format</group>
      <groupName>格式问题</groupName>
      <ability>L2_HalfPunc</ability>
      <abilityName>全半角检查</abilityName>
      <candidateList>
        <item>（</item>
      </candidateList>
      <explain>文本全半角错误。</explain>
      <paraID>42214297</paraID>
      <start>3</start>
      <end>4</end>
      <status>unmodified</status>
      <modifiedWord/>
      <trackRevisions>false</trackRevisions>
    </reviewItem>
    <reviewItem>
      <errorID>32f0c9bc-804e-43cd-bdc8-29df73346320</errorID>
      <errorWord>)</errorWord>
      <group>L1_Format</group>
      <groupName>格式问题</groupName>
      <ability>L2_HalfPunc</ability>
      <abilityName>全半角检查</abilityName>
      <candidateList>
        <item>）</item>
      </candidateList>
      <explain>文本全半角错误。</explain>
      <paraID>42214297</paraID>
      <start>7</start>
      <end>8</end>
      <status>unmodified</status>
      <modifiedWord/>
      <trackRevisions>false</trackRevisions>
    </reviewItem>
    <reviewItem>
      <errorID>c43727b4-a900-4e82-8046-f4743eaf1302</errorID>
      <errorWord>(</errorWord>
      <group>L1_Format</group>
      <groupName>格式问题</groupName>
      <ability>L2_HalfPunc</ability>
      <abilityName>全半角检查</abilityName>
      <candidateList>
        <item>（</item>
      </candidateList>
      <explain>文本全半角错误。</explain>
      <paraID>42214297</paraID>
      <start>33</start>
      <end>34</end>
      <status>unmodified</status>
      <modifiedWord/>
      <trackRevisions>false</trackRevisions>
    </reviewItem>
    <reviewItem>
      <errorID>d2c0125c-2b7b-45cf-bac6-7c1ad64a3cc3</errorID>
      <errorWord>(</errorWord>
      <group>L1_Format</group>
      <groupName>格式问题</groupName>
      <ability>L2_HalfPunc</ability>
      <abilityName>全半角检查</abilityName>
      <candidateList>
        <item>（</item>
      </candidateList>
      <explain>文本全半角错误。</explain>
      <paraID>42214297</paraID>
      <start>36</start>
      <end>37</end>
      <status>unmodified</status>
      <modifiedWord/>
      <trackRevisions>false</trackRevisions>
    </reviewItem>
    <reviewItem>
      <errorID>cabdcc2e-9ffb-46f1-a31b-a0e74e4ff650</errorID>
      <errorWord>)</errorWord>
      <group>L1_Format</group>
      <groupName>格式问题</groupName>
      <ability>L2_HalfPunc</ability>
      <abilityName>全半角检查</abilityName>
      <candidateList>
        <item>）</item>
      </candidateList>
      <explain>文本全半角错误。</explain>
      <paraID>42214297</paraID>
      <start>43</start>
      <end>44</end>
      <status>unmodified</status>
      <modifiedWord/>
      <trackRevisions>false</trackRevisions>
    </reviewItem>
    <reviewItem>
      <errorID>7f74c673-8629-4103-85d8-fd5057970390</errorID>
      <errorWord>)</errorWord>
      <group>L1_Format</group>
      <groupName>格式问题</groupName>
      <ability>L2_HalfPunc</ability>
      <abilityName>全半角检查</abilityName>
      <candidateList>
        <item>）</item>
      </candidateList>
      <explain>文本全半角错误。</explain>
      <paraID>42214297</paraID>
      <start>47</start>
      <end>48</end>
      <status>unmodified</status>
      <modifiedWord/>
      <trackRevisions>false</trackRevisions>
    </reviewItem>
    <reviewItem>
      <errorID>c7a1a614-9c9e-4192-a14d-6c2756e36cd9</errorID>
      <errorWord>(</errorWord>
      <group>L1_Format</group>
      <groupName>格式问题</groupName>
      <ability>L2_HalfPunc</ability>
      <abilityName>全半角检查</abilityName>
      <candidateList>
        <item>（</item>
      </candidateList>
      <explain>文本全半角错误。</explain>
      <paraID>42214297</paraID>
      <start>55</start>
      <end>56</end>
      <status>unmodified</status>
      <modifiedWord/>
      <trackRevisions>false</trackRevisions>
    </reviewItem>
    <reviewItem>
      <errorID>e7a9f3a3-fc23-4870-b517-790a4dee71e4</errorID>
      <errorWord>)</errorWord>
      <group>L1_Format</group>
      <groupName>格式问题</groupName>
      <ability>L2_HalfPunc</ability>
      <abilityName>全半角检查</abilityName>
      <candidateList>
        <item>）</item>
      </candidateList>
      <explain>文本全半角错误。</explain>
      <paraID>42214297</paraID>
      <start>59</start>
      <end>60</end>
      <status>unmodified</status>
      <modifiedWord/>
      <trackRevisions>false</trackRevisions>
    </reviewItem>
    <reviewItem>
      <errorID>f6f3df54-14fd-4373-a6a2-4476f4236413</errorID>
      <errorWord>(</errorWord>
      <group>L1_Format</group>
      <groupName>格式问题</groupName>
      <ability>L2_HalfPunc</ability>
      <abilityName>全半角检查</abilityName>
      <candidateList>
        <item>（</item>
      </candidateList>
      <explain>文本全半角错误。</explain>
      <paraID>42214297</paraID>
      <start>72</start>
      <end>73</end>
      <status>unmodified</status>
      <modifiedWord/>
      <trackRevisions>false</trackRevisions>
    </reviewItem>
    <reviewItem>
      <errorID>958cd50e-b69c-4241-9f12-a3ecbb139841</errorID>
      <errorWord>)</errorWord>
      <group>L1_Format</group>
      <groupName>格式问题</groupName>
      <ability>L2_HalfPunc</ability>
      <abilityName>全半角检查</abilityName>
      <candidateList>
        <item>）</item>
      </candidateList>
      <explain>文本全半角错误。</explain>
      <paraID>42214297</paraID>
      <start>77</start>
      <end>78</end>
      <status>unmodified</status>
      <modifiedWord/>
      <trackRevisions>false</trackRevisions>
    </reviewItem>
    <reviewItem>
      <errorID>894e1b31-6a0a-4e31-85d0-ff1b7d3cc40a</errorID>
      <errorWord>(</errorWord>
      <group>L1_Format</group>
      <groupName>格式问题</groupName>
      <ability>L2_HalfPunc</ability>
      <abilityName>全半角检查</abilityName>
      <candidateList>
        <item>（</item>
      </candidateList>
      <explain>文本全半角错误。</explain>
      <paraID>42214297</paraID>
      <start>94</start>
      <end>95</end>
      <status>unmodified</status>
      <modifiedWord/>
      <trackRevisions>false</trackRevisions>
    </reviewItem>
    <reviewItem>
      <errorID>9bffa580-fc11-42fd-928a-70f104179d72</errorID>
      <errorWord>)</errorWord>
      <group>L1_Format</group>
      <groupName>格式问题</groupName>
      <ability>L2_HalfPunc</ability>
      <abilityName>全半角检查</abilityName>
      <candidateList>
        <item>）</item>
      </candidateList>
      <explain>文本全半角错误。</explain>
      <paraID>42214297</paraID>
      <start>99</start>
      <end>100</end>
      <status>unmodified</status>
      <modifiedWord/>
      <trackRevisions>false</trackRevisions>
    </reviewItem>
    <reviewItem>
      <errorID>b8cf343f-ec34-4624-adac-cdbaa909c941</errorID>
      <errorWord>(</errorWord>
      <group>L1_Format</group>
      <groupName>格式问题</groupName>
      <ability>L2_HalfPunc</ability>
      <abilityName>全半角检查</abilityName>
      <candidateList>
        <item>（</item>
      </candidateList>
      <explain>文本全半角错误。</explain>
      <paraID>42214297</paraID>
      <start>128</start>
      <end>129</end>
      <status>unmodified</status>
      <modifiedWord/>
      <trackRevisions>false</trackRevisions>
    </reviewItem>
    <reviewItem>
      <errorID>f2546930-b2b8-4620-aa99-ac0ef015b411</errorID>
      <errorWord>)</errorWord>
      <group>L1_Format</group>
      <groupName>格式问题</groupName>
      <ability>L2_HalfPunc</ability>
      <abilityName>全半角检查</abilityName>
      <candidateList>
        <item>）</item>
      </candidateList>
      <explain>文本全半角错误。</explain>
      <paraID>42214297</paraID>
      <start>153</start>
      <end>154</end>
      <status>unmodified</status>
      <modifiedWord/>
      <trackRevisions>false</trackRevisions>
    </reviewItem>
    <reviewItem>
      <errorID>3e0c143e-b6be-4cac-881b-e2e92fb7173a</errorID>
      <errorWord>:</errorWord>
      <group>L1_Format</group>
      <groupName>格式问题</groupName>
      <ability>L2_HalfPunc</ability>
      <abilityName>全半角检查</abilityName>
      <candidateList>
        <item>：</item>
      </candidateList>
      <explain>文本全半角错误。</explain>
      <paraID>42214297</paraID>
      <start>161</start>
      <end>162</end>
      <status>unmodified</status>
      <modifiedWord/>
      <trackRevisions>false</trackRevisions>
    </reviewItem>
    <reviewItem>
      <errorID>c5b5fe5c-531d-4ed3-9ee0-e6e8910f51d4</errorID>
      <errorWord>(</errorWord>
      <group>L1_Format</group>
      <groupName>格式问题</groupName>
      <ability>L2_HalfPunc</ability>
      <abilityName>全半角检查</abilityName>
      <candidateList>
        <item>（</item>
      </candidateList>
      <explain>文本全半角错误。</explain>
      <paraID>166A49C4</paraID>
      <start>18</start>
      <end>19</end>
      <status>unmodified</status>
      <modifiedWord/>
      <trackRevisions>false</trackRevisions>
    </reviewItem>
    <reviewItem>
      <errorID>81897539-8d01-4116-bc07-bb97e9bd9707</errorID>
      <errorWord>)</errorWord>
      <group>L1_Format</group>
      <groupName>格式问题</groupName>
      <ability>L2_HalfPunc</ability>
      <abilityName>全半角检查</abilityName>
      <candidateList>
        <item>）</item>
      </candidateList>
      <explain>文本全半角错误。</explain>
      <paraID>166A49C4</paraID>
      <start>23</start>
      <end>24</end>
      <status>unmodified</status>
      <modifiedWord/>
      <trackRevisions>false</trackRevisions>
    </reviewItem>
    <reviewItem>
      <errorID>dd35170e-1306-49bd-ace9-dce2a52a3ae2</errorID>
      <errorWord>(</errorWord>
      <group>L1_Format</group>
      <groupName>格式问题</groupName>
      <ability>L2_HalfPunc</ability>
      <abilityName>全半角检查</abilityName>
      <candidateList>
        <item>（</item>
      </candidateList>
      <explain>文本全半角错误。</explain>
      <paraID>166A49C4</paraID>
      <start>39</start>
      <end>40</end>
      <status>unmodified</status>
      <modifiedWord/>
      <trackRevisions>false</trackRevisions>
    </reviewItem>
    <reviewItem>
      <errorID>9a1e9d77-ee6f-4815-a02b-71b0f4aa26bc</errorID>
      <errorWord>)</errorWord>
      <group>L1_Format</group>
      <groupName>格式问题</groupName>
      <ability>L2_HalfPunc</ability>
      <abilityName>全半角检查</abilityName>
      <candidateList>
        <item>）</item>
      </candidateList>
      <explain>文本全半角错误。</explain>
      <paraID>166A49C4</paraID>
      <start>52</start>
      <end>53</end>
      <status>unmodified</status>
      <modifiedWord/>
      <trackRevisions>false</trackRevisions>
    </reviewItem>
    <reviewItem>
      <errorID>7b332a4f-4ae6-4190-be89-f773e17d9723</errorID>
      <errorWord>(</errorWord>
      <group>L1_Format</group>
      <groupName>格式问题</groupName>
      <ability>L2_HalfPunc</ability>
      <abilityName>全半角检查</abilityName>
      <candidateList>
        <item>（</item>
      </candidateList>
      <explain>文本全半角错误。</explain>
      <paraID>166A49C4</paraID>
      <start>63</start>
      <end>64</end>
      <status>unmodified</status>
      <modifiedWord/>
      <trackRevisions>false</trackRevisions>
    </reviewItem>
    <reviewItem>
      <errorID>3112fdff-d283-47cc-ae95-bd4bd2bdeb94</errorID>
      <errorWord>)</errorWord>
      <group>L1_Format</group>
      <groupName>格式问题</groupName>
      <ability>L2_HalfPunc</ability>
      <abilityName>全半角检查</abilityName>
      <candidateList>
        <item>）</item>
      </candidateList>
      <explain>文本全半角错误。</explain>
      <paraID>166A49C4</paraID>
      <start>68</start>
      <end>69</end>
      <status>unmodified</status>
      <modifiedWord/>
      <trackRevisions>false</trackRevisions>
    </reviewItem>
    <reviewItem>
      <errorID>340fafdc-08d9-463b-a0f8-035d592d99d4</errorID>
      <errorWord>万元1</errorWord>
      <group>L1_Word</group>
      <groupName>字词问题</groupName>
      <ability>L2_Typo</ability>
      <abilityName>字词错误</abilityName>
      <candidateList>
        <item>万元</item>
      </candidateList>
      <explain/>
      <paraID>166A49C4</paraID>
      <start>106</start>
      <end>109</end>
      <status>unmodified</status>
      <modifiedWord/>
      <trackRevisions>false</trackRevisions>
    </reviewItem>
    <reviewItem>
      <errorID>69f87184-2ea1-4253-986d-2dcba1b98221</errorID>
      <errorWord>)</errorWord>
      <group>L1_Format</group>
      <groupName>格式问题</groupName>
      <ability>L2_HalfPunc</ability>
      <abilityName>全半角检查</abilityName>
      <candidateList>
        <item>）</item>
      </candidateList>
      <explain>文本全半角错误。</explain>
      <paraID>359909C1</paraID>
      <start>11</start>
      <end>12</end>
      <status>unmodified</status>
      <modifiedWord/>
      <trackRevisions>false</trackRevisions>
    </reviewItem>
    <reviewItem>
      <errorID>f5ddc13b-54a6-471b-ab67-9295b9688fb8</errorID>
      <errorWord>)</errorWord>
      <group>L1_Format</group>
      <groupName>格式问题</groupName>
      <ability>L2_HalfPunc</ability>
      <abilityName>全半角检查</abilityName>
      <candidateList>
        <item>）</item>
      </candidateList>
      <explain>文本全半角错误。</explain>
      <paraID>359909C1</paraID>
      <start>33</start>
      <end>34</end>
      <status>unmodified</status>
      <modifiedWord/>
      <trackRevisions>false</trackRevisions>
    </reviewItem>
    <reviewItem>
      <errorID>8bff324c-56cd-4902-9817-2d9490688428</errorID>
      <errorWord>(</errorWord>
      <group>L1_Format</group>
      <groupName>格式问题</groupName>
      <ability>L2_HalfPunc</ability>
      <abilityName>全半角检查</abilityName>
      <candidateList>
        <item>（</item>
      </candidateList>
      <explain>文本全半角错误。</explain>
      <paraID>359909C1</paraID>
      <start>47</start>
      <end>48</end>
      <status>unmodified</status>
      <modifiedWord/>
      <trackRevisions>false</trackRevisions>
    </reviewItem>
    <reviewItem>
      <errorID>214719e7-71de-493a-9b9b-68a2a951fdf6</errorID>
      <errorWord>)</errorWord>
      <group>L1_Format</group>
      <groupName>格式问题</groupName>
      <ability>L2_HalfPunc</ability>
      <abilityName>全半角检查</abilityName>
      <candidateList>
        <item>）</item>
      </candidateList>
      <explain>文本全半角错误。</explain>
      <paraID>359909C1</paraID>
      <start>52</start>
      <end>53</end>
      <status>unmodified</status>
      <modifiedWord/>
      <trackRevisions>false</trackRevisions>
    </reviewItem>
    <reviewItem>
      <errorID>61dd6b3a-9500-4bbb-b9a6-dc6443a5afb9</errorID>
      <errorWord>)</errorWord>
      <group>L1_Format</group>
      <groupName>格式问题</groupName>
      <ability>L2_HalfPunc</ability>
      <abilityName>全半角检查</abilityName>
      <candidateList>
        <item>）</item>
      </candidateList>
      <explain>文本全半角错误。</explain>
      <paraID>359909C1</paraID>
      <start>119</start>
      <end>120</end>
      <status>unmodified</status>
      <modifiedWord/>
      <trackRevisions>false</trackRevisions>
    </reviewItem>
    <reviewItem>
      <errorID>dde68eba-affb-4be6-a19d-b51115828a45</errorID>
      <errorWord>......</errorWord>
      <group>L1_Punc</group>
      <groupName>标点问题</groupName>
      <ability>L2_Punc</ability>
      <abilityName>标点符号检查</abilityName>
      <candidateList>
        <item>……</item>
      </candidateList>
      <explain/>
      <paraID>5C3B9BEE</paraID>
      <start>0</start>
      <end>6</end>
      <status>unmodified</status>
      <modifiedWord/>
      <trackRevisions>false</trackRevisions>
    </reviewItem>
    <reviewItem>
      <errorID>68a52fef-2ddc-4962-b5ef-e272ddbe63bc</errorID>
      <errorWord>虛假</errorWord>
      <group>L1_Word</group>
      <groupName>字词问题</groupName>
      <ability>L2_Typo</ability>
      <abilityName>字词错误</abilityName>
      <candidateList>
        <item>虚假</item>
      </candidateList>
      <explain/>
      <paraID>386AB28C</paraID>
      <start>19</start>
      <end>21</end>
      <status>unmodified</status>
      <modifiedWord/>
      <trackRevisions>false</trackRevisions>
    </reviewItem>
    <reviewItem>
      <errorID>997b4006-acb2-41b8-b689-844f7fc9a36b</errorID>
      <errorWord>(</errorWord>
      <group>L1_Format</group>
      <groupName>格式问题</groupName>
      <ability>L2_HalfPunc</ability>
      <abilityName>全半角检查</abilityName>
      <candidateList>
        <item>（</item>
      </candidateList>
      <explain>文本全半角错误。</explain>
      <paraID>23DFD4D9</paraID>
      <start>54</start>
      <end>55</end>
      <status>unmodified</status>
      <modifiedWord/>
      <trackRevisions>false</trackRevisions>
    </reviewItem>
    <reviewItem>
      <errorID>70382c70-3332-4201-aa51-f7c1d1be02a0</errorID>
      <errorWord>)</errorWord>
      <group>L1_Format</group>
      <groupName>格式问题</groupName>
      <ability>L2_HalfPunc</ability>
      <abilityName>全半角检查</abilityName>
      <candidateList>
        <item>）</item>
      </candidateList>
      <explain>文本全半角错误。</explain>
      <paraID>23DFD4D9</paraID>
      <start>57</start>
      <end>58</end>
      <status>unmodified</status>
      <modifiedWord/>
      <trackRevisions>false</trackRevisions>
    </reviewItem>
    <reviewItem>
      <errorID>d8873bc4-16ed-4bae-80cf-552cbd300749</errorID>
      <errorWord>:</errorWord>
      <group>L1_Format</group>
      <groupName>格式问题</groupName>
      <ability>L2_HalfPunc</ability>
      <abilityName>全半角检查</abilityName>
      <candidateList>
        <item>：</item>
      </candidateList>
      <explain>文本全半角错误。</explain>
      <paraID>616575CA</paraID>
      <start>46</start>
      <end>47</end>
      <status>unmodified</status>
      <modifiedWord/>
      <trackRevisions>false</trackRevisions>
    </reviewItem>
    <reviewItem>
      <errorID>a42365e7-e673-4de0-a750-942ff26a40f7</errorID>
      <errorWord>(</errorWord>
      <group>L1_Format</group>
      <groupName>格式问题</groupName>
      <ability>L2_HalfPunc</ability>
      <abilityName>全半角检查</abilityName>
      <candidateList>
        <item>（</item>
      </candidateList>
      <explain>文本全半角错误。</explain>
      <paraID>1F294E78</paraID>
      <start>54</start>
      <end>55</end>
      <status>unmodified</status>
      <modifiedWord/>
      <trackRevisions>false</trackRevisions>
    </reviewItem>
    <reviewItem>
      <errorID>d524fbde-074b-485e-9e66-a465bfffeab2</errorID>
      <errorWord>)</errorWord>
      <group>L1_Format</group>
      <groupName>格式问题</groupName>
      <ability>L2_HalfPunc</ability>
      <abilityName>全半角检查</abilityName>
      <candidateList>
        <item>）</item>
      </candidateList>
      <explain>文本全半角错误。</explain>
      <paraID>1F294E78</paraID>
      <start>57</start>
      <end>58</end>
      <status>unmodified</status>
      <modifiedWord/>
      <trackRevisions>false</trackRevisions>
    </reviewItem>
    <reviewItem>
      <errorID>cf19c0a6-ace2-481e-9db9-092be2e37b3b</errorID>
      <errorWord>:</errorWord>
      <group>L1_Format</group>
      <groupName>格式问题</groupName>
      <ability>L2_HalfPunc</ability>
      <abilityName>全半角检查</abilityName>
      <candidateList>
        <item>：</item>
      </candidateList>
      <explain>文本全半角错误。</explain>
      <paraID>3759E04F</paraID>
      <start>46</start>
      <end>47</end>
      <status>unmodified</status>
      <modifiedWord/>
      <trackRevisions>false</trackRevisions>
    </reviewItem>
    <reviewItem>
      <errorID>8bebe730-eb39-49e7-bec4-cfedb4504409</errorID>
      <errorWord>《政府采购法》</errorWord>
      <group>L1_Political</group>
      <groupName>政治性问题</groupName>
      <ability>L2_Keyword</ability>
      <abilityName>固定表述</abilityName>
      <candidateList>
        <item>《中华人民共和国政府采购法》</item>
      </candidateList>
      <explain>此处内容疑似含有固定表述相关错误，建议核查。</explain>
      <paraID>2FC5EE25</paraID>
      <start>76</start>
      <end>90</end>
      <status>modified</status>
      <modifiedWord>《中华人民共和国政府采购法》</modifiedWord>
      <trackRevisions>false</trackRevisions>
    </reviewItem>
    <reviewItem>
      <errorID>5d664c9c-dcd4-4136-90a6-8e628aa3ce3f</errorID>
      <errorWord>司法部</errorWord>
      <group>L1_Word</group>
      <groupName>字词问题</groupName>
      <ability>L2_Typo</ability>
      <abilityName>字词错误</abilityName>
      <candidateList>
        <item> 司法部</item>
      </candidateList>
      <explain/>
      <paraID> 737CF52</paraID>
      <start>6</start>
      <end>9</end>
      <status>unmodified</status>
      <modifiedWord/>
      <trackRevisions>false</trackRevisions>
    </reviewItem>
    <reviewItem>
      <errorID>bd20a44a-ee6f-4624-ba85-1c91db21905d</errorID>
      <errorWord>：</errorWord>
      <group>L1_Punc</group>
      <groupName>标点问题</groupName>
      <ability>L2_Punc</ability>
      <abilityName>标点符号检查</abilityName>
      <candidateList>
        <item>，</item>
      </candidateList>
      <explain/>
      <paraID> 737CF52</paraID>
      <start>47</start>
      <end>48</end>
      <status>unmodified</status>
      <modifiedWord/>
      <trackRevisions>false</trackRevisions>
    </reviewItem>
    <reviewItem>
      <errorID>179902d2-86e4-4971-acb8-a1bd0c873f1f</errorID>
      <errorWord>[2014]68号</errorWord>
      <group>L1_Knowledge</group>
      <groupName>知识性问题</groupName>
      <ability>L2_Knowledge</ability>
      <abilityName>其他知识</abilityName>
      <candidateList>
        <item>〔2014〕68号</item>
      </candidateList>
      <explain>发文字号格式错误。</explain>
      <paraID>62738533</paraID>
      <start>58</start>
      <end>67</end>
      <status>unmodified</status>
      <modifiedWord/>
      <trackRevisions>false</trackRevisions>
    </reviewItem>
    <reviewItem>
      <errorID>8ce88e1f-e1fe-43cc-aed8-1480491b5516</errorID>
      <errorWord>涉及到的相关</errorWord>
      <group>L1_Word</group>
      <groupName>字词问题</groupName>
      <ability>L2_Typo</ability>
      <abilityName>字词错误</abilityName>
      <candidateList>
        <item>涉及的相关</item>
      </candidateList>
      <explain/>
      <paraID>59BE45D2</paraID>
      <start>6</start>
      <end>12</end>
      <status>unmodified</status>
      <modifiedWord/>
      <trackRevisions>false</trackRevisions>
    </reviewItem>
    <reviewItem>
      <errorID>89957d2e-3f62-4847-ba1d-cb24a187f468</errorID>
      <errorWord>(</errorWord>
      <group>L1_Format</group>
      <groupName>格式问题</groupName>
      <ability>L2_HalfPunc</ability>
      <abilityName>全半角检查</abilityName>
      <candidateList>
        <item>（</item>
      </candidateList>
      <explain>文本全半角错误。</explain>
      <paraID>69E5EB7D</paraID>
      <start>16</start>
      <end>17</end>
      <status>unmodified</status>
      <modifiedWord/>
      <trackRevisions>false</trackRevisions>
    </reviewItem>
    <reviewItem>
      <errorID>16686d4d-3f67-4b40-9c69-90d3736554b0</errorID>
      <errorWord>)</errorWord>
      <group>L1_Format</group>
      <groupName>格式问题</groupName>
      <ability>L2_HalfPunc</ability>
      <abilityName>全半角检查</abilityName>
      <candidateList>
        <item>）</item>
      </candidateList>
      <explain>文本全半角错误。</explain>
      <paraID>69E5EB7D</paraID>
      <start>20</start>
      <end>21</end>
      <status>unmodified</status>
      <modifiedWord/>
      <trackRevisions>false</trackRevisions>
    </reviewItem>
    <reviewItem>
      <errorID>422d8f2a-8308-4248-929c-9930d47b7fd3</errorID>
      <errorWord>(</errorWord>
      <group>L1_Format</group>
      <groupName>格式问题</groupName>
      <ability>L2_HalfPunc</ability>
      <abilityName>全半角检查</abilityName>
      <candidateList>
        <item>（</item>
      </candidateList>
      <explain>文本全半角错误。</explain>
      <paraID>69E5EB7D</paraID>
      <start>45</start>
      <end>46</end>
      <status>unmodified</status>
      <modifiedWord/>
      <trackRevisions>false</trackRevisions>
    </reviewItem>
    <reviewItem>
      <errorID>2ae15ca7-702a-4621-a243-2bfd7303efa4</errorID>
      <errorWord>)</errorWord>
      <group>L1_Format</group>
      <groupName>格式问题</groupName>
      <ability>L2_HalfPunc</ability>
      <abilityName>全半角检查</abilityName>
      <candidateList>
        <item>）</item>
      </candidateList>
      <explain>文本全半角错误。</explain>
      <paraID>69E5EB7D</paraID>
      <start>49</start>
      <end>50</end>
      <status>unmodified</status>
      <modifiedWord/>
      <trackRevisions>false</trackRevisions>
    </reviewItem>
    <reviewItem>
      <errorID>d6db95a9-734d-497e-94eb-3fb838e862d1</errorID>
      <errorWord>;</errorWord>
      <group>L1_Format</group>
      <groupName>格式问题</groupName>
      <ability>L2_HalfPunc</ability>
      <abilityName>全半角检查</abilityName>
      <candidateList>
        <item>；</item>
      </candidateList>
      <explain>文本全半角错误。</explain>
      <paraID>69E5EB7D</paraID>
      <start>79</start>
      <end>80</end>
      <status>unmodified</status>
      <modifiedWord/>
      <trackRevisions>false</trackRevisions>
    </reviewItem>
    <reviewItem>
      <errorID>cb731fc1-c3b9-4d23-953c-ea6d87c1dea9</errorID>
      <errorWord>;</errorWord>
      <group>L1_Format</group>
      <groupName>格式问题</groupName>
      <ability>L2_HalfPunc</ability>
      <abilityName>全半角检查</abilityName>
      <candidateList>
        <item>；</item>
      </candidateList>
      <explain>文本全半角错误。</explain>
      <paraID>69E5EB7D</paraID>
      <start>108</start>
      <end>109</end>
      <status>unmodified</status>
      <modifiedWord/>
      <trackRevisions>false</trackRevisions>
    </reviewItem>
    <reviewItem>
      <errorID>c5ff8bb5-2ea4-4697-9759-1af64c660343</errorID>
      <errorWord>;</errorWord>
      <group>L1_Format</group>
      <groupName>格式问题</groupName>
      <ability>L2_HalfPunc</ability>
      <abilityName>全半角检查</abilityName>
      <candidateList>
        <item>；</item>
      </candidateList>
      <explain>文本全半角错误。</explain>
      <paraID>69E5EB7D</paraID>
      <start>135</start>
      <end>136</end>
      <status>unmodified</status>
      <modifiedWord/>
      <trackRevisions>false</trackRevisions>
    </reviewItem>
    <reviewItem>
      <errorID>1e8bcc91-da0e-48fe-b9cb-f13a79d959a9</errorID>
      <errorWord>：）</errorWord>
      <group>L1_Punc</group>
      <groupName>标点问题</groupName>
      <ability>L2_Punc</ability>
      <abilityName>标点符号检查</abilityName>
      <candidateList>
        <item>）</item>
      </candidateList>
      <explain/>
      <paraID>4903BAFA</paraID>
      <start>21</start>
      <end>23</end>
      <status>unmodified</status>
      <modifiedWord/>
      <trackRevisions>false</trackRevisions>
    </reviewItem>
    <reviewItem>
      <errorID>c156b849-77b4-4db7-a3cf-5b4cae756b1e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AFA798D</paraID>
      <start>0</start>
      <end>2</end>
      <status>unmodified</status>
      <modifiedWord/>
      <trackRevisions>false</trackRevisions>
    </reviewItem>
    <reviewItem>
      <errorID>bdfbd963-ef99-4693-9adf-1dc661c12de2</errorID>
      <errorWord>(</errorWord>
      <group>L1_Format</group>
      <groupName>格式问题</groupName>
      <ability>L2_HalfPunc</ability>
      <abilityName>全半角检查</abilityName>
      <candidateList>
        <item>（</item>
      </candidateList>
      <explain>文本全半角错误。</explain>
      <paraID> AFA798D</paraID>
      <start>24</start>
      <end>25</end>
      <status>unmodified</status>
      <modifiedWord/>
      <trackRevisions>false</trackRevisions>
    </reviewItem>
    <reviewItem>
      <errorID>a301bb86-3ccc-4539-9588-04a4650a7ffc</errorID>
      <errorWord>)</errorWord>
      <group>L1_Format</group>
      <groupName>格式问题</groupName>
      <ability>L2_HalfPunc</ability>
      <abilityName>全半角检查</abilityName>
      <candidateList>
        <item>）</item>
      </candidateList>
      <explain>文本全半角错误。</explain>
      <paraID> AFA798D</paraID>
      <start>30</start>
      <end>31</end>
      <status>unmodified</status>
      <modifiedWord/>
      <trackRevisions>false</trackRevisions>
    </reviewItem>
    <reviewItem>
      <errorID>0bd28cff-34b3-481d-bbc7-01ed49151332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404E7002</paraID>
      <start>0</start>
      <end>2</end>
      <status>unmodified</status>
      <modifiedWord/>
      <trackRevisions>false</trackRevisions>
    </reviewItem>
    <reviewItem>
      <errorID>626bed7a-cc79-4fcd-a368-3265f122a35f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6B743B80</paraID>
      <start>0</start>
      <end>2</end>
      <status>unmodified</status>
      <modifiedWord/>
      <trackRevisions>false</trackRevisions>
    </reviewItem>
    <reviewItem>
      <errorID>5caef2ef-4707-4548-8075-d58eedb49afb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6C628974</paraID>
      <start>0</start>
      <end>2</end>
      <status>unmodified</status>
      <modifiedWord/>
      <trackRevisions>false</trackRevisions>
    </reviewItem>
    <reviewItem>
      <errorID>0169cbbe-2b42-4220-88a8-9808024a23d8</errorID>
      <errorWord>本</errorWord>
      <group>L1_Word</group>
      <groupName>字词问题</groupName>
      <ability>L2_Typo</ability>
      <abilityName>字词错误</abilityName>
      <candidateList>
        <item>本次</item>
      </candidateList>
      <explain/>
      <paraID>6C628974</paraID>
      <start>12</start>
      <end>13</end>
      <status>unmodified</status>
      <modifiedWord/>
      <trackRevisions>false</trackRevisions>
    </reviewItem>
    <reviewItem>
      <errorID>70d46223-6901-41a1-aa3e-5331b36680e0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7C831B4C</paraID>
      <start>0</start>
      <end>2</end>
      <status>unmodified</status>
      <modifiedWord/>
      <trackRevisions>false</trackRevisions>
    </reviewItem>
    <reviewItem>
      <errorID>89561978-1be8-470e-bb40-1a819132a497</errorID>
      <errorWord>限</errorWord>
      <group>L1_Word</group>
      <groupName>字词问题</groupName>
      <ability>L2_Typo</ability>
      <abilityName>字词错误</abilityName>
      <candidateList>
        <item>限内</item>
      </candidateList>
      <explain/>
      <paraID>7A57E74A</paraID>
      <start>39</start>
      <end>40</end>
      <status>unmodified</status>
      <modifiedWord/>
      <trackRevisions>false</trackRevisions>
    </reviewItem>
    <reviewItem>
      <errorID>da08a874-20f8-43a8-b3f5-0adf6760ef7b</errorID>
      <errorWord>全部的</errorWord>
      <group>L1_Word</group>
      <groupName>字词问题</groupName>
      <ability>L2_Typo</ability>
      <abilityName>字词错误</abilityName>
      <candidateList>
        <item>全部</item>
      </candidateList>
      <explain/>
      <paraID>2DE2FB17</paraID>
      <start>30</start>
      <end>33</end>
      <status>unmodified</status>
      <modifiedWord/>
      <trackRevisions>false</trackRevisions>
    </reviewItem>
    <reviewItem>
      <errorID>293ef201-4530-4205-8eab-3a04c532f24b</errorID>
      <errorWord> </errorWord>
      <group>L1_Punc</group>
      <groupName>标点问题</groupName>
      <ability>L2_Punc</ability>
      <abilityName>标点符号检查</abilityName>
      <candidateList>
        <item/>
      </candidateList>
      <explain>此处空格冗余，建议删除。</explain>
      <paraID>2DE2FB17</paraID>
      <start>38</start>
      <end>39</end>
      <status>unmodified</status>
      <modifiedWord/>
      <trackRevisions>false</trackRevisions>
    </reviewItem>
    <reviewItem>
      <errorID>939495d3-e718-4429-bdcf-5004c27c206a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53BDD4AE</paraID>
      <start>0</start>
      <end>2</end>
      <status>unmodified</status>
      <modifiedWord/>
      <trackRevisions>false</trackRevisions>
    </reviewItem>
    <reviewItem>
      <errorID>51bafe11-b6aa-46ac-a91a-bf0156462b18</errorID>
      <errorWord>帐    号：</errorWord>
      <group>L1_Word</group>
      <groupName>字词问题</groupName>
      <ability>L2_Typo</ability>
      <abilityName>字词错误</abilityName>
      <candidateList>
        <item>账    号：</item>
      </candidateList>
      <explain/>
      <paraID>70D02230</paraID>
      <start>0</start>
      <end>7</end>
      <status>modified</status>
      <modifiedWord>账    号：</modifiedWord>
      <trackRevisions>false</trackRevisions>
    </reviewItem>
    <reviewItem>
      <errorID>6c08e3e2-685c-45c7-a870-3b090ed6ffe5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3480CF78</paraID>
      <start>0</start>
      <end>2</end>
      <status>modified</status>
      <modifiedWord>1.</modifiedWord>
      <trackRevisions>false</trackRevisions>
    </reviewItem>
    <reviewItem>
      <errorID>a9c5fe9f-3174-411b-9684-b91630e55403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5FBA9D8</paraID>
      <start>0</start>
      <end>2</end>
      <status>modified</status>
      <modifiedWord>2.</modifiedWord>
      <trackRevisions>false</trackRevisions>
    </reviewItem>
    <reviewItem>
      <errorID>7d708b26-7be6-43d9-abe3-76fb1880bce9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4AD49AF9</paraID>
      <start>0</start>
      <end>2</end>
      <status>modified</status>
      <modifiedWord>3.</modifiedWord>
      <trackRevisions>false</trackRevisions>
    </reviewItem>
    <reviewItem>
      <errorID>17075434-1f11-46fe-9306-c38a2ece0316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4A210B9A</paraID>
      <start>0</start>
      <end>2</end>
      <status>modified</status>
      <modifiedWord>4.</modifiedWord>
      <trackRevisions>false</trackRevisions>
    </reviewItem>
    <reviewItem>
      <errorID>94584bce-01f8-44a9-8bdd-b35147c7bb27</errorID>
      <errorWord>“采购需求”、“</errorWord>
      <group>L1_Punc</group>
      <groupName>标点问题</groupName>
      <ability>L2_Punc</ability>
      <abilityName>标点符号检查</abilityName>
      <candidateList>
        <item>《采购需求》《</item>
      </candidateList>
      <explain/>
      <paraID>1099D242</paraID>
      <start>5</start>
      <end>13</end>
      <status>unmodified</status>
      <modifiedWord/>
      <trackRevisions>false</trackRevisions>
    </reviewItem>
    <reviewItem>
      <errorID>302ec084-9650-4aab-bd8f-5e8f7d719510</errorID>
      <errorWord>”</errorWord>
      <group>L1_Punc</group>
      <groupName>标点问题</groupName>
      <ability>L2_Punc</ability>
      <abilityName>标点符号检查</abilityName>
      <candidateList>
        <item>》</item>
      </candidateList>
      <explain/>
      <paraID>1099D242</paraID>
      <start>17</start>
      <end>18</end>
      <status>unmodified</status>
      <modifiedWord/>
      <trackRevisions>false</trackRevisions>
    </reviewItem>
    <reviewItem>
      <errorID>97fa0fa8-353d-4c5d-a4ad-362f99a588bb</errorID>
      <errorWord> </errorWord>
      <group>L1_Punc</group>
      <groupName>标点问题</groupName>
      <ability>L2_Punc</ability>
      <abilityName>标点符号检查</abilityName>
      <candidateList>
        <item/>
      </candidateList>
      <explain>此处空格冗余，建议删除。</explain>
      <paraID>3EA4F74B</paraID>
      <start>0</start>
      <end>1</end>
      <status>unmodified</status>
      <modifiedWord/>
      <trackRevisions>false</trackRevisions>
    </reviewItem>
    <reviewItem>
      <errorID>66aabfb4-2c51-4fdd-8d9b-c5f35046915b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1DF27B5D</paraID>
      <start>10</start>
      <end>13</end>
      <status>unmodified</status>
      <modifiedWord/>
      <trackRevisions>false</trackRevisions>
    </reviewItem>
    <reviewItem>
      <errorID>314eed1d-ae0d-4a7c-8372-c70b13b20e7f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74F92E55</paraID>
      <start>10</start>
      <end>13</end>
      <status>unmodified</status>
      <modifiedWord/>
      <trackRevisions>false</trackRevisions>
    </reviewItem>
    <reviewItem>
      <errorID>837c3fa7-2658-4218-ae1d-91030870c938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3BB368AA</paraID>
      <start>10</start>
      <end>13</end>
      <status>unmodified</status>
      <modifiedWord/>
      <trackRevisions>false</trackRevisions>
    </reviewItem>
    <reviewItem>
      <errorID>ebcd95e3-0578-4a0f-be07-0037d35abeb7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1E035553</paraID>
      <start>10</start>
      <end>13</end>
      <status>unmodified</status>
      <modifiedWord/>
      <trackRevisions>false</trackRevisions>
    </reviewItem>
    <reviewItem>
      <errorID>21983ab7-9d3b-4938-93a0-f03cee1dc5ac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1C39A727</paraID>
      <start>10</start>
      <end>13</end>
      <status>unmodified</status>
      <modifiedWord/>
      <trackRevisions>false</trackRevisions>
    </reviewItem>
    <reviewItem>
      <errorID>ce445e8e-2cef-4bc7-96d7-b63a56f065da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54BD1910</paraID>
      <start>10</start>
      <end>13</end>
      <status>unmodified</status>
      <modifiedWord/>
      <trackRevisions>false</trackRevisions>
    </reviewItem>
    <reviewItem>
      <errorID>351b305a-e752-4354-9a80-c85f52e24975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2413978D</paraID>
      <start>10</start>
      <end>13</end>
      <status>unmodified</status>
      <modifiedWord/>
      <trackRevisions>false</trackRevisions>
    </reviewItem>
    <reviewItem>
      <errorID>0d4f8c4f-db47-4805-a895-aace630d7d91</errorID>
      <errorWord>涉及到</errorWord>
      <group>L1_Grammar</group>
      <groupName>语法问题</groupName>
      <ability>L2_Grammar</ability>
      <abilityName>语法错误</abilityName>
      <candidateList>
        <item>涉及</item>
      </candidateList>
      <explain>〈动〉牵涉到；关联到：案子～好几个人｜这个问题～面很广。</explain>
      <paraID>352FF86F</paraID>
      <start>17</start>
      <end>20</end>
      <status>unmodified</status>
      <modifiedWord/>
      <trackRevisions>false</trackRevisions>
    </reviewItem>
    <reviewItem>
      <errorID>4bdd3afa-855e-4f45-adfc-0f603dfac97c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5E004E45</paraID>
      <start>23</start>
      <end>26</end>
      <status>unmodified</status>
      <modifiedWord/>
      <trackRevisions>false</trackRevisions>
    </reviewItem>
    <reviewItem>
      <errorID>571c199b-8699-4336-ab9b-c841acf0edc7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5E004E45</paraID>
      <start>42</start>
      <end>45</end>
      <status>unmodified</status>
      <modifiedWord/>
      <trackRevisions>false</trackRevisions>
    </reviewItem>
    <reviewItem>
      <errorID>04a0d0cf-1778-4e56-a872-fdd484fb4d67</errorID>
      <errorWord>法律、法规</errorWord>
      <group>L1_Word</group>
      <groupName>字词问题</groupName>
      <ability>L2_Typo</ability>
      <abilityName>字词错误</abilityName>
      <candidateList>
        <item>法律法规</item>
      </candidateList>
      <explain/>
      <paraID>5E004E45</paraID>
      <start>76</start>
      <end>80</end>
      <status>modified</status>
      <modifiedWord>法律法规</modifiedWord>
      <trackRevisions>false</trackRevisions>
    </reviewItem>
    <reviewItem>
      <errorID>2c99156f-208f-400e-8b4d-84b00aa79d2f</errorID>
      <errorWord>治理体系和治理能力的现代化</errorWord>
      <group>L1_Word</group>
      <groupName>字词问题</groupName>
      <ability>L2_Typo</ability>
      <abilityName>字词错误</abilityName>
      <candidateList>
        <item>治理体系和治理能力现代化</item>
      </candidateList>
      <explain/>
      <paraID>6D636D6E</paraID>
      <start>179</start>
      <end>192</end>
      <status>unmodified</status>
      <modifiedWord/>
      <trackRevisions>false</trackRevisions>
    </reviewItem>
    <reviewItem>
      <errorID>4d4bd08b-b6bd-4447-b02d-070cc392e168</errorID>
      <errorWord>能</errorWord>
      <group>L1_Word</group>
      <groupName>字词问题</groupName>
      <ability>L2_Typo</ability>
      <abilityName>字词错误</abilityName>
      <candidateList>
        <item>能有</item>
      </candidateList>
      <explain/>
      <paraID>3B570557</paraID>
      <start>17</start>
      <end>18</end>
      <status>unmodified</status>
      <modifiedWord/>
      <trackRevisions>false</trackRevisions>
    </reviewItem>
    <reviewItem>
      <errorID>c76b0d25-89c7-4239-b2f6-890a5d032ee2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7AE3C917</paraID>
      <start>85</start>
      <end>88</end>
      <status>unmodified</status>
      <modifiedWord/>
      <trackRevisions>false</trackRevisions>
    </reviewItem>
    <reviewItem>
      <errorID>9ead3913-5c25-4c4a-881d-34d71d7e163a</errorID>
      <errorWord>（分</errorWord>
      <group>L1_Word</group>
      <groupName>字词问题</groupName>
      <ability>L2_Typo</ability>
      <abilityName>字词错误</abilityName>
      <candidateList>
        <item>（</item>
      </candidateList>
      <explain/>
      <paraID>58D28708</paraID>
      <start>120</start>
      <end>122</end>
      <status>unmodified</status>
      <modifiedWord/>
      <trackRevisions>false</trackRevisions>
    </reviewItem>
    <reviewItem>
      <errorID>0262275f-3188-40f2-b390-1ff7f03f7b95</errorID>
      <errorWord>紧密型医共体建设</errorWord>
      <group>L1_Political</group>
      <groupName>政治性问题</groupName>
      <ability>L2_Keyword</ability>
      <abilityName>固定表述</abilityName>
      <candidateList>
        <item>紧密型县域医共体建设</item>
      </candidateList>
      <explain>词汇“紧密型县域医共体建设”在特定场景下为固定表述形式，请确认此处的“紧密型医共体建设”是否存在不当。</explain>
      <paraID>1A417D17</paraID>
      <start>19</start>
      <end>27</end>
      <status>unmodified</status>
      <modifiedWord/>
      <trackRevisions>false</trackRevisions>
    </reviewItem>
    <reviewItem>
      <errorID>8c64a032-63c2-4ae4-9660-46483d2efb57</errorID>
      <errorWord>其它</errorWord>
      <group>L1_Word</group>
      <groupName>字词问题</groupName>
      <ability>L2_Alias</ability>
      <abilityName>也作/曾用词</abilityName>
      <candidateList>
        <item>其他</item>
      </candidateList>
      <explain>词汇[其它]为不规范表述或旧称，其规范书面表述为[其他]。</explain>
      <paraID>10B6FE3C</paraID>
      <start>102</start>
      <end>104</end>
      <status>unmodified</status>
      <modifiedWord/>
      <trackRevisions>false</trackRevisions>
    </reviewItem>
    <reviewItem>
      <errorID>7c1ca39d-aca1-4424-908f-c23c29a14313</errorID>
      <errorWord>紧密型医共体建设</errorWord>
      <group>L1_Political</group>
      <groupName>政治性问题</groupName>
      <ability>L2_Keyword</ability>
      <abilityName>固定表述</abilityName>
      <candidateList>
        <item>紧密型县域医共体建设</item>
      </candidateList>
      <explain>词汇“紧密型县域医共体建设”在特定场景下为固定表述形式，请确认此处的“紧密型医共体建设”是否存在不当。</explain>
      <paraID>3C56AF68</paraID>
      <start>28</start>
      <end>36</end>
      <status>unmodified</status>
      <modifiedWord/>
      <trackRevisions>false</trackRevisions>
    </reviewItem>
    <reviewItem>
      <errorID>aec2b908-cf88-4b50-996a-fafd2d2d0cf7</errorID>
      <errorWord>并</errorWord>
      <group>L1_Word</group>
      <groupName>字词问题</groupName>
      <ability>L2_Typo</ability>
      <abilityName>字词错误</abilityName>
      <candidateList>
        <item>并有</item>
      </candidateList>
      <explain/>
      <paraID>2D1700F6</paraID>
      <start>247</start>
      <end>248</end>
      <status>unmodified</status>
      <modifiedWord/>
      <trackRevisions>false</trackRevisions>
    </reviewItem>
    <reviewItem>
      <errorID>96bc1721-082f-4ae5-a5c5-939d1b09b9e0</errorID>
      <errorWord>-</errorWord>
      <group>L1_Format</group>
      <groupName>格式问题</groupName>
      <ability>L2_HalfPunc</ability>
      <abilityName>全半角检查</abilityName>
      <candidateList>
        <item>－</item>
      </candidateList>
      <explain>文本全半角错误。</explain>
      <paraID>40C861AC</paraID>
      <start>185</start>
      <end>186</end>
      <status>unmodified</status>
      <modifiedWord/>
      <trackRevisions>false</trackRevisions>
    </reviewItem>
    <reviewItem>
      <errorID>db29c6c3-1b9d-41c6-96b7-f47b217564e0</errorID>
      <errorWord>-</errorWord>
      <group>L1_Format</group>
      <groupName>格式问题</groupName>
      <ability>L2_HalfPunc</ability>
      <abilityName>全半角检查</abilityName>
      <candidateList>
        <item>－</item>
      </candidateList>
      <explain>文本全半角错误。</explain>
      <paraID>40C861AC</paraID>
      <start>190</start>
      <end>191</end>
      <status>unmodified</status>
      <modifiedWord/>
      <trackRevisions>false</trackRevisions>
    </reviewItem>
    <reviewItem>
      <errorID>da8ce2e0-9b85-4d00-a57a-bbd62fe4a2a4</errorID>
      <errorWord>-</errorWord>
      <group>L1_Format</group>
      <groupName>格式问题</groupName>
      <ability>L2_HalfPunc</ability>
      <abilityName>全半角检查</abilityName>
      <candidateList>
        <item>－</item>
      </candidateList>
      <explain>文本全半角错误。</explain>
      <paraID>513C0BBA</paraID>
      <start>34</start>
      <end>35</end>
      <status>unmodified</status>
      <modifiedWord/>
      <trackRevisions>false</trackRevisions>
    </reviewItem>
    <reviewItem>
      <errorID>7c90ec26-e989-4aaa-a523-0775fe61d0a9</errorID>
      <errorWord>-</errorWord>
      <group>L1_Format</group>
      <groupName>格式问题</groupName>
      <ability>L2_HalfPunc</ability>
      <abilityName>全半角检查</abilityName>
      <candidateList>
        <item>－</item>
      </candidateList>
      <explain>文本全半角错误。</explain>
      <paraID>513C0BBA</paraID>
      <start>37</start>
      <end>38</end>
      <status>unmodified</status>
      <modifiedWord/>
      <trackRevisions>false</trackRevisions>
    </reviewItem>
    <reviewItem>
      <errorID>3264f995-47a6-4cc4-8759-157cc6381bb7</errorID>
      <errorWord>-</errorWord>
      <group>L1_Format</group>
      <groupName>格式问题</groupName>
      <ability>L2_HalfPunc</ability>
      <abilityName>全半角检查</abilityName>
      <candidateList>
        <item>－</item>
      </candidateList>
      <explain>文本全半角错误。</explain>
      <paraID>513C0BBA</paraID>
      <start>40</start>
      <end>41</end>
      <status>unmodified</status>
      <modifiedWord/>
      <trackRevisions>false</trackRevisions>
    </reviewItem>
    <reviewItem>
      <errorID>52d4e070-2c7f-4498-833f-d380c969fd29</errorID>
      <errorWord>-</errorWord>
      <group>L1_Format</group>
      <groupName>格式问题</groupName>
      <ability>L2_HalfPunc</ability>
      <abilityName>全半角检查</abilityName>
      <candidateList>
        <item>－</item>
      </candidateList>
      <explain>文本全半角错误。</explain>
      <paraID>513C0BBA</paraID>
      <start>43</start>
      <end>44</end>
      <status>unmodified</status>
      <modifiedWord/>
      <trackRevisions>false</trackRevisions>
    </reviewItem>
    <reviewItem>
      <errorID>f3aa5cb4-f066-410d-97ac-0c1987f69fab</errorID>
      <errorWord>-</errorWord>
      <group>L1_Format</group>
      <groupName>格式问题</groupName>
      <ability>L2_HalfPunc</ability>
      <abilityName>全半角检查</abilityName>
      <candidateList>
        <item>－</item>
      </candidateList>
      <explain>文本全半角错误。</explain>
      <paraID>513C0BBA</paraID>
      <start>46</start>
      <end>47</end>
      <status>unmodified</status>
      <modifiedWord/>
      <trackRevisions>false</trackRevisions>
    </reviewItem>
    <reviewItem>
      <errorID>a0de146d-762f-4eeb-af45-5fbcb5db5759</errorID>
      <errorWord>、</errorWord>
      <group>L1_Word</group>
      <groupName>字词问题</groupName>
      <ability>L2_Typo</ability>
      <abilityName>字词错误</abilityName>
      <candidateList>
        <item>、可</item>
      </candidateList>
      <explain/>
      <paraID>3EA9BAF8</paraID>
      <start>219</start>
      <end>220</end>
      <status>unmodified</status>
      <modifiedWord/>
      <trackRevisions>false</trackRevisions>
    </reviewItem>
    <reviewItem>
      <errorID>2882b924-3346-4e78-9ff0-552d98d9c4b0</errorID>
      <errorWord>其它必须</errorWord>
      <group>L1_Word</group>
      <groupName>字词问题</groupName>
      <ability>L2_Alias</ability>
      <abilityName>也作/曾用词</abilityName>
      <candidateList>
        <item>其他必须</item>
      </candidateList>
      <explain>词汇[其它必须]为不规范表述或旧称，其规范书面表述为[其他必须]。</explain>
      <paraID>4A30D144</paraID>
      <start>229</start>
      <end>233</end>
      <status>unmodified</status>
      <modifiedWord/>
      <trackRevisions>false</trackRevisions>
    </reviewItem>
    <reviewItem>
      <errorID>e95b1899-a952-4c67-a635-6079d9d52f8d</errorID>
      <errorWord>(</errorWord>
      <group>L1_Format</group>
      <groupName>格式问题</groupName>
      <ability>L2_HalfPunc</ability>
      <abilityName>全半角检查</abilityName>
      <candidateList>
        <item>（</item>
      </candidateList>
      <explain>文本全半角错误。</explain>
      <paraID>36EBD47D</paraID>
      <start>165</start>
      <end>166</end>
      <status>unmodified</status>
      <modifiedWord/>
      <trackRevisions>false</trackRevisions>
    </reviewItem>
    <reviewItem>
      <errorID>ac70c618-3114-4700-a98e-5a0c8ed4022e</errorID>
      <errorWord>)</errorWord>
      <group>L1_Format</group>
      <groupName>格式问题</groupName>
      <ability>L2_HalfPunc</ability>
      <abilityName>全半角检查</abilityName>
      <candidateList>
        <item>）</item>
      </candidateList>
      <explain>文本全半角错误。</explain>
      <paraID>36EBD47D</paraID>
      <start>174</start>
      <end>175</end>
      <status>unmodified</status>
      <modifiedWord/>
      <trackRevisions>false</trackRevisions>
    </reviewItem>
    <reviewItem>
      <errorID>46e0ece6-eea4-4b61-b35b-18966a9dd894</errorID>
      <errorWord>需</errorWord>
      <group>L1_Word</group>
      <groupName>字词问题</groupName>
      <ability>L2_Typo</ability>
      <abilityName>字词错误</abilityName>
      <candidateList>
        <item>须</item>
      </candidateList>
      <explain>（鬚）xū❶原来指长在下巴上的胡子，后来泛指胡须：～发｜～眉。❷须子：触～｜花～。</explain>
      <paraID>36EBD47D</paraID>
      <start>213</start>
      <end>214</end>
      <status>unmodified</status>
      <modifiedWord/>
      <trackRevisions>false</trackRevisions>
    </reviewItem>
    <reviewItem>
      <errorID>cff39467-a3cc-48bd-bd29-634382b17596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56BA72EF</paraID>
      <start>95</start>
      <end>98</end>
      <status>unmodified</status>
      <modifiedWord/>
      <trackRevisions>false</trackRevisions>
    </reviewItem>
    <reviewItem>
      <errorID>2b8558a7-68fc-4ac9-8f61-f157655f1ced</errorID>
      <errorWord>2025年01月</errorWord>
      <group>L1_Knowledge</group>
      <groupName>知识性问题</groupName>
      <ability>L2_Time</ability>
      <abilityName>日期时间</abilityName>
      <candidateList>
        <item>2025年1月</item>
      </candidateList>
      <explain>根据日常书写习惯，月份一般会省略前导零。</explain>
      <paraID> 9F30B04</paraID>
      <start>8</start>
      <end>16</end>
      <status>unmodified</status>
      <modifiedWord/>
      <trackRevisions>false</trackRevisions>
    </reviewItem>
    <reviewItem>
      <errorID>6e42d307-b3a0-41c5-a742-49851fa8cb7f</errorID>
      <errorWord>2025年01月</errorWord>
      <group>L1_Knowledge</group>
      <groupName>知识性问题</groupName>
      <ability>L2_Time</ability>
      <abilityName>日期时间</abilityName>
      <candidateList>
        <item>2025年1月</item>
      </candidateList>
      <explain>根据日常书写习惯，月份一般会省略前导零。</explain>
      <paraID> 787AB70</paraID>
      <start>8</start>
      <end>16</end>
      <status>unmodified</status>
      <modifiedWord/>
      <trackRevisions>false</trackRevisions>
    </reviewItem>
    <reviewItem>
      <errorID>629d268b-0469-48d7-8bdf-f8e23c6cf3bc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787AB70</paraID>
      <start>125</start>
      <end>126</end>
      <status>unmodified</status>
      <modifiedWord/>
      <trackRevisions>false</trackRevisions>
    </reviewItem>
    <reviewItem>
      <errorID>592ea1ce-d260-44b7-b0c6-654633de14ab</errorID>
      <errorWord>其它</errorWord>
      <group>L1_Word</group>
      <groupName>字词问题</groupName>
      <ability>L2_Alias</ability>
      <abilityName>也作/曾用词</abilityName>
      <candidateList>
        <item>其他</item>
      </candidateList>
      <explain>词汇[其它]为不规范表述或旧称，其规范书面表述为[其他]。</explain>
      <paraID>58FBC047</paraID>
      <start>0</start>
      <end>2</end>
      <status>unmodified</status>
      <modifiedWord/>
      <trackRevisions>false</trackRevisions>
    </reviewItem>
    <reviewItem>
      <errorID>37fe2390-3b26-4c00-8ea9-575c520ddb21</errorID>
      <errorWord>：</errorWord>
      <group>L1_Format</group>
      <groupName>格式问题</groupName>
      <ability>L2_HalfPunc</ability>
      <abilityName>全半角检查</abilityName>
      <candidateList>
        <item>:</item>
      </candidateList>
      <explain>文本全半角错误。</explain>
      <paraID>28AF065E</paraID>
      <start>6</start>
      <end>7</end>
      <status>unmodified</status>
      <modifiedWord/>
      <trackRevisions>false</trackRevisions>
    </reviewItem>
    <reviewItem>
      <errorID>3f8011d0-c9f1-43f0-ba5e-613dc42d9326</errorID>
      <errorWord>：</errorWord>
      <group>L1_Format</group>
      <groupName>格式问题</groupName>
      <ability>L2_HalfPunc</ability>
      <abilityName>全半角检查</abilityName>
      <candidateList>
        <item>:</item>
      </candidateList>
      <explain>文本全半角错误。</explain>
      <paraID>473C9B62</paraID>
      <start>6</start>
      <end>7</end>
      <status>unmodified</status>
      <modifiedWord/>
      <trackRevisions>false</trackRevisions>
    </reviewItem>
    <reviewItem>
      <errorID>5972d34e-da64-4a8b-a1ed-af8c8ad02d3b</errorID>
      <errorWord>：</errorWord>
      <group>L1_Format</group>
      <groupName>格式问题</groupName>
      <ability>L2_HalfPunc</ability>
      <abilityName>全半角检查</abilityName>
      <candidateList>
        <item>:</item>
      </candidateList>
      <explain>文本全半角错误。</explain>
      <paraID>73C752B4</paraID>
      <start>6</start>
      <end>7</end>
      <status>unmodified</status>
      <modifiedWord/>
      <trackRevisions>false</trackRevisions>
    </reviewItem>
    <reviewItem>
      <errorID>d1370429-025a-48ed-99f2-402c4c21516b</errorID>
      <errorWord>，…，</errorWord>
      <group>L1_Punc</group>
      <groupName>标点问题</groupName>
      <ability>L2_Punc</ability>
      <abilityName>标点符号检查</abilityName>
      <candidateList>
        <item>，</item>
      </candidateList>
      <explain/>
      <paraID>3825E9F7</paraID>
      <start>14</start>
      <end>17</end>
      <status>unmodified</status>
      <modifiedWord/>
      <trackRevisions>false</trackRevisions>
    </reviewItem>
    <reviewItem>
      <errorID>ffe26079-82d3-4f21-8941-320332b75cff</errorID>
      <errorWord>，…，</errorWord>
      <group>L1_Punc</group>
      <groupName>标点问题</groupName>
      <ability>L2_Punc</ability>
      <abilityName>标点符号检查</abilityName>
      <candidateList>
        <item>，</item>
      </candidateList>
      <explain/>
      <paraID>1F8D4795</paraID>
      <start>5</start>
      <end>8</end>
      <status>unmodified</status>
      <modifiedWord/>
      <trackRevisions>false</trackRevisions>
    </reviewItem>
    <reviewItem>
      <errorID>7eea8db2-6ad8-4b53-84da-640b0210a655</errorID>
      <errorWord>:</errorWord>
      <group>L1_Format</group>
      <groupName>格式问题</groupName>
      <ability>L2_HalfPunc</ability>
      <abilityName>全半角检查</abilityName>
      <candidateList>
        <item>：</item>
      </candidateList>
      <explain>文本全半角错误。</explain>
      <paraID>4B2DC1EF</paraID>
      <start>71</start>
      <end>72</end>
      <status>unmodified</status>
      <modifiedWord/>
      <trackRevisions>false</trackRevisions>
    </reviewItem>
    <reviewItem>
      <errorID>d27a03a9-659b-4dba-a2a3-23266f4c5cc4</errorID>
      <errorWord>:</errorWord>
      <group>L1_Format</group>
      <groupName>格式问题</groupName>
      <ability>L2_HalfPunc</ability>
      <abilityName>全半角检查</abilityName>
      <candidateList>
        <item>：</item>
      </candidateList>
      <explain>文本全半角错误。</explain>
      <paraID>59361973</paraID>
      <start>65</start>
      <end>66</end>
      <status>unmodified</status>
      <modifiedWord/>
      <trackRevisions>false</trackRevisions>
    </reviewItem>
    <reviewItem>
      <errorID>42e32cd2-0a73-4776-b95c-052369fe26e8</errorID>
      <errorWord>:</errorWord>
      <group>L1_Format</group>
      <groupName>格式问题</groupName>
      <ability>L2_HalfPunc</ability>
      <abilityName>全半角检查</abilityName>
      <candidateList>
        <item>：</item>
      </candidateList>
      <explain>文本全半角错误。</explain>
      <paraID>61ADF49F</paraID>
      <start>65</start>
      <end>66</end>
      <status>unmodified</status>
      <modifiedWord/>
      <trackRevisions>false</trackRevisions>
    </reviewItem>
    <reviewItem>
      <errorID>8836aaab-d261-4734-8063-7e16eecda0ac</errorID>
      <errorWord>:</errorWord>
      <group>L1_Format</group>
      <groupName>格式问题</groupName>
      <ability>L2_HalfPunc</ability>
      <abilityName>全半角检查</abilityName>
      <candidateList>
        <item>：</item>
      </candidateList>
      <explain>文本全半角错误。</explain>
      <paraID>5C368FB2</paraID>
      <start>65</start>
      <end>66</end>
      <status>unmodified</status>
      <modifiedWord/>
      <trackRevisions>false</trackRevisions>
    </reviewItem>
    <reviewItem>
      <errorID>f4d64677-a6d5-4164-91ee-b9b2f27711f0</errorID>
      <errorWord>:</errorWord>
      <group>L1_Format</group>
      <groupName>格式问题</groupName>
      <ability>L2_HalfPunc</ability>
      <abilityName>全半角检查</abilityName>
      <candidateList>
        <item>：</item>
      </candidateList>
      <explain>文本全半角错误。</explain>
      <paraID>2617C270</paraID>
      <start>65</start>
      <end>66</end>
      <status>unmodified</status>
      <modifiedWord/>
      <trackRevisions>false</trackRevisions>
    </reviewItem>
    <reviewItem>
      <errorID>57e86206-a700-4c9e-ad7a-7e646eb9700b</errorID>
      <errorWord>:</errorWord>
      <group>L1_Format</group>
      <groupName>格式问题</groupName>
      <ability>L2_HalfPunc</ability>
      <abilityName>全半角检查</abilityName>
      <candidateList>
        <item>：</item>
      </candidateList>
      <explain>文本全半角错误。</explain>
      <paraID>428CB38A</paraID>
      <start>65</start>
      <end>66</end>
      <status>unmodified</status>
      <modifiedWord/>
      <trackRevisions>false</trackRevisions>
    </reviewItem>
    <reviewItem>
      <errorID>f9ff37be-929d-435c-b43b-2e10bbcb5159</errorID>
      <errorWord>:</errorWord>
      <group>L1_Format</group>
      <groupName>格式问题</groupName>
      <ability>L2_HalfPunc</ability>
      <abilityName>全半角检查</abilityName>
      <candidateList>
        <item>：</item>
      </candidateList>
      <explain>文本全半角错误。</explain>
      <paraID>2B2853E0</paraID>
      <start>65</start>
      <end>66</end>
      <status>unmodified</status>
      <modifiedWord/>
      <trackRevisions>false</trackRevisions>
    </reviewItem>
    <reviewItem>
      <errorID>7558faff-2dc2-4b83-9923-8bd7918dc26b</errorID>
      <errorWord>:</errorWord>
      <group>L1_Format</group>
      <groupName>格式问题</groupName>
      <ability>L2_HalfPunc</ability>
      <abilityName>全半角检查</abilityName>
      <candidateList>
        <item>：</item>
      </candidateList>
      <explain>文本全半角错误。</explain>
      <paraID>466FA954</paraID>
      <start>65</start>
      <end>66</end>
      <status>unmodified</status>
      <modifiedWord/>
      <trackRevisions>false</trackRevisions>
    </reviewItem>
    <reviewItem>
      <errorID>abf5b813-e184-4a23-b2fa-168944608cd5</errorID>
      <errorWord>2021年01月01日</errorWord>
      <group>L1_Knowledge</group>
      <groupName>知识性问题</groupName>
      <ability>L2_Time</ability>
      <abilityName>日期时间</abilityName>
      <candidateList>
        <item>2021年1月1日</item>
      </candidateList>
      <explain>根据日常书写习惯，月份和日期一般会省略前导零。</explain>
      <paraID>760072FE</paraID>
      <start>4</start>
      <end>15</end>
      <status>unmodified</status>
      <modifiedWord/>
      <trackRevisions>false</trackRevisions>
    </reviewItem>
    <reviewItem>
      <errorID>d31c72e8-d187-46eb-b31c-f1fde6ffc449</errorID>
      <errorWord>(</errorWord>
      <group>L1_Format</group>
      <groupName>格式问题</groupName>
      <ability>L2_HalfPunc</ability>
      <abilityName>全半角检查</abilityName>
      <candidateList>
        <item>（</item>
      </candidateList>
      <explain>文本全半角错误。</explain>
      <paraID> 6F1590A</paraID>
      <start>53</start>
      <end>54</end>
      <status>unmodified</status>
      <modifiedWord/>
      <trackRevisions>false</trackRevisions>
    </reviewItem>
    <reviewItem>
      <errorID>35879342-1d61-4b8f-8d9d-cca02b6b168f</errorID>
      <errorWord>)</errorWord>
      <group>L1_Format</group>
      <groupName>格式问题</groupName>
      <ability>L2_HalfPunc</ability>
      <abilityName>全半角检查</abilityName>
      <candidateList>
        <item>）</item>
      </candidateList>
      <explain>文本全半角错误。</explain>
      <paraID> 6F1590A</paraID>
      <start>62</start>
      <end>63</end>
      <status>unmodified</status>
      <modifiedWord/>
      <trackRevisions>false</trackRevisions>
    </reviewItem>
    <reviewItem>
      <errorID>747241c1-a96b-4130-80e2-4ca317af2ed6</errorID>
      <errorWord>[2020]</errorWord>
      <group>L1_Punc</group>
      <groupName>标点问题</groupName>
      <ability>L2_Punc</ability>
      <abilityName>标点符号检查</abilityName>
      <candidateList>
        <item>〔2020〕</item>
      </candidateList>
      <explain/>
      <paraID>5CB63306</paraID>
      <start>8</start>
      <end>14</end>
      <status>unmodified</status>
      <modifiedWord/>
      <trackRevisions>false</trackRevisions>
    </reviewItem>
    <reviewItem>
      <errorID>1af53702-0e6c-493e-8b18-d43a9bd308c0</errorID>
      <errorWord>&lt;</errorWord>
      <group>L1_Format</group>
      <groupName>格式问题</groupName>
      <ability>L2_HalfPunc</ability>
      <abilityName>全半角检查</abilityName>
      <candidateList>
        <item>〈</item>
      </candidateList>
      <explain>文本全半角错误。</explain>
      <paraID>5CB63306</paraID>
      <start>34</start>
      <end>35</end>
      <status>unmodified</status>
      <modifiedWord/>
      <trackRevisions>false</trackRevisions>
    </reviewItem>
    <reviewItem>
      <errorID>1102277c-6d3a-419b-98b6-8f7d71b79636</errorID>
      <errorWord>&gt;的通知》</errorWord>
      <group>L1_Punc</group>
      <groupName>标点问题</groupName>
      <ability>L2_Punc</ability>
      <abilityName>标点符号检查</abilityName>
      <candidateList>
        <item>〉的通知》</item>
      </candidateList>
      <explain/>
      <paraID>5CB63306</paraID>
      <start>51</start>
      <end>56</end>
      <status>unmodified</status>
      <modifiedWord/>
      <trackRevisions>false</trackRevisions>
    </reviewItem>
    <reviewItem>
      <errorID>d9ef9de8-165a-45ee-9c6f-19958205f8cd</errorID>
      <errorWord>(</errorWord>
      <group>L1_Format</group>
      <groupName>格式问题</groupName>
      <ability>L2_HalfPunc</ability>
      <abilityName>全半角检查</abilityName>
      <candidateList>
        <item>（</item>
      </candidateList>
      <explain>文本全半角错误。</explain>
      <paraID>5CB63306</paraID>
      <start>56</start>
      <end>57</end>
      <status>unmodified</status>
      <modifiedWord/>
      <trackRevisions>false</trackRevisions>
    </reviewItem>
    <reviewItem>
      <errorID>7208fbd4-bdf2-48e2-ad83-fe89a8435ad4</errorID>
      <errorWord>)</errorWord>
      <group>L1_Format</group>
      <groupName>格式问题</groupName>
      <ability>L2_HalfPunc</ability>
      <abilityName>全半角检查</abilityName>
      <candidateList>
        <item>）</item>
      </candidateList>
      <explain>文本全半角错误。</explain>
      <paraID>5CB63306</paraID>
      <start>64</start>
      <end>65</end>
      <status>unmodified</status>
      <modifiedWord/>
      <trackRevisions>false</trackRevisions>
    </reviewItem>
    <reviewItem>
      <errorID>d45acc0c-5ba0-4c4c-b0e4-a5feda40b4ba</errorID>
      <errorWord>《政府采购法》</errorWord>
      <group>L1_Word</group>
      <groupName>字词问题</groupName>
      <ability>L2_Typo</ability>
      <abilityName>字词错误</abilityName>
      <candidateList>
        <item>《中华人民共和国政府采购法》</item>
      </candidateList>
      <explain/>
      <paraID>5C65926F</paraID>
      <start>79</start>
      <end>93</end>
      <status>modified</status>
      <modifiedWord>《中华人民共和国政府采购法》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dd894-5558-47ff-8bc7-37f1ae379347}">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85</Pages>
  <Words>24549</Words>
  <Characters>26344</Characters>
  <Lines>374</Lines>
  <Paragraphs>105</Paragraphs>
  <TotalTime>40</TotalTime>
  <ScaleCrop>false</ScaleCrop>
  <LinksUpToDate>false</LinksUpToDate>
  <CharactersWithSpaces>28563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2022-04-21T04:45:00Z</dcterms:created>
  <dc:creator>3564</dc:creator>
  <cp:lastModifiedBy>Administrator</cp:lastModifiedBy>
  <cp:lastPrinted>2022-12-21T07:35:00Z</cp:lastPrinted>
  <dcterms:modified xsi:type="dcterms:W3CDTF">2026-05-07T03:18:43Z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7B853A981C804F6CA2401FBBBF4821AB_13</vt:lpwstr>
  </property>
  <property fmtid="{D5CDD505-2E9C-101B-9397-08002B2CF9AE}" pid="3" name="KSOProductBuildVer">
    <vt:lpwstr>2052-12.1.0.25865</vt:lpwstr>
  </property>
  <property fmtid="{D5CDD505-2E9C-101B-9397-08002B2CF9AE}" pid="4" name="KSOTemplateDocerSaveRecord">
    <vt:lpwstr>eyJoZGlkIjoiY2FmMjIwNmNjMzA4M2EyMGQ4YTdhN2U2YjhhMWFiN2YiLCJ1c2VySWQiOiIxMDA1MTcwMTI5In0=</vt:lpwstr>
  </property>
</Properties>
</file>