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CB9809">
      <w:pPr>
        <w:spacing w:after="156" w:afterLines="50"/>
        <w:ind w:left="-850" w:leftChars="-405" w:right="-625"/>
        <w:jc w:val="center"/>
        <w:rPr>
          <w:rFonts w:hint="eastAsia" w:ascii="仿宋" w:hAnsi="仿宋" w:eastAsia="仿宋" w:cs="仿宋"/>
          <w:b/>
          <w:sz w:val="40"/>
          <w:szCs w:val="40"/>
          <w:highlight w:val="none"/>
          <w:lang w:val="en-US" w:eastAsia="zh-CN"/>
        </w:rPr>
      </w:pPr>
      <w:r>
        <w:rPr>
          <w:rFonts w:hint="eastAsia" w:ascii="仿宋" w:hAnsi="仿宋" w:eastAsia="仿宋" w:cs="仿宋"/>
          <w:b/>
          <w:sz w:val="40"/>
          <w:szCs w:val="40"/>
          <w:highlight w:val="none"/>
          <w:lang w:val="en-US" w:eastAsia="zh-CN"/>
        </w:rPr>
        <w:t xml:space="preserve">         </w:t>
      </w:r>
    </w:p>
    <w:p w14:paraId="3578D003">
      <w:pPr>
        <w:spacing w:after="156" w:afterLines="50"/>
        <w:ind w:left="-850" w:leftChars="-405" w:right="-625"/>
        <w:jc w:val="center"/>
        <w:outlineLvl w:val="9"/>
        <w:rPr>
          <w:rFonts w:hint="default" w:ascii="仿宋" w:hAnsi="仿宋" w:eastAsia="仿宋" w:cs="仿宋"/>
          <w:bCs/>
          <w:color w:val="0000FF"/>
          <w:sz w:val="28"/>
          <w:szCs w:val="28"/>
          <w:highlight w:val="none"/>
          <w:lang w:val="en-US"/>
        </w:rPr>
      </w:pPr>
      <w:r>
        <w:rPr>
          <w:rFonts w:hint="eastAsia" w:ascii="仿宋" w:hAnsi="仿宋" w:eastAsia="仿宋" w:cs="仿宋"/>
          <w:b/>
          <w:sz w:val="48"/>
          <w:szCs w:val="48"/>
          <w:highlight w:val="none"/>
          <w:lang w:eastAsia="zh-CN"/>
        </w:rPr>
        <w:t>乌什县民政局2026年购买福利机构护理服务项</w:t>
      </w:r>
      <w:r>
        <w:rPr>
          <w:rFonts w:hint="eastAsia" w:ascii="仿宋" w:hAnsi="仿宋" w:eastAsia="仿宋" w:cs="仿宋"/>
          <w:b/>
          <w:sz w:val="48"/>
          <w:szCs w:val="48"/>
          <w:highlight w:val="none"/>
          <w:lang w:val="en-US" w:eastAsia="zh-CN"/>
        </w:rPr>
        <w:t>目</w:t>
      </w:r>
    </w:p>
    <w:p w14:paraId="61CAD7BF">
      <w:pPr>
        <w:spacing w:after="156" w:afterLines="50"/>
        <w:ind w:right="-625" w:firstLine="2570" w:firstLineChars="800"/>
        <w:jc w:val="both"/>
        <w:outlineLvl w:val="9"/>
        <w:rPr>
          <w:rFonts w:hint="default" w:ascii="仿宋" w:hAnsi="仿宋" w:eastAsia="仿宋" w:cs="仿宋"/>
          <w:bCs/>
          <w:sz w:val="28"/>
          <w:szCs w:val="28"/>
          <w:highlight w:val="none"/>
          <w:lang w:val="en-US" w:eastAsia="zh-CN"/>
        </w:rPr>
      </w:pPr>
      <w:r>
        <w:rPr>
          <w:rFonts w:hint="eastAsia" w:ascii="仿宋" w:hAnsi="仿宋" w:eastAsia="仿宋" w:cs="仿宋"/>
          <w:b/>
          <w:bCs/>
          <w:sz w:val="32"/>
          <w:szCs w:val="32"/>
          <w:highlight w:val="none"/>
          <w:lang w:eastAsia="zh-CN"/>
        </w:rPr>
        <w:t>项目编号：</w:t>
      </w:r>
      <w:r>
        <w:rPr>
          <w:rFonts w:hint="eastAsia" w:ascii="仿宋" w:hAnsi="仿宋" w:eastAsia="仿宋" w:cs="仿宋"/>
          <w:b/>
          <w:bCs/>
          <w:sz w:val="32"/>
          <w:szCs w:val="32"/>
          <w:highlight w:val="none"/>
          <w:lang w:val="en-US" w:eastAsia="zh-CN"/>
        </w:rPr>
        <w:t>WSX[2026]-097</w:t>
      </w:r>
    </w:p>
    <w:p w14:paraId="360463A2">
      <w:pPr>
        <w:outlineLvl w:val="9"/>
        <w:rPr>
          <w:rFonts w:hint="eastAsia" w:ascii="仿宋" w:hAnsi="仿宋" w:eastAsia="仿宋" w:cs="仿宋"/>
          <w:bCs/>
          <w:szCs w:val="21"/>
          <w:highlight w:val="none"/>
        </w:rPr>
      </w:pPr>
    </w:p>
    <w:p w14:paraId="093B5D3E">
      <w:pPr>
        <w:outlineLvl w:val="9"/>
        <w:rPr>
          <w:rFonts w:hint="eastAsia" w:ascii="仿宋" w:hAnsi="仿宋" w:eastAsia="仿宋" w:cs="仿宋"/>
          <w:bCs/>
          <w:szCs w:val="21"/>
          <w:highlight w:val="none"/>
        </w:rPr>
      </w:pPr>
    </w:p>
    <w:p w14:paraId="0AF49FEE">
      <w:pPr>
        <w:jc w:val="center"/>
        <w:outlineLvl w:val="9"/>
        <w:rPr>
          <w:rFonts w:hint="eastAsia" w:ascii="仿宋" w:hAnsi="仿宋" w:eastAsia="仿宋" w:cs="仿宋"/>
          <w:b/>
          <w:sz w:val="100"/>
          <w:szCs w:val="100"/>
          <w:highlight w:val="none"/>
        </w:rPr>
      </w:pPr>
      <w:r>
        <w:rPr>
          <w:rFonts w:hint="eastAsia" w:ascii="仿宋" w:hAnsi="仿宋" w:eastAsia="仿宋" w:cs="仿宋"/>
          <w:b/>
          <w:sz w:val="100"/>
          <w:szCs w:val="100"/>
          <w:highlight w:val="none"/>
        </w:rPr>
        <w:t>磋</w:t>
      </w:r>
    </w:p>
    <w:p w14:paraId="463B9966">
      <w:pPr>
        <w:jc w:val="center"/>
        <w:outlineLvl w:val="9"/>
        <w:rPr>
          <w:rFonts w:hint="eastAsia" w:ascii="仿宋" w:hAnsi="仿宋" w:eastAsia="仿宋" w:cs="仿宋"/>
          <w:b/>
          <w:sz w:val="100"/>
          <w:szCs w:val="100"/>
          <w:highlight w:val="none"/>
        </w:rPr>
      </w:pPr>
      <w:r>
        <w:rPr>
          <w:rFonts w:hint="eastAsia" w:ascii="仿宋" w:hAnsi="仿宋" w:eastAsia="仿宋" w:cs="仿宋"/>
          <w:b/>
          <w:sz w:val="100"/>
          <w:szCs w:val="100"/>
          <w:highlight w:val="none"/>
        </w:rPr>
        <w:t>商</w:t>
      </w:r>
    </w:p>
    <w:p w14:paraId="17258820">
      <w:pPr>
        <w:jc w:val="center"/>
        <w:outlineLvl w:val="9"/>
        <w:rPr>
          <w:rFonts w:hint="eastAsia" w:ascii="仿宋" w:hAnsi="仿宋" w:eastAsia="仿宋" w:cs="仿宋"/>
          <w:b/>
          <w:sz w:val="100"/>
          <w:szCs w:val="100"/>
          <w:highlight w:val="none"/>
        </w:rPr>
      </w:pPr>
      <w:r>
        <w:rPr>
          <w:rFonts w:hint="eastAsia" w:ascii="仿宋" w:hAnsi="仿宋" w:eastAsia="仿宋" w:cs="仿宋"/>
          <w:b/>
          <w:sz w:val="100"/>
          <w:szCs w:val="100"/>
          <w:highlight w:val="none"/>
        </w:rPr>
        <w:t>文</w:t>
      </w:r>
    </w:p>
    <w:p w14:paraId="22BDFE81">
      <w:pPr>
        <w:jc w:val="center"/>
        <w:outlineLvl w:val="9"/>
        <w:rPr>
          <w:rFonts w:hint="eastAsia" w:ascii="仿宋" w:hAnsi="仿宋" w:eastAsia="仿宋" w:cs="仿宋"/>
          <w:b/>
          <w:sz w:val="100"/>
          <w:szCs w:val="100"/>
          <w:highlight w:val="none"/>
        </w:rPr>
      </w:pPr>
      <w:r>
        <w:rPr>
          <w:rFonts w:hint="eastAsia" w:ascii="仿宋" w:hAnsi="仿宋" w:eastAsia="仿宋" w:cs="仿宋"/>
          <w:b/>
          <w:sz w:val="100"/>
          <w:szCs w:val="100"/>
          <w:highlight w:val="none"/>
        </w:rPr>
        <w:t>件</w:t>
      </w:r>
    </w:p>
    <w:p w14:paraId="2022779E">
      <w:pPr>
        <w:outlineLvl w:val="9"/>
        <w:rPr>
          <w:rFonts w:hint="eastAsia" w:ascii="仿宋" w:hAnsi="仿宋" w:eastAsia="仿宋" w:cs="仿宋"/>
          <w:sz w:val="28"/>
          <w:szCs w:val="28"/>
          <w:highlight w:val="none"/>
        </w:rPr>
      </w:pPr>
    </w:p>
    <w:p w14:paraId="1490D217">
      <w:pPr>
        <w:spacing w:line="480" w:lineRule="auto"/>
        <w:outlineLvl w:val="9"/>
        <w:rPr>
          <w:rFonts w:hint="eastAsia" w:ascii="仿宋" w:hAnsi="仿宋" w:eastAsia="仿宋" w:cs="仿宋"/>
          <w:b/>
          <w:bCs/>
          <w:sz w:val="32"/>
          <w:szCs w:val="40"/>
        </w:rPr>
      </w:pPr>
    </w:p>
    <w:p w14:paraId="00A7E9E4">
      <w:pPr>
        <w:spacing w:line="480" w:lineRule="auto"/>
        <w:outlineLvl w:val="9"/>
        <w:rPr>
          <w:rFonts w:hint="eastAsia" w:ascii="仿宋" w:hAnsi="仿宋" w:eastAsia="仿宋" w:cs="仿宋"/>
          <w:b/>
          <w:bCs/>
          <w:sz w:val="32"/>
          <w:szCs w:val="40"/>
        </w:rPr>
      </w:pPr>
      <w:r>
        <w:rPr>
          <w:rFonts w:hint="eastAsia" w:ascii="仿宋" w:hAnsi="仿宋" w:eastAsia="仿宋" w:cs="仿宋"/>
          <w:b/>
          <w:bCs/>
          <w:sz w:val="32"/>
          <w:szCs w:val="40"/>
        </w:rPr>
        <w:t>招 标 人：</w:t>
      </w:r>
      <w:r>
        <w:rPr>
          <w:rFonts w:hint="eastAsia" w:ascii="仿宋" w:hAnsi="仿宋" w:eastAsia="仿宋" w:cs="仿宋"/>
          <w:b/>
          <w:bCs/>
          <w:sz w:val="32"/>
          <w:szCs w:val="40"/>
          <w:lang w:eastAsia="zh-CN"/>
        </w:rPr>
        <w:t>乌什县</w:t>
      </w:r>
      <w:r>
        <w:rPr>
          <w:rFonts w:hint="eastAsia" w:ascii="仿宋" w:hAnsi="仿宋" w:eastAsia="仿宋" w:cs="仿宋"/>
          <w:b/>
          <w:bCs/>
          <w:sz w:val="32"/>
          <w:szCs w:val="40"/>
        </w:rPr>
        <w:t xml:space="preserve">民政局（盖章）  </w:t>
      </w:r>
    </w:p>
    <w:p w14:paraId="25EE7B4B">
      <w:pPr>
        <w:spacing w:line="480" w:lineRule="auto"/>
        <w:outlineLvl w:val="9"/>
        <w:rPr>
          <w:rFonts w:hint="eastAsia" w:ascii="仿宋" w:hAnsi="仿宋" w:eastAsia="仿宋" w:cs="仿宋"/>
          <w:b/>
          <w:bCs/>
          <w:sz w:val="32"/>
          <w:szCs w:val="40"/>
        </w:rPr>
      </w:pPr>
      <w:r>
        <w:rPr>
          <w:rFonts w:hint="eastAsia" w:ascii="仿宋" w:hAnsi="仿宋" w:eastAsia="仿宋" w:cs="仿宋"/>
          <w:b/>
          <w:bCs/>
          <w:sz w:val="32"/>
          <w:szCs w:val="40"/>
          <w:lang w:val="en-US" w:eastAsia="zh-CN"/>
        </w:rPr>
        <w:t>项目负责人：卢志文       联系电话：13657564539</w:t>
      </w:r>
    </w:p>
    <w:p w14:paraId="33759777">
      <w:pPr>
        <w:spacing w:line="480" w:lineRule="auto"/>
        <w:outlineLvl w:val="9"/>
        <w:rPr>
          <w:rFonts w:hint="eastAsia" w:ascii="仿宋" w:hAnsi="仿宋" w:eastAsia="仿宋" w:cs="仿宋"/>
          <w:b/>
          <w:bCs/>
          <w:sz w:val="32"/>
          <w:szCs w:val="40"/>
        </w:rPr>
      </w:pPr>
      <w:r>
        <w:rPr>
          <w:rFonts w:hint="eastAsia" w:ascii="仿宋" w:hAnsi="仿宋" w:eastAsia="仿宋" w:cs="仿宋"/>
          <w:b/>
          <w:bCs/>
          <w:sz w:val="32"/>
          <w:szCs w:val="40"/>
        </w:rPr>
        <w:t>招标代理机构：新疆乾泽辰项目管理有限公司（盖章）</w:t>
      </w:r>
    </w:p>
    <w:p w14:paraId="7C94D09D">
      <w:pPr>
        <w:spacing w:line="480" w:lineRule="auto"/>
        <w:ind w:left="6104" w:hanging="6104" w:hangingChars="1900"/>
        <w:rPr>
          <w:rFonts w:hint="eastAsia" w:ascii="仿宋" w:hAnsi="仿宋" w:eastAsia="仿宋" w:cs="仿宋"/>
          <w:b/>
          <w:bCs/>
          <w:sz w:val="32"/>
          <w:szCs w:val="40"/>
        </w:rPr>
      </w:pPr>
      <w:r>
        <w:rPr>
          <w:rFonts w:hint="eastAsia" w:ascii="仿宋" w:hAnsi="仿宋" w:eastAsia="仿宋" w:cs="仿宋"/>
          <w:b/>
          <w:bCs/>
          <w:sz w:val="32"/>
          <w:szCs w:val="40"/>
          <w:lang w:val="en-US" w:eastAsia="zh-CN"/>
        </w:rPr>
        <w:t>项目负责人</w:t>
      </w:r>
      <w:r>
        <w:rPr>
          <w:rFonts w:hint="eastAsia" w:ascii="仿宋" w:hAnsi="仿宋" w:eastAsia="仿宋" w:cs="仿宋"/>
          <w:b/>
          <w:bCs/>
          <w:sz w:val="32"/>
          <w:szCs w:val="40"/>
        </w:rPr>
        <w:t>：</w:t>
      </w:r>
      <w:r>
        <w:rPr>
          <w:rFonts w:hint="eastAsia" w:ascii="仿宋" w:hAnsi="仿宋" w:eastAsia="仿宋" w:cs="仿宋"/>
          <w:b/>
          <w:bCs/>
          <w:sz w:val="32"/>
          <w:szCs w:val="40"/>
          <w:lang w:eastAsia="zh-CN"/>
        </w:rPr>
        <w:t>张昌冰、史鹂励</w:t>
      </w:r>
      <w:r>
        <w:rPr>
          <w:rFonts w:hint="eastAsia" w:ascii="仿宋" w:hAnsi="仿宋" w:eastAsia="仿宋" w:cs="仿宋"/>
          <w:b/>
          <w:bCs/>
          <w:sz w:val="32"/>
          <w:szCs w:val="40"/>
        </w:rPr>
        <w:t xml:space="preserve">   </w:t>
      </w:r>
    </w:p>
    <w:p w14:paraId="5EEECB91">
      <w:pPr>
        <w:spacing w:line="480" w:lineRule="auto"/>
        <w:ind w:left="6104" w:hanging="6104" w:hangingChars="1900"/>
        <w:rPr>
          <w:rFonts w:hint="default" w:ascii="仿宋" w:hAnsi="仿宋" w:eastAsia="仿宋" w:cs="仿宋"/>
          <w:b/>
          <w:bCs/>
          <w:sz w:val="32"/>
          <w:szCs w:val="40"/>
          <w:lang w:val="en-US" w:eastAsia="zh-CN"/>
        </w:rPr>
      </w:pPr>
      <w:r>
        <w:rPr>
          <w:rFonts w:hint="eastAsia" w:ascii="仿宋" w:hAnsi="仿宋" w:eastAsia="仿宋" w:cs="仿宋"/>
          <w:b/>
          <w:bCs/>
          <w:sz w:val="32"/>
          <w:szCs w:val="40"/>
        </w:rPr>
        <w:t>联系电话:</w:t>
      </w:r>
      <w:r>
        <w:rPr>
          <w:rFonts w:hint="eastAsia" w:ascii="仿宋" w:hAnsi="仿宋" w:eastAsia="仿宋" w:cs="仿宋"/>
          <w:b/>
          <w:bCs/>
          <w:sz w:val="32"/>
          <w:szCs w:val="40"/>
          <w:lang w:val="en-US" w:eastAsia="zh-CN"/>
        </w:rPr>
        <w:t>18290617987、17881671111</w:t>
      </w:r>
    </w:p>
    <w:p w14:paraId="4FE1751C">
      <w:pPr>
        <w:spacing w:line="480" w:lineRule="auto"/>
        <w:rPr>
          <w:rFonts w:hint="eastAsia" w:ascii="仿宋" w:hAnsi="仿宋" w:eastAsia="仿宋" w:cs="仿宋"/>
          <w:b/>
          <w:bCs/>
          <w:sz w:val="32"/>
          <w:szCs w:val="40"/>
        </w:rPr>
      </w:pPr>
      <w:r>
        <w:rPr>
          <w:rFonts w:hint="eastAsia" w:ascii="仿宋" w:hAnsi="仿宋" w:eastAsia="仿宋" w:cs="仿宋"/>
          <w:b/>
          <w:bCs/>
          <w:sz w:val="32"/>
          <w:szCs w:val="40"/>
        </w:rPr>
        <w:t>日期：202</w:t>
      </w:r>
      <w:r>
        <w:rPr>
          <w:rFonts w:hint="eastAsia" w:ascii="仿宋" w:hAnsi="仿宋" w:eastAsia="仿宋" w:cs="仿宋"/>
          <w:b/>
          <w:bCs/>
          <w:sz w:val="32"/>
          <w:szCs w:val="40"/>
          <w:lang w:val="en-US" w:eastAsia="zh-CN"/>
        </w:rPr>
        <w:t>6</w:t>
      </w:r>
      <w:r>
        <w:rPr>
          <w:rFonts w:hint="eastAsia" w:ascii="仿宋" w:hAnsi="仿宋" w:eastAsia="仿宋" w:cs="仿宋"/>
          <w:b/>
          <w:bCs/>
          <w:sz w:val="32"/>
          <w:szCs w:val="40"/>
        </w:rPr>
        <w:t>年</w:t>
      </w:r>
      <w:r>
        <w:rPr>
          <w:rFonts w:hint="eastAsia" w:ascii="仿宋" w:hAnsi="仿宋" w:eastAsia="仿宋" w:cs="仿宋"/>
          <w:b/>
          <w:bCs/>
          <w:sz w:val="32"/>
          <w:szCs w:val="40"/>
          <w:lang w:val="en-US" w:eastAsia="zh-CN"/>
        </w:rPr>
        <w:t>5</w:t>
      </w:r>
      <w:r>
        <w:rPr>
          <w:rFonts w:hint="eastAsia" w:ascii="仿宋" w:hAnsi="仿宋" w:eastAsia="仿宋" w:cs="仿宋"/>
          <w:b/>
          <w:bCs/>
          <w:sz w:val="32"/>
          <w:szCs w:val="40"/>
        </w:rPr>
        <w:t>月</w:t>
      </w:r>
    </w:p>
    <w:p w14:paraId="4DB20EB5">
      <w:pPr>
        <w:spacing w:line="480" w:lineRule="auto"/>
        <w:rPr>
          <w:rFonts w:hint="eastAsia" w:ascii="仿宋" w:hAnsi="仿宋" w:eastAsia="仿宋" w:cs="仿宋"/>
          <w:b/>
          <w:bCs/>
          <w:sz w:val="32"/>
          <w:szCs w:val="40"/>
        </w:rPr>
        <w:sectPr>
          <w:headerReference r:id="rId4" w:type="default"/>
          <w:footerReference r:id="rId5" w:type="default"/>
          <w:pgSz w:w="11907" w:h="16840"/>
          <w:pgMar w:top="1440" w:right="1080" w:bottom="1440" w:left="1080" w:header="567" w:footer="737" w:gutter="0"/>
          <w:pgBorders w:offsetFrom="page">
            <w:top w:val="none" w:sz="0" w:space="0"/>
            <w:left w:val="none" w:sz="0" w:space="0"/>
            <w:bottom w:val="none" w:sz="0" w:space="0"/>
            <w:right w:val="none" w:sz="0" w:space="0"/>
          </w:pgBorders>
          <w:pgNumType w:fmt="decimal" w:start="1"/>
          <w:cols w:space="720" w:num="1"/>
          <w:docGrid w:linePitch="312" w:charSpace="0"/>
        </w:sectPr>
      </w:pPr>
    </w:p>
    <w:sdt>
      <w:sdtPr>
        <w:rPr>
          <w:rFonts w:ascii="宋体" w:hAnsi="宋体" w:eastAsia="宋体" w:cs="Times New Roman"/>
          <w:kern w:val="2"/>
          <w:sz w:val="21"/>
          <w:szCs w:val="24"/>
          <w:lang w:val="en-US" w:eastAsia="zh-CN" w:bidi="ar-SA"/>
        </w:rPr>
        <w:id w:val="147477404"/>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23E91AAD">
          <w:pPr>
            <w:spacing w:before="0" w:beforeLines="0" w:after="0" w:afterLines="0" w:line="240" w:lineRule="auto"/>
            <w:ind w:left="0" w:leftChars="0" w:right="0" w:rightChars="0" w:firstLine="0" w:firstLineChars="0"/>
            <w:jc w:val="center"/>
          </w:pPr>
          <w:r>
            <w:rPr>
              <w:rFonts w:ascii="宋体" w:hAnsi="宋体" w:eastAsia="宋体"/>
              <w:sz w:val="21"/>
            </w:rPr>
            <w:t>目录</w:t>
          </w:r>
        </w:p>
        <w:p w14:paraId="72BA220D">
          <w:pPr>
            <w:pStyle w:val="16"/>
            <w:tabs>
              <w:tab w:val="right" w:leader="dot" w:pos="9746"/>
            </w:tabs>
          </w:pPr>
          <w:r>
            <w:fldChar w:fldCharType="begin"/>
          </w:r>
          <w:r>
            <w:instrText xml:space="preserve">TOC \o "1-2" \h \u </w:instrText>
          </w:r>
          <w:r>
            <w:fldChar w:fldCharType="separate"/>
          </w:r>
          <w:r>
            <w:fldChar w:fldCharType="begin"/>
          </w:r>
          <w:r>
            <w:instrText xml:space="preserve"> HYPERLINK \l _Toc1884 </w:instrText>
          </w:r>
          <w:r>
            <w:fldChar w:fldCharType="separate"/>
          </w:r>
          <w:r>
            <w:rPr>
              <w:rFonts w:hint="eastAsia" w:ascii="仿宋" w:hAnsi="仿宋" w:eastAsia="仿宋" w:cs="仿宋"/>
              <w:bCs/>
              <w:szCs w:val="32"/>
              <w:highlight w:val="none"/>
            </w:rPr>
            <w:t>第一章</w:t>
          </w:r>
          <w:r>
            <w:rPr>
              <w:rFonts w:hint="eastAsia" w:ascii="仿宋" w:hAnsi="仿宋" w:eastAsia="仿宋" w:cs="仿宋"/>
              <w:bCs/>
              <w:szCs w:val="32"/>
              <w:highlight w:val="none"/>
              <w:lang w:val="en-US" w:eastAsia="zh-CN"/>
            </w:rPr>
            <w:t xml:space="preserve"> </w:t>
          </w:r>
          <w:r>
            <w:rPr>
              <w:rFonts w:hint="eastAsia" w:ascii="仿宋" w:hAnsi="仿宋" w:eastAsia="仿宋" w:cs="仿宋"/>
              <w:bCs/>
              <w:szCs w:val="32"/>
              <w:highlight w:val="none"/>
            </w:rPr>
            <w:t>招标公告</w:t>
          </w:r>
          <w:r>
            <w:tab/>
          </w:r>
          <w:r>
            <w:fldChar w:fldCharType="begin"/>
          </w:r>
          <w:r>
            <w:instrText xml:space="preserve"> PAGEREF _Toc1884 \h </w:instrText>
          </w:r>
          <w:r>
            <w:fldChar w:fldCharType="separate"/>
          </w:r>
          <w:r>
            <w:t>3</w:t>
          </w:r>
          <w:r>
            <w:fldChar w:fldCharType="end"/>
          </w:r>
          <w:r>
            <w:fldChar w:fldCharType="end"/>
          </w:r>
        </w:p>
        <w:p w14:paraId="1FAEB89B">
          <w:pPr>
            <w:pStyle w:val="16"/>
            <w:tabs>
              <w:tab w:val="right" w:leader="dot" w:pos="9746"/>
            </w:tabs>
          </w:pPr>
          <w:r>
            <w:fldChar w:fldCharType="begin"/>
          </w:r>
          <w:r>
            <w:instrText xml:space="preserve"> HYPERLINK \l _Toc1654 </w:instrText>
          </w:r>
          <w:r>
            <w:fldChar w:fldCharType="separate"/>
          </w:r>
          <w:r>
            <w:rPr>
              <w:rFonts w:hint="eastAsia" w:ascii="仿宋" w:hAnsi="仿宋" w:eastAsia="仿宋" w:cs="仿宋"/>
              <w:szCs w:val="32"/>
              <w:highlight w:val="none"/>
            </w:rPr>
            <w:t>第二章 投标人须知</w:t>
          </w:r>
          <w:r>
            <w:tab/>
          </w:r>
          <w:r>
            <w:fldChar w:fldCharType="begin"/>
          </w:r>
          <w:r>
            <w:instrText xml:space="preserve"> PAGEREF _Toc1654 \h </w:instrText>
          </w:r>
          <w:r>
            <w:fldChar w:fldCharType="separate"/>
          </w:r>
          <w:r>
            <w:t>6</w:t>
          </w:r>
          <w:r>
            <w:fldChar w:fldCharType="end"/>
          </w:r>
          <w:r>
            <w:fldChar w:fldCharType="end"/>
          </w:r>
        </w:p>
        <w:p w14:paraId="2167DA51">
          <w:pPr>
            <w:pStyle w:val="20"/>
            <w:tabs>
              <w:tab w:val="right" w:leader="dot" w:pos="9746"/>
            </w:tabs>
          </w:pPr>
          <w:r>
            <w:fldChar w:fldCharType="begin"/>
          </w:r>
          <w:r>
            <w:instrText xml:space="preserve"> HYPERLINK \l _Toc15972 </w:instrText>
          </w:r>
          <w:r>
            <w:fldChar w:fldCharType="separate"/>
          </w:r>
          <w:r>
            <w:rPr>
              <w:rFonts w:hint="eastAsia" w:ascii="仿宋" w:hAnsi="仿宋" w:eastAsia="仿宋" w:cs="仿宋"/>
              <w:szCs w:val="32"/>
              <w:highlight w:val="none"/>
            </w:rPr>
            <w:t>一、</w:t>
          </w:r>
          <w:r>
            <w:rPr>
              <w:rFonts w:hint="eastAsia" w:ascii="仿宋" w:hAnsi="仿宋" w:eastAsia="仿宋" w:cs="仿宋"/>
              <w:szCs w:val="28"/>
              <w:highlight w:val="none"/>
            </w:rPr>
            <w:t>投标人须知前附表</w:t>
          </w:r>
          <w:r>
            <w:tab/>
          </w:r>
          <w:r>
            <w:fldChar w:fldCharType="begin"/>
          </w:r>
          <w:r>
            <w:instrText xml:space="preserve"> PAGEREF _Toc15972 \h </w:instrText>
          </w:r>
          <w:r>
            <w:fldChar w:fldCharType="separate"/>
          </w:r>
          <w:r>
            <w:t>6</w:t>
          </w:r>
          <w:r>
            <w:fldChar w:fldCharType="end"/>
          </w:r>
          <w:r>
            <w:fldChar w:fldCharType="end"/>
          </w:r>
        </w:p>
        <w:p w14:paraId="2EB52EF6">
          <w:pPr>
            <w:pStyle w:val="20"/>
            <w:tabs>
              <w:tab w:val="right" w:leader="dot" w:pos="9746"/>
            </w:tabs>
          </w:pPr>
          <w:r>
            <w:fldChar w:fldCharType="begin"/>
          </w:r>
          <w:r>
            <w:instrText xml:space="preserve"> HYPERLINK \l _Toc16282 </w:instrText>
          </w:r>
          <w:r>
            <w:fldChar w:fldCharType="separate"/>
          </w:r>
          <w:r>
            <w:rPr>
              <w:rFonts w:hint="eastAsia" w:ascii="仿宋" w:hAnsi="仿宋" w:eastAsia="仿宋" w:cs="仿宋"/>
              <w:szCs w:val="28"/>
              <w:highlight w:val="none"/>
            </w:rPr>
            <w:t>二、投标人须知</w:t>
          </w:r>
          <w:r>
            <w:tab/>
          </w:r>
          <w:r>
            <w:fldChar w:fldCharType="begin"/>
          </w:r>
          <w:r>
            <w:instrText xml:space="preserve"> PAGEREF _Toc16282 \h </w:instrText>
          </w:r>
          <w:r>
            <w:fldChar w:fldCharType="separate"/>
          </w:r>
          <w:r>
            <w:t>16</w:t>
          </w:r>
          <w:r>
            <w:fldChar w:fldCharType="end"/>
          </w:r>
          <w:r>
            <w:fldChar w:fldCharType="end"/>
          </w:r>
        </w:p>
        <w:p w14:paraId="47971D06">
          <w:pPr>
            <w:pStyle w:val="16"/>
            <w:tabs>
              <w:tab w:val="right" w:leader="dot" w:pos="9746"/>
            </w:tabs>
          </w:pPr>
          <w:r>
            <w:fldChar w:fldCharType="begin"/>
          </w:r>
          <w:r>
            <w:instrText xml:space="preserve"> HYPERLINK \l _Toc9959 </w:instrText>
          </w:r>
          <w:r>
            <w:fldChar w:fldCharType="separate"/>
          </w:r>
          <w:r>
            <w:rPr>
              <w:rFonts w:hint="eastAsia" w:ascii="仿宋" w:hAnsi="仿宋" w:eastAsia="仿宋" w:cs="仿宋"/>
              <w:bCs/>
              <w:szCs w:val="32"/>
              <w:highlight w:val="none"/>
            </w:rPr>
            <w:t>第三章  评标办法</w:t>
          </w:r>
          <w:r>
            <w:tab/>
          </w:r>
          <w:r>
            <w:fldChar w:fldCharType="begin"/>
          </w:r>
          <w:r>
            <w:instrText xml:space="preserve"> PAGEREF _Toc9959 \h </w:instrText>
          </w:r>
          <w:r>
            <w:fldChar w:fldCharType="separate"/>
          </w:r>
          <w:r>
            <w:t>37</w:t>
          </w:r>
          <w:r>
            <w:fldChar w:fldCharType="end"/>
          </w:r>
          <w:r>
            <w:fldChar w:fldCharType="end"/>
          </w:r>
        </w:p>
        <w:p w14:paraId="1A43096A">
          <w:pPr>
            <w:pStyle w:val="20"/>
            <w:tabs>
              <w:tab w:val="right" w:leader="dot" w:pos="9746"/>
            </w:tabs>
          </w:pPr>
          <w:r>
            <w:fldChar w:fldCharType="begin"/>
          </w:r>
          <w:r>
            <w:instrText xml:space="preserve"> HYPERLINK \l _Toc15973 </w:instrText>
          </w:r>
          <w:r>
            <w:fldChar w:fldCharType="separate"/>
          </w:r>
          <w:r>
            <w:rPr>
              <w:rFonts w:hint="eastAsia" w:ascii="仿宋" w:hAnsi="仿宋" w:eastAsia="仿宋" w:cs="仿宋"/>
              <w:szCs w:val="28"/>
              <w:highlight w:val="none"/>
            </w:rPr>
            <w:t>一  总  则</w:t>
          </w:r>
          <w:r>
            <w:tab/>
          </w:r>
          <w:r>
            <w:fldChar w:fldCharType="begin"/>
          </w:r>
          <w:r>
            <w:instrText xml:space="preserve"> PAGEREF _Toc15973 \h </w:instrText>
          </w:r>
          <w:r>
            <w:fldChar w:fldCharType="separate"/>
          </w:r>
          <w:r>
            <w:t>37</w:t>
          </w:r>
          <w:r>
            <w:fldChar w:fldCharType="end"/>
          </w:r>
          <w:r>
            <w:fldChar w:fldCharType="end"/>
          </w:r>
        </w:p>
        <w:p w14:paraId="1D7826D9">
          <w:pPr>
            <w:pStyle w:val="20"/>
            <w:tabs>
              <w:tab w:val="right" w:leader="dot" w:pos="9746"/>
            </w:tabs>
          </w:pPr>
          <w:r>
            <w:fldChar w:fldCharType="begin"/>
          </w:r>
          <w:r>
            <w:instrText xml:space="preserve"> HYPERLINK \l _Toc9512 </w:instrText>
          </w:r>
          <w:r>
            <w:fldChar w:fldCharType="separate"/>
          </w:r>
          <w:r>
            <w:rPr>
              <w:rFonts w:hint="eastAsia" w:ascii="仿宋" w:hAnsi="仿宋" w:eastAsia="仿宋" w:cs="仿宋"/>
              <w:szCs w:val="28"/>
              <w:highlight w:val="none"/>
            </w:rPr>
            <w:t>二  投标文件初审</w:t>
          </w:r>
          <w:r>
            <w:tab/>
          </w:r>
          <w:r>
            <w:fldChar w:fldCharType="begin"/>
          </w:r>
          <w:r>
            <w:instrText xml:space="preserve"> PAGEREF _Toc9512 \h </w:instrText>
          </w:r>
          <w:r>
            <w:fldChar w:fldCharType="separate"/>
          </w:r>
          <w:r>
            <w:t>39</w:t>
          </w:r>
          <w:r>
            <w:fldChar w:fldCharType="end"/>
          </w:r>
          <w:r>
            <w:fldChar w:fldCharType="end"/>
          </w:r>
        </w:p>
        <w:p w14:paraId="16773219">
          <w:pPr>
            <w:pStyle w:val="20"/>
            <w:tabs>
              <w:tab w:val="right" w:leader="dot" w:pos="9746"/>
            </w:tabs>
          </w:pPr>
          <w:r>
            <w:fldChar w:fldCharType="begin"/>
          </w:r>
          <w:r>
            <w:instrText xml:space="preserve"> HYPERLINK \l _Toc26844 </w:instrText>
          </w:r>
          <w:r>
            <w:fldChar w:fldCharType="separate"/>
          </w:r>
          <w:r>
            <w:rPr>
              <w:rFonts w:hint="eastAsia" w:ascii="仿宋" w:hAnsi="仿宋" w:eastAsia="仿宋" w:cs="仿宋"/>
              <w:szCs w:val="28"/>
              <w:highlight w:val="none"/>
            </w:rPr>
            <w:t>三  投标文件的澄清和补正</w:t>
          </w:r>
          <w:r>
            <w:tab/>
          </w:r>
          <w:r>
            <w:fldChar w:fldCharType="begin"/>
          </w:r>
          <w:r>
            <w:instrText xml:space="preserve"> PAGEREF _Toc26844 \h </w:instrText>
          </w:r>
          <w:r>
            <w:fldChar w:fldCharType="separate"/>
          </w:r>
          <w:r>
            <w:t>41</w:t>
          </w:r>
          <w:r>
            <w:fldChar w:fldCharType="end"/>
          </w:r>
          <w:r>
            <w:fldChar w:fldCharType="end"/>
          </w:r>
        </w:p>
        <w:p w14:paraId="0D3BC2DE">
          <w:pPr>
            <w:pStyle w:val="20"/>
            <w:tabs>
              <w:tab w:val="right" w:leader="dot" w:pos="9746"/>
            </w:tabs>
          </w:pPr>
          <w:r>
            <w:fldChar w:fldCharType="begin"/>
          </w:r>
          <w:r>
            <w:instrText xml:space="preserve"> HYPERLINK \l _Toc30397 </w:instrText>
          </w:r>
          <w:r>
            <w:fldChar w:fldCharType="separate"/>
          </w:r>
          <w:r>
            <w:rPr>
              <w:rFonts w:hint="eastAsia" w:ascii="仿宋" w:hAnsi="仿宋" w:eastAsia="仿宋" w:cs="仿宋"/>
              <w:szCs w:val="28"/>
              <w:highlight w:val="none"/>
            </w:rPr>
            <w:t>四 比较与评价</w:t>
          </w:r>
          <w:r>
            <w:tab/>
          </w:r>
          <w:r>
            <w:fldChar w:fldCharType="begin"/>
          </w:r>
          <w:r>
            <w:instrText xml:space="preserve"> PAGEREF _Toc30397 \h </w:instrText>
          </w:r>
          <w:r>
            <w:fldChar w:fldCharType="separate"/>
          </w:r>
          <w:r>
            <w:t>41</w:t>
          </w:r>
          <w:r>
            <w:fldChar w:fldCharType="end"/>
          </w:r>
          <w:r>
            <w:fldChar w:fldCharType="end"/>
          </w:r>
        </w:p>
        <w:p w14:paraId="07DA489E">
          <w:pPr>
            <w:pStyle w:val="16"/>
            <w:tabs>
              <w:tab w:val="right" w:leader="dot" w:pos="9746"/>
            </w:tabs>
          </w:pPr>
          <w:r>
            <w:fldChar w:fldCharType="begin"/>
          </w:r>
          <w:r>
            <w:instrText xml:space="preserve"> HYPERLINK \l _Toc16209 </w:instrText>
          </w:r>
          <w:r>
            <w:fldChar w:fldCharType="separate"/>
          </w:r>
          <w:r>
            <w:rPr>
              <w:rFonts w:hint="eastAsia" w:ascii="仿宋" w:hAnsi="仿宋" w:eastAsia="仿宋" w:cs="仿宋"/>
              <w:szCs w:val="32"/>
              <w:highlight w:val="none"/>
              <w:lang w:val="en-US" w:eastAsia="zh-CN"/>
            </w:rPr>
            <w:t>第四章</w:t>
          </w:r>
          <w:r>
            <w:rPr>
              <w:rFonts w:hint="eastAsia" w:ascii="仿宋" w:hAnsi="仿宋" w:eastAsia="仿宋" w:cs="仿宋"/>
              <w:szCs w:val="32"/>
              <w:highlight w:val="none"/>
            </w:rPr>
            <w:t xml:space="preserve"> 招标项目技术要求及服务内容</w:t>
          </w:r>
          <w:r>
            <w:tab/>
          </w:r>
          <w:r>
            <w:fldChar w:fldCharType="begin"/>
          </w:r>
          <w:r>
            <w:instrText xml:space="preserve"> PAGEREF _Toc16209 \h </w:instrText>
          </w:r>
          <w:r>
            <w:fldChar w:fldCharType="separate"/>
          </w:r>
          <w:r>
            <w:t>47</w:t>
          </w:r>
          <w:r>
            <w:fldChar w:fldCharType="end"/>
          </w:r>
          <w:r>
            <w:fldChar w:fldCharType="end"/>
          </w:r>
        </w:p>
        <w:p w14:paraId="22E1E0DF">
          <w:pPr>
            <w:pStyle w:val="20"/>
            <w:tabs>
              <w:tab w:val="right" w:leader="dot" w:pos="9746"/>
            </w:tabs>
          </w:pPr>
          <w:r>
            <w:fldChar w:fldCharType="begin"/>
          </w:r>
          <w:r>
            <w:instrText xml:space="preserve"> HYPERLINK \l _Toc22366 </w:instrText>
          </w:r>
          <w:r>
            <w:fldChar w:fldCharType="separate"/>
          </w:r>
          <w:r>
            <w:rPr>
              <w:rFonts w:hint="eastAsia" w:ascii="仿宋" w:hAnsi="仿宋" w:eastAsia="仿宋" w:cs="仿宋"/>
              <w:bCs/>
              <w:kern w:val="2"/>
              <w:szCs w:val="22"/>
              <w:lang w:val="en-US" w:eastAsia="zh-CN" w:bidi="ar-SA"/>
            </w:rPr>
            <w:t>一</w:t>
          </w:r>
          <w:r>
            <w:rPr>
              <w:rFonts w:hint="eastAsia" w:ascii="仿宋" w:hAnsi="仿宋" w:eastAsia="仿宋" w:cs="仿宋"/>
              <w:szCs w:val="22"/>
            </w:rPr>
            <w:t>、</w:t>
          </w:r>
          <w:r>
            <w:rPr>
              <w:rFonts w:hint="eastAsia" w:ascii="仿宋" w:hAnsi="仿宋" w:eastAsia="仿宋" w:cs="仿宋"/>
              <w:bCs/>
              <w:szCs w:val="22"/>
            </w:rPr>
            <w:t>项目基本概况及要求:</w:t>
          </w:r>
          <w:r>
            <w:tab/>
          </w:r>
          <w:r>
            <w:fldChar w:fldCharType="begin"/>
          </w:r>
          <w:r>
            <w:instrText xml:space="preserve"> PAGEREF _Toc22366 \h </w:instrText>
          </w:r>
          <w:r>
            <w:fldChar w:fldCharType="separate"/>
          </w:r>
          <w:r>
            <w:t>47</w:t>
          </w:r>
          <w:r>
            <w:fldChar w:fldCharType="end"/>
          </w:r>
          <w:r>
            <w:fldChar w:fldCharType="end"/>
          </w:r>
        </w:p>
        <w:p w14:paraId="174B0559">
          <w:pPr>
            <w:pStyle w:val="16"/>
            <w:tabs>
              <w:tab w:val="right" w:leader="dot" w:pos="9746"/>
            </w:tabs>
          </w:pPr>
          <w:r>
            <w:fldChar w:fldCharType="begin"/>
          </w:r>
          <w:r>
            <w:instrText xml:space="preserve"> HYPERLINK \l _Toc8329 </w:instrText>
          </w:r>
          <w:r>
            <w:fldChar w:fldCharType="separate"/>
          </w:r>
          <w:r>
            <w:rPr>
              <w:rFonts w:hint="eastAsia" w:ascii="仿宋" w:hAnsi="仿宋" w:eastAsia="仿宋" w:cs="仿宋"/>
              <w:szCs w:val="32"/>
              <w:highlight w:val="none"/>
              <w:lang w:val="en-US" w:eastAsia="zh-CN"/>
            </w:rPr>
            <w:t xml:space="preserve">第五章 </w:t>
          </w:r>
          <w:r>
            <w:rPr>
              <w:rFonts w:hint="eastAsia" w:ascii="仿宋" w:hAnsi="仿宋" w:eastAsia="仿宋" w:cs="仿宋"/>
              <w:szCs w:val="32"/>
              <w:highlight w:val="none"/>
            </w:rPr>
            <w:t>合同</w:t>
          </w:r>
          <w:r>
            <w:rPr>
              <w:rFonts w:hint="eastAsia" w:ascii="仿宋" w:hAnsi="仿宋" w:eastAsia="仿宋" w:cs="仿宋"/>
              <w:szCs w:val="32"/>
              <w:highlight w:val="none"/>
              <w:lang w:eastAsia="zh-CN"/>
            </w:rPr>
            <w:t>部分（参考</w:t>
          </w:r>
          <w:r>
            <w:rPr>
              <w:rFonts w:hint="eastAsia" w:ascii="仿宋" w:hAnsi="仿宋" w:eastAsia="仿宋" w:cs="仿宋"/>
              <w:szCs w:val="32"/>
              <w:highlight w:val="none"/>
              <w:lang w:val="en-US" w:eastAsia="zh-CN"/>
            </w:rPr>
            <w:t>用</w:t>
          </w:r>
          <w:r>
            <w:rPr>
              <w:rFonts w:hint="eastAsia" w:ascii="仿宋" w:hAnsi="仿宋" w:eastAsia="仿宋" w:cs="仿宋"/>
              <w:szCs w:val="32"/>
              <w:highlight w:val="none"/>
              <w:lang w:eastAsia="zh-CN"/>
            </w:rPr>
            <w:t>）</w:t>
          </w:r>
          <w:r>
            <w:tab/>
          </w:r>
          <w:r>
            <w:fldChar w:fldCharType="begin"/>
          </w:r>
          <w:r>
            <w:instrText xml:space="preserve"> PAGEREF _Toc8329 \h </w:instrText>
          </w:r>
          <w:r>
            <w:fldChar w:fldCharType="separate"/>
          </w:r>
          <w:r>
            <w:t>48</w:t>
          </w:r>
          <w:r>
            <w:fldChar w:fldCharType="end"/>
          </w:r>
          <w:r>
            <w:fldChar w:fldCharType="end"/>
          </w:r>
        </w:p>
        <w:p w14:paraId="21BC1E25">
          <w:pPr>
            <w:pStyle w:val="16"/>
            <w:tabs>
              <w:tab w:val="right" w:leader="dot" w:pos="9746"/>
            </w:tabs>
          </w:pPr>
          <w:r>
            <w:fldChar w:fldCharType="begin"/>
          </w:r>
          <w:r>
            <w:instrText xml:space="preserve"> HYPERLINK \l _Toc7427 </w:instrText>
          </w:r>
          <w:r>
            <w:fldChar w:fldCharType="separate"/>
          </w:r>
          <w:r>
            <w:rPr>
              <w:rFonts w:hint="eastAsia" w:ascii="仿宋" w:hAnsi="仿宋" w:eastAsia="仿宋" w:cs="仿宋"/>
              <w:snapToGrid/>
              <w:kern w:val="2"/>
              <w:szCs w:val="24"/>
              <w:lang w:eastAsia="zh-CN"/>
            </w:rPr>
            <w:t>2.1 定义</w:t>
          </w:r>
          <w:r>
            <w:tab/>
          </w:r>
          <w:r>
            <w:fldChar w:fldCharType="begin"/>
          </w:r>
          <w:r>
            <w:instrText xml:space="preserve"> PAGEREF _Toc7427 \h </w:instrText>
          </w:r>
          <w:r>
            <w:fldChar w:fldCharType="separate"/>
          </w:r>
          <w:r>
            <w:t>51</w:t>
          </w:r>
          <w:r>
            <w:fldChar w:fldCharType="end"/>
          </w:r>
          <w:r>
            <w:fldChar w:fldCharType="end"/>
          </w:r>
        </w:p>
        <w:p w14:paraId="1663F3EE">
          <w:pPr>
            <w:pStyle w:val="16"/>
            <w:tabs>
              <w:tab w:val="right" w:leader="dot" w:pos="9746"/>
            </w:tabs>
          </w:pPr>
          <w:r>
            <w:fldChar w:fldCharType="begin"/>
          </w:r>
          <w:r>
            <w:instrText xml:space="preserve"> HYPERLINK \l _Toc15319 </w:instrText>
          </w:r>
          <w:r>
            <w:fldChar w:fldCharType="separate"/>
          </w:r>
          <w:r>
            <w:rPr>
              <w:rFonts w:hint="eastAsia" w:ascii="仿宋" w:hAnsi="仿宋" w:eastAsia="仿宋" w:cs="仿宋"/>
              <w:snapToGrid/>
              <w:kern w:val="2"/>
              <w:szCs w:val="24"/>
              <w:lang w:eastAsia="zh-CN"/>
            </w:rPr>
            <w:t>2.2 技术规范</w:t>
          </w:r>
          <w:r>
            <w:tab/>
          </w:r>
          <w:r>
            <w:fldChar w:fldCharType="begin"/>
          </w:r>
          <w:r>
            <w:instrText xml:space="preserve"> PAGEREF _Toc15319 \h </w:instrText>
          </w:r>
          <w:r>
            <w:fldChar w:fldCharType="separate"/>
          </w:r>
          <w:r>
            <w:t>51</w:t>
          </w:r>
          <w:r>
            <w:fldChar w:fldCharType="end"/>
          </w:r>
          <w:r>
            <w:fldChar w:fldCharType="end"/>
          </w:r>
        </w:p>
        <w:p w14:paraId="5CB315B4">
          <w:pPr>
            <w:pStyle w:val="16"/>
            <w:tabs>
              <w:tab w:val="right" w:leader="dot" w:pos="9746"/>
            </w:tabs>
          </w:pPr>
          <w:r>
            <w:fldChar w:fldCharType="begin"/>
          </w:r>
          <w:r>
            <w:instrText xml:space="preserve"> HYPERLINK \l _Toc3583 </w:instrText>
          </w:r>
          <w:r>
            <w:fldChar w:fldCharType="separate"/>
          </w:r>
          <w:r>
            <w:rPr>
              <w:rFonts w:hint="eastAsia" w:ascii="仿宋" w:hAnsi="仿宋" w:eastAsia="仿宋" w:cs="仿宋"/>
              <w:snapToGrid/>
              <w:kern w:val="2"/>
              <w:szCs w:val="24"/>
              <w:lang w:eastAsia="zh-CN"/>
            </w:rPr>
            <w:t>2.3 知识产权</w:t>
          </w:r>
          <w:r>
            <w:tab/>
          </w:r>
          <w:r>
            <w:fldChar w:fldCharType="begin"/>
          </w:r>
          <w:r>
            <w:instrText xml:space="preserve"> PAGEREF _Toc3583 \h </w:instrText>
          </w:r>
          <w:r>
            <w:fldChar w:fldCharType="separate"/>
          </w:r>
          <w:r>
            <w:t>51</w:t>
          </w:r>
          <w:r>
            <w:fldChar w:fldCharType="end"/>
          </w:r>
          <w:r>
            <w:fldChar w:fldCharType="end"/>
          </w:r>
        </w:p>
        <w:p w14:paraId="25EEEB7F">
          <w:pPr>
            <w:pStyle w:val="16"/>
            <w:tabs>
              <w:tab w:val="right" w:leader="dot" w:pos="9746"/>
            </w:tabs>
          </w:pPr>
          <w:r>
            <w:fldChar w:fldCharType="begin"/>
          </w:r>
          <w:r>
            <w:instrText xml:space="preserve"> HYPERLINK \l _Toc2382 </w:instrText>
          </w:r>
          <w:r>
            <w:fldChar w:fldCharType="separate"/>
          </w:r>
          <w:r>
            <w:rPr>
              <w:rFonts w:hint="eastAsia" w:ascii="仿宋" w:hAnsi="仿宋" w:eastAsia="仿宋" w:cs="仿宋"/>
              <w:snapToGrid/>
              <w:kern w:val="2"/>
              <w:szCs w:val="24"/>
              <w:lang w:eastAsia="zh-CN"/>
            </w:rPr>
            <w:t>2.5 结算方式和付款条件</w:t>
          </w:r>
          <w:r>
            <w:tab/>
          </w:r>
          <w:r>
            <w:fldChar w:fldCharType="begin"/>
          </w:r>
          <w:r>
            <w:instrText xml:space="preserve"> PAGEREF _Toc2382 \h </w:instrText>
          </w:r>
          <w:r>
            <w:fldChar w:fldCharType="separate"/>
          </w:r>
          <w:r>
            <w:t>52</w:t>
          </w:r>
          <w:r>
            <w:fldChar w:fldCharType="end"/>
          </w:r>
          <w:r>
            <w:fldChar w:fldCharType="end"/>
          </w:r>
        </w:p>
        <w:p w14:paraId="03697586">
          <w:pPr>
            <w:pStyle w:val="16"/>
            <w:tabs>
              <w:tab w:val="right" w:leader="dot" w:pos="9746"/>
            </w:tabs>
          </w:pPr>
          <w:r>
            <w:fldChar w:fldCharType="begin"/>
          </w:r>
          <w:r>
            <w:instrText xml:space="preserve"> HYPERLINK \l _Toc2306 </w:instrText>
          </w:r>
          <w:r>
            <w:fldChar w:fldCharType="separate"/>
          </w:r>
          <w:r>
            <w:rPr>
              <w:rFonts w:hint="eastAsia" w:ascii="仿宋" w:hAnsi="仿宋" w:eastAsia="仿宋" w:cs="仿宋"/>
              <w:snapToGrid/>
              <w:kern w:val="2"/>
              <w:szCs w:val="24"/>
              <w:lang w:eastAsia="zh-CN"/>
            </w:rPr>
            <w:t>2.6 技术资料和保密义务</w:t>
          </w:r>
          <w:r>
            <w:tab/>
          </w:r>
          <w:r>
            <w:fldChar w:fldCharType="begin"/>
          </w:r>
          <w:r>
            <w:instrText xml:space="preserve"> PAGEREF _Toc2306 \h </w:instrText>
          </w:r>
          <w:r>
            <w:fldChar w:fldCharType="separate"/>
          </w:r>
          <w:r>
            <w:t>52</w:t>
          </w:r>
          <w:r>
            <w:fldChar w:fldCharType="end"/>
          </w:r>
          <w:r>
            <w:fldChar w:fldCharType="end"/>
          </w:r>
        </w:p>
        <w:p w14:paraId="098D05DD">
          <w:pPr>
            <w:pStyle w:val="16"/>
            <w:tabs>
              <w:tab w:val="right" w:leader="dot" w:pos="9746"/>
            </w:tabs>
          </w:pPr>
          <w:r>
            <w:fldChar w:fldCharType="begin"/>
          </w:r>
          <w:r>
            <w:instrText xml:space="preserve"> HYPERLINK \l _Toc8242 </w:instrText>
          </w:r>
          <w:r>
            <w:fldChar w:fldCharType="separate"/>
          </w:r>
          <w:r>
            <w:rPr>
              <w:rFonts w:hint="eastAsia" w:ascii="仿宋" w:hAnsi="仿宋" w:eastAsia="仿宋" w:cs="仿宋"/>
              <w:snapToGrid/>
              <w:kern w:val="2"/>
              <w:szCs w:val="24"/>
              <w:lang w:eastAsia="zh-CN"/>
            </w:rPr>
            <w:t>2.7 质量保证</w:t>
          </w:r>
          <w:r>
            <w:tab/>
          </w:r>
          <w:r>
            <w:fldChar w:fldCharType="begin"/>
          </w:r>
          <w:r>
            <w:instrText xml:space="preserve"> PAGEREF _Toc8242 \h </w:instrText>
          </w:r>
          <w:r>
            <w:fldChar w:fldCharType="separate"/>
          </w:r>
          <w:r>
            <w:t>52</w:t>
          </w:r>
          <w:r>
            <w:fldChar w:fldCharType="end"/>
          </w:r>
          <w:r>
            <w:fldChar w:fldCharType="end"/>
          </w:r>
        </w:p>
        <w:p w14:paraId="45F8AF95">
          <w:pPr>
            <w:pStyle w:val="16"/>
            <w:tabs>
              <w:tab w:val="right" w:leader="dot" w:pos="9746"/>
            </w:tabs>
          </w:pPr>
          <w:r>
            <w:fldChar w:fldCharType="begin"/>
          </w:r>
          <w:r>
            <w:instrText xml:space="preserve"> HYPERLINK \l _Toc5674 </w:instrText>
          </w:r>
          <w:r>
            <w:fldChar w:fldCharType="separate"/>
          </w:r>
          <w:r>
            <w:rPr>
              <w:rFonts w:hint="eastAsia" w:ascii="仿宋" w:hAnsi="仿宋" w:eastAsia="仿宋" w:cs="仿宋"/>
              <w:snapToGrid/>
              <w:kern w:val="2"/>
              <w:szCs w:val="24"/>
              <w:lang w:eastAsia="zh-CN"/>
            </w:rPr>
            <w:t>2.8 延迟履行</w:t>
          </w:r>
          <w:r>
            <w:tab/>
          </w:r>
          <w:r>
            <w:fldChar w:fldCharType="begin"/>
          </w:r>
          <w:r>
            <w:instrText xml:space="preserve"> PAGEREF _Toc5674 \h </w:instrText>
          </w:r>
          <w:r>
            <w:fldChar w:fldCharType="separate"/>
          </w:r>
          <w:r>
            <w:t>52</w:t>
          </w:r>
          <w:r>
            <w:fldChar w:fldCharType="end"/>
          </w:r>
          <w:r>
            <w:fldChar w:fldCharType="end"/>
          </w:r>
        </w:p>
        <w:p w14:paraId="3A605D94">
          <w:pPr>
            <w:pStyle w:val="16"/>
            <w:tabs>
              <w:tab w:val="right" w:leader="dot" w:pos="9746"/>
            </w:tabs>
          </w:pPr>
          <w:r>
            <w:fldChar w:fldCharType="begin"/>
          </w:r>
          <w:r>
            <w:instrText xml:space="preserve"> HYPERLINK \l _Toc18007 </w:instrText>
          </w:r>
          <w:r>
            <w:fldChar w:fldCharType="separate"/>
          </w:r>
          <w:r>
            <w:rPr>
              <w:rFonts w:hint="eastAsia" w:ascii="仿宋" w:hAnsi="仿宋" w:eastAsia="仿宋" w:cs="仿宋"/>
              <w:snapToGrid/>
              <w:kern w:val="2"/>
              <w:szCs w:val="24"/>
              <w:lang w:eastAsia="zh-CN"/>
            </w:rPr>
            <w:t>2.9 合同变更</w:t>
          </w:r>
          <w:r>
            <w:tab/>
          </w:r>
          <w:r>
            <w:fldChar w:fldCharType="begin"/>
          </w:r>
          <w:r>
            <w:instrText xml:space="preserve"> PAGEREF _Toc18007 \h </w:instrText>
          </w:r>
          <w:r>
            <w:fldChar w:fldCharType="separate"/>
          </w:r>
          <w:r>
            <w:t>53</w:t>
          </w:r>
          <w:r>
            <w:fldChar w:fldCharType="end"/>
          </w:r>
          <w:r>
            <w:fldChar w:fldCharType="end"/>
          </w:r>
        </w:p>
        <w:p w14:paraId="07D953B7">
          <w:pPr>
            <w:pStyle w:val="16"/>
            <w:tabs>
              <w:tab w:val="right" w:leader="dot" w:pos="9746"/>
            </w:tabs>
          </w:pPr>
          <w:r>
            <w:fldChar w:fldCharType="begin"/>
          </w:r>
          <w:r>
            <w:instrText xml:space="preserve"> HYPERLINK \l _Toc29061 </w:instrText>
          </w:r>
          <w:r>
            <w:fldChar w:fldCharType="separate"/>
          </w:r>
          <w:r>
            <w:rPr>
              <w:rFonts w:hint="eastAsia" w:ascii="仿宋" w:hAnsi="仿宋" w:eastAsia="仿宋" w:cs="仿宋"/>
              <w:snapToGrid/>
              <w:kern w:val="2"/>
              <w:szCs w:val="24"/>
              <w:lang w:eastAsia="zh-CN"/>
            </w:rPr>
            <w:t>2.10 合同转让和分包</w:t>
          </w:r>
          <w:r>
            <w:tab/>
          </w:r>
          <w:r>
            <w:fldChar w:fldCharType="begin"/>
          </w:r>
          <w:r>
            <w:instrText xml:space="preserve"> PAGEREF _Toc29061 \h </w:instrText>
          </w:r>
          <w:r>
            <w:fldChar w:fldCharType="separate"/>
          </w:r>
          <w:r>
            <w:t>53</w:t>
          </w:r>
          <w:r>
            <w:fldChar w:fldCharType="end"/>
          </w:r>
          <w:r>
            <w:fldChar w:fldCharType="end"/>
          </w:r>
        </w:p>
        <w:p w14:paraId="73C9CDF9">
          <w:pPr>
            <w:pStyle w:val="16"/>
            <w:tabs>
              <w:tab w:val="right" w:leader="dot" w:pos="9746"/>
            </w:tabs>
          </w:pPr>
          <w:r>
            <w:fldChar w:fldCharType="begin"/>
          </w:r>
          <w:r>
            <w:instrText xml:space="preserve"> HYPERLINK \l _Toc9996 </w:instrText>
          </w:r>
          <w:r>
            <w:fldChar w:fldCharType="separate"/>
          </w:r>
          <w:r>
            <w:rPr>
              <w:rFonts w:hint="eastAsia" w:ascii="仿宋" w:hAnsi="仿宋" w:eastAsia="仿宋" w:cs="仿宋"/>
              <w:snapToGrid/>
              <w:kern w:val="2"/>
              <w:szCs w:val="24"/>
              <w:lang w:eastAsia="zh-CN"/>
            </w:rPr>
            <w:t>2.11 不可抗力</w:t>
          </w:r>
          <w:r>
            <w:tab/>
          </w:r>
          <w:r>
            <w:fldChar w:fldCharType="begin"/>
          </w:r>
          <w:r>
            <w:instrText xml:space="preserve"> PAGEREF _Toc9996 \h </w:instrText>
          </w:r>
          <w:r>
            <w:fldChar w:fldCharType="separate"/>
          </w:r>
          <w:r>
            <w:t>53</w:t>
          </w:r>
          <w:r>
            <w:fldChar w:fldCharType="end"/>
          </w:r>
          <w:r>
            <w:fldChar w:fldCharType="end"/>
          </w:r>
        </w:p>
        <w:p w14:paraId="6E7BF755">
          <w:pPr>
            <w:pStyle w:val="16"/>
            <w:tabs>
              <w:tab w:val="right" w:leader="dot" w:pos="9746"/>
            </w:tabs>
          </w:pPr>
          <w:r>
            <w:fldChar w:fldCharType="begin"/>
          </w:r>
          <w:r>
            <w:instrText xml:space="preserve"> HYPERLINK \l _Toc25265 </w:instrText>
          </w:r>
          <w:r>
            <w:fldChar w:fldCharType="separate"/>
          </w:r>
          <w:r>
            <w:rPr>
              <w:rFonts w:hint="eastAsia" w:ascii="仿宋" w:hAnsi="仿宋" w:eastAsia="仿宋" w:cs="仿宋"/>
              <w:snapToGrid/>
              <w:kern w:val="2"/>
              <w:szCs w:val="24"/>
              <w:lang w:eastAsia="zh-CN"/>
            </w:rPr>
            <w:t>2.12 税费</w:t>
          </w:r>
          <w:r>
            <w:tab/>
          </w:r>
          <w:r>
            <w:fldChar w:fldCharType="begin"/>
          </w:r>
          <w:r>
            <w:instrText xml:space="preserve"> PAGEREF _Toc25265 \h </w:instrText>
          </w:r>
          <w:r>
            <w:fldChar w:fldCharType="separate"/>
          </w:r>
          <w:r>
            <w:t>54</w:t>
          </w:r>
          <w:r>
            <w:fldChar w:fldCharType="end"/>
          </w:r>
          <w:r>
            <w:fldChar w:fldCharType="end"/>
          </w:r>
        </w:p>
        <w:p w14:paraId="2279FF9B">
          <w:pPr>
            <w:pStyle w:val="16"/>
            <w:tabs>
              <w:tab w:val="right" w:leader="dot" w:pos="9746"/>
            </w:tabs>
          </w:pPr>
          <w:r>
            <w:fldChar w:fldCharType="begin"/>
          </w:r>
          <w:r>
            <w:instrText xml:space="preserve"> HYPERLINK \l _Toc22210 </w:instrText>
          </w:r>
          <w:r>
            <w:fldChar w:fldCharType="separate"/>
          </w:r>
          <w:r>
            <w:rPr>
              <w:rFonts w:hint="eastAsia" w:ascii="仿宋" w:hAnsi="仿宋" w:eastAsia="仿宋" w:cs="仿宋"/>
              <w:snapToGrid/>
              <w:kern w:val="2"/>
              <w:szCs w:val="24"/>
              <w:lang w:eastAsia="zh-CN"/>
            </w:rPr>
            <w:t>2.13 乙方破产</w:t>
          </w:r>
          <w:r>
            <w:tab/>
          </w:r>
          <w:r>
            <w:fldChar w:fldCharType="begin"/>
          </w:r>
          <w:r>
            <w:instrText xml:space="preserve"> PAGEREF _Toc22210 \h </w:instrText>
          </w:r>
          <w:r>
            <w:fldChar w:fldCharType="separate"/>
          </w:r>
          <w:r>
            <w:t>54</w:t>
          </w:r>
          <w:r>
            <w:fldChar w:fldCharType="end"/>
          </w:r>
          <w:r>
            <w:fldChar w:fldCharType="end"/>
          </w:r>
        </w:p>
        <w:p w14:paraId="078F35C8">
          <w:pPr>
            <w:pStyle w:val="16"/>
            <w:tabs>
              <w:tab w:val="right" w:leader="dot" w:pos="9746"/>
            </w:tabs>
          </w:pPr>
          <w:r>
            <w:fldChar w:fldCharType="begin"/>
          </w:r>
          <w:r>
            <w:instrText xml:space="preserve"> HYPERLINK \l _Toc4738 </w:instrText>
          </w:r>
          <w:r>
            <w:fldChar w:fldCharType="separate"/>
          </w:r>
          <w:r>
            <w:rPr>
              <w:rFonts w:hint="eastAsia" w:ascii="仿宋" w:hAnsi="仿宋" w:eastAsia="仿宋" w:cs="仿宋"/>
              <w:snapToGrid/>
              <w:kern w:val="2"/>
              <w:szCs w:val="24"/>
              <w:lang w:eastAsia="zh-CN"/>
            </w:rPr>
            <w:t>2.14 合同中止、终止</w:t>
          </w:r>
          <w:r>
            <w:tab/>
          </w:r>
          <w:r>
            <w:fldChar w:fldCharType="begin"/>
          </w:r>
          <w:r>
            <w:instrText xml:space="preserve"> PAGEREF _Toc4738 \h </w:instrText>
          </w:r>
          <w:r>
            <w:fldChar w:fldCharType="separate"/>
          </w:r>
          <w:r>
            <w:t>54</w:t>
          </w:r>
          <w:r>
            <w:fldChar w:fldCharType="end"/>
          </w:r>
          <w:r>
            <w:fldChar w:fldCharType="end"/>
          </w:r>
        </w:p>
        <w:p w14:paraId="1CBFAB0F">
          <w:pPr>
            <w:pStyle w:val="16"/>
            <w:tabs>
              <w:tab w:val="right" w:leader="dot" w:pos="9746"/>
            </w:tabs>
          </w:pPr>
          <w:r>
            <w:fldChar w:fldCharType="begin"/>
          </w:r>
          <w:r>
            <w:instrText xml:space="preserve"> HYPERLINK \l _Toc12436 </w:instrText>
          </w:r>
          <w:r>
            <w:fldChar w:fldCharType="separate"/>
          </w:r>
          <w:r>
            <w:rPr>
              <w:rFonts w:hint="eastAsia" w:ascii="仿宋" w:hAnsi="仿宋" w:eastAsia="仿宋" w:cs="仿宋"/>
              <w:snapToGrid/>
              <w:kern w:val="2"/>
              <w:szCs w:val="24"/>
              <w:lang w:eastAsia="zh-CN"/>
            </w:rPr>
            <w:t>2.15 检验和验收</w:t>
          </w:r>
          <w:r>
            <w:tab/>
          </w:r>
          <w:r>
            <w:fldChar w:fldCharType="begin"/>
          </w:r>
          <w:r>
            <w:instrText xml:space="preserve"> PAGEREF _Toc12436 \h </w:instrText>
          </w:r>
          <w:r>
            <w:fldChar w:fldCharType="separate"/>
          </w:r>
          <w:r>
            <w:t>54</w:t>
          </w:r>
          <w:r>
            <w:fldChar w:fldCharType="end"/>
          </w:r>
          <w:r>
            <w:fldChar w:fldCharType="end"/>
          </w:r>
        </w:p>
        <w:p w14:paraId="6C073946">
          <w:pPr>
            <w:pStyle w:val="16"/>
            <w:tabs>
              <w:tab w:val="right" w:leader="dot" w:pos="9746"/>
            </w:tabs>
          </w:pPr>
          <w:r>
            <w:fldChar w:fldCharType="begin"/>
          </w:r>
          <w:r>
            <w:instrText xml:space="preserve"> HYPERLINK \l _Toc22231 </w:instrText>
          </w:r>
          <w:r>
            <w:fldChar w:fldCharType="separate"/>
          </w:r>
          <w:r>
            <w:rPr>
              <w:rFonts w:hint="eastAsia" w:ascii="仿宋" w:hAnsi="仿宋" w:eastAsia="仿宋" w:cs="仿宋"/>
              <w:snapToGrid/>
              <w:kern w:val="2"/>
              <w:szCs w:val="24"/>
              <w:lang w:eastAsia="zh-CN"/>
            </w:rPr>
            <w:t>2.16 通知和送达</w:t>
          </w:r>
          <w:r>
            <w:tab/>
          </w:r>
          <w:r>
            <w:fldChar w:fldCharType="begin"/>
          </w:r>
          <w:r>
            <w:instrText xml:space="preserve"> PAGEREF _Toc22231 \h </w:instrText>
          </w:r>
          <w:r>
            <w:fldChar w:fldCharType="separate"/>
          </w:r>
          <w:r>
            <w:t>54</w:t>
          </w:r>
          <w:r>
            <w:fldChar w:fldCharType="end"/>
          </w:r>
          <w:r>
            <w:fldChar w:fldCharType="end"/>
          </w:r>
        </w:p>
        <w:p w14:paraId="347FFEAF">
          <w:pPr>
            <w:pStyle w:val="16"/>
            <w:tabs>
              <w:tab w:val="right" w:leader="dot" w:pos="9746"/>
            </w:tabs>
          </w:pPr>
          <w:r>
            <w:fldChar w:fldCharType="begin"/>
          </w:r>
          <w:r>
            <w:instrText xml:space="preserve"> HYPERLINK \l _Toc17748 </w:instrText>
          </w:r>
          <w:r>
            <w:fldChar w:fldCharType="separate"/>
          </w:r>
          <w:r>
            <w:rPr>
              <w:rFonts w:hint="eastAsia" w:ascii="仿宋" w:hAnsi="仿宋" w:eastAsia="仿宋" w:cs="仿宋"/>
              <w:snapToGrid/>
              <w:kern w:val="2"/>
              <w:szCs w:val="24"/>
              <w:lang w:eastAsia="zh-CN"/>
            </w:rPr>
            <w:t>2.17 合同使用的文字和适用的法律</w:t>
          </w:r>
          <w:r>
            <w:tab/>
          </w:r>
          <w:r>
            <w:fldChar w:fldCharType="begin"/>
          </w:r>
          <w:r>
            <w:instrText xml:space="preserve"> PAGEREF _Toc17748 \h </w:instrText>
          </w:r>
          <w:r>
            <w:fldChar w:fldCharType="separate"/>
          </w:r>
          <w:r>
            <w:t>55</w:t>
          </w:r>
          <w:r>
            <w:fldChar w:fldCharType="end"/>
          </w:r>
          <w:r>
            <w:fldChar w:fldCharType="end"/>
          </w:r>
        </w:p>
        <w:p w14:paraId="09AEA3A2">
          <w:pPr>
            <w:pStyle w:val="16"/>
            <w:tabs>
              <w:tab w:val="right" w:leader="dot" w:pos="9746"/>
            </w:tabs>
          </w:pPr>
          <w:r>
            <w:fldChar w:fldCharType="begin"/>
          </w:r>
          <w:r>
            <w:instrText xml:space="preserve"> HYPERLINK \l _Toc28157 </w:instrText>
          </w:r>
          <w:r>
            <w:fldChar w:fldCharType="separate"/>
          </w:r>
          <w:r>
            <w:rPr>
              <w:rFonts w:hint="eastAsia" w:ascii="仿宋" w:hAnsi="仿宋" w:eastAsia="仿宋" w:cs="仿宋"/>
              <w:snapToGrid/>
              <w:kern w:val="2"/>
              <w:szCs w:val="24"/>
              <w:lang w:eastAsia="zh-CN"/>
            </w:rPr>
            <w:t>2.18 履约保证金</w:t>
          </w:r>
          <w:r>
            <w:tab/>
          </w:r>
          <w:r>
            <w:fldChar w:fldCharType="begin"/>
          </w:r>
          <w:r>
            <w:instrText xml:space="preserve"> PAGEREF _Toc28157 \h </w:instrText>
          </w:r>
          <w:r>
            <w:fldChar w:fldCharType="separate"/>
          </w:r>
          <w:r>
            <w:t>55</w:t>
          </w:r>
          <w:r>
            <w:fldChar w:fldCharType="end"/>
          </w:r>
          <w:r>
            <w:fldChar w:fldCharType="end"/>
          </w:r>
        </w:p>
        <w:p w14:paraId="2F9F46CB">
          <w:pPr>
            <w:pStyle w:val="16"/>
            <w:tabs>
              <w:tab w:val="right" w:leader="dot" w:pos="9746"/>
            </w:tabs>
          </w:pPr>
          <w:r>
            <w:fldChar w:fldCharType="begin"/>
          </w:r>
          <w:r>
            <w:instrText xml:space="preserve"> HYPERLINK \l _Toc4049 </w:instrText>
          </w:r>
          <w:r>
            <w:fldChar w:fldCharType="separate"/>
          </w:r>
          <w:r>
            <w:rPr>
              <w:rFonts w:hint="eastAsia" w:ascii="仿宋" w:hAnsi="仿宋" w:eastAsia="仿宋" w:cs="仿宋"/>
              <w:bCs/>
              <w:spacing w:val="0"/>
              <w:w w:val="100"/>
              <w:position w:val="0"/>
              <w:szCs w:val="32"/>
            </w:rPr>
            <w:t>第</w:t>
          </w:r>
          <w:r>
            <w:rPr>
              <w:rFonts w:hint="eastAsia" w:ascii="仿宋" w:hAnsi="仿宋" w:eastAsia="仿宋" w:cs="仿宋"/>
              <w:bCs/>
              <w:spacing w:val="0"/>
              <w:w w:val="100"/>
              <w:position w:val="0"/>
              <w:szCs w:val="32"/>
              <w:lang w:eastAsia="zh-CN"/>
            </w:rPr>
            <w:t>六章</w:t>
          </w:r>
          <w:r>
            <w:rPr>
              <w:rFonts w:hint="eastAsia" w:ascii="仿宋" w:hAnsi="仿宋" w:eastAsia="仿宋" w:cs="仿宋"/>
              <w:bCs/>
              <w:spacing w:val="0"/>
              <w:w w:val="100"/>
              <w:position w:val="0"/>
              <w:szCs w:val="32"/>
              <w:lang w:val="en-US" w:eastAsia="zh-CN"/>
            </w:rPr>
            <w:t xml:space="preserve">   </w:t>
          </w:r>
          <w:r>
            <w:rPr>
              <w:rFonts w:hint="eastAsia" w:ascii="仿宋" w:hAnsi="仿宋" w:eastAsia="仿宋" w:cs="仿宋"/>
              <w:bCs/>
              <w:spacing w:val="0"/>
              <w:w w:val="100"/>
              <w:position w:val="0"/>
              <w:szCs w:val="32"/>
            </w:rPr>
            <w:t>投标文件格式</w:t>
          </w:r>
          <w:r>
            <w:tab/>
          </w:r>
          <w:r>
            <w:fldChar w:fldCharType="begin"/>
          </w:r>
          <w:r>
            <w:instrText xml:space="preserve"> PAGEREF _Toc4049 \h </w:instrText>
          </w:r>
          <w:r>
            <w:fldChar w:fldCharType="separate"/>
          </w:r>
          <w:r>
            <w:t>57</w:t>
          </w:r>
          <w:r>
            <w:fldChar w:fldCharType="end"/>
          </w:r>
          <w:r>
            <w:fldChar w:fldCharType="end"/>
          </w:r>
        </w:p>
        <w:p w14:paraId="5CEE23AA">
          <w:pPr>
            <w:pStyle w:val="20"/>
            <w:tabs>
              <w:tab w:val="right" w:leader="dot" w:pos="9746"/>
            </w:tabs>
          </w:pPr>
          <w:r>
            <w:fldChar w:fldCharType="begin"/>
          </w:r>
          <w:r>
            <w:instrText xml:space="preserve"> HYPERLINK \l _Toc11864 </w:instrText>
          </w:r>
          <w:r>
            <w:fldChar w:fldCharType="separate"/>
          </w:r>
          <w:r>
            <w:rPr>
              <w:rFonts w:hint="eastAsia" w:ascii="仿宋" w:hAnsi="仿宋" w:eastAsia="仿宋" w:cs="仿宋"/>
              <w:bCs/>
              <w:szCs w:val="36"/>
              <w:highlight w:val="none"/>
            </w:rPr>
            <w:t xml:space="preserve">第一部分 </w:t>
          </w:r>
          <w:r>
            <w:rPr>
              <w:rFonts w:hint="eastAsia" w:ascii="仿宋" w:hAnsi="仿宋" w:eastAsia="仿宋" w:cs="仿宋"/>
              <w:bCs/>
              <w:szCs w:val="36"/>
              <w:highlight w:val="none"/>
              <w:lang w:val="en-US" w:eastAsia="zh-CN"/>
            </w:rPr>
            <w:t>开标一览表及</w:t>
          </w:r>
          <w:r>
            <w:rPr>
              <w:rFonts w:hint="eastAsia" w:ascii="仿宋" w:hAnsi="仿宋" w:eastAsia="仿宋" w:cs="仿宋"/>
              <w:bCs/>
              <w:szCs w:val="36"/>
              <w:highlight w:val="none"/>
            </w:rPr>
            <w:t>资格证明文件</w:t>
          </w:r>
          <w:r>
            <w:tab/>
          </w:r>
          <w:r>
            <w:fldChar w:fldCharType="begin"/>
          </w:r>
          <w:r>
            <w:instrText xml:space="preserve"> PAGEREF _Toc11864 \h </w:instrText>
          </w:r>
          <w:r>
            <w:fldChar w:fldCharType="separate"/>
          </w:r>
          <w:r>
            <w:t>58</w:t>
          </w:r>
          <w:r>
            <w:fldChar w:fldCharType="end"/>
          </w:r>
          <w:r>
            <w:fldChar w:fldCharType="end"/>
          </w:r>
        </w:p>
        <w:p w14:paraId="1001AD4F">
          <w:pPr>
            <w:pStyle w:val="20"/>
            <w:tabs>
              <w:tab w:val="right" w:leader="dot" w:pos="9746"/>
            </w:tabs>
          </w:pPr>
          <w:r>
            <w:fldChar w:fldCharType="begin"/>
          </w:r>
          <w:r>
            <w:instrText xml:space="preserve"> HYPERLINK \l _Toc107 </w:instrText>
          </w:r>
          <w:r>
            <w:fldChar w:fldCharType="separate"/>
          </w:r>
          <w:r>
            <w:rPr>
              <w:rFonts w:hint="eastAsia" w:ascii="仿宋" w:hAnsi="仿宋" w:eastAsia="仿宋" w:cs="仿宋"/>
              <w:bCs/>
              <w:szCs w:val="36"/>
              <w:highlight w:val="none"/>
              <w:lang w:val="en-US" w:eastAsia="zh-CN"/>
            </w:rPr>
            <w:t>第二部分</w:t>
          </w:r>
          <w:r>
            <w:rPr>
              <w:rFonts w:hint="eastAsia" w:ascii="仿宋" w:hAnsi="仿宋" w:eastAsia="仿宋" w:cs="仿宋"/>
              <w:bCs/>
              <w:szCs w:val="36"/>
              <w:highlight w:val="none"/>
            </w:rPr>
            <w:t xml:space="preserve"> 商务及技术文件</w:t>
          </w:r>
          <w:r>
            <w:tab/>
          </w:r>
          <w:r>
            <w:fldChar w:fldCharType="begin"/>
          </w:r>
          <w:r>
            <w:instrText xml:space="preserve"> PAGEREF _Toc107 \h </w:instrText>
          </w:r>
          <w:r>
            <w:fldChar w:fldCharType="separate"/>
          </w:r>
          <w:r>
            <w:t>70</w:t>
          </w:r>
          <w:r>
            <w:fldChar w:fldCharType="end"/>
          </w:r>
          <w:r>
            <w:fldChar w:fldCharType="end"/>
          </w:r>
        </w:p>
        <w:p w14:paraId="062B2738">
          <w:r>
            <w:fldChar w:fldCharType="end"/>
          </w:r>
        </w:p>
      </w:sdtContent>
    </w:sdt>
    <w:p w14:paraId="3DA20E0A"/>
    <w:p w14:paraId="2B2D00D5">
      <w:pPr>
        <w:tabs>
          <w:tab w:val="left" w:pos="9240"/>
        </w:tabs>
        <w:spacing w:line="420" w:lineRule="exact"/>
        <w:jc w:val="center"/>
        <w:outlineLvl w:val="0"/>
        <w:rPr>
          <w:rFonts w:hint="eastAsia" w:ascii="仿宋" w:hAnsi="仿宋" w:eastAsia="仿宋" w:cs="仿宋"/>
          <w:b/>
          <w:bCs/>
          <w:sz w:val="32"/>
          <w:szCs w:val="32"/>
          <w:highlight w:val="none"/>
        </w:rPr>
      </w:pPr>
    </w:p>
    <w:p w14:paraId="100B5663">
      <w:pPr>
        <w:tabs>
          <w:tab w:val="left" w:pos="9240"/>
        </w:tabs>
        <w:spacing w:line="420" w:lineRule="exact"/>
        <w:jc w:val="center"/>
        <w:outlineLvl w:val="0"/>
        <w:rPr>
          <w:rFonts w:hint="eastAsia" w:ascii="仿宋" w:hAnsi="仿宋" w:eastAsia="仿宋" w:cs="仿宋"/>
          <w:b/>
          <w:bCs/>
          <w:sz w:val="32"/>
          <w:szCs w:val="32"/>
          <w:highlight w:val="none"/>
        </w:rPr>
      </w:pPr>
    </w:p>
    <w:p w14:paraId="76809156">
      <w:pPr>
        <w:tabs>
          <w:tab w:val="left" w:pos="9240"/>
        </w:tabs>
        <w:spacing w:line="420" w:lineRule="exact"/>
        <w:jc w:val="center"/>
        <w:outlineLvl w:val="0"/>
        <w:rPr>
          <w:rFonts w:hint="eastAsia" w:ascii="仿宋" w:hAnsi="仿宋" w:eastAsia="仿宋" w:cs="仿宋"/>
          <w:b/>
          <w:bCs/>
          <w:sz w:val="32"/>
          <w:szCs w:val="32"/>
          <w:highlight w:val="none"/>
        </w:rPr>
      </w:pPr>
    </w:p>
    <w:p w14:paraId="6F1A772B">
      <w:pPr>
        <w:tabs>
          <w:tab w:val="left" w:pos="9240"/>
        </w:tabs>
        <w:spacing w:line="420" w:lineRule="exact"/>
        <w:jc w:val="center"/>
        <w:outlineLvl w:val="0"/>
        <w:rPr>
          <w:rFonts w:hint="eastAsia" w:ascii="仿宋" w:hAnsi="仿宋" w:eastAsia="仿宋" w:cs="仿宋"/>
          <w:b/>
          <w:bCs/>
          <w:sz w:val="32"/>
          <w:szCs w:val="32"/>
          <w:highlight w:val="none"/>
        </w:rPr>
      </w:pPr>
    </w:p>
    <w:p w14:paraId="11D80F3B">
      <w:pPr>
        <w:tabs>
          <w:tab w:val="left" w:pos="9240"/>
        </w:tabs>
        <w:spacing w:line="420" w:lineRule="exact"/>
        <w:jc w:val="center"/>
        <w:outlineLvl w:val="0"/>
        <w:rPr>
          <w:rFonts w:hint="eastAsia" w:ascii="仿宋" w:hAnsi="仿宋" w:eastAsia="仿宋" w:cs="仿宋"/>
          <w:b/>
          <w:bCs/>
          <w:sz w:val="32"/>
          <w:szCs w:val="32"/>
          <w:highlight w:val="none"/>
        </w:rPr>
      </w:pPr>
    </w:p>
    <w:p w14:paraId="65342C6D">
      <w:pPr>
        <w:tabs>
          <w:tab w:val="left" w:pos="9240"/>
        </w:tabs>
        <w:spacing w:line="420" w:lineRule="exact"/>
        <w:jc w:val="center"/>
        <w:outlineLvl w:val="0"/>
        <w:rPr>
          <w:rFonts w:hint="eastAsia" w:ascii="仿宋" w:hAnsi="仿宋" w:eastAsia="仿宋" w:cs="仿宋"/>
          <w:b/>
          <w:bCs/>
          <w:sz w:val="32"/>
          <w:szCs w:val="32"/>
          <w:highlight w:val="none"/>
        </w:rPr>
      </w:pPr>
    </w:p>
    <w:p w14:paraId="108C205C">
      <w:pPr>
        <w:tabs>
          <w:tab w:val="left" w:pos="9240"/>
        </w:tabs>
        <w:spacing w:line="420" w:lineRule="exact"/>
        <w:jc w:val="center"/>
        <w:outlineLvl w:val="0"/>
        <w:rPr>
          <w:rFonts w:hint="eastAsia" w:ascii="仿宋" w:hAnsi="仿宋" w:eastAsia="仿宋" w:cs="仿宋"/>
          <w:b/>
          <w:bCs/>
          <w:sz w:val="32"/>
          <w:szCs w:val="32"/>
          <w:highlight w:val="none"/>
        </w:rPr>
      </w:pPr>
    </w:p>
    <w:p w14:paraId="3D661B9D">
      <w:pPr>
        <w:tabs>
          <w:tab w:val="left" w:pos="9240"/>
        </w:tabs>
        <w:spacing w:line="420" w:lineRule="exact"/>
        <w:jc w:val="center"/>
        <w:outlineLvl w:val="0"/>
        <w:rPr>
          <w:rFonts w:hint="eastAsia" w:ascii="仿宋" w:hAnsi="仿宋" w:eastAsia="仿宋" w:cs="仿宋"/>
          <w:b/>
          <w:bCs/>
          <w:sz w:val="32"/>
          <w:szCs w:val="32"/>
          <w:highlight w:val="none"/>
        </w:rPr>
      </w:pPr>
      <w:bookmarkStart w:id="0" w:name="_Toc1884"/>
      <w:r>
        <w:rPr>
          <w:rFonts w:hint="eastAsia" w:ascii="仿宋" w:hAnsi="仿宋" w:eastAsia="仿宋" w:cs="仿宋"/>
          <w:b/>
          <w:bCs/>
          <w:sz w:val="32"/>
          <w:szCs w:val="32"/>
          <w:highlight w:val="none"/>
        </w:rPr>
        <w:t>第一章</w:t>
      </w:r>
      <w:r>
        <w:rPr>
          <w:rFonts w:hint="eastAsia" w:ascii="仿宋" w:hAnsi="仿宋" w:eastAsia="仿宋" w:cs="仿宋"/>
          <w:b/>
          <w:bCs/>
          <w:sz w:val="32"/>
          <w:szCs w:val="32"/>
          <w:highlight w:val="none"/>
          <w:lang w:val="en-US" w:eastAsia="zh-CN"/>
        </w:rPr>
        <w:t xml:space="preserve"> </w:t>
      </w:r>
      <w:r>
        <w:rPr>
          <w:rFonts w:hint="eastAsia" w:ascii="仿宋" w:hAnsi="仿宋" w:eastAsia="仿宋" w:cs="仿宋"/>
          <w:b/>
          <w:bCs/>
          <w:sz w:val="32"/>
          <w:szCs w:val="32"/>
          <w:highlight w:val="none"/>
        </w:rPr>
        <w:t>招标公告</w:t>
      </w:r>
      <w:bookmarkEnd w:id="0"/>
    </w:p>
    <w:p w14:paraId="2F5C334E">
      <w:pPr>
        <w:tabs>
          <w:tab w:val="left" w:pos="0"/>
        </w:tabs>
        <w:autoSpaceDE w:val="0"/>
        <w:autoSpaceDN w:val="0"/>
        <w:adjustRightInd w:val="0"/>
        <w:spacing w:before="0" w:after="0" w:line="360" w:lineRule="auto"/>
        <w:jc w:val="center"/>
        <w:outlineLvl w:val="9"/>
        <w:rPr>
          <w:rFonts w:hint="eastAsia" w:ascii="仿宋" w:hAnsi="仿宋" w:eastAsia="仿宋" w:cs="仿宋"/>
          <w:highlight w:val="none"/>
        </w:rPr>
      </w:pPr>
      <w:bookmarkStart w:id="1" w:name="_Toc6038"/>
      <w:r>
        <w:rPr>
          <w:rFonts w:hint="eastAsia" w:ascii="仿宋" w:hAnsi="仿宋" w:eastAsia="仿宋" w:cs="仿宋"/>
          <w:sz w:val="28"/>
          <w:szCs w:val="28"/>
          <w:highlight w:val="none"/>
          <w:shd w:val="clear" w:color="auto" w:fill="FFFFFF"/>
          <w:lang w:eastAsia="zh-CN"/>
        </w:rPr>
        <w:t>乌什县民政局2026年购买福利机构护理服务项</w:t>
      </w:r>
      <w:r>
        <w:rPr>
          <w:rFonts w:hint="eastAsia" w:ascii="仿宋" w:hAnsi="仿宋" w:eastAsia="仿宋" w:cs="仿宋"/>
          <w:sz w:val="28"/>
          <w:szCs w:val="28"/>
          <w:highlight w:val="none"/>
          <w:shd w:val="clear" w:color="auto" w:fill="FFFFFF"/>
          <w:lang w:val="en-US" w:eastAsia="zh-CN"/>
        </w:rPr>
        <w:t>目</w:t>
      </w:r>
      <w:r>
        <w:rPr>
          <w:rFonts w:hint="eastAsia" w:ascii="仿宋" w:hAnsi="仿宋" w:eastAsia="仿宋" w:cs="仿宋"/>
          <w:sz w:val="28"/>
          <w:szCs w:val="28"/>
          <w:highlight w:val="none"/>
          <w:shd w:val="clear" w:color="auto" w:fill="FFFFFF"/>
        </w:rPr>
        <w:t>竞争性磋商公告</w:t>
      </w:r>
    </w:p>
    <w:p w14:paraId="026E7EB0">
      <w:pPr>
        <w:pBdr>
          <w:top w:val="single" w:color="auto" w:sz="4" w:space="1"/>
          <w:left w:val="single" w:color="auto" w:sz="4" w:space="4"/>
          <w:bottom w:val="single" w:color="auto" w:sz="4" w:space="1"/>
          <w:right w:val="single" w:color="auto" w:sz="4" w:space="4"/>
        </w:pBdr>
        <w:spacing w:line="320" w:lineRule="exact"/>
        <w:rPr>
          <w:rFonts w:hint="eastAsia" w:ascii="仿宋" w:hAnsi="仿宋" w:eastAsia="仿宋" w:cs="仿宋"/>
          <w:szCs w:val="21"/>
          <w:highlight w:val="none"/>
        </w:rPr>
      </w:pPr>
      <w:r>
        <w:rPr>
          <w:rFonts w:hint="eastAsia" w:ascii="仿宋" w:hAnsi="仿宋" w:eastAsia="仿宋" w:cs="仿宋"/>
          <w:szCs w:val="21"/>
          <w:highlight w:val="none"/>
        </w:rPr>
        <w:t>项目概况</w:t>
      </w:r>
    </w:p>
    <w:p w14:paraId="6D9C55A4">
      <w:pPr>
        <w:pBdr>
          <w:top w:val="single" w:color="auto" w:sz="4" w:space="1"/>
          <w:left w:val="single" w:color="auto" w:sz="4" w:space="4"/>
          <w:bottom w:val="single" w:color="auto" w:sz="4" w:space="1"/>
          <w:right w:val="single" w:color="auto" w:sz="4" w:space="4"/>
        </w:pBdr>
        <w:spacing w:line="320" w:lineRule="exact"/>
        <w:ind w:firstLine="420" w:firstLineChars="200"/>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乌什县民政局2026年购买福利机构护理服务项</w:t>
      </w:r>
      <w:r>
        <w:rPr>
          <w:rFonts w:hint="eastAsia" w:ascii="仿宋" w:hAnsi="仿宋" w:eastAsia="仿宋" w:cs="仿宋"/>
          <w:szCs w:val="21"/>
          <w:highlight w:val="none"/>
          <w:lang w:val="en-US" w:eastAsia="zh-CN"/>
        </w:rPr>
        <w:t>目</w:t>
      </w:r>
      <w:r>
        <w:rPr>
          <w:rFonts w:hint="eastAsia" w:ascii="仿宋" w:hAnsi="仿宋" w:eastAsia="仿宋" w:cs="仿宋"/>
          <w:szCs w:val="21"/>
          <w:highlight w:val="none"/>
        </w:rPr>
        <w:t>的</w:t>
      </w:r>
      <w:bookmarkStart w:id="2" w:name="_Toc35393629"/>
      <w:bookmarkStart w:id="3" w:name="_Toc28359089"/>
      <w:bookmarkStart w:id="4" w:name="_Toc28359012"/>
      <w:bookmarkStart w:id="5" w:name="_Toc35393798"/>
      <w:r>
        <w:rPr>
          <w:rFonts w:hint="eastAsia" w:ascii="仿宋" w:hAnsi="仿宋" w:eastAsia="仿宋" w:cs="仿宋"/>
          <w:szCs w:val="21"/>
          <w:highlight w:val="none"/>
          <w:lang w:eastAsia="zh-CN"/>
        </w:rPr>
        <w:t>潜在投标人应在政采云平台http://www.zcygov.cn/获取招标文件，并于2026年</w:t>
      </w:r>
      <w:r>
        <w:rPr>
          <w:rFonts w:hint="eastAsia" w:ascii="仿宋" w:hAnsi="仿宋" w:eastAsia="仿宋" w:cs="仿宋"/>
          <w:szCs w:val="21"/>
          <w:highlight w:val="none"/>
          <w:lang w:val="en-US" w:eastAsia="zh-CN"/>
        </w:rPr>
        <w:t>06</w:t>
      </w:r>
      <w:r>
        <w:rPr>
          <w:rFonts w:hint="eastAsia" w:ascii="仿宋" w:hAnsi="仿宋" w:eastAsia="仿宋" w:cs="仿宋"/>
          <w:szCs w:val="21"/>
          <w:highlight w:val="none"/>
          <w:lang w:eastAsia="zh-CN"/>
        </w:rPr>
        <w:t>月</w:t>
      </w:r>
      <w:r>
        <w:rPr>
          <w:rFonts w:hint="eastAsia" w:ascii="仿宋" w:hAnsi="仿宋" w:eastAsia="仿宋" w:cs="仿宋"/>
          <w:szCs w:val="21"/>
          <w:highlight w:val="none"/>
          <w:lang w:val="en-US" w:eastAsia="zh-CN"/>
        </w:rPr>
        <w:t>08</w:t>
      </w:r>
      <w:r>
        <w:rPr>
          <w:rFonts w:hint="eastAsia" w:ascii="仿宋" w:hAnsi="仿宋" w:eastAsia="仿宋" w:cs="仿宋"/>
          <w:szCs w:val="21"/>
          <w:highlight w:val="none"/>
          <w:lang w:eastAsia="zh-CN"/>
        </w:rPr>
        <w:t>日1</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0</w:t>
      </w:r>
      <w:r>
        <w:rPr>
          <w:rFonts w:hint="eastAsia" w:ascii="仿宋" w:hAnsi="仿宋" w:eastAsia="仿宋" w:cs="仿宋"/>
          <w:szCs w:val="21"/>
          <w:highlight w:val="none"/>
          <w:lang w:eastAsia="zh-CN"/>
        </w:rPr>
        <w:t>0（北京时间）前递交投标文件。</w:t>
      </w:r>
    </w:p>
    <w:bookmarkEnd w:id="2"/>
    <w:bookmarkEnd w:id="3"/>
    <w:bookmarkEnd w:id="4"/>
    <w:bookmarkEnd w:id="5"/>
    <w:p w14:paraId="0260BAED">
      <w:pPr>
        <w:spacing w:line="360" w:lineRule="auto"/>
        <w:ind w:firstLine="420" w:firstLineChars="200"/>
        <w:outlineLvl w:val="9"/>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一、项目基本情况</w:t>
      </w:r>
    </w:p>
    <w:p w14:paraId="5A163B2C">
      <w:pPr>
        <w:spacing w:line="360" w:lineRule="auto"/>
        <w:ind w:firstLine="420" w:firstLineChars="200"/>
        <w:outlineLvl w:val="9"/>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rPr>
        <w:t>项目编号：</w:t>
      </w:r>
      <w:r>
        <w:rPr>
          <w:rFonts w:hint="eastAsia" w:ascii="仿宋" w:hAnsi="仿宋" w:eastAsia="仿宋" w:cs="仿宋"/>
          <w:kern w:val="0"/>
          <w:szCs w:val="21"/>
          <w:highlight w:val="none"/>
          <w:lang w:val="en-US" w:eastAsia="zh-CN"/>
        </w:rPr>
        <w:t>WSX[2026]-097</w:t>
      </w:r>
    </w:p>
    <w:p w14:paraId="05E18B78">
      <w:pPr>
        <w:spacing w:line="360" w:lineRule="auto"/>
        <w:ind w:firstLine="420" w:firstLineChars="200"/>
        <w:outlineLvl w:val="9"/>
        <w:rPr>
          <w:rFonts w:hint="eastAsia" w:ascii="仿宋" w:hAnsi="仿宋" w:eastAsia="仿宋" w:cs="仿宋"/>
          <w:szCs w:val="21"/>
          <w:highlight w:val="none"/>
          <w:lang w:eastAsia="zh-CN"/>
        </w:rPr>
      </w:pPr>
      <w:r>
        <w:rPr>
          <w:rFonts w:hint="eastAsia" w:ascii="仿宋" w:hAnsi="仿宋" w:eastAsia="仿宋" w:cs="仿宋"/>
          <w:kern w:val="0"/>
          <w:szCs w:val="21"/>
          <w:highlight w:val="none"/>
        </w:rPr>
        <w:t>项目名称：</w:t>
      </w:r>
      <w:r>
        <w:rPr>
          <w:rFonts w:hint="eastAsia" w:ascii="仿宋" w:hAnsi="仿宋" w:eastAsia="仿宋" w:cs="仿宋"/>
          <w:kern w:val="0"/>
          <w:szCs w:val="21"/>
          <w:highlight w:val="none"/>
          <w:lang w:eastAsia="zh-CN"/>
        </w:rPr>
        <w:t>乌什县民政局2026年购买福利机构护理服务项</w:t>
      </w:r>
      <w:r>
        <w:rPr>
          <w:rFonts w:hint="eastAsia" w:ascii="仿宋" w:hAnsi="仿宋" w:eastAsia="仿宋" w:cs="仿宋"/>
          <w:kern w:val="0"/>
          <w:szCs w:val="21"/>
          <w:highlight w:val="none"/>
          <w:lang w:val="en-US" w:eastAsia="zh-CN"/>
        </w:rPr>
        <w:t>目</w:t>
      </w:r>
    </w:p>
    <w:p w14:paraId="4987448D">
      <w:pPr>
        <w:spacing w:line="360" w:lineRule="auto"/>
        <w:ind w:firstLine="420" w:firstLineChars="200"/>
        <w:outlineLvl w:val="9"/>
        <w:rPr>
          <w:rFonts w:hint="eastAsia" w:ascii="仿宋" w:hAnsi="仿宋" w:eastAsia="仿宋" w:cs="仿宋"/>
          <w:szCs w:val="21"/>
          <w:highlight w:val="none"/>
        </w:rPr>
      </w:pPr>
      <w:r>
        <w:rPr>
          <w:rFonts w:hint="eastAsia" w:ascii="仿宋" w:hAnsi="仿宋" w:eastAsia="仿宋" w:cs="仿宋"/>
          <w:szCs w:val="21"/>
          <w:highlight w:val="none"/>
        </w:rPr>
        <w:t>采购方式：竞争性磋商</w:t>
      </w:r>
    </w:p>
    <w:p w14:paraId="0516608A">
      <w:pPr>
        <w:spacing w:line="360" w:lineRule="auto"/>
        <w:ind w:firstLine="420" w:firstLineChars="200"/>
        <w:outlineLvl w:val="9"/>
        <w:rPr>
          <w:rFonts w:hint="eastAsia" w:ascii="仿宋" w:hAnsi="仿宋" w:eastAsia="仿宋" w:cs="仿宋"/>
          <w:szCs w:val="21"/>
          <w:highlight w:val="none"/>
        </w:rPr>
      </w:pPr>
      <w:r>
        <w:rPr>
          <w:rFonts w:hint="eastAsia" w:ascii="仿宋" w:hAnsi="仿宋" w:eastAsia="仿宋" w:cs="仿宋"/>
          <w:szCs w:val="21"/>
          <w:highlight w:val="none"/>
        </w:rPr>
        <w:t>预算金额：</w:t>
      </w:r>
      <w:r>
        <w:rPr>
          <w:rFonts w:hint="eastAsia" w:ascii="仿宋" w:hAnsi="仿宋" w:eastAsia="仿宋" w:cs="仿宋"/>
          <w:szCs w:val="21"/>
          <w:highlight w:val="none"/>
          <w:lang w:val="en-US" w:eastAsia="zh-CN"/>
        </w:rPr>
        <w:t>1728000.00</w:t>
      </w:r>
      <w:r>
        <w:rPr>
          <w:rFonts w:hint="eastAsia" w:ascii="仿宋" w:hAnsi="仿宋" w:eastAsia="仿宋" w:cs="仿宋"/>
          <w:szCs w:val="21"/>
          <w:highlight w:val="none"/>
        </w:rPr>
        <w:t>元</w:t>
      </w:r>
    </w:p>
    <w:p w14:paraId="68FB8101">
      <w:pPr>
        <w:spacing w:line="360" w:lineRule="auto"/>
        <w:ind w:firstLine="420" w:firstLineChars="200"/>
        <w:outlineLvl w:val="9"/>
        <w:rPr>
          <w:rFonts w:hint="eastAsia" w:ascii="仿宋" w:hAnsi="仿宋" w:eastAsia="仿宋" w:cs="仿宋"/>
          <w:szCs w:val="21"/>
          <w:highlight w:val="none"/>
        </w:rPr>
      </w:pPr>
      <w:r>
        <w:rPr>
          <w:rFonts w:hint="eastAsia" w:ascii="仿宋" w:hAnsi="仿宋" w:eastAsia="仿宋" w:cs="仿宋"/>
          <w:szCs w:val="21"/>
          <w:highlight w:val="none"/>
        </w:rPr>
        <w:t>最高限价：</w:t>
      </w:r>
      <w:r>
        <w:rPr>
          <w:rFonts w:hint="eastAsia" w:ascii="仿宋" w:hAnsi="仿宋" w:eastAsia="仿宋" w:cs="仿宋"/>
          <w:szCs w:val="21"/>
          <w:highlight w:val="none"/>
          <w:lang w:val="en-US" w:eastAsia="zh-CN"/>
        </w:rPr>
        <w:t>1728000.00</w:t>
      </w:r>
      <w:r>
        <w:rPr>
          <w:rFonts w:hint="eastAsia" w:ascii="仿宋" w:hAnsi="仿宋" w:eastAsia="仿宋" w:cs="仿宋"/>
          <w:szCs w:val="21"/>
          <w:highlight w:val="none"/>
        </w:rPr>
        <w:t>元</w:t>
      </w:r>
    </w:p>
    <w:p w14:paraId="4569C489">
      <w:pPr>
        <w:spacing w:line="360" w:lineRule="auto"/>
        <w:ind w:left="1470" w:leftChars="200" w:hanging="1050" w:hangingChars="500"/>
        <w:outlineLvl w:val="9"/>
        <w:rPr>
          <w:rFonts w:hint="default" w:ascii="仿宋" w:hAnsi="仿宋" w:eastAsia="仿宋" w:cs="仿宋"/>
          <w:szCs w:val="21"/>
          <w:highlight w:val="none"/>
          <w:lang w:val="en-US" w:eastAsia="zh-CN"/>
        </w:rPr>
      </w:pPr>
      <w:r>
        <w:rPr>
          <w:rFonts w:hint="eastAsia" w:ascii="仿宋" w:hAnsi="仿宋" w:eastAsia="仿宋" w:cs="仿宋"/>
          <w:szCs w:val="21"/>
          <w:highlight w:val="none"/>
        </w:rPr>
        <w:t>采购需求：</w:t>
      </w:r>
      <w:r>
        <w:rPr>
          <w:rFonts w:hint="eastAsia" w:ascii="仿宋" w:hAnsi="仿宋" w:eastAsia="仿宋" w:cs="仿宋"/>
          <w:szCs w:val="21"/>
          <w:highlight w:val="none"/>
          <w:lang w:val="en-US" w:eastAsia="zh-CN"/>
        </w:rPr>
        <w:t>为</w:t>
      </w:r>
      <w:r>
        <w:rPr>
          <w:rFonts w:hint="eastAsia" w:ascii="仿宋" w:hAnsi="仿宋" w:eastAsia="仿宋" w:cs="仿宋"/>
          <w:szCs w:val="21"/>
          <w:highlight w:val="none"/>
        </w:rPr>
        <w:t>集中供养人员购买生活照料、健康护理、心理慰藉等服务</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详见采购需求）</w:t>
      </w:r>
    </w:p>
    <w:p w14:paraId="3D5F4448">
      <w:pPr>
        <w:spacing w:line="360" w:lineRule="auto"/>
        <w:ind w:firstLine="420" w:firstLineChars="200"/>
        <w:outlineLvl w:val="9"/>
        <w:rPr>
          <w:rFonts w:hint="eastAsia" w:ascii="仿宋" w:hAnsi="仿宋" w:eastAsia="仿宋" w:cs="仿宋"/>
          <w:kern w:val="0"/>
          <w:szCs w:val="21"/>
          <w:highlight w:val="none"/>
          <w:lang w:eastAsia="zh-CN"/>
        </w:rPr>
      </w:pPr>
      <w:r>
        <w:rPr>
          <w:rFonts w:hint="eastAsia" w:ascii="仿宋" w:hAnsi="仿宋" w:eastAsia="仿宋" w:cs="仿宋"/>
          <w:szCs w:val="21"/>
          <w:highlight w:val="none"/>
        </w:rPr>
        <w:t>合同履</w:t>
      </w:r>
      <w:r>
        <w:rPr>
          <w:rFonts w:hint="eastAsia" w:ascii="仿宋" w:hAnsi="仿宋" w:eastAsia="仿宋" w:cs="仿宋"/>
          <w:kern w:val="0"/>
          <w:szCs w:val="21"/>
          <w:highlight w:val="none"/>
        </w:rPr>
        <w:t>行期限：</w:t>
      </w:r>
      <w:r>
        <w:rPr>
          <w:rFonts w:hint="eastAsia" w:ascii="仿宋" w:hAnsi="仿宋" w:eastAsia="仿宋" w:cs="仿宋"/>
          <w:color w:val="auto"/>
          <w:kern w:val="0"/>
          <w:szCs w:val="21"/>
          <w:highlight w:val="none"/>
        </w:rPr>
        <w:t>以甲乙双方签订合同为准（具体履约期限及实施时间以采购人要求为准）</w:t>
      </w:r>
      <w:r>
        <w:rPr>
          <w:rFonts w:hint="eastAsia" w:ascii="仿宋" w:hAnsi="仿宋" w:eastAsia="仿宋" w:cs="仿宋"/>
          <w:color w:val="auto"/>
          <w:kern w:val="0"/>
          <w:szCs w:val="21"/>
          <w:highlight w:val="none"/>
          <w:lang w:eastAsia="zh-CN"/>
        </w:rPr>
        <w:t>。</w:t>
      </w:r>
    </w:p>
    <w:p w14:paraId="129DF0D6">
      <w:pPr>
        <w:spacing w:line="360" w:lineRule="auto"/>
        <w:ind w:firstLine="420" w:firstLineChars="200"/>
        <w:outlineLvl w:val="9"/>
        <w:rPr>
          <w:rFonts w:hint="eastAsia" w:ascii="仿宋" w:hAnsi="仿宋" w:eastAsia="仿宋" w:cs="仿宋"/>
          <w:kern w:val="0"/>
          <w:szCs w:val="21"/>
          <w:highlight w:val="none"/>
        </w:rPr>
      </w:pPr>
      <w:r>
        <w:rPr>
          <w:rFonts w:hint="eastAsia" w:ascii="仿宋" w:hAnsi="仿宋" w:eastAsia="仿宋" w:cs="仿宋"/>
          <w:kern w:val="0"/>
          <w:szCs w:val="21"/>
          <w:highlight w:val="none"/>
        </w:rPr>
        <w:t>本项目（否）接受联合体投标。</w:t>
      </w:r>
    </w:p>
    <w:p w14:paraId="282707D9">
      <w:pPr>
        <w:spacing w:line="360" w:lineRule="auto"/>
        <w:ind w:firstLine="420" w:firstLineChars="200"/>
        <w:outlineLvl w:val="9"/>
        <w:rPr>
          <w:rFonts w:hint="eastAsia" w:ascii="仿宋" w:hAnsi="仿宋" w:eastAsia="仿宋" w:cs="仿宋"/>
          <w:szCs w:val="21"/>
          <w:highlight w:val="none"/>
        </w:rPr>
      </w:pPr>
      <w:bookmarkStart w:id="6" w:name="_Toc35393630"/>
      <w:bookmarkStart w:id="7" w:name="_Toc35393799"/>
      <w:bookmarkStart w:id="8" w:name="_Toc28359013"/>
      <w:bookmarkStart w:id="9" w:name="_Toc28359090"/>
      <w:r>
        <w:rPr>
          <w:rFonts w:hint="eastAsia" w:ascii="仿宋" w:hAnsi="仿宋" w:eastAsia="仿宋" w:cs="仿宋"/>
          <w:b/>
          <w:bCs/>
          <w:kern w:val="0"/>
          <w:szCs w:val="21"/>
          <w:highlight w:val="none"/>
        </w:rPr>
        <w:t>二、申请</w:t>
      </w:r>
      <w:r>
        <w:rPr>
          <w:rFonts w:hint="eastAsia" w:ascii="仿宋" w:hAnsi="仿宋" w:eastAsia="仿宋" w:cs="仿宋"/>
          <w:b/>
          <w:bCs/>
          <w:szCs w:val="21"/>
          <w:highlight w:val="none"/>
        </w:rPr>
        <w:t>人的资格要求：</w:t>
      </w:r>
      <w:bookmarkEnd w:id="6"/>
      <w:bookmarkEnd w:id="7"/>
      <w:bookmarkEnd w:id="8"/>
      <w:bookmarkEnd w:id="9"/>
    </w:p>
    <w:p w14:paraId="0F6D47CD">
      <w:pPr>
        <w:spacing w:line="360" w:lineRule="auto"/>
        <w:ind w:firstLine="420" w:firstLineChars="200"/>
        <w:outlineLvl w:val="9"/>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1.满足《中华人民共和国政府采购法》第二十二条规定；</w:t>
      </w:r>
    </w:p>
    <w:p w14:paraId="398F0050">
      <w:pPr>
        <w:spacing w:line="360" w:lineRule="auto"/>
        <w:ind w:firstLine="420" w:firstLineChars="200"/>
        <w:outlineLvl w:val="9"/>
        <w:rPr>
          <w:rFonts w:hint="eastAsia" w:ascii="仿宋" w:hAnsi="仿宋" w:eastAsia="仿宋" w:cs="仿宋"/>
          <w:kern w:val="0"/>
          <w:szCs w:val="21"/>
          <w:highlight w:val="none"/>
          <w:lang w:val="en-US" w:eastAsia="zh-CN"/>
        </w:rPr>
      </w:pPr>
      <w:bookmarkStart w:id="10" w:name="_Toc28359014"/>
      <w:bookmarkStart w:id="11" w:name="_Toc28359091"/>
      <w:r>
        <w:rPr>
          <w:rFonts w:hint="eastAsia" w:ascii="仿宋" w:hAnsi="仿宋" w:eastAsia="仿宋" w:cs="仿宋"/>
          <w:kern w:val="0"/>
          <w:szCs w:val="21"/>
          <w:highlight w:val="none"/>
          <w:lang w:val="en-US" w:eastAsia="zh-CN"/>
        </w:rPr>
        <w:t>2.落实政府采购政策需满足的资格要求：标项1：本项目专门面向中小企业</w:t>
      </w:r>
    </w:p>
    <w:p w14:paraId="23DA8163">
      <w:pPr>
        <w:spacing w:line="360" w:lineRule="auto"/>
        <w:ind w:firstLine="420" w:firstLineChars="200"/>
        <w:outlineLvl w:val="9"/>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（1）财政部、国家发展改革委、生态环境部、市场监管总局《关于调整优化节能产品、环境标志产品政府采购执行机制的通知》（财库[2019]9号文）；</w:t>
      </w:r>
      <w:r>
        <w:rPr>
          <w:rFonts w:hint="eastAsia" w:ascii="仿宋" w:hAnsi="仿宋" w:eastAsia="仿宋" w:cs="仿宋"/>
          <w:kern w:val="0"/>
          <w:szCs w:val="21"/>
          <w:highlight w:val="none"/>
          <w:lang w:val="en-US" w:eastAsia="zh-CN"/>
        </w:rPr>
        <w:br w:type="textWrapping"/>
      </w:r>
      <w:r>
        <w:rPr>
          <w:rFonts w:hint="eastAsia" w:ascii="仿宋" w:hAnsi="仿宋" w:eastAsia="仿宋" w:cs="仿宋"/>
          <w:kern w:val="0"/>
          <w:szCs w:val="21"/>
          <w:highlight w:val="none"/>
          <w:lang w:val="en-US" w:eastAsia="zh-CN"/>
        </w:rPr>
        <w:t>（2）财政部、生态环境部《关于印发环境标志产品政府采购品目清单的通知》（财库[2019]18号文）；</w:t>
      </w:r>
      <w:r>
        <w:rPr>
          <w:rFonts w:hint="eastAsia" w:ascii="仿宋" w:hAnsi="仿宋" w:eastAsia="仿宋" w:cs="仿宋"/>
          <w:kern w:val="0"/>
          <w:szCs w:val="21"/>
          <w:highlight w:val="none"/>
          <w:lang w:val="en-US" w:eastAsia="zh-CN"/>
        </w:rPr>
        <w:br w:type="textWrapping"/>
      </w:r>
      <w:r>
        <w:rPr>
          <w:rFonts w:hint="eastAsia" w:ascii="仿宋" w:hAnsi="仿宋" w:eastAsia="仿宋" w:cs="仿宋"/>
          <w:kern w:val="0"/>
          <w:szCs w:val="21"/>
          <w:highlight w:val="none"/>
          <w:lang w:val="en-US" w:eastAsia="zh-CN"/>
        </w:rPr>
        <w:t>（3）财政部、发展改革委《关于印发节能产品政府采购品目清单的通知》（财库[2019]19号文）；</w:t>
      </w:r>
      <w:r>
        <w:rPr>
          <w:rFonts w:hint="eastAsia" w:ascii="仿宋" w:hAnsi="仿宋" w:eastAsia="仿宋" w:cs="仿宋"/>
          <w:kern w:val="0"/>
          <w:szCs w:val="21"/>
          <w:highlight w:val="none"/>
          <w:lang w:val="en-US" w:eastAsia="zh-CN"/>
        </w:rPr>
        <w:br w:type="textWrapping"/>
      </w:r>
      <w:r>
        <w:rPr>
          <w:rFonts w:hint="eastAsia" w:ascii="仿宋" w:hAnsi="仿宋" w:eastAsia="仿宋" w:cs="仿宋"/>
          <w:kern w:val="0"/>
          <w:szCs w:val="21"/>
          <w:highlight w:val="none"/>
          <w:lang w:val="en-US" w:eastAsia="zh-CN"/>
        </w:rPr>
        <w:t>（4）市场监管总局《市场监管总局关于发布参与实施政府采购节能产品、环境标志产品认证机构名录的公告》（2019年第16号）；</w:t>
      </w:r>
      <w:r>
        <w:rPr>
          <w:rFonts w:hint="eastAsia" w:ascii="仿宋" w:hAnsi="仿宋" w:eastAsia="仿宋" w:cs="仿宋"/>
          <w:kern w:val="0"/>
          <w:szCs w:val="21"/>
          <w:highlight w:val="none"/>
          <w:lang w:val="en-US" w:eastAsia="zh-CN"/>
        </w:rPr>
        <w:br w:type="textWrapping"/>
      </w:r>
      <w:r>
        <w:rPr>
          <w:rFonts w:hint="eastAsia" w:ascii="仿宋" w:hAnsi="仿宋" w:eastAsia="仿宋" w:cs="仿宋"/>
          <w:kern w:val="0"/>
          <w:szCs w:val="21"/>
          <w:highlight w:val="none"/>
          <w:lang w:val="en-US" w:eastAsia="zh-CN"/>
        </w:rPr>
        <w:t>（5）财政部、工业和信息化部《关于印发《政府采购促进中小企业发展管理办法》的通知》（财库[2020]46号文）；</w:t>
      </w:r>
      <w:r>
        <w:rPr>
          <w:rFonts w:hint="eastAsia" w:ascii="仿宋" w:hAnsi="仿宋" w:eastAsia="仿宋" w:cs="仿宋"/>
          <w:kern w:val="0"/>
          <w:szCs w:val="21"/>
          <w:highlight w:val="none"/>
          <w:lang w:val="en-US" w:eastAsia="zh-CN"/>
        </w:rPr>
        <w:br w:type="textWrapping"/>
      </w:r>
      <w:r>
        <w:rPr>
          <w:rFonts w:hint="eastAsia" w:ascii="仿宋" w:hAnsi="仿宋" w:eastAsia="仿宋" w:cs="仿宋"/>
          <w:kern w:val="0"/>
          <w:szCs w:val="21"/>
          <w:highlight w:val="none"/>
          <w:lang w:val="en-US" w:eastAsia="zh-CN"/>
        </w:rPr>
        <w:t>（6）财政部、民政部、中国残疾人联合会《关于促进残疾人就业政府采购政策的通知》（财库[2017]141号）。</w:t>
      </w:r>
    </w:p>
    <w:p w14:paraId="3B54A91F">
      <w:pPr>
        <w:spacing w:line="360" w:lineRule="auto"/>
        <w:ind w:firstLine="420" w:firstLineChars="200"/>
        <w:outlineLvl w:val="9"/>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3.本项目的特定资格要求：</w:t>
      </w:r>
      <w:bookmarkStart w:id="12" w:name="_Toc35393631"/>
      <w:bookmarkStart w:id="13" w:name="_Toc35393800"/>
      <w:r>
        <w:rPr>
          <w:rFonts w:hint="eastAsia" w:ascii="仿宋" w:hAnsi="仿宋" w:eastAsia="仿宋" w:cs="仿宋"/>
          <w:kern w:val="0"/>
          <w:szCs w:val="21"/>
          <w:highlight w:val="none"/>
          <w:lang w:val="en-US" w:eastAsia="zh-CN"/>
        </w:rPr>
        <w:t>无</w:t>
      </w:r>
    </w:p>
    <w:p w14:paraId="10B4AE09">
      <w:pPr>
        <w:spacing w:line="360" w:lineRule="auto"/>
        <w:ind w:firstLine="420" w:firstLineChars="200"/>
        <w:outlineLvl w:val="9"/>
        <w:rPr>
          <w:rFonts w:hint="eastAsia" w:ascii="仿宋" w:hAnsi="仿宋" w:eastAsia="仿宋" w:cs="仿宋"/>
          <w:b/>
          <w:bCs/>
          <w:szCs w:val="21"/>
          <w:highlight w:val="none"/>
        </w:rPr>
      </w:pPr>
      <w:r>
        <w:rPr>
          <w:rFonts w:hint="eastAsia" w:ascii="仿宋" w:hAnsi="仿宋" w:eastAsia="仿宋" w:cs="仿宋"/>
          <w:b/>
          <w:bCs/>
          <w:kern w:val="0"/>
          <w:szCs w:val="21"/>
          <w:highlight w:val="none"/>
        </w:rPr>
        <w:t>三、获取</w:t>
      </w:r>
      <w:bookmarkEnd w:id="10"/>
      <w:bookmarkEnd w:id="11"/>
      <w:bookmarkEnd w:id="12"/>
      <w:bookmarkEnd w:id="13"/>
      <w:r>
        <w:rPr>
          <w:rFonts w:hint="eastAsia" w:ascii="仿宋" w:hAnsi="仿宋" w:eastAsia="仿宋" w:cs="仿宋"/>
          <w:b/>
          <w:bCs/>
          <w:kern w:val="0"/>
          <w:szCs w:val="21"/>
          <w:highlight w:val="none"/>
        </w:rPr>
        <w:t>竞</w:t>
      </w:r>
      <w:r>
        <w:rPr>
          <w:rFonts w:hint="eastAsia" w:ascii="仿宋" w:hAnsi="仿宋" w:eastAsia="仿宋" w:cs="仿宋"/>
          <w:b/>
          <w:bCs/>
          <w:szCs w:val="21"/>
          <w:highlight w:val="none"/>
        </w:rPr>
        <w:t>争性磋商文件</w:t>
      </w:r>
    </w:p>
    <w:p w14:paraId="1F92D24B">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1、 时间：</w:t>
      </w:r>
      <w:r>
        <w:rPr>
          <w:rFonts w:hint="eastAsia" w:ascii="仿宋" w:hAnsi="仿宋" w:eastAsia="仿宋" w:cs="仿宋"/>
          <w:szCs w:val="21"/>
          <w:highlight w:val="none"/>
          <w:lang w:val="en-US" w:eastAsia="zh-CN"/>
        </w:rPr>
        <w:t>2026年06月26日至2026年06月05日</w:t>
      </w:r>
      <w:r>
        <w:rPr>
          <w:rFonts w:hint="eastAsia" w:ascii="仿宋" w:hAnsi="仿宋" w:eastAsia="仿宋" w:cs="仿宋"/>
          <w:kern w:val="0"/>
          <w:szCs w:val="21"/>
          <w:highlight w:val="none"/>
          <w:lang w:val="en-US" w:eastAsia="zh-CN"/>
        </w:rPr>
        <w:t>，每天上午00:00至14：00，下午14:00至23:59</w:t>
      </w:r>
      <w:r>
        <w:rPr>
          <w:rFonts w:hint="eastAsia" w:ascii="仿宋" w:hAnsi="仿宋" w:eastAsia="仿宋" w:cs="仿宋"/>
          <w:szCs w:val="21"/>
          <w:highlight w:val="none"/>
        </w:rPr>
        <w:t>（北京时间，法定节假日除外）</w:t>
      </w:r>
    </w:p>
    <w:p w14:paraId="176B8398">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2、地点：</w:t>
      </w:r>
      <w:r>
        <w:rPr>
          <w:rFonts w:hint="eastAsia" w:ascii="仿宋" w:hAnsi="仿宋" w:eastAsia="仿宋" w:cs="仿宋"/>
          <w:kern w:val="0"/>
          <w:szCs w:val="21"/>
          <w:highlight w:val="none"/>
          <w:lang w:val="en-US" w:eastAsia="zh-CN"/>
        </w:rPr>
        <w:t>政采云平台http://www.zcygov.cn/。</w:t>
      </w:r>
      <w:r>
        <w:rPr>
          <w:rFonts w:hint="eastAsia" w:ascii="仿宋" w:hAnsi="仿宋" w:eastAsia="仿宋" w:cs="仿宋"/>
          <w:szCs w:val="21"/>
          <w:highlight w:val="none"/>
        </w:rPr>
        <w:t> </w:t>
      </w:r>
    </w:p>
    <w:p w14:paraId="10CB08A0">
      <w:pPr>
        <w:spacing w:line="360" w:lineRule="auto"/>
        <w:ind w:firstLine="420" w:firstLineChars="200"/>
        <w:outlineLvl w:val="9"/>
        <w:rPr>
          <w:rFonts w:hint="eastAsia" w:ascii="仿宋" w:hAnsi="仿宋" w:eastAsia="仿宋" w:cs="仿宋"/>
          <w:szCs w:val="21"/>
          <w:highlight w:val="none"/>
          <w:lang w:eastAsia="zh-CN"/>
        </w:rPr>
      </w:pPr>
      <w:r>
        <w:rPr>
          <w:rFonts w:hint="eastAsia" w:ascii="仿宋" w:hAnsi="仿宋" w:eastAsia="仿宋" w:cs="仿宋"/>
          <w:szCs w:val="21"/>
          <w:highlight w:val="none"/>
        </w:rPr>
        <w:t>3、方式：供应商登陆政采云平台https://www.zcygov.cn/在线申请获取采购文件（进入“项目采购”应用，在获取采购文件菜单中选择项目，申请获取采购文件）</w:t>
      </w:r>
      <w:r>
        <w:rPr>
          <w:rFonts w:hint="eastAsia" w:ascii="仿宋" w:hAnsi="仿宋" w:eastAsia="仿宋" w:cs="仿宋"/>
          <w:szCs w:val="21"/>
          <w:highlight w:val="none"/>
          <w:lang w:eastAsia="zh-CN"/>
        </w:rPr>
        <w:t>。</w:t>
      </w:r>
    </w:p>
    <w:p w14:paraId="76C4F5AD">
      <w:pPr>
        <w:spacing w:line="360" w:lineRule="auto"/>
        <w:ind w:firstLine="420" w:firstLineChars="200"/>
        <w:outlineLvl w:val="9"/>
        <w:rPr>
          <w:rFonts w:hint="eastAsia" w:ascii="仿宋" w:hAnsi="仿宋" w:eastAsia="仿宋" w:cs="仿宋"/>
          <w:szCs w:val="21"/>
          <w:highlight w:val="none"/>
        </w:rPr>
      </w:pPr>
      <w:r>
        <w:rPr>
          <w:rFonts w:hint="eastAsia" w:ascii="仿宋" w:hAnsi="仿宋" w:eastAsia="仿宋" w:cs="仿宋"/>
          <w:szCs w:val="21"/>
          <w:highlight w:val="none"/>
        </w:rPr>
        <w:t>4、售价：0元</w:t>
      </w:r>
    </w:p>
    <w:p w14:paraId="05FA1A2E">
      <w:pPr>
        <w:spacing w:line="360" w:lineRule="auto"/>
        <w:ind w:firstLine="420" w:firstLineChars="200"/>
        <w:outlineLvl w:val="9"/>
        <w:rPr>
          <w:rFonts w:hint="eastAsia" w:ascii="仿宋" w:hAnsi="仿宋" w:eastAsia="仿宋" w:cs="仿宋"/>
          <w:kern w:val="0"/>
          <w:szCs w:val="21"/>
          <w:highlight w:val="none"/>
        </w:rPr>
      </w:pPr>
      <w:r>
        <w:rPr>
          <w:rFonts w:hint="eastAsia" w:ascii="仿宋" w:hAnsi="仿宋" w:eastAsia="仿宋" w:cs="仿宋"/>
          <w:b/>
          <w:bCs/>
          <w:kern w:val="0"/>
          <w:szCs w:val="21"/>
          <w:highlight w:val="none"/>
        </w:rPr>
        <w:t>四</w:t>
      </w:r>
      <w:r>
        <w:rPr>
          <w:rFonts w:hint="eastAsia" w:ascii="仿宋" w:hAnsi="仿宋" w:eastAsia="仿宋" w:cs="仿宋"/>
          <w:kern w:val="0"/>
          <w:szCs w:val="21"/>
          <w:highlight w:val="none"/>
        </w:rPr>
        <w:t>、提交投标文件截止时间、开标时间和地点</w:t>
      </w:r>
    </w:p>
    <w:p w14:paraId="7A47ABC5">
      <w:pPr>
        <w:spacing w:line="360" w:lineRule="auto"/>
        <w:ind w:firstLine="420" w:firstLineChars="200"/>
        <w:outlineLvl w:val="9"/>
        <w:rPr>
          <w:rFonts w:hint="eastAsia" w:ascii="仿宋" w:hAnsi="仿宋" w:eastAsia="仿宋" w:cs="仿宋"/>
          <w:szCs w:val="21"/>
          <w:highlight w:val="none"/>
        </w:rPr>
      </w:pPr>
      <w:r>
        <w:rPr>
          <w:rFonts w:hint="eastAsia" w:ascii="仿宋" w:hAnsi="仿宋" w:eastAsia="仿宋" w:cs="仿宋"/>
          <w:szCs w:val="21"/>
          <w:highlight w:val="none"/>
        </w:rPr>
        <w:t>截止时间：</w:t>
      </w:r>
      <w:r>
        <w:rPr>
          <w:rFonts w:hint="eastAsia" w:ascii="仿宋" w:hAnsi="仿宋" w:eastAsia="仿宋" w:cs="仿宋"/>
          <w:szCs w:val="21"/>
          <w:highlight w:val="none"/>
          <w:lang w:eastAsia="zh-CN"/>
        </w:rPr>
        <w:t>2026年</w:t>
      </w:r>
      <w:r>
        <w:rPr>
          <w:rFonts w:hint="eastAsia" w:ascii="仿宋" w:hAnsi="仿宋" w:eastAsia="仿宋" w:cs="仿宋"/>
          <w:szCs w:val="21"/>
          <w:highlight w:val="none"/>
          <w:lang w:val="en-US" w:eastAsia="zh-CN"/>
        </w:rPr>
        <w:t>06</w:t>
      </w:r>
      <w:r>
        <w:rPr>
          <w:rFonts w:hint="eastAsia" w:ascii="仿宋" w:hAnsi="仿宋" w:eastAsia="仿宋" w:cs="仿宋"/>
          <w:szCs w:val="21"/>
          <w:highlight w:val="none"/>
          <w:lang w:eastAsia="zh-CN"/>
        </w:rPr>
        <w:t>月</w:t>
      </w:r>
      <w:r>
        <w:rPr>
          <w:rFonts w:hint="eastAsia" w:ascii="仿宋" w:hAnsi="仿宋" w:eastAsia="仿宋" w:cs="仿宋"/>
          <w:szCs w:val="21"/>
          <w:highlight w:val="none"/>
          <w:lang w:val="en-US" w:eastAsia="zh-CN"/>
        </w:rPr>
        <w:t>08</w:t>
      </w:r>
      <w:r>
        <w:rPr>
          <w:rFonts w:hint="eastAsia" w:ascii="仿宋" w:hAnsi="仿宋" w:eastAsia="仿宋" w:cs="仿宋"/>
          <w:szCs w:val="21"/>
          <w:highlight w:val="none"/>
          <w:lang w:eastAsia="zh-CN"/>
        </w:rPr>
        <w:t>日1</w:t>
      </w:r>
      <w:r>
        <w:rPr>
          <w:rFonts w:hint="eastAsia" w:ascii="仿宋" w:hAnsi="仿宋" w:eastAsia="仿宋" w:cs="仿宋"/>
          <w:szCs w:val="21"/>
          <w:highlight w:val="none"/>
          <w:lang w:val="en-US" w:eastAsia="zh-CN"/>
        </w:rPr>
        <w:t>1:0</w:t>
      </w:r>
      <w:r>
        <w:rPr>
          <w:rFonts w:hint="eastAsia" w:ascii="仿宋" w:hAnsi="仿宋" w:eastAsia="仿宋" w:cs="仿宋"/>
          <w:szCs w:val="21"/>
          <w:highlight w:val="none"/>
          <w:lang w:eastAsia="zh-CN"/>
        </w:rPr>
        <w:t>0</w:t>
      </w:r>
      <w:r>
        <w:rPr>
          <w:rFonts w:hint="eastAsia" w:ascii="仿宋" w:hAnsi="仿宋" w:eastAsia="仿宋" w:cs="仿宋"/>
          <w:szCs w:val="21"/>
          <w:highlight w:val="none"/>
        </w:rPr>
        <w:t>（北京时间）</w:t>
      </w:r>
    </w:p>
    <w:p w14:paraId="56CE6EB4">
      <w:pPr>
        <w:spacing w:line="360" w:lineRule="auto"/>
        <w:ind w:firstLine="420" w:firstLineChars="200"/>
        <w:outlineLvl w:val="9"/>
        <w:rPr>
          <w:rFonts w:hint="eastAsia" w:ascii="仿宋" w:hAnsi="仿宋" w:eastAsia="仿宋" w:cs="仿宋"/>
          <w:szCs w:val="21"/>
          <w:highlight w:val="none"/>
        </w:rPr>
      </w:pPr>
      <w:r>
        <w:rPr>
          <w:rFonts w:hint="eastAsia" w:ascii="仿宋" w:hAnsi="仿宋" w:eastAsia="仿宋" w:cs="仿宋"/>
          <w:szCs w:val="21"/>
          <w:highlight w:val="none"/>
        </w:rPr>
        <w:t>投标地点：在政府采购云平台(www.zcygov.cn)上开启投标文件</w:t>
      </w:r>
      <w:bookmarkStart w:id="409" w:name="_GoBack"/>
      <w:bookmarkEnd w:id="409"/>
    </w:p>
    <w:p w14:paraId="07387AB6">
      <w:pPr>
        <w:spacing w:line="360" w:lineRule="auto"/>
        <w:ind w:firstLine="420" w:firstLineChars="200"/>
        <w:outlineLvl w:val="9"/>
        <w:rPr>
          <w:rFonts w:hint="eastAsia" w:ascii="仿宋" w:hAnsi="仿宋" w:eastAsia="仿宋" w:cs="仿宋"/>
          <w:szCs w:val="21"/>
          <w:highlight w:val="none"/>
        </w:rPr>
      </w:pPr>
      <w:r>
        <w:rPr>
          <w:rFonts w:hint="eastAsia" w:ascii="仿宋" w:hAnsi="仿宋" w:eastAsia="仿宋" w:cs="仿宋"/>
          <w:szCs w:val="21"/>
          <w:highlight w:val="none"/>
        </w:rPr>
        <w:t>开标时间：</w:t>
      </w:r>
      <w:r>
        <w:rPr>
          <w:rFonts w:hint="eastAsia" w:ascii="仿宋" w:hAnsi="仿宋" w:eastAsia="仿宋" w:cs="仿宋"/>
          <w:szCs w:val="21"/>
          <w:highlight w:val="none"/>
          <w:lang w:eastAsia="zh-CN"/>
        </w:rPr>
        <w:t>2026年</w:t>
      </w:r>
      <w:r>
        <w:rPr>
          <w:rFonts w:hint="eastAsia" w:ascii="仿宋" w:hAnsi="仿宋" w:eastAsia="仿宋" w:cs="仿宋"/>
          <w:szCs w:val="21"/>
          <w:highlight w:val="none"/>
          <w:lang w:val="en-US" w:eastAsia="zh-CN"/>
        </w:rPr>
        <w:t>06</w:t>
      </w:r>
      <w:r>
        <w:rPr>
          <w:rFonts w:hint="eastAsia" w:ascii="仿宋" w:hAnsi="仿宋" w:eastAsia="仿宋" w:cs="仿宋"/>
          <w:szCs w:val="21"/>
          <w:highlight w:val="none"/>
          <w:lang w:eastAsia="zh-CN"/>
        </w:rPr>
        <w:t>月</w:t>
      </w:r>
      <w:r>
        <w:rPr>
          <w:rFonts w:hint="eastAsia" w:ascii="仿宋" w:hAnsi="仿宋" w:eastAsia="仿宋" w:cs="仿宋"/>
          <w:szCs w:val="21"/>
          <w:highlight w:val="none"/>
          <w:lang w:val="en-US" w:eastAsia="zh-CN"/>
        </w:rPr>
        <w:t>08</w:t>
      </w:r>
      <w:r>
        <w:rPr>
          <w:rFonts w:hint="eastAsia" w:ascii="仿宋" w:hAnsi="仿宋" w:eastAsia="仿宋" w:cs="仿宋"/>
          <w:szCs w:val="21"/>
          <w:highlight w:val="none"/>
          <w:lang w:eastAsia="zh-CN"/>
        </w:rPr>
        <w:t>日1</w:t>
      </w:r>
      <w:r>
        <w:rPr>
          <w:rFonts w:hint="eastAsia" w:ascii="仿宋" w:hAnsi="仿宋" w:eastAsia="仿宋" w:cs="仿宋"/>
          <w:szCs w:val="21"/>
          <w:highlight w:val="none"/>
          <w:lang w:val="en-US" w:eastAsia="zh-CN"/>
        </w:rPr>
        <w:t>1:0</w:t>
      </w:r>
      <w:r>
        <w:rPr>
          <w:rFonts w:hint="eastAsia" w:ascii="仿宋" w:hAnsi="仿宋" w:eastAsia="仿宋" w:cs="仿宋"/>
          <w:szCs w:val="21"/>
          <w:highlight w:val="none"/>
          <w:lang w:eastAsia="zh-CN"/>
        </w:rPr>
        <w:t>0</w:t>
      </w:r>
      <w:r>
        <w:rPr>
          <w:rFonts w:hint="eastAsia" w:ascii="仿宋" w:hAnsi="仿宋" w:eastAsia="仿宋" w:cs="仿宋"/>
          <w:szCs w:val="21"/>
          <w:highlight w:val="none"/>
        </w:rPr>
        <w:t>（北京时间）</w:t>
      </w:r>
    </w:p>
    <w:p w14:paraId="2AF96BDE">
      <w:pPr>
        <w:spacing w:line="360" w:lineRule="auto"/>
        <w:ind w:firstLine="420" w:firstLineChars="200"/>
        <w:outlineLvl w:val="9"/>
        <w:rPr>
          <w:rFonts w:ascii="仿宋" w:hAnsi="仿宋" w:eastAsia="仿宋" w:cs="仿宋"/>
          <w:i w:val="0"/>
          <w:iCs w:val="0"/>
          <w:caps w:val="0"/>
          <w:color w:val="000000"/>
          <w:spacing w:val="0"/>
          <w:sz w:val="27"/>
          <w:szCs w:val="27"/>
        </w:rPr>
      </w:pPr>
      <w:r>
        <w:rPr>
          <w:rFonts w:hint="eastAsia" w:ascii="仿宋" w:hAnsi="仿宋" w:eastAsia="仿宋" w:cs="仿宋"/>
          <w:szCs w:val="21"/>
          <w:highlight w:val="none"/>
        </w:rPr>
        <w:t>开标地点：</w:t>
      </w:r>
      <w:bookmarkStart w:id="14" w:name="_Toc28359017"/>
      <w:bookmarkStart w:id="15" w:name="_Toc28359094"/>
      <w:bookmarkStart w:id="16" w:name="_Toc35393803"/>
      <w:bookmarkStart w:id="17" w:name="_Toc35393634"/>
      <w:r>
        <w:rPr>
          <w:rFonts w:hint="eastAsia" w:ascii="仿宋" w:hAnsi="仿宋" w:eastAsia="仿宋" w:cs="仿宋"/>
          <w:szCs w:val="21"/>
          <w:highlight w:val="none"/>
        </w:rPr>
        <w:t>投标人登录政采云平台https://www.zcygov.cn/，进入“项目采购-开标评标-右边选择对应项目点击“进入项目”进入开标大厅。</w:t>
      </w:r>
    </w:p>
    <w:p w14:paraId="683433B3">
      <w:pPr>
        <w:spacing w:line="360" w:lineRule="auto"/>
        <w:ind w:firstLine="420" w:firstLineChars="200"/>
        <w:outlineLvl w:val="9"/>
        <w:rPr>
          <w:rFonts w:hint="eastAsia" w:ascii="仿宋" w:hAnsi="仿宋" w:eastAsia="仿宋" w:cs="仿宋"/>
          <w:kern w:val="0"/>
          <w:szCs w:val="21"/>
          <w:highlight w:val="none"/>
        </w:rPr>
      </w:pPr>
      <w:r>
        <w:rPr>
          <w:rFonts w:hint="eastAsia" w:ascii="仿宋" w:hAnsi="仿宋" w:eastAsia="仿宋" w:cs="仿宋"/>
          <w:b/>
          <w:bCs/>
          <w:kern w:val="0"/>
          <w:szCs w:val="21"/>
          <w:highlight w:val="none"/>
        </w:rPr>
        <w:t>五、公告期限</w:t>
      </w:r>
      <w:bookmarkEnd w:id="14"/>
      <w:bookmarkEnd w:id="15"/>
      <w:bookmarkEnd w:id="16"/>
      <w:bookmarkEnd w:id="17"/>
    </w:p>
    <w:p w14:paraId="7BCB8D45">
      <w:pPr>
        <w:spacing w:line="360" w:lineRule="auto"/>
        <w:ind w:firstLine="420" w:firstLineChars="200"/>
        <w:outlineLvl w:val="9"/>
        <w:rPr>
          <w:rFonts w:hint="eastAsia" w:ascii="仿宋" w:hAnsi="仿宋" w:eastAsia="仿宋" w:cs="仿宋"/>
          <w:kern w:val="0"/>
          <w:szCs w:val="21"/>
          <w:highlight w:val="none"/>
        </w:rPr>
      </w:pPr>
      <w:r>
        <w:rPr>
          <w:rFonts w:hint="eastAsia" w:ascii="仿宋" w:hAnsi="仿宋" w:eastAsia="仿宋" w:cs="仿宋"/>
          <w:kern w:val="0"/>
          <w:szCs w:val="21"/>
          <w:highlight w:val="none"/>
        </w:rPr>
        <w:t>自本公告发布之日起3个工作日。</w:t>
      </w:r>
    </w:p>
    <w:p w14:paraId="3B8843EA">
      <w:pPr>
        <w:spacing w:line="360" w:lineRule="auto"/>
        <w:ind w:firstLine="420" w:firstLineChars="200"/>
        <w:outlineLvl w:val="9"/>
        <w:rPr>
          <w:rFonts w:hint="eastAsia" w:ascii="仿宋" w:hAnsi="仿宋" w:eastAsia="仿宋" w:cs="仿宋"/>
          <w:b/>
          <w:bCs/>
          <w:szCs w:val="21"/>
          <w:highlight w:val="none"/>
        </w:rPr>
      </w:pPr>
      <w:bookmarkStart w:id="18" w:name="_Toc35393804"/>
      <w:bookmarkStart w:id="19" w:name="_Toc35393635"/>
      <w:r>
        <w:rPr>
          <w:rFonts w:hint="eastAsia" w:ascii="仿宋" w:hAnsi="仿宋" w:eastAsia="仿宋" w:cs="仿宋"/>
          <w:b/>
          <w:bCs/>
          <w:szCs w:val="21"/>
          <w:highlight w:val="none"/>
        </w:rPr>
        <w:t>六、其他补充事宜</w:t>
      </w:r>
      <w:bookmarkEnd w:id="18"/>
      <w:bookmarkEnd w:id="19"/>
    </w:p>
    <w:p w14:paraId="59BA8DBA">
      <w:pPr>
        <w:spacing w:line="240" w:lineRule="auto"/>
        <w:ind w:firstLine="420" w:firstLineChars="200"/>
        <w:outlineLvl w:val="9"/>
        <w:rPr>
          <w:rFonts w:hint="eastAsia" w:ascii="仿宋" w:hAnsi="仿宋" w:eastAsia="仿宋" w:cs="仿宋"/>
          <w:szCs w:val="21"/>
          <w:highlight w:val="none"/>
        </w:rPr>
      </w:pPr>
      <w:r>
        <w:rPr>
          <w:rFonts w:hint="eastAsia" w:ascii="仿宋" w:hAnsi="仿宋" w:eastAsia="仿宋" w:cs="仿宋"/>
          <w:szCs w:val="21"/>
          <w:highlight w:val="none"/>
        </w:rPr>
        <w:t>1.本项目采用全流程不见面电子开评标，投标供应商需要使用CA加密设备，供应商可通过新疆数字证书认证中心官网（https://www.xjca.com.cn/）或下载“新疆政务通”APP自行进行申领。</w:t>
      </w:r>
    </w:p>
    <w:p w14:paraId="4243E651">
      <w:pPr>
        <w:spacing w:line="240" w:lineRule="auto"/>
        <w:ind w:firstLine="420" w:firstLineChars="200"/>
        <w:outlineLvl w:val="9"/>
        <w:rPr>
          <w:rFonts w:hint="eastAsia" w:ascii="仿宋" w:hAnsi="仿宋" w:eastAsia="仿宋" w:cs="仿宋"/>
          <w:szCs w:val="21"/>
          <w:highlight w:val="none"/>
        </w:rPr>
      </w:pPr>
      <w:r>
        <w:rPr>
          <w:rFonts w:hint="eastAsia" w:ascii="仿宋" w:hAnsi="仿宋" w:eastAsia="仿宋" w:cs="仿宋"/>
          <w:szCs w:val="21"/>
          <w:highlight w:val="none"/>
        </w:rPr>
        <w:t>2.本项目实行网上投标，采用加密电子投标文件(供应商须使用CA加密设备通过政采云电子投标客户端制作投标文件)。若供应商参与投标，自行承担投标一切费用。</w:t>
      </w:r>
    </w:p>
    <w:p w14:paraId="16AED03A">
      <w:pPr>
        <w:spacing w:line="240" w:lineRule="auto"/>
        <w:ind w:firstLine="420" w:firstLineChars="200"/>
        <w:outlineLvl w:val="9"/>
        <w:rPr>
          <w:rFonts w:hint="eastAsia" w:ascii="仿宋" w:hAnsi="仿宋" w:eastAsia="仿宋" w:cs="仿宋"/>
          <w:szCs w:val="21"/>
          <w:highlight w:val="none"/>
        </w:rPr>
      </w:pPr>
      <w:r>
        <w:rPr>
          <w:rFonts w:hint="eastAsia" w:ascii="仿宋" w:hAnsi="仿宋" w:eastAsia="仿宋" w:cs="仿宋"/>
          <w:szCs w:val="21"/>
          <w:highlight w:val="none"/>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14:paraId="17C8E910">
      <w:pPr>
        <w:spacing w:line="240" w:lineRule="auto"/>
        <w:ind w:firstLine="420" w:firstLineChars="200"/>
        <w:outlineLvl w:val="9"/>
        <w:rPr>
          <w:rFonts w:hint="eastAsia" w:ascii="仿宋" w:hAnsi="仿宋" w:eastAsia="仿宋" w:cs="仿宋"/>
          <w:szCs w:val="21"/>
          <w:highlight w:val="none"/>
        </w:rPr>
      </w:pPr>
      <w:r>
        <w:rPr>
          <w:rFonts w:hint="eastAsia" w:ascii="仿宋" w:hAnsi="仿宋" w:eastAsia="仿宋" w:cs="仿宋"/>
          <w:szCs w:val="21"/>
          <w:highlight w:val="none"/>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14:paraId="3AB70C81">
      <w:pPr>
        <w:spacing w:line="240" w:lineRule="auto"/>
        <w:ind w:firstLine="420" w:firstLineChars="200"/>
        <w:outlineLvl w:val="9"/>
        <w:rPr>
          <w:rFonts w:hint="eastAsia" w:ascii="仿宋" w:hAnsi="仿宋" w:eastAsia="仿宋" w:cs="仿宋"/>
          <w:szCs w:val="21"/>
          <w:highlight w:val="none"/>
        </w:rPr>
      </w:pPr>
      <w:r>
        <w:rPr>
          <w:rFonts w:hint="eastAsia" w:ascii="仿宋" w:hAnsi="仿宋" w:eastAsia="仿宋" w:cs="仿宋"/>
          <w:szCs w:val="21"/>
          <w:highlight w:val="none"/>
        </w:rPr>
        <w:t>5.供应商在开标时须使用制作加密电子投标文件所使用的CA锁及电脑，电脑须提前配置好浏览器（建议使用谷歌浏览器），以便开标时解锁。</w:t>
      </w:r>
    </w:p>
    <w:p w14:paraId="01C42832">
      <w:pPr>
        <w:spacing w:line="240" w:lineRule="auto"/>
        <w:ind w:firstLine="420" w:firstLineChars="200"/>
        <w:outlineLvl w:val="9"/>
        <w:rPr>
          <w:rFonts w:hint="eastAsia" w:ascii="仿宋" w:hAnsi="仿宋" w:eastAsia="仿宋" w:cs="仿宋"/>
          <w:szCs w:val="21"/>
          <w:highlight w:val="none"/>
        </w:rPr>
      </w:pPr>
      <w:r>
        <w:rPr>
          <w:rFonts w:hint="eastAsia" w:ascii="仿宋" w:hAnsi="仿宋" w:eastAsia="仿宋" w:cs="仿宋"/>
          <w:szCs w:val="21"/>
          <w:highlight w:val="none"/>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14:paraId="097F6982">
      <w:pPr>
        <w:spacing w:line="240" w:lineRule="auto"/>
        <w:ind w:firstLine="420" w:firstLineChars="200"/>
        <w:outlineLvl w:val="9"/>
        <w:rPr>
          <w:rFonts w:hint="eastAsia" w:ascii="仿宋" w:hAnsi="仿宋" w:eastAsia="仿宋" w:cs="仿宋"/>
          <w:szCs w:val="21"/>
          <w:highlight w:val="none"/>
        </w:rPr>
      </w:pPr>
      <w:r>
        <w:rPr>
          <w:rFonts w:hint="eastAsia" w:ascii="仿宋" w:hAnsi="仿宋" w:eastAsia="仿宋" w:cs="仿宋"/>
          <w:szCs w:val="21"/>
          <w:highlight w:val="none"/>
        </w:rPr>
        <w:t>7.为了保证开评标顺利进行，政采云线上开标功能完全实现，供应商开标所使用的电脑设备须具有视频及语音功能。</w:t>
      </w:r>
    </w:p>
    <w:p w14:paraId="118CA3E2">
      <w:pPr>
        <w:spacing w:line="360" w:lineRule="auto"/>
        <w:ind w:firstLine="420" w:firstLineChars="200"/>
        <w:outlineLvl w:val="9"/>
        <w:rPr>
          <w:rFonts w:hint="eastAsia" w:ascii="仿宋" w:hAnsi="仿宋" w:eastAsia="仿宋" w:cs="仿宋"/>
          <w:szCs w:val="21"/>
          <w:highlight w:val="none"/>
        </w:rPr>
      </w:pPr>
      <w:r>
        <w:rPr>
          <w:rFonts w:hint="eastAsia" w:ascii="仿宋" w:hAnsi="仿宋" w:eastAsia="仿宋" w:cs="仿宋"/>
          <w:szCs w:val="21"/>
          <w:highlight w:val="none"/>
        </w:rPr>
        <w:t>特别提示：</w:t>
      </w:r>
    </w:p>
    <w:p w14:paraId="4DBBDDE2">
      <w:pPr>
        <w:spacing w:line="360" w:lineRule="auto"/>
        <w:ind w:firstLine="420" w:firstLineChars="200"/>
        <w:outlineLvl w:val="9"/>
        <w:rPr>
          <w:rFonts w:hint="eastAsia" w:ascii="仿宋" w:hAnsi="仿宋" w:eastAsia="仿宋" w:cs="仿宋"/>
          <w:b w:val="0"/>
          <w:bCs w:val="0"/>
          <w:kern w:val="0"/>
          <w:szCs w:val="21"/>
          <w:highlight w:val="none"/>
        </w:rPr>
      </w:pPr>
      <w:bookmarkStart w:id="20" w:name="_Toc28359018"/>
      <w:bookmarkStart w:id="21" w:name="_Toc35393805"/>
      <w:bookmarkStart w:id="22" w:name="_Toc35393636"/>
      <w:bookmarkStart w:id="23" w:name="_Toc28359095"/>
      <w:r>
        <w:rPr>
          <w:rFonts w:hint="eastAsia" w:ascii="仿宋" w:hAnsi="仿宋" w:eastAsia="仿宋" w:cs="仿宋"/>
          <w:b w:val="0"/>
          <w:bCs w:val="0"/>
          <w:kern w:val="0"/>
          <w:szCs w:val="21"/>
          <w:highlight w:val="none"/>
        </w:rPr>
        <w:t>1、采购限额标准以上，200万元以下的货物和服务采购项目、400万元以下的工程采购项目，适宜由中小企业提供的，采购人应当专门面向中小企业采购。</w:t>
      </w:r>
    </w:p>
    <w:p w14:paraId="640E4E19">
      <w:pPr>
        <w:spacing w:line="360" w:lineRule="auto"/>
        <w:ind w:firstLine="420" w:firstLineChars="200"/>
        <w:outlineLvl w:val="9"/>
        <w:rPr>
          <w:rFonts w:hint="eastAsia" w:ascii="仿宋" w:hAnsi="仿宋" w:eastAsia="仿宋" w:cs="仿宋"/>
          <w:b w:val="0"/>
          <w:bCs w:val="0"/>
          <w:kern w:val="0"/>
          <w:szCs w:val="21"/>
          <w:highlight w:val="none"/>
        </w:rPr>
      </w:pPr>
      <w:r>
        <w:rPr>
          <w:rFonts w:hint="eastAsia" w:ascii="仿宋" w:hAnsi="仿宋" w:eastAsia="仿宋" w:cs="仿宋"/>
          <w:b w:val="0"/>
          <w:bCs w:val="0"/>
          <w:kern w:val="0"/>
          <w:szCs w:val="21"/>
          <w:highlight w:val="none"/>
        </w:rPr>
        <w:t>2、超过200万元的货物和服务采购项目，预留该部分采购项目预算总额的30%以上专门面向中小企业采购，其中预留给小微企业的比例不低于60%。</w:t>
      </w:r>
    </w:p>
    <w:p w14:paraId="604E5130">
      <w:pPr>
        <w:spacing w:line="360" w:lineRule="auto"/>
        <w:ind w:firstLine="420" w:firstLineChars="200"/>
        <w:outlineLvl w:val="9"/>
        <w:rPr>
          <w:rFonts w:hint="eastAsia" w:ascii="仿宋" w:hAnsi="仿宋" w:eastAsia="仿宋" w:cs="仿宋"/>
          <w:b w:val="0"/>
          <w:bCs w:val="0"/>
          <w:kern w:val="0"/>
          <w:szCs w:val="21"/>
          <w:highlight w:val="none"/>
        </w:rPr>
      </w:pPr>
      <w:r>
        <w:rPr>
          <w:rFonts w:hint="eastAsia" w:ascii="仿宋" w:hAnsi="仿宋" w:eastAsia="仿宋" w:cs="仿宋"/>
          <w:b w:val="0"/>
          <w:bCs w:val="0"/>
          <w:kern w:val="0"/>
          <w:szCs w:val="21"/>
          <w:highlight w:val="none"/>
        </w:rPr>
        <w:t>3、超过400万元的工程采购项目中适宜由中小企业提供的，预留该部分采购项目预算总额的40%以上专门面向中小企业采购，其中预留给小微企业的比例不低于60%。</w:t>
      </w:r>
    </w:p>
    <w:p w14:paraId="66F7E34C">
      <w:pPr>
        <w:spacing w:line="360" w:lineRule="auto"/>
        <w:ind w:firstLine="420" w:firstLineChars="200"/>
        <w:outlineLvl w:val="9"/>
        <w:rPr>
          <w:rFonts w:hint="eastAsia" w:ascii="仿宋" w:hAnsi="仿宋" w:eastAsia="仿宋" w:cs="仿宋"/>
          <w:b w:val="0"/>
          <w:bCs w:val="0"/>
          <w:kern w:val="0"/>
          <w:szCs w:val="21"/>
          <w:highlight w:val="none"/>
        </w:rPr>
      </w:pPr>
      <w:r>
        <w:rPr>
          <w:rFonts w:hint="eastAsia" w:ascii="仿宋" w:hAnsi="仿宋" w:eastAsia="仿宋" w:cs="仿宋"/>
          <w:b w:val="0"/>
          <w:bCs w:val="0"/>
          <w:kern w:val="0"/>
          <w:szCs w:val="21"/>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BB04234">
      <w:pPr>
        <w:spacing w:line="360" w:lineRule="auto"/>
        <w:ind w:firstLine="420" w:firstLineChars="200"/>
        <w:outlineLvl w:val="9"/>
        <w:rPr>
          <w:rFonts w:hint="eastAsia" w:ascii="仿宋" w:hAnsi="仿宋" w:eastAsia="仿宋" w:cs="仿宋"/>
          <w:b w:val="0"/>
          <w:bCs w:val="0"/>
          <w:kern w:val="0"/>
          <w:szCs w:val="21"/>
          <w:highlight w:val="none"/>
        </w:rPr>
      </w:pPr>
      <w:r>
        <w:rPr>
          <w:rFonts w:hint="eastAsia" w:ascii="仿宋" w:hAnsi="仿宋" w:eastAsia="仿宋" w:cs="仿宋"/>
          <w:b w:val="0"/>
          <w:bCs w:val="0"/>
          <w:kern w:val="0"/>
          <w:szCs w:val="21"/>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0B00BE4">
      <w:pPr>
        <w:spacing w:line="360" w:lineRule="auto"/>
        <w:ind w:firstLine="420" w:firstLineChars="200"/>
        <w:outlineLvl w:val="9"/>
        <w:rPr>
          <w:rFonts w:hint="eastAsia" w:ascii="仿宋" w:hAnsi="仿宋" w:eastAsia="仿宋" w:cs="仿宋"/>
          <w:b/>
          <w:bCs/>
          <w:szCs w:val="21"/>
          <w:highlight w:val="none"/>
        </w:rPr>
      </w:pPr>
      <w:r>
        <w:rPr>
          <w:rFonts w:hint="eastAsia" w:ascii="仿宋" w:hAnsi="仿宋" w:eastAsia="仿宋" w:cs="仿宋"/>
          <w:szCs w:val="21"/>
          <w:highlight w:val="none"/>
        </w:rPr>
        <w:t>七、凡对本次采购提出询问，请按以下方式联系。</w:t>
      </w:r>
      <w:bookmarkEnd w:id="20"/>
      <w:bookmarkEnd w:id="21"/>
      <w:bookmarkEnd w:id="22"/>
      <w:bookmarkEnd w:id="23"/>
    </w:p>
    <w:p w14:paraId="1FD7F79A">
      <w:pPr>
        <w:spacing w:line="360" w:lineRule="auto"/>
        <w:ind w:firstLine="420" w:firstLineChars="200"/>
        <w:outlineLvl w:val="9"/>
        <w:rPr>
          <w:rFonts w:hint="eastAsia" w:ascii="仿宋" w:hAnsi="仿宋" w:eastAsia="仿宋" w:cs="仿宋"/>
          <w:szCs w:val="21"/>
          <w:highlight w:val="none"/>
        </w:rPr>
      </w:pPr>
      <w:r>
        <w:rPr>
          <w:rFonts w:hint="eastAsia" w:ascii="仿宋" w:hAnsi="仿宋" w:eastAsia="仿宋" w:cs="仿宋"/>
          <w:szCs w:val="21"/>
          <w:highlight w:val="none"/>
        </w:rPr>
        <w:t>1.采购人信息</w:t>
      </w:r>
    </w:p>
    <w:p w14:paraId="35AA8B2F">
      <w:pPr>
        <w:spacing w:line="360" w:lineRule="auto"/>
        <w:ind w:firstLine="420" w:firstLineChars="200"/>
        <w:outlineLvl w:val="9"/>
        <w:rPr>
          <w:rFonts w:hint="eastAsia" w:ascii="仿宋" w:hAnsi="仿宋" w:eastAsia="仿宋" w:cs="仿宋"/>
          <w:szCs w:val="21"/>
          <w:highlight w:val="none"/>
          <w:lang w:eastAsia="zh-CN"/>
        </w:rPr>
      </w:pPr>
      <w:r>
        <w:rPr>
          <w:rFonts w:hint="eastAsia" w:ascii="仿宋" w:hAnsi="仿宋" w:eastAsia="仿宋" w:cs="仿宋"/>
          <w:szCs w:val="21"/>
          <w:highlight w:val="none"/>
        </w:rPr>
        <w:t>名 称：</w:t>
      </w:r>
      <w:r>
        <w:rPr>
          <w:rFonts w:hint="eastAsia" w:ascii="仿宋" w:hAnsi="仿宋" w:eastAsia="仿宋" w:cs="仿宋"/>
          <w:szCs w:val="21"/>
          <w:highlight w:val="none"/>
          <w:lang w:eastAsia="zh-CN"/>
        </w:rPr>
        <w:t>乌什县民政局</w:t>
      </w:r>
    </w:p>
    <w:p w14:paraId="465FDC7B">
      <w:pPr>
        <w:spacing w:line="360" w:lineRule="auto"/>
        <w:ind w:firstLine="420" w:firstLineChars="200"/>
        <w:outlineLvl w:val="9"/>
        <w:rPr>
          <w:rFonts w:hint="eastAsia" w:ascii="仿宋" w:hAnsi="仿宋" w:eastAsia="仿宋" w:cs="仿宋"/>
          <w:szCs w:val="21"/>
          <w:highlight w:val="none"/>
        </w:rPr>
      </w:pPr>
      <w:r>
        <w:rPr>
          <w:rFonts w:hint="eastAsia" w:ascii="仿宋" w:hAnsi="仿宋" w:eastAsia="仿宋" w:cs="仿宋"/>
          <w:szCs w:val="21"/>
          <w:highlight w:val="none"/>
        </w:rPr>
        <w:t>地 址：新疆阿克苏地区乌什县胜利路 63 号（环保、档案综合大楼 2 楼）</w:t>
      </w:r>
    </w:p>
    <w:p w14:paraId="30A86DCC">
      <w:pPr>
        <w:spacing w:line="360" w:lineRule="auto"/>
        <w:ind w:firstLine="420" w:firstLineChars="200"/>
        <w:outlineLvl w:val="9"/>
        <w:rPr>
          <w:rFonts w:hint="eastAsia" w:ascii="仿宋" w:hAnsi="仿宋" w:eastAsia="仿宋" w:cs="仿宋"/>
          <w:szCs w:val="21"/>
          <w:highlight w:val="none"/>
          <w:lang w:val="en-US" w:eastAsia="zh-CN"/>
        </w:rPr>
      </w:pPr>
      <w:r>
        <w:rPr>
          <w:rFonts w:hint="eastAsia" w:ascii="仿宋" w:hAnsi="仿宋" w:eastAsia="仿宋" w:cs="仿宋"/>
          <w:szCs w:val="21"/>
          <w:highlight w:val="none"/>
        </w:rPr>
        <w:t>联系方式：</w:t>
      </w:r>
      <w:r>
        <w:rPr>
          <w:rFonts w:hint="eastAsia" w:ascii="仿宋" w:hAnsi="仿宋" w:eastAsia="仿宋" w:cs="仿宋"/>
          <w:szCs w:val="21"/>
          <w:highlight w:val="none"/>
          <w:lang w:val="en-US" w:eastAsia="zh-CN"/>
        </w:rPr>
        <w:t>13657564539</w:t>
      </w:r>
    </w:p>
    <w:p w14:paraId="2A5DE464">
      <w:pPr>
        <w:spacing w:line="360" w:lineRule="auto"/>
        <w:ind w:firstLine="420" w:firstLineChars="200"/>
        <w:outlineLvl w:val="9"/>
        <w:rPr>
          <w:rFonts w:hint="eastAsia" w:ascii="仿宋" w:hAnsi="仿宋" w:eastAsia="仿宋" w:cs="仿宋"/>
          <w:szCs w:val="21"/>
          <w:highlight w:val="none"/>
        </w:rPr>
      </w:pPr>
      <w:r>
        <w:rPr>
          <w:rFonts w:hint="eastAsia" w:ascii="仿宋" w:hAnsi="仿宋" w:eastAsia="仿宋" w:cs="仿宋"/>
          <w:szCs w:val="21"/>
          <w:highlight w:val="none"/>
        </w:rPr>
        <w:t>2.采购代理机构信息</w:t>
      </w:r>
    </w:p>
    <w:p w14:paraId="3B83375D">
      <w:pPr>
        <w:spacing w:line="360" w:lineRule="auto"/>
        <w:ind w:firstLine="420" w:firstLineChars="200"/>
        <w:outlineLvl w:val="9"/>
        <w:rPr>
          <w:rFonts w:hint="eastAsia" w:ascii="仿宋" w:hAnsi="仿宋" w:eastAsia="仿宋" w:cs="仿宋"/>
          <w:szCs w:val="21"/>
          <w:highlight w:val="none"/>
          <w:lang w:eastAsia="zh-CN"/>
        </w:rPr>
      </w:pPr>
      <w:r>
        <w:rPr>
          <w:rFonts w:hint="eastAsia" w:ascii="仿宋" w:hAnsi="仿宋" w:eastAsia="仿宋" w:cs="仿宋"/>
          <w:szCs w:val="21"/>
          <w:highlight w:val="none"/>
        </w:rPr>
        <w:t>名 称：新疆乾泽辰项目管理有限公司</w:t>
      </w:r>
    </w:p>
    <w:p w14:paraId="12F53A40">
      <w:pPr>
        <w:spacing w:line="360" w:lineRule="auto"/>
        <w:ind w:firstLine="420" w:firstLineChars="200"/>
        <w:outlineLvl w:val="9"/>
        <w:rPr>
          <w:rFonts w:hint="eastAsia" w:ascii="仿宋" w:hAnsi="仿宋" w:eastAsia="仿宋" w:cs="仿宋"/>
          <w:szCs w:val="21"/>
          <w:highlight w:val="none"/>
        </w:rPr>
      </w:pPr>
      <w:r>
        <w:rPr>
          <w:rFonts w:hint="eastAsia" w:ascii="仿宋" w:hAnsi="仿宋" w:eastAsia="仿宋" w:cs="仿宋"/>
          <w:szCs w:val="21"/>
          <w:highlight w:val="none"/>
        </w:rPr>
        <w:t xml:space="preserve">地 址：新疆阿克苏地区阿克苏市红桥街道双拥社区锦绣路48号滨河尚景2号住宅楼2单元203室     </w:t>
      </w:r>
    </w:p>
    <w:p w14:paraId="25386C3D">
      <w:pPr>
        <w:spacing w:line="360" w:lineRule="auto"/>
        <w:ind w:firstLine="420" w:firstLineChars="200"/>
        <w:outlineLvl w:val="9"/>
        <w:rPr>
          <w:rFonts w:hint="default" w:ascii="仿宋" w:hAnsi="仿宋" w:eastAsia="仿宋" w:cs="仿宋"/>
          <w:szCs w:val="21"/>
          <w:highlight w:val="none"/>
          <w:lang w:val="en-US" w:eastAsia="zh-CN"/>
        </w:rPr>
      </w:pPr>
      <w:r>
        <w:rPr>
          <w:rFonts w:hint="eastAsia" w:ascii="仿宋" w:hAnsi="仿宋" w:eastAsia="仿宋" w:cs="仿宋"/>
          <w:szCs w:val="21"/>
          <w:highlight w:val="none"/>
          <w:lang w:eastAsia="zh-CN"/>
        </w:rPr>
        <w:t>联系方式：</w:t>
      </w:r>
      <w:r>
        <w:rPr>
          <w:rFonts w:hint="eastAsia" w:ascii="仿宋" w:hAnsi="仿宋" w:eastAsia="仿宋" w:cs="仿宋"/>
          <w:szCs w:val="21"/>
          <w:highlight w:val="none"/>
          <w:lang w:val="en-US" w:eastAsia="zh-CN"/>
        </w:rPr>
        <w:t>18290617987、17881671111</w:t>
      </w:r>
    </w:p>
    <w:p w14:paraId="6F46CD87">
      <w:pPr>
        <w:spacing w:line="360" w:lineRule="auto"/>
        <w:ind w:firstLine="420" w:firstLineChars="200"/>
        <w:outlineLvl w:val="9"/>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3.项目联系方式</w:t>
      </w:r>
    </w:p>
    <w:p w14:paraId="41624543">
      <w:pPr>
        <w:spacing w:line="360" w:lineRule="auto"/>
        <w:ind w:firstLine="420" w:firstLineChars="200"/>
        <w:outlineLvl w:val="9"/>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项目联系人：张昌冰、史鹂励</w:t>
      </w:r>
    </w:p>
    <w:p w14:paraId="27E20723">
      <w:pPr>
        <w:spacing w:line="360" w:lineRule="auto"/>
        <w:ind w:firstLine="420" w:firstLineChars="200"/>
        <w:outlineLvl w:val="9"/>
        <w:rPr>
          <w:rFonts w:hint="default" w:ascii="仿宋" w:hAnsi="仿宋" w:eastAsia="仿宋" w:cs="仿宋"/>
          <w:szCs w:val="21"/>
          <w:highlight w:val="none"/>
          <w:lang w:val="en-US" w:eastAsia="zh-CN"/>
        </w:rPr>
      </w:pPr>
      <w:r>
        <w:rPr>
          <w:rFonts w:hint="eastAsia" w:ascii="仿宋" w:hAnsi="仿宋" w:eastAsia="仿宋" w:cs="仿宋"/>
          <w:szCs w:val="21"/>
          <w:highlight w:val="none"/>
          <w:lang w:eastAsia="zh-CN"/>
        </w:rPr>
        <w:t>电 话：</w:t>
      </w:r>
      <w:r>
        <w:rPr>
          <w:rFonts w:hint="eastAsia" w:ascii="仿宋" w:hAnsi="仿宋" w:eastAsia="仿宋" w:cs="仿宋"/>
          <w:szCs w:val="21"/>
          <w:highlight w:val="none"/>
          <w:lang w:val="en-US" w:eastAsia="zh-CN"/>
        </w:rPr>
        <w:t>18290617987、17881671111</w:t>
      </w:r>
    </w:p>
    <w:p w14:paraId="44B7AB32">
      <w:pPr>
        <w:spacing w:line="500" w:lineRule="exact"/>
        <w:jc w:val="center"/>
        <w:outlineLvl w:val="0"/>
        <w:rPr>
          <w:rFonts w:hint="eastAsia" w:ascii="仿宋" w:hAnsi="仿宋" w:eastAsia="仿宋" w:cs="仿宋"/>
          <w:b/>
          <w:sz w:val="32"/>
          <w:szCs w:val="32"/>
          <w:highlight w:val="none"/>
        </w:rPr>
      </w:pPr>
      <w:bookmarkStart w:id="24" w:name="_Toc18533"/>
      <w:bookmarkStart w:id="25" w:name="_Toc5997"/>
      <w:bookmarkStart w:id="26" w:name="_Toc1654"/>
    </w:p>
    <w:p w14:paraId="4E462CF6">
      <w:pPr>
        <w:spacing w:line="500" w:lineRule="exact"/>
        <w:jc w:val="center"/>
        <w:outlineLvl w:val="0"/>
        <w:rPr>
          <w:rFonts w:hint="eastAsia" w:ascii="仿宋" w:hAnsi="仿宋" w:eastAsia="仿宋" w:cs="仿宋"/>
          <w:b/>
          <w:sz w:val="32"/>
          <w:szCs w:val="32"/>
          <w:highlight w:val="none"/>
        </w:rPr>
      </w:pPr>
    </w:p>
    <w:p w14:paraId="26729C21">
      <w:pPr>
        <w:spacing w:line="500" w:lineRule="exact"/>
        <w:jc w:val="center"/>
        <w:outlineLvl w:val="0"/>
        <w:rPr>
          <w:rFonts w:hint="eastAsia" w:ascii="仿宋" w:hAnsi="仿宋" w:eastAsia="仿宋" w:cs="仿宋"/>
          <w:b/>
          <w:sz w:val="32"/>
          <w:szCs w:val="32"/>
          <w:highlight w:val="none"/>
        </w:rPr>
      </w:pPr>
      <w:r>
        <w:rPr>
          <w:rFonts w:hint="eastAsia" w:ascii="仿宋" w:hAnsi="仿宋" w:eastAsia="仿宋" w:cs="仿宋"/>
          <w:b/>
          <w:sz w:val="32"/>
          <w:szCs w:val="32"/>
          <w:highlight w:val="none"/>
        </w:rPr>
        <w:t>第二章 投标人须知</w:t>
      </w:r>
      <w:bookmarkEnd w:id="1"/>
      <w:bookmarkEnd w:id="24"/>
      <w:bookmarkEnd w:id="25"/>
      <w:bookmarkEnd w:id="26"/>
    </w:p>
    <w:p w14:paraId="3D76CE3D">
      <w:pPr>
        <w:snapToGrid w:val="0"/>
        <w:spacing w:line="500" w:lineRule="exact"/>
        <w:jc w:val="center"/>
        <w:outlineLvl w:val="1"/>
        <w:rPr>
          <w:rFonts w:hint="eastAsia" w:ascii="仿宋" w:hAnsi="仿宋" w:eastAsia="仿宋" w:cs="仿宋"/>
          <w:b/>
          <w:sz w:val="28"/>
          <w:szCs w:val="28"/>
          <w:highlight w:val="none"/>
        </w:rPr>
      </w:pPr>
      <w:bookmarkStart w:id="27" w:name="_Toc6193"/>
      <w:bookmarkStart w:id="28" w:name="_Toc26232"/>
      <w:bookmarkStart w:id="29" w:name="_Toc15972"/>
      <w:r>
        <w:rPr>
          <w:rFonts w:hint="eastAsia" w:ascii="仿宋" w:hAnsi="仿宋" w:eastAsia="仿宋" w:cs="仿宋"/>
          <w:b/>
          <w:sz w:val="32"/>
          <w:szCs w:val="32"/>
          <w:highlight w:val="none"/>
        </w:rPr>
        <w:t>一、</w:t>
      </w:r>
      <w:r>
        <w:rPr>
          <w:rFonts w:hint="eastAsia" w:ascii="仿宋" w:hAnsi="仿宋" w:eastAsia="仿宋" w:cs="仿宋"/>
          <w:b/>
          <w:sz w:val="28"/>
          <w:szCs w:val="28"/>
          <w:highlight w:val="none"/>
        </w:rPr>
        <w:t>投标人须知前附表</w:t>
      </w:r>
      <w:bookmarkEnd w:id="27"/>
      <w:bookmarkEnd w:id="28"/>
      <w:bookmarkEnd w:id="29"/>
    </w:p>
    <w:tbl>
      <w:tblPr>
        <w:tblStyle w:val="25"/>
        <w:tblW w:w="4671"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811"/>
        <w:gridCol w:w="1637"/>
        <w:gridCol w:w="6859"/>
      </w:tblGrid>
      <w:tr w14:paraId="40EE5AA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9" w:hRule="atLeast"/>
          <w:jc w:val="center"/>
        </w:trPr>
        <w:tc>
          <w:tcPr>
            <w:tcW w:w="435" w:type="pct"/>
            <w:vAlign w:val="center"/>
          </w:tcPr>
          <w:p w14:paraId="651D277C">
            <w:pPr>
              <w:pStyle w:val="11"/>
              <w:snapToGrid w:val="0"/>
              <w:spacing w:line="360" w:lineRule="auto"/>
              <w:ind w:left="-94" w:leftChars="-45" w:right="-81" w:rightChars="-39"/>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条款号</w:t>
            </w:r>
          </w:p>
        </w:tc>
        <w:tc>
          <w:tcPr>
            <w:tcW w:w="879" w:type="pct"/>
            <w:vAlign w:val="center"/>
          </w:tcPr>
          <w:p w14:paraId="3CA50513">
            <w:pPr>
              <w:pStyle w:val="11"/>
              <w:snapToGrid w:val="0"/>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内容</w:t>
            </w:r>
          </w:p>
        </w:tc>
        <w:tc>
          <w:tcPr>
            <w:tcW w:w="3684" w:type="pct"/>
            <w:vAlign w:val="center"/>
          </w:tcPr>
          <w:p w14:paraId="5F140397">
            <w:pPr>
              <w:pStyle w:val="11"/>
              <w:snapToGrid w:val="0"/>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说明与要求</w:t>
            </w:r>
          </w:p>
        </w:tc>
      </w:tr>
      <w:tr w14:paraId="1525EB4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3" w:hRule="atLeast"/>
          <w:jc w:val="center"/>
        </w:trPr>
        <w:tc>
          <w:tcPr>
            <w:tcW w:w="435" w:type="pct"/>
            <w:vAlign w:val="center"/>
          </w:tcPr>
          <w:p w14:paraId="1F6C8272">
            <w:pPr>
              <w:pStyle w:val="11"/>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879" w:type="pct"/>
            <w:vAlign w:val="center"/>
          </w:tcPr>
          <w:p w14:paraId="067ED46D">
            <w:pPr>
              <w:widowControl/>
              <w:spacing w:line="360" w:lineRule="auto"/>
              <w:jc w:val="left"/>
              <w:rPr>
                <w:rFonts w:hint="eastAsia" w:ascii="仿宋" w:hAnsi="仿宋" w:eastAsia="仿宋" w:cs="仿宋"/>
                <w:highlight w:val="none"/>
              </w:rPr>
            </w:pPr>
            <w:r>
              <w:rPr>
                <w:rFonts w:hint="eastAsia" w:ascii="仿宋" w:hAnsi="仿宋" w:eastAsia="仿宋" w:cs="仿宋"/>
                <w:highlight w:val="none"/>
              </w:rPr>
              <w:t>项目名称</w:t>
            </w:r>
          </w:p>
          <w:p w14:paraId="4EDAD954">
            <w:pPr>
              <w:widowControl/>
              <w:spacing w:line="360" w:lineRule="auto"/>
              <w:jc w:val="left"/>
              <w:rPr>
                <w:rFonts w:hint="eastAsia" w:ascii="仿宋" w:hAnsi="仿宋" w:eastAsia="仿宋" w:cs="仿宋"/>
                <w:highlight w:val="none"/>
              </w:rPr>
            </w:pPr>
            <w:r>
              <w:rPr>
                <w:rFonts w:hint="eastAsia" w:ascii="仿宋" w:hAnsi="仿宋" w:eastAsia="仿宋" w:cs="仿宋"/>
                <w:highlight w:val="none"/>
              </w:rPr>
              <w:t>项目编号</w:t>
            </w:r>
          </w:p>
          <w:p w14:paraId="2D3E0A41">
            <w:pPr>
              <w:widowControl/>
              <w:spacing w:line="360" w:lineRule="auto"/>
              <w:jc w:val="left"/>
              <w:rPr>
                <w:rFonts w:hint="eastAsia" w:ascii="仿宋" w:hAnsi="仿宋" w:eastAsia="仿宋" w:cs="仿宋"/>
                <w:highlight w:val="none"/>
              </w:rPr>
            </w:pPr>
            <w:r>
              <w:rPr>
                <w:rFonts w:hint="eastAsia" w:ascii="仿宋" w:hAnsi="仿宋" w:eastAsia="仿宋" w:cs="仿宋"/>
                <w:highlight w:val="none"/>
                <w:lang w:val="en-US" w:eastAsia="zh-CN"/>
              </w:rPr>
              <w:t>服务</w:t>
            </w:r>
            <w:r>
              <w:rPr>
                <w:rFonts w:hint="eastAsia" w:ascii="仿宋" w:hAnsi="仿宋" w:eastAsia="仿宋" w:cs="仿宋"/>
                <w:highlight w:val="none"/>
              </w:rPr>
              <w:t>内容</w:t>
            </w:r>
          </w:p>
          <w:p w14:paraId="5C6F5004">
            <w:pPr>
              <w:widowControl/>
              <w:spacing w:line="360" w:lineRule="auto"/>
              <w:jc w:val="left"/>
              <w:rPr>
                <w:rFonts w:hint="eastAsia" w:ascii="仿宋" w:hAnsi="仿宋" w:eastAsia="仿宋" w:cs="仿宋"/>
                <w:highlight w:val="none"/>
              </w:rPr>
            </w:pPr>
          </w:p>
        </w:tc>
        <w:tc>
          <w:tcPr>
            <w:tcW w:w="3684" w:type="pct"/>
            <w:vAlign w:val="center"/>
          </w:tcPr>
          <w:p w14:paraId="03C5EA3C">
            <w:pPr>
              <w:widowControl/>
              <w:spacing w:line="360" w:lineRule="auto"/>
              <w:rPr>
                <w:rFonts w:hint="eastAsia" w:ascii="仿宋" w:hAnsi="仿宋" w:eastAsia="仿宋" w:cs="仿宋"/>
                <w:highlight w:val="none"/>
                <w:lang w:eastAsia="zh-CN"/>
              </w:rPr>
            </w:pPr>
            <w:r>
              <w:rPr>
                <w:rFonts w:hint="eastAsia" w:ascii="仿宋" w:hAnsi="仿宋" w:eastAsia="仿宋" w:cs="仿宋"/>
                <w:highlight w:val="none"/>
              </w:rPr>
              <w:t>项目名称：</w:t>
            </w:r>
            <w:r>
              <w:rPr>
                <w:rFonts w:hint="eastAsia" w:ascii="仿宋" w:hAnsi="仿宋" w:eastAsia="仿宋" w:cs="仿宋"/>
                <w:highlight w:val="none"/>
                <w:lang w:eastAsia="zh-CN"/>
              </w:rPr>
              <w:t>乌什县民政局2026年购买福利机构护理服务项</w:t>
            </w:r>
            <w:r>
              <w:rPr>
                <w:rFonts w:hint="eastAsia" w:ascii="仿宋" w:hAnsi="仿宋" w:eastAsia="仿宋" w:cs="仿宋"/>
                <w:highlight w:val="none"/>
                <w:lang w:val="en-US" w:eastAsia="zh-CN"/>
              </w:rPr>
              <w:t>目</w:t>
            </w:r>
          </w:p>
          <w:p w14:paraId="4337A924">
            <w:pPr>
              <w:widowControl/>
              <w:spacing w:line="360" w:lineRule="auto"/>
              <w:rPr>
                <w:rFonts w:hint="default" w:ascii="仿宋" w:hAnsi="仿宋" w:eastAsia="仿宋" w:cs="仿宋"/>
                <w:color w:val="FF0000"/>
                <w:highlight w:val="none"/>
                <w:shd w:val="clear"/>
                <w:lang w:val="en-US" w:eastAsia="zh-CN"/>
              </w:rPr>
            </w:pPr>
            <w:r>
              <w:rPr>
                <w:rFonts w:hint="eastAsia" w:ascii="仿宋" w:hAnsi="仿宋" w:eastAsia="仿宋" w:cs="仿宋"/>
                <w:highlight w:val="none"/>
              </w:rPr>
              <w:t>项目编号：</w:t>
            </w:r>
            <w:r>
              <w:rPr>
                <w:rFonts w:hint="eastAsia" w:ascii="仿宋" w:hAnsi="仿宋" w:eastAsia="仿宋" w:cs="仿宋"/>
                <w:highlight w:val="none"/>
                <w:lang w:val="en-US" w:eastAsia="zh-CN"/>
              </w:rPr>
              <w:t>WSX[2026]-097</w:t>
            </w:r>
          </w:p>
          <w:p w14:paraId="3DE3EB11">
            <w:pPr>
              <w:widowControl/>
              <w:spacing w:line="360" w:lineRule="auto"/>
              <w:rPr>
                <w:rFonts w:hint="eastAsia" w:ascii="仿宋" w:hAnsi="仿宋" w:eastAsia="仿宋" w:cs="仿宋"/>
                <w:highlight w:val="none"/>
                <w:lang w:eastAsia="zh-CN"/>
              </w:rPr>
            </w:pPr>
            <w:r>
              <w:rPr>
                <w:rFonts w:hint="eastAsia" w:ascii="仿宋" w:hAnsi="仿宋" w:eastAsia="仿宋" w:cs="仿宋"/>
                <w:color w:val="auto"/>
                <w:highlight w:val="none"/>
                <w:lang w:val="en-US" w:eastAsia="zh-CN"/>
              </w:rPr>
              <w:t>服务</w:t>
            </w:r>
            <w:r>
              <w:rPr>
                <w:rFonts w:hint="eastAsia" w:ascii="仿宋" w:hAnsi="仿宋" w:eastAsia="仿宋" w:cs="仿宋"/>
                <w:color w:val="auto"/>
                <w:highlight w:val="none"/>
              </w:rPr>
              <w:t>内容：</w:t>
            </w:r>
            <w:r>
              <w:rPr>
                <w:rFonts w:hint="eastAsia" w:ascii="仿宋" w:hAnsi="仿宋" w:eastAsia="仿宋" w:cs="仿宋"/>
                <w:color w:val="auto"/>
                <w:highlight w:val="none"/>
                <w:lang w:val="en-US" w:eastAsia="zh-CN"/>
              </w:rPr>
              <w:t>为</w:t>
            </w:r>
            <w:r>
              <w:rPr>
                <w:rFonts w:hint="eastAsia" w:ascii="仿宋" w:hAnsi="仿宋" w:eastAsia="仿宋" w:cs="仿宋"/>
                <w:color w:val="auto"/>
                <w:highlight w:val="none"/>
              </w:rPr>
              <w:t>集中供养人员购买生活照料、健康护理、心理慰藉等服务</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详见采购需求）</w:t>
            </w:r>
          </w:p>
        </w:tc>
      </w:tr>
      <w:tr w14:paraId="742F7B8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9" w:hRule="atLeast"/>
          <w:jc w:val="center"/>
        </w:trPr>
        <w:tc>
          <w:tcPr>
            <w:tcW w:w="435" w:type="pct"/>
            <w:vAlign w:val="center"/>
          </w:tcPr>
          <w:p w14:paraId="5957829A">
            <w:pPr>
              <w:pStyle w:val="11"/>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879" w:type="pct"/>
            <w:vAlign w:val="center"/>
          </w:tcPr>
          <w:p w14:paraId="05A9D12F">
            <w:pPr>
              <w:widowControl/>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采购人息</w:t>
            </w:r>
          </w:p>
        </w:tc>
        <w:tc>
          <w:tcPr>
            <w:tcW w:w="3684" w:type="pct"/>
            <w:vAlign w:val="center"/>
          </w:tcPr>
          <w:p w14:paraId="5109D117">
            <w:pPr>
              <w:widowControl/>
              <w:spacing w:line="360" w:lineRule="auto"/>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采购单位：</w:t>
            </w:r>
            <w:r>
              <w:rPr>
                <w:rFonts w:hint="eastAsia" w:ascii="仿宋" w:hAnsi="仿宋" w:eastAsia="仿宋" w:cs="仿宋"/>
                <w:szCs w:val="21"/>
                <w:highlight w:val="none"/>
                <w:lang w:eastAsia="zh-CN"/>
              </w:rPr>
              <w:t>乌什县民政局</w:t>
            </w:r>
          </w:p>
          <w:p w14:paraId="21893DFB">
            <w:pPr>
              <w:widowControl/>
              <w:spacing w:line="360" w:lineRule="auto"/>
              <w:rPr>
                <w:rFonts w:hint="eastAsia" w:ascii="仿宋" w:hAnsi="仿宋" w:eastAsia="仿宋" w:cs="仿宋"/>
                <w:szCs w:val="21"/>
                <w:highlight w:val="none"/>
              </w:rPr>
            </w:pPr>
            <w:r>
              <w:rPr>
                <w:rFonts w:hint="eastAsia" w:ascii="仿宋" w:hAnsi="仿宋" w:eastAsia="仿宋" w:cs="仿宋"/>
                <w:szCs w:val="21"/>
                <w:highlight w:val="none"/>
                <w:shd w:val="clear" w:color="auto" w:fill="FFFFFF"/>
              </w:rPr>
              <w:t>联系人：</w:t>
            </w:r>
            <w:r>
              <w:rPr>
                <w:rFonts w:hint="eastAsia" w:ascii="仿宋" w:hAnsi="仿宋" w:eastAsia="仿宋" w:cs="仿宋"/>
                <w:szCs w:val="21"/>
                <w:highlight w:val="none"/>
                <w:shd w:val="clear" w:color="auto" w:fill="FFFFFF"/>
                <w:lang w:val="en-US" w:eastAsia="zh-CN"/>
              </w:rPr>
              <w:t xml:space="preserve">卢志文 </w:t>
            </w:r>
            <w:r>
              <w:rPr>
                <w:rFonts w:hint="eastAsia" w:ascii="仿宋" w:hAnsi="仿宋" w:eastAsia="仿宋" w:cs="仿宋"/>
                <w:szCs w:val="21"/>
                <w:highlight w:val="none"/>
                <w:shd w:val="clear" w:color="auto" w:fill="FFFFFF"/>
              </w:rPr>
              <w:t xml:space="preserve">    联系电话：</w:t>
            </w:r>
            <w:r>
              <w:rPr>
                <w:rFonts w:hint="eastAsia" w:ascii="仿宋" w:hAnsi="仿宋" w:eastAsia="仿宋" w:cs="仿宋"/>
                <w:szCs w:val="21"/>
                <w:highlight w:val="none"/>
                <w:shd w:val="clear" w:color="auto" w:fill="FFFFFF"/>
                <w:lang w:val="en-US" w:eastAsia="zh-CN"/>
              </w:rPr>
              <w:t>13657564539</w:t>
            </w:r>
          </w:p>
        </w:tc>
      </w:tr>
      <w:tr w14:paraId="102E92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435" w:type="pct"/>
            <w:vAlign w:val="center"/>
          </w:tcPr>
          <w:p w14:paraId="2FA4753D">
            <w:pPr>
              <w:pStyle w:val="11"/>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879" w:type="pct"/>
            <w:vAlign w:val="center"/>
          </w:tcPr>
          <w:p w14:paraId="61F232D9">
            <w:pPr>
              <w:widowControl/>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采购代理机构</w:t>
            </w:r>
          </w:p>
        </w:tc>
        <w:tc>
          <w:tcPr>
            <w:tcW w:w="3684" w:type="pct"/>
            <w:vAlign w:val="center"/>
          </w:tcPr>
          <w:p w14:paraId="728D2F79">
            <w:pPr>
              <w:widowControl/>
              <w:spacing w:line="360" w:lineRule="auto"/>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名  称：新疆乾泽辰项目管理有限公司</w:t>
            </w:r>
          </w:p>
          <w:p w14:paraId="23ACB403">
            <w:pPr>
              <w:widowControl/>
              <w:spacing w:line="360" w:lineRule="auto"/>
              <w:rPr>
                <w:rFonts w:hint="eastAsia" w:ascii="仿宋" w:hAnsi="仿宋" w:eastAsia="仿宋" w:cs="仿宋"/>
                <w:kern w:val="0"/>
                <w:szCs w:val="21"/>
                <w:highlight w:val="none"/>
              </w:rPr>
            </w:pPr>
            <w:r>
              <w:rPr>
                <w:rFonts w:hint="eastAsia" w:ascii="仿宋" w:hAnsi="仿宋" w:eastAsia="仿宋" w:cs="仿宋"/>
                <w:kern w:val="0"/>
                <w:szCs w:val="21"/>
                <w:highlight w:val="none"/>
              </w:rPr>
              <w:t>地  址：新疆阿克苏地区阿克苏市红桥街道双拥社区锦绣路48号滨河尚景2号住宅楼2单元203室</w:t>
            </w:r>
          </w:p>
          <w:p w14:paraId="77A47FA7">
            <w:pPr>
              <w:widowControl/>
              <w:spacing w:line="360" w:lineRule="auto"/>
              <w:rPr>
                <w:rFonts w:hint="default" w:ascii="仿宋" w:hAnsi="仿宋" w:eastAsia="仿宋" w:cs="仿宋"/>
                <w:szCs w:val="21"/>
                <w:highlight w:val="none"/>
                <w:lang w:val="en-US" w:eastAsia="zh-CN"/>
              </w:rPr>
            </w:pPr>
            <w:r>
              <w:rPr>
                <w:rFonts w:hint="eastAsia" w:ascii="仿宋" w:hAnsi="仿宋" w:eastAsia="仿宋" w:cs="仿宋"/>
                <w:kern w:val="0"/>
                <w:szCs w:val="21"/>
                <w:highlight w:val="none"/>
              </w:rPr>
              <w:t>联系人：</w:t>
            </w:r>
            <w:r>
              <w:rPr>
                <w:rFonts w:hint="eastAsia" w:ascii="仿宋" w:hAnsi="仿宋" w:eastAsia="仿宋" w:cs="仿宋"/>
                <w:kern w:val="0"/>
                <w:szCs w:val="21"/>
                <w:highlight w:val="none"/>
                <w:lang w:eastAsia="zh-CN"/>
              </w:rPr>
              <w:t>张昌冰、史鹂励</w:t>
            </w:r>
            <w:r>
              <w:rPr>
                <w:rFonts w:hint="eastAsia" w:ascii="仿宋" w:hAnsi="仿宋" w:eastAsia="仿宋" w:cs="仿宋"/>
                <w:kern w:val="0"/>
                <w:szCs w:val="21"/>
                <w:highlight w:val="none"/>
              </w:rPr>
              <w:t xml:space="preserve">    </w:t>
            </w:r>
            <w:r>
              <w:rPr>
                <w:rFonts w:hint="eastAsia" w:ascii="仿宋" w:hAnsi="仿宋" w:eastAsia="仿宋" w:cs="仿宋"/>
                <w:kern w:val="0"/>
                <w:szCs w:val="21"/>
                <w:highlight w:val="none"/>
                <w:lang w:val="en-US" w:eastAsia="zh-CN"/>
              </w:rPr>
              <w:t xml:space="preserve">  </w:t>
            </w:r>
            <w:r>
              <w:rPr>
                <w:rFonts w:hint="eastAsia" w:ascii="仿宋" w:hAnsi="仿宋" w:eastAsia="仿宋" w:cs="仿宋"/>
                <w:szCs w:val="21"/>
                <w:highlight w:val="none"/>
                <w:shd w:val="clear" w:color="auto" w:fill="FFFFFF"/>
              </w:rPr>
              <w:t>联系</w:t>
            </w:r>
            <w:r>
              <w:rPr>
                <w:rFonts w:hint="eastAsia" w:ascii="仿宋" w:hAnsi="仿宋" w:eastAsia="仿宋" w:cs="仿宋"/>
                <w:kern w:val="0"/>
                <w:szCs w:val="21"/>
                <w:highlight w:val="none"/>
              </w:rPr>
              <w:t>电话：</w:t>
            </w:r>
            <w:r>
              <w:rPr>
                <w:rFonts w:hint="eastAsia" w:ascii="仿宋" w:hAnsi="仿宋" w:eastAsia="仿宋" w:cs="仿宋"/>
                <w:kern w:val="0"/>
                <w:szCs w:val="21"/>
                <w:highlight w:val="none"/>
                <w:lang w:val="en-US" w:eastAsia="zh-CN"/>
              </w:rPr>
              <w:t>18290617987、17881671111</w:t>
            </w:r>
          </w:p>
        </w:tc>
      </w:tr>
      <w:tr w14:paraId="2A81CDD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9" w:hRule="atLeast"/>
          <w:jc w:val="center"/>
        </w:trPr>
        <w:tc>
          <w:tcPr>
            <w:tcW w:w="435" w:type="pct"/>
            <w:vAlign w:val="center"/>
          </w:tcPr>
          <w:p w14:paraId="4FD129EE">
            <w:pPr>
              <w:pStyle w:val="11"/>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879" w:type="pct"/>
            <w:vAlign w:val="center"/>
          </w:tcPr>
          <w:p w14:paraId="56DD9C5C">
            <w:pPr>
              <w:widowControl/>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最终服务地点</w:t>
            </w:r>
          </w:p>
        </w:tc>
        <w:tc>
          <w:tcPr>
            <w:tcW w:w="3684" w:type="pct"/>
            <w:vAlign w:val="center"/>
          </w:tcPr>
          <w:p w14:paraId="35081B53">
            <w:pPr>
              <w:widowControl/>
              <w:spacing w:line="360" w:lineRule="auto"/>
              <w:rPr>
                <w:rFonts w:hint="default" w:ascii="仿宋" w:hAnsi="仿宋" w:eastAsia="仿宋" w:cs="仿宋"/>
                <w:szCs w:val="21"/>
                <w:highlight w:val="none"/>
                <w:lang w:val="en-US" w:eastAsia="zh-CN"/>
              </w:rPr>
            </w:pPr>
            <w:r>
              <w:rPr>
                <w:rFonts w:hint="default" w:ascii="仿宋" w:hAnsi="仿宋" w:eastAsia="仿宋" w:cs="仿宋"/>
                <w:szCs w:val="21"/>
                <w:highlight w:val="none"/>
                <w:lang w:val="en-US" w:eastAsia="zh-CN"/>
              </w:rPr>
              <w:t>乌什县</w:t>
            </w:r>
          </w:p>
        </w:tc>
      </w:tr>
      <w:tr w14:paraId="1BD9289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435" w:type="pct"/>
            <w:vAlign w:val="center"/>
          </w:tcPr>
          <w:p w14:paraId="19DFA95E">
            <w:pPr>
              <w:pStyle w:val="11"/>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879" w:type="pct"/>
            <w:vAlign w:val="center"/>
          </w:tcPr>
          <w:p w14:paraId="137DDAA4">
            <w:pPr>
              <w:widowControl/>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付款方式</w:t>
            </w:r>
          </w:p>
        </w:tc>
        <w:tc>
          <w:tcPr>
            <w:tcW w:w="3684" w:type="pct"/>
            <w:vAlign w:val="center"/>
          </w:tcPr>
          <w:p w14:paraId="4CD5F9A2">
            <w:pPr>
              <w:widowControl/>
              <w:spacing w:line="360" w:lineRule="auto"/>
              <w:jc w:val="left"/>
              <w:rPr>
                <w:rFonts w:hint="eastAsia" w:ascii="仿宋" w:hAnsi="仿宋" w:eastAsia="仿宋" w:cs="仿宋"/>
                <w:szCs w:val="21"/>
                <w:highlight w:val="none"/>
              </w:rPr>
            </w:pPr>
            <w:r>
              <w:rPr>
                <w:rFonts w:hint="eastAsia" w:ascii="仿宋" w:hAnsi="仿宋" w:eastAsia="仿宋" w:cs="仿宋"/>
                <w:szCs w:val="21"/>
              </w:rPr>
              <w:t>甲乙双方签订合同约定</w:t>
            </w:r>
          </w:p>
        </w:tc>
      </w:tr>
      <w:tr w14:paraId="72EBC86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2" w:hRule="atLeast"/>
          <w:jc w:val="center"/>
        </w:trPr>
        <w:tc>
          <w:tcPr>
            <w:tcW w:w="435" w:type="pct"/>
            <w:vAlign w:val="center"/>
          </w:tcPr>
          <w:p w14:paraId="2A7F6536">
            <w:pPr>
              <w:pStyle w:val="11"/>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879" w:type="pct"/>
            <w:vAlign w:val="center"/>
          </w:tcPr>
          <w:p w14:paraId="59ECE6F8">
            <w:pPr>
              <w:widowControl/>
              <w:spacing w:line="360" w:lineRule="auto"/>
              <w:jc w:val="left"/>
              <w:rPr>
                <w:rFonts w:hint="eastAsia" w:ascii="仿宋" w:hAnsi="仿宋" w:eastAsia="仿宋" w:cs="仿宋"/>
                <w:szCs w:val="21"/>
                <w:highlight w:val="none"/>
              </w:rPr>
            </w:pPr>
            <w:r>
              <w:rPr>
                <w:rFonts w:hint="eastAsia" w:ascii="仿宋" w:hAnsi="仿宋" w:eastAsia="仿宋" w:cs="仿宋"/>
                <w:highlight w:val="none"/>
                <w:lang w:eastAsia="zh-CN"/>
              </w:rPr>
              <w:t>服务</w:t>
            </w:r>
            <w:r>
              <w:rPr>
                <w:rFonts w:hint="eastAsia" w:ascii="仿宋" w:hAnsi="仿宋" w:eastAsia="仿宋" w:cs="仿宋"/>
                <w:highlight w:val="none"/>
              </w:rPr>
              <w:t>期</w:t>
            </w:r>
          </w:p>
        </w:tc>
        <w:tc>
          <w:tcPr>
            <w:tcW w:w="3684" w:type="pct"/>
            <w:vAlign w:val="center"/>
          </w:tcPr>
          <w:p w14:paraId="746590D4">
            <w:pPr>
              <w:spacing w:line="360" w:lineRule="auto"/>
              <w:jc w:val="left"/>
              <w:rPr>
                <w:rFonts w:hint="eastAsia" w:ascii="仿宋" w:hAnsi="仿宋" w:eastAsia="仿宋" w:cs="仿宋"/>
                <w:szCs w:val="21"/>
                <w:highlight w:val="none"/>
                <w:lang w:val="en-US" w:eastAsia="zh-CN"/>
              </w:rPr>
            </w:pPr>
            <w:r>
              <w:rPr>
                <w:rFonts w:hint="eastAsia" w:ascii="仿宋" w:hAnsi="仿宋" w:eastAsia="仿宋" w:cs="仿宋"/>
                <w:szCs w:val="21"/>
                <w:lang w:val="en-US" w:eastAsia="zh-CN"/>
              </w:rPr>
              <w:t>以甲乙双方签订合同为准（具体履约期限及实施时间以采购人要求为准）。</w:t>
            </w:r>
          </w:p>
        </w:tc>
      </w:tr>
      <w:tr w14:paraId="06580B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435" w:type="pct"/>
            <w:vAlign w:val="center"/>
          </w:tcPr>
          <w:p w14:paraId="76770332">
            <w:pPr>
              <w:pStyle w:val="11"/>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7</w:t>
            </w:r>
          </w:p>
        </w:tc>
        <w:tc>
          <w:tcPr>
            <w:tcW w:w="879" w:type="pct"/>
            <w:vAlign w:val="center"/>
          </w:tcPr>
          <w:p w14:paraId="3C2FAEC3">
            <w:pPr>
              <w:pStyle w:val="11"/>
              <w:snapToGrid w:val="0"/>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资金来源                                                                                                                                                                 </w:t>
            </w:r>
          </w:p>
        </w:tc>
        <w:tc>
          <w:tcPr>
            <w:tcW w:w="3684" w:type="pct"/>
            <w:vAlign w:val="center"/>
          </w:tcPr>
          <w:p w14:paraId="104C8F3A">
            <w:pPr>
              <w:pStyle w:val="11"/>
              <w:snapToGrid w:val="0"/>
              <w:spacing w:line="360" w:lineRule="auto"/>
              <w:rPr>
                <w:rFonts w:hint="default" w:ascii="仿宋" w:hAnsi="仿宋" w:eastAsia="仿宋" w:cs="仿宋"/>
                <w:color w:val="auto"/>
                <w:szCs w:val="21"/>
                <w:highlight w:val="none"/>
                <w:lang w:val="en-US" w:eastAsia="zh-CN"/>
              </w:rPr>
            </w:pPr>
            <w:r>
              <w:rPr>
                <w:rFonts w:hint="default" w:ascii="仿宋" w:hAnsi="仿宋" w:eastAsia="仿宋" w:cs="仿宋"/>
                <w:color w:val="auto"/>
                <w:szCs w:val="21"/>
                <w:highlight w:val="none"/>
                <w:lang w:val="en-US" w:eastAsia="zh-CN"/>
              </w:rPr>
              <w:t>困难群众救助补助资金(县级配套)</w:t>
            </w:r>
            <w:r>
              <w:rPr>
                <w:rFonts w:hint="eastAsia" w:ascii="仿宋" w:hAnsi="仿宋" w:eastAsia="仿宋" w:cs="仿宋"/>
                <w:color w:val="auto"/>
                <w:szCs w:val="21"/>
                <w:highlight w:val="none"/>
                <w:lang w:val="en-US" w:eastAsia="zh-CN"/>
              </w:rPr>
              <w:t>。</w:t>
            </w:r>
          </w:p>
        </w:tc>
      </w:tr>
      <w:tr w14:paraId="51F5F5A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435" w:type="pct"/>
            <w:vAlign w:val="center"/>
          </w:tcPr>
          <w:p w14:paraId="3A475E81">
            <w:pPr>
              <w:pStyle w:val="11"/>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8</w:t>
            </w:r>
          </w:p>
        </w:tc>
        <w:tc>
          <w:tcPr>
            <w:tcW w:w="879" w:type="pct"/>
            <w:vAlign w:val="center"/>
          </w:tcPr>
          <w:p w14:paraId="468E78BF">
            <w:pPr>
              <w:pStyle w:val="11"/>
              <w:snapToGrid w:val="0"/>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招标方式</w:t>
            </w:r>
          </w:p>
        </w:tc>
        <w:tc>
          <w:tcPr>
            <w:tcW w:w="3684" w:type="pct"/>
            <w:vAlign w:val="center"/>
          </w:tcPr>
          <w:p w14:paraId="1C722389">
            <w:pPr>
              <w:pStyle w:val="11"/>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竞争性磋商招标</w:t>
            </w:r>
            <w:r>
              <w:rPr>
                <w:rFonts w:hint="eastAsia" w:ascii="仿宋" w:hAnsi="仿宋" w:eastAsia="仿宋" w:cs="仿宋"/>
                <w:b/>
                <w:color w:val="auto"/>
                <w:szCs w:val="21"/>
                <w:highlight w:val="none"/>
              </w:rPr>
              <w:t>(本项目采用网上电子招投标)</w:t>
            </w:r>
            <w:r>
              <w:rPr>
                <w:rFonts w:hint="eastAsia" w:ascii="仿宋" w:hAnsi="仿宋" w:eastAsia="仿宋" w:cs="仿宋"/>
                <w:color w:val="auto"/>
                <w:szCs w:val="21"/>
                <w:highlight w:val="none"/>
              </w:rPr>
              <w:t xml:space="preserve">             </w:t>
            </w:r>
          </w:p>
        </w:tc>
      </w:tr>
      <w:tr w14:paraId="702655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8" w:hRule="atLeast"/>
          <w:jc w:val="center"/>
        </w:trPr>
        <w:tc>
          <w:tcPr>
            <w:tcW w:w="435" w:type="pct"/>
            <w:vAlign w:val="center"/>
          </w:tcPr>
          <w:p w14:paraId="16E64271">
            <w:pPr>
              <w:pStyle w:val="11"/>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9</w:t>
            </w:r>
          </w:p>
        </w:tc>
        <w:tc>
          <w:tcPr>
            <w:tcW w:w="879" w:type="pct"/>
            <w:vAlign w:val="center"/>
          </w:tcPr>
          <w:p w14:paraId="283F54B4">
            <w:pPr>
              <w:pStyle w:val="11"/>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投标人资格条件及其他要求</w:t>
            </w:r>
          </w:p>
        </w:tc>
        <w:tc>
          <w:tcPr>
            <w:tcW w:w="3684" w:type="pct"/>
            <w:vAlign w:val="center"/>
          </w:tcPr>
          <w:p w14:paraId="780BED54">
            <w:pPr>
              <w:spacing w:line="240" w:lineRule="auto"/>
              <w:jc w:val="lef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1.满足《中华人民共和国政府采购法》第二十二条规定；</w:t>
            </w:r>
          </w:p>
          <w:p w14:paraId="33A1FB88">
            <w:pPr>
              <w:spacing w:line="240" w:lineRule="auto"/>
              <w:jc w:val="lef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2.落实政府采购政策需满足的资格要求：标项1：本项目专门面向中小企业</w:t>
            </w:r>
          </w:p>
          <w:p w14:paraId="637B8E0B">
            <w:pPr>
              <w:numPr>
                <w:ilvl w:val="0"/>
                <w:numId w:val="0"/>
              </w:numPr>
              <w:spacing w:line="360" w:lineRule="auto"/>
              <w:rPr>
                <w:rFonts w:hint="eastAsia" w:ascii="仿宋" w:hAnsi="仿宋" w:eastAsia="仿宋" w:cs="仿宋"/>
                <w:b w:val="0"/>
                <w:bCs w:val="0"/>
                <w:kern w:val="0"/>
                <w:sz w:val="21"/>
                <w:szCs w:val="21"/>
                <w:lang w:val="en-US" w:eastAsia="zh-CN"/>
              </w:rPr>
            </w:pPr>
            <w:r>
              <w:rPr>
                <w:rFonts w:hint="eastAsia" w:ascii="仿宋" w:hAnsi="仿宋" w:eastAsia="仿宋" w:cs="仿宋"/>
                <w:b w:val="0"/>
                <w:bCs w:val="0"/>
                <w:kern w:val="0"/>
                <w:sz w:val="21"/>
                <w:szCs w:val="21"/>
                <w:lang w:val="en-US" w:eastAsia="zh-CN" w:bidi="ar-SA"/>
              </w:rPr>
              <w:t>①</w:t>
            </w:r>
            <w:r>
              <w:rPr>
                <w:rFonts w:hint="eastAsia" w:ascii="仿宋" w:hAnsi="仿宋" w:eastAsia="仿宋" w:cs="仿宋"/>
                <w:b w:val="0"/>
                <w:bCs w:val="0"/>
                <w:kern w:val="0"/>
                <w:sz w:val="21"/>
                <w:szCs w:val="21"/>
                <w:lang w:val="en-US" w:eastAsia="zh-CN"/>
              </w:rPr>
              <w:t>具有合格有效的营业执照（三证合一）</w:t>
            </w:r>
            <w:r>
              <w:rPr>
                <w:rFonts w:hint="eastAsia" w:ascii="仿宋" w:hAnsi="仿宋" w:eastAsia="仿宋" w:cs="仿宋"/>
                <w:b w:val="0"/>
                <w:bCs w:val="0"/>
                <w:i w:val="0"/>
                <w:iCs w:val="0"/>
                <w:caps w:val="0"/>
                <w:color w:val="000000"/>
                <w:spacing w:val="0"/>
                <w:sz w:val="21"/>
                <w:szCs w:val="21"/>
                <w:lang w:eastAsia="zh-CN"/>
              </w:rPr>
              <w:t>【</w:t>
            </w:r>
            <w:r>
              <w:rPr>
                <w:rFonts w:hint="eastAsia" w:ascii="仿宋" w:hAnsi="仿宋" w:eastAsia="仿宋" w:cs="仿宋"/>
                <w:b w:val="0"/>
                <w:bCs w:val="0"/>
                <w:kern w:val="0"/>
                <w:sz w:val="21"/>
                <w:szCs w:val="21"/>
                <w:lang w:val="en-US" w:eastAsia="zh-CN"/>
              </w:rPr>
              <w:t>法人或者非法人组织的营业执照等证明文件复印件（须加盖本单位公章）或自然人的身份证明复印件</w:t>
            </w:r>
            <w:r>
              <w:rPr>
                <w:rFonts w:hint="eastAsia" w:ascii="仿宋" w:hAnsi="仿宋" w:eastAsia="仿宋" w:cs="仿宋"/>
                <w:b w:val="0"/>
                <w:bCs w:val="0"/>
                <w:i w:val="0"/>
                <w:iCs w:val="0"/>
                <w:caps w:val="0"/>
                <w:color w:val="000000"/>
                <w:spacing w:val="0"/>
                <w:sz w:val="21"/>
                <w:szCs w:val="21"/>
                <w:lang w:eastAsia="zh-CN"/>
              </w:rPr>
              <w:t>】</w:t>
            </w:r>
            <w:r>
              <w:rPr>
                <w:rFonts w:hint="eastAsia" w:ascii="仿宋" w:hAnsi="仿宋" w:eastAsia="仿宋" w:cs="仿宋"/>
                <w:b w:val="0"/>
                <w:bCs w:val="0"/>
                <w:kern w:val="0"/>
                <w:sz w:val="21"/>
                <w:szCs w:val="21"/>
                <w:lang w:val="en-US" w:eastAsia="zh-CN"/>
              </w:rPr>
              <w:t>;</w:t>
            </w:r>
          </w:p>
          <w:p w14:paraId="1EE4E4F4">
            <w:pPr>
              <w:numPr>
                <w:ilvl w:val="0"/>
                <w:numId w:val="0"/>
              </w:numPr>
              <w:spacing w:line="360" w:lineRule="auto"/>
              <w:rPr>
                <w:rFonts w:hint="eastAsia" w:ascii="仿宋" w:hAnsi="仿宋" w:eastAsia="仿宋" w:cs="仿宋"/>
                <w:b w:val="0"/>
                <w:bCs w:val="0"/>
                <w:kern w:val="0"/>
                <w:sz w:val="21"/>
                <w:szCs w:val="21"/>
                <w:lang w:val="en-US" w:eastAsia="zh-CN"/>
              </w:rPr>
            </w:pPr>
            <w:r>
              <w:rPr>
                <w:rFonts w:hint="eastAsia" w:ascii="仿宋" w:hAnsi="仿宋" w:eastAsia="仿宋" w:cs="仿宋"/>
                <w:b w:val="0"/>
                <w:bCs w:val="0"/>
                <w:kern w:val="0"/>
                <w:sz w:val="21"/>
                <w:szCs w:val="21"/>
                <w:lang w:val="en-US" w:eastAsia="zh-CN"/>
              </w:rPr>
              <w:t>②具有良好的商业信誉和健全的财务会计制度：提供近三年任意一年的审计报告扫描件(成立不足一年提供成立至今财务报表，至少包含资产负债表）或提供其基本开户银行在投标截止日前、六个月内出具的资信证明扫描件（银行出具的存款证明不能替代银行资信证明）。</w:t>
            </w:r>
          </w:p>
          <w:p w14:paraId="67138852">
            <w:pPr>
              <w:numPr>
                <w:ilvl w:val="0"/>
                <w:numId w:val="0"/>
              </w:numPr>
              <w:spacing w:line="360" w:lineRule="auto"/>
              <w:rPr>
                <w:rFonts w:hint="eastAsia" w:ascii="仿宋" w:hAnsi="仿宋" w:eastAsia="仿宋" w:cs="仿宋"/>
                <w:b w:val="0"/>
                <w:bCs w:val="0"/>
                <w:kern w:val="0"/>
                <w:sz w:val="21"/>
                <w:szCs w:val="21"/>
                <w:lang w:val="en-US" w:eastAsia="zh-CN"/>
              </w:rPr>
            </w:pPr>
            <w:r>
              <w:rPr>
                <w:rFonts w:hint="eastAsia" w:ascii="仿宋" w:hAnsi="仿宋" w:eastAsia="仿宋" w:cs="仿宋"/>
                <w:b w:val="0"/>
                <w:bCs w:val="0"/>
                <w:kern w:val="0"/>
                <w:sz w:val="21"/>
                <w:szCs w:val="21"/>
                <w:lang w:val="en-US" w:eastAsia="zh-CN"/>
              </w:rPr>
              <w:t>③法定代表人参与投标须提供法定代表人资格证明，授权委托人参与投标须提供法定代表人授权委托书；</w:t>
            </w:r>
          </w:p>
          <w:p w14:paraId="7248D65B">
            <w:pPr>
              <w:numPr>
                <w:ilvl w:val="0"/>
                <w:numId w:val="0"/>
              </w:numPr>
              <w:spacing w:line="360" w:lineRule="auto"/>
              <w:rPr>
                <w:rFonts w:hint="eastAsia" w:ascii="仿宋" w:hAnsi="仿宋" w:eastAsia="仿宋" w:cs="仿宋"/>
                <w:b w:val="0"/>
                <w:bCs w:val="0"/>
                <w:kern w:val="0"/>
                <w:sz w:val="21"/>
                <w:szCs w:val="21"/>
                <w:lang w:val="en-US" w:eastAsia="zh-CN"/>
              </w:rPr>
            </w:pPr>
            <w:r>
              <w:rPr>
                <w:rFonts w:hint="eastAsia" w:ascii="仿宋" w:hAnsi="仿宋" w:eastAsia="仿宋" w:cs="仿宋"/>
                <w:b w:val="0"/>
                <w:bCs w:val="0"/>
                <w:kern w:val="0"/>
                <w:sz w:val="21"/>
                <w:szCs w:val="21"/>
                <w:lang w:val="en-US" w:eastAsia="zh-CN"/>
              </w:rPr>
              <w:t>④投标企业须提供投标人（被授权在职人员）近6个月任意一个月有效的社保证明和完税证明；</w:t>
            </w:r>
          </w:p>
          <w:p w14:paraId="729FBF23">
            <w:pPr>
              <w:numPr>
                <w:ilvl w:val="0"/>
                <w:numId w:val="0"/>
              </w:numPr>
              <w:spacing w:line="360" w:lineRule="auto"/>
              <w:rPr>
                <w:rFonts w:hint="eastAsia" w:ascii="仿宋" w:hAnsi="仿宋" w:eastAsia="仿宋" w:cs="仿宋"/>
                <w:b w:val="0"/>
                <w:bCs w:val="0"/>
                <w:kern w:val="0"/>
                <w:sz w:val="21"/>
                <w:szCs w:val="21"/>
                <w:lang w:val="en-US" w:eastAsia="zh-CN"/>
              </w:rPr>
            </w:pPr>
            <w:r>
              <w:rPr>
                <w:rFonts w:hint="eastAsia" w:ascii="仿宋" w:hAnsi="仿宋" w:eastAsia="仿宋" w:cs="仿宋"/>
                <w:b w:val="0"/>
                <w:bCs w:val="0"/>
                <w:kern w:val="0"/>
                <w:sz w:val="21"/>
                <w:szCs w:val="21"/>
                <w:lang w:val="en-US" w:eastAsia="zh-CN"/>
              </w:rPr>
              <w:t>⑤参加采购活动前三年内，投标人在“信用中国”（www.creditchina.gov.cn）和“中国政府采购网”（www.ccgp.gov.cn）网站上未被列入失信被执行人、重大税收违法案件当事人名单以及政府采购严重违法失信行为记录名单（由资格审查小组在评标系统中自行查询）;</w:t>
            </w:r>
          </w:p>
          <w:p w14:paraId="0C45CDF5">
            <w:pPr>
              <w:spacing w:line="240" w:lineRule="auto"/>
              <w:jc w:val="left"/>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3.本项目的特定资格要求：无</w:t>
            </w:r>
          </w:p>
          <w:p w14:paraId="61CD90C1">
            <w:pPr>
              <w:numPr>
                <w:ilvl w:val="0"/>
                <w:numId w:val="0"/>
              </w:numPr>
              <w:snapToGrid w:val="0"/>
              <w:spacing w:line="360" w:lineRule="auto"/>
              <w:ind w:firstLine="420" w:firstLineChars="200"/>
              <w:rPr>
                <w:rFonts w:hint="default" w:ascii="仿宋" w:hAnsi="仿宋" w:eastAsia="仿宋" w:cs="仿宋"/>
                <w:highlight w:val="none"/>
                <w:lang w:val="en-US" w:eastAsia="zh-CN"/>
              </w:rPr>
            </w:pPr>
            <w:r>
              <w:rPr>
                <w:rFonts w:hint="eastAsia" w:ascii="仿宋" w:hAnsi="仿宋" w:eastAsia="仿宋" w:cs="仿宋"/>
                <w:b w:val="0"/>
                <w:bCs w:val="0"/>
                <w:kern w:val="0"/>
                <w:sz w:val="21"/>
                <w:szCs w:val="21"/>
                <w:lang w:val="en-US" w:eastAsia="zh-CN"/>
              </w:rPr>
              <w:t>投标人应对其提交的资格审查资料的真实性、有效性、清晰度负责，因上述原因导致资格审查不通过的，由投标人自行承担责任。</w:t>
            </w:r>
          </w:p>
        </w:tc>
      </w:tr>
      <w:tr w14:paraId="548360F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435" w:type="pct"/>
            <w:vAlign w:val="center"/>
          </w:tcPr>
          <w:p w14:paraId="19AAED14">
            <w:pPr>
              <w:pStyle w:val="11"/>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10</w:t>
            </w:r>
          </w:p>
        </w:tc>
        <w:tc>
          <w:tcPr>
            <w:tcW w:w="879" w:type="pct"/>
            <w:vAlign w:val="center"/>
          </w:tcPr>
          <w:p w14:paraId="64D5698E">
            <w:pPr>
              <w:pStyle w:val="11"/>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供应商信用查询</w:t>
            </w:r>
          </w:p>
        </w:tc>
        <w:tc>
          <w:tcPr>
            <w:tcW w:w="3684" w:type="pct"/>
            <w:vAlign w:val="center"/>
          </w:tcPr>
          <w:p w14:paraId="0A7DCE94">
            <w:pPr>
              <w:pStyle w:val="11"/>
              <w:snapToGrid w:val="0"/>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1、查询渠道：信用中国（网址：http://www.creditchina.gov.cn）、中国政府采购网(网址：http://www.ccgp.gov.cn）。</w:t>
            </w:r>
          </w:p>
          <w:p w14:paraId="311A9751">
            <w:pPr>
              <w:pStyle w:val="11"/>
              <w:snapToGrid w:val="0"/>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2、截止时点：开标后评标前。</w:t>
            </w:r>
          </w:p>
          <w:p w14:paraId="0D5855E0">
            <w:pPr>
              <w:pStyle w:val="11"/>
              <w:snapToGrid w:val="0"/>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3、信用信息查询记录和证据留存的具体方式：由采购组织机构在规定查询时间内打印信用信息查询记录并归入项目档案。</w:t>
            </w:r>
          </w:p>
          <w:p w14:paraId="5B5A0A7C">
            <w:pPr>
              <w:pStyle w:val="11"/>
              <w:snapToGrid w:val="0"/>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14:paraId="6AD7A3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435" w:type="pct"/>
            <w:vAlign w:val="center"/>
          </w:tcPr>
          <w:p w14:paraId="46B60572">
            <w:pPr>
              <w:pStyle w:val="11"/>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11</w:t>
            </w:r>
          </w:p>
        </w:tc>
        <w:tc>
          <w:tcPr>
            <w:tcW w:w="879" w:type="pct"/>
            <w:vAlign w:val="center"/>
          </w:tcPr>
          <w:p w14:paraId="762BA574">
            <w:pPr>
              <w:pStyle w:val="11"/>
              <w:snapToGrid w:val="0"/>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踏勘现场</w:t>
            </w:r>
          </w:p>
        </w:tc>
        <w:tc>
          <w:tcPr>
            <w:tcW w:w="3684" w:type="pct"/>
            <w:vAlign w:val="center"/>
          </w:tcPr>
          <w:p w14:paraId="65F3225E">
            <w:pPr>
              <w:pStyle w:val="11"/>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不组织,投标人自行组织踏勘现场。</w:t>
            </w:r>
          </w:p>
        </w:tc>
      </w:tr>
      <w:tr w14:paraId="47088D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435" w:type="pct"/>
            <w:vAlign w:val="center"/>
          </w:tcPr>
          <w:p w14:paraId="4B391E9A">
            <w:pPr>
              <w:pStyle w:val="11"/>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w:t>
            </w:r>
          </w:p>
        </w:tc>
        <w:tc>
          <w:tcPr>
            <w:tcW w:w="879" w:type="pct"/>
            <w:vAlign w:val="center"/>
          </w:tcPr>
          <w:p w14:paraId="680B99C3">
            <w:pPr>
              <w:pStyle w:val="11"/>
              <w:snapToGrid w:val="0"/>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投标预备会</w:t>
            </w:r>
          </w:p>
        </w:tc>
        <w:tc>
          <w:tcPr>
            <w:tcW w:w="3684" w:type="pct"/>
            <w:vAlign w:val="center"/>
          </w:tcPr>
          <w:p w14:paraId="32B27DE5">
            <w:pPr>
              <w:pStyle w:val="11"/>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不召开</w:t>
            </w:r>
          </w:p>
        </w:tc>
      </w:tr>
      <w:tr w14:paraId="2DB8DE5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35" w:type="pct"/>
            <w:vAlign w:val="center"/>
          </w:tcPr>
          <w:p w14:paraId="5DCBA902">
            <w:pPr>
              <w:snapToGrid w:val="0"/>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13</w:t>
            </w:r>
          </w:p>
        </w:tc>
        <w:tc>
          <w:tcPr>
            <w:tcW w:w="879" w:type="pct"/>
            <w:vAlign w:val="center"/>
          </w:tcPr>
          <w:p w14:paraId="5E2F4EA8">
            <w:pPr>
              <w:pStyle w:val="11"/>
              <w:snapToGrid w:val="0"/>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联合体投标</w:t>
            </w:r>
          </w:p>
        </w:tc>
        <w:tc>
          <w:tcPr>
            <w:tcW w:w="3684" w:type="pct"/>
            <w:vAlign w:val="center"/>
          </w:tcPr>
          <w:p w14:paraId="42C5FFA4">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☑不接受</w:t>
            </w:r>
          </w:p>
          <w:p w14:paraId="78B7F191">
            <w:pPr>
              <w:pStyle w:val="11"/>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□接受</w:t>
            </w:r>
          </w:p>
        </w:tc>
      </w:tr>
      <w:tr w14:paraId="3DF59D2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7" w:hRule="atLeast"/>
          <w:jc w:val="center"/>
        </w:trPr>
        <w:tc>
          <w:tcPr>
            <w:tcW w:w="435" w:type="pct"/>
            <w:vAlign w:val="center"/>
          </w:tcPr>
          <w:p w14:paraId="1F369FD3">
            <w:pPr>
              <w:snapToGrid w:val="0"/>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14</w:t>
            </w:r>
          </w:p>
        </w:tc>
        <w:tc>
          <w:tcPr>
            <w:tcW w:w="879" w:type="pct"/>
            <w:vAlign w:val="center"/>
          </w:tcPr>
          <w:p w14:paraId="6579BE87">
            <w:pPr>
              <w:snapToGrid w:val="0"/>
              <w:spacing w:line="360" w:lineRule="auto"/>
              <w:jc w:val="left"/>
              <w:rPr>
                <w:rFonts w:hint="eastAsia" w:ascii="仿宋" w:hAnsi="仿宋" w:eastAsia="仿宋" w:cs="仿宋"/>
                <w:color w:val="auto"/>
                <w:kern w:val="2"/>
                <w:sz w:val="21"/>
                <w:szCs w:val="21"/>
                <w:highlight w:val="none"/>
                <w:u w:color="000000"/>
                <w:lang w:val="en-US" w:eastAsia="zh-CN" w:bidi="ar-SA"/>
              </w:rPr>
            </w:pPr>
            <w:r>
              <w:rPr>
                <w:rFonts w:hint="eastAsia" w:ascii="仿宋" w:hAnsi="仿宋" w:eastAsia="仿宋" w:cs="仿宋"/>
                <w:color w:val="auto"/>
                <w:kern w:val="2"/>
                <w:sz w:val="21"/>
                <w:szCs w:val="21"/>
                <w:highlight w:val="none"/>
                <w:u w:color="000000"/>
                <w:lang w:val="en-US" w:eastAsia="zh-CN" w:bidi="ar-SA"/>
              </w:rPr>
              <w:t>招标代理费</w:t>
            </w:r>
          </w:p>
        </w:tc>
        <w:tc>
          <w:tcPr>
            <w:tcW w:w="3684" w:type="pct"/>
            <w:vAlign w:val="center"/>
          </w:tcPr>
          <w:p w14:paraId="2BBDDFF5">
            <w:pPr>
              <w:keepNext w:val="0"/>
              <w:keepLines w:val="0"/>
              <w:widowControl/>
              <w:suppressLineNumbers w:val="0"/>
              <w:jc w:val="left"/>
              <w:rPr>
                <w:rFonts w:hint="eastAsia" w:ascii="仿宋" w:hAnsi="仿宋" w:eastAsia="仿宋" w:cs="仿宋"/>
                <w:color w:val="auto"/>
                <w:kern w:val="2"/>
                <w:sz w:val="21"/>
                <w:szCs w:val="21"/>
                <w:highlight w:val="none"/>
                <w:u w:color="000000"/>
                <w:lang w:val="en-US" w:eastAsia="zh-CN" w:bidi="ar-SA"/>
              </w:rPr>
            </w:pPr>
            <w:r>
              <w:rPr>
                <w:rFonts w:hint="eastAsia" w:ascii="仿宋" w:hAnsi="仿宋" w:eastAsia="仿宋" w:cs="仿宋"/>
                <w:b/>
                <w:bCs/>
                <w:color w:val="auto"/>
                <w:kern w:val="2"/>
                <w:sz w:val="21"/>
                <w:szCs w:val="21"/>
                <w:highlight w:val="none"/>
                <w:u w:color="000000"/>
                <w:lang w:val="en-US" w:eastAsia="zh-CN" w:bidi="ar-SA"/>
              </w:rPr>
              <w:t>中标单位在领取本项目中标通知书时，招标代理费依据《关于进一步放开建设项目专业服务价格的通知》（发改价格[2015]299 号）的规定按中标价计算后收取。</w:t>
            </w:r>
          </w:p>
        </w:tc>
      </w:tr>
      <w:tr w14:paraId="296F4B9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435" w:type="pct"/>
            <w:vAlign w:val="center"/>
          </w:tcPr>
          <w:p w14:paraId="10346009">
            <w:pPr>
              <w:pStyle w:val="11"/>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15</w:t>
            </w:r>
          </w:p>
        </w:tc>
        <w:tc>
          <w:tcPr>
            <w:tcW w:w="879" w:type="pct"/>
            <w:vAlign w:val="center"/>
          </w:tcPr>
          <w:p w14:paraId="7121D1BD">
            <w:pPr>
              <w:snapToGrid w:val="0"/>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最高投标限价</w:t>
            </w:r>
          </w:p>
        </w:tc>
        <w:tc>
          <w:tcPr>
            <w:tcW w:w="3684" w:type="pct"/>
            <w:vAlign w:val="center"/>
          </w:tcPr>
          <w:p w14:paraId="39DE2E92">
            <w:pPr>
              <w:snapToGrid w:val="0"/>
              <w:spacing w:line="360" w:lineRule="auto"/>
              <w:rPr>
                <w:rFonts w:hint="eastAsia" w:ascii="仿宋" w:hAnsi="仿宋" w:eastAsia="仿宋" w:cs="仿宋"/>
                <w:szCs w:val="21"/>
                <w:highlight w:val="none"/>
              </w:rPr>
            </w:pPr>
            <w:r>
              <w:rPr>
                <w:rFonts w:hint="eastAsia" w:ascii="仿宋" w:hAnsi="仿宋" w:eastAsia="仿宋" w:cs="仿宋"/>
                <w:color w:val="auto"/>
                <w:szCs w:val="21"/>
                <w:highlight w:val="none"/>
              </w:rPr>
              <w:t>招标人设置投标报价最高上限：</w:t>
            </w:r>
            <w:r>
              <w:rPr>
                <w:rFonts w:hint="eastAsia" w:ascii="仿宋" w:hAnsi="仿宋" w:eastAsia="仿宋" w:cs="仿宋"/>
                <w:color w:val="auto"/>
                <w:szCs w:val="21"/>
                <w:highlight w:val="none"/>
                <w:u w:val="single"/>
                <w:lang w:val="en-US" w:eastAsia="zh-CN"/>
              </w:rPr>
              <w:t>1728000.00</w:t>
            </w:r>
            <w:r>
              <w:rPr>
                <w:rFonts w:hint="eastAsia" w:ascii="仿宋" w:hAnsi="仿宋" w:eastAsia="仿宋" w:cs="仿宋"/>
                <w:b/>
                <w:bCs/>
                <w:color w:val="auto"/>
                <w:szCs w:val="21"/>
                <w:highlight w:val="none"/>
                <w:u w:val="single"/>
              </w:rPr>
              <w:t>元，高于最高限价的，其投标文件按无效投标处理。</w:t>
            </w:r>
          </w:p>
        </w:tc>
      </w:tr>
      <w:tr w14:paraId="2A39FAE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435" w:type="pct"/>
            <w:vAlign w:val="center"/>
          </w:tcPr>
          <w:p w14:paraId="3B94669F">
            <w:pPr>
              <w:snapToGrid w:val="0"/>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16</w:t>
            </w:r>
          </w:p>
        </w:tc>
        <w:tc>
          <w:tcPr>
            <w:tcW w:w="879" w:type="pct"/>
            <w:vAlign w:val="center"/>
          </w:tcPr>
          <w:p w14:paraId="44D3F21E">
            <w:pPr>
              <w:pStyle w:val="11"/>
              <w:snapToGrid w:val="0"/>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投标有效期</w:t>
            </w:r>
          </w:p>
        </w:tc>
        <w:tc>
          <w:tcPr>
            <w:tcW w:w="3684" w:type="pct"/>
            <w:vAlign w:val="center"/>
          </w:tcPr>
          <w:p w14:paraId="72F7289D">
            <w:pPr>
              <w:pStyle w:val="11"/>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投标有效期为</w:t>
            </w:r>
            <w:r>
              <w:rPr>
                <w:rFonts w:hint="eastAsia" w:ascii="仿宋" w:hAnsi="仿宋" w:eastAsia="仿宋" w:cs="仿宋"/>
                <w:color w:val="auto"/>
                <w:szCs w:val="21"/>
                <w:highlight w:val="none"/>
                <w:u w:val="single"/>
              </w:rPr>
              <w:t xml:space="preserve"> 60 </w:t>
            </w:r>
            <w:r>
              <w:rPr>
                <w:rFonts w:hint="eastAsia" w:ascii="仿宋" w:hAnsi="仿宋" w:eastAsia="仿宋" w:cs="仿宋"/>
                <w:color w:val="auto"/>
                <w:szCs w:val="21"/>
                <w:highlight w:val="none"/>
              </w:rPr>
              <w:t>日历天（从投标截止之日算起）。在此期限内，凡符合本采购文件要求的投标文件均保持有效。</w:t>
            </w:r>
          </w:p>
        </w:tc>
      </w:tr>
      <w:tr w14:paraId="729E0B1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435" w:type="pct"/>
            <w:vMerge w:val="restart"/>
            <w:vAlign w:val="center"/>
          </w:tcPr>
          <w:p w14:paraId="3B8FC531">
            <w:pPr>
              <w:pStyle w:val="11"/>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17</w:t>
            </w:r>
          </w:p>
        </w:tc>
        <w:tc>
          <w:tcPr>
            <w:tcW w:w="879" w:type="pct"/>
            <w:tcBorders>
              <w:bottom w:val="single" w:color="auto" w:sz="4" w:space="0"/>
            </w:tcBorders>
            <w:vAlign w:val="center"/>
          </w:tcPr>
          <w:p w14:paraId="47474238">
            <w:pPr>
              <w:snapToGrid w:val="0"/>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投标保证金</w:t>
            </w:r>
          </w:p>
        </w:tc>
        <w:tc>
          <w:tcPr>
            <w:tcW w:w="3684" w:type="pct"/>
            <w:tcBorders>
              <w:bottom w:val="single" w:color="auto" w:sz="4" w:space="0"/>
            </w:tcBorders>
          </w:tcPr>
          <w:p w14:paraId="33AFBFF6">
            <w:pPr>
              <w:widowControl/>
              <w:spacing w:line="240" w:lineRule="auto"/>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本项目不做要求</w:t>
            </w:r>
          </w:p>
        </w:tc>
      </w:tr>
      <w:tr w14:paraId="2992EEB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435" w:type="pct"/>
            <w:vMerge w:val="continue"/>
            <w:vAlign w:val="center"/>
          </w:tcPr>
          <w:p w14:paraId="4BFD46D8">
            <w:pPr>
              <w:snapToGrid w:val="0"/>
              <w:spacing w:line="360" w:lineRule="auto"/>
              <w:jc w:val="center"/>
              <w:rPr>
                <w:rFonts w:hint="eastAsia" w:ascii="仿宋" w:hAnsi="仿宋" w:eastAsia="仿宋" w:cs="仿宋"/>
                <w:szCs w:val="21"/>
                <w:highlight w:val="none"/>
              </w:rPr>
            </w:pPr>
          </w:p>
        </w:tc>
        <w:tc>
          <w:tcPr>
            <w:tcW w:w="4564" w:type="pct"/>
            <w:gridSpan w:val="2"/>
            <w:tcBorders>
              <w:top w:val="single" w:color="auto" w:sz="4" w:space="0"/>
            </w:tcBorders>
            <w:vAlign w:val="center"/>
          </w:tcPr>
          <w:p w14:paraId="22ED0D3D">
            <w:pPr>
              <w:widowControl/>
              <w:spacing w:line="240" w:lineRule="auto"/>
              <w:rPr>
                <w:rFonts w:hint="default" w:ascii="仿宋" w:hAnsi="仿宋" w:eastAsia="仿宋" w:cs="仿宋"/>
                <w:b/>
                <w:bCs/>
                <w:color w:val="000000"/>
                <w:kern w:val="0"/>
                <w:szCs w:val="21"/>
                <w:highlight w:val="none"/>
                <w:lang w:val="en-US" w:eastAsia="zh-CN"/>
              </w:rPr>
            </w:pPr>
            <w:r>
              <w:rPr>
                <w:rFonts w:hint="eastAsia" w:ascii="仿宋" w:hAnsi="仿宋" w:eastAsia="仿宋" w:cs="仿宋"/>
                <w:b/>
                <w:bCs/>
                <w:color w:val="000000"/>
                <w:kern w:val="0"/>
                <w:szCs w:val="21"/>
                <w:highlight w:val="none"/>
                <w:lang w:val="en-US" w:eastAsia="zh-CN"/>
              </w:rPr>
              <w:t>投标保证金具体缴纳方式如下：（本项目不做要求）</w:t>
            </w:r>
          </w:p>
          <w:p w14:paraId="12203149">
            <w:pPr>
              <w:widowControl/>
              <w:spacing w:line="240" w:lineRule="auto"/>
              <w:rPr>
                <w:rFonts w:hint="eastAsia" w:ascii="仿宋" w:hAnsi="仿宋" w:eastAsia="仿宋" w:cs="仿宋"/>
                <w:b/>
                <w:bCs/>
                <w:color w:val="000000"/>
                <w:kern w:val="0"/>
                <w:szCs w:val="21"/>
                <w:highlight w:val="none"/>
                <w:lang w:val="en-US" w:eastAsia="zh-CN"/>
              </w:rPr>
            </w:pPr>
            <w:r>
              <w:rPr>
                <w:rFonts w:hint="eastAsia" w:ascii="仿宋" w:hAnsi="仿宋" w:eastAsia="仿宋" w:cs="仿宋"/>
                <w:b/>
                <w:bCs/>
                <w:color w:val="000000"/>
                <w:kern w:val="0"/>
                <w:szCs w:val="21"/>
                <w:highlight w:val="none"/>
                <w:lang w:val="en-US" w:eastAsia="zh-CN"/>
              </w:rPr>
              <w:t>方式一：电子保证金</w:t>
            </w:r>
          </w:p>
          <w:p w14:paraId="6DF6374B">
            <w:pPr>
              <w:widowControl/>
              <w:spacing w:line="240" w:lineRule="auto"/>
              <w:rPr>
                <w:rFonts w:hint="eastAsia" w:ascii="仿宋" w:hAnsi="仿宋" w:eastAsia="仿宋" w:cs="仿宋"/>
                <w:color w:val="000000"/>
                <w:kern w:val="0"/>
                <w:szCs w:val="21"/>
                <w:highlight w:val="none"/>
                <w:lang w:val="en-US" w:eastAsia="zh-CN"/>
              </w:rPr>
            </w:pPr>
            <w:r>
              <w:rPr>
                <w:rFonts w:hint="eastAsia" w:ascii="仿宋" w:hAnsi="仿宋" w:eastAsia="仿宋" w:cs="仿宋"/>
                <w:color w:val="000000"/>
                <w:kern w:val="0"/>
                <w:szCs w:val="21"/>
                <w:highlight w:val="none"/>
                <w:lang w:val="en-US" w:eastAsia="zh-CN"/>
              </w:rPr>
              <w:t>账户信息：按系统自动生成的收款账号信息进行缴纳。具体操作在【保证金管理】页面，选择【电子保证金(在线获取账号)】,点击【新疆保证金平台】,自动从银行获取保证金的收款户名、收款账号、收款银行信息(开户行及行号)。供应商需将保证金转入获取到的收款账号，转账时请备注标项名称。</w:t>
            </w:r>
          </w:p>
          <w:p w14:paraId="76964768">
            <w:pPr>
              <w:widowControl/>
              <w:spacing w:line="240" w:lineRule="auto"/>
              <w:rPr>
                <w:rFonts w:hint="eastAsia" w:ascii="仿宋" w:hAnsi="仿宋" w:eastAsia="仿宋" w:cs="仿宋"/>
                <w:color w:val="000000"/>
                <w:kern w:val="0"/>
                <w:szCs w:val="21"/>
                <w:highlight w:val="none"/>
                <w:lang w:val="en-US" w:eastAsia="zh-CN"/>
              </w:rPr>
            </w:pPr>
            <w:r>
              <w:rPr>
                <w:rFonts w:hint="eastAsia" w:ascii="仿宋" w:hAnsi="仿宋" w:eastAsia="仿宋" w:cs="仿宋"/>
                <w:b/>
                <w:bCs/>
                <w:color w:val="000000"/>
                <w:kern w:val="0"/>
                <w:szCs w:val="21"/>
                <w:highlight w:val="none"/>
                <w:lang w:val="en-US" w:eastAsia="zh-CN"/>
              </w:rPr>
              <w:t>方式二：保函</w:t>
            </w:r>
          </w:p>
          <w:p w14:paraId="21A465B4">
            <w:pPr>
              <w:widowControl/>
              <w:spacing w:line="240" w:lineRule="auto"/>
              <w:rPr>
                <w:rFonts w:hint="eastAsia" w:ascii="仿宋" w:hAnsi="仿宋" w:eastAsia="仿宋" w:cs="仿宋"/>
                <w:color w:val="000000"/>
                <w:kern w:val="0"/>
                <w:szCs w:val="21"/>
                <w:highlight w:val="none"/>
                <w:lang w:val="en-US" w:eastAsia="zh-CN"/>
              </w:rPr>
            </w:pPr>
            <w:r>
              <w:rPr>
                <w:rFonts w:hint="eastAsia" w:ascii="仿宋" w:hAnsi="仿宋" w:eastAsia="仿宋" w:cs="仿宋"/>
                <w:color w:val="000000"/>
                <w:kern w:val="0"/>
                <w:szCs w:val="21"/>
                <w:highlight w:val="none"/>
                <w:lang w:val="en-US" w:eastAsia="zh-CN"/>
              </w:rPr>
              <w:t xml:space="preserve">电子保函。(1)缴纳程序：投标人可登录新疆政府采购网“电子保函”窗口线上办理投保手续；(2)办理电子保函必须在投标截止时间(开标时间)前完成；(3)开标前，投保人须下载加密保单作并加盖公章做为保证金缴纳凭证一并上传至资格审查文件中提交；(4)技术支持电话详见新疆政府采购网电子保函服务系统。   </w:t>
            </w:r>
          </w:p>
          <w:p w14:paraId="5E468028">
            <w:pPr>
              <w:snapToGrid w:val="0"/>
              <w:spacing w:line="240" w:lineRule="auto"/>
              <w:rPr>
                <w:rFonts w:hint="eastAsia" w:ascii="仿宋" w:hAnsi="仿宋" w:eastAsia="仿宋" w:cs="仿宋"/>
                <w:szCs w:val="21"/>
                <w:highlight w:val="none"/>
              </w:rPr>
            </w:pPr>
            <w:r>
              <w:rPr>
                <w:rFonts w:hint="eastAsia" w:ascii="仿宋" w:hAnsi="仿宋" w:eastAsia="仿宋" w:cs="仿宋"/>
                <w:b/>
                <w:bCs/>
                <w:color w:val="000000"/>
                <w:kern w:val="0"/>
                <w:szCs w:val="21"/>
                <w:highlight w:val="none"/>
                <w:lang w:val="en-US" w:eastAsia="zh-CN"/>
              </w:rPr>
              <w:t>保证金退还须知：</w:t>
            </w:r>
            <w:r>
              <w:rPr>
                <w:rFonts w:hint="eastAsia" w:ascii="仿宋" w:hAnsi="仿宋" w:eastAsia="仿宋" w:cs="仿宋"/>
                <w:color w:val="000000"/>
                <w:kern w:val="0"/>
                <w:szCs w:val="21"/>
                <w:highlight w:val="none"/>
                <w:lang w:val="en-US" w:eastAsia="zh-CN"/>
              </w:rPr>
              <w:t xml:space="preserve">开标后，未中标企业在法定工作时间内自动退还保证金，中标企业在签订合同后自动退还保证金。 </w:t>
            </w:r>
            <w:r>
              <w:rPr>
                <w:rFonts w:hint="eastAsia" w:ascii="仿宋" w:hAnsi="仿宋" w:eastAsia="仿宋" w:cs="仿宋"/>
                <w:color w:val="000000"/>
                <w:kern w:val="0"/>
                <w:szCs w:val="21"/>
                <w:highlight w:val="none"/>
              </w:rPr>
              <w:t xml:space="preserve">  </w:t>
            </w:r>
            <w:r>
              <w:rPr>
                <w:rFonts w:hint="eastAsia" w:ascii="仿宋" w:hAnsi="仿宋" w:eastAsia="仿宋" w:cs="仿宋"/>
                <w:color w:val="000000"/>
                <w:highlight w:val="none"/>
              </w:rPr>
              <w:t xml:space="preserve"> </w:t>
            </w:r>
          </w:p>
        </w:tc>
      </w:tr>
      <w:tr w14:paraId="6871411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4" w:hRule="atLeast"/>
          <w:jc w:val="center"/>
        </w:trPr>
        <w:tc>
          <w:tcPr>
            <w:tcW w:w="435" w:type="pct"/>
            <w:vAlign w:val="center"/>
          </w:tcPr>
          <w:p w14:paraId="255597B8">
            <w:pPr>
              <w:snapToGrid w:val="0"/>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18</w:t>
            </w:r>
          </w:p>
        </w:tc>
        <w:tc>
          <w:tcPr>
            <w:tcW w:w="879" w:type="pct"/>
            <w:vAlign w:val="center"/>
          </w:tcPr>
          <w:p w14:paraId="64D2112A">
            <w:pPr>
              <w:pStyle w:val="11"/>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投标文件形式</w:t>
            </w:r>
          </w:p>
        </w:tc>
        <w:tc>
          <w:tcPr>
            <w:tcW w:w="3684" w:type="pct"/>
            <w:vAlign w:val="center"/>
          </w:tcPr>
          <w:p w14:paraId="2850FEF6">
            <w:pPr>
              <w:pStyle w:val="11"/>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电子投标文件包括“电子加密投标文件”和“备份投标文件”，在投标文件编制完成后同时生成。</w:t>
            </w:r>
          </w:p>
          <w:p w14:paraId="70DE9978">
            <w:pPr>
              <w:pStyle w:val="11"/>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1、“电子加密投标文件” 是指通过“政采云电子交易客户端”完成投标文件编制后生成并加密的数据电文形式的投标文件。</w:t>
            </w:r>
          </w:p>
          <w:p w14:paraId="0C485F42">
            <w:pPr>
              <w:pStyle w:val="11"/>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2、“备份投标文件”是指与“电子加密投标文件”同时生成的数据电文形式的电子文件（备份标书，用于供应商标书解密异常时应急使用），其他方式编制的备份投标文件视为无效备份投标文件。</w:t>
            </w:r>
          </w:p>
        </w:tc>
      </w:tr>
      <w:tr w14:paraId="0D84CFE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435" w:type="pct"/>
            <w:vAlign w:val="center"/>
          </w:tcPr>
          <w:p w14:paraId="37650C7A">
            <w:pPr>
              <w:snapToGrid w:val="0"/>
              <w:spacing w:line="360" w:lineRule="auto"/>
              <w:ind w:left="-77" w:leftChars="-37" w:right="-94" w:rightChars="-45"/>
              <w:jc w:val="center"/>
              <w:rPr>
                <w:rFonts w:hint="eastAsia" w:ascii="仿宋" w:hAnsi="仿宋" w:eastAsia="仿宋" w:cs="仿宋"/>
                <w:szCs w:val="21"/>
                <w:highlight w:val="none"/>
              </w:rPr>
            </w:pPr>
            <w:r>
              <w:rPr>
                <w:rFonts w:hint="eastAsia" w:ascii="仿宋" w:hAnsi="仿宋" w:eastAsia="仿宋" w:cs="仿宋"/>
                <w:szCs w:val="21"/>
                <w:highlight w:val="none"/>
              </w:rPr>
              <w:t>19</w:t>
            </w:r>
          </w:p>
        </w:tc>
        <w:tc>
          <w:tcPr>
            <w:tcW w:w="879" w:type="pct"/>
            <w:vAlign w:val="center"/>
          </w:tcPr>
          <w:p w14:paraId="4B11966B">
            <w:pPr>
              <w:pStyle w:val="11"/>
              <w:snapToGrid w:val="0"/>
              <w:spacing w:line="360" w:lineRule="auto"/>
              <w:rPr>
                <w:rFonts w:hint="eastAsia" w:ascii="仿宋" w:hAnsi="仿宋" w:eastAsia="仿宋" w:cs="仿宋"/>
                <w:color w:val="auto"/>
                <w:szCs w:val="21"/>
                <w:highlight w:val="none"/>
              </w:rPr>
            </w:pPr>
            <w:r>
              <w:rPr>
                <w:rFonts w:hint="eastAsia" w:ascii="仿宋" w:hAnsi="仿宋" w:eastAsia="仿宋" w:cs="仿宋"/>
                <w:b/>
                <w:bCs/>
                <w:color w:val="auto"/>
                <w:szCs w:val="21"/>
                <w:highlight w:val="none"/>
              </w:rPr>
              <w:t>投标文件份数及要求</w:t>
            </w:r>
          </w:p>
        </w:tc>
        <w:tc>
          <w:tcPr>
            <w:tcW w:w="3684" w:type="pct"/>
            <w:vAlign w:val="center"/>
          </w:tcPr>
          <w:p w14:paraId="7470D62F">
            <w:pPr>
              <w:pStyle w:val="11"/>
              <w:snapToGrid w:val="0"/>
              <w:spacing w:line="360" w:lineRule="auto"/>
              <w:rPr>
                <w:rFonts w:hint="eastAsia" w:ascii="仿宋" w:hAnsi="仿宋" w:eastAsia="仿宋" w:cs="仿宋"/>
                <w:color w:val="auto"/>
                <w:szCs w:val="21"/>
                <w:highlight w:val="none"/>
              </w:rPr>
            </w:pPr>
            <w:r>
              <w:rPr>
                <w:rFonts w:hint="eastAsia" w:ascii="仿宋" w:hAnsi="仿宋" w:eastAsia="仿宋" w:cs="仿宋"/>
              </w:rPr>
              <w:t>加密的电子</w:t>
            </w:r>
            <w:r>
              <w:rPr>
                <w:rFonts w:hint="eastAsia" w:ascii="仿宋" w:hAnsi="仿宋" w:eastAsia="仿宋" w:cs="仿宋"/>
                <w:lang w:val="en-US" w:eastAsia="zh-CN"/>
              </w:rPr>
              <w:t>投标</w:t>
            </w:r>
            <w:r>
              <w:rPr>
                <w:rFonts w:hint="eastAsia" w:ascii="仿宋" w:hAnsi="仿宋" w:eastAsia="仿宋" w:cs="仿宋"/>
                <w:lang w:eastAsia="zh-CN"/>
              </w:rPr>
              <w:t>投标文件</w:t>
            </w:r>
            <w:r>
              <w:rPr>
                <w:rFonts w:hint="eastAsia" w:ascii="仿宋" w:hAnsi="仿宋" w:eastAsia="仿宋" w:cs="仿宋"/>
              </w:rPr>
              <w:t>投标供应商应当在投标截止时间前，将生成“电子加密</w:t>
            </w:r>
            <w:r>
              <w:rPr>
                <w:rFonts w:hint="eastAsia" w:ascii="仿宋" w:hAnsi="仿宋" w:eastAsia="仿宋" w:cs="仿宋"/>
                <w:lang w:eastAsia="zh-CN"/>
              </w:rPr>
              <w:t>投标文件</w:t>
            </w:r>
            <w:r>
              <w:rPr>
                <w:rFonts w:hint="eastAsia" w:ascii="仿宋" w:hAnsi="仿宋" w:eastAsia="仿宋" w:cs="仿宋"/>
              </w:rPr>
              <w:t>”上传递交至“采购云平台”，投标截止时间以后，上传递交的</w:t>
            </w:r>
            <w:r>
              <w:rPr>
                <w:rFonts w:hint="eastAsia" w:ascii="仿宋" w:hAnsi="仿宋" w:eastAsia="仿宋" w:cs="仿宋"/>
                <w:lang w:eastAsia="zh-CN"/>
              </w:rPr>
              <w:t>投标文件</w:t>
            </w:r>
            <w:r>
              <w:rPr>
                <w:rFonts w:hint="eastAsia" w:ascii="仿宋" w:hAnsi="仿宋" w:eastAsia="仿宋" w:cs="仿宋"/>
              </w:rPr>
              <w:t>将被“政采云”平台拒收，开标时须使用CA 密钥进行文件解密工作。</w:t>
            </w:r>
          </w:p>
        </w:tc>
      </w:tr>
      <w:tr w14:paraId="5CB2859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0" w:hRule="atLeast"/>
          <w:jc w:val="center"/>
        </w:trPr>
        <w:tc>
          <w:tcPr>
            <w:tcW w:w="435" w:type="pct"/>
            <w:vMerge w:val="restart"/>
            <w:vAlign w:val="center"/>
          </w:tcPr>
          <w:p w14:paraId="0CD507F5">
            <w:pPr>
              <w:snapToGrid w:val="0"/>
              <w:spacing w:line="360" w:lineRule="auto"/>
              <w:ind w:left="-77" w:leftChars="-37" w:right="-94" w:rightChars="-45"/>
              <w:jc w:val="center"/>
              <w:rPr>
                <w:rFonts w:hint="eastAsia" w:ascii="仿宋" w:hAnsi="仿宋" w:eastAsia="仿宋" w:cs="仿宋"/>
                <w:szCs w:val="21"/>
                <w:highlight w:val="none"/>
              </w:rPr>
            </w:pPr>
            <w:r>
              <w:rPr>
                <w:rFonts w:hint="eastAsia" w:ascii="仿宋" w:hAnsi="仿宋" w:eastAsia="仿宋" w:cs="仿宋"/>
                <w:szCs w:val="21"/>
                <w:highlight w:val="none"/>
              </w:rPr>
              <w:t>20</w:t>
            </w:r>
          </w:p>
        </w:tc>
        <w:tc>
          <w:tcPr>
            <w:tcW w:w="879" w:type="pct"/>
            <w:vMerge w:val="restart"/>
            <w:vAlign w:val="center"/>
          </w:tcPr>
          <w:p w14:paraId="56B8BF48">
            <w:pPr>
              <w:pStyle w:val="11"/>
              <w:snapToGrid w:val="0"/>
              <w:spacing w:line="360" w:lineRule="auto"/>
              <w:rPr>
                <w:rFonts w:hint="eastAsia" w:ascii="仿宋" w:hAnsi="仿宋" w:eastAsia="仿宋" w:cs="仿宋"/>
                <w:bCs/>
                <w:color w:val="auto"/>
                <w:szCs w:val="21"/>
                <w:highlight w:val="none"/>
              </w:rPr>
            </w:pPr>
            <w:r>
              <w:rPr>
                <w:rFonts w:hint="eastAsia" w:ascii="仿宋" w:hAnsi="仿宋" w:eastAsia="仿宋" w:cs="仿宋"/>
                <w:b/>
                <w:bCs/>
                <w:color w:val="auto"/>
                <w:szCs w:val="21"/>
                <w:highlight w:val="none"/>
                <w:lang w:bidi="zh-CN"/>
              </w:rPr>
              <w:t>投标文件的上传和递交</w:t>
            </w:r>
          </w:p>
        </w:tc>
        <w:tc>
          <w:tcPr>
            <w:tcW w:w="3684" w:type="pct"/>
            <w:vAlign w:val="center"/>
          </w:tcPr>
          <w:p w14:paraId="26A02D4F">
            <w:pPr>
              <w:pStyle w:val="11"/>
              <w:snapToGrid w:val="0"/>
              <w:spacing w:line="360" w:lineRule="auto"/>
              <w:rPr>
                <w:rFonts w:hint="eastAsia" w:ascii="仿宋" w:hAnsi="仿宋" w:eastAsia="仿宋" w:cs="仿宋"/>
                <w:color w:val="auto"/>
                <w:szCs w:val="21"/>
                <w:u w:val="single"/>
              </w:rPr>
            </w:pPr>
            <w:r>
              <w:rPr>
                <w:rFonts w:hint="eastAsia" w:ascii="仿宋" w:hAnsi="仿宋" w:eastAsia="仿宋" w:cs="仿宋"/>
                <w:color w:val="auto"/>
                <w:szCs w:val="21"/>
              </w:rPr>
              <w:t>1.电子加密投标文件：投标文件制作完成并生成加密标书，在投标截止时间前，供应商需将加密的投标文件上传至政采云平台，</w:t>
            </w:r>
            <w:r>
              <w:rPr>
                <w:rFonts w:hint="eastAsia" w:ascii="仿宋" w:hAnsi="仿宋" w:eastAsia="仿宋" w:cs="仿宋"/>
                <w:b/>
                <w:bCs/>
                <w:color w:val="auto"/>
                <w:szCs w:val="21"/>
                <w:u w:val="single"/>
              </w:rPr>
              <w:t>在开标时间开始后，待采购组织机构发出解密通知后30分钟内解密投标文件。</w:t>
            </w:r>
          </w:p>
          <w:p w14:paraId="6ED787A7">
            <w:pPr>
              <w:pStyle w:val="11"/>
              <w:snapToGrid w:val="0"/>
              <w:spacing w:line="360" w:lineRule="auto"/>
              <w:rPr>
                <w:rFonts w:hint="eastAsia" w:ascii="仿宋" w:hAnsi="仿宋" w:eastAsia="仿宋" w:cs="仿宋"/>
                <w:color w:val="auto"/>
                <w:szCs w:val="21"/>
              </w:rPr>
            </w:pPr>
            <w:r>
              <w:rPr>
                <w:rFonts w:hint="eastAsia" w:ascii="仿宋" w:hAnsi="仿宋" w:eastAsia="仿宋" w:cs="仿宋"/>
                <w:color w:val="auto"/>
                <w:szCs w:val="21"/>
              </w:rPr>
              <w:t>a.供应商未能在投标截止时间前成功上传电子加密投标文件的投标无效。</w:t>
            </w:r>
          </w:p>
          <w:p w14:paraId="74F01E80">
            <w:pPr>
              <w:pStyle w:val="11"/>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rPr>
              <w:t>b.供应商成功上传电子加密投标文件后，可自行打印投标文件接收回执。</w:t>
            </w:r>
          </w:p>
        </w:tc>
      </w:tr>
      <w:tr w14:paraId="125DC5C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0" w:hRule="atLeast"/>
          <w:jc w:val="center"/>
        </w:trPr>
        <w:tc>
          <w:tcPr>
            <w:tcW w:w="435" w:type="pct"/>
            <w:vMerge w:val="continue"/>
            <w:vAlign w:val="center"/>
          </w:tcPr>
          <w:p w14:paraId="2BC32331">
            <w:pPr>
              <w:widowControl/>
              <w:snapToGrid w:val="0"/>
              <w:spacing w:line="360" w:lineRule="auto"/>
              <w:ind w:firstLine="88" w:firstLineChars="42"/>
              <w:jc w:val="left"/>
              <w:rPr>
                <w:rFonts w:hint="eastAsia" w:ascii="仿宋" w:hAnsi="仿宋" w:eastAsia="仿宋" w:cs="仿宋"/>
                <w:szCs w:val="21"/>
                <w:highlight w:val="none"/>
              </w:rPr>
            </w:pPr>
          </w:p>
        </w:tc>
        <w:tc>
          <w:tcPr>
            <w:tcW w:w="879" w:type="pct"/>
            <w:vMerge w:val="continue"/>
            <w:vAlign w:val="center"/>
          </w:tcPr>
          <w:p w14:paraId="29D74D59">
            <w:pPr>
              <w:pStyle w:val="11"/>
              <w:snapToGrid w:val="0"/>
              <w:spacing w:line="360" w:lineRule="auto"/>
              <w:rPr>
                <w:rFonts w:hint="eastAsia" w:ascii="仿宋" w:hAnsi="仿宋" w:eastAsia="仿宋" w:cs="仿宋"/>
                <w:color w:val="auto"/>
                <w:szCs w:val="21"/>
                <w:highlight w:val="none"/>
              </w:rPr>
            </w:pPr>
          </w:p>
        </w:tc>
        <w:tc>
          <w:tcPr>
            <w:tcW w:w="3684" w:type="pct"/>
            <w:vAlign w:val="center"/>
          </w:tcPr>
          <w:p w14:paraId="7057A98F">
            <w:pPr>
              <w:pStyle w:val="11"/>
              <w:snapToGrid w:val="0"/>
              <w:spacing w:line="360" w:lineRule="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rPr>
              <w:t>2.</w:t>
            </w:r>
            <w:r>
              <w:rPr>
                <w:rFonts w:hint="eastAsia" w:ascii="仿宋" w:hAnsi="仿宋" w:eastAsia="仿宋" w:cs="仿宋"/>
                <w:color w:val="auto"/>
                <w:szCs w:val="21"/>
                <w:lang w:val="en-US" w:eastAsia="zh-CN"/>
              </w:rPr>
              <w:t>标书递交情况：开标结束三天内需提供纸质版标书，供应商需提供一正三幅，四个优盘，按照代理公司的地址快递邮寄到公司，投标文件封皮需盖鲜章（公章、私章），投标文件内容需提供系统里导出来的投标文件内容即可，投标单位需保证，提供的纸质版资料需与政采云系统里的内容保持一致。</w:t>
            </w:r>
          </w:p>
        </w:tc>
      </w:tr>
      <w:tr w14:paraId="1FE55A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7" w:hRule="atLeast"/>
          <w:jc w:val="center"/>
        </w:trPr>
        <w:tc>
          <w:tcPr>
            <w:tcW w:w="435" w:type="pct"/>
            <w:vAlign w:val="center"/>
          </w:tcPr>
          <w:p w14:paraId="3FC41AEE">
            <w:pPr>
              <w:snapToGrid w:val="0"/>
              <w:spacing w:line="360" w:lineRule="auto"/>
              <w:ind w:left="-77" w:leftChars="-37" w:right="-94" w:rightChars="-45"/>
              <w:jc w:val="center"/>
              <w:rPr>
                <w:rFonts w:hint="eastAsia" w:ascii="仿宋" w:hAnsi="仿宋" w:eastAsia="仿宋" w:cs="仿宋"/>
                <w:szCs w:val="21"/>
                <w:highlight w:val="none"/>
              </w:rPr>
            </w:pPr>
            <w:r>
              <w:rPr>
                <w:rFonts w:hint="eastAsia" w:ascii="仿宋" w:hAnsi="仿宋" w:eastAsia="仿宋" w:cs="仿宋"/>
                <w:szCs w:val="21"/>
                <w:highlight w:val="none"/>
              </w:rPr>
              <w:t>21</w:t>
            </w:r>
          </w:p>
        </w:tc>
        <w:tc>
          <w:tcPr>
            <w:tcW w:w="879" w:type="pct"/>
            <w:vAlign w:val="center"/>
          </w:tcPr>
          <w:p w14:paraId="7052ECCB">
            <w:pPr>
              <w:snapToGrid w:val="0"/>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投标截止时间及地点</w:t>
            </w:r>
          </w:p>
        </w:tc>
        <w:tc>
          <w:tcPr>
            <w:tcW w:w="3684" w:type="pct"/>
            <w:vAlign w:val="center"/>
          </w:tcPr>
          <w:p w14:paraId="4E367685">
            <w:pPr>
              <w:snapToGrid w:val="0"/>
              <w:spacing w:line="360" w:lineRule="auto"/>
              <w:ind w:firstLine="18" w:firstLineChars="9"/>
              <w:rPr>
                <w:rFonts w:hint="eastAsia" w:ascii="仿宋" w:hAnsi="仿宋" w:eastAsia="仿宋" w:cs="仿宋"/>
                <w:b/>
                <w:bCs/>
                <w:szCs w:val="21"/>
                <w:highlight w:val="none"/>
              </w:rPr>
            </w:pPr>
            <w:r>
              <w:rPr>
                <w:rFonts w:hint="eastAsia" w:ascii="仿宋" w:hAnsi="仿宋" w:eastAsia="仿宋" w:cs="仿宋"/>
                <w:b/>
                <w:bCs/>
                <w:szCs w:val="21"/>
                <w:highlight w:val="none"/>
              </w:rPr>
              <w:t>投标截止时间：</w:t>
            </w:r>
            <w:r>
              <w:rPr>
                <w:rFonts w:hint="eastAsia" w:ascii="仿宋" w:hAnsi="仿宋" w:eastAsia="仿宋" w:cs="仿宋"/>
                <w:b/>
                <w:bCs/>
                <w:szCs w:val="21"/>
                <w:highlight w:val="none"/>
                <w:lang w:val="en-US" w:eastAsia="zh-CN"/>
              </w:rPr>
              <w:t>同公告时间</w:t>
            </w:r>
          </w:p>
          <w:p w14:paraId="2135B901">
            <w:pPr>
              <w:snapToGrid w:val="0"/>
              <w:spacing w:line="360" w:lineRule="auto"/>
              <w:ind w:firstLine="18" w:firstLineChars="9"/>
              <w:rPr>
                <w:rFonts w:hint="eastAsia" w:ascii="仿宋" w:hAnsi="仿宋" w:eastAsia="仿宋" w:cs="仿宋"/>
                <w:szCs w:val="21"/>
                <w:highlight w:val="none"/>
              </w:rPr>
            </w:pPr>
            <w:r>
              <w:rPr>
                <w:rFonts w:hint="eastAsia" w:ascii="仿宋" w:hAnsi="仿宋" w:eastAsia="仿宋" w:cs="仿宋"/>
                <w:b/>
                <w:bCs/>
                <w:szCs w:val="21"/>
                <w:highlight w:val="none"/>
              </w:rPr>
              <w:t>投标地点：新疆政府采购云平台（www.zcygov.cn）</w:t>
            </w:r>
          </w:p>
        </w:tc>
      </w:tr>
      <w:tr w14:paraId="6E152D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435" w:type="pct"/>
            <w:vAlign w:val="center"/>
          </w:tcPr>
          <w:p w14:paraId="61A71121">
            <w:pPr>
              <w:pStyle w:val="11"/>
              <w:snapToGrid w:val="0"/>
              <w:spacing w:line="360" w:lineRule="auto"/>
              <w:ind w:left="-77" w:leftChars="-37" w:right="-94" w:rightChars="-45"/>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22</w:t>
            </w:r>
          </w:p>
        </w:tc>
        <w:tc>
          <w:tcPr>
            <w:tcW w:w="879" w:type="pct"/>
            <w:vAlign w:val="center"/>
          </w:tcPr>
          <w:p w14:paraId="2D37BA47">
            <w:pPr>
              <w:snapToGrid w:val="0"/>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开标时间及地点</w:t>
            </w:r>
          </w:p>
        </w:tc>
        <w:tc>
          <w:tcPr>
            <w:tcW w:w="3684" w:type="pct"/>
            <w:vAlign w:val="center"/>
          </w:tcPr>
          <w:p w14:paraId="6F28BEC1">
            <w:pPr>
              <w:snapToGrid w:val="0"/>
              <w:spacing w:line="360" w:lineRule="auto"/>
              <w:ind w:firstLine="18" w:firstLineChars="9"/>
              <w:rPr>
                <w:rFonts w:hint="eastAsia" w:ascii="仿宋" w:hAnsi="仿宋" w:eastAsia="仿宋" w:cs="仿宋"/>
                <w:b/>
                <w:bCs/>
                <w:szCs w:val="21"/>
                <w:highlight w:val="none"/>
              </w:rPr>
            </w:pPr>
            <w:r>
              <w:rPr>
                <w:rFonts w:hint="eastAsia" w:ascii="仿宋" w:hAnsi="仿宋" w:eastAsia="仿宋" w:cs="仿宋"/>
                <w:b/>
                <w:bCs/>
                <w:szCs w:val="21"/>
                <w:highlight w:val="none"/>
              </w:rPr>
              <w:t>开标时间：同投标截止时间</w:t>
            </w:r>
          </w:p>
          <w:p w14:paraId="5E130743">
            <w:pPr>
              <w:snapToGrid w:val="0"/>
              <w:spacing w:line="360" w:lineRule="auto"/>
              <w:ind w:firstLine="18" w:firstLineChars="9"/>
              <w:rPr>
                <w:rFonts w:hint="eastAsia" w:ascii="仿宋" w:hAnsi="仿宋" w:eastAsia="仿宋" w:cs="仿宋"/>
                <w:szCs w:val="21"/>
                <w:highlight w:val="none"/>
              </w:rPr>
            </w:pPr>
            <w:r>
              <w:rPr>
                <w:rFonts w:hint="eastAsia" w:ascii="仿宋" w:hAnsi="仿宋" w:eastAsia="仿宋" w:cs="仿宋"/>
                <w:b/>
                <w:bCs/>
                <w:szCs w:val="21"/>
                <w:highlight w:val="none"/>
              </w:rPr>
              <w:t>开标地点：在新疆政府采购云平台（www.zcygov.cn）上开启投标文件</w:t>
            </w:r>
          </w:p>
        </w:tc>
      </w:tr>
      <w:tr w14:paraId="70B821E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435" w:type="pct"/>
            <w:vAlign w:val="center"/>
          </w:tcPr>
          <w:p w14:paraId="4C657370">
            <w:pPr>
              <w:pStyle w:val="11"/>
              <w:snapToGrid w:val="0"/>
              <w:spacing w:line="360" w:lineRule="auto"/>
              <w:ind w:left="-77" w:leftChars="-37" w:right="-94" w:rightChars="-45"/>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23</w:t>
            </w:r>
          </w:p>
        </w:tc>
        <w:tc>
          <w:tcPr>
            <w:tcW w:w="879" w:type="pct"/>
            <w:vAlign w:val="center"/>
          </w:tcPr>
          <w:p w14:paraId="5C086FCD">
            <w:pPr>
              <w:pStyle w:val="11"/>
              <w:snapToGrid w:val="0"/>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评标委员会的组建</w:t>
            </w:r>
          </w:p>
        </w:tc>
        <w:tc>
          <w:tcPr>
            <w:tcW w:w="3684" w:type="pct"/>
          </w:tcPr>
          <w:p w14:paraId="5ABF439C">
            <w:pPr>
              <w:pStyle w:val="11"/>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评标委员会由招标人依法组建；</w:t>
            </w:r>
          </w:p>
          <w:p w14:paraId="6D52472C">
            <w:pPr>
              <w:pStyle w:val="11"/>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磋商小组共 3 人，其中：采购人代表 </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 xml:space="preserve"> 人，评审专家 </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 xml:space="preserve"> 人。</w:t>
            </w:r>
          </w:p>
          <w:p w14:paraId="18348C80">
            <w:pPr>
              <w:pStyle w:val="11"/>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评标专家确定方式：从政采云专家库中随机抽取。</w:t>
            </w:r>
          </w:p>
        </w:tc>
      </w:tr>
      <w:tr w14:paraId="41C0B9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435" w:type="pct"/>
            <w:vAlign w:val="center"/>
          </w:tcPr>
          <w:p w14:paraId="131FC7F5">
            <w:pPr>
              <w:pStyle w:val="11"/>
              <w:snapToGrid w:val="0"/>
              <w:spacing w:line="360" w:lineRule="auto"/>
              <w:ind w:left="-77" w:leftChars="-37" w:right="-94" w:rightChars="-45"/>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24</w:t>
            </w:r>
          </w:p>
        </w:tc>
        <w:tc>
          <w:tcPr>
            <w:tcW w:w="879" w:type="pct"/>
            <w:vAlign w:val="center"/>
          </w:tcPr>
          <w:p w14:paraId="29217BFF">
            <w:pPr>
              <w:pStyle w:val="11"/>
              <w:snapToGrid w:val="0"/>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是否授权评标委员会确定中标候选人</w:t>
            </w:r>
          </w:p>
        </w:tc>
        <w:tc>
          <w:tcPr>
            <w:tcW w:w="3684" w:type="pct"/>
            <w:vAlign w:val="center"/>
          </w:tcPr>
          <w:p w14:paraId="319588BF">
            <w:pPr>
              <w:pStyle w:val="11"/>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是，评标委员会推荐3名成交候选人。</w:t>
            </w:r>
          </w:p>
        </w:tc>
      </w:tr>
      <w:tr w14:paraId="7A874E3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435" w:type="pct"/>
            <w:vAlign w:val="center"/>
          </w:tcPr>
          <w:p w14:paraId="6A7DD337">
            <w:pPr>
              <w:snapToGrid w:val="0"/>
              <w:spacing w:line="360" w:lineRule="auto"/>
              <w:ind w:left="-77" w:leftChars="-37" w:right="-94" w:rightChars="-45"/>
              <w:jc w:val="center"/>
              <w:rPr>
                <w:rFonts w:hint="eastAsia" w:ascii="仿宋" w:hAnsi="仿宋" w:eastAsia="仿宋" w:cs="仿宋"/>
                <w:szCs w:val="21"/>
                <w:highlight w:val="none"/>
              </w:rPr>
            </w:pPr>
            <w:r>
              <w:rPr>
                <w:rFonts w:hint="eastAsia" w:ascii="仿宋" w:hAnsi="仿宋" w:eastAsia="仿宋" w:cs="仿宋"/>
                <w:szCs w:val="21"/>
                <w:highlight w:val="none"/>
              </w:rPr>
              <w:t>25</w:t>
            </w:r>
          </w:p>
        </w:tc>
        <w:tc>
          <w:tcPr>
            <w:tcW w:w="879" w:type="pct"/>
            <w:vAlign w:val="center"/>
          </w:tcPr>
          <w:p w14:paraId="70B55AAB">
            <w:pPr>
              <w:pStyle w:val="11"/>
              <w:snapToGrid w:val="0"/>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中标候选人公示媒介</w:t>
            </w:r>
          </w:p>
        </w:tc>
        <w:tc>
          <w:tcPr>
            <w:tcW w:w="3684" w:type="pct"/>
            <w:vAlign w:val="center"/>
          </w:tcPr>
          <w:p w14:paraId="2BBC4C79">
            <w:pPr>
              <w:pStyle w:val="11"/>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新疆政府采购网，公示期为一个工作日。</w:t>
            </w:r>
          </w:p>
        </w:tc>
      </w:tr>
      <w:tr w14:paraId="386BE66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50" w:hRule="atLeast"/>
          <w:jc w:val="center"/>
        </w:trPr>
        <w:tc>
          <w:tcPr>
            <w:tcW w:w="435" w:type="pct"/>
            <w:vAlign w:val="center"/>
          </w:tcPr>
          <w:p w14:paraId="6D49E575">
            <w:pPr>
              <w:snapToGrid w:val="0"/>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26</w:t>
            </w:r>
          </w:p>
        </w:tc>
        <w:tc>
          <w:tcPr>
            <w:tcW w:w="879" w:type="pct"/>
            <w:vAlign w:val="center"/>
          </w:tcPr>
          <w:p w14:paraId="6EA477FE">
            <w:pPr>
              <w:snapToGrid w:val="0"/>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履约担保</w:t>
            </w:r>
          </w:p>
        </w:tc>
        <w:tc>
          <w:tcPr>
            <w:tcW w:w="3684" w:type="pct"/>
          </w:tcPr>
          <w:p w14:paraId="6CFCCF87">
            <w:pPr>
              <w:snapToGrid w:val="0"/>
              <w:spacing w:line="360" w:lineRule="auto"/>
              <w:rPr>
                <w:rFonts w:hint="eastAsia" w:ascii="仿宋" w:hAnsi="仿宋" w:eastAsia="仿宋" w:cs="仿宋"/>
                <w:szCs w:val="21"/>
                <w:highlight w:val="none"/>
              </w:rPr>
            </w:pPr>
            <w:r>
              <w:rPr>
                <w:rFonts w:hint="eastAsia" w:ascii="仿宋" w:hAnsi="仿宋" w:eastAsia="仿宋" w:cs="仿宋"/>
                <w:sz w:val="21"/>
                <w:szCs w:val="21"/>
              </w:rPr>
              <w:t>中标（成交）供应商在合同签订后5个工作日内向采购人交纳不超过中标（成交）价</w:t>
            </w:r>
            <w:r>
              <w:rPr>
                <w:rFonts w:hint="eastAsia" w:ascii="仿宋" w:hAnsi="仿宋" w:eastAsia="仿宋" w:cs="仿宋"/>
                <w:sz w:val="21"/>
                <w:szCs w:val="21"/>
                <w:u w:val="single"/>
              </w:rPr>
              <w:t>10</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w:t>
            </w:r>
            <w:r>
              <w:rPr>
                <w:rFonts w:hint="eastAsia" w:ascii="仿宋" w:hAnsi="仿宋" w:eastAsia="仿宋" w:cs="仿宋"/>
                <w:color w:val="000000"/>
                <w:sz w:val="21"/>
                <w:szCs w:val="21"/>
              </w:rPr>
              <w:t>的履</w:t>
            </w:r>
            <w:r>
              <w:rPr>
                <w:rFonts w:hint="eastAsia" w:ascii="仿宋" w:hAnsi="仿宋" w:eastAsia="仿宋" w:cs="仿宋"/>
                <w:sz w:val="21"/>
                <w:szCs w:val="21"/>
              </w:rPr>
              <w:t>约保证金（鼓励以银行、保险公司出具的履约保函形式提交；若以电汇、银行转账方式提交的，必须转到采购人的指定账户），如果中标（成交）供应商在建设期内没有涉及采购人的应付而未付金额或违约行为，采购人在项目验收合格后或提前终止合同后全额无息退还履约保证金。</w:t>
            </w:r>
          </w:p>
        </w:tc>
      </w:tr>
      <w:tr w14:paraId="6FAC731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50" w:hRule="atLeast"/>
          <w:jc w:val="center"/>
        </w:trPr>
        <w:tc>
          <w:tcPr>
            <w:tcW w:w="435" w:type="pct"/>
            <w:vAlign w:val="center"/>
          </w:tcPr>
          <w:p w14:paraId="3F175216">
            <w:pPr>
              <w:snapToGrid w:val="0"/>
              <w:spacing w:line="360" w:lineRule="auto"/>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27</w:t>
            </w:r>
          </w:p>
        </w:tc>
        <w:tc>
          <w:tcPr>
            <w:tcW w:w="879" w:type="pct"/>
            <w:vAlign w:val="center"/>
          </w:tcPr>
          <w:p w14:paraId="39395A04">
            <w:pPr>
              <w:snapToGrid w:val="0"/>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代理服务费</w:t>
            </w:r>
          </w:p>
        </w:tc>
        <w:tc>
          <w:tcPr>
            <w:tcW w:w="3684" w:type="pct"/>
          </w:tcPr>
          <w:p w14:paraId="2921CDD2">
            <w:pPr>
              <w:snapToGrid w:val="0"/>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交纳单位：由成交供应商交纳</w:t>
            </w:r>
          </w:p>
          <w:p w14:paraId="1B35B00D">
            <w:pPr>
              <w:snapToGrid w:val="0"/>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交纳时间：领取中标通知书之前</w:t>
            </w:r>
          </w:p>
          <w:p w14:paraId="669E7F1E">
            <w:pPr>
              <w:snapToGrid w:val="0"/>
              <w:spacing w:line="360" w:lineRule="auto"/>
              <w:rPr>
                <w:rFonts w:hint="eastAsia" w:ascii="仿宋" w:hAnsi="仿宋" w:eastAsia="仿宋" w:cs="仿宋"/>
                <w:sz w:val="21"/>
                <w:szCs w:val="21"/>
              </w:rPr>
            </w:pPr>
            <w:r>
              <w:rPr>
                <w:rFonts w:hint="eastAsia" w:ascii="仿宋" w:hAnsi="仿宋" w:eastAsia="仿宋" w:cs="仿宋"/>
                <w:sz w:val="21"/>
                <w:szCs w:val="21"/>
                <w:lang w:val="en-US" w:eastAsia="zh-CN"/>
              </w:rPr>
              <w:t>按照发改价格〔2015〕299号通知要求，参照国家计委计价格〔2002〕1980号文及发改价格〔2011〕534号文的差额定率累进法计算，以中标金额为基准价收取。</w:t>
            </w:r>
          </w:p>
        </w:tc>
      </w:tr>
      <w:tr w14:paraId="3C76668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00" w:hRule="atLeast"/>
          <w:jc w:val="center"/>
        </w:trPr>
        <w:tc>
          <w:tcPr>
            <w:tcW w:w="435" w:type="pct"/>
            <w:vAlign w:val="center"/>
          </w:tcPr>
          <w:p w14:paraId="0CD4827E">
            <w:pPr>
              <w:snapToGrid w:val="0"/>
              <w:spacing w:line="360" w:lineRule="auto"/>
              <w:jc w:val="center"/>
              <w:rPr>
                <w:rFonts w:hint="eastAsia" w:ascii="仿宋" w:hAnsi="仿宋" w:eastAsia="仿宋" w:cs="仿宋"/>
                <w:szCs w:val="21"/>
                <w:highlight w:val="none"/>
                <w:lang w:eastAsia="zh-CN"/>
              </w:rPr>
            </w:pPr>
            <w:r>
              <w:rPr>
                <w:rFonts w:hint="eastAsia" w:ascii="仿宋" w:hAnsi="仿宋" w:eastAsia="仿宋" w:cs="仿宋"/>
                <w:szCs w:val="21"/>
                <w:highlight w:val="none"/>
              </w:rPr>
              <w:t>2</w:t>
            </w:r>
            <w:r>
              <w:rPr>
                <w:rFonts w:hint="eastAsia" w:ascii="仿宋" w:hAnsi="仿宋" w:eastAsia="仿宋" w:cs="仿宋"/>
                <w:szCs w:val="21"/>
                <w:highlight w:val="none"/>
                <w:lang w:val="en-US" w:eastAsia="zh-CN"/>
              </w:rPr>
              <w:t>8</w:t>
            </w:r>
          </w:p>
        </w:tc>
        <w:tc>
          <w:tcPr>
            <w:tcW w:w="879" w:type="pct"/>
            <w:vAlign w:val="center"/>
          </w:tcPr>
          <w:p w14:paraId="29F0C0FD">
            <w:pPr>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磋商文件领取</w:t>
            </w:r>
          </w:p>
        </w:tc>
        <w:tc>
          <w:tcPr>
            <w:tcW w:w="3684" w:type="pct"/>
          </w:tcPr>
          <w:p w14:paraId="55F60785">
            <w:pPr>
              <w:snapToGrid w:val="0"/>
              <w:spacing w:line="360" w:lineRule="auto"/>
              <w:rPr>
                <w:rFonts w:hint="default" w:ascii="仿宋" w:hAnsi="仿宋" w:eastAsia="仿宋" w:cs="仿宋"/>
                <w:b/>
                <w:bCs/>
                <w:szCs w:val="21"/>
                <w:highlight w:val="none"/>
                <w:lang w:val="en-US" w:eastAsia="zh-CN"/>
              </w:rPr>
            </w:pPr>
            <w:r>
              <w:rPr>
                <w:rFonts w:hint="eastAsia" w:ascii="仿宋" w:hAnsi="仿宋" w:eastAsia="仿宋" w:cs="仿宋"/>
                <w:b/>
                <w:bCs/>
                <w:szCs w:val="21"/>
                <w:highlight w:val="none"/>
              </w:rPr>
              <w:t>1、时间：</w:t>
            </w:r>
            <w:r>
              <w:rPr>
                <w:rFonts w:hint="eastAsia" w:ascii="仿宋" w:hAnsi="仿宋" w:eastAsia="仿宋" w:cs="仿宋"/>
                <w:b/>
                <w:bCs/>
                <w:szCs w:val="21"/>
                <w:highlight w:val="none"/>
                <w:lang w:val="en-US" w:eastAsia="zh-CN"/>
              </w:rPr>
              <w:t>同公告时间</w:t>
            </w:r>
          </w:p>
          <w:p w14:paraId="3C3C5341">
            <w:pPr>
              <w:snapToGrid w:val="0"/>
              <w:spacing w:line="360" w:lineRule="auto"/>
              <w:rPr>
                <w:rFonts w:hint="eastAsia" w:ascii="仿宋" w:hAnsi="仿宋" w:eastAsia="仿宋" w:cs="仿宋"/>
                <w:b/>
                <w:bCs/>
                <w:szCs w:val="21"/>
                <w:highlight w:val="none"/>
              </w:rPr>
            </w:pPr>
            <w:r>
              <w:rPr>
                <w:rFonts w:hint="eastAsia" w:ascii="仿宋" w:hAnsi="仿宋" w:eastAsia="仿宋" w:cs="仿宋"/>
                <w:b/>
                <w:bCs/>
                <w:szCs w:val="21"/>
                <w:highlight w:val="none"/>
              </w:rPr>
              <w:t>2、地点：</w:t>
            </w:r>
            <w:r>
              <w:rPr>
                <w:rFonts w:hint="eastAsia" w:ascii="仿宋" w:hAnsi="仿宋" w:eastAsia="仿宋" w:cs="仿宋"/>
                <w:b/>
                <w:bCs/>
                <w:szCs w:val="21"/>
                <w:highlight w:val="none"/>
                <w:lang w:val="en-US" w:eastAsia="zh-CN"/>
              </w:rPr>
              <w:t>政采云平台http://www.zcygov.cn/。</w:t>
            </w:r>
            <w:r>
              <w:rPr>
                <w:rFonts w:hint="eastAsia" w:ascii="仿宋" w:hAnsi="仿宋" w:eastAsia="仿宋" w:cs="仿宋"/>
                <w:b/>
                <w:bCs/>
                <w:szCs w:val="21"/>
                <w:highlight w:val="none"/>
              </w:rPr>
              <w:t> </w:t>
            </w:r>
          </w:p>
          <w:p w14:paraId="3BE0888F">
            <w:pPr>
              <w:snapToGrid w:val="0"/>
              <w:spacing w:line="360" w:lineRule="auto"/>
              <w:rPr>
                <w:rFonts w:hint="eastAsia" w:ascii="仿宋" w:hAnsi="仿宋" w:eastAsia="仿宋" w:cs="仿宋"/>
                <w:b/>
                <w:bCs/>
                <w:szCs w:val="21"/>
                <w:highlight w:val="none"/>
                <w:lang w:eastAsia="zh-CN"/>
              </w:rPr>
            </w:pPr>
            <w:r>
              <w:rPr>
                <w:rFonts w:hint="eastAsia" w:ascii="仿宋" w:hAnsi="仿宋" w:eastAsia="仿宋" w:cs="仿宋"/>
                <w:b/>
                <w:bCs/>
                <w:szCs w:val="21"/>
                <w:highlight w:val="none"/>
              </w:rPr>
              <w:t>3、方式：（1）供应商登录政采云平台https://www.zcygov.cn/在线申请获取采购文件（进入“项目采购”应用，在获取采购文件菜单中选择项目，申请获取采购文件）</w:t>
            </w:r>
          </w:p>
          <w:p w14:paraId="3A20CC4E">
            <w:pPr>
              <w:snapToGrid w:val="0"/>
              <w:spacing w:line="360" w:lineRule="auto"/>
              <w:rPr>
                <w:rFonts w:hint="eastAsia" w:ascii="仿宋" w:hAnsi="仿宋" w:eastAsia="仿宋" w:cs="仿宋"/>
                <w:szCs w:val="21"/>
                <w:highlight w:val="none"/>
              </w:rPr>
            </w:pPr>
            <w:r>
              <w:rPr>
                <w:rFonts w:hint="eastAsia" w:ascii="仿宋" w:hAnsi="仿宋" w:eastAsia="仿宋" w:cs="仿宋"/>
                <w:b/>
                <w:bCs/>
                <w:szCs w:val="21"/>
                <w:highlight w:val="none"/>
                <w:lang w:val="en-US" w:eastAsia="zh-CN"/>
              </w:rPr>
              <w:t xml:space="preserve"> </w:t>
            </w:r>
            <w:r>
              <w:rPr>
                <w:rFonts w:hint="eastAsia" w:ascii="仿宋" w:hAnsi="仿宋" w:eastAsia="仿宋" w:cs="仿宋"/>
                <w:b/>
                <w:bCs/>
                <w:szCs w:val="21"/>
                <w:highlight w:val="none"/>
              </w:rPr>
              <w:t>(2)供应商获取招标文件前应注册成为政府采购云平台正式供应商。</w:t>
            </w:r>
          </w:p>
        </w:tc>
      </w:tr>
      <w:tr w14:paraId="2434DDA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435" w:type="pct"/>
            <w:vMerge w:val="restart"/>
            <w:vAlign w:val="center"/>
          </w:tcPr>
          <w:p w14:paraId="022743E2">
            <w:pPr>
              <w:snapToGrid w:val="0"/>
              <w:spacing w:line="360" w:lineRule="auto"/>
              <w:jc w:val="center"/>
              <w:rPr>
                <w:rFonts w:hint="eastAsia" w:ascii="仿宋" w:hAnsi="仿宋" w:eastAsia="仿宋" w:cs="仿宋"/>
                <w:szCs w:val="21"/>
                <w:highlight w:val="none"/>
                <w:lang w:eastAsia="zh-CN"/>
              </w:rPr>
            </w:pPr>
            <w:r>
              <w:rPr>
                <w:rFonts w:hint="eastAsia" w:ascii="仿宋" w:hAnsi="仿宋" w:eastAsia="仿宋" w:cs="仿宋"/>
                <w:szCs w:val="21"/>
                <w:highlight w:val="none"/>
              </w:rPr>
              <w:t>2</w:t>
            </w:r>
            <w:r>
              <w:rPr>
                <w:rFonts w:hint="eastAsia" w:ascii="仿宋" w:hAnsi="仿宋" w:eastAsia="仿宋" w:cs="仿宋"/>
                <w:szCs w:val="21"/>
                <w:highlight w:val="none"/>
                <w:lang w:val="en-US" w:eastAsia="zh-CN"/>
              </w:rPr>
              <w:t>9</w:t>
            </w:r>
          </w:p>
        </w:tc>
        <w:tc>
          <w:tcPr>
            <w:tcW w:w="879" w:type="pct"/>
            <w:vMerge w:val="restart"/>
            <w:vAlign w:val="center"/>
          </w:tcPr>
          <w:p w14:paraId="256E91E6">
            <w:pPr>
              <w:snapToGrid w:val="0"/>
              <w:spacing w:line="360" w:lineRule="auto"/>
              <w:jc w:val="center"/>
              <w:rPr>
                <w:rFonts w:hint="eastAsia" w:ascii="仿宋" w:hAnsi="仿宋" w:eastAsia="仿宋" w:cs="仿宋"/>
                <w:b/>
                <w:szCs w:val="21"/>
                <w:highlight w:val="none"/>
              </w:rPr>
            </w:pPr>
            <w:r>
              <w:rPr>
                <w:rFonts w:hint="eastAsia" w:ascii="仿宋" w:hAnsi="仿宋" w:eastAsia="仿宋" w:cs="仿宋"/>
                <w:b/>
                <w:szCs w:val="21"/>
                <w:highlight w:val="none"/>
              </w:rPr>
              <w:t>重要说明</w:t>
            </w:r>
          </w:p>
        </w:tc>
        <w:tc>
          <w:tcPr>
            <w:tcW w:w="3684" w:type="pct"/>
          </w:tcPr>
          <w:p w14:paraId="4781B165">
            <w:pPr>
              <w:snapToGrid w:val="0"/>
              <w:spacing w:line="360" w:lineRule="auto"/>
              <w:jc w:val="left"/>
              <w:rPr>
                <w:rFonts w:hint="eastAsia" w:ascii="仿宋" w:hAnsi="仿宋" w:eastAsia="仿宋" w:cs="仿宋"/>
                <w:szCs w:val="21"/>
              </w:rPr>
            </w:pPr>
            <w:r>
              <w:rPr>
                <w:rFonts w:hint="eastAsia" w:ascii="仿宋" w:hAnsi="仿宋" w:eastAsia="仿宋" w:cs="仿宋"/>
                <w:szCs w:val="21"/>
              </w:rPr>
              <w:t>1.本项目采用全流程不见面电子开评标，投标供应商需要使用CA加密设备，供应商可通过新疆数字证书认证中心官网（https://www.xjca.com.cn/）或下载“新疆政务通”APP自行进行申领。</w:t>
            </w:r>
          </w:p>
          <w:p w14:paraId="15BADD71">
            <w:pPr>
              <w:snapToGrid w:val="0"/>
              <w:spacing w:line="360" w:lineRule="auto"/>
              <w:jc w:val="left"/>
              <w:rPr>
                <w:rFonts w:hint="eastAsia" w:ascii="仿宋" w:hAnsi="仿宋" w:eastAsia="仿宋" w:cs="仿宋"/>
                <w:szCs w:val="21"/>
              </w:rPr>
            </w:pPr>
            <w:r>
              <w:rPr>
                <w:rFonts w:hint="eastAsia" w:ascii="仿宋" w:hAnsi="仿宋" w:eastAsia="仿宋" w:cs="仿宋"/>
                <w:szCs w:val="21"/>
              </w:rPr>
              <w:t>2.本项目实行网上投标，采用加密电子投标文件(供应商须使用CA加密设备通过政采云电子投标客户端制作投标文件)。若供应商参与投标，自行承担投标一切费用。</w:t>
            </w:r>
          </w:p>
          <w:p w14:paraId="1C2F67D7">
            <w:pPr>
              <w:snapToGrid w:val="0"/>
              <w:spacing w:line="360" w:lineRule="auto"/>
              <w:jc w:val="left"/>
              <w:rPr>
                <w:rFonts w:hint="eastAsia" w:ascii="仿宋" w:hAnsi="仿宋" w:eastAsia="仿宋" w:cs="仿宋"/>
                <w:szCs w:val="21"/>
              </w:rPr>
            </w:pPr>
            <w:r>
              <w:rPr>
                <w:rFonts w:hint="eastAsia" w:ascii="仿宋" w:hAnsi="仿宋" w:eastAsia="仿宋" w:cs="仿宋"/>
                <w:szCs w:val="21"/>
              </w:rPr>
              <w:t>3.各供应商在开标前应确保成为新疆维吾尔自治区政府采购网正式注册入库供应商，并完成CA数字证书申领。因未注册入库、未办理CA数字证书等原因造成无法投标或投标失败等后果由供应商自行承担。</w:t>
            </w:r>
          </w:p>
          <w:p w14:paraId="51BDF9B0">
            <w:pPr>
              <w:snapToGrid w:val="0"/>
              <w:spacing w:line="360" w:lineRule="auto"/>
              <w:jc w:val="left"/>
              <w:rPr>
                <w:rFonts w:hint="eastAsia" w:ascii="仿宋" w:hAnsi="仿宋" w:eastAsia="仿宋" w:cs="仿宋"/>
                <w:szCs w:val="21"/>
              </w:rPr>
            </w:pPr>
            <w:r>
              <w:rPr>
                <w:rFonts w:hint="eastAsia" w:ascii="仿宋" w:hAnsi="仿宋" w:eastAsia="仿宋" w:cs="仿宋"/>
                <w:szCs w:val="21"/>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w:t>
            </w:r>
            <w:r>
              <w:rPr>
                <w:rFonts w:hint="eastAsia" w:ascii="仿宋" w:hAnsi="仿宋" w:eastAsia="仿宋" w:cs="仿宋"/>
                <w:szCs w:val="21"/>
                <w:lang w:eastAsia="zh-CN"/>
              </w:rPr>
              <w:t>95763</w:t>
            </w:r>
            <w:r>
              <w:rPr>
                <w:rFonts w:hint="eastAsia" w:ascii="仿宋" w:hAnsi="仿宋" w:eastAsia="仿宋" w:cs="仿宋"/>
                <w:szCs w:val="21"/>
              </w:rPr>
              <w:t>进行咨询。</w:t>
            </w:r>
          </w:p>
          <w:p w14:paraId="1888E29B">
            <w:pPr>
              <w:snapToGrid w:val="0"/>
              <w:spacing w:line="360" w:lineRule="auto"/>
              <w:jc w:val="left"/>
              <w:rPr>
                <w:rFonts w:hint="eastAsia" w:ascii="仿宋" w:hAnsi="仿宋" w:eastAsia="仿宋" w:cs="仿宋"/>
                <w:szCs w:val="21"/>
              </w:rPr>
            </w:pPr>
            <w:r>
              <w:rPr>
                <w:rFonts w:hint="eastAsia" w:ascii="仿宋" w:hAnsi="仿宋" w:eastAsia="仿宋" w:cs="仿宋"/>
                <w:szCs w:val="21"/>
              </w:rPr>
              <w:t>5.供应商在开标时须使用制作加密电子投标文件所使用的CA锁及电脑，电脑须提前配置好浏览器（建议使用谷歌浏览器），以便开标时解锁。</w:t>
            </w:r>
          </w:p>
          <w:p w14:paraId="4103837B">
            <w:pPr>
              <w:snapToGrid w:val="0"/>
              <w:spacing w:line="360" w:lineRule="auto"/>
              <w:jc w:val="left"/>
              <w:rPr>
                <w:rFonts w:hint="eastAsia" w:ascii="仿宋" w:hAnsi="仿宋" w:eastAsia="仿宋" w:cs="仿宋"/>
                <w:szCs w:val="21"/>
              </w:rPr>
            </w:pPr>
            <w:r>
              <w:rPr>
                <w:rFonts w:hint="eastAsia" w:ascii="仿宋" w:hAnsi="仿宋" w:eastAsia="仿宋" w:cs="仿宋"/>
                <w:szCs w:val="21"/>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14:paraId="07ACE245">
            <w:pPr>
              <w:snapToGrid w:val="0"/>
              <w:spacing w:line="360" w:lineRule="auto"/>
              <w:jc w:val="left"/>
              <w:rPr>
                <w:rFonts w:hint="eastAsia" w:ascii="仿宋" w:hAnsi="仿宋" w:eastAsia="仿宋" w:cs="仿宋"/>
                <w:szCs w:val="21"/>
                <w:highlight w:val="none"/>
              </w:rPr>
            </w:pPr>
            <w:r>
              <w:rPr>
                <w:rFonts w:hint="eastAsia" w:ascii="仿宋" w:hAnsi="仿宋" w:eastAsia="仿宋" w:cs="仿宋"/>
                <w:szCs w:val="21"/>
              </w:rPr>
              <w:t>7.为了保证开评标顺利进行，政采云线上开标功能完全实现，供应商开标所使用的电脑设备须具有视频及语音功能。</w:t>
            </w:r>
          </w:p>
        </w:tc>
      </w:tr>
      <w:tr w14:paraId="17259E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40" w:hRule="atLeast"/>
          <w:jc w:val="center"/>
        </w:trPr>
        <w:tc>
          <w:tcPr>
            <w:tcW w:w="435" w:type="pct"/>
            <w:vMerge w:val="continue"/>
            <w:vAlign w:val="center"/>
          </w:tcPr>
          <w:p w14:paraId="2DAD26EF">
            <w:pPr>
              <w:snapToGrid w:val="0"/>
              <w:spacing w:line="360" w:lineRule="auto"/>
              <w:rPr>
                <w:rFonts w:hint="eastAsia" w:ascii="仿宋" w:hAnsi="仿宋" w:eastAsia="仿宋" w:cs="仿宋"/>
                <w:b/>
                <w:szCs w:val="21"/>
                <w:highlight w:val="none"/>
              </w:rPr>
            </w:pPr>
          </w:p>
        </w:tc>
        <w:tc>
          <w:tcPr>
            <w:tcW w:w="879" w:type="pct"/>
            <w:vMerge w:val="continue"/>
            <w:vAlign w:val="center"/>
          </w:tcPr>
          <w:p w14:paraId="45F993F1">
            <w:pPr>
              <w:snapToGrid w:val="0"/>
              <w:spacing w:line="360" w:lineRule="auto"/>
              <w:rPr>
                <w:rFonts w:hint="eastAsia" w:ascii="仿宋" w:hAnsi="仿宋" w:eastAsia="仿宋" w:cs="仿宋"/>
                <w:b/>
                <w:szCs w:val="21"/>
                <w:highlight w:val="none"/>
              </w:rPr>
            </w:pPr>
          </w:p>
        </w:tc>
        <w:tc>
          <w:tcPr>
            <w:tcW w:w="3684" w:type="pct"/>
          </w:tcPr>
          <w:p w14:paraId="4EA34E2C">
            <w:pPr>
              <w:snapToGrid w:val="0"/>
              <w:spacing w:line="360" w:lineRule="auto"/>
              <w:jc w:val="left"/>
              <w:rPr>
                <w:rFonts w:hint="eastAsia" w:ascii="仿宋" w:hAnsi="仿宋" w:eastAsia="仿宋" w:cs="仿宋"/>
                <w:b/>
                <w:szCs w:val="21"/>
              </w:rPr>
            </w:pPr>
            <w:r>
              <w:rPr>
                <w:rFonts w:hint="eastAsia" w:ascii="仿宋" w:hAnsi="仿宋" w:eastAsia="仿宋" w:cs="仿宋"/>
                <w:b/>
                <w:szCs w:val="21"/>
              </w:rPr>
              <w:t>1、电子招投标情况说明：</w:t>
            </w:r>
          </w:p>
          <w:p w14:paraId="5AFE712D">
            <w:pPr>
              <w:snapToGrid w:val="0"/>
              <w:spacing w:line="360" w:lineRule="auto"/>
              <w:jc w:val="left"/>
              <w:rPr>
                <w:rFonts w:hint="eastAsia" w:ascii="仿宋" w:hAnsi="仿宋" w:eastAsia="仿宋" w:cs="仿宋"/>
                <w:szCs w:val="21"/>
              </w:rPr>
            </w:pPr>
            <w:r>
              <w:rPr>
                <w:rFonts w:hint="eastAsia" w:ascii="仿宋" w:hAnsi="仿宋" w:eastAsia="仿宋" w:cs="仿宋"/>
                <w:szCs w:val="21"/>
              </w:rPr>
              <w:t>1、电子招投标情况说明：</w:t>
            </w:r>
          </w:p>
          <w:p w14:paraId="59B90242">
            <w:pPr>
              <w:snapToGrid w:val="0"/>
              <w:spacing w:line="360" w:lineRule="auto"/>
              <w:ind w:firstLine="403" w:firstLineChars="192"/>
              <w:jc w:val="left"/>
              <w:rPr>
                <w:rFonts w:hint="eastAsia" w:ascii="仿宋" w:hAnsi="仿宋" w:eastAsia="仿宋" w:cs="仿宋"/>
                <w:szCs w:val="21"/>
              </w:rPr>
            </w:pPr>
            <w:r>
              <w:rPr>
                <w:rFonts w:hint="eastAsia" w:ascii="仿宋" w:hAnsi="仿宋" w:eastAsia="仿宋" w:cs="仿宋"/>
                <w:szCs w:val="21"/>
              </w:rPr>
              <w:t>（1）电子招投标：本项目以数据电文形式，依托“政府采购云平台（www.zcygov.cn）”进行招投标活动。</w:t>
            </w:r>
          </w:p>
          <w:p w14:paraId="413B7EEE">
            <w:pPr>
              <w:snapToGrid w:val="0"/>
              <w:spacing w:line="360" w:lineRule="auto"/>
              <w:ind w:firstLine="403" w:firstLineChars="192"/>
              <w:jc w:val="left"/>
              <w:rPr>
                <w:rFonts w:hint="eastAsia" w:ascii="仿宋" w:hAnsi="仿宋" w:eastAsia="仿宋" w:cs="仿宋"/>
                <w:szCs w:val="21"/>
              </w:rPr>
            </w:pPr>
            <w:r>
              <w:rPr>
                <w:rFonts w:hint="eastAsia" w:ascii="仿宋" w:hAnsi="仿宋" w:eastAsia="仿宋" w:cs="仿宋"/>
                <w:szCs w:val="21"/>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14:paraId="0A11A133">
            <w:pPr>
              <w:snapToGrid w:val="0"/>
              <w:spacing w:line="360" w:lineRule="auto"/>
              <w:ind w:firstLine="403" w:firstLineChars="192"/>
              <w:jc w:val="left"/>
              <w:rPr>
                <w:rFonts w:hint="eastAsia" w:ascii="仿宋" w:hAnsi="仿宋" w:eastAsia="仿宋" w:cs="仿宋"/>
                <w:szCs w:val="21"/>
              </w:rPr>
            </w:pPr>
            <w:r>
              <w:rPr>
                <w:rFonts w:hint="eastAsia" w:ascii="仿宋" w:hAnsi="仿宋" w:eastAsia="仿宋" w:cs="仿宋"/>
                <w:szCs w:val="21"/>
              </w:rPr>
              <w:t>（3）招标文件的获取：使用账号登录或者短信验证码或者使用CA登录政采云平台；进入“项目采购”应用，在获取招标文件 菜单中选择项目，获取招标文件 。</w:t>
            </w:r>
          </w:p>
          <w:p w14:paraId="2D4E3326">
            <w:pPr>
              <w:snapToGrid w:val="0"/>
              <w:spacing w:line="360" w:lineRule="auto"/>
              <w:ind w:firstLine="403" w:firstLineChars="192"/>
              <w:jc w:val="left"/>
              <w:rPr>
                <w:rFonts w:hint="eastAsia" w:ascii="仿宋" w:hAnsi="仿宋" w:eastAsia="仿宋" w:cs="仿宋"/>
                <w:szCs w:val="21"/>
              </w:rPr>
            </w:pPr>
            <w:r>
              <w:rPr>
                <w:rFonts w:hint="eastAsia" w:ascii="仿宋" w:hAnsi="仿宋" w:eastAsia="仿宋" w:cs="仿宋"/>
                <w:szCs w:val="21"/>
              </w:rPr>
              <w:t>（4）投标文件的制作：在“政采云电子交易客户端”中完成“填写基本信息”、“导入投标文件”、“标书关联”、“标书检查”、“电子签名”、“生成电子标书”等操作。</w:t>
            </w:r>
          </w:p>
          <w:p w14:paraId="1B1D88FF">
            <w:pPr>
              <w:snapToGrid w:val="0"/>
              <w:spacing w:line="360" w:lineRule="auto"/>
              <w:ind w:firstLine="403" w:firstLineChars="192"/>
              <w:rPr>
                <w:rFonts w:hint="eastAsia" w:ascii="仿宋" w:hAnsi="仿宋" w:eastAsia="仿宋" w:cs="仿宋"/>
                <w:szCs w:val="21"/>
              </w:rPr>
            </w:pPr>
            <w:r>
              <w:rPr>
                <w:rFonts w:hint="eastAsia" w:ascii="仿宋" w:hAnsi="仿宋" w:eastAsia="仿宋" w:cs="仿宋"/>
                <w:szCs w:val="21"/>
              </w:rPr>
              <w:t>（5）投标文件的传输递交：供应商在投标截止时间前将加密的投标文件上传至政府采购云平台</w:t>
            </w:r>
          </w:p>
          <w:p w14:paraId="34360735">
            <w:pPr>
              <w:snapToGrid w:val="0"/>
              <w:spacing w:line="360" w:lineRule="auto"/>
              <w:ind w:firstLine="403" w:firstLineChars="192"/>
              <w:rPr>
                <w:rFonts w:hint="eastAsia" w:ascii="仿宋" w:hAnsi="仿宋" w:eastAsia="仿宋" w:cs="仿宋"/>
                <w:szCs w:val="21"/>
              </w:rPr>
            </w:pPr>
            <w:r>
              <w:rPr>
                <w:rFonts w:hint="eastAsia" w:ascii="仿宋" w:hAnsi="仿宋" w:eastAsia="仿宋" w:cs="仿宋"/>
                <w:szCs w:val="21"/>
              </w:rPr>
              <w:t>（6）投标文件的解密：供应商按照平台提示和招标文件 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14:paraId="60A0CB8F">
            <w:pPr>
              <w:snapToGrid w:val="0"/>
              <w:spacing w:line="360" w:lineRule="auto"/>
              <w:ind w:firstLine="403" w:firstLineChars="192"/>
              <w:rPr>
                <w:rFonts w:hint="eastAsia" w:ascii="仿宋" w:hAnsi="仿宋" w:eastAsia="仿宋" w:cs="仿宋"/>
                <w:szCs w:val="21"/>
              </w:rPr>
            </w:pPr>
            <w:r>
              <w:rPr>
                <w:rFonts w:hint="eastAsia" w:ascii="仿宋" w:hAnsi="仿宋" w:eastAsia="仿宋" w:cs="仿宋"/>
                <w:szCs w:val="21"/>
              </w:rPr>
              <w:t>（7）具体操作指南：详见政采云平台“服务中心-帮助文档-项目采购-操作流程-电子招投标-政府采购项目电子交易管理操作指南-供应商”。</w:t>
            </w:r>
          </w:p>
          <w:p w14:paraId="7358503F">
            <w:pPr>
              <w:snapToGrid w:val="0"/>
              <w:spacing w:line="360" w:lineRule="auto"/>
              <w:ind w:firstLine="403" w:firstLineChars="192"/>
              <w:rPr>
                <w:rFonts w:hint="eastAsia" w:ascii="仿宋" w:hAnsi="仿宋" w:eastAsia="仿宋" w:cs="仿宋"/>
                <w:szCs w:val="21"/>
              </w:rPr>
            </w:pPr>
            <w:r>
              <w:rPr>
                <w:rFonts w:hint="eastAsia" w:ascii="仿宋" w:hAnsi="仿宋" w:eastAsia="仿宋" w:cs="仿宋"/>
                <w:szCs w:val="21"/>
              </w:rPr>
              <w:t>（8）供应商在进行上述操作时，如遇技术问题可登录政采云（https://www.zcygov.cn/），点击右侧咨询小采，获取采小蜜智能服务管家帮助，或拨打政采云服务热线 95763 获取热线服务帮助。</w:t>
            </w:r>
          </w:p>
          <w:p w14:paraId="34810DFB">
            <w:pPr>
              <w:snapToGrid w:val="0"/>
              <w:spacing w:line="360" w:lineRule="auto"/>
              <w:ind w:firstLine="403" w:firstLineChars="192"/>
              <w:rPr>
                <w:rFonts w:hint="eastAsia" w:ascii="仿宋" w:hAnsi="仿宋" w:eastAsia="仿宋" w:cs="仿宋"/>
                <w:szCs w:val="21"/>
              </w:rPr>
            </w:pPr>
            <w:r>
              <w:rPr>
                <w:rFonts w:hint="eastAsia" w:ascii="仿宋" w:hAnsi="仿宋" w:eastAsia="仿宋" w:cs="仿宋"/>
                <w:szCs w:val="21"/>
              </w:rPr>
              <w:t>温馨提醒：供应商应提前上传，以便在上传时遇到技术问题，有充足的时间请教平台的技术人员。</w:t>
            </w:r>
          </w:p>
          <w:p w14:paraId="0229D34D">
            <w:pPr>
              <w:snapToGrid w:val="0"/>
              <w:spacing w:line="360" w:lineRule="auto"/>
              <w:rPr>
                <w:rFonts w:hint="eastAsia" w:ascii="仿宋" w:hAnsi="仿宋" w:eastAsia="仿宋" w:cs="仿宋"/>
                <w:szCs w:val="21"/>
                <w:highlight w:val="none"/>
              </w:rPr>
            </w:pPr>
            <w:r>
              <w:rPr>
                <w:rFonts w:hint="eastAsia" w:ascii="仿宋" w:hAnsi="仿宋" w:eastAsia="仿宋" w:cs="仿宋"/>
                <w:szCs w:val="21"/>
              </w:rPr>
              <w:t>2、供应商认为招标文件使自己的权益受到损害的，可以自收到招标文件之日（招标文件公告期限届满之前收到招标文件的，以完成获取招标文件申请后下载招标文件的时间为准）或者招标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招标文件或逾期提出的不予受理、答复。</w:t>
            </w:r>
          </w:p>
        </w:tc>
      </w:tr>
      <w:tr w14:paraId="0F54E97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96" w:hRule="atLeast"/>
          <w:jc w:val="center"/>
        </w:trPr>
        <w:tc>
          <w:tcPr>
            <w:tcW w:w="435" w:type="pct"/>
            <w:tcBorders>
              <w:right w:val="single" w:color="auto" w:sz="4" w:space="0"/>
            </w:tcBorders>
            <w:vAlign w:val="center"/>
          </w:tcPr>
          <w:p w14:paraId="179D1160">
            <w:pPr>
              <w:snapToGrid w:val="0"/>
              <w:spacing w:line="360" w:lineRule="auto"/>
              <w:rPr>
                <w:rFonts w:hint="default" w:ascii="仿宋" w:hAnsi="仿宋" w:eastAsia="仿宋" w:cs="仿宋"/>
                <w:b/>
                <w:szCs w:val="21"/>
                <w:highlight w:val="none"/>
                <w:lang w:val="en-US" w:eastAsia="zh-CN"/>
              </w:rPr>
            </w:pPr>
            <w:r>
              <w:rPr>
                <w:rFonts w:hint="eastAsia" w:ascii="仿宋" w:hAnsi="仿宋" w:eastAsia="仿宋" w:cs="仿宋"/>
                <w:bCs/>
                <w:szCs w:val="21"/>
                <w:highlight w:val="none"/>
                <w:lang w:val="en-US" w:eastAsia="zh-CN"/>
              </w:rPr>
              <w:t>30</w:t>
            </w:r>
          </w:p>
        </w:tc>
        <w:tc>
          <w:tcPr>
            <w:tcW w:w="4564" w:type="pct"/>
            <w:gridSpan w:val="2"/>
            <w:tcBorders>
              <w:left w:val="single" w:color="auto" w:sz="4" w:space="0"/>
            </w:tcBorders>
            <w:vAlign w:val="center"/>
          </w:tcPr>
          <w:p w14:paraId="5AAB073C">
            <w:pPr>
              <w:spacing w:line="360" w:lineRule="auto"/>
              <w:rPr>
                <w:rFonts w:hint="eastAsia" w:ascii="仿宋" w:hAnsi="仿宋" w:eastAsia="仿宋" w:cs="仿宋"/>
                <w:kern w:val="0"/>
                <w:szCs w:val="21"/>
                <w:highlight w:val="none"/>
              </w:rPr>
            </w:pPr>
            <w:r>
              <w:rPr>
                <w:rFonts w:hint="eastAsia" w:ascii="仿宋" w:hAnsi="仿宋" w:eastAsia="仿宋" w:cs="仿宋"/>
                <w:kern w:val="0"/>
                <w:szCs w:val="21"/>
                <w:highlight w:val="none"/>
              </w:rPr>
              <w:t>注：</w:t>
            </w:r>
          </w:p>
          <w:p w14:paraId="2118D81B">
            <w:pPr>
              <w:spacing w:line="360" w:lineRule="auto"/>
              <w:rPr>
                <w:rFonts w:hint="eastAsia" w:ascii="仿宋" w:hAnsi="仿宋" w:eastAsia="仿宋" w:cs="仿宋"/>
                <w:kern w:val="0"/>
                <w:szCs w:val="21"/>
                <w:highlight w:val="none"/>
              </w:rPr>
            </w:pPr>
            <w:r>
              <w:rPr>
                <w:rFonts w:hint="eastAsia" w:ascii="仿宋" w:hAnsi="仿宋" w:eastAsia="仿宋" w:cs="仿宋"/>
                <w:kern w:val="0"/>
                <w:szCs w:val="21"/>
                <w:highlight w:val="none"/>
              </w:rPr>
              <w:t>1、除法律、法规和规章规定外，竞争性磋商文件中用“拒绝”、“不接受”、“无效”、“不得”等文字规定，对其中任何一条的偏离，在评审时将其视为无效文件。未用上述文字规定或符号标注的条款为非实质性要求条款(即一般条款)。</w:t>
            </w:r>
          </w:p>
          <w:p w14:paraId="2707F6F4">
            <w:pPr>
              <w:spacing w:line="360" w:lineRule="auto"/>
              <w:rPr>
                <w:rFonts w:hint="eastAsia" w:ascii="仿宋" w:hAnsi="仿宋" w:eastAsia="仿宋" w:cs="仿宋"/>
                <w:kern w:val="0"/>
                <w:szCs w:val="21"/>
                <w:highlight w:val="none"/>
              </w:rPr>
            </w:pPr>
            <w:r>
              <w:rPr>
                <w:rFonts w:hint="eastAsia" w:ascii="仿宋" w:hAnsi="仿宋" w:eastAsia="仿宋" w:cs="仿宋"/>
                <w:kern w:val="0"/>
                <w:szCs w:val="21"/>
                <w:highlight w:val="none"/>
              </w:rPr>
              <w:t>2、除非另有特殊说明，若本竞争性磋商文件中引用了某一品牌、型号或生产供应商名称，均是指参照该品牌、型号或生产供应商的产品或服务，所引用的品牌、型号或生产供应商不构成对投标的限制。若采用的外文术语与某一供应商或某一产品使用的术语相同，并非表示指定了该供应商或该产品。</w:t>
            </w:r>
          </w:p>
          <w:p w14:paraId="1B21A58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kern w:val="0"/>
                <w:szCs w:val="21"/>
                <w:highlight w:val="none"/>
              </w:rPr>
            </w:pPr>
            <w:r>
              <w:rPr>
                <w:rFonts w:hint="eastAsia" w:ascii="仿宋" w:hAnsi="仿宋" w:eastAsia="仿宋" w:cs="仿宋"/>
                <w:kern w:val="0"/>
                <w:szCs w:val="21"/>
                <w:highlight w:val="none"/>
              </w:rPr>
              <w:t>3、磋商</w:t>
            </w:r>
            <w:r>
              <w:rPr>
                <w:rFonts w:hint="eastAsia" w:ascii="仿宋" w:hAnsi="仿宋" w:eastAsia="仿宋" w:cs="仿宋"/>
                <w:kern w:val="0"/>
                <w:szCs w:val="21"/>
                <w:highlight w:val="none"/>
                <w:lang w:eastAsia="zh-CN"/>
              </w:rPr>
              <w:t>投标文件</w:t>
            </w:r>
            <w:r>
              <w:rPr>
                <w:rFonts w:hint="eastAsia" w:ascii="仿宋" w:hAnsi="仿宋" w:eastAsia="仿宋" w:cs="仿宋"/>
                <w:kern w:val="0"/>
                <w:szCs w:val="21"/>
                <w:highlight w:val="none"/>
              </w:rPr>
              <w:t>中的报价为一次报价，各投标单位进行二次报价（磋商），投标报价评审以二次报价为准，最终成交价以二次报价为准。一次报价不得高于总投资，二次报价不得高于一次报价。</w:t>
            </w:r>
          </w:p>
          <w:p w14:paraId="4B3F75F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1"/>
                <w:szCs w:val="21"/>
                <w:vertAlign w:val="baseline"/>
                <w:lang w:val="en-US" w:eastAsia="zh-CN"/>
              </w:rPr>
            </w:pPr>
            <w:r>
              <w:rPr>
                <w:rFonts w:hint="eastAsia" w:ascii="仿宋" w:hAnsi="仿宋" w:eastAsia="仿宋" w:cs="仿宋"/>
                <w:b/>
                <w:bCs/>
                <w:kern w:val="0"/>
                <w:szCs w:val="21"/>
                <w:highlight w:val="none"/>
                <w:lang w:val="en-US" w:eastAsia="zh-CN"/>
              </w:rPr>
              <w:t>异常低价审核程序启用情形：</w:t>
            </w:r>
            <w:r>
              <w:rPr>
                <w:rFonts w:hint="eastAsia" w:ascii="仿宋" w:hAnsi="仿宋" w:eastAsia="仿宋" w:cs="仿宋"/>
                <w:b w:val="0"/>
                <w:bCs w:val="0"/>
                <w:i w:val="0"/>
                <w:iCs w:val="0"/>
                <w:color w:val="auto"/>
                <w:spacing w:val="0"/>
                <w:sz w:val="21"/>
                <w:szCs w:val="21"/>
                <w:vertAlign w:val="baseline"/>
                <w:lang w:val="en-US" w:eastAsia="zh-CN"/>
              </w:rPr>
              <w:t>政府采购评审中出现下列情形之一的，评审委员会应当启动异常低价投标（响应)审查程序：可以结合具体项目实际情况，提高以下第1项至第3项中启动异常低价投标(响应）审查的数值标准，但是最高不得超过65%。</w:t>
            </w:r>
          </w:p>
          <w:p w14:paraId="61B862A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1"/>
                <w:szCs w:val="21"/>
                <w:vertAlign w:val="baseline"/>
                <w:lang w:val="en-US" w:eastAsia="zh-CN"/>
              </w:rPr>
            </w:pPr>
            <w:r>
              <w:rPr>
                <w:rFonts w:hint="eastAsia" w:ascii="仿宋" w:hAnsi="仿宋" w:eastAsia="仿宋" w:cs="仿宋"/>
                <w:b w:val="0"/>
                <w:bCs w:val="0"/>
                <w:i w:val="0"/>
                <w:iCs w:val="0"/>
                <w:color w:val="auto"/>
                <w:spacing w:val="0"/>
                <w:sz w:val="21"/>
                <w:szCs w:val="21"/>
                <w:vertAlign w:val="baseline"/>
                <w:lang w:val="en-US" w:eastAsia="zh-CN"/>
              </w:rPr>
              <w:t>情形1：投标(响应)报价低于全部通过符合性审查供应商投标(响应)报价「平均值」50%（投标(响应)报价＜全部通过符合性审查供应商投标（响应）报价平均值×50）</w:t>
            </w:r>
          </w:p>
          <w:p w14:paraId="245E909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1"/>
                <w:szCs w:val="21"/>
                <w:vertAlign w:val="baseline"/>
                <w:lang w:val="en-US" w:eastAsia="zh-CN"/>
              </w:rPr>
            </w:pPr>
            <w:r>
              <w:rPr>
                <w:rFonts w:hint="eastAsia" w:ascii="仿宋" w:hAnsi="仿宋" w:eastAsia="仿宋" w:cs="仿宋"/>
                <w:b w:val="0"/>
                <w:bCs w:val="0"/>
                <w:i w:val="0"/>
                <w:iCs w:val="0"/>
                <w:color w:val="auto"/>
                <w:spacing w:val="0"/>
                <w:sz w:val="21"/>
                <w:szCs w:val="21"/>
                <w:vertAlign w:val="baseline"/>
                <w:lang w:val="en-US" w:eastAsia="zh-CN"/>
              </w:rPr>
              <w:t>情形2：投标(响应)报价低于通过符合性审查的「次低报价」供应商投标(响应)报价50%（投标(响应)报价＜通过符合性审查供应商投标（响应）报价×50）</w:t>
            </w:r>
          </w:p>
          <w:p w14:paraId="461D7FC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1"/>
                <w:szCs w:val="21"/>
                <w:vertAlign w:val="baseline"/>
                <w:lang w:val="en-US" w:eastAsia="zh-CN"/>
              </w:rPr>
            </w:pPr>
            <w:r>
              <w:rPr>
                <w:rFonts w:hint="eastAsia" w:ascii="仿宋" w:hAnsi="仿宋" w:eastAsia="仿宋" w:cs="仿宋"/>
                <w:b w:val="0"/>
                <w:bCs w:val="0"/>
                <w:i w:val="0"/>
                <w:iCs w:val="0"/>
                <w:color w:val="auto"/>
                <w:spacing w:val="0"/>
                <w:sz w:val="21"/>
                <w:szCs w:val="21"/>
                <w:vertAlign w:val="baseline"/>
                <w:lang w:val="en-US" w:eastAsia="zh-CN"/>
              </w:rPr>
              <w:t>情形3：投标(响应)报价低于采购项目「最高限价」45 %（投标(响应)报价＜采购项目最高限价×45）</w:t>
            </w:r>
          </w:p>
          <w:p w14:paraId="59A5E192">
            <w:pPr>
              <w:snapToGrid w:val="0"/>
              <w:spacing w:line="360" w:lineRule="auto"/>
              <w:jc w:val="left"/>
              <w:rPr>
                <w:rFonts w:hint="eastAsia" w:ascii="仿宋" w:hAnsi="仿宋" w:eastAsia="仿宋" w:cs="仿宋"/>
                <w:b/>
                <w:szCs w:val="21"/>
                <w:highlight w:val="none"/>
              </w:rPr>
            </w:pPr>
            <w:r>
              <w:rPr>
                <w:rFonts w:hint="eastAsia" w:ascii="仿宋" w:hAnsi="仿宋" w:eastAsia="仿宋" w:cs="仿宋"/>
                <w:b w:val="0"/>
                <w:bCs w:val="0"/>
                <w:i w:val="0"/>
                <w:iCs w:val="0"/>
                <w:color w:val="auto"/>
                <w:spacing w:val="0"/>
                <w:sz w:val="21"/>
                <w:szCs w:val="21"/>
                <w:vertAlign w:val="baseline"/>
                <w:lang w:val="en-US" w:eastAsia="zh-CN"/>
              </w:rPr>
              <w:t>情形4：评审委员会基于专业判断，认为供应商报价过低，有可能影响产品质量或者不能诚信履约的其他情形。</w:t>
            </w:r>
          </w:p>
        </w:tc>
      </w:tr>
      <w:tr w14:paraId="622C336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96" w:hRule="atLeast"/>
          <w:jc w:val="center"/>
        </w:trPr>
        <w:tc>
          <w:tcPr>
            <w:tcW w:w="435" w:type="pct"/>
            <w:vMerge w:val="restart"/>
            <w:tcBorders>
              <w:right w:val="single" w:color="auto" w:sz="4" w:space="0"/>
            </w:tcBorders>
            <w:vAlign w:val="center"/>
          </w:tcPr>
          <w:p w14:paraId="1D80D5D4">
            <w:pPr>
              <w:spacing w:line="400" w:lineRule="exact"/>
              <w:jc w:val="center"/>
              <w:rPr>
                <w:rFonts w:hint="eastAsia" w:ascii="仿宋" w:hAnsi="仿宋" w:eastAsia="仿宋" w:cs="仿宋"/>
                <w:bCs/>
                <w:szCs w:val="21"/>
                <w:highlight w:val="none"/>
              </w:rPr>
            </w:pPr>
            <w:r>
              <w:rPr>
                <w:rFonts w:hint="eastAsia" w:ascii="仿宋" w:hAnsi="仿宋" w:eastAsia="仿宋" w:cs="仿宋"/>
                <w:bCs/>
                <w:sz w:val="21"/>
                <w:szCs w:val="21"/>
              </w:rPr>
              <w:t>中小微企业政策文件</w:t>
            </w:r>
          </w:p>
        </w:tc>
        <w:tc>
          <w:tcPr>
            <w:tcW w:w="4564" w:type="pct"/>
            <w:gridSpan w:val="2"/>
            <w:tcBorders>
              <w:left w:val="single" w:color="auto" w:sz="4" w:space="0"/>
            </w:tcBorders>
            <w:vAlign w:val="center"/>
          </w:tcPr>
          <w:p w14:paraId="5ADB2B64">
            <w:pPr>
              <w:spacing w:line="400" w:lineRule="exact"/>
              <w:rPr>
                <w:rFonts w:hint="eastAsia" w:ascii="仿宋" w:hAnsi="仿宋" w:eastAsia="仿宋" w:cs="仿宋"/>
                <w:szCs w:val="21"/>
                <w:highlight w:val="none"/>
              </w:rPr>
            </w:pPr>
            <w:r>
              <w:rPr>
                <w:rFonts w:hint="eastAsia" w:ascii="仿宋" w:hAnsi="仿宋" w:eastAsia="仿宋" w:cs="仿宋"/>
                <w:kern w:val="0"/>
                <w:sz w:val="21"/>
                <w:szCs w:val="21"/>
              </w:rPr>
              <w:t>（1）根据财政部、工业和信息化部关于印发《政府采购促进中小企业发展管理办法》的通知(财库(2020)46号)，投标人及其所投产品的制造商均属于《工业和信息化部、国家统计局、国家发展和改革委员会、财政部关于印发中小企业划型标准规定的通知》（工信部联企业[2011]300号）中规定的小型、微型企业标准的，按磋商文件格式提供《中小企业声明函》。</w:t>
            </w:r>
          </w:p>
        </w:tc>
      </w:tr>
      <w:tr w14:paraId="5C7DC79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16" w:hRule="atLeast"/>
          <w:jc w:val="center"/>
        </w:trPr>
        <w:tc>
          <w:tcPr>
            <w:tcW w:w="435" w:type="pct"/>
            <w:vMerge w:val="continue"/>
            <w:vAlign w:val="center"/>
          </w:tcPr>
          <w:p w14:paraId="243EA454">
            <w:pPr>
              <w:spacing w:line="400" w:lineRule="exact"/>
              <w:rPr>
                <w:rFonts w:hint="eastAsia" w:ascii="仿宋" w:hAnsi="仿宋" w:eastAsia="仿宋" w:cs="仿宋"/>
                <w:b/>
                <w:szCs w:val="21"/>
                <w:highlight w:val="none"/>
              </w:rPr>
            </w:pPr>
          </w:p>
        </w:tc>
        <w:tc>
          <w:tcPr>
            <w:tcW w:w="4564" w:type="pct"/>
            <w:gridSpan w:val="2"/>
            <w:vAlign w:val="center"/>
          </w:tcPr>
          <w:p w14:paraId="10642C8E">
            <w:pPr>
              <w:spacing w:line="400" w:lineRule="exact"/>
            </w:pPr>
            <w:r>
              <w:rPr>
                <w:rFonts w:hint="eastAsia" w:ascii="仿宋" w:hAnsi="仿宋" w:eastAsia="仿宋" w:cs="仿宋"/>
                <w:kern w:val="0"/>
                <w:sz w:val="21"/>
                <w:szCs w:val="21"/>
                <w:lang w:eastAsia="zh-CN"/>
              </w:rPr>
              <w:t>（</w:t>
            </w:r>
            <w:r>
              <w:rPr>
                <w:rFonts w:hint="eastAsia" w:ascii="仿宋" w:hAnsi="仿宋" w:eastAsia="仿宋" w:cs="仿宋"/>
                <w:kern w:val="0"/>
                <w:sz w:val="21"/>
                <w:szCs w:val="21"/>
                <w:lang w:val="en-US" w:eastAsia="zh-CN"/>
              </w:rPr>
              <w:t>2</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14:paraId="6C3E1FB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16" w:hRule="atLeast"/>
          <w:jc w:val="center"/>
        </w:trPr>
        <w:tc>
          <w:tcPr>
            <w:tcW w:w="435" w:type="pct"/>
            <w:vMerge w:val="continue"/>
            <w:tcBorders>
              <w:right w:val="single" w:color="auto" w:sz="4" w:space="0"/>
            </w:tcBorders>
            <w:vAlign w:val="center"/>
          </w:tcPr>
          <w:p w14:paraId="1E8D9075">
            <w:pPr>
              <w:spacing w:line="400" w:lineRule="exact"/>
              <w:rPr>
                <w:rFonts w:hint="eastAsia" w:ascii="仿宋" w:hAnsi="仿宋" w:eastAsia="仿宋" w:cs="仿宋"/>
                <w:b/>
                <w:szCs w:val="21"/>
                <w:highlight w:val="none"/>
                <w:lang w:val="en-US" w:eastAsia="zh-CN"/>
              </w:rPr>
            </w:pPr>
            <w:bookmarkStart w:id="30" w:name="_Toc30705"/>
          </w:p>
        </w:tc>
        <w:tc>
          <w:tcPr>
            <w:tcW w:w="4564" w:type="pct"/>
            <w:gridSpan w:val="2"/>
            <w:tcBorders>
              <w:left w:val="single" w:color="auto" w:sz="4" w:space="0"/>
            </w:tcBorders>
            <w:vAlign w:val="center"/>
          </w:tcPr>
          <w:p w14:paraId="07920824">
            <w:pPr>
              <w:spacing w:line="400" w:lineRule="exact"/>
              <w:rPr>
                <w:rFonts w:hint="eastAsia" w:ascii="仿宋" w:hAnsi="仿宋" w:eastAsia="仿宋" w:cs="仿宋"/>
                <w:b/>
                <w:szCs w:val="21"/>
                <w:highlight w:val="none"/>
                <w:lang w:val="en-US" w:eastAsia="zh-CN"/>
              </w:rPr>
            </w:pPr>
            <w:r>
              <w:rPr>
                <w:rFonts w:hint="eastAsia" w:ascii="仿宋" w:hAnsi="仿宋" w:eastAsia="仿宋" w:cs="仿宋"/>
                <w:kern w:val="0"/>
                <w:sz w:val="21"/>
                <w:szCs w:val="21"/>
              </w:rPr>
              <w:t>（3）根据财政部、民政部、中国残疾人联合会《关于促进残疾人就业政府采购政策的通知》（财库[2017]141号），在政府采购活动中，残疾人福利性单位视同小型、微型企业。投标人属于残疾人福利性单位的，按照磋商文件格式提供残疾人福利性单位声明函。</w:t>
            </w:r>
          </w:p>
        </w:tc>
      </w:tr>
      <w:tr w14:paraId="6B214F3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16" w:hRule="atLeast"/>
          <w:jc w:val="center"/>
        </w:trPr>
        <w:tc>
          <w:tcPr>
            <w:tcW w:w="435" w:type="pct"/>
            <w:vAlign w:val="center"/>
          </w:tcPr>
          <w:p w14:paraId="40A82A8E">
            <w:pPr>
              <w:spacing w:line="400" w:lineRule="exact"/>
              <w:jc w:val="center"/>
              <w:rPr>
                <w:rFonts w:hint="eastAsia" w:ascii="仿宋" w:hAnsi="仿宋" w:eastAsia="仿宋" w:cs="仿宋"/>
                <w:b/>
                <w:sz w:val="21"/>
                <w:szCs w:val="21"/>
              </w:rPr>
            </w:pPr>
            <w:bookmarkStart w:id="31" w:name="_Toc25114"/>
            <w:r>
              <w:rPr>
                <w:rFonts w:hint="eastAsia" w:ascii="仿宋" w:hAnsi="仿宋" w:eastAsia="仿宋" w:cs="仿宋"/>
                <w:bCs/>
                <w:sz w:val="21"/>
                <w:szCs w:val="21"/>
              </w:rPr>
              <w:t>中小微企业政策文件说明</w:t>
            </w:r>
          </w:p>
        </w:tc>
        <w:tc>
          <w:tcPr>
            <w:tcW w:w="4564" w:type="pct"/>
            <w:gridSpan w:val="2"/>
            <w:vAlign w:val="center"/>
          </w:tcPr>
          <w:p w14:paraId="22B69D50">
            <w:pPr>
              <w:spacing w:line="400" w:lineRule="exact"/>
              <w:jc w:val="left"/>
              <w:rPr>
                <w:rFonts w:hint="eastAsia" w:ascii="仿宋" w:hAnsi="仿宋" w:eastAsia="仿宋" w:cs="仿宋"/>
                <w:b w:val="0"/>
                <w:bCs/>
                <w:szCs w:val="21"/>
              </w:rPr>
            </w:pPr>
            <w:r>
              <w:rPr>
                <w:rFonts w:hint="eastAsia" w:ascii="仿宋" w:hAnsi="仿宋" w:eastAsia="仿宋" w:cs="仿宋"/>
                <w:b w:val="0"/>
                <w:bCs/>
                <w:szCs w:val="21"/>
                <w:lang w:val="en-US" w:eastAsia="zh-CN"/>
              </w:rPr>
              <w:t xml:space="preserve">关于中小企业、残疾人福利性单位、监狱企业扶持政策落实的规定：本项目按照《新疆维吾尔自治区政府采购促进中小企业发展管理实施办法》（新财规〔2021〕6 号） </w:t>
            </w:r>
          </w:p>
          <w:p w14:paraId="55299040">
            <w:pPr>
              <w:spacing w:line="400" w:lineRule="exact"/>
              <w:jc w:val="left"/>
              <w:rPr>
                <w:rFonts w:hint="eastAsia" w:ascii="仿宋" w:hAnsi="仿宋" w:eastAsia="仿宋" w:cs="仿宋"/>
                <w:b w:val="0"/>
                <w:bCs/>
                <w:szCs w:val="21"/>
              </w:rPr>
            </w:pPr>
            <w:r>
              <w:rPr>
                <w:rFonts w:hint="eastAsia" w:ascii="仿宋" w:hAnsi="仿宋" w:eastAsia="仿宋" w:cs="仿宋"/>
                <w:b w:val="0"/>
                <w:bCs/>
                <w:szCs w:val="21"/>
                <w:lang w:val="en-US" w:eastAsia="zh-CN"/>
              </w:rPr>
              <w:t xml:space="preserve">☑本项目专门面向中小企业（中小企业、残疾人福利性单位、监狱企业都享受本政策） </w:t>
            </w:r>
          </w:p>
          <w:p w14:paraId="4D9AC262">
            <w:pPr>
              <w:spacing w:line="400" w:lineRule="exact"/>
              <w:jc w:val="left"/>
              <w:rPr>
                <w:rFonts w:hint="default" w:ascii="仿宋" w:hAnsi="仿宋" w:eastAsia="仿宋" w:cs="仿宋"/>
                <w:b/>
                <w:bCs w:val="0"/>
                <w:szCs w:val="21"/>
                <w:lang w:val="en-US"/>
              </w:rPr>
            </w:pPr>
            <w:r>
              <w:rPr>
                <w:rFonts w:hint="eastAsia" w:ascii="仿宋" w:hAnsi="仿宋" w:eastAsia="仿宋" w:cs="仿宋"/>
                <w:b/>
                <w:bCs w:val="0"/>
                <w:szCs w:val="21"/>
                <w:lang w:val="en-US" w:eastAsia="zh-CN"/>
              </w:rPr>
              <w:t>□本项目对符合规定的小微企业报价给予扣除10%，用扣除后的价格参加评审 本项目所属行业为：其他未列明行业</w:t>
            </w:r>
          </w:p>
          <w:p w14:paraId="675B6297">
            <w:pPr>
              <w:spacing w:line="400" w:lineRule="exact"/>
              <w:jc w:val="left"/>
              <w:rPr>
                <w:rFonts w:hint="eastAsia" w:ascii="仿宋" w:hAnsi="仿宋" w:eastAsia="仿宋" w:cs="仿宋"/>
                <w:b w:val="0"/>
                <w:bCs/>
                <w:szCs w:val="21"/>
              </w:rPr>
            </w:pPr>
            <w:r>
              <w:rPr>
                <w:rFonts w:hint="eastAsia" w:ascii="仿宋" w:hAnsi="仿宋" w:eastAsia="仿宋" w:cs="仿宋"/>
                <w:b w:val="0"/>
                <w:bCs/>
                <w:szCs w:val="21"/>
                <w:lang w:val="en-US" w:eastAsia="zh-CN"/>
              </w:rPr>
              <w:t xml:space="preserve">1、中小企业报价的价格扣除 </w:t>
            </w:r>
          </w:p>
          <w:p w14:paraId="3903ECF9">
            <w:pPr>
              <w:spacing w:line="400" w:lineRule="exact"/>
              <w:jc w:val="left"/>
              <w:rPr>
                <w:rFonts w:hint="eastAsia" w:ascii="仿宋" w:hAnsi="仿宋" w:eastAsia="仿宋" w:cs="仿宋"/>
                <w:b w:val="0"/>
                <w:bCs/>
                <w:szCs w:val="21"/>
              </w:rPr>
            </w:pPr>
            <w:r>
              <w:rPr>
                <w:rFonts w:hint="eastAsia" w:ascii="仿宋" w:hAnsi="仿宋" w:eastAsia="仿宋" w:cs="仿宋"/>
                <w:b w:val="0"/>
                <w:bCs/>
                <w:szCs w:val="21"/>
                <w:lang w:val="en-US" w:eastAsia="zh-CN"/>
              </w:rPr>
              <w:t xml:space="preserve">（1）本项目对中小企业报价的价格给予10%的扣除，用扣除后的价格参与评审。 </w:t>
            </w:r>
          </w:p>
          <w:p w14:paraId="1CAF2F3C">
            <w:pPr>
              <w:spacing w:line="400" w:lineRule="exact"/>
              <w:jc w:val="left"/>
              <w:rPr>
                <w:rFonts w:hint="eastAsia" w:ascii="仿宋" w:hAnsi="仿宋" w:eastAsia="仿宋" w:cs="仿宋"/>
                <w:b w:val="0"/>
                <w:bCs/>
                <w:szCs w:val="21"/>
              </w:rPr>
            </w:pPr>
            <w:r>
              <w:rPr>
                <w:rFonts w:hint="eastAsia" w:ascii="仿宋" w:hAnsi="仿宋" w:eastAsia="仿宋" w:cs="仿宋"/>
                <w:b w:val="0"/>
                <w:bCs/>
                <w:szCs w:val="21"/>
                <w:lang w:val="en-US" w:eastAsia="zh-CN"/>
              </w:rPr>
              <w:t xml:space="preserve">（2）供应商需按照采购文件的要求提供《中小企业声明函》，详见第六章“投标文件格式”附件八。 </w:t>
            </w:r>
          </w:p>
          <w:p w14:paraId="00B1EC3D">
            <w:pPr>
              <w:spacing w:line="400" w:lineRule="exact"/>
              <w:jc w:val="left"/>
              <w:rPr>
                <w:rFonts w:hint="eastAsia" w:ascii="仿宋" w:hAnsi="仿宋" w:eastAsia="仿宋" w:cs="仿宋"/>
                <w:b w:val="0"/>
                <w:bCs/>
                <w:szCs w:val="21"/>
              </w:rPr>
            </w:pPr>
            <w:r>
              <w:rPr>
                <w:rFonts w:hint="eastAsia" w:ascii="仿宋" w:hAnsi="仿宋" w:eastAsia="仿宋" w:cs="仿宋"/>
                <w:b w:val="0"/>
                <w:bCs/>
                <w:szCs w:val="21"/>
                <w:lang w:val="en-US" w:eastAsia="zh-CN"/>
              </w:rPr>
              <w:t xml:space="preserve">（3）企业标准请参照《统计上大中小微型企业划分办法（2017）》文件规定自行填写。 </w:t>
            </w:r>
          </w:p>
          <w:p w14:paraId="6AB1BD28">
            <w:pPr>
              <w:spacing w:line="400" w:lineRule="exact"/>
              <w:jc w:val="left"/>
              <w:rPr>
                <w:rFonts w:hint="eastAsia" w:ascii="仿宋" w:hAnsi="仿宋" w:eastAsia="仿宋" w:cs="仿宋"/>
                <w:b w:val="0"/>
                <w:bCs/>
                <w:szCs w:val="21"/>
              </w:rPr>
            </w:pPr>
            <w:r>
              <w:rPr>
                <w:rFonts w:hint="eastAsia" w:ascii="仿宋" w:hAnsi="仿宋" w:eastAsia="仿宋" w:cs="仿宋"/>
                <w:b w:val="0"/>
                <w:bCs/>
                <w:szCs w:val="21"/>
                <w:lang w:val="en-US" w:eastAsia="zh-CN"/>
              </w:rPr>
              <w:t xml:space="preserve">2、残疾人福利性单位报价的价格扣除 </w:t>
            </w:r>
          </w:p>
          <w:p w14:paraId="7D0BB1C5">
            <w:pPr>
              <w:spacing w:line="400" w:lineRule="exact"/>
              <w:jc w:val="left"/>
              <w:rPr>
                <w:rFonts w:hint="eastAsia" w:ascii="仿宋" w:hAnsi="仿宋" w:eastAsia="仿宋" w:cs="仿宋"/>
                <w:b w:val="0"/>
                <w:bCs/>
                <w:szCs w:val="21"/>
                <w:lang w:val="en-US" w:eastAsia="zh-CN"/>
              </w:rPr>
            </w:pPr>
            <w:r>
              <w:rPr>
                <w:rFonts w:hint="eastAsia" w:ascii="仿宋" w:hAnsi="仿宋" w:eastAsia="仿宋" w:cs="仿宋"/>
                <w:b w:val="0"/>
                <w:bCs/>
                <w:szCs w:val="21"/>
                <w:lang w:val="en-US" w:eastAsia="zh-CN"/>
              </w:rPr>
              <w:t xml:space="preserve">（1）本项目对残疾人福利性单位视同小型、微型企业，给予10%的价格扣除，用扣除后的价格参与评审。 </w:t>
            </w:r>
          </w:p>
          <w:p w14:paraId="70738987">
            <w:pPr>
              <w:spacing w:line="400" w:lineRule="exact"/>
              <w:jc w:val="left"/>
              <w:rPr>
                <w:rFonts w:hint="eastAsia" w:ascii="仿宋" w:hAnsi="仿宋" w:eastAsia="仿宋" w:cs="仿宋"/>
                <w:b w:val="0"/>
                <w:bCs/>
                <w:szCs w:val="21"/>
                <w:lang w:val="en-US" w:eastAsia="zh-CN"/>
              </w:rPr>
            </w:pPr>
            <w:r>
              <w:rPr>
                <w:rFonts w:hint="eastAsia" w:ascii="仿宋" w:hAnsi="仿宋" w:eastAsia="仿宋" w:cs="仿宋"/>
                <w:b w:val="0"/>
                <w:bCs/>
                <w:szCs w:val="21"/>
                <w:lang w:val="en-US" w:eastAsia="zh-CN"/>
              </w:rPr>
              <w:t xml:space="preserve">（2）残疾人福利性单位需按照采购文件的要求提供《残疾人福利性单位声明函》。 </w:t>
            </w:r>
          </w:p>
          <w:p w14:paraId="59E964FB">
            <w:pPr>
              <w:spacing w:line="400" w:lineRule="exact"/>
              <w:jc w:val="left"/>
              <w:rPr>
                <w:rFonts w:hint="eastAsia" w:ascii="仿宋" w:hAnsi="仿宋" w:eastAsia="仿宋" w:cs="仿宋"/>
                <w:b w:val="0"/>
                <w:bCs/>
                <w:szCs w:val="21"/>
                <w:lang w:val="en-US" w:eastAsia="zh-CN"/>
              </w:rPr>
            </w:pPr>
            <w:r>
              <w:rPr>
                <w:rFonts w:hint="eastAsia" w:ascii="仿宋" w:hAnsi="仿宋" w:eastAsia="仿宋" w:cs="仿宋"/>
                <w:b w:val="0"/>
                <w:bCs/>
                <w:szCs w:val="21"/>
                <w:lang w:val="en-US" w:eastAsia="zh-CN"/>
              </w:rPr>
              <w:t xml:space="preserve">（3）残疾人福利性单位标准请参照《关于促进残疾人就业政府采购政策的通知》（财库〔2017〕141号）。 </w:t>
            </w:r>
          </w:p>
          <w:p w14:paraId="09D601A3">
            <w:pPr>
              <w:spacing w:line="400" w:lineRule="exact"/>
              <w:jc w:val="left"/>
              <w:rPr>
                <w:rFonts w:hint="eastAsia" w:ascii="仿宋" w:hAnsi="仿宋" w:eastAsia="仿宋" w:cs="仿宋"/>
                <w:b w:val="0"/>
                <w:bCs/>
                <w:szCs w:val="21"/>
                <w:lang w:val="en-US" w:eastAsia="zh-CN"/>
              </w:rPr>
            </w:pPr>
            <w:r>
              <w:rPr>
                <w:rFonts w:hint="eastAsia" w:ascii="仿宋" w:hAnsi="仿宋" w:eastAsia="仿宋" w:cs="仿宋"/>
                <w:b w:val="0"/>
                <w:bCs/>
                <w:szCs w:val="21"/>
                <w:lang w:val="en-US" w:eastAsia="zh-CN"/>
              </w:rPr>
              <w:t xml:space="preserve">3、监狱和戒毒企业报价的价格扣除（1）本项目对监狱和戒毒企业（简称监狱企业）视同小型、微型企业，给予10%的价格扣除，用扣除后的价格参与评审。 </w:t>
            </w:r>
          </w:p>
          <w:p w14:paraId="62EA2692">
            <w:pPr>
              <w:spacing w:line="400" w:lineRule="exact"/>
              <w:jc w:val="left"/>
              <w:rPr>
                <w:rFonts w:hint="eastAsia" w:ascii="仿宋" w:hAnsi="仿宋" w:eastAsia="仿宋" w:cs="仿宋"/>
                <w:b w:val="0"/>
                <w:bCs/>
                <w:szCs w:val="21"/>
                <w:lang w:val="en-US" w:eastAsia="zh-CN"/>
              </w:rPr>
            </w:pPr>
            <w:r>
              <w:rPr>
                <w:rFonts w:hint="eastAsia" w:ascii="仿宋" w:hAnsi="仿宋" w:eastAsia="仿宋" w:cs="仿宋"/>
                <w:b w:val="0"/>
                <w:bCs/>
                <w:szCs w:val="21"/>
                <w:lang w:val="en-US" w:eastAsia="zh-CN"/>
              </w:rPr>
              <w:t xml:space="preserve">（2）监狱企业参加政府采购活动时，需提供由省级以上监狱管理局、戒毒管理局(含新疆生产建设兵团)出具的属于监狱企业的证明文件。供应商如不提供上述证明文件，价格将不做相应扣除。 </w:t>
            </w:r>
          </w:p>
          <w:p w14:paraId="118B36A9">
            <w:pPr>
              <w:spacing w:line="400" w:lineRule="exact"/>
              <w:jc w:val="left"/>
              <w:rPr>
                <w:rFonts w:hint="eastAsia" w:ascii="仿宋" w:hAnsi="仿宋" w:eastAsia="仿宋" w:cs="仿宋"/>
                <w:b w:val="0"/>
                <w:bCs/>
                <w:szCs w:val="21"/>
                <w:lang w:val="en-US" w:eastAsia="zh-CN"/>
              </w:rPr>
            </w:pPr>
            <w:r>
              <w:rPr>
                <w:rFonts w:hint="eastAsia" w:ascii="仿宋" w:hAnsi="仿宋" w:eastAsia="仿宋" w:cs="仿宋"/>
                <w:b w:val="0"/>
                <w:bCs/>
                <w:szCs w:val="21"/>
                <w:lang w:val="en-US" w:eastAsia="zh-CN"/>
              </w:rPr>
              <w:t xml:space="preserve">（3）监狱企业标准请参照《关于政府采购支持监狱企业发展有关问题的通知》（财库[2014]68 号）。 </w:t>
            </w:r>
          </w:p>
          <w:p w14:paraId="4A2A78CF">
            <w:pPr>
              <w:spacing w:line="400" w:lineRule="exact"/>
              <w:jc w:val="left"/>
              <w:rPr>
                <w:rFonts w:hint="eastAsia" w:ascii="仿宋" w:hAnsi="仿宋" w:eastAsia="仿宋" w:cs="仿宋"/>
                <w:b w:val="0"/>
                <w:bCs/>
                <w:szCs w:val="21"/>
                <w:lang w:val="en-US" w:eastAsia="zh-CN"/>
              </w:rPr>
            </w:pPr>
            <w:r>
              <w:rPr>
                <w:rFonts w:hint="eastAsia" w:ascii="仿宋" w:hAnsi="仿宋" w:eastAsia="仿宋" w:cs="仿宋"/>
                <w:b w:val="0"/>
                <w:bCs/>
                <w:szCs w:val="21"/>
                <w:lang w:val="en-US" w:eastAsia="zh-CN"/>
              </w:rPr>
              <w:t xml:space="preserve">4、残疾人福利单位、监狱企业属于小型、微型企业的，不重复享受政策。 </w:t>
            </w:r>
          </w:p>
          <w:p w14:paraId="5AB8FB2A">
            <w:pPr>
              <w:spacing w:line="400" w:lineRule="exact"/>
              <w:jc w:val="left"/>
              <w:rPr>
                <w:rFonts w:hint="eastAsia" w:ascii="仿宋" w:hAnsi="仿宋" w:eastAsia="仿宋" w:cs="仿宋"/>
                <w:b w:val="0"/>
                <w:bCs/>
                <w:szCs w:val="21"/>
                <w:lang w:val="en-US" w:eastAsia="zh-CN"/>
              </w:rPr>
            </w:pPr>
            <w:r>
              <w:rPr>
                <w:rFonts w:hint="eastAsia" w:ascii="仿宋" w:hAnsi="仿宋" w:eastAsia="仿宋" w:cs="仿宋"/>
                <w:b w:val="0"/>
                <w:bCs/>
                <w:szCs w:val="21"/>
                <w:lang w:val="en-US" w:eastAsia="zh-CN"/>
              </w:rPr>
              <w:t xml:space="preserve">5、大中型企业和其他自然人、法人或者其他组织与小型、微型 </w:t>
            </w:r>
          </w:p>
          <w:p w14:paraId="105CCA34">
            <w:pPr>
              <w:spacing w:line="400" w:lineRule="exact"/>
              <w:jc w:val="left"/>
              <w:rPr>
                <w:rFonts w:hint="eastAsia" w:ascii="仿宋" w:hAnsi="仿宋" w:eastAsia="仿宋" w:cs="仿宋"/>
                <w:b w:val="0"/>
                <w:bCs/>
                <w:szCs w:val="21"/>
                <w:lang w:val="en-US" w:eastAsia="zh-CN"/>
              </w:rPr>
            </w:pPr>
            <w:r>
              <w:rPr>
                <w:rFonts w:hint="eastAsia" w:ascii="仿宋" w:hAnsi="仿宋" w:eastAsia="仿宋" w:cs="仿宋"/>
                <w:b w:val="0"/>
                <w:bCs/>
                <w:szCs w:val="21"/>
                <w:lang w:val="en-US" w:eastAsia="zh-CN"/>
              </w:rPr>
              <w:t xml:space="preserve">企业（残疾人福利单位、监狱企业）组成联合体共同参加政府采购活动。联合协议中约定，小型、微型企业（残疾人福利单位、监狱企业）的协议合同金额占到联合体协议合同总金额30%以上的，给予联合体 2%的价格扣除，用扣除后的价格参与评审。 </w:t>
            </w:r>
          </w:p>
          <w:p w14:paraId="683AE295">
            <w:pPr>
              <w:spacing w:line="400" w:lineRule="exact"/>
              <w:jc w:val="left"/>
              <w:rPr>
                <w:rFonts w:hint="eastAsia" w:ascii="仿宋" w:hAnsi="仿宋" w:eastAsia="仿宋" w:cs="仿宋"/>
                <w:b w:val="0"/>
                <w:bCs/>
                <w:szCs w:val="21"/>
                <w:lang w:val="en-US" w:eastAsia="zh-CN"/>
              </w:rPr>
            </w:pPr>
            <w:r>
              <w:rPr>
                <w:rFonts w:hint="eastAsia" w:ascii="仿宋" w:hAnsi="仿宋" w:eastAsia="仿宋" w:cs="仿宋"/>
                <w:b w:val="0"/>
                <w:bCs/>
                <w:szCs w:val="21"/>
                <w:lang w:val="en-US" w:eastAsia="zh-CN"/>
              </w:rPr>
              <w:t xml:space="preserve">（注意：组成联合体的中小企业与联合体内其他企业之间不得存在直接控股、管理关系） </w:t>
            </w:r>
          </w:p>
          <w:p w14:paraId="796AFAF5">
            <w:pPr>
              <w:spacing w:line="400" w:lineRule="exact"/>
              <w:jc w:val="left"/>
              <w:rPr>
                <w:rFonts w:hint="eastAsia" w:ascii="仿宋" w:hAnsi="仿宋" w:eastAsia="仿宋" w:cs="仿宋"/>
                <w:b/>
                <w:szCs w:val="21"/>
              </w:rPr>
            </w:pPr>
            <w:r>
              <w:rPr>
                <w:rFonts w:hint="eastAsia" w:ascii="仿宋" w:hAnsi="仿宋" w:eastAsia="仿宋" w:cs="仿宋"/>
                <w:b w:val="0"/>
                <w:bCs/>
                <w:szCs w:val="21"/>
                <w:lang w:val="en-US" w:eastAsia="zh-CN"/>
              </w:rPr>
              <w:t>6、联合体各方均为小型、微型企业（残疾人福利单位、监狱企业）的，联合体享受 3%价格扣除，用扣除后的价格参与评审。</w:t>
            </w:r>
          </w:p>
        </w:tc>
      </w:tr>
      <w:tr w14:paraId="268965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16" w:hRule="atLeast"/>
          <w:jc w:val="center"/>
        </w:trPr>
        <w:tc>
          <w:tcPr>
            <w:tcW w:w="5000" w:type="pct"/>
            <w:gridSpan w:val="3"/>
            <w:vAlign w:val="center"/>
          </w:tcPr>
          <w:p w14:paraId="0663783A">
            <w:pPr>
              <w:tabs>
                <w:tab w:val="left" w:pos="1552"/>
              </w:tabs>
              <w:spacing w:line="400" w:lineRule="exact"/>
              <w:rPr>
                <w:rFonts w:hint="eastAsia" w:ascii="仿宋" w:hAnsi="仿宋" w:eastAsia="仿宋" w:cs="仿宋"/>
                <w:kern w:val="0"/>
                <w:sz w:val="21"/>
                <w:szCs w:val="21"/>
                <w:lang w:eastAsia="zh-CN"/>
              </w:rPr>
            </w:pPr>
            <w:r>
              <w:rPr>
                <w:rFonts w:hint="eastAsia" w:ascii="仿宋" w:hAnsi="仿宋" w:eastAsia="仿宋" w:cs="仿宋"/>
                <w:b/>
                <w:sz w:val="21"/>
                <w:szCs w:val="21"/>
              </w:rPr>
              <w:t>备注：投标人使用相同IP地址的，一经发现，相关部门将进一步核实，查实后按串通投标处理。</w:t>
            </w:r>
          </w:p>
        </w:tc>
      </w:tr>
      <w:tr w14:paraId="3903849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16" w:hRule="atLeast"/>
          <w:jc w:val="center"/>
        </w:trPr>
        <w:tc>
          <w:tcPr>
            <w:tcW w:w="5000" w:type="pct"/>
            <w:gridSpan w:val="3"/>
            <w:vAlign w:val="center"/>
          </w:tcPr>
          <w:p w14:paraId="6426FE9D">
            <w:pPr>
              <w:pStyle w:val="22"/>
              <w:keepNext w:val="0"/>
              <w:keepLines w:val="0"/>
              <w:widowControl/>
              <w:suppressLineNumbers w:val="0"/>
              <w:spacing w:line="240" w:lineRule="auto"/>
              <w:ind w:left="0" w:firstLine="420"/>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中小企业划型标准规定</w:t>
            </w:r>
          </w:p>
          <w:p w14:paraId="6CFB80CD">
            <w:pPr>
              <w:pStyle w:val="22"/>
              <w:keepNext w:val="0"/>
              <w:keepLines w:val="0"/>
              <w:widowControl/>
              <w:suppressLineNumbers w:val="0"/>
              <w:spacing w:line="240" w:lineRule="auto"/>
              <w:ind w:left="0" w:firstLine="42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一、根据《中华人民共和国中小企业促进法》和《国务院关于进一步促进中小企业发展的若干意见》(（国发〔2009〕[2009]36号)，制定本规定。</w:t>
            </w:r>
          </w:p>
          <w:p w14:paraId="21490663">
            <w:pPr>
              <w:pStyle w:val="22"/>
              <w:keepNext w:val="0"/>
              <w:keepLines w:val="0"/>
              <w:widowControl/>
              <w:suppressLineNumbers w:val="0"/>
              <w:spacing w:line="240" w:lineRule="auto"/>
              <w:ind w:left="0" w:firstLine="42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二、中小企业划分为中型、小型、微型三种类型，具体标准根据企业从业人员、营业收入、资产总额等指标，结合行业特点制定。</w:t>
            </w:r>
          </w:p>
          <w:p w14:paraId="0F66B0ED">
            <w:pPr>
              <w:pStyle w:val="22"/>
              <w:keepNext w:val="0"/>
              <w:keepLines w:val="0"/>
              <w:widowControl/>
              <w:suppressLineNumbers w:val="0"/>
              <w:spacing w:line="240" w:lineRule="auto"/>
              <w:ind w:left="0" w:firstLine="42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5C56E74">
            <w:pPr>
              <w:pStyle w:val="22"/>
              <w:keepNext w:val="0"/>
              <w:keepLines w:val="0"/>
              <w:widowControl/>
              <w:suppressLineNumbers w:val="0"/>
              <w:spacing w:line="240" w:lineRule="auto"/>
              <w:ind w:left="0" w:firstLine="42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四、各行业划型标准为：</w:t>
            </w:r>
          </w:p>
          <w:p w14:paraId="1E91C461">
            <w:pPr>
              <w:pStyle w:val="22"/>
              <w:keepNext w:val="0"/>
              <w:keepLines w:val="0"/>
              <w:widowControl/>
              <w:suppressLineNumbers w:val="0"/>
              <w:spacing w:line="240" w:lineRule="auto"/>
              <w:ind w:left="0" w:firstLine="420"/>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　　（一）农、林、牧、渔业。营业收入20000万元以下的为中小微型企业。其中，营业收入500万元及以上的为中型企业，营业收入50万元及以上的为小型企业，营业收入50万元以下的为微型企业。</w:t>
            </w:r>
          </w:p>
          <w:p w14:paraId="2D0961B2">
            <w:pPr>
              <w:pStyle w:val="22"/>
              <w:keepNext w:val="0"/>
              <w:keepLines w:val="0"/>
              <w:widowControl/>
              <w:suppressLineNumbers w:val="0"/>
              <w:spacing w:line="240" w:lineRule="auto"/>
              <w:ind w:left="0" w:firstLine="42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2565A0C">
            <w:pPr>
              <w:pStyle w:val="22"/>
              <w:keepNext w:val="0"/>
              <w:keepLines w:val="0"/>
              <w:widowControl/>
              <w:suppressLineNumbers w:val="0"/>
              <w:spacing w:line="240" w:lineRule="auto"/>
              <w:ind w:left="0" w:firstLine="42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550D313">
            <w:pPr>
              <w:pStyle w:val="22"/>
              <w:keepNext w:val="0"/>
              <w:keepLines w:val="0"/>
              <w:widowControl/>
              <w:suppressLineNumbers w:val="0"/>
              <w:spacing w:line="240" w:lineRule="auto"/>
              <w:ind w:left="0" w:firstLine="42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8F39B57">
            <w:pPr>
              <w:pStyle w:val="22"/>
              <w:keepNext w:val="0"/>
              <w:keepLines w:val="0"/>
              <w:widowControl/>
              <w:suppressLineNumbers w:val="0"/>
              <w:spacing w:line="240" w:lineRule="auto"/>
              <w:ind w:left="0" w:firstLine="42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EECAB12">
            <w:pPr>
              <w:pStyle w:val="22"/>
              <w:keepNext w:val="0"/>
              <w:keepLines w:val="0"/>
              <w:widowControl/>
              <w:suppressLineNumbers w:val="0"/>
              <w:spacing w:line="240" w:lineRule="auto"/>
              <w:ind w:left="0" w:firstLine="42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7BBB0C1">
            <w:pPr>
              <w:pStyle w:val="22"/>
              <w:keepNext w:val="0"/>
              <w:keepLines w:val="0"/>
              <w:widowControl/>
              <w:suppressLineNumbers w:val="0"/>
              <w:spacing w:line="240" w:lineRule="auto"/>
              <w:ind w:left="0" w:firstLine="42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8E566DD">
            <w:pPr>
              <w:pStyle w:val="22"/>
              <w:keepNext w:val="0"/>
              <w:keepLines w:val="0"/>
              <w:widowControl/>
              <w:suppressLineNumbers w:val="0"/>
              <w:spacing w:line="240" w:lineRule="auto"/>
              <w:ind w:left="0" w:firstLine="42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BCE0EB5">
            <w:pPr>
              <w:pStyle w:val="22"/>
              <w:keepNext w:val="0"/>
              <w:keepLines w:val="0"/>
              <w:widowControl/>
              <w:suppressLineNumbers w:val="0"/>
              <w:spacing w:line="240" w:lineRule="auto"/>
              <w:ind w:left="0" w:firstLine="42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8EB62B1">
            <w:pPr>
              <w:pStyle w:val="22"/>
              <w:keepNext w:val="0"/>
              <w:keepLines w:val="0"/>
              <w:widowControl/>
              <w:suppressLineNumbers w:val="0"/>
              <w:spacing w:line="240" w:lineRule="auto"/>
              <w:ind w:left="0" w:firstLine="420"/>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w:t>
            </w:r>
            <w:r>
              <w:rPr>
                <w:rFonts w:hint="eastAsia" w:ascii="仿宋" w:hAnsi="仿宋" w:eastAsia="仿宋" w:cs="仿宋"/>
                <w:b w:val="0"/>
                <w:bCs/>
                <w:color w:val="auto"/>
                <w:kern w:val="2"/>
                <w:sz w:val="21"/>
                <w:szCs w:val="21"/>
                <w:highlight w:val="none"/>
                <w:lang w:val="en-US" w:eastAsia="zh-CN" w:bidi="ar-S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039D615">
            <w:pPr>
              <w:pStyle w:val="22"/>
              <w:keepNext w:val="0"/>
              <w:keepLines w:val="0"/>
              <w:widowControl/>
              <w:suppressLineNumbers w:val="0"/>
              <w:spacing w:line="240" w:lineRule="auto"/>
              <w:ind w:left="0" w:firstLine="42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8982C9F">
            <w:pPr>
              <w:pStyle w:val="22"/>
              <w:keepNext w:val="0"/>
              <w:keepLines w:val="0"/>
              <w:widowControl/>
              <w:suppressLineNumbers w:val="0"/>
              <w:spacing w:line="240" w:lineRule="auto"/>
              <w:ind w:left="0" w:firstLine="42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38715CE">
            <w:pPr>
              <w:pStyle w:val="22"/>
              <w:keepNext w:val="0"/>
              <w:keepLines w:val="0"/>
              <w:widowControl/>
              <w:suppressLineNumbers w:val="0"/>
              <w:spacing w:line="240" w:lineRule="auto"/>
              <w:ind w:left="0" w:firstLine="42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D34F51E">
            <w:pPr>
              <w:pStyle w:val="22"/>
              <w:keepNext w:val="0"/>
              <w:keepLines w:val="0"/>
              <w:widowControl/>
              <w:suppressLineNumbers w:val="0"/>
              <w:spacing w:line="240" w:lineRule="auto"/>
              <w:ind w:left="0" w:firstLine="42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7969844">
            <w:pPr>
              <w:pStyle w:val="22"/>
              <w:keepNext w:val="0"/>
              <w:keepLines w:val="0"/>
              <w:widowControl/>
              <w:suppressLineNumbers w:val="0"/>
              <w:spacing w:line="240" w:lineRule="auto"/>
              <w:ind w:left="0" w:firstLine="42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CDA81C0">
            <w:pPr>
              <w:pStyle w:val="22"/>
              <w:keepNext w:val="0"/>
              <w:keepLines w:val="0"/>
              <w:widowControl/>
              <w:suppressLineNumbers w:val="0"/>
              <w:spacing w:line="240" w:lineRule="auto"/>
              <w:ind w:left="0" w:firstLine="42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w:t>
            </w:r>
            <w:r>
              <w:rPr>
                <w:rFonts w:hint="eastAsia" w:ascii="仿宋" w:hAnsi="仿宋" w:eastAsia="仿宋" w:cs="仿宋"/>
                <w:b/>
                <w:bCs w:val="0"/>
                <w:color w:val="auto"/>
                <w:kern w:val="2"/>
                <w:sz w:val="21"/>
                <w:szCs w:val="21"/>
                <w:highlight w:val="none"/>
                <w:lang w:val="en-US" w:eastAsia="zh-CN" w:bidi="ar-SA"/>
              </w:rPr>
              <w:t>（十六）其他未列明行业。从业人员300人以下的为中小微型企业。其中，从业人员100人及以上的为中型企业；从业人员10人及以上的为小型企业；从业人员10人以下的为微型企业。</w:t>
            </w:r>
          </w:p>
          <w:p w14:paraId="53C35D79">
            <w:pPr>
              <w:pStyle w:val="22"/>
              <w:keepNext w:val="0"/>
              <w:keepLines w:val="0"/>
              <w:widowControl/>
              <w:suppressLineNumbers w:val="0"/>
              <w:spacing w:line="240" w:lineRule="auto"/>
              <w:ind w:left="0" w:firstLine="42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五、企业类型的划分以统计部门的统计数据为依据。</w:t>
            </w:r>
          </w:p>
          <w:p w14:paraId="769DC687">
            <w:pPr>
              <w:pStyle w:val="22"/>
              <w:keepNext w:val="0"/>
              <w:keepLines w:val="0"/>
              <w:widowControl/>
              <w:suppressLineNumbers w:val="0"/>
              <w:spacing w:line="240" w:lineRule="auto"/>
              <w:ind w:left="0" w:firstLine="42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六、本规定适用于在中华人民共和国境内依法设立的各类所有制和各种组织形式的企业。个体工商户和本规定以外的行业，参照本规定进行划型。</w:t>
            </w:r>
          </w:p>
          <w:p w14:paraId="2DB4B0D0">
            <w:pPr>
              <w:pStyle w:val="22"/>
              <w:keepNext w:val="0"/>
              <w:keepLines w:val="0"/>
              <w:widowControl/>
              <w:suppressLineNumbers w:val="0"/>
              <w:spacing w:line="240" w:lineRule="auto"/>
              <w:ind w:left="0" w:firstLine="42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七、本规定的中型企业标准上限即为大型企业标准的下限，国家统计部门据此制定大中小微型企业的统计分类。国务院有关部门据此进行相关数据分析，不得制定与本规定不一致的企业划型标准。</w:t>
            </w:r>
          </w:p>
          <w:p w14:paraId="2FFB0531">
            <w:pPr>
              <w:pStyle w:val="22"/>
              <w:keepNext w:val="0"/>
              <w:keepLines w:val="0"/>
              <w:widowControl/>
              <w:suppressLineNumbers w:val="0"/>
              <w:spacing w:line="240" w:lineRule="auto"/>
              <w:ind w:left="0" w:firstLine="42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八、本规定由工业和信息化部、国家统计局会同有关部门根据《国民经济行业分类》修订情况和企业发展变化情况适时修订。</w:t>
            </w:r>
          </w:p>
          <w:p w14:paraId="67EABF30">
            <w:pPr>
              <w:pStyle w:val="22"/>
              <w:keepNext w:val="0"/>
              <w:keepLines w:val="0"/>
              <w:widowControl/>
              <w:suppressLineNumbers w:val="0"/>
              <w:spacing w:line="240" w:lineRule="auto"/>
              <w:ind w:left="0" w:firstLine="42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九、本规定由工业和信息化部、国家统计局会同有关部门负责解释。</w:t>
            </w:r>
          </w:p>
          <w:p w14:paraId="6459BA7E">
            <w:pPr>
              <w:pStyle w:val="22"/>
              <w:keepNext w:val="0"/>
              <w:keepLines w:val="0"/>
              <w:widowControl/>
              <w:suppressLineNumbers w:val="0"/>
              <w:spacing w:line="240" w:lineRule="auto"/>
              <w:ind w:left="0" w:firstLine="420"/>
              <w:rPr>
                <w:rFonts w:hint="eastAsia" w:ascii="仿宋" w:hAnsi="仿宋" w:eastAsia="仿宋" w:cs="仿宋"/>
                <w:b/>
                <w:sz w:val="21"/>
                <w:szCs w:val="21"/>
              </w:rPr>
            </w:pPr>
            <w:r>
              <w:rPr>
                <w:rFonts w:hint="eastAsia" w:ascii="仿宋" w:hAnsi="仿宋" w:eastAsia="仿宋" w:cs="仿宋"/>
                <w:bCs/>
                <w:color w:val="auto"/>
                <w:kern w:val="2"/>
                <w:sz w:val="21"/>
                <w:szCs w:val="21"/>
                <w:highlight w:val="none"/>
                <w:lang w:val="en-US" w:eastAsia="zh-CN" w:bidi="ar-SA"/>
              </w:rPr>
              <w:t>　　十、本规定自发布之日起执行，原国家经贸委、原国家计委、财政部和国家统计局2003年颁布的《中小企业标准暂行规定》同时废止。</w:t>
            </w:r>
          </w:p>
        </w:tc>
      </w:tr>
    </w:tbl>
    <w:p w14:paraId="1F78A23E">
      <w:pPr>
        <w:pageBreakBefore/>
        <w:spacing w:before="312" w:beforeLines="100" w:after="312" w:afterLines="100" w:line="440" w:lineRule="exact"/>
        <w:jc w:val="center"/>
        <w:outlineLvl w:val="1"/>
        <w:rPr>
          <w:rFonts w:hint="eastAsia" w:ascii="仿宋" w:hAnsi="仿宋" w:eastAsia="仿宋" w:cs="仿宋"/>
          <w:b/>
          <w:sz w:val="28"/>
          <w:szCs w:val="32"/>
          <w:highlight w:val="none"/>
        </w:rPr>
      </w:pPr>
      <w:bookmarkStart w:id="32" w:name="_Toc16282"/>
      <w:r>
        <w:rPr>
          <w:rFonts w:hint="eastAsia" w:ascii="仿宋" w:hAnsi="仿宋" w:eastAsia="仿宋" w:cs="仿宋"/>
          <w:b/>
          <w:sz w:val="28"/>
          <w:szCs w:val="28"/>
          <w:highlight w:val="none"/>
        </w:rPr>
        <w:t>二、投标人须知</w:t>
      </w:r>
      <w:bookmarkEnd w:id="30"/>
      <w:bookmarkEnd w:id="31"/>
      <w:bookmarkEnd w:id="32"/>
    </w:p>
    <w:p w14:paraId="0BC34A5B">
      <w:pPr>
        <w:spacing w:line="440" w:lineRule="exact"/>
        <w:jc w:val="center"/>
        <w:outlineLvl w:val="2"/>
        <w:rPr>
          <w:rFonts w:hint="eastAsia" w:ascii="仿宋" w:hAnsi="仿宋" w:eastAsia="仿宋" w:cs="仿宋"/>
          <w:sz w:val="28"/>
          <w:szCs w:val="28"/>
          <w:highlight w:val="none"/>
        </w:rPr>
      </w:pPr>
      <w:bookmarkStart w:id="33" w:name="_Toc469495724"/>
      <w:bookmarkStart w:id="34" w:name="_Toc13020"/>
      <w:bookmarkStart w:id="35" w:name="_Toc25428"/>
      <w:r>
        <w:rPr>
          <w:rFonts w:hint="eastAsia" w:ascii="仿宋" w:hAnsi="仿宋" w:eastAsia="仿宋" w:cs="仿宋"/>
          <w:b/>
          <w:sz w:val="28"/>
          <w:szCs w:val="28"/>
          <w:highlight w:val="none"/>
        </w:rPr>
        <w:t>（一）</w:t>
      </w:r>
      <w:r>
        <w:rPr>
          <w:rFonts w:hint="eastAsia" w:ascii="仿宋" w:hAnsi="仿宋" w:eastAsia="仿宋" w:cs="仿宋"/>
          <w:b/>
          <w:sz w:val="28"/>
          <w:szCs w:val="32"/>
          <w:highlight w:val="none"/>
        </w:rPr>
        <w:t>总  则</w:t>
      </w:r>
      <w:bookmarkEnd w:id="33"/>
      <w:bookmarkEnd w:id="34"/>
      <w:bookmarkEnd w:id="35"/>
    </w:p>
    <w:p w14:paraId="350D62B0">
      <w:pPr>
        <w:tabs>
          <w:tab w:val="left" w:pos="368"/>
        </w:tabs>
        <w:snapToGrid w:val="0"/>
        <w:spacing w:line="440" w:lineRule="exact"/>
        <w:ind w:firstLine="420" w:firstLineChars="200"/>
        <w:outlineLvl w:val="3"/>
        <w:rPr>
          <w:rFonts w:hint="eastAsia" w:ascii="仿宋" w:hAnsi="仿宋" w:eastAsia="仿宋" w:cs="仿宋"/>
          <w:b/>
          <w:szCs w:val="21"/>
          <w:highlight w:val="none"/>
        </w:rPr>
      </w:pPr>
      <w:r>
        <w:rPr>
          <w:rFonts w:hint="eastAsia" w:ascii="仿宋" w:hAnsi="仿宋" w:eastAsia="仿宋" w:cs="仿宋"/>
          <w:b/>
          <w:szCs w:val="21"/>
          <w:highlight w:val="none"/>
        </w:rPr>
        <w:t>1.项目概况</w:t>
      </w:r>
    </w:p>
    <w:p w14:paraId="6937D9F5">
      <w:pPr>
        <w:snapToGrid w:val="0"/>
        <w:spacing w:line="440" w:lineRule="exact"/>
        <w:ind w:firstLine="420" w:firstLineChars="200"/>
        <w:outlineLvl w:val="9"/>
        <w:rPr>
          <w:rFonts w:hint="eastAsia" w:ascii="仿宋" w:hAnsi="仿宋" w:eastAsia="仿宋" w:cs="仿宋"/>
          <w:szCs w:val="21"/>
          <w:highlight w:val="none"/>
          <w:u w:val="single"/>
        </w:rPr>
      </w:pPr>
      <w:r>
        <w:rPr>
          <w:rFonts w:hint="eastAsia" w:ascii="仿宋" w:hAnsi="仿宋" w:eastAsia="仿宋" w:cs="仿宋"/>
          <w:szCs w:val="21"/>
          <w:highlight w:val="none"/>
        </w:rPr>
        <w:t>1.1本次招标采购项目名称：见投标人须知前附表。</w:t>
      </w:r>
    </w:p>
    <w:p w14:paraId="57DB3F85">
      <w:pPr>
        <w:snapToGrid w:val="0"/>
        <w:spacing w:line="440" w:lineRule="exact"/>
        <w:ind w:firstLine="420" w:firstLineChars="200"/>
        <w:outlineLvl w:val="9"/>
        <w:rPr>
          <w:rFonts w:hint="eastAsia" w:ascii="仿宋" w:hAnsi="仿宋" w:eastAsia="仿宋" w:cs="仿宋"/>
          <w:szCs w:val="21"/>
          <w:highlight w:val="none"/>
          <w:u w:val="single"/>
        </w:rPr>
      </w:pPr>
      <w:r>
        <w:rPr>
          <w:rFonts w:hint="eastAsia" w:ascii="仿宋" w:hAnsi="仿宋" w:eastAsia="仿宋" w:cs="仿宋"/>
          <w:szCs w:val="21"/>
          <w:highlight w:val="none"/>
        </w:rPr>
        <w:t xml:space="preserve">               项目编号：见投标人须知前附表。</w:t>
      </w:r>
    </w:p>
    <w:p w14:paraId="667981A7">
      <w:pPr>
        <w:snapToGrid w:val="0"/>
        <w:spacing w:line="440" w:lineRule="exact"/>
        <w:ind w:firstLine="420" w:firstLineChars="200"/>
        <w:outlineLvl w:val="9"/>
        <w:rPr>
          <w:rFonts w:hint="eastAsia" w:ascii="仿宋" w:hAnsi="仿宋" w:eastAsia="仿宋" w:cs="仿宋"/>
          <w:szCs w:val="21"/>
          <w:highlight w:val="none"/>
          <w:u w:val="single"/>
        </w:rPr>
      </w:pPr>
      <w:r>
        <w:rPr>
          <w:rFonts w:hint="eastAsia" w:ascii="仿宋" w:hAnsi="仿宋" w:eastAsia="仿宋" w:cs="仿宋"/>
          <w:szCs w:val="21"/>
          <w:highlight w:val="none"/>
        </w:rPr>
        <w:t xml:space="preserve">                 招标人：见投标人须知前附表。</w:t>
      </w:r>
    </w:p>
    <w:p w14:paraId="3030E37F">
      <w:pPr>
        <w:snapToGrid w:val="0"/>
        <w:spacing w:line="440" w:lineRule="exact"/>
        <w:ind w:firstLine="420" w:firstLineChars="200"/>
        <w:outlineLvl w:val="9"/>
        <w:rPr>
          <w:rFonts w:hint="eastAsia" w:ascii="仿宋" w:hAnsi="仿宋" w:eastAsia="仿宋" w:cs="仿宋"/>
          <w:szCs w:val="21"/>
          <w:highlight w:val="none"/>
          <w:u w:val="single"/>
        </w:rPr>
      </w:pPr>
      <w:r>
        <w:rPr>
          <w:rFonts w:hint="eastAsia" w:ascii="仿宋" w:hAnsi="仿宋" w:eastAsia="仿宋" w:cs="仿宋"/>
          <w:szCs w:val="21"/>
          <w:highlight w:val="none"/>
        </w:rPr>
        <w:t xml:space="preserve">      供货期（服务周期）：见投标人须知前附表。</w:t>
      </w:r>
    </w:p>
    <w:p w14:paraId="7E69DC4E">
      <w:pPr>
        <w:snapToGrid w:val="0"/>
        <w:spacing w:line="440" w:lineRule="exact"/>
        <w:ind w:firstLine="420" w:firstLineChars="200"/>
        <w:outlineLvl w:val="9"/>
        <w:rPr>
          <w:rFonts w:hint="eastAsia" w:ascii="仿宋" w:hAnsi="仿宋" w:eastAsia="仿宋" w:cs="仿宋"/>
          <w:szCs w:val="21"/>
          <w:highlight w:val="none"/>
          <w:u w:val="single"/>
        </w:rPr>
      </w:pPr>
      <w:r>
        <w:rPr>
          <w:rFonts w:hint="eastAsia" w:ascii="仿宋" w:hAnsi="仿宋" w:eastAsia="仿宋" w:cs="仿宋"/>
          <w:szCs w:val="21"/>
          <w:highlight w:val="none"/>
        </w:rPr>
        <w:t xml:space="preserve">               供货</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服务</w:t>
      </w:r>
      <w:r>
        <w:rPr>
          <w:rFonts w:hint="eastAsia" w:ascii="仿宋" w:hAnsi="仿宋" w:eastAsia="仿宋" w:cs="仿宋"/>
          <w:szCs w:val="21"/>
          <w:highlight w:val="none"/>
          <w:lang w:eastAsia="zh-CN"/>
        </w:rPr>
        <w:t>）</w:t>
      </w:r>
      <w:r>
        <w:rPr>
          <w:rFonts w:hint="eastAsia" w:ascii="仿宋" w:hAnsi="仿宋" w:eastAsia="仿宋" w:cs="仿宋"/>
          <w:szCs w:val="21"/>
          <w:highlight w:val="none"/>
        </w:rPr>
        <w:t>地点：见投标人须知前附表。</w:t>
      </w:r>
    </w:p>
    <w:p w14:paraId="6B9C09B0">
      <w:pPr>
        <w:snapToGrid w:val="0"/>
        <w:spacing w:line="440" w:lineRule="exact"/>
        <w:ind w:firstLine="420" w:firstLineChars="200"/>
        <w:outlineLvl w:val="9"/>
        <w:rPr>
          <w:rFonts w:hint="eastAsia" w:ascii="仿宋" w:hAnsi="仿宋" w:eastAsia="仿宋" w:cs="仿宋"/>
          <w:szCs w:val="21"/>
          <w:highlight w:val="none"/>
          <w:u w:val="single"/>
        </w:rPr>
      </w:pPr>
      <w:r>
        <w:rPr>
          <w:rFonts w:hint="eastAsia" w:ascii="仿宋" w:hAnsi="仿宋" w:eastAsia="仿宋" w:cs="仿宋"/>
          <w:szCs w:val="21"/>
          <w:highlight w:val="none"/>
        </w:rPr>
        <w:t>1.2招标人及联系人: 见投标人须知前附表。</w:t>
      </w:r>
    </w:p>
    <w:p w14:paraId="42931076">
      <w:pPr>
        <w:snapToGrid w:val="0"/>
        <w:spacing w:line="440" w:lineRule="exact"/>
        <w:ind w:firstLine="525" w:firstLineChars="250"/>
        <w:outlineLvl w:val="9"/>
        <w:rPr>
          <w:rFonts w:hint="eastAsia" w:ascii="仿宋" w:hAnsi="仿宋" w:eastAsia="仿宋" w:cs="仿宋"/>
          <w:szCs w:val="21"/>
          <w:highlight w:val="none"/>
          <w:u w:val="single"/>
        </w:rPr>
      </w:pPr>
      <w:r>
        <w:rPr>
          <w:rFonts w:hint="eastAsia" w:ascii="仿宋" w:hAnsi="仿宋" w:eastAsia="仿宋" w:cs="仿宋"/>
          <w:szCs w:val="21"/>
          <w:highlight w:val="none"/>
        </w:rPr>
        <w:t xml:space="preserve"> 代理机构及联系人: 见投标人须知前附表。</w:t>
      </w:r>
    </w:p>
    <w:p w14:paraId="7B820C4E">
      <w:pPr>
        <w:snapToGrid w:val="0"/>
        <w:spacing w:line="440" w:lineRule="exact"/>
        <w:ind w:firstLine="420" w:firstLineChars="200"/>
        <w:outlineLvl w:val="9"/>
        <w:rPr>
          <w:rFonts w:hint="eastAsia" w:ascii="仿宋" w:hAnsi="仿宋" w:eastAsia="仿宋" w:cs="仿宋"/>
          <w:szCs w:val="21"/>
          <w:highlight w:val="none"/>
        </w:rPr>
      </w:pPr>
      <w:r>
        <w:rPr>
          <w:rFonts w:hint="eastAsia" w:ascii="仿宋" w:hAnsi="仿宋" w:eastAsia="仿宋" w:cs="仿宋"/>
          <w:szCs w:val="21"/>
          <w:highlight w:val="none"/>
        </w:rPr>
        <w:t>1.3资金来源：见投标人须知前附表。</w:t>
      </w:r>
    </w:p>
    <w:p w14:paraId="3AD30EB6">
      <w:pPr>
        <w:snapToGrid w:val="0"/>
        <w:spacing w:line="440" w:lineRule="exact"/>
        <w:ind w:firstLine="420" w:firstLineChars="200"/>
        <w:outlineLvl w:val="9"/>
        <w:rPr>
          <w:rFonts w:hint="eastAsia" w:ascii="仿宋" w:hAnsi="仿宋" w:eastAsia="仿宋" w:cs="仿宋"/>
          <w:szCs w:val="21"/>
          <w:highlight w:val="none"/>
        </w:rPr>
      </w:pPr>
      <w:r>
        <w:rPr>
          <w:rFonts w:hint="eastAsia" w:ascii="仿宋" w:hAnsi="仿宋" w:eastAsia="仿宋" w:cs="仿宋"/>
          <w:szCs w:val="21"/>
          <w:highlight w:val="none"/>
        </w:rPr>
        <w:t>1.4本项目预算：见投标人须知前附表。</w:t>
      </w:r>
    </w:p>
    <w:p w14:paraId="1AF86E83">
      <w:pPr>
        <w:snapToGrid w:val="0"/>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1.5本项目控制价：见投标人须知前附表。</w:t>
      </w:r>
    </w:p>
    <w:p w14:paraId="1B9D08AC">
      <w:pPr>
        <w:snapToGrid w:val="0"/>
        <w:spacing w:line="440" w:lineRule="exact"/>
        <w:ind w:firstLine="420" w:firstLineChars="200"/>
        <w:outlineLvl w:val="3"/>
        <w:rPr>
          <w:rFonts w:hint="eastAsia" w:ascii="仿宋" w:hAnsi="仿宋" w:eastAsia="仿宋" w:cs="仿宋"/>
          <w:b/>
          <w:szCs w:val="21"/>
          <w:highlight w:val="none"/>
        </w:rPr>
      </w:pPr>
      <w:r>
        <w:rPr>
          <w:rFonts w:hint="eastAsia" w:ascii="仿宋" w:hAnsi="仿宋" w:eastAsia="仿宋" w:cs="仿宋"/>
          <w:b/>
          <w:szCs w:val="21"/>
          <w:highlight w:val="none"/>
        </w:rPr>
        <w:t>2.招标范围：</w:t>
      </w:r>
    </w:p>
    <w:p w14:paraId="5FD24CE8">
      <w:pPr>
        <w:snapToGrid w:val="0"/>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rPr>
        <w:t xml:space="preserve">2.1 </w:t>
      </w:r>
      <w:r>
        <w:rPr>
          <w:rFonts w:hint="eastAsia" w:ascii="仿宋" w:hAnsi="仿宋" w:eastAsia="仿宋" w:cs="仿宋"/>
          <w:szCs w:val="21"/>
          <w:highlight w:val="none"/>
          <w:lang w:val="en-US" w:eastAsia="zh-CN"/>
        </w:rPr>
        <w:t>服务</w:t>
      </w:r>
      <w:r>
        <w:rPr>
          <w:rFonts w:hint="eastAsia" w:ascii="仿宋" w:hAnsi="仿宋" w:eastAsia="仿宋" w:cs="仿宋"/>
          <w:szCs w:val="21"/>
          <w:highlight w:val="none"/>
        </w:rPr>
        <w:t>内容：见投标人须知前附表。</w:t>
      </w:r>
    </w:p>
    <w:p w14:paraId="55EA6F7E">
      <w:pPr>
        <w:snapToGrid w:val="0"/>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2.2 技术要求：详见采购文件第四章采购内容及技术要求。</w:t>
      </w:r>
    </w:p>
    <w:p w14:paraId="415DE2E8">
      <w:pPr>
        <w:snapToGrid w:val="0"/>
        <w:spacing w:line="440" w:lineRule="exact"/>
        <w:ind w:firstLine="420" w:firstLineChars="200"/>
        <w:outlineLvl w:val="3"/>
        <w:rPr>
          <w:rFonts w:hint="eastAsia" w:ascii="仿宋" w:hAnsi="仿宋" w:eastAsia="仿宋" w:cs="仿宋"/>
          <w:b/>
          <w:szCs w:val="21"/>
          <w:highlight w:val="none"/>
        </w:rPr>
      </w:pPr>
      <w:r>
        <w:rPr>
          <w:rFonts w:hint="eastAsia" w:ascii="仿宋" w:hAnsi="仿宋" w:eastAsia="仿宋" w:cs="仿宋"/>
          <w:b/>
          <w:szCs w:val="21"/>
          <w:highlight w:val="none"/>
        </w:rPr>
        <w:t>3.标包划分：</w:t>
      </w:r>
    </w:p>
    <w:p w14:paraId="26814C68">
      <w:pPr>
        <w:snapToGrid w:val="0"/>
        <w:spacing w:line="440" w:lineRule="exact"/>
        <w:ind w:firstLine="420" w:firstLineChars="200"/>
        <w:jc w:val="left"/>
        <w:outlineLvl w:val="9"/>
        <w:rPr>
          <w:rFonts w:hint="eastAsia" w:ascii="仿宋" w:hAnsi="仿宋" w:eastAsia="仿宋" w:cs="仿宋"/>
          <w:szCs w:val="21"/>
          <w:highlight w:val="none"/>
        </w:rPr>
      </w:pPr>
      <w:r>
        <w:rPr>
          <w:rFonts w:hint="eastAsia" w:ascii="仿宋" w:hAnsi="仿宋" w:eastAsia="仿宋" w:cs="仿宋"/>
          <w:szCs w:val="21"/>
          <w:highlight w:val="none"/>
        </w:rPr>
        <w:t>3.1本项目划分：</w:t>
      </w:r>
      <w:r>
        <w:rPr>
          <w:rFonts w:hint="eastAsia" w:ascii="仿宋" w:hAnsi="仿宋" w:eastAsia="仿宋" w:cs="仿宋"/>
          <w:szCs w:val="21"/>
          <w:highlight w:val="none"/>
          <w:u w:val="single"/>
        </w:rPr>
        <w:t xml:space="preserve"> 1 </w:t>
      </w:r>
      <w:r>
        <w:rPr>
          <w:rFonts w:hint="eastAsia" w:ascii="仿宋" w:hAnsi="仿宋" w:eastAsia="仿宋" w:cs="仿宋"/>
          <w:szCs w:val="21"/>
          <w:highlight w:val="none"/>
        </w:rPr>
        <w:t xml:space="preserve"> 个标包</w:t>
      </w:r>
      <w:r>
        <w:rPr>
          <w:rFonts w:hint="eastAsia" w:ascii="仿宋" w:hAnsi="仿宋" w:eastAsia="仿宋" w:cs="仿宋"/>
          <w:kern w:val="0"/>
          <w:szCs w:val="21"/>
          <w:highlight w:val="none"/>
        </w:rPr>
        <w:t>。</w:t>
      </w:r>
    </w:p>
    <w:p w14:paraId="34DE6967">
      <w:pPr>
        <w:snapToGrid w:val="0"/>
        <w:spacing w:line="440" w:lineRule="exact"/>
        <w:ind w:firstLine="420" w:firstLineChars="200"/>
        <w:outlineLvl w:val="3"/>
        <w:rPr>
          <w:rFonts w:hint="eastAsia" w:ascii="仿宋" w:hAnsi="仿宋" w:eastAsia="仿宋" w:cs="仿宋"/>
          <w:b/>
          <w:szCs w:val="21"/>
          <w:highlight w:val="none"/>
        </w:rPr>
      </w:pPr>
      <w:r>
        <w:rPr>
          <w:rFonts w:hint="eastAsia" w:ascii="仿宋" w:hAnsi="仿宋" w:eastAsia="仿宋" w:cs="仿宋"/>
          <w:b/>
          <w:szCs w:val="21"/>
          <w:highlight w:val="none"/>
        </w:rPr>
        <w:t>4.招标方式：</w:t>
      </w:r>
    </w:p>
    <w:p w14:paraId="1E3313AA">
      <w:pPr>
        <w:snapToGrid w:val="0"/>
        <w:spacing w:line="440" w:lineRule="exact"/>
        <w:ind w:firstLine="420" w:firstLineChars="200"/>
        <w:outlineLvl w:val="9"/>
        <w:rPr>
          <w:rFonts w:hint="eastAsia" w:ascii="仿宋" w:hAnsi="仿宋" w:eastAsia="仿宋" w:cs="仿宋"/>
          <w:szCs w:val="21"/>
          <w:highlight w:val="none"/>
        </w:rPr>
      </w:pPr>
      <w:r>
        <w:rPr>
          <w:rFonts w:hint="eastAsia" w:ascii="仿宋" w:hAnsi="仿宋" w:eastAsia="仿宋" w:cs="仿宋"/>
          <w:szCs w:val="21"/>
          <w:highlight w:val="none"/>
        </w:rPr>
        <w:t>4.1本项目招标方式：见投标人须知前附表。</w:t>
      </w:r>
    </w:p>
    <w:p w14:paraId="4CAF5BD5">
      <w:pPr>
        <w:snapToGrid w:val="0"/>
        <w:spacing w:line="440" w:lineRule="exact"/>
        <w:ind w:firstLine="420" w:firstLineChars="200"/>
        <w:outlineLvl w:val="3"/>
        <w:rPr>
          <w:rFonts w:hint="eastAsia" w:ascii="仿宋" w:hAnsi="仿宋" w:eastAsia="仿宋" w:cs="仿宋"/>
          <w:b/>
          <w:szCs w:val="21"/>
          <w:highlight w:val="none"/>
        </w:rPr>
      </w:pPr>
      <w:r>
        <w:rPr>
          <w:rFonts w:hint="eastAsia" w:ascii="仿宋" w:hAnsi="仿宋" w:eastAsia="仿宋" w:cs="仿宋"/>
          <w:b/>
          <w:szCs w:val="21"/>
          <w:highlight w:val="none"/>
        </w:rPr>
        <w:t>5.计价方式：</w:t>
      </w:r>
    </w:p>
    <w:p w14:paraId="6EAE2690">
      <w:pPr>
        <w:snapToGrid w:val="0"/>
        <w:spacing w:line="440" w:lineRule="exact"/>
        <w:ind w:firstLine="420" w:firstLineChars="200"/>
        <w:outlineLvl w:val="9"/>
        <w:rPr>
          <w:rFonts w:hint="eastAsia" w:ascii="仿宋" w:hAnsi="仿宋" w:eastAsia="仿宋" w:cs="仿宋"/>
          <w:szCs w:val="21"/>
          <w:highlight w:val="none"/>
        </w:rPr>
      </w:pPr>
      <w:r>
        <w:rPr>
          <w:rFonts w:hint="eastAsia" w:ascii="仿宋" w:hAnsi="仿宋" w:eastAsia="仿宋" w:cs="仿宋"/>
          <w:szCs w:val="21"/>
          <w:highlight w:val="none"/>
        </w:rPr>
        <w:t>5.1本次招标项目合同采用</w:t>
      </w:r>
      <w:r>
        <w:rPr>
          <w:rFonts w:hint="eastAsia" w:ascii="仿宋" w:hAnsi="仿宋" w:eastAsia="仿宋" w:cs="仿宋"/>
          <w:szCs w:val="21"/>
          <w:highlight w:val="none"/>
          <w:u w:val="single"/>
        </w:rPr>
        <w:t xml:space="preserve">   固定总价 。</w:t>
      </w:r>
    </w:p>
    <w:p w14:paraId="3280648B">
      <w:pPr>
        <w:snapToGrid w:val="0"/>
        <w:spacing w:line="440" w:lineRule="exact"/>
        <w:ind w:firstLine="420" w:firstLineChars="200"/>
        <w:outlineLvl w:val="3"/>
        <w:rPr>
          <w:rFonts w:hint="eastAsia" w:ascii="仿宋" w:hAnsi="仿宋" w:eastAsia="仿宋" w:cs="仿宋"/>
          <w:b/>
          <w:szCs w:val="21"/>
          <w:highlight w:val="none"/>
        </w:rPr>
      </w:pPr>
      <w:r>
        <w:rPr>
          <w:rFonts w:hint="eastAsia" w:ascii="仿宋" w:hAnsi="仿宋" w:eastAsia="仿宋" w:cs="仿宋"/>
          <w:b/>
          <w:szCs w:val="21"/>
          <w:highlight w:val="none"/>
        </w:rPr>
        <w:t>6.评标办法：</w:t>
      </w:r>
    </w:p>
    <w:p w14:paraId="2A3E96C0">
      <w:pPr>
        <w:snapToGrid w:val="0"/>
        <w:spacing w:line="440" w:lineRule="exact"/>
        <w:ind w:firstLine="420" w:firstLineChars="200"/>
        <w:outlineLvl w:val="9"/>
        <w:rPr>
          <w:rFonts w:hint="eastAsia" w:ascii="仿宋" w:hAnsi="仿宋" w:eastAsia="仿宋" w:cs="仿宋"/>
          <w:szCs w:val="21"/>
          <w:highlight w:val="none"/>
        </w:rPr>
      </w:pPr>
      <w:r>
        <w:rPr>
          <w:rFonts w:hint="eastAsia" w:ascii="仿宋" w:hAnsi="仿宋" w:eastAsia="仿宋" w:cs="仿宋"/>
          <w:szCs w:val="21"/>
          <w:highlight w:val="none"/>
        </w:rPr>
        <w:t>6.1本次招标评标采用</w:t>
      </w:r>
      <w:r>
        <w:rPr>
          <w:rFonts w:hint="eastAsia" w:ascii="仿宋" w:hAnsi="仿宋" w:eastAsia="仿宋" w:cs="仿宋"/>
          <w:szCs w:val="21"/>
          <w:highlight w:val="none"/>
          <w:u w:val="single"/>
        </w:rPr>
        <w:t xml:space="preserve">  符合磋商文件的综合评分法 </w:t>
      </w:r>
      <w:r>
        <w:rPr>
          <w:rFonts w:hint="eastAsia" w:ascii="仿宋" w:hAnsi="仿宋" w:eastAsia="仿宋" w:cs="仿宋"/>
          <w:szCs w:val="21"/>
          <w:highlight w:val="none"/>
        </w:rPr>
        <w:t>（详见第三章评标办法）</w:t>
      </w:r>
    </w:p>
    <w:p w14:paraId="11211150">
      <w:pPr>
        <w:snapToGrid w:val="0"/>
        <w:spacing w:line="440" w:lineRule="exact"/>
        <w:ind w:firstLine="420" w:firstLineChars="200"/>
        <w:outlineLvl w:val="3"/>
        <w:rPr>
          <w:rFonts w:hint="eastAsia" w:ascii="仿宋" w:hAnsi="仿宋" w:eastAsia="仿宋" w:cs="仿宋"/>
          <w:b/>
          <w:szCs w:val="21"/>
          <w:highlight w:val="none"/>
        </w:rPr>
      </w:pPr>
      <w:r>
        <w:rPr>
          <w:rFonts w:hint="eastAsia" w:ascii="仿宋" w:hAnsi="仿宋" w:eastAsia="仿宋" w:cs="仿宋"/>
          <w:b/>
          <w:szCs w:val="21"/>
          <w:highlight w:val="none"/>
        </w:rPr>
        <w:t>7.投标人资格：</w:t>
      </w:r>
    </w:p>
    <w:p w14:paraId="2A25607A">
      <w:pPr>
        <w:snapToGrid w:val="0"/>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7.1参与采购活动的投标人必须是满足《中华人民共和国政府采购法》规定条件的法人、其他组织或者自然人：</w:t>
      </w:r>
    </w:p>
    <w:p w14:paraId="3B230CD3">
      <w:pPr>
        <w:snapToGrid w:val="0"/>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7.2由于政府采购项目的差异性，投标人在参与具体政府采购项目活动时，应仔细阅读该项目的资质要求,具体见投标人须知前附表。</w:t>
      </w:r>
    </w:p>
    <w:p w14:paraId="736868AF">
      <w:pPr>
        <w:snapToGrid w:val="0"/>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14:paraId="63BD606A">
      <w:pPr>
        <w:snapToGrid w:val="0"/>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7.4投标人必须确保自己在信息库中注册的信息真实、准确，并保证投标文件中的有关信息与库中的信息相一致。否则，投标人因此蒙受损失，招标人概不负责。</w:t>
      </w:r>
    </w:p>
    <w:p w14:paraId="44443ABB">
      <w:pPr>
        <w:spacing w:line="440" w:lineRule="exact"/>
        <w:ind w:firstLine="420" w:firstLineChars="200"/>
        <w:outlineLvl w:val="3"/>
        <w:rPr>
          <w:rFonts w:hint="eastAsia" w:ascii="仿宋" w:hAnsi="仿宋" w:eastAsia="仿宋" w:cs="仿宋"/>
          <w:b/>
          <w:szCs w:val="21"/>
          <w:highlight w:val="none"/>
        </w:rPr>
      </w:pPr>
      <w:r>
        <w:rPr>
          <w:rFonts w:hint="eastAsia" w:ascii="仿宋" w:hAnsi="仿宋" w:eastAsia="仿宋" w:cs="仿宋"/>
          <w:b/>
          <w:szCs w:val="21"/>
          <w:highlight w:val="none"/>
        </w:rPr>
        <w:t>8. 投标费用</w:t>
      </w:r>
    </w:p>
    <w:p w14:paraId="11938214">
      <w:pPr>
        <w:snapToGrid w:val="0"/>
        <w:spacing w:line="440" w:lineRule="exact"/>
        <w:ind w:firstLine="420" w:firstLineChars="200"/>
        <w:outlineLvl w:val="9"/>
        <w:rPr>
          <w:rFonts w:hint="eastAsia" w:ascii="仿宋" w:hAnsi="仿宋" w:eastAsia="仿宋" w:cs="仿宋"/>
          <w:szCs w:val="21"/>
          <w:highlight w:val="none"/>
        </w:rPr>
      </w:pPr>
      <w:r>
        <w:rPr>
          <w:rFonts w:hint="eastAsia" w:ascii="仿宋" w:hAnsi="仿宋" w:eastAsia="仿宋" w:cs="仿宋"/>
          <w:szCs w:val="21"/>
          <w:highlight w:val="none"/>
        </w:rPr>
        <w:t>8.1投标人准备和参加投标活动发生的费用自理。</w:t>
      </w:r>
    </w:p>
    <w:p w14:paraId="3F83D3A2">
      <w:pPr>
        <w:spacing w:line="440" w:lineRule="exact"/>
        <w:ind w:firstLine="420" w:firstLineChars="200"/>
        <w:outlineLvl w:val="3"/>
        <w:rPr>
          <w:rFonts w:hint="eastAsia" w:ascii="仿宋" w:hAnsi="仿宋" w:eastAsia="仿宋" w:cs="仿宋"/>
          <w:b/>
          <w:szCs w:val="21"/>
          <w:highlight w:val="none"/>
        </w:rPr>
      </w:pPr>
      <w:r>
        <w:rPr>
          <w:rFonts w:hint="eastAsia" w:ascii="仿宋" w:hAnsi="仿宋" w:eastAsia="仿宋" w:cs="仿宋"/>
          <w:b/>
          <w:szCs w:val="21"/>
          <w:highlight w:val="none"/>
        </w:rPr>
        <w:t>9.</w:t>
      </w:r>
      <w:bookmarkStart w:id="36" w:name="_Toc247513962"/>
      <w:bookmarkStart w:id="37" w:name="_Toc247592876"/>
      <w:bookmarkStart w:id="38" w:name="_Toc152042315"/>
      <w:bookmarkStart w:id="39" w:name="_Toc247527563"/>
      <w:bookmarkStart w:id="40" w:name="_Toc152045539"/>
      <w:bookmarkStart w:id="41" w:name="_Toc144974507"/>
      <w:bookmarkStart w:id="42" w:name="_Toc296602429"/>
      <w:r>
        <w:rPr>
          <w:rFonts w:hint="eastAsia" w:ascii="仿宋" w:hAnsi="仿宋" w:eastAsia="仿宋" w:cs="仿宋"/>
          <w:b/>
          <w:szCs w:val="21"/>
          <w:highlight w:val="none"/>
        </w:rPr>
        <w:t xml:space="preserve"> 踏勘现场</w:t>
      </w:r>
      <w:bookmarkEnd w:id="36"/>
      <w:bookmarkEnd w:id="37"/>
      <w:bookmarkEnd w:id="38"/>
      <w:bookmarkEnd w:id="39"/>
      <w:bookmarkEnd w:id="40"/>
      <w:bookmarkEnd w:id="41"/>
      <w:bookmarkEnd w:id="42"/>
    </w:p>
    <w:p w14:paraId="124B0912">
      <w:pPr>
        <w:spacing w:line="440" w:lineRule="exact"/>
        <w:ind w:firstLine="409" w:firstLineChars="195"/>
        <w:rPr>
          <w:rFonts w:hint="eastAsia" w:ascii="仿宋" w:hAnsi="仿宋" w:eastAsia="仿宋" w:cs="仿宋"/>
          <w:color w:val="FF0000"/>
          <w:szCs w:val="21"/>
          <w:highlight w:val="none"/>
        </w:rPr>
      </w:pPr>
      <w:r>
        <w:rPr>
          <w:rFonts w:hint="eastAsia" w:ascii="仿宋" w:hAnsi="仿宋" w:eastAsia="仿宋" w:cs="仿宋"/>
          <w:szCs w:val="21"/>
          <w:highlight w:val="none"/>
        </w:rPr>
        <w:t>9.1 投标人须知前附表规定组织踏勘现场的，招标人按投标人须知前附表规定的时间、地点组织投标人踏勘项目现场。如需踏勘现场，</w:t>
      </w:r>
      <w:r>
        <w:rPr>
          <w:rFonts w:hint="eastAsia" w:ascii="仿宋" w:hAnsi="仿宋" w:eastAsia="仿宋" w:cs="仿宋"/>
          <w:highlight w:val="none"/>
        </w:rPr>
        <w:t>投标人自行踏勘现场的，可咨询本项目采购人或采购代理机构联系人。</w:t>
      </w:r>
    </w:p>
    <w:p w14:paraId="47EC0271">
      <w:pPr>
        <w:spacing w:line="440" w:lineRule="exact"/>
        <w:ind w:firstLine="409" w:firstLineChars="195"/>
        <w:outlineLvl w:val="9"/>
        <w:rPr>
          <w:rFonts w:hint="eastAsia" w:ascii="仿宋" w:hAnsi="仿宋" w:eastAsia="仿宋" w:cs="仿宋"/>
          <w:szCs w:val="21"/>
          <w:highlight w:val="none"/>
        </w:rPr>
      </w:pPr>
      <w:r>
        <w:rPr>
          <w:rFonts w:hint="eastAsia" w:ascii="仿宋" w:hAnsi="仿宋" w:eastAsia="仿宋" w:cs="仿宋"/>
          <w:szCs w:val="21"/>
          <w:highlight w:val="none"/>
        </w:rPr>
        <w:t>9.2 投标人踏勘现场发生的费用自理。</w:t>
      </w:r>
    </w:p>
    <w:p w14:paraId="71AB76A3">
      <w:pPr>
        <w:spacing w:line="440" w:lineRule="exact"/>
        <w:ind w:firstLine="409" w:firstLineChars="195"/>
        <w:rPr>
          <w:rFonts w:hint="eastAsia" w:ascii="仿宋" w:hAnsi="仿宋" w:eastAsia="仿宋" w:cs="仿宋"/>
          <w:szCs w:val="21"/>
          <w:highlight w:val="none"/>
        </w:rPr>
      </w:pPr>
      <w:r>
        <w:rPr>
          <w:rFonts w:hint="eastAsia" w:ascii="仿宋" w:hAnsi="仿宋" w:eastAsia="仿宋" w:cs="仿宋"/>
          <w:szCs w:val="21"/>
          <w:highlight w:val="none"/>
        </w:rPr>
        <w:t>9.3 除招标人的原因外，投标人自行负责在踏勘现场中所发生的人员伤亡和财产损失。</w:t>
      </w:r>
    </w:p>
    <w:p w14:paraId="02559FDF">
      <w:pPr>
        <w:spacing w:line="440" w:lineRule="exact"/>
        <w:ind w:firstLine="409" w:firstLineChars="195"/>
        <w:rPr>
          <w:rFonts w:hint="eastAsia" w:ascii="仿宋" w:hAnsi="仿宋" w:eastAsia="仿宋" w:cs="仿宋"/>
          <w:szCs w:val="21"/>
          <w:highlight w:val="none"/>
        </w:rPr>
      </w:pPr>
      <w:r>
        <w:rPr>
          <w:rFonts w:hint="eastAsia" w:ascii="仿宋" w:hAnsi="仿宋" w:eastAsia="仿宋" w:cs="仿宋"/>
          <w:szCs w:val="21"/>
          <w:highlight w:val="none"/>
        </w:rPr>
        <w:t>9.4 招标人在踏勘现场中介绍的场地和相关的周边环境情况，供投标人在编制投标文件时参考，招标人不对投标人据此作出的判断和决策负责。</w:t>
      </w:r>
      <w:bookmarkStart w:id="43" w:name="_Toc247527564"/>
      <w:bookmarkStart w:id="44" w:name="_Toc247513963"/>
      <w:bookmarkStart w:id="45" w:name="_Toc152045540"/>
      <w:bookmarkStart w:id="46" w:name="_Toc152042316"/>
      <w:bookmarkStart w:id="47" w:name="_Toc144974508"/>
      <w:bookmarkStart w:id="48" w:name="_Toc296602430"/>
      <w:bookmarkStart w:id="49" w:name="_Toc247592877"/>
    </w:p>
    <w:p w14:paraId="68AB149C">
      <w:pPr>
        <w:spacing w:line="440" w:lineRule="exact"/>
        <w:ind w:firstLine="420" w:firstLineChars="200"/>
        <w:outlineLvl w:val="3"/>
        <w:rPr>
          <w:rFonts w:hint="eastAsia" w:ascii="仿宋" w:hAnsi="仿宋" w:eastAsia="仿宋" w:cs="仿宋"/>
          <w:b/>
          <w:szCs w:val="21"/>
          <w:highlight w:val="none"/>
        </w:rPr>
      </w:pPr>
      <w:r>
        <w:rPr>
          <w:rFonts w:hint="eastAsia" w:ascii="仿宋" w:hAnsi="仿宋" w:eastAsia="仿宋" w:cs="仿宋"/>
          <w:b/>
          <w:szCs w:val="21"/>
          <w:highlight w:val="none"/>
        </w:rPr>
        <w:t>10. 投标预备会</w:t>
      </w:r>
      <w:bookmarkEnd w:id="43"/>
      <w:bookmarkEnd w:id="44"/>
      <w:bookmarkEnd w:id="45"/>
      <w:bookmarkEnd w:id="46"/>
      <w:bookmarkEnd w:id="47"/>
      <w:bookmarkEnd w:id="48"/>
      <w:bookmarkEnd w:id="49"/>
    </w:p>
    <w:p w14:paraId="30ACBA30">
      <w:pPr>
        <w:spacing w:line="440" w:lineRule="exact"/>
        <w:ind w:firstLine="409" w:firstLineChars="195"/>
        <w:rPr>
          <w:rFonts w:hint="eastAsia" w:ascii="仿宋" w:hAnsi="仿宋" w:eastAsia="仿宋" w:cs="仿宋"/>
          <w:szCs w:val="21"/>
          <w:highlight w:val="none"/>
        </w:rPr>
      </w:pPr>
      <w:r>
        <w:rPr>
          <w:rFonts w:hint="eastAsia" w:ascii="仿宋" w:hAnsi="仿宋" w:eastAsia="仿宋" w:cs="仿宋"/>
          <w:szCs w:val="21"/>
          <w:highlight w:val="none"/>
        </w:rPr>
        <w:t>10.1投标人须知前附表规定召开投标预备会的，招标人按投标人须知前附表规定的时间和地点召开投标预备会，澄清投标人提出的问题。</w:t>
      </w:r>
    </w:p>
    <w:p w14:paraId="4768DEC9">
      <w:pPr>
        <w:spacing w:line="440" w:lineRule="exact"/>
        <w:ind w:firstLine="409" w:firstLineChars="195"/>
        <w:rPr>
          <w:rFonts w:hint="eastAsia" w:ascii="仿宋" w:hAnsi="仿宋" w:eastAsia="仿宋" w:cs="仿宋"/>
          <w:szCs w:val="21"/>
          <w:highlight w:val="none"/>
        </w:rPr>
      </w:pPr>
      <w:r>
        <w:rPr>
          <w:rFonts w:hint="eastAsia" w:ascii="仿宋" w:hAnsi="仿宋" w:eastAsia="仿宋" w:cs="仿宋"/>
          <w:szCs w:val="21"/>
          <w:highlight w:val="none"/>
        </w:rPr>
        <w:t>10.2投标人应在投标人须知前附表规定的时间前，将提出的问题送达招标人，以便招标人澄清。</w:t>
      </w:r>
    </w:p>
    <w:p w14:paraId="6E6DA67F">
      <w:pPr>
        <w:spacing w:line="440" w:lineRule="exact"/>
        <w:ind w:firstLine="409" w:firstLineChars="195"/>
        <w:rPr>
          <w:rFonts w:hint="eastAsia" w:ascii="仿宋" w:hAnsi="仿宋" w:eastAsia="仿宋" w:cs="仿宋"/>
          <w:szCs w:val="21"/>
          <w:highlight w:val="none"/>
        </w:rPr>
      </w:pPr>
      <w:r>
        <w:rPr>
          <w:rFonts w:hint="eastAsia" w:ascii="仿宋" w:hAnsi="仿宋" w:eastAsia="仿宋" w:cs="仿宋"/>
          <w:szCs w:val="21"/>
          <w:highlight w:val="none"/>
        </w:rPr>
        <w:t>10.3招标人在投标人须知前附表规定的时间，将对投标人所提的问题进行澄清。该澄清内容为采购文件的组成部分。</w:t>
      </w:r>
    </w:p>
    <w:p w14:paraId="218B1875">
      <w:pPr>
        <w:spacing w:line="440" w:lineRule="exact"/>
        <w:ind w:firstLine="420" w:firstLineChars="200"/>
        <w:outlineLvl w:val="3"/>
        <w:rPr>
          <w:rFonts w:hint="eastAsia" w:ascii="仿宋" w:hAnsi="仿宋" w:eastAsia="仿宋" w:cs="仿宋"/>
          <w:b/>
          <w:szCs w:val="21"/>
          <w:highlight w:val="none"/>
        </w:rPr>
      </w:pPr>
      <w:r>
        <w:rPr>
          <w:rFonts w:hint="eastAsia" w:ascii="仿宋" w:hAnsi="仿宋" w:eastAsia="仿宋" w:cs="仿宋"/>
          <w:b/>
          <w:szCs w:val="21"/>
          <w:highlight w:val="none"/>
        </w:rPr>
        <w:t>11. 联合投标</w:t>
      </w:r>
    </w:p>
    <w:p w14:paraId="4BC44BBC">
      <w:pPr>
        <w:spacing w:line="440" w:lineRule="exact"/>
        <w:ind w:firstLine="409" w:firstLineChars="195"/>
        <w:rPr>
          <w:rFonts w:hint="eastAsia" w:ascii="仿宋" w:hAnsi="仿宋" w:eastAsia="仿宋" w:cs="仿宋"/>
          <w:szCs w:val="21"/>
          <w:highlight w:val="none"/>
        </w:rPr>
      </w:pPr>
      <w:r>
        <w:rPr>
          <w:rFonts w:hint="eastAsia" w:ascii="仿宋" w:hAnsi="仿宋" w:eastAsia="仿宋" w:cs="仿宋"/>
          <w:szCs w:val="21"/>
          <w:highlight w:val="none"/>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14:paraId="66E97FA0">
      <w:pPr>
        <w:spacing w:line="400" w:lineRule="exact"/>
        <w:ind w:firstLine="409" w:firstLineChars="195"/>
        <w:rPr>
          <w:rFonts w:hint="eastAsia" w:ascii="仿宋" w:hAnsi="仿宋" w:eastAsia="仿宋" w:cs="仿宋"/>
          <w:szCs w:val="21"/>
          <w:highlight w:val="none"/>
        </w:rPr>
      </w:pPr>
      <w:r>
        <w:rPr>
          <w:rFonts w:hint="eastAsia" w:ascii="仿宋" w:hAnsi="仿宋" w:eastAsia="仿宋" w:cs="仿宋"/>
          <w:szCs w:val="21"/>
          <w:highlight w:val="none"/>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14:paraId="3816B9F1">
      <w:pPr>
        <w:spacing w:line="400" w:lineRule="exact"/>
        <w:ind w:firstLine="411" w:firstLineChars="196"/>
        <w:rPr>
          <w:rFonts w:hint="eastAsia" w:ascii="仿宋" w:hAnsi="仿宋" w:eastAsia="仿宋" w:cs="仿宋"/>
          <w:szCs w:val="21"/>
          <w:highlight w:val="none"/>
        </w:rPr>
      </w:pPr>
      <w:r>
        <w:rPr>
          <w:rFonts w:hint="eastAsia" w:ascii="仿宋" w:hAnsi="仿宋" w:eastAsia="仿宋" w:cs="仿宋"/>
          <w:szCs w:val="21"/>
          <w:highlight w:val="none"/>
        </w:rPr>
        <w:t>11.3 联合体应当确定其中一个单位为投标的全权代表，负责参加投标的一切事务，并承担投标及履约中应承担的全部责任与义务。</w:t>
      </w:r>
    </w:p>
    <w:p w14:paraId="0AAE668B">
      <w:pPr>
        <w:pStyle w:val="9"/>
        <w:spacing w:after="0" w:line="400" w:lineRule="exact"/>
        <w:ind w:left="0" w:leftChars="0" w:firstLine="424" w:firstLineChars="202"/>
        <w:rPr>
          <w:rFonts w:hint="eastAsia" w:ascii="仿宋" w:hAnsi="仿宋" w:eastAsia="仿宋" w:cs="仿宋"/>
          <w:szCs w:val="21"/>
          <w:highlight w:val="none"/>
        </w:rPr>
      </w:pPr>
      <w:r>
        <w:rPr>
          <w:rFonts w:hint="eastAsia" w:ascii="仿宋" w:hAnsi="仿宋" w:eastAsia="仿宋" w:cs="仿宋"/>
          <w:szCs w:val="21"/>
          <w:highlight w:val="none"/>
        </w:rPr>
        <w:t>11.4 联合体各方应当共同与招标人签订采购合同，就采购合同约定的事项对招标人承担连带责任。</w:t>
      </w:r>
    </w:p>
    <w:p w14:paraId="6680129A">
      <w:pPr>
        <w:spacing w:line="440" w:lineRule="exact"/>
        <w:ind w:firstLine="411" w:firstLineChars="196"/>
        <w:jc w:val="left"/>
        <w:outlineLvl w:val="3"/>
        <w:rPr>
          <w:rFonts w:hint="eastAsia" w:ascii="仿宋" w:hAnsi="仿宋" w:eastAsia="仿宋" w:cs="仿宋"/>
          <w:b/>
          <w:szCs w:val="21"/>
          <w:highlight w:val="none"/>
        </w:rPr>
      </w:pPr>
      <w:r>
        <w:rPr>
          <w:rFonts w:hint="eastAsia" w:ascii="仿宋" w:hAnsi="仿宋" w:eastAsia="仿宋" w:cs="仿宋"/>
          <w:b/>
          <w:szCs w:val="21"/>
          <w:highlight w:val="none"/>
        </w:rPr>
        <w:t>12.招标代理费</w:t>
      </w:r>
    </w:p>
    <w:p w14:paraId="18586A4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bCs/>
          <w:szCs w:val="21"/>
          <w:highlight w:val="none"/>
        </w:rPr>
        <w:t>12.1</w:t>
      </w:r>
      <w:r>
        <w:rPr>
          <w:rFonts w:hint="eastAsia" w:ascii="仿宋" w:hAnsi="仿宋" w:eastAsia="仿宋" w:cs="仿宋"/>
          <w:b/>
          <w:bCs/>
          <w:color w:val="auto"/>
          <w:kern w:val="2"/>
          <w:sz w:val="21"/>
          <w:szCs w:val="21"/>
          <w:highlight w:val="none"/>
          <w:u w:color="000000"/>
          <w:lang w:val="en-US" w:eastAsia="zh-CN" w:bidi="ar-SA"/>
        </w:rPr>
        <w:t>中标单位在领取本项目中标通知书时，招标代理费依据《关于进一步放开建设项目专业服务价格的通知》（发改价格[2015]299 号）的规定按中标价计算后收取。</w:t>
      </w:r>
    </w:p>
    <w:p w14:paraId="52673F8F">
      <w:pPr>
        <w:spacing w:line="440" w:lineRule="exact"/>
        <w:ind w:firstLine="420" w:firstLineChars="200"/>
        <w:outlineLvl w:val="3"/>
        <w:rPr>
          <w:rFonts w:hint="eastAsia" w:ascii="仿宋" w:hAnsi="仿宋" w:eastAsia="仿宋" w:cs="仿宋"/>
          <w:b/>
          <w:szCs w:val="21"/>
          <w:highlight w:val="none"/>
        </w:rPr>
      </w:pPr>
      <w:r>
        <w:rPr>
          <w:rFonts w:hint="eastAsia" w:ascii="仿宋" w:hAnsi="仿宋" w:eastAsia="仿宋" w:cs="仿宋"/>
          <w:b/>
          <w:szCs w:val="21"/>
          <w:highlight w:val="none"/>
        </w:rPr>
        <w:t>13.投标人应注意的事项</w:t>
      </w:r>
    </w:p>
    <w:p w14:paraId="5F28B6EA">
      <w:pPr>
        <w:spacing w:line="440" w:lineRule="exact"/>
        <w:ind w:firstLine="420" w:firstLineChars="200"/>
        <w:rPr>
          <w:rFonts w:hint="eastAsia" w:ascii="仿宋" w:hAnsi="仿宋" w:eastAsia="仿宋" w:cs="仿宋"/>
          <w:bCs/>
          <w:szCs w:val="21"/>
          <w:highlight w:val="none"/>
        </w:rPr>
      </w:pPr>
      <w:r>
        <w:rPr>
          <w:rFonts w:hint="eastAsia" w:ascii="仿宋" w:hAnsi="仿宋" w:eastAsia="仿宋" w:cs="仿宋"/>
          <w:szCs w:val="21"/>
          <w:highlight w:val="none"/>
        </w:rPr>
        <w:t>13.1投标人一旦按规定缴纳了投标保证金并参加投标，即被认为接受了本采购文件中的所有条件和规定。投标人必须严格按采购文件的要求编制投标文件，投标文件宜编制页码和目录，以便评委审核。否则，由此产生的一切后果由投标人承担。</w:t>
      </w:r>
    </w:p>
    <w:p w14:paraId="60477600">
      <w:pPr>
        <w:spacing w:line="44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rPr>
        <w:t>13.2 投标人对采购内容中规定的技术参数、规格等要求必须完全响应或优于采购文件中的要求。</w:t>
      </w:r>
    </w:p>
    <w:p w14:paraId="25241BF2">
      <w:pPr>
        <w:spacing w:line="440" w:lineRule="exact"/>
        <w:ind w:firstLine="411" w:firstLineChars="196"/>
        <w:rPr>
          <w:rFonts w:hint="eastAsia" w:ascii="仿宋" w:hAnsi="仿宋" w:eastAsia="仿宋" w:cs="仿宋"/>
          <w:bCs/>
          <w:szCs w:val="21"/>
          <w:highlight w:val="none"/>
        </w:rPr>
      </w:pPr>
      <w:r>
        <w:rPr>
          <w:rFonts w:hint="eastAsia" w:ascii="仿宋" w:hAnsi="仿宋" w:eastAsia="仿宋" w:cs="仿宋"/>
          <w:bCs/>
          <w:szCs w:val="21"/>
          <w:highlight w:val="none"/>
        </w:rPr>
        <w:t>13.3所有投标人的投标保证金都应在采购文件规定的投标保证金缴纳截止日期前缴纳。</w:t>
      </w:r>
    </w:p>
    <w:p w14:paraId="7268F56D">
      <w:pPr>
        <w:spacing w:line="440" w:lineRule="exact"/>
        <w:ind w:firstLine="411" w:firstLineChars="196"/>
        <w:rPr>
          <w:rFonts w:hint="eastAsia" w:ascii="仿宋" w:hAnsi="仿宋" w:eastAsia="仿宋" w:cs="仿宋"/>
          <w:bCs/>
          <w:szCs w:val="21"/>
          <w:highlight w:val="none"/>
        </w:rPr>
      </w:pPr>
      <w:r>
        <w:rPr>
          <w:rFonts w:hint="eastAsia" w:ascii="仿宋" w:hAnsi="仿宋" w:eastAsia="仿宋" w:cs="仿宋"/>
          <w:bCs/>
          <w:szCs w:val="21"/>
          <w:highlight w:val="none"/>
        </w:rPr>
        <w:t>13.4单位负责人为同一人或者存在直接控股、管理关系的不同供应商，不得参加同一合同项下的政府采购活动。</w:t>
      </w:r>
      <w:r>
        <w:rPr>
          <w:rFonts w:hint="eastAsia" w:ascii="仿宋" w:hAnsi="仿宋" w:eastAsia="仿宋" w:cs="仿宋"/>
          <w:szCs w:val="21"/>
          <w:highlight w:val="none"/>
        </w:rPr>
        <w:t>为采购项目提供整体设计、规范编制或者项目管理、监理、检测等服务的供应商，不得再参加该采购项目的其他采购活动。</w:t>
      </w:r>
    </w:p>
    <w:p w14:paraId="37798823">
      <w:pPr>
        <w:snapToGrid w:val="0"/>
        <w:spacing w:line="440" w:lineRule="exact"/>
        <w:ind w:firstLine="420" w:firstLineChars="200"/>
        <w:rPr>
          <w:rFonts w:hint="eastAsia" w:ascii="仿宋" w:hAnsi="仿宋" w:eastAsia="仿宋" w:cs="仿宋"/>
          <w:szCs w:val="21"/>
          <w:highlight w:val="none"/>
        </w:rPr>
      </w:pPr>
      <w:r>
        <w:rPr>
          <w:rFonts w:hint="eastAsia" w:ascii="仿宋" w:hAnsi="仿宋" w:eastAsia="仿宋" w:cs="仿宋"/>
          <w:bCs/>
          <w:szCs w:val="21"/>
          <w:highlight w:val="none"/>
        </w:rPr>
        <w:t>13.5本项目只接受</w:t>
      </w:r>
      <w:r>
        <w:rPr>
          <w:rFonts w:hint="eastAsia" w:ascii="仿宋" w:hAnsi="仿宋" w:eastAsia="仿宋" w:cs="仿宋"/>
          <w:szCs w:val="21"/>
          <w:highlight w:val="none"/>
        </w:rPr>
        <w:t>成为新疆维吾尔自治区政府采购网正式注册入库并完成CA数字证书申领供应商参与投标。因未注册入库、未办理CA数字证书等原因造成无法投标或投标失败等后果由供应商自行承担。</w:t>
      </w:r>
    </w:p>
    <w:p w14:paraId="15BA36EE">
      <w:pPr>
        <w:wordWrap w:val="0"/>
        <w:spacing w:line="44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rPr>
        <w:t>13.6  投标人被视为充分熟悉本招标项目所在地的与履行合同有关的各种情况，包括但不限于：</w:t>
      </w:r>
    </w:p>
    <w:p w14:paraId="68FE1741">
      <w:pPr>
        <w:spacing w:line="400" w:lineRule="exact"/>
        <w:ind w:firstLine="315" w:firstLineChars="150"/>
        <w:rPr>
          <w:rFonts w:hint="eastAsia" w:ascii="仿宋" w:hAnsi="仿宋" w:eastAsia="仿宋" w:cs="仿宋"/>
          <w:bCs/>
          <w:szCs w:val="21"/>
          <w:highlight w:val="none"/>
        </w:rPr>
      </w:pPr>
      <w:r>
        <w:rPr>
          <w:rFonts w:hint="eastAsia" w:ascii="仿宋" w:hAnsi="仿宋" w:eastAsia="仿宋" w:cs="仿宋"/>
          <w:bCs/>
          <w:szCs w:val="21"/>
          <w:highlight w:val="none"/>
        </w:rPr>
        <w:t>（1）国家对本次投标货物和服务的生产、安装调试、验收、维修等有关法律、法规及行业管理标准；</w:t>
      </w:r>
    </w:p>
    <w:p w14:paraId="3113EFF9">
      <w:pPr>
        <w:spacing w:line="400" w:lineRule="exact"/>
        <w:ind w:firstLine="315" w:firstLineChars="150"/>
        <w:outlineLvl w:val="9"/>
        <w:rPr>
          <w:rFonts w:hint="eastAsia" w:ascii="仿宋" w:hAnsi="仿宋" w:eastAsia="仿宋" w:cs="仿宋"/>
          <w:bCs/>
          <w:szCs w:val="21"/>
          <w:highlight w:val="none"/>
        </w:rPr>
      </w:pPr>
      <w:r>
        <w:rPr>
          <w:rFonts w:hint="eastAsia" w:ascii="仿宋" w:hAnsi="仿宋" w:eastAsia="仿宋" w:cs="仿宋"/>
          <w:bCs/>
          <w:szCs w:val="21"/>
          <w:highlight w:val="none"/>
        </w:rPr>
        <w:t>（2）本地区有关管理部门的相关规定；</w:t>
      </w:r>
    </w:p>
    <w:p w14:paraId="14BB0704">
      <w:pPr>
        <w:spacing w:line="400" w:lineRule="exact"/>
        <w:ind w:firstLine="315" w:firstLineChars="150"/>
        <w:rPr>
          <w:rFonts w:hint="eastAsia" w:ascii="仿宋" w:hAnsi="仿宋" w:eastAsia="仿宋" w:cs="仿宋"/>
          <w:bCs/>
          <w:szCs w:val="21"/>
          <w:highlight w:val="none"/>
        </w:rPr>
      </w:pPr>
      <w:r>
        <w:rPr>
          <w:rFonts w:hint="eastAsia" w:ascii="仿宋" w:hAnsi="仿宋" w:eastAsia="仿宋" w:cs="仿宋"/>
          <w:bCs/>
          <w:szCs w:val="21"/>
          <w:highlight w:val="none"/>
        </w:rPr>
        <w:t>（3）招标人的相关场地情况、基础建设、电力供应情况及相关设计标准。</w:t>
      </w:r>
    </w:p>
    <w:p w14:paraId="539EE8BF">
      <w:pPr>
        <w:spacing w:line="400" w:lineRule="exact"/>
        <w:ind w:firstLine="315" w:firstLineChars="150"/>
        <w:rPr>
          <w:rFonts w:hint="eastAsia" w:ascii="仿宋" w:hAnsi="仿宋" w:eastAsia="仿宋" w:cs="仿宋"/>
          <w:bCs/>
          <w:szCs w:val="21"/>
          <w:highlight w:val="none"/>
        </w:rPr>
      </w:pPr>
      <w:r>
        <w:rPr>
          <w:rFonts w:hint="eastAsia" w:ascii="仿宋" w:hAnsi="仿宋" w:eastAsia="仿宋" w:cs="仿宋"/>
          <w:bCs/>
          <w:szCs w:val="21"/>
          <w:highlight w:val="none"/>
        </w:rPr>
        <w:t>本采购文件不再对上述情况进行描述。</w:t>
      </w:r>
    </w:p>
    <w:p w14:paraId="5EB11F1C">
      <w:pPr>
        <w:spacing w:before="312" w:beforeLines="100" w:after="312" w:afterLines="100" w:line="440" w:lineRule="exact"/>
        <w:jc w:val="center"/>
        <w:outlineLvl w:val="2"/>
        <w:rPr>
          <w:rFonts w:hint="eastAsia" w:ascii="仿宋" w:hAnsi="仿宋" w:eastAsia="仿宋" w:cs="仿宋"/>
          <w:b/>
          <w:sz w:val="28"/>
          <w:szCs w:val="28"/>
          <w:highlight w:val="none"/>
        </w:rPr>
      </w:pPr>
      <w:bookmarkStart w:id="50" w:name="_Toc469495725"/>
      <w:bookmarkStart w:id="51" w:name="_Toc13107"/>
      <w:bookmarkStart w:id="52" w:name="_Toc25559"/>
      <w:r>
        <w:rPr>
          <w:rFonts w:hint="eastAsia" w:ascii="仿宋" w:hAnsi="仿宋" w:eastAsia="仿宋" w:cs="仿宋"/>
          <w:b/>
          <w:sz w:val="28"/>
          <w:szCs w:val="28"/>
          <w:highlight w:val="none"/>
        </w:rPr>
        <w:t>（二）</w:t>
      </w:r>
      <w:bookmarkEnd w:id="50"/>
      <w:r>
        <w:rPr>
          <w:rFonts w:hint="eastAsia" w:ascii="仿宋" w:hAnsi="仿宋" w:eastAsia="仿宋" w:cs="仿宋"/>
          <w:b/>
          <w:sz w:val="28"/>
          <w:szCs w:val="28"/>
          <w:highlight w:val="none"/>
        </w:rPr>
        <w:t>磋商文件</w:t>
      </w:r>
      <w:bookmarkEnd w:id="51"/>
      <w:bookmarkEnd w:id="52"/>
    </w:p>
    <w:p w14:paraId="46514401">
      <w:pPr>
        <w:spacing w:line="440" w:lineRule="exact"/>
        <w:ind w:firstLine="420" w:firstLineChars="200"/>
        <w:outlineLvl w:val="3"/>
        <w:rPr>
          <w:rFonts w:hint="eastAsia" w:ascii="仿宋" w:hAnsi="仿宋" w:eastAsia="仿宋" w:cs="仿宋"/>
          <w:b/>
          <w:szCs w:val="21"/>
          <w:highlight w:val="none"/>
        </w:rPr>
      </w:pPr>
      <w:r>
        <w:rPr>
          <w:rFonts w:hint="eastAsia" w:ascii="仿宋" w:hAnsi="仿宋" w:eastAsia="仿宋" w:cs="仿宋"/>
          <w:b/>
          <w:szCs w:val="21"/>
          <w:highlight w:val="none"/>
        </w:rPr>
        <w:t>1</w:t>
      </w:r>
      <w:r>
        <w:rPr>
          <w:rFonts w:hint="eastAsia" w:ascii="仿宋" w:hAnsi="仿宋" w:eastAsia="仿宋" w:cs="仿宋"/>
          <w:b/>
          <w:szCs w:val="21"/>
          <w:highlight w:val="none"/>
          <w:lang w:val="en-US" w:eastAsia="zh-CN"/>
        </w:rPr>
        <w:t>4</w:t>
      </w:r>
      <w:r>
        <w:rPr>
          <w:rFonts w:hint="eastAsia" w:ascii="仿宋" w:hAnsi="仿宋" w:eastAsia="仿宋" w:cs="仿宋"/>
          <w:b/>
          <w:szCs w:val="21"/>
          <w:highlight w:val="none"/>
        </w:rPr>
        <w:t>. 采购文件的编制依据</w:t>
      </w:r>
    </w:p>
    <w:p w14:paraId="16DAD48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根据《中华人民共和国政府采购法》、《政府采购货物和服务招标投标管理办法》和《中华人民共和国合同法》</w:t>
      </w:r>
      <w:r>
        <w:rPr>
          <w:rFonts w:hint="eastAsia" w:ascii="仿宋" w:hAnsi="仿宋" w:eastAsia="仿宋" w:cs="仿宋"/>
          <w:spacing w:val="-2"/>
          <w:szCs w:val="21"/>
          <w:highlight w:val="none"/>
        </w:rPr>
        <w:t>等相关法律法规和规章及部、省、市级规范性文件的规定，编制本采购文件。</w:t>
      </w:r>
    </w:p>
    <w:p w14:paraId="72976BB4">
      <w:pPr>
        <w:spacing w:line="440" w:lineRule="exact"/>
        <w:ind w:firstLine="420" w:firstLineChars="200"/>
        <w:outlineLvl w:val="3"/>
        <w:rPr>
          <w:rFonts w:hint="eastAsia" w:ascii="仿宋" w:hAnsi="仿宋" w:eastAsia="仿宋" w:cs="仿宋"/>
          <w:b/>
          <w:szCs w:val="21"/>
          <w:highlight w:val="none"/>
        </w:rPr>
      </w:pPr>
      <w:r>
        <w:rPr>
          <w:rFonts w:hint="eastAsia" w:ascii="仿宋" w:hAnsi="仿宋" w:eastAsia="仿宋" w:cs="仿宋"/>
          <w:b/>
          <w:szCs w:val="21"/>
          <w:highlight w:val="none"/>
        </w:rPr>
        <w:t>1</w:t>
      </w:r>
      <w:r>
        <w:rPr>
          <w:rFonts w:hint="eastAsia" w:ascii="仿宋" w:hAnsi="仿宋" w:eastAsia="仿宋" w:cs="仿宋"/>
          <w:b/>
          <w:szCs w:val="21"/>
          <w:highlight w:val="none"/>
          <w:lang w:val="en-US" w:eastAsia="zh-CN"/>
        </w:rPr>
        <w:t>5</w:t>
      </w:r>
      <w:r>
        <w:rPr>
          <w:rFonts w:hint="eastAsia" w:ascii="仿宋" w:hAnsi="仿宋" w:eastAsia="仿宋" w:cs="仿宋"/>
          <w:b/>
          <w:szCs w:val="21"/>
          <w:highlight w:val="none"/>
        </w:rPr>
        <w:t>. 磋商文件的组成</w:t>
      </w:r>
    </w:p>
    <w:p w14:paraId="3224235D">
      <w:pPr>
        <w:spacing w:line="440" w:lineRule="exact"/>
        <w:ind w:firstLine="420" w:firstLineChars="200"/>
        <w:outlineLvl w:val="9"/>
        <w:rPr>
          <w:rFonts w:hint="eastAsia" w:ascii="仿宋" w:hAnsi="仿宋" w:eastAsia="仿宋" w:cs="仿宋"/>
          <w:szCs w:val="21"/>
          <w:highlight w:val="none"/>
        </w:rPr>
      </w:pP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.1 磋商文件包括内容：</w:t>
      </w:r>
    </w:p>
    <w:p w14:paraId="69E7D50D">
      <w:pPr>
        <w:spacing w:line="440" w:lineRule="exact"/>
        <w:ind w:firstLine="1470" w:firstLineChars="700"/>
        <w:rPr>
          <w:rFonts w:hint="eastAsia" w:ascii="仿宋" w:hAnsi="仿宋" w:eastAsia="仿宋" w:cs="仿宋"/>
          <w:szCs w:val="21"/>
          <w:highlight w:val="none"/>
        </w:rPr>
      </w:pPr>
      <w:r>
        <w:rPr>
          <w:rFonts w:hint="eastAsia" w:ascii="仿宋" w:hAnsi="仿宋" w:eastAsia="仿宋" w:cs="仿宋"/>
          <w:szCs w:val="21"/>
          <w:highlight w:val="none"/>
        </w:rPr>
        <w:t xml:space="preserve">第一章  </w:t>
      </w:r>
      <w:r>
        <w:rPr>
          <w:rFonts w:hint="eastAsia" w:ascii="仿宋" w:hAnsi="仿宋" w:eastAsia="仿宋" w:cs="仿宋"/>
          <w:bCs/>
          <w:szCs w:val="21"/>
          <w:highlight w:val="none"/>
        </w:rPr>
        <w:t>磋商</w:t>
      </w:r>
      <w:r>
        <w:rPr>
          <w:rFonts w:hint="eastAsia" w:ascii="仿宋" w:hAnsi="仿宋" w:eastAsia="仿宋" w:cs="仿宋"/>
          <w:szCs w:val="21"/>
          <w:highlight w:val="none"/>
        </w:rPr>
        <w:t>公告</w:t>
      </w:r>
    </w:p>
    <w:p w14:paraId="2465EFD2">
      <w:pPr>
        <w:spacing w:line="440" w:lineRule="exact"/>
        <w:ind w:firstLine="1470" w:firstLineChars="700"/>
        <w:rPr>
          <w:rFonts w:hint="eastAsia" w:ascii="仿宋" w:hAnsi="仿宋" w:eastAsia="仿宋" w:cs="仿宋"/>
          <w:szCs w:val="21"/>
          <w:highlight w:val="none"/>
        </w:rPr>
      </w:pPr>
      <w:r>
        <w:rPr>
          <w:rFonts w:hint="eastAsia" w:ascii="仿宋" w:hAnsi="仿宋" w:eastAsia="仿宋" w:cs="仿宋"/>
          <w:szCs w:val="21"/>
          <w:highlight w:val="none"/>
        </w:rPr>
        <w:t>第二章  投标须知</w:t>
      </w:r>
    </w:p>
    <w:p w14:paraId="145F8E4F">
      <w:pPr>
        <w:spacing w:line="440" w:lineRule="exact"/>
        <w:ind w:firstLine="1470" w:firstLineChars="700"/>
        <w:rPr>
          <w:rFonts w:hint="eastAsia" w:ascii="仿宋" w:hAnsi="仿宋" w:eastAsia="仿宋" w:cs="仿宋"/>
          <w:szCs w:val="21"/>
          <w:highlight w:val="none"/>
        </w:rPr>
      </w:pPr>
      <w:r>
        <w:rPr>
          <w:rFonts w:hint="eastAsia" w:ascii="仿宋" w:hAnsi="仿宋" w:eastAsia="仿宋" w:cs="仿宋"/>
          <w:szCs w:val="21"/>
          <w:highlight w:val="none"/>
        </w:rPr>
        <w:t>第三章  评标办法</w:t>
      </w:r>
    </w:p>
    <w:p w14:paraId="78B9BB2D">
      <w:pPr>
        <w:spacing w:line="440" w:lineRule="exact"/>
        <w:ind w:firstLine="1470" w:firstLineChars="700"/>
        <w:rPr>
          <w:rFonts w:hint="eastAsia" w:ascii="仿宋" w:hAnsi="仿宋" w:eastAsia="仿宋" w:cs="仿宋"/>
          <w:szCs w:val="21"/>
          <w:highlight w:val="none"/>
        </w:rPr>
      </w:pPr>
      <w:r>
        <w:rPr>
          <w:rFonts w:hint="eastAsia" w:ascii="仿宋" w:hAnsi="仿宋" w:eastAsia="仿宋" w:cs="仿宋"/>
          <w:szCs w:val="21"/>
          <w:highlight w:val="none"/>
        </w:rPr>
        <w:t>第四章  采购内容及技术要求</w:t>
      </w:r>
    </w:p>
    <w:p w14:paraId="191D5F3A">
      <w:pPr>
        <w:spacing w:line="440" w:lineRule="exact"/>
        <w:ind w:firstLine="1470" w:firstLineChars="700"/>
        <w:rPr>
          <w:rFonts w:hint="eastAsia" w:ascii="仿宋" w:hAnsi="仿宋" w:eastAsia="仿宋" w:cs="仿宋"/>
          <w:szCs w:val="21"/>
          <w:highlight w:val="none"/>
        </w:rPr>
      </w:pPr>
      <w:r>
        <w:rPr>
          <w:rFonts w:hint="eastAsia" w:ascii="仿宋" w:hAnsi="仿宋" w:eastAsia="仿宋" w:cs="仿宋"/>
          <w:szCs w:val="21"/>
          <w:highlight w:val="none"/>
        </w:rPr>
        <w:t>第五章  合同条款及格式</w:t>
      </w:r>
    </w:p>
    <w:p w14:paraId="1E2DE630">
      <w:pPr>
        <w:spacing w:line="440" w:lineRule="exact"/>
        <w:ind w:firstLine="1470" w:firstLineChars="700"/>
        <w:rPr>
          <w:rFonts w:hint="eastAsia" w:ascii="仿宋" w:hAnsi="仿宋" w:eastAsia="仿宋" w:cs="仿宋"/>
          <w:szCs w:val="21"/>
          <w:highlight w:val="none"/>
        </w:rPr>
      </w:pPr>
      <w:r>
        <w:rPr>
          <w:rFonts w:hint="eastAsia" w:ascii="仿宋" w:hAnsi="仿宋" w:eastAsia="仿宋" w:cs="仿宋"/>
          <w:szCs w:val="21"/>
          <w:highlight w:val="none"/>
        </w:rPr>
        <w:t>第六章  投标文件格式文本</w:t>
      </w:r>
    </w:p>
    <w:p w14:paraId="17DA2EB9">
      <w:pPr>
        <w:spacing w:line="440" w:lineRule="exact"/>
        <w:ind w:firstLine="1470" w:firstLineChars="700"/>
        <w:rPr>
          <w:rFonts w:hint="eastAsia" w:ascii="仿宋" w:hAnsi="仿宋" w:eastAsia="仿宋" w:cs="仿宋"/>
          <w:szCs w:val="21"/>
          <w:highlight w:val="none"/>
        </w:rPr>
      </w:pPr>
      <w:r>
        <w:rPr>
          <w:rFonts w:hint="eastAsia" w:ascii="仿宋" w:hAnsi="仿宋" w:eastAsia="仿宋" w:cs="仿宋"/>
          <w:szCs w:val="21"/>
          <w:highlight w:val="none"/>
        </w:rPr>
        <w:t>第七章  招标单位、招标代理机构对本文件的确认</w:t>
      </w:r>
    </w:p>
    <w:p w14:paraId="4A955F30">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 xml:space="preserve">   1</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.2 除16.1内容外，招标答疑亦为采购文件的组成部分，对招标人和投标人起约束作用。</w:t>
      </w:r>
    </w:p>
    <w:p w14:paraId="784C684D">
      <w:pPr>
        <w:pStyle w:val="11"/>
        <w:wordWrap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1</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.3投标人应仔细阅读和检查采购文件的全部内容。如发现缺页或附件不全，应及时向招标人提出，以便补齐。如有疑问，投标人应在以书面形式一次性向采购人和采购代理机构提出同一环节的质疑。</w:t>
      </w:r>
    </w:p>
    <w:p w14:paraId="07585AE9">
      <w:pPr>
        <w:wordWrap w:val="0"/>
        <w:spacing w:line="440" w:lineRule="exact"/>
        <w:rPr>
          <w:rFonts w:hint="eastAsia" w:ascii="仿宋" w:hAnsi="仿宋" w:eastAsia="仿宋" w:cs="仿宋"/>
          <w:szCs w:val="21"/>
          <w:highlight w:val="none"/>
        </w:rPr>
      </w:pPr>
      <w:r>
        <w:rPr>
          <w:rFonts w:hint="eastAsia" w:ascii="仿宋" w:hAnsi="仿宋" w:eastAsia="仿宋" w:cs="仿宋"/>
          <w:szCs w:val="21"/>
          <w:highlight w:val="none"/>
        </w:rPr>
        <w:t xml:space="preserve">   1</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采购文件的澄清将在政采云平台“更正公告”栏目予以公告，但不指明澄清问题的来源。如果澄清内容影响投标文件编制的，将相应延长投标截止时间。</w:t>
      </w:r>
    </w:p>
    <w:p w14:paraId="08D9A9CA">
      <w:pPr>
        <w:spacing w:line="440" w:lineRule="exact"/>
        <w:ind w:firstLine="420" w:firstLineChars="200"/>
        <w:outlineLvl w:val="3"/>
        <w:rPr>
          <w:rFonts w:hint="eastAsia" w:ascii="仿宋" w:hAnsi="仿宋" w:eastAsia="仿宋" w:cs="仿宋"/>
          <w:b/>
          <w:bCs/>
          <w:szCs w:val="21"/>
          <w:highlight w:val="none"/>
        </w:rPr>
      </w:pPr>
      <w:r>
        <w:rPr>
          <w:rFonts w:hint="eastAsia" w:ascii="仿宋" w:hAnsi="仿宋" w:eastAsia="仿宋" w:cs="仿宋"/>
          <w:b/>
          <w:bCs/>
          <w:szCs w:val="21"/>
          <w:highlight w:val="none"/>
        </w:rPr>
        <w:t>1</w:t>
      </w:r>
      <w:r>
        <w:rPr>
          <w:rFonts w:hint="eastAsia" w:ascii="仿宋" w:hAnsi="仿宋" w:eastAsia="仿宋" w:cs="仿宋"/>
          <w:b/>
          <w:bCs/>
          <w:szCs w:val="21"/>
          <w:highlight w:val="none"/>
          <w:lang w:val="en-US" w:eastAsia="zh-CN"/>
        </w:rPr>
        <w:t>6</w:t>
      </w:r>
      <w:r>
        <w:rPr>
          <w:rFonts w:hint="eastAsia" w:ascii="仿宋" w:hAnsi="仿宋" w:eastAsia="仿宋" w:cs="仿宋"/>
          <w:b/>
          <w:bCs/>
          <w:szCs w:val="21"/>
          <w:highlight w:val="none"/>
        </w:rPr>
        <w:t>. 磋商文件的修改、补充、解释</w:t>
      </w:r>
    </w:p>
    <w:p w14:paraId="7F2F8568">
      <w:pPr>
        <w:wordWrap w:val="0"/>
        <w:spacing w:line="400" w:lineRule="exact"/>
        <w:ind w:firstLine="315" w:firstLineChars="150"/>
        <w:rPr>
          <w:rFonts w:hint="eastAsia" w:ascii="仿宋" w:hAnsi="仿宋" w:eastAsia="仿宋" w:cs="仿宋"/>
          <w:szCs w:val="21"/>
          <w:highlight w:val="none"/>
        </w:rPr>
      </w:pP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.1磋商文件发出后，招标人在规定的投标截止时间前可对采购文件进行必要的修改和补充，并以更正公告形式在政采云平台 “更正公告”栏目予以公告，请各位投标人注意查看有关澄清内容，如不及时查看造成后果由投标人自负。采购文件的修改、补充等内容作为采购文件的组成部分，具有约束作用。</w:t>
      </w:r>
    </w:p>
    <w:p w14:paraId="26A00136">
      <w:pPr>
        <w:wordWrap w:val="0"/>
        <w:spacing w:line="400" w:lineRule="exact"/>
        <w:ind w:firstLine="315" w:firstLineChars="150"/>
        <w:rPr>
          <w:rFonts w:hint="eastAsia" w:ascii="仿宋" w:hAnsi="仿宋" w:eastAsia="仿宋" w:cs="仿宋"/>
          <w:szCs w:val="21"/>
          <w:highlight w:val="none"/>
        </w:rPr>
      </w:pP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 xml:space="preserve">.2 采购代理机构可视采购具体情况对已发出的采购文件进行必要的澄清、修改或者补充。澄清、修改或者补充的内容可能影响投标文件编制的，应当在投标截止时间至少5日前，在原公告发布媒体上发布澄清公告，澄清或者修改的内容为采购文件的组成部分；不足5日的，应当顺延提交投标文件的截止时间。 </w:t>
      </w:r>
      <w:r>
        <w:rPr>
          <w:rFonts w:hint="eastAsia" w:ascii="仿宋" w:hAnsi="仿宋" w:eastAsia="仿宋" w:cs="仿宋"/>
          <w:szCs w:val="21"/>
          <w:highlight w:val="none"/>
          <w:lang w:val="en-US" w:eastAsia="zh-CN"/>
        </w:rPr>
        <w:t xml:space="preserve"> </w:t>
      </w:r>
      <w:r>
        <w:rPr>
          <w:rFonts w:hint="eastAsia" w:ascii="仿宋" w:hAnsi="仿宋" w:eastAsia="仿宋" w:cs="仿宋"/>
          <w:bCs/>
          <w:szCs w:val="21"/>
          <w:highlight w:val="none"/>
        </w:rPr>
        <w:t>1</w:t>
      </w:r>
      <w:r>
        <w:rPr>
          <w:rFonts w:hint="eastAsia" w:ascii="仿宋" w:hAnsi="仿宋" w:eastAsia="仿宋" w:cs="仿宋"/>
          <w:bCs/>
          <w:szCs w:val="21"/>
          <w:highlight w:val="none"/>
          <w:lang w:val="en-US" w:eastAsia="zh-CN"/>
        </w:rPr>
        <w:t>6</w:t>
      </w:r>
      <w:r>
        <w:rPr>
          <w:rFonts w:hint="eastAsia" w:ascii="仿宋" w:hAnsi="仿宋" w:eastAsia="仿宋" w:cs="仿宋"/>
          <w:bCs/>
          <w:szCs w:val="21"/>
          <w:highlight w:val="none"/>
        </w:rPr>
        <w:t xml:space="preserve">.3 </w:t>
      </w:r>
      <w:r>
        <w:rPr>
          <w:rFonts w:hint="eastAsia" w:ascii="仿宋" w:hAnsi="仿宋" w:eastAsia="仿宋" w:cs="仿宋"/>
          <w:szCs w:val="21"/>
          <w:highlight w:val="none"/>
        </w:rPr>
        <w:t>供应商在规定的时间内未对采购文件提出疑问、质疑或要求澄清的，将视其为无异议。</w:t>
      </w:r>
    </w:p>
    <w:p w14:paraId="4A7E9A61">
      <w:pPr>
        <w:tabs>
          <w:tab w:val="left" w:pos="840"/>
        </w:tabs>
        <w:spacing w:line="400" w:lineRule="exact"/>
        <w:ind w:left="837" w:leftChars="104" w:hanging="619" w:hangingChars="295"/>
        <w:outlineLvl w:val="9"/>
        <w:rPr>
          <w:rFonts w:hint="eastAsia" w:ascii="仿宋" w:hAnsi="仿宋" w:eastAsia="仿宋" w:cs="仿宋"/>
          <w:bCs/>
          <w:szCs w:val="21"/>
          <w:highlight w:val="none"/>
        </w:rPr>
      </w:pPr>
      <w:r>
        <w:rPr>
          <w:rFonts w:hint="eastAsia" w:ascii="仿宋" w:hAnsi="仿宋" w:eastAsia="仿宋" w:cs="仿宋"/>
          <w:bCs/>
          <w:szCs w:val="21"/>
          <w:highlight w:val="none"/>
        </w:rPr>
        <w:t>1</w:t>
      </w:r>
      <w:r>
        <w:rPr>
          <w:rFonts w:hint="eastAsia" w:ascii="仿宋" w:hAnsi="仿宋" w:eastAsia="仿宋" w:cs="仿宋"/>
          <w:bCs/>
          <w:szCs w:val="21"/>
          <w:highlight w:val="none"/>
          <w:lang w:val="en-US" w:eastAsia="zh-CN"/>
        </w:rPr>
        <w:t>6</w:t>
      </w:r>
      <w:r>
        <w:rPr>
          <w:rFonts w:hint="eastAsia" w:ascii="仿宋" w:hAnsi="仿宋" w:eastAsia="仿宋" w:cs="仿宋"/>
          <w:bCs/>
          <w:szCs w:val="21"/>
          <w:highlight w:val="none"/>
        </w:rPr>
        <w:t xml:space="preserve">.4 磋商文件的解释 </w:t>
      </w:r>
    </w:p>
    <w:p w14:paraId="223CE61B">
      <w:pPr>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本磋商文件由招标人（或其委托的招标代理机构）负责解释。</w:t>
      </w:r>
    </w:p>
    <w:p w14:paraId="7EFEDFDF">
      <w:pPr>
        <w:spacing w:line="400" w:lineRule="exact"/>
        <w:outlineLvl w:val="3"/>
        <w:rPr>
          <w:rFonts w:hint="eastAsia" w:ascii="仿宋" w:hAnsi="仿宋" w:eastAsia="仿宋" w:cs="仿宋"/>
          <w:b/>
          <w:szCs w:val="21"/>
          <w:highlight w:val="none"/>
        </w:rPr>
      </w:pPr>
      <w:r>
        <w:rPr>
          <w:rFonts w:hint="eastAsia" w:ascii="仿宋" w:hAnsi="仿宋" w:eastAsia="仿宋" w:cs="仿宋"/>
          <w:b/>
          <w:szCs w:val="21"/>
          <w:highlight w:val="none"/>
        </w:rPr>
        <w:t xml:space="preserve">   </w:t>
      </w:r>
      <w:bookmarkStart w:id="53" w:name="_Toc11727"/>
      <w:r>
        <w:rPr>
          <w:rFonts w:hint="eastAsia" w:ascii="仿宋" w:hAnsi="仿宋" w:eastAsia="仿宋" w:cs="仿宋"/>
          <w:b/>
          <w:szCs w:val="21"/>
          <w:highlight w:val="none"/>
          <w:lang w:val="en-US" w:eastAsia="zh-CN"/>
        </w:rPr>
        <w:t>17</w:t>
      </w:r>
      <w:r>
        <w:rPr>
          <w:rFonts w:hint="eastAsia" w:ascii="仿宋" w:hAnsi="仿宋" w:eastAsia="仿宋" w:cs="仿宋"/>
          <w:b/>
          <w:szCs w:val="21"/>
          <w:highlight w:val="none"/>
        </w:rPr>
        <w:t>. 磋商文件的发出</w:t>
      </w:r>
      <w:bookmarkEnd w:id="53"/>
    </w:p>
    <w:p w14:paraId="263FA697">
      <w:pPr>
        <w:spacing w:line="400" w:lineRule="exact"/>
        <w:ind w:firstLine="315" w:firstLineChars="150"/>
        <w:rPr>
          <w:rFonts w:hint="eastAsia" w:ascii="仿宋" w:hAnsi="仿宋" w:eastAsia="仿宋" w:cs="仿宋"/>
          <w:szCs w:val="21"/>
          <w:highlight w:val="none"/>
        </w:rPr>
      </w:pPr>
      <w:r>
        <w:rPr>
          <w:rFonts w:hint="eastAsia" w:ascii="仿宋" w:hAnsi="仿宋" w:eastAsia="仿宋" w:cs="仿宋"/>
          <w:szCs w:val="21"/>
          <w:highlight w:val="none"/>
          <w:lang w:val="en-US" w:eastAsia="zh-CN"/>
        </w:rPr>
        <w:t>17</w:t>
      </w:r>
      <w:r>
        <w:rPr>
          <w:rFonts w:hint="eastAsia" w:ascii="仿宋" w:hAnsi="仿宋" w:eastAsia="仿宋" w:cs="仿宋"/>
          <w:szCs w:val="21"/>
          <w:highlight w:val="none"/>
        </w:rPr>
        <w:t>.1  磋商文件、磋商文件的澄清、修改、补充及招标答疑等均应报相关部门备案后，方可发出。</w:t>
      </w:r>
    </w:p>
    <w:p w14:paraId="26BCB2E3">
      <w:pPr>
        <w:spacing w:line="440" w:lineRule="exact"/>
        <w:ind w:firstLine="279" w:firstLineChars="133"/>
        <w:outlineLvl w:val="3"/>
        <w:rPr>
          <w:rFonts w:hint="eastAsia" w:ascii="仿宋" w:hAnsi="仿宋" w:eastAsia="仿宋" w:cs="仿宋"/>
          <w:szCs w:val="21"/>
          <w:highlight w:val="none"/>
        </w:rPr>
      </w:pPr>
      <w:bookmarkStart w:id="54" w:name="_Toc469495726"/>
      <w:r>
        <w:rPr>
          <w:rFonts w:hint="eastAsia" w:ascii="仿宋" w:hAnsi="仿宋" w:eastAsia="仿宋" w:cs="仿宋"/>
          <w:b/>
          <w:szCs w:val="21"/>
          <w:highlight w:val="none"/>
        </w:rPr>
        <w:t>1</w:t>
      </w:r>
      <w:r>
        <w:rPr>
          <w:rFonts w:hint="eastAsia" w:ascii="仿宋" w:hAnsi="仿宋" w:eastAsia="仿宋" w:cs="仿宋"/>
          <w:b/>
          <w:szCs w:val="21"/>
          <w:highlight w:val="none"/>
          <w:lang w:val="en-US" w:eastAsia="zh-CN"/>
        </w:rPr>
        <w:t>8</w:t>
      </w:r>
      <w:r>
        <w:rPr>
          <w:rFonts w:hint="eastAsia" w:ascii="仿宋" w:hAnsi="仿宋" w:eastAsia="仿宋" w:cs="仿宋"/>
          <w:b/>
          <w:szCs w:val="21"/>
          <w:highlight w:val="none"/>
        </w:rPr>
        <w:t xml:space="preserve">. </w:t>
      </w:r>
      <w:r>
        <w:rPr>
          <w:rFonts w:hint="eastAsia" w:ascii="仿宋" w:hAnsi="仿宋" w:eastAsia="仿宋" w:cs="仿宋"/>
          <w:szCs w:val="21"/>
          <w:highlight w:val="none"/>
        </w:rPr>
        <w:t>凡需要设置样品情形时，必须明确是否需要随样品提交检测报告，并明确检测机构的要求、检测内容、中标样品封存等事项。（评标委员会无法判断样品是否合格且样品需要提供给第三方权威检测机构检测的,在投标人提供招标人认可的第三方权威检测机构检测报告后，评标委员会推荐的中标候选人方可生效，采购人或代理机构发布中标（成交）结果公告。</w:t>
      </w:r>
    </w:p>
    <w:p w14:paraId="04984396">
      <w:pPr>
        <w:spacing w:line="400" w:lineRule="exact"/>
        <w:ind w:firstLine="420"/>
        <w:rPr>
          <w:rFonts w:hint="eastAsia" w:ascii="仿宋" w:hAnsi="仿宋" w:eastAsia="仿宋" w:cs="仿宋"/>
          <w:szCs w:val="21"/>
          <w:highlight w:val="none"/>
        </w:rPr>
      </w:pPr>
      <w:r>
        <w:rPr>
          <w:rFonts w:hint="eastAsia" w:ascii="仿宋" w:hAnsi="仿宋" w:eastAsia="仿宋" w:cs="仿宋"/>
          <w:szCs w:val="21"/>
          <w:highlight w:val="none"/>
        </w:rPr>
        <w:t>采购文件中应明确样品送检方式、检测费用支付方法、投标人在规定时间内无法提供第三方权威检测机构检测报告的处理方式。（采购人根据项目需求按上述要求自行描述）</w:t>
      </w:r>
    </w:p>
    <w:bookmarkEnd w:id="54"/>
    <w:p w14:paraId="743922B9">
      <w:pPr>
        <w:spacing w:line="440" w:lineRule="exact"/>
        <w:ind w:firstLine="304" w:firstLineChars="145"/>
        <w:outlineLvl w:val="3"/>
        <w:rPr>
          <w:rFonts w:hint="eastAsia" w:ascii="仿宋" w:hAnsi="仿宋" w:eastAsia="仿宋" w:cs="仿宋"/>
          <w:b/>
          <w:szCs w:val="21"/>
          <w:highlight w:val="none"/>
        </w:rPr>
      </w:pPr>
      <w:r>
        <w:rPr>
          <w:rFonts w:hint="eastAsia" w:ascii="仿宋" w:hAnsi="仿宋" w:eastAsia="仿宋" w:cs="仿宋"/>
          <w:b/>
          <w:szCs w:val="21"/>
          <w:highlight w:val="none"/>
          <w:lang w:val="en-US" w:eastAsia="zh-CN"/>
        </w:rPr>
        <w:t>19</w:t>
      </w:r>
      <w:r>
        <w:rPr>
          <w:rFonts w:hint="eastAsia" w:ascii="仿宋" w:hAnsi="仿宋" w:eastAsia="仿宋" w:cs="仿宋"/>
          <w:b/>
          <w:szCs w:val="21"/>
          <w:highlight w:val="none"/>
        </w:rPr>
        <w:t>. 投标的语言及度量衡单位</w:t>
      </w:r>
    </w:p>
    <w:p w14:paraId="573761BE">
      <w:pPr>
        <w:rPr>
          <w:rFonts w:hint="eastAsia" w:ascii="仿宋" w:hAnsi="仿宋" w:eastAsia="仿宋" w:cs="仿宋"/>
          <w:b/>
          <w:sz w:val="28"/>
          <w:szCs w:val="28"/>
          <w:highlight w:val="none"/>
        </w:rPr>
      </w:pPr>
      <w:bookmarkStart w:id="55" w:name="_Toc9496"/>
      <w:r>
        <w:rPr>
          <w:rFonts w:hint="eastAsia" w:ascii="仿宋" w:hAnsi="仿宋" w:eastAsia="仿宋" w:cs="仿宋"/>
          <w:b/>
          <w:sz w:val="28"/>
          <w:szCs w:val="28"/>
          <w:highlight w:val="none"/>
        </w:rPr>
        <w:br w:type="page"/>
      </w:r>
    </w:p>
    <w:p w14:paraId="35C5499E">
      <w:pPr>
        <w:spacing w:before="312" w:beforeLines="100" w:after="312" w:afterLines="100" w:line="440" w:lineRule="exact"/>
        <w:jc w:val="center"/>
        <w:outlineLvl w:val="2"/>
        <w:rPr>
          <w:rFonts w:hint="eastAsia" w:ascii="仿宋" w:hAnsi="仿宋" w:eastAsia="仿宋" w:cs="仿宋"/>
          <w:b/>
          <w:sz w:val="28"/>
          <w:szCs w:val="28"/>
          <w:highlight w:val="none"/>
        </w:rPr>
      </w:pPr>
      <w:r>
        <w:rPr>
          <w:rFonts w:hint="eastAsia" w:ascii="仿宋" w:hAnsi="仿宋" w:eastAsia="仿宋" w:cs="仿宋"/>
          <w:b/>
          <w:sz w:val="28"/>
          <w:szCs w:val="28"/>
          <w:highlight w:val="none"/>
        </w:rPr>
        <w:t>（三）</w:t>
      </w:r>
      <w:r>
        <w:rPr>
          <w:rFonts w:hint="eastAsia" w:ascii="仿宋" w:hAnsi="仿宋" w:eastAsia="仿宋" w:cs="仿宋"/>
          <w:b/>
          <w:sz w:val="28"/>
          <w:szCs w:val="28"/>
          <w:highlight w:val="none"/>
          <w:lang w:eastAsia="zh-CN"/>
        </w:rPr>
        <w:t>投标文件</w:t>
      </w:r>
      <w:r>
        <w:rPr>
          <w:rFonts w:hint="eastAsia" w:ascii="仿宋" w:hAnsi="仿宋" w:eastAsia="仿宋" w:cs="仿宋"/>
          <w:b/>
          <w:sz w:val="28"/>
          <w:szCs w:val="28"/>
          <w:highlight w:val="none"/>
        </w:rPr>
        <w:t>的编制</w:t>
      </w:r>
      <w:bookmarkEnd w:id="55"/>
    </w:p>
    <w:p w14:paraId="7A34354C">
      <w:pPr>
        <w:spacing w:line="440" w:lineRule="exact"/>
        <w:ind w:firstLine="283" w:firstLineChars="135"/>
        <w:rPr>
          <w:rFonts w:hint="eastAsia" w:ascii="仿宋" w:hAnsi="仿宋" w:eastAsia="仿宋" w:cs="仿宋"/>
          <w:szCs w:val="21"/>
          <w:highlight w:val="none"/>
        </w:rPr>
      </w:pPr>
      <w:r>
        <w:rPr>
          <w:rFonts w:hint="eastAsia" w:ascii="仿宋" w:hAnsi="仿宋" w:eastAsia="仿宋" w:cs="仿宋"/>
          <w:szCs w:val="21"/>
          <w:highlight w:val="none"/>
          <w:lang w:val="en-US" w:eastAsia="zh-CN"/>
        </w:rPr>
        <w:t>19</w:t>
      </w:r>
      <w:r>
        <w:rPr>
          <w:rFonts w:hint="eastAsia" w:ascii="仿宋" w:hAnsi="仿宋" w:eastAsia="仿宋" w:cs="仿宋"/>
          <w:szCs w:val="21"/>
          <w:highlight w:val="none"/>
        </w:rPr>
        <w:t>.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14:paraId="38C499F6">
      <w:pPr>
        <w:spacing w:line="440" w:lineRule="exact"/>
        <w:ind w:firstLine="283" w:firstLineChars="135"/>
        <w:rPr>
          <w:rFonts w:hint="eastAsia" w:ascii="仿宋" w:hAnsi="仿宋" w:eastAsia="仿宋" w:cs="仿宋"/>
          <w:szCs w:val="21"/>
          <w:highlight w:val="none"/>
        </w:rPr>
      </w:pPr>
      <w:r>
        <w:rPr>
          <w:rFonts w:hint="eastAsia" w:ascii="仿宋" w:hAnsi="仿宋" w:eastAsia="仿宋" w:cs="仿宋"/>
          <w:szCs w:val="21"/>
          <w:highlight w:val="none"/>
          <w:lang w:val="en-US" w:eastAsia="zh-CN"/>
        </w:rPr>
        <w:t>19</w:t>
      </w:r>
      <w:r>
        <w:rPr>
          <w:rFonts w:hint="eastAsia" w:ascii="仿宋" w:hAnsi="仿宋" w:eastAsia="仿宋" w:cs="仿宋"/>
          <w:szCs w:val="21"/>
          <w:highlight w:val="none"/>
        </w:rPr>
        <w:t>.2除采购文件中另有规定外，投标书所使用的度量衡均须采用法定计量单位。</w:t>
      </w:r>
    </w:p>
    <w:p w14:paraId="42A3FE16">
      <w:pPr>
        <w:numPr>
          <w:ilvl w:val="0"/>
          <w:numId w:val="0"/>
        </w:numPr>
        <w:spacing w:line="400" w:lineRule="exact"/>
        <w:ind w:firstLine="205" w:firstLineChars="98"/>
        <w:outlineLvl w:val="3"/>
        <w:rPr>
          <w:rFonts w:hint="eastAsia" w:ascii="仿宋" w:hAnsi="仿宋" w:eastAsia="仿宋" w:cs="仿宋"/>
          <w:b/>
          <w:szCs w:val="21"/>
          <w:highlight w:val="none"/>
        </w:rPr>
      </w:pPr>
      <w:r>
        <w:rPr>
          <w:rFonts w:hint="eastAsia" w:ascii="仿宋" w:hAnsi="仿宋" w:eastAsia="仿宋" w:cs="仿宋"/>
          <w:b/>
          <w:kern w:val="2"/>
          <w:sz w:val="21"/>
          <w:szCs w:val="21"/>
          <w:lang w:val="en-US" w:eastAsia="zh-CN" w:bidi="ar-SA"/>
        </w:rPr>
        <w:t>20.</w:t>
      </w:r>
      <w:r>
        <w:rPr>
          <w:rFonts w:hint="eastAsia" w:ascii="仿宋" w:hAnsi="仿宋" w:eastAsia="仿宋" w:cs="仿宋"/>
          <w:b/>
          <w:szCs w:val="21"/>
          <w:highlight w:val="none"/>
          <w:lang w:eastAsia="zh-CN"/>
        </w:rPr>
        <w:t>投标文件</w:t>
      </w:r>
      <w:r>
        <w:rPr>
          <w:rFonts w:hint="eastAsia" w:ascii="仿宋" w:hAnsi="仿宋" w:eastAsia="仿宋" w:cs="仿宋"/>
          <w:b/>
          <w:szCs w:val="21"/>
          <w:highlight w:val="none"/>
        </w:rPr>
        <w:t>的组成</w:t>
      </w:r>
    </w:p>
    <w:p w14:paraId="47948D99">
      <w:pPr>
        <w:numPr>
          <w:ilvl w:val="0"/>
          <w:numId w:val="0"/>
        </w:numPr>
        <w:spacing w:line="400" w:lineRule="exact"/>
        <w:ind w:firstLine="210" w:firstLineChars="100"/>
        <w:outlineLvl w:val="9"/>
        <w:rPr>
          <w:rFonts w:hint="eastAsia" w:ascii="仿宋" w:hAnsi="仿宋" w:eastAsia="仿宋" w:cs="仿宋"/>
          <w:sz w:val="21"/>
          <w:szCs w:val="21"/>
          <w:highlight w:val="none"/>
          <w:lang w:val="en-US" w:eastAsia="zh-CN"/>
        </w:rPr>
      </w:pPr>
      <w:r>
        <w:rPr>
          <w:rFonts w:hint="eastAsia" w:ascii="仿宋" w:hAnsi="仿宋" w:eastAsia="仿宋" w:cs="仿宋"/>
          <w:szCs w:val="21"/>
          <w:highlight w:val="none"/>
          <w:lang w:val="en-US" w:eastAsia="zh-CN"/>
        </w:rPr>
        <w:t>20.1</w:t>
      </w:r>
      <w:r>
        <w:rPr>
          <w:rFonts w:hint="eastAsia" w:ascii="仿宋" w:hAnsi="仿宋" w:eastAsia="仿宋" w:cs="仿宋"/>
          <w:szCs w:val="21"/>
          <w:highlight w:val="none"/>
          <w:lang w:eastAsia="zh-CN"/>
        </w:rPr>
        <w:t>开标一览表及资格证明文件</w:t>
      </w:r>
    </w:p>
    <w:p w14:paraId="60AA95EB">
      <w:pPr>
        <w:spacing w:line="440" w:lineRule="exact"/>
        <w:ind w:firstLine="283" w:firstLineChars="135"/>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1、开标一览表;</w:t>
      </w:r>
    </w:p>
    <w:p w14:paraId="65A86704">
      <w:pPr>
        <w:spacing w:line="440" w:lineRule="exact"/>
        <w:ind w:firstLine="283" w:firstLineChars="135"/>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2、具有合格有效的营业执照（三证合一）</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法人或者非法人组织的营业执照等证明文件复印件（须加盖本单位公章）或自然人的身份证明复印件</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w:t>
      </w:r>
    </w:p>
    <w:p w14:paraId="4B86B4E3">
      <w:pPr>
        <w:spacing w:line="440" w:lineRule="exact"/>
        <w:ind w:firstLine="283" w:firstLineChars="135"/>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3、法定代表人资格证明书（自然人投标的无需提供）;</w:t>
      </w:r>
    </w:p>
    <w:p w14:paraId="16EE9610">
      <w:pPr>
        <w:spacing w:line="440" w:lineRule="exact"/>
        <w:ind w:firstLine="283" w:firstLineChars="135"/>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法定代表人授权书（自然人投标的无需提供）;</w:t>
      </w:r>
    </w:p>
    <w:p w14:paraId="666C9DB6">
      <w:pPr>
        <w:spacing w:line="440" w:lineRule="exact"/>
        <w:ind w:firstLine="283" w:firstLineChars="135"/>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4、投标企业须提供投标人（被授权在职人员）近6个月任意一个月有效的社保证明（如若法定代表人参加投标事宜，则只需出具法人身份证正反面复印件，无需出具社保） ；</w:t>
      </w:r>
    </w:p>
    <w:p w14:paraId="248A2B44">
      <w:pPr>
        <w:spacing w:line="440" w:lineRule="exact"/>
        <w:ind w:firstLine="283" w:firstLineChars="135"/>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5、投标保证金汇款凭证或保函；</w:t>
      </w:r>
    </w:p>
    <w:p w14:paraId="542237FF">
      <w:pPr>
        <w:spacing w:line="440" w:lineRule="exact"/>
        <w:ind w:firstLine="283" w:firstLineChars="135"/>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6、参加采购活动前三年内，投标人在“信用中国”（www.creditchina.gov.cn）和“中国政府采购网”（www.ccgp.gov.cn）网站上未被列入失信被执行人、重大税收违法案件当事人名单以及政府采购严重违法失信行为记录名单（投标文件中的查询截图不做强制性要求，最终以代理机构开标现场在政采云系统中查询结果为准）;</w:t>
      </w:r>
    </w:p>
    <w:p w14:paraId="2C90F06F">
      <w:pPr>
        <w:spacing w:line="440" w:lineRule="exact"/>
        <w:ind w:firstLine="283" w:firstLineChars="135"/>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7、反商业贿赂承诺书（格式自拟）；</w:t>
      </w:r>
    </w:p>
    <w:p w14:paraId="3E96CF7A">
      <w:pPr>
        <w:spacing w:line="440" w:lineRule="exact"/>
        <w:ind w:firstLine="283" w:firstLineChars="135"/>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8、投标人须知资料表要求的其他资格证明文件；</w:t>
      </w:r>
    </w:p>
    <w:p w14:paraId="2337CDB0">
      <w:pPr>
        <w:shd w:val="clear" w:color="auto" w:fill="auto"/>
        <w:spacing w:line="440" w:lineRule="exact"/>
        <w:ind w:firstLine="308" w:firstLineChars="147"/>
        <w:outlineLvl w:val="9"/>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lang w:val="en-US" w:eastAsia="zh-CN"/>
        </w:rPr>
        <w:t>20.2商务文件</w:t>
      </w:r>
    </w:p>
    <w:p w14:paraId="054F4B0C">
      <w:pPr>
        <w:pStyle w:val="8"/>
        <w:keepNext w:val="0"/>
        <w:keepLines w:val="0"/>
        <w:pageBreakBefore w:val="0"/>
        <w:widowControl w:val="0"/>
        <w:numPr>
          <w:ilvl w:val="0"/>
          <w:numId w:val="0"/>
        </w:numPr>
        <w:shd w:val="clear" w:color="auto" w:fill="auto"/>
        <w:tabs>
          <w:tab w:val="left" w:pos="2230"/>
          <w:tab w:val="center" w:pos="4152"/>
        </w:tabs>
        <w:kinsoku w:val="0"/>
        <w:wordWrap/>
        <w:overflowPunct w:val="0"/>
        <w:topLinePunct w:val="0"/>
        <w:autoSpaceDE/>
        <w:autoSpaceDN/>
        <w:bidi w:val="0"/>
        <w:adjustRightInd/>
        <w:snapToGrid/>
        <w:spacing w:before="34" w:line="440" w:lineRule="exact"/>
        <w:ind w:left="210" w:leftChars="100" w:right="125" w:rightChars="0" w:firstLine="3" w:firstLineChars="0"/>
        <w:jc w:val="both"/>
        <w:textAlignment w:val="auto"/>
        <w:outlineLvl w:val="2"/>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1、投标函</w:t>
      </w:r>
    </w:p>
    <w:p w14:paraId="3F5309A8">
      <w:pPr>
        <w:ind w:leftChars="100"/>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2、服务报价表</w:t>
      </w:r>
    </w:p>
    <w:p w14:paraId="6B346F35">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228" w:leftChars="100" w:right="126" w:rightChars="0" w:hanging="18" w:firstLineChars="0"/>
        <w:jc w:val="both"/>
        <w:textAlignment w:val="auto"/>
        <w:outlineLvl w:val="2"/>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3、商务条款偏离表</w:t>
      </w:r>
    </w:p>
    <w:p w14:paraId="53530B99">
      <w:pPr>
        <w:pStyle w:val="11"/>
        <w:keepNext w:val="0"/>
        <w:keepLines w:val="0"/>
        <w:pageBreakBefore w:val="0"/>
        <w:widowControl w:val="0"/>
        <w:shd w:val="clear" w:color="auto" w:fill="auto"/>
        <w:kinsoku/>
        <w:wordWrap/>
        <w:overflowPunct/>
        <w:topLinePunct w:val="0"/>
        <w:autoSpaceDE/>
        <w:autoSpaceDN/>
        <w:bidi w:val="0"/>
        <w:adjustRightInd/>
        <w:snapToGrid/>
        <w:spacing w:line="400" w:lineRule="exact"/>
        <w:ind w:leftChars="100"/>
        <w:textAlignment w:val="auto"/>
        <w:outlineLvl w:val="2"/>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4、符合《政府采购促进中小企业发展暂行办法》、《关于政府采购支持监狱企业发展有关问题的通知》和《三部门联合发布关于促进残疾人就业政府采购政策的通知》条件的投标人提交）</w:t>
      </w:r>
    </w:p>
    <w:p w14:paraId="7AEA952E">
      <w:pPr>
        <w:shd w:val="clear" w:color="auto" w:fill="auto"/>
        <w:bidi w:val="0"/>
        <w:spacing w:line="360" w:lineRule="auto"/>
        <w:ind w:leftChars="100"/>
        <w:outlineLvl w:val="3"/>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4-1 中小企业声明函（服务）</w:t>
      </w:r>
    </w:p>
    <w:p w14:paraId="34867F04">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210" w:leftChars="100" w:right="126" w:rightChars="0" w:firstLine="0" w:firstLineChars="0"/>
        <w:jc w:val="both"/>
        <w:textAlignment w:val="auto"/>
        <w:outlineLvl w:val="3"/>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4-2残疾人福利性单位声明函</w:t>
      </w:r>
    </w:p>
    <w:p w14:paraId="40A24CFC">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Chars="100" w:right="126" w:rightChars="0"/>
        <w:jc w:val="both"/>
        <w:textAlignment w:val="auto"/>
        <w:outlineLvl w:val="2"/>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5、投标人关联单位的说明（格式自拟）</w:t>
      </w:r>
    </w:p>
    <w:p w14:paraId="78380B39">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210" w:leftChars="100" w:right="126" w:rightChars="0" w:firstLine="0" w:firstLineChars="0"/>
        <w:jc w:val="both"/>
        <w:textAlignment w:val="auto"/>
        <w:outlineLvl w:val="2"/>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6、评分标准和细则中商务部分证明材料（格式自拟）</w:t>
      </w:r>
    </w:p>
    <w:p w14:paraId="380A4E23">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after="0" w:line="240" w:lineRule="auto"/>
        <w:ind w:left="0" w:leftChars="0" w:right="0" w:rightChars="0" w:firstLine="210" w:firstLineChars="100"/>
        <w:jc w:val="both"/>
        <w:textAlignment w:val="auto"/>
        <w:outlineLvl w:val="2"/>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7、评分标准和细则中技术部分证明材料（格式自拟）</w:t>
      </w:r>
    </w:p>
    <w:p w14:paraId="6C188DF0">
      <w:pPr>
        <w:keepNext w:val="0"/>
        <w:keepLines w:val="0"/>
        <w:widowControl w:val="0"/>
        <w:suppressLineNumbers w:val="0"/>
        <w:spacing w:before="0" w:beforeAutospacing="0" w:after="0" w:afterAutospacing="0"/>
        <w:ind w:left="210" w:leftChars="100" w:right="0"/>
        <w:jc w:val="both"/>
        <w:outlineLvl w:val="2"/>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8、投标人认为有必要提供的其他证明材料（格式自拟）</w:t>
      </w:r>
    </w:p>
    <w:p w14:paraId="2124F34A">
      <w:pPr>
        <w:spacing w:line="400" w:lineRule="exact"/>
        <w:ind w:firstLine="417" w:firstLineChars="199"/>
        <w:outlineLvl w:val="9"/>
        <w:rPr>
          <w:rFonts w:hint="eastAsia" w:ascii="仿宋" w:hAnsi="仿宋" w:eastAsia="仿宋" w:cs="仿宋"/>
          <w:b/>
          <w:kern w:val="0"/>
          <w:szCs w:val="21"/>
          <w:highlight w:val="none"/>
          <w:u w:val="single"/>
          <w:lang w:eastAsia="zh-CN"/>
        </w:rPr>
      </w:pPr>
      <w:r>
        <w:rPr>
          <w:rFonts w:hint="eastAsia" w:ascii="仿宋" w:hAnsi="仿宋" w:eastAsia="仿宋" w:cs="仿宋"/>
          <w:b/>
          <w:kern w:val="0"/>
          <w:szCs w:val="21"/>
          <w:highlight w:val="none"/>
          <w:u w:val="single"/>
        </w:rPr>
        <w:t>注：以上材料须</w:t>
      </w:r>
      <w:r>
        <w:rPr>
          <w:rFonts w:hint="eastAsia" w:ascii="仿宋" w:hAnsi="仿宋" w:eastAsia="仿宋" w:cs="仿宋"/>
          <w:b/>
          <w:kern w:val="0"/>
          <w:szCs w:val="21"/>
          <w:highlight w:val="none"/>
          <w:u w:val="single"/>
          <w:lang w:eastAsia="zh-CN"/>
        </w:rPr>
        <w:t>逐页</w:t>
      </w:r>
      <w:r>
        <w:rPr>
          <w:rFonts w:hint="eastAsia" w:ascii="仿宋" w:hAnsi="仿宋" w:eastAsia="仿宋" w:cs="仿宋"/>
          <w:b/>
          <w:kern w:val="0"/>
          <w:szCs w:val="21"/>
          <w:highlight w:val="none"/>
          <w:u w:val="single"/>
        </w:rPr>
        <w:t>加盖单位公章</w:t>
      </w:r>
      <w:r>
        <w:rPr>
          <w:rFonts w:hint="eastAsia" w:ascii="仿宋" w:hAnsi="仿宋" w:eastAsia="仿宋" w:cs="仿宋"/>
          <w:b/>
          <w:kern w:val="0"/>
          <w:szCs w:val="21"/>
          <w:highlight w:val="none"/>
          <w:u w:val="single"/>
          <w:lang w:eastAsia="zh-CN"/>
        </w:rPr>
        <w:t>。</w:t>
      </w:r>
    </w:p>
    <w:p w14:paraId="548C72C1">
      <w:pPr>
        <w:spacing w:line="400" w:lineRule="exact"/>
        <w:ind w:firstLine="417" w:firstLineChars="199"/>
        <w:outlineLvl w:val="3"/>
        <w:rPr>
          <w:rFonts w:hint="eastAsia" w:ascii="仿宋" w:hAnsi="仿宋" w:eastAsia="仿宋" w:cs="仿宋"/>
          <w:b/>
          <w:bCs/>
          <w:szCs w:val="21"/>
          <w:highlight w:val="none"/>
        </w:rPr>
      </w:pPr>
      <w:r>
        <w:rPr>
          <w:rFonts w:hint="eastAsia" w:ascii="仿宋" w:hAnsi="仿宋" w:eastAsia="仿宋" w:cs="仿宋"/>
          <w:b/>
          <w:bCs/>
          <w:szCs w:val="21"/>
          <w:highlight w:val="none"/>
        </w:rPr>
        <w:t>21.投标文件的要求</w:t>
      </w:r>
    </w:p>
    <w:p w14:paraId="39E4CFB0">
      <w:pPr>
        <w:spacing w:line="400" w:lineRule="exact"/>
        <w:ind w:firstLine="417" w:firstLineChars="199"/>
        <w:rPr>
          <w:rFonts w:hint="eastAsia" w:ascii="仿宋" w:hAnsi="仿宋" w:eastAsia="仿宋" w:cs="仿宋"/>
          <w:szCs w:val="21"/>
          <w:highlight w:val="none"/>
        </w:rPr>
      </w:pPr>
      <w:r>
        <w:rPr>
          <w:rFonts w:hint="eastAsia" w:ascii="仿宋" w:hAnsi="仿宋" w:eastAsia="仿宋" w:cs="仿宋"/>
          <w:szCs w:val="21"/>
          <w:highlight w:val="none"/>
        </w:rPr>
        <w:t>（1）供应商应仔细阅读采购文件的所有内容，按照采购文件的要求详细编制投标文件，所提交的全部资料必须真实有效，并且要保证字迹清晰易于辨认。投标文件应对采购文件实质性内容作出响应，否则按无效标处理。</w:t>
      </w:r>
    </w:p>
    <w:p w14:paraId="0FA77048">
      <w:pPr>
        <w:spacing w:line="400" w:lineRule="exact"/>
        <w:ind w:firstLine="417" w:firstLineChars="199"/>
        <w:rPr>
          <w:rFonts w:hint="eastAsia" w:ascii="仿宋" w:hAnsi="仿宋" w:eastAsia="仿宋" w:cs="仿宋"/>
          <w:szCs w:val="21"/>
          <w:highlight w:val="none"/>
        </w:rPr>
      </w:pPr>
      <w:r>
        <w:rPr>
          <w:rFonts w:hint="eastAsia" w:ascii="仿宋" w:hAnsi="仿宋" w:eastAsia="仿宋" w:cs="仿宋"/>
          <w:szCs w:val="21"/>
          <w:highlight w:val="none"/>
        </w:rPr>
        <w:t>（2）投标文件格式应按本采购文件第六章格式要求编制，不得对采购文件格式进行增删更改，否则按无效标处理。</w:t>
      </w:r>
    </w:p>
    <w:p w14:paraId="6E330C42">
      <w:pPr>
        <w:spacing w:line="400" w:lineRule="exact"/>
        <w:ind w:firstLine="417" w:firstLineChars="199"/>
        <w:rPr>
          <w:rFonts w:hint="eastAsia" w:ascii="仿宋" w:hAnsi="仿宋" w:eastAsia="仿宋" w:cs="仿宋"/>
          <w:szCs w:val="21"/>
          <w:highlight w:val="none"/>
        </w:rPr>
      </w:pPr>
      <w:r>
        <w:rPr>
          <w:rFonts w:hint="eastAsia" w:ascii="仿宋" w:hAnsi="仿宋" w:eastAsia="仿宋" w:cs="仿宋"/>
          <w:szCs w:val="21"/>
          <w:highlight w:val="none"/>
        </w:rPr>
        <w:t xml:space="preserve">（3）对采购文件格式可更改的例外情况：采购文件第六章附件格式要求中明确规定表格中行数不够用时可按相同格式增加行数，其他一切内容和格式不得更改。 </w:t>
      </w:r>
    </w:p>
    <w:p w14:paraId="78D07640">
      <w:pPr>
        <w:spacing w:line="400" w:lineRule="exact"/>
        <w:ind w:firstLine="417" w:firstLineChars="199"/>
        <w:rPr>
          <w:rFonts w:hint="eastAsia" w:ascii="仿宋" w:hAnsi="仿宋" w:eastAsia="仿宋" w:cs="仿宋"/>
          <w:szCs w:val="21"/>
          <w:highlight w:val="none"/>
        </w:rPr>
      </w:pPr>
      <w:r>
        <w:rPr>
          <w:rFonts w:hint="eastAsia" w:ascii="仿宋" w:hAnsi="仿宋" w:eastAsia="仿宋" w:cs="仿宋"/>
          <w:szCs w:val="21"/>
          <w:highlight w:val="none"/>
        </w:rPr>
        <w:t>（4）投标文件为电子投标文件，电子投标文件按“政采云供应商项目采购-电子招投标操作指南”及本采购文件要求制作、加密传输。</w:t>
      </w:r>
    </w:p>
    <w:p w14:paraId="6BE59924">
      <w:pPr>
        <w:spacing w:line="400" w:lineRule="exact"/>
        <w:ind w:firstLine="417" w:firstLineChars="199"/>
        <w:rPr>
          <w:rFonts w:hint="eastAsia" w:ascii="仿宋" w:hAnsi="仿宋" w:eastAsia="仿宋" w:cs="仿宋"/>
          <w:szCs w:val="21"/>
          <w:highlight w:val="none"/>
        </w:rPr>
      </w:pPr>
      <w:r>
        <w:rPr>
          <w:rFonts w:hint="eastAsia" w:ascii="仿宋" w:hAnsi="仿宋" w:eastAsia="仿宋" w:cs="仿宋"/>
          <w:szCs w:val="21"/>
          <w:highlight w:val="none"/>
        </w:rPr>
        <w:t>（5）投标文件未在投标截止时间前完成传输的，视为投标文件撤回；投标文件未按时解密也未提供备份投标文件的，亦视为投标文件撤回。</w:t>
      </w:r>
    </w:p>
    <w:p w14:paraId="4DFF2C2D">
      <w:pPr>
        <w:spacing w:line="440" w:lineRule="exact"/>
        <w:ind w:firstLine="420" w:firstLineChars="200"/>
        <w:outlineLvl w:val="3"/>
        <w:rPr>
          <w:rFonts w:hint="eastAsia" w:ascii="仿宋" w:hAnsi="仿宋" w:eastAsia="仿宋" w:cs="仿宋"/>
          <w:szCs w:val="21"/>
          <w:highlight w:val="none"/>
        </w:rPr>
      </w:pPr>
      <w:r>
        <w:rPr>
          <w:rFonts w:hint="eastAsia" w:ascii="仿宋" w:hAnsi="仿宋" w:eastAsia="仿宋" w:cs="仿宋"/>
          <w:b/>
          <w:szCs w:val="21"/>
          <w:highlight w:val="none"/>
        </w:rPr>
        <w:t>22</w:t>
      </w:r>
      <w:r>
        <w:rPr>
          <w:rFonts w:hint="eastAsia" w:ascii="仿宋" w:hAnsi="仿宋" w:eastAsia="仿宋" w:cs="仿宋"/>
          <w:szCs w:val="21"/>
          <w:highlight w:val="none"/>
        </w:rPr>
        <w:t>.</w:t>
      </w:r>
      <w:r>
        <w:rPr>
          <w:rFonts w:hint="eastAsia" w:ascii="仿宋" w:hAnsi="仿宋" w:eastAsia="仿宋" w:cs="仿宋"/>
          <w:b/>
          <w:szCs w:val="21"/>
          <w:highlight w:val="none"/>
        </w:rPr>
        <w:t>磋商报价</w:t>
      </w:r>
    </w:p>
    <w:p w14:paraId="6D0BE6F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lang w:val="en-US" w:eastAsia="zh-CN"/>
        </w:rPr>
        <w:t>22.</w:t>
      </w:r>
      <w:r>
        <w:rPr>
          <w:rFonts w:hint="eastAsia" w:ascii="仿宋" w:hAnsi="仿宋" w:eastAsia="仿宋" w:cs="仿宋"/>
          <w:szCs w:val="21"/>
          <w:highlight w:val="none"/>
        </w:rPr>
        <w:t>1本项目报价为分次报价，供应商</w:t>
      </w:r>
      <w:r>
        <w:rPr>
          <w:rFonts w:hint="eastAsia" w:ascii="仿宋" w:hAnsi="仿宋" w:eastAsia="仿宋" w:cs="仿宋"/>
          <w:szCs w:val="21"/>
          <w:highlight w:val="none"/>
          <w:lang w:eastAsia="zh-CN"/>
        </w:rPr>
        <w:t>投标文件</w:t>
      </w:r>
      <w:r>
        <w:rPr>
          <w:rFonts w:hint="eastAsia" w:ascii="仿宋" w:hAnsi="仿宋" w:eastAsia="仿宋" w:cs="仿宋"/>
          <w:szCs w:val="21"/>
          <w:highlight w:val="none"/>
        </w:rPr>
        <w:t>中的报价作为第一次报价；以最终竞争性磋商报价作为评审价。</w:t>
      </w:r>
    </w:p>
    <w:p w14:paraId="1E2E227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lang w:val="en-US" w:eastAsia="zh-CN"/>
        </w:rPr>
        <w:t>22.</w:t>
      </w:r>
      <w:r>
        <w:rPr>
          <w:rFonts w:hint="eastAsia" w:ascii="仿宋" w:hAnsi="仿宋" w:eastAsia="仿宋" w:cs="仿宋"/>
          <w:szCs w:val="21"/>
          <w:highlight w:val="none"/>
        </w:rPr>
        <w:t>2凡要求供应商考虑在报价中的内容供应商在</w:t>
      </w:r>
      <w:r>
        <w:rPr>
          <w:rFonts w:hint="eastAsia" w:ascii="仿宋" w:hAnsi="仿宋" w:eastAsia="仿宋" w:cs="仿宋"/>
          <w:szCs w:val="21"/>
          <w:highlight w:val="none"/>
          <w:lang w:eastAsia="zh-CN"/>
        </w:rPr>
        <w:t>投标文件</w:t>
      </w:r>
      <w:r>
        <w:rPr>
          <w:rFonts w:hint="eastAsia" w:ascii="仿宋" w:hAnsi="仿宋" w:eastAsia="仿宋" w:cs="仿宋"/>
          <w:szCs w:val="21"/>
          <w:highlight w:val="none"/>
        </w:rPr>
        <w:t>中没有考虑、没有计入的或未单独列出，采购人认为供应商已将此项费用涵盖在其它费用价格中。</w:t>
      </w:r>
    </w:p>
    <w:p w14:paraId="233A853B">
      <w:pPr>
        <w:spacing w:line="440" w:lineRule="exact"/>
        <w:ind w:firstLine="420" w:firstLineChars="200"/>
        <w:outlineLvl w:val="9"/>
        <w:rPr>
          <w:rFonts w:hint="eastAsia" w:ascii="仿宋" w:hAnsi="仿宋" w:eastAsia="仿宋" w:cs="仿宋"/>
          <w:szCs w:val="21"/>
          <w:highlight w:val="none"/>
        </w:rPr>
      </w:pPr>
      <w:r>
        <w:rPr>
          <w:rFonts w:hint="eastAsia" w:ascii="仿宋" w:hAnsi="仿宋" w:eastAsia="仿宋" w:cs="仿宋"/>
          <w:szCs w:val="21"/>
          <w:highlight w:val="none"/>
          <w:lang w:val="en-US" w:eastAsia="zh-CN"/>
        </w:rPr>
        <w:t>22.</w:t>
      </w:r>
      <w:r>
        <w:rPr>
          <w:rFonts w:hint="eastAsia" w:ascii="仿宋" w:hAnsi="仿宋" w:eastAsia="仿宋" w:cs="仿宋"/>
          <w:szCs w:val="21"/>
          <w:highlight w:val="none"/>
        </w:rPr>
        <w:t>3报价注意事项：</w:t>
      </w:r>
    </w:p>
    <w:p w14:paraId="154CE820">
      <w:pPr>
        <w:spacing w:line="440" w:lineRule="exact"/>
        <w:ind w:firstLine="420" w:firstLineChars="200"/>
        <w:rPr>
          <w:rFonts w:hint="eastAsia" w:ascii="仿宋" w:hAnsi="仿宋" w:eastAsia="仿宋" w:cs="仿宋"/>
          <w:szCs w:val="21"/>
          <w:highlight w:val="yellow"/>
        </w:rPr>
      </w:pPr>
      <w:r>
        <w:rPr>
          <w:rFonts w:hint="eastAsia" w:ascii="仿宋" w:hAnsi="仿宋" w:eastAsia="仿宋" w:cs="仿宋"/>
          <w:szCs w:val="21"/>
          <w:highlight w:val="none"/>
        </w:rPr>
        <w:t>（1）</w:t>
      </w:r>
      <w:r>
        <w:rPr>
          <w:rFonts w:hint="eastAsia" w:ascii="仿宋" w:hAnsi="仿宋" w:eastAsia="仿宋" w:cs="仿宋"/>
          <w:szCs w:val="21"/>
        </w:rPr>
        <w:t>投标报价文件中的单价和总价全部采用人民币表示</w:t>
      </w:r>
      <w:r>
        <w:rPr>
          <w:rFonts w:hint="eastAsia" w:ascii="仿宋" w:hAnsi="仿宋" w:eastAsia="仿宋" w:cs="仿宋"/>
          <w:szCs w:val="21"/>
          <w:highlight w:val="none"/>
        </w:rPr>
        <w:t>；</w:t>
      </w:r>
    </w:p>
    <w:p w14:paraId="6B9DB942">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（2）供应商报价时应充分考虑所有可能影响到报价的报价因素，一旦招标结束最终成交，总价将固定，不予调整。如发生漏、缺、少项，都将被认为是成交人的报价让利行为，损失自负。</w:t>
      </w:r>
    </w:p>
    <w:p w14:paraId="310F64D4">
      <w:pPr>
        <w:spacing w:line="440" w:lineRule="exact"/>
        <w:ind w:firstLine="420" w:firstLineChars="200"/>
        <w:outlineLvl w:val="3"/>
        <w:rPr>
          <w:rFonts w:hint="eastAsia" w:ascii="仿宋" w:hAnsi="仿宋" w:eastAsia="仿宋" w:cs="仿宋"/>
          <w:b/>
          <w:szCs w:val="21"/>
          <w:highlight w:val="none"/>
        </w:rPr>
      </w:pPr>
      <w:r>
        <w:rPr>
          <w:rFonts w:hint="eastAsia" w:ascii="仿宋" w:hAnsi="仿宋" w:eastAsia="仿宋" w:cs="仿宋"/>
          <w:b/>
          <w:szCs w:val="21"/>
          <w:highlight w:val="none"/>
        </w:rPr>
        <w:t>23. 投标有效期</w:t>
      </w:r>
    </w:p>
    <w:p w14:paraId="57F13F52">
      <w:pPr>
        <w:spacing w:line="440" w:lineRule="exact"/>
        <w:ind w:firstLine="420" w:firstLineChars="200"/>
        <w:outlineLvl w:val="9"/>
        <w:rPr>
          <w:rFonts w:hint="eastAsia" w:ascii="仿宋" w:hAnsi="仿宋" w:eastAsia="仿宋" w:cs="仿宋"/>
          <w:szCs w:val="21"/>
          <w:highlight w:val="none"/>
        </w:rPr>
      </w:pPr>
      <w:r>
        <w:rPr>
          <w:rFonts w:hint="eastAsia" w:ascii="仿宋" w:hAnsi="仿宋" w:eastAsia="仿宋" w:cs="仿宋"/>
          <w:szCs w:val="21"/>
          <w:highlight w:val="none"/>
        </w:rPr>
        <w:t>23.1 除投标人须知前附表另有规定外，投标有效期为60天。</w:t>
      </w:r>
    </w:p>
    <w:p w14:paraId="084E1F2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23.2在投标有效期内，投标人撤销或修改其投标文件的，应承担采购文件和法律规定的责任。</w:t>
      </w:r>
    </w:p>
    <w:p w14:paraId="2EF42EB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496279A0">
      <w:pPr>
        <w:spacing w:line="440" w:lineRule="exact"/>
        <w:ind w:firstLine="403" w:firstLineChars="192"/>
        <w:outlineLvl w:val="3"/>
        <w:rPr>
          <w:rFonts w:hint="eastAsia" w:ascii="仿宋" w:hAnsi="仿宋" w:eastAsia="仿宋" w:cs="仿宋"/>
          <w:b/>
          <w:szCs w:val="21"/>
          <w:highlight w:val="none"/>
        </w:rPr>
      </w:pPr>
      <w:r>
        <w:rPr>
          <w:rFonts w:hint="eastAsia" w:ascii="仿宋" w:hAnsi="仿宋" w:eastAsia="仿宋" w:cs="仿宋"/>
          <w:b/>
          <w:szCs w:val="21"/>
          <w:highlight w:val="none"/>
        </w:rPr>
        <w:t>24. 投标保证金</w:t>
      </w:r>
    </w:p>
    <w:p w14:paraId="13B138C2">
      <w:pPr>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24.1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14:paraId="25FFE787">
      <w:pPr>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24.2自中标通知书发出之日起5个工作日内退还未中标投标人的投标保证金，自政府采购合同签订之日起5个工作日内退还中标人的投标保证金。</w:t>
      </w:r>
    </w:p>
    <w:p w14:paraId="099428E6">
      <w:pPr>
        <w:spacing w:line="400" w:lineRule="exact"/>
        <w:ind w:firstLine="420" w:firstLineChars="200"/>
        <w:outlineLvl w:val="9"/>
        <w:rPr>
          <w:rFonts w:hint="eastAsia" w:ascii="仿宋" w:hAnsi="仿宋" w:eastAsia="仿宋" w:cs="仿宋"/>
          <w:szCs w:val="21"/>
          <w:highlight w:val="none"/>
        </w:rPr>
      </w:pPr>
      <w:r>
        <w:rPr>
          <w:rFonts w:hint="eastAsia" w:ascii="仿宋" w:hAnsi="仿宋" w:eastAsia="仿宋" w:cs="仿宋"/>
          <w:szCs w:val="21"/>
          <w:highlight w:val="none"/>
        </w:rPr>
        <w:t xml:space="preserve">24.3有下列情形之一的，投标保证金将不予退还： </w:t>
      </w:r>
    </w:p>
    <w:p w14:paraId="38D82006">
      <w:pPr>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（1）投标人在规定的投标有效期内撤回或修改其投标文件；</w:t>
      </w:r>
    </w:p>
    <w:p w14:paraId="19DB8957">
      <w:pPr>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（2）成交通知书发出后三十天内，中标人无正当理由拒签合同协议书或未按采购文件规定提交履约担保。</w:t>
      </w:r>
    </w:p>
    <w:p w14:paraId="5694A426">
      <w:pPr>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（3）提供虚假材料谋取中标的；</w:t>
      </w:r>
    </w:p>
    <w:p w14:paraId="62E85455">
      <w:pPr>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（4）经查实属于陪标、串通投标的等。</w:t>
      </w:r>
    </w:p>
    <w:p w14:paraId="51DFCDEC">
      <w:pPr>
        <w:spacing w:line="400" w:lineRule="exact"/>
        <w:ind w:firstLine="420" w:firstLineChars="200"/>
        <w:outlineLvl w:val="9"/>
        <w:rPr>
          <w:rFonts w:hint="eastAsia" w:ascii="仿宋" w:hAnsi="仿宋" w:eastAsia="仿宋" w:cs="仿宋"/>
          <w:szCs w:val="21"/>
          <w:highlight w:val="none"/>
        </w:rPr>
      </w:pPr>
      <w:bookmarkStart w:id="56" w:name="_Toc469495727"/>
      <w:r>
        <w:rPr>
          <w:rFonts w:hint="eastAsia" w:ascii="仿宋" w:hAnsi="仿宋" w:eastAsia="仿宋" w:cs="仿宋"/>
          <w:szCs w:val="21"/>
          <w:highlight w:val="none"/>
        </w:rPr>
        <w:t>24.4投标保证金按投标人须知前附表第</w:t>
      </w:r>
      <w:r>
        <w:rPr>
          <w:rFonts w:hint="eastAsia" w:ascii="仿宋" w:hAnsi="仿宋" w:eastAsia="仿宋" w:cs="仿宋"/>
          <w:szCs w:val="21"/>
          <w:highlight w:val="none"/>
          <w:lang w:val="en-US" w:eastAsia="zh-CN"/>
        </w:rPr>
        <w:t>17</w:t>
      </w:r>
      <w:r>
        <w:rPr>
          <w:rFonts w:hint="eastAsia" w:ascii="仿宋" w:hAnsi="仿宋" w:eastAsia="仿宋" w:cs="仿宋"/>
          <w:szCs w:val="21"/>
          <w:highlight w:val="none"/>
        </w:rPr>
        <w:t>条规定执行。</w:t>
      </w:r>
    </w:p>
    <w:p w14:paraId="18DE3748">
      <w:pPr>
        <w:pStyle w:val="2"/>
        <w:jc w:val="center"/>
        <w:outlineLvl w:val="2"/>
        <w:rPr>
          <w:rFonts w:hint="eastAsia" w:ascii="仿宋" w:hAnsi="仿宋" w:eastAsia="仿宋" w:cs="仿宋"/>
          <w:sz w:val="28"/>
          <w:szCs w:val="28"/>
          <w:highlight w:val="none"/>
        </w:rPr>
      </w:pPr>
      <w:bookmarkStart w:id="57" w:name="_Toc15322"/>
      <w:bookmarkStart w:id="58" w:name="_Toc859"/>
      <w:r>
        <w:rPr>
          <w:rFonts w:hint="eastAsia" w:ascii="仿宋" w:hAnsi="仿宋" w:eastAsia="仿宋" w:cs="仿宋"/>
          <w:sz w:val="28"/>
          <w:szCs w:val="28"/>
          <w:highlight w:val="none"/>
        </w:rPr>
        <w:t>（四）</w:t>
      </w:r>
      <w:bookmarkEnd w:id="56"/>
      <w:r>
        <w:rPr>
          <w:rFonts w:hint="eastAsia" w:ascii="仿宋" w:hAnsi="仿宋" w:eastAsia="仿宋" w:cs="仿宋"/>
          <w:sz w:val="28"/>
          <w:szCs w:val="28"/>
          <w:highlight w:val="none"/>
        </w:rPr>
        <w:t>投标文件的制作、上传及递交要求</w:t>
      </w:r>
      <w:bookmarkEnd w:id="57"/>
      <w:bookmarkEnd w:id="58"/>
    </w:p>
    <w:p w14:paraId="07BE71FF">
      <w:pPr>
        <w:snapToGrid w:val="0"/>
        <w:spacing w:line="360" w:lineRule="auto"/>
        <w:ind w:firstLine="420" w:firstLineChars="200"/>
        <w:outlineLvl w:val="3"/>
        <w:rPr>
          <w:rFonts w:hint="eastAsia" w:ascii="仿宋" w:hAnsi="仿宋" w:eastAsia="仿宋" w:cs="仿宋"/>
          <w:b/>
          <w:szCs w:val="21"/>
          <w:highlight w:val="none"/>
        </w:rPr>
      </w:pPr>
      <w:r>
        <w:rPr>
          <w:rFonts w:hint="eastAsia" w:ascii="仿宋" w:hAnsi="仿宋" w:eastAsia="仿宋" w:cs="仿宋"/>
          <w:b/>
          <w:bCs/>
          <w:szCs w:val="21"/>
          <w:highlight w:val="none"/>
        </w:rPr>
        <w:t>25.投标文件的制作要求</w:t>
      </w:r>
    </w:p>
    <w:p w14:paraId="463D86B0">
      <w:pPr>
        <w:pStyle w:val="5"/>
        <w:snapToGrid w:val="0"/>
        <w:spacing w:line="360" w:lineRule="auto"/>
        <w:rPr>
          <w:rFonts w:hint="eastAsia" w:ascii="仿宋" w:hAnsi="仿宋" w:eastAsia="仿宋" w:cs="仿宋"/>
          <w:sz w:val="21"/>
          <w:szCs w:val="21"/>
          <w:highlight w:val="none"/>
        </w:rPr>
      </w:pPr>
      <w:r>
        <w:rPr>
          <w:rFonts w:hint="eastAsia" w:ascii="仿宋" w:hAnsi="仿宋" w:eastAsia="仿宋" w:cs="仿宋"/>
          <w:bCs/>
          <w:sz w:val="21"/>
          <w:szCs w:val="21"/>
          <w:highlight w:val="none"/>
        </w:rPr>
        <w:t>（1）供应商应按照投标文件组成内容及项目招标需求和新疆政府采购云平台要求制作投标文件，不按采购文件和新疆政府采购云平台要求制作投标文件的将视情况处理（拒收等），由此产生的责任由供应商自行承担。</w:t>
      </w:r>
    </w:p>
    <w:p w14:paraId="4FFAA862">
      <w:pPr>
        <w:pStyle w:val="5"/>
        <w:snapToGrid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bCs/>
          <w:sz w:val="21"/>
          <w:szCs w:val="21"/>
          <w:highlight w:val="none"/>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14:paraId="3E8A57B1">
      <w:pPr>
        <w:pStyle w:val="5"/>
        <w:snapToGrid w:val="0"/>
        <w:spacing w:line="360" w:lineRule="auto"/>
        <w:ind w:firstLine="420" w:firstLineChars="200"/>
        <w:rPr>
          <w:rFonts w:hint="eastAsia" w:ascii="仿宋" w:hAnsi="仿宋" w:eastAsia="仿宋" w:cs="仿宋"/>
          <w:bCs/>
          <w:sz w:val="21"/>
          <w:szCs w:val="21"/>
          <w:highlight w:val="none"/>
        </w:rPr>
      </w:pPr>
      <w:r>
        <w:rPr>
          <w:rFonts w:hint="eastAsia" w:ascii="仿宋" w:hAnsi="仿宋" w:eastAsia="仿宋" w:cs="仿宋"/>
          <w:bCs/>
          <w:sz w:val="21"/>
          <w:szCs w:val="21"/>
          <w:highlight w:val="none"/>
        </w:rPr>
        <w:t>备份电子投标文件：通过“政采云”平台电子投标工具制作投标文件所产生的备份文件。</w:t>
      </w:r>
    </w:p>
    <w:p w14:paraId="22285A17">
      <w:pPr>
        <w:pStyle w:val="5"/>
        <w:snapToGrid w:val="0"/>
        <w:spacing w:line="360" w:lineRule="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（2）供应商应对所提供的全部资料的真实性、有效性承担法律责任，电子投标文件中所须加盖公章部分均采用CA签章。</w:t>
      </w:r>
    </w:p>
    <w:p w14:paraId="2A039DD3">
      <w:pPr>
        <w:pStyle w:val="5"/>
        <w:snapToGrid w:val="0"/>
        <w:spacing w:line="360" w:lineRule="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（3）投标文件以及供应商与采购组织机构就有关投标事宜的所有来往函电，均应以中文汉语书写。除签字、盖章、专用名称等特殊情形外，以中文汉语以外的文字表述的投标文件视同未提供。</w:t>
      </w:r>
    </w:p>
    <w:p w14:paraId="26A1915C">
      <w:pPr>
        <w:pStyle w:val="5"/>
        <w:snapToGrid w:val="0"/>
        <w:spacing w:line="360" w:lineRule="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（4）投标计量单位，采购文件已有明确规定的，使用采购文件规定的计量单位；采购文件没有规定的，应采用中华人民共和国法定计量单位（货币单位：人民币元）。</w:t>
      </w:r>
    </w:p>
    <w:p w14:paraId="527BFA29">
      <w:pPr>
        <w:pStyle w:val="5"/>
        <w:snapToGrid w:val="0"/>
        <w:spacing w:line="360" w:lineRule="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（5）若供应商不按采购文件的要求提供资格审查材料，其风险由供应商自行承担。</w:t>
      </w:r>
    </w:p>
    <w:p w14:paraId="4574C6A1">
      <w:pPr>
        <w:pStyle w:val="5"/>
        <w:snapToGrid w:val="0"/>
        <w:spacing w:line="360" w:lineRule="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（6）与本次投标无关的内容请不要制作在内，确保投标文件有针对性、简洁明了。</w:t>
      </w:r>
    </w:p>
    <w:p w14:paraId="053D213C">
      <w:pPr>
        <w:snapToGrid w:val="0"/>
        <w:spacing w:line="360" w:lineRule="auto"/>
        <w:ind w:firstLine="420" w:firstLineChars="200"/>
        <w:outlineLvl w:val="3"/>
        <w:rPr>
          <w:rFonts w:hint="eastAsia" w:ascii="仿宋" w:hAnsi="仿宋" w:eastAsia="仿宋" w:cs="仿宋"/>
          <w:b/>
          <w:szCs w:val="21"/>
          <w:highlight w:val="none"/>
        </w:rPr>
      </w:pPr>
      <w:r>
        <w:rPr>
          <w:rFonts w:hint="eastAsia" w:ascii="仿宋" w:hAnsi="仿宋" w:eastAsia="仿宋" w:cs="仿宋"/>
          <w:b/>
          <w:bCs/>
          <w:szCs w:val="21"/>
          <w:highlight w:val="none"/>
        </w:rPr>
        <w:t>26.投标文件的上传</w:t>
      </w:r>
    </w:p>
    <w:p w14:paraId="0DC46C1D">
      <w:pPr>
        <w:pStyle w:val="5"/>
        <w:snapToGrid w:val="0"/>
        <w:spacing w:line="360" w:lineRule="auto"/>
        <w:outlineLvl w:val="9"/>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（1）</w:t>
      </w:r>
      <w:r>
        <w:rPr>
          <w:rFonts w:hint="eastAsia" w:ascii="仿宋" w:hAnsi="仿宋" w:eastAsia="仿宋" w:cs="仿宋"/>
          <w:b/>
          <w:bCs/>
          <w:sz w:val="21"/>
          <w:szCs w:val="21"/>
          <w:highlight w:val="none"/>
          <w:lang w:bidi="zh-CN"/>
        </w:rPr>
        <w:t>电子加密投标文件（“.jmbs”格式）</w:t>
      </w:r>
      <w:r>
        <w:rPr>
          <w:rFonts w:hint="eastAsia" w:ascii="仿宋" w:hAnsi="仿宋" w:eastAsia="仿宋" w:cs="仿宋"/>
          <w:b/>
          <w:bCs/>
          <w:sz w:val="21"/>
          <w:szCs w:val="21"/>
          <w:highlight w:val="none"/>
        </w:rPr>
        <w:t>：</w:t>
      </w:r>
    </w:p>
    <w:p w14:paraId="727A95A4">
      <w:pPr>
        <w:pStyle w:val="5"/>
        <w:snapToGrid w:val="0"/>
        <w:spacing w:line="360" w:lineRule="auto"/>
        <w:ind w:firstLine="525" w:firstLineChars="250"/>
        <w:rPr>
          <w:rFonts w:hint="eastAsia" w:ascii="仿宋" w:hAnsi="仿宋" w:eastAsia="仿宋" w:cs="仿宋"/>
          <w:bCs/>
          <w:sz w:val="21"/>
          <w:szCs w:val="21"/>
          <w:highlight w:val="none"/>
          <w:lang w:bidi="zh-CN"/>
        </w:rPr>
      </w:pPr>
      <w:r>
        <w:rPr>
          <w:rFonts w:hint="eastAsia" w:ascii="仿宋" w:hAnsi="仿宋" w:eastAsia="仿宋" w:cs="仿宋"/>
          <w:bCs/>
          <w:sz w:val="21"/>
          <w:szCs w:val="21"/>
          <w:highlight w:val="none"/>
          <w:lang w:bidi="zh-CN"/>
        </w:rPr>
        <w:t>a.</w:t>
      </w:r>
      <w:r>
        <w:rPr>
          <w:rFonts w:hint="eastAsia" w:ascii="仿宋" w:hAnsi="仿宋" w:eastAsia="仿宋" w:cs="仿宋"/>
          <w:bCs/>
          <w:sz w:val="21"/>
          <w:szCs w:val="21"/>
          <w:highlight w:val="none"/>
        </w:rPr>
        <w:t xml:space="preserve"> </w:t>
      </w:r>
      <w:r>
        <w:rPr>
          <w:rFonts w:hint="eastAsia" w:ascii="仿宋" w:hAnsi="仿宋" w:eastAsia="仿宋" w:cs="仿宋"/>
          <w:bCs/>
          <w:sz w:val="21"/>
          <w:szCs w:val="21"/>
          <w:highlight w:val="none"/>
          <w:lang w:bidi="zh-CN"/>
        </w:rPr>
        <w:t>供应商应在投标截止时间前将电子加密投标文件成功上传递交至新疆政府采购云平台，否则投标无效；</w:t>
      </w:r>
    </w:p>
    <w:p w14:paraId="7BA261A5">
      <w:pPr>
        <w:pStyle w:val="5"/>
        <w:snapToGrid w:val="0"/>
        <w:spacing w:line="360" w:lineRule="auto"/>
        <w:ind w:firstLine="525" w:firstLineChars="250"/>
        <w:rPr>
          <w:rFonts w:hint="eastAsia" w:ascii="仿宋" w:hAnsi="仿宋" w:eastAsia="仿宋" w:cs="仿宋"/>
          <w:bCs/>
          <w:sz w:val="21"/>
          <w:szCs w:val="21"/>
          <w:highlight w:val="none"/>
        </w:rPr>
      </w:pPr>
      <w:r>
        <w:rPr>
          <w:rFonts w:hint="eastAsia" w:ascii="仿宋" w:hAnsi="仿宋" w:eastAsia="仿宋" w:cs="仿宋"/>
          <w:bCs/>
          <w:sz w:val="21"/>
          <w:szCs w:val="21"/>
          <w:highlight w:val="none"/>
          <w:lang w:bidi="zh-CN"/>
        </w:rPr>
        <w:t>b.供应商成功上传电子加密投标文件后，可自行打印投标文件接收回执。</w:t>
      </w:r>
    </w:p>
    <w:p w14:paraId="5932A020">
      <w:pPr>
        <w:pStyle w:val="5"/>
        <w:snapToGrid w:val="0"/>
        <w:spacing w:line="360" w:lineRule="auto"/>
        <w:outlineLvl w:val="9"/>
        <w:rPr>
          <w:rFonts w:hint="eastAsia" w:ascii="仿宋" w:hAnsi="仿宋" w:eastAsia="仿宋" w:cs="仿宋"/>
          <w:b/>
          <w:bCs/>
          <w:sz w:val="21"/>
          <w:szCs w:val="21"/>
          <w:highlight w:val="none"/>
          <w:lang w:bidi="zh-CN"/>
        </w:rPr>
      </w:pPr>
      <w:r>
        <w:rPr>
          <w:rFonts w:hint="eastAsia" w:ascii="仿宋" w:hAnsi="仿宋" w:eastAsia="仿宋" w:cs="仿宋"/>
          <w:b/>
          <w:bCs/>
          <w:sz w:val="21"/>
          <w:szCs w:val="21"/>
          <w:highlight w:val="none"/>
        </w:rPr>
        <w:t>（2）</w:t>
      </w:r>
      <w:r>
        <w:rPr>
          <w:rFonts w:hint="eastAsia" w:ascii="仿宋" w:hAnsi="仿宋" w:eastAsia="仿宋" w:cs="仿宋"/>
          <w:b/>
          <w:bCs/>
          <w:sz w:val="21"/>
          <w:szCs w:val="21"/>
          <w:highlight w:val="none"/>
          <w:lang w:bidi="zh-CN"/>
        </w:rPr>
        <w:t>备份投标文件（“.bfbs”格式）：</w:t>
      </w:r>
    </w:p>
    <w:p w14:paraId="4E0CE123">
      <w:pPr>
        <w:pStyle w:val="5"/>
        <w:snapToGrid w:val="0"/>
        <w:spacing w:line="360" w:lineRule="auto"/>
        <w:ind w:firstLine="525" w:firstLineChars="250"/>
        <w:rPr>
          <w:rFonts w:hint="eastAsia" w:ascii="仿宋" w:hAnsi="仿宋" w:eastAsia="仿宋" w:cs="仿宋"/>
          <w:color w:val="auto"/>
          <w:sz w:val="21"/>
          <w:szCs w:val="21"/>
          <w:highlight w:val="none"/>
          <w:lang w:bidi="zh-CN"/>
        </w:rPr>
      </w:pPr>
      <w:r>
        <w:rPr>
          <w:rFonts w:hint="eastAsia" w:ascii="仿宋" w:hAnsi="仿宋" w:eastAsia="仿宋" w:cs="仿宋"/>
          <w:bCs/>
          <w:sz w:val="21"/>
          <w:szCs w:val="21"/>
          <w:highlight w:val="none"/>
          <w:lang w:bidi="zh-CN"/>
        </w:rPr>
        <w:t>a.供应商可以将备份投标文件打包压缩并加密，压缩包命名为“XX单位备份投标文件”，加密密码由供应商自行保管；送达时间以采购代理机构实际接收时间为准。</w:t>
      </w:r>
      <w:r>
        <w:rPr>
          <w:rFonts w:hint="eastAsia" w:ascii="仿宋" w:hAnsi="仿宋" w:eastAsia="仿宋" w:cs="仿宋"/>
          <w:sz w:val="21"/>
          <w:szCs w:val="21"/>
          <w:highlight w:val="none"/>
          <w:lang w:bidi="zh-CN"/>
        </w:rPr>
        <w:t>“备份投标文件”以投标截止时间前指定接收邮箱最终收到的文件为准，逾期或未按要求提供的视为未提供，建议供应商提前1日办理邮件提</w:t>
      </w:r>
      <w:r>
        <w:rPr>
          <w:rFonts w:hint="eastAsia" w:ascii="仿宋" w:hAnsi="仿宋" w:eastAsia="仿宋" w:cs="仿宋"/>
          <w:color w:val="auto"/>
          <w:sz w:val="21"/>
          <w:szCs w:val="21"/>
          <w:highlight w:val="none"/>
          <w:lang w:bidi="zh-CN"/>
        </w:rPr>
        <w:t>供事宜</w:t>
      </w:r>
    </w:p>
    <w:p w14:paraId="08681956">
      <w:pPr>
        <w:pStyle w:val="5"/>
        <w:snapToGrid w:val="0"/>
        <w:spacing w:line="360" w:lineRule="auto"/>
        <w:ind w:firstLine="525" w:firstLineChars="250"/>
        <w:rPr>
          <w:rFonts w:hint="eastAsia" w:ascii="仿宋" w:hAnsi="仿宋" w:eastAsia="仿宋" w:cs="仿宋"/>
          <w:bCs/>
          <w:sz w:val="21"/>
          <w:szCs w:val="21"/>
          <w:highlight w:val="none"/>
          <w:lang w:bidi="zh-CN"/>
        </w:rPr>
      </w:pPr>
      <w:r>
        <w:rPr>
          <w:rFonts w:hint="eastAsia" w:ascii="仿宋" w:hAnsi="仿宋" w:eastAsia="仿宋" w:cs="仿宋"/>
          <w:bCs/>
          <w:sz w:val="21"/>
          <w:szCs w:val="21"/>
          <w:highlight w:val="none"/>
          <w:lang w:bidi="zh-CN"/>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14:paraId="49176AEF">
      <w:pPr>
        <w:snapToGrid w:val="0"/>
        <w:spacing w:line="360" w:lineRule="auto"/>
        <w:ind w:firstLine="420" w:firstLineChars="200"/>
        <w:outlineLvl w:val="3"/>
        <w:rPr>
          <w:rFonts w:hint="eastAsia" w:ascii="仿宋" w:hAnsi="仿宋" w:eastAsia="仿宋" w:cs="仿宋"/>
          <w:b/>
          <w:szCs w:val="21"/>
          <w:highlight w:val="none"/>
        </w:rPr>
      </w:pPr>
      <w:r>
        <w:rPr>
          <w:rFonts w:hint="eastAsia" w:ascii="仿宋" w:hAnsi="仿宋" w:eastAsia="仿宋" w:cs="仿宋"/>
          <w:b/>
          <w:bCs/>
          <w:szCs w:val="21"/>
          <w:highlight w:val="none"/>
        </w:rPr>
        <w:t>27.</w:t>
      </w:r>
      <w:r>
        <w:rPr>
          <w:rFonts w:hint="eastAsia" w:ascii="仿宋" w:hAnsi="仿宋" w:eastAsia="仿宋" w:cs="仿宋"/>
          <w:b/>
          <w:szCs w:val="21"/>
          <w:highlight w:val="none"/>
        </w:rPr>
        <w:t>投标文件的递交要求</w:t>
      </w:r>
    </w:p>
    <w:p w14:paraId="44B4ACD4">
      <w:pPr>
        <w:snapToGrid w:val="0"/>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（1）供应商须按照采购文件和政采云平台的要求编制并加密投标文件。在投标文件递交截止时间以前完成投标文件的传输递交，截止时间后递交的投标文件，将被拒收。</w:t>
      </w:r>
    </w:p>
    <w:p w14:paraId="224A4E3A">
      <w:pPr>
        <w:tabs>
          <w:tab w:val="left" w:pos="1418"/>
        </w:tabs>
        <w:autoSpaceDE w:val="0"/>
        <w:autoSpaceDN w:val="0"/>
        <w:adjustRightInd w:val="0"/>
        <w:snapToGrid w:val="0"/>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（2）备份电子投标文件必须在投标截止时间前送达指定的投标地点。备份电子投标文件在截止时间后提交，采购组织机构将拒绝接收。</w:t>
      </w:r>
    </w:p>
    <w:p w14:paraId="5B6B6904">
      <w:pPr>
        <w:tabs>
          <w:tab w:val="left" w:pos="1418"/>
        </w:tabs>
        <w:autoSpaceDE w:val="0"/>
        <w:autoSpaceDN w:val="0"/>
        <w:adjustRightInd w:val="0"/>
        <w:snapToGrid w:val="0"/>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（3）如有特殊情况，采购组织机构延长截止时间和开标时间，采购组织机构和供应商的权利和义务将受到新的截止时间和开标时间的约束。</w:t>
      </w:r>
    </w:p>
    <w:p w14:paraId="26E3210D">
      <w:pPr>
        <w:snapToGrid w:val="0"/>
        <w:spacing w:line="360" w:lineRule="auto"/>
        <w:ind w:firstLine="420" w:firstLineChars="200"/>
        <w:outlineLvl w:val="3"/>
        <w:rPr>
          <w:rFonts w:hint="eastAsia" w:ascii="仿宋" w:hAnsi="仿宋" w:eastAsia="仿宋" w:cs="仿宋"/>
          <w:b/>
          <w:bCs/>
          <w:szCs w:val="21"/>
          <w:highlight w:val="none"/>
        </w:rPr>
      </w:pPr>
      <w:r>
        <w:rPr>
          <w:rFonts w:hint="eastAsia" w:ascii="仿宋" w:hAnsi="仿宋" w:eastAsia="仿宋" w:cs="仿宋"/>
          <w:b/>
          <w:bCs/>
          <w:szCs w:val="21"/>
          <w:highlight w:val="none"/>
        </w:rPr>
        <w:t>28．投标文件的补充、修改与撤回</w:t>
      </w:r>
    </w:p>
    <w:p w14:paraId="591BD4FB">
      <w:pPr>
        <w:tabs>
          <w:tab w:val="left" w:pos="960"/>
          <w:tab w:val="left" w:pos="1418"/>
        </w:tabs>
        <w:autoSpaceDE w:val="0"/>
        <w:autoSpaceDN w:val="0"/>
        <w:adjustRightInd w:val="0"/>
        <w:snapToGrid w:val="0"/>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14:paraId="73EBB518">
      <w:pPr>
        <w:spacing w:before="312" w:beforeLines="100" w:after="312" w:afterLines="100" w:line="440" w:lineRule="exact"/>
        <w:jc w:val="center"/>
        <w:outlineLvl w:val="2"/>
        <w:rPr>
          <w:rFonts w:hint="eastAsia" w:ascii="仿宋" w:hAnsi="仿宋" w:eastAsia="仿宋" w:cs="仿宋"/>
          <w:b/>
          <w:bCs/>
          <w:sz w:val="28"/>
          <w:szCs w:val="28"/>
          <w:highlight w:val="none"/>
        </w:rPr>
      </w:pPr>
      <w:bookmarkStart w:id="59" w:name="_Toc19761"/>
      <w:bookmarkStart w:id="60" w:name="_Toc6569"/>
      <w:bookmarkStart w:id="61" w:name="_Toc469495728"/>
      <w:r>
        <w:rPr>
          <w:rFonts w:hint="eastAsia" w:ascii="仿宋" w:hAnsi="仿宋" w:eastAsia="仿宋" w:cs="仿宋"/>
          <w:b/>
          <w:bCs/>
          <w:sz w:val="28"/>
          <w:szCs w:val="28"/>
          <w:highlight w:val="none"/>
        </w:rPr>
        <w:t>（五）开标、评标和定标</w:t>
      </w:r>
      <w:bookmarkEnd w:id="59"/>
      <w:bookmarkEnd w:id="60"/>
      <w:bookmarkEnd w:id="61"/>
    </w:p>
    <w:p w14:paraId="27E9EAB8">
      <w:pPr>
        <w:snapToGrid w:val="0"/>
        <w:spacing w:line="360" w:lineRule="auto"/>
        <w:ind w:firstLine="420" w:firstLineChars="200"/>
        <w:outlineLvl w:val="3"/>
        <w:rPr>
          <w:rFonts w:hint="eastAsia" w:ascii="仿宋" w:hAnsi="仿宋" w:eastAsia="仿宋" w:cs="仿宋"/>
          <w:b/>
          <w:bCs/>
          <w:szCs w:val="21"/>
          <w:highlight w:val="none"/>
        </w:rPr>
      </w:pPr>
      <w:r>
        <w:rPr>
          <w:rFonts w:hint="eastAsia" w:ascii="仿宋" w:hAnsi="仿宋" w:eastAsia="仿宋" w:cs="仿宋"/>
          <w:b/>
          <w:bCs/>
          <w:szCs w:val="21"/>
          <w:highlight w:val="none"/>
        </w:rPr>
        <w:t>29. 开标</w:t>
      </w:r>
    </w:p>
    <w:p w14:paraId="17424A01">
      <w:pPr>
        <w:snapToGrid w:val="0"/>
        <w:spacing w:line="360" w:lineRule="auto"/>
        <w:ind w:firstLine="420" w:firstLineChars="200"/>
        <w:outlineLvl w:val="9"/>
        <w:rPr>
          <w:rFonts w:hint="eastAsia" w:ascii="仿宋" w:hAnsi="仿宋" w:eastAsia="仿宋" w:cs="仿宋"/>
          <w:b/>
          <w:bCs/>
          <w:szCs w:val="21"/>
          <w:highlight w:val="none"/>
        </w:rPr>
      </w:pPr>
      <w:bookmarkStart w:id="62" w:name="_Toc73975822"/>
      <w:r>
        <w:rPr>
          <w:rFonts w:hint="eastAsia" w:ascii="仿宋" w:hAnsi="仿宋" w:eastAsia="仿宋" w:cs="仿宋"/>
          <w:b/>
          <w:bCs/>
          <w:szCs w:val="21"/>
          <w:highlight w:val="none"/>
        </w:rPr>
        <w:t>29.1开标邀请</w:t>
      </w:r>
      <w:bookmarkEnd w:id="62"/>
    </w:p>
    <w:p w14:paraId="219F85BE">
      <w:pPr>
        <w:pStyle w:val="11"/>
        <w:snapToGrid w:val="0"/>
        <w:spacing w:line="360" w:lineRule="auto"/>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（1）开标准备：本项目开标的准备工作由采购组织机构负责落实，开标过程由采购组织机构负责记录；</w:t>
      </w:r>
    </w:p>
    <w:p w14:paraId="4821B3CF">
      <w:pPr>
        <w:pStyle w:val="11"/>
        <w:snapToGrid w:val="0"/>
        <w:spacing w:line="360" w:lineRule="auto"/>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（2）开标主持：本项目开标由采购人或者采购代理机构主持；</w:t>
      </w:r>
    </w:p>
    <w:p w14:paraId="28D144BC">
      <w:pPr>
        <w:pStyle w:val="11"/>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（3）开标邀请：本项目采用电子交易，采购组织机构将按照采购文件规定的时间通过“新疆政府采购云平台，网址：</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"http://www.zcygov.cn" </w:instrText>
      </w:r>
      <w:r>
        <w:rPr>
          <w:rFonts w:hint="eastAsia" w:ascii="仿宋" w:hAnsi="仿宋" w:eastAsia="仿宋" w:cs="仿宋"/>
          <w:highlight w:val="none"/>
        </w:rPr>
        <w:fldChar w:fldCharType="separate"/>
      </w:r>
      <w:r>
        <w:rPr>
          <w:rStyle w:val="31"/>
          <w:rFonts w:hint="eastAsia" w:ascii="仿宋" w:hAnsi="仿宋" w:eastAsia="仿宋" w:cs="仿宋"/>
          <w:color w:val="auto"/>
          <w:szCs w:val="21"/>
          <w:highlight w:val="none"/>
          <w:u w:val="none"/>
        </w:rPr>
        <w:t>www.zcygov.cn</w:t>
      </w:r>
      <w:r>
        <w:rPr>
          <w:rStyle w:val="31"/>
          <w:rFonts w:hint="eastAsia" w:ascii="仿宋" w:hAnsi="仿宋" w:eastAsia="仿宋" w:cs="仿宋"/>
          <w:color w:val="auto"/>
          <w:szCs w:val="21"/>
          <w:highlight w:val="none"/>
          <w:u w:val="none"/>
        </w:rPr>
        <w:fldChar w:fldCharType="end"/>
      </w:r>
      <w:r>
        <w:rPr>
          <w:rFonts w:hint="eastAsia" w:ascii="仿宋" w:hAnsi="仿宋" w:eastAsia="仿宋" w:cs="仿宋"/>
          <w:color w:val="auto"/>
          <w:szCs w:val="21"/>
          <w:highlight w:val="none"/>
        </w:rPr>
        <w:t>”组织开标、开启投标</w:t>
      </w:r>
      <w:r>
        <w:rPr>
          <w:rFonts w:hint="eastAsia" w:ascii="仿宋" w:hAnsi="仿宋" w:eastAsia="仿宋" w:cs="仿宋"/>
          <w:color w:val="auto"/>
          <w:szCs w:val="21"/>
          <w:highlight w:val="none"/>
          <w:lang w:eastAsia="zh-CN"/>
        </w:rPr>
        <w:t>投标文件</w:t>
      </w:r>
      <w:r>
        <w:rPr>
          <w:rFonts w:hint="eastAsia" w:ascii="仿宋" w:hAnsi="仿宋" w:eastAsia="仿宋" w:cs="仿宋"/>
          <w:color w:val="auto"/>
          <w:szCs w:val="21"/>
          <w:highlight w:val="none"/>
        </w:rPr>
        <w:t>，所有供应商均应当准时在线参加。</w:t>
      </w:r>
    </w:p>
    <w:p w14:paraId="6B7A1A84">
      <w:pPr>
        <w:pStyle w:val="11"/>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14:paraId="710D2E5C">
      <w:pPr>
        <w:snapToGrid w:val="0"/>
        <w:spacing w:line="360" w:lineRule="auto"/>
        <w:ind w:firstLine="420" w:firstLineChars="200"/>
        <w:outlineLvl w:val="9"/>
        <w:rPr>
          <w:rFonts w:hint="eastAsia" w:ascii="仿宋" w:hAnsi="仿宋" w:eastAsia="仿宋" w:cs="仿宋"/>
          <w:b/>
          <w:szCs w:val="21"/>
          <w:highlight w:val="none"/>
        </w:rPr>
      </w:pPr>
      <w:bookmarkStart w:id="63" w:name="_Toc73975823"/>
      <w:bookmarkStart w:id="64" w:name="_Toc7364"/>
      <w:r>
        <w:rPr>
          <w:rFonts w:hint="eastAsia" w:ascii="仿宋" w:hAnsi="仿宋" w:eastAsia="仿宋" w:cs="仿宋"/>
          <w:b/>
          <w:szCs w:val="21"/>
          <w:highlight w:val="none"/>
        </w:rPr>
        <w:t>29.2</w:t>
      </w:r>
      <w:r>
        <w:rPr>
          <w:rFonts w:hint="eastAsia" w:ascii="仿宋" w:hAnsi="仿宋" w:eastAsia="仿宋" w:cs="仿宋"/>
          <w:b/>
          <w:bCs/>
          <w:szCs w:val="21"/>
          <w:highlight w:val="none"/>
        </w:rPr>
        <w:t>开标程序</w:t>
      </w:r>
      <w:bookmarkEnd w:id="63"/>
      <w:bookmarkEnd w:id="64"/>
    </w:p>
    <w:p w14:paraId="514AE975">
      <w:pPr>
        <w:snapToGrid w:val="0"/>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（1）开标时间到后，主持人宣布开标会议开始。</w:t>
      </w:r>
    </w:p>
    <w:p w14:paraId="492CA0B1">
      <w:pPr>
        <w:snapToGrid w:val="0"/>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w:t>
      </w:r>
      <w:r>
        <w:rPr>
          <w:rFonts w:hint="eastAsia" w:ascii="仿宋" w:hAnsi="仿宋" w:eastAsia="仿宋" w:cs="仿宋"/>
          <w:kern w:val="0"/>
          <w:szCs w:val="21"/>
          <w:highlight w:val="none"/>
        </w:rPr>
        <w:t>投标文件解密（</w:t>
      </w:r>
      <w:r>
        <w:rPr>
          <w:rFonts w:hint="eastAsia" w:ascii="仿宋" w:hAnsi="仿宋" w:eastAsia="仿宋" w:cs="仿宋"/>
          <w:b/>
          <w:kern w:val="0"/>
          <w:szCs w:val="21"/>
          <w:highlight w:val="none"/>
        </w:rPr>
        <w:t>解密规定见《供应商须知前附表》</w:t>
      </w:r>
      <w:r>
        <w:rPr>
          <w:rFonts w:hint="eastAsia" w:ascii="仿宋" w:hAnsi="仿宋" w:eastAsia="仿宋" w:cs="仿宋"/>
          <w:kern w:val="0"/>
          <w:szCs w:val="21"/>
          <w:highlight w:val="none"/>
        </w:rPr>
        <w:t>）</w:t>
      </w:r>
      <w:r>
        <w:rPr>
          <w:rFonts w:hint="eastAsia" w:ascii="仿宋" w:hAnsi="仿宋" w:eastAsia="仿宋" w:cs="仿宋"/>
          <w:szCs w:val="21"/>
          <w:highlight w:val="none"/>
        </w:rPr>
        <w:t>。</w:t>
      </w:r>
    </w:p>
    <w:p w14:paraId="5113EBED">
      <w:pPr>
        <w:snapToGrid w:val="0"/>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w:t>
      </w:r>
      <w:r>
        <w:rPr>
          <w:rFonts w:hint="eastAsia" w:ascii="仿宋" w:hAnsi="仿宋" w:eastAsia="仿宋" w:cs="仿宋"/>
          <w:kern w:val="0"/>
          <w:szCs w:val="21"/>
          <w:highlight w:val="none"/>
        </w:rPr>
        <w:t>投标文件解密异常情况处理（</w:t>
      </w:r>
      <w:r>
        <w:rPr>
          <w:rFonts w:hint="eastAsia" w:ascii="仿宋" w:hAnsi="仿宋" w:eastAsia="仿宋" w:cs="仿宋"/>
          <w:b/>
          <w:kern w:val="0"/>
          <w:szCs w:val="21"/>
          <w:highlight w:val="none"/>
        </w:rPr>
        <w:t>处理办法见《供应商须知前附表》</w:t>
      </w:r>
      <w:r>
        <w:rPr>
          <w:rFonts w:hint="eastAsia" w:ascii="仿宋" w:hAnsi="仿宋" w:eastAsia="仿宋" w:cs="仿宋"/>
          <w:kern w:val="0"/>
          <w:szCs w:val="21"/>
          <w:highlight w:val="none"/>
        </w:rPr>
        <w:t>）</w:t>
      </w:r>
      <w:r>
        <w:rPr>
          <w:rFonts w:hint="eastAsia" w:ascii="仿宋" w:hAnsi="仿宋" w:eastAsia="仿宋" w:cs="仿宋"/>
          <w:szCs w:val="21"/>
          <w:highlight w:val="none"/>
        </w:rPr>
        <w:t>。</w:t>
      </w:r>
    </w:p>
    <w:p w14:paraId="3D254712">
      <w:pPr>
        <w:snapToGrid w:val="0"/>
        <w:spacing w:line="360" w:lineRule="auto"/>
        <w:ind w:firstLine="420" w:firstLineChars="200"/>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rPr>
        <w:t>（4）公布投标文件解密情况（投标文件成功解密的供应商名单等信息），组织签署</w:t>
      </w:r>
      <w:r>
        <w:rPr>
          <w:rFonts w:hint="eastAsia" w:ascii="仿宋" w:hAnsi="仿宋" w:eastAsia="仿宋" w:cs="仿宋"/>
          <w:b/>
          <w:bCs/>
          <w:kern w:val="0"/>
          <w:szCs w:val="21"/>
          <w:highlight w:val="none"/>
        </w:rPr>
        <w:t>《政府采购活动现场确认声明书》（疫情防控期间，将通过电子邮件形式组织签署），供应商应在20分钟内通过邮件形式将经签署的《政府采购活动现场确认声明书》发送至采购代理机构指定邮箱，逾期发送或未发送的视为无异议</w:t>
      </w:r>
      <w:r>
        <w:rPr>
          <w:rFonts w:hint="eastAsia" w:ascii="仿宋" w:hAnsi="仿宋" w:eastAsia="仿宋" w:cs="仿宋"/>
          <w:kern w:val="0"/>
          <w:szCs w:val="21"/>
          <w:highlight w:val="none"/>
        </w:rPr>
        <w:t>。</w:t>
      </w:r>
      <w:r>
        <w:rPr>
          <w:rFonts w:hint="eastAsia" w:ascii="仿宋" w:hAnsi="仿宋" w:eastAsia="仿宋" w:cs="仿宋"/>
          <w:kern w:val="0"/>
          <w:szCs w:val="21"/>
          <w:highlight w:val="none"/>
          <w:lang w:val="en-US" w:eastAsia="zh-CN"/>
        </w:rPr>
        <w:t>本项目不做要求</w:t>
      </w:r>
    </w:p>
    <w:p w14:paraId="565F9FF0">
      <w:pPr>
        <w:snapToGrid w:val="0"/>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kern w:val="0"/>
          <w:szCs w:val="21"/>
          <w:highlight w:val="none"/>
        </w:rPr>
        <w:t>（5）开启标书信息。标书信息开启后，首先由采购人或采购代理机构或评审小组依法对投标供应商的资格证明文件进行审查（具体见本章“29.3 投标供应商资格审查”）， 审查结束公布投标供应商的资格符合情况。资格审查未获通过的供应商，其商务技术文件及报价文件不再进入评审。</w:t>
      </w:r>
    </w:p>
    <w:p w14:paraId="6A4E2739">
      <w:pPr>
        <w:snapToGrid w:val="0"/>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kern w:val="0"/>
          <w:szCs w:val="21"/>
          <w:highlight w:val="none"/>
        </w:rPr>
        <w:t>（6）商务技术评审结束后，主持人公布商务技术评审无效投标供应商名单和商务技术评审有效投标供应商名单及其商务技术得分情况</w:t>
      </w:r>
      <w:r>
        <w:rPr>
          <w:rFonts w:hint="eastAsia" w:ascii="仿宋" w:hAnsi="仿宋" w:eastAsia="仿宋" w:cs="仿宋"/>
          <w:szCs w:val="21"/>
          <w:highlight w:val="none"/>
        </w:rPr>
        <w:t>。</w:t>
      </w:r>
      <w:r>
        <w:rPr>
          <w:rFonts w:hint="eastAsia" w:ascii="仿宋" w:hAnsi="仿宋" w:eastAsia="仿宋" w:cs="仿宋"/>
          <w:kern w:val="0"/>
          <w:szCs w:val="21"/>
          <w:highlight w:val="none"/>
        </w:rPr>
        <w:t>商务技术评审无效的供应商，其报价不再进入评审。</w:t>
      </w:r>
    </w:p>
    <w:p w14:paraId="3E81F00D">
      <w:pPr>
        <w:snapToGrid w:val="0"/>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kern w:val="0"/>
          <w:szCs w:val="21"/>
          <w:highlight w:val="none"/>
        </w:rPr>
        <w:t>（7）开启有效投标供应商的报价，公布开标一览表有关内容，</w:t>
      </w:r>
      <w:r>
        <w:rPr>
          <w:rFonts w:hint="eastAsia" w:ascii="仿宋" w:hAnsi="仿宋" w:eastAsia="仿宋" w:cs="仿宋"/>
          <w:szCs w:val="21"/>
          <w:highlight w:val="none"/>
          <w:lang w:bidi="zh-CN"/>
        </w:rPr>
        <w:t>并【开启签字时段】，供应商对开标纪录进行在线签字确认（不予确认的应说明理由，否则视为无异议）</w:t>
      </w:r>
      <w:r>
        <w:rPr>
          <w:rFonts w:hint="eastAsia" w:ascii="仿宋" w:hAnsi="仿宋" w:eastAsia="仿宋" w:cs="仿宋"/>
          <w:kern w:val="0"/>
          <w:szCs w:val="21"/>
          <w:highlight w:val="none"/>
        </w:rPr>
        <w:t>。开标结束后，由评标委员会对报价的合理性、准确性等进行审查核实</w:t>
      </w:r>
      <w:r>
        <w:rPr>
          <w:rFonts w:hint="eastAsia" w:ascii="仿宋" w:hAnsi="仿宋" w:eastAsia="仿宋" w:cs="仿宋"/>
          <w:szCs w:val="21"/>
          <w:highlight w:val="none"/>
        </w:rPr>
        <w:t>。</w:t>
      </w:r>
    </w:p>
    <w:p w14:paraId="23841C46">
      <w:pPr>
        <w:snapToGrid w:val="0"/>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（8）</w:t>
      </w:r>
      <w:r>
        <w:rPr>
          <w:rFonts w:hint="eastAsia" w:ascii="仿宋" w:hAnsi="仿宋" w:eastAsia="仿宋" w:cs="仿宋"/>
          <w:kern w:val="0"/>
          <w:szCs w:val="21"/>
          <w:highlight w:val="none"/>
        </w:rPr>
        <w:t>评审结束后，采购代理机构在系统上公布评审结果。</w:t>
      </w:r>
    </w:p>
    <w:p w14:paraId="198CCC0F">
      <w:pPr>
        <w:snapToGrid w:val="0"/>
        <w:spacing w:line="360" w:lineRule="auto"/>
        <w:ind w:left="480"/>
        <w:rPr>
          <w:rFonts w:hint="eastAsia" w:ascii="仿宋" w:hAnsi="仿宋" w:eastAsia="仿宋" w:cs="仿宋"/>
          <w:b/>
          <w:szCs w:val="21"/>
          <w:highlight w:val="none"/>
        </w:rPr>
      </w:pPr>
      <w:r>
        <w:rPr>
          <w:rFonts w:hint="eastAsia" w:ascii="仿宋" w:hAnsi="仿宋" w:eastAsia="仿宋" w:cs="仿宋"/>
          <w:b/>
          <w:szCs w:val="21"/>
          <w:highlight w:val="none"/>
        </w:rPr>
        <w:t>特别情况说明：</w:t>
      </w:r>
    </w:p>
    <w:p w14:paraId="10D12CD4">
      <w:pPr>
        <w:snapToGrid w:val="0"/>
        <w:spacing w:line="360" w:lineRule="auto"/>
        <w:ind w:firstLine="371" w:firstLineChars="177"/>
        <w:jc w:val="left"/>
        <w:rPr>
          <w:rFonts w:hint="eastAsia" w:ascii="仿宋" w:hAnsi="仿宋" w:eastAsia="仿宋" w:cs="仿宋"/>
          <w:b/>
          <w:kern w:val="0"/>
          <w:szCs w:val="21"/>
          <w:highlight w:val="none"/>
        </w:rPr>
      </w:pPr>
      <w:r>
        <w:rPr>
          <w:rFonts w:hint="eastAsia" w:ascii="仿宋" w:hAnsi="仿宋" w:eastAsia="仿宋" w:cs="仿宋"/>
          <w:b/>
          <w:kern w:val="0"/>
          <w:szCs w:val="21"/>
          <w:highlight w:val="none"/>
        </w:rPr>
        <w:t>（1）本项目采用电子交易，如遇“新疆政府采购云平台”电子化开标或评审程序调整的，按调整后程序执行。</w:t>
      </w:r>
    </w:p>
    <w:p w14:paraId="025DD2A6">
      <w:pPr>
        <w:snapToGrid w:val="0"/>
        <w:spacing w:line="360" w:lineRule="auto"/>
        <w:ind w:firstLine="371" w:firstLineChars="177"/>
        <w:jc w:val="left"/>
        <w:rPr>
          <w:rFonts w:hint="eastAsia" w:ascii="仿宋" w:hAnsi="仿宋" w:eastAsia="仿宋" w:cs="仿宋"/>
          <w:b/>
          <w:kern w:val="0"/>
          <w:szCs w:val="21"/>
          <w:highlight w:val="none"/>
        </w:rPr>
      </w:pPr>
      <w:r>
        <w:rPr>
          <w:rFonts w:hint="eastAsia" w:ascii="仿宋" w:hAnsi="仿宋" w:eastAsia="仿宋" w:cs="仿宋"/>
          <w:b/>
          <w:kern w:val="0"/>
          <w:szCs w:val="21"/>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仿宋" w:hAnsi="仿宋" w:eastAsia="仿宋" w:cs="仿宋"/>
          <w:b/>
          <w:kern w:val="0"/>
          <w:szCs w:val="21"/>
          <w:highlight w:val="none"/>
          <w:u w:val="single"/>
        </w:rPr>
        <w:t>请供应商保证办理投标事宜人员电话畅通、网络在线，签字或盖章确认的时间为20分钟。如未及时签字或盖章确认的，视为无异议</w:t>
      </w:r>
      <w:r>
        <w:rPr>
          <w:rFonts w:hint="eastAsia" w:ascii="仿宋" w:hAnsi="仿宋" w:eastAsia="仿宋" w:cs="仿宋"/>
          <w:b/>
          <w:kern w:val="0"/>
          <w:szCs w:val="21"/>
          <w:highlight w:val="none"/>
        </w:rPr>
        <w:t>。</w:t>
      </w:r>
    </w:p>
    <w:p w14:paraId="643D41AF">
      <w:pPr>
        <w:snapToGrid w:val="0"/>
        <w:spacing w:line="360" w:lineRule="auto"/>
        <w:ind w:firstLine="420" w:firstLineChars="200"/>
        <w:outlineLvl w:val="9"/>
        <w:rPr>
          <w:rFonts w:hint="eastAsia" w:ascii="仿宋" w:hAnsi="仿宋" w:eastAsia="仿宋" w:cs="仿宋"/>
          <w:b/>
          <w:kern w:val="0"/>
          <w:szCs w:val="21"/>
          <w:highlight w:val="none"/>
        </w:rPr>
      </w:pPr>
      <w:r>
        <w:rPr>
          <w:rFonts w:hint="eastAsia" w:ascii="仿宋" w:hAnsi="仿宋" w:eastAsia="仿宋" w:cs="仿宋"/>
          <w:b/>
          <w:kern w:val="0"/>
          <w:szCs w:val="21"/>
          <w:highlight w:val="none"/>
        </w:rPr>
        <w:t>29.3 投标供应商资格审查：</w:t>
      </w:r>
    </w:p>
    <w:p w14:paraId="2C89C3D1">
      <w:pPr>
        <w:snapToGrid w:val="0"/>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w:t>
      </w:r>
      <w:r>
        <w:rPr>
          <w:rFonts w:hint="eastAsia" w:ascii="仿宋" w:hAnsi="仿宋" w:eastAsia="仿宋" w:cs="仿宋"/>
          <w:bCs/>
          <w:kern w:val="0"/>
          <w:szCs w:val="21"/>
          <w:highlight w:val="none"/>
        </w:rPr>
        <w:t>开标（标书信息开启）后，采购人或采购代理机构或</w:t>
      </w:r>
      <w:r>
        <w:rPr>
          <w:rFonts w:hint="eastAsia" w:ascii="仿宋" w:hAnsi="仿宋" w:eastAsia="仿宋" w:cs="仿宋"/>
          <w:kern w:val="0"/>
          <w:szCs w:val="21"/>
          <w:highlight w:val="none"/>
        </w:rPr>
        <w:t>评审小组</w:t>
      </w:r>
      <w:r>
        <w:rPr>
          <w:rFonts w:hint="eastAsia" w:ascii="仿宋" w:hAnsi="仿宋" w:eastAsia="仿宋" w:cs="仿宋"/>
          <w:bCs/>
          <w:kern w:val="0"/>
          <w:szCs w:val="21"/>
          <w:highlight w:val="none"/>
        </w:rPr>
        <w:t>首先依法对投标供应商的资格文件进行审查，审查各投标供应商的资格符合情况。</w:t>
      </w:r>
      <w:r>
        <w:rPr>
          <w:rFonts w:hint="eastAsia" w:ascii="仿宋" w:hAnsi="仿宋" w:eastAsia="仿宋" w:cs="仿宋"/>
          <w:szCs w:val="21"/>
          <w:highlight w:val="none"/>
        </w:rPr>
        <w:t>采购人或采购代理机构</w:t>
      </w:r>
      <w:r>
        <w:rPr>
          <w:rFonts w:hint="eastAsia" w:ascii="仿宋" w:hAnsi="仿宋" w:eastAsia="仿宋" w:cs="仿宋"/>
          <w:bCs/>
          <w:kern w:val="0"/>
          <w:szCs w:val="21"/>
          <w:highlight w:val="none"/>
        </w:rPr>
        <w:t>或</w:t>
      </w:r>
      <w:r>
        <w:rPr>
          <w:rFonts w:hint="eastAsia" w:ascii="仿宋" w:hAnsi="仿宋" w:eastAsia="仿宋" w:cs="仿宋"/>
          <w:kern w:val="0"/>
          <w:szCs w:val="21"/>
          <w:highlight w:val="none"/>
        </w:rPr>
        <w:t>评审小组</w:t>
      </w:r>
      <w:r>
        <w:rPr>
          <w:rFonts w:hint="eastAsia" w:ascii="仿宋" w:hAnsi="仿宋" w:eastAsia="仿宋" w:cs="仿宋"/>
          <w:szCs w:val="21"/>
          <w:highlight w:val="none"/>
        </w:rPr>
        <w:t>对投标供应商所提交的资格证明材料仅负审核的责任。如发现投标供应商所提交的资格证明材料不合法或与事实不符，采购人可取消其中标资格并追究投标供应商的法律责任。</w:t>
      </w:r>
    </w:p>
    <w:p w14:paraId="57EF5DC2">
      <w:pPr>
        <w:pStyle w:val="5"/>
        <w:snapToGrid w:val="0"/>
        <w:spacing w:line="360" w:lineRule="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2）投标供应商提交的资格证明材料无法证明其符合采购文件规定的“投标供应商资格要求”的，采购人或采购代理机构将对其作“资格审查不合格”处理（无效投标），并不再将其投标提交评标委员会进行后续评审。</w:t>
      </w:r>
    </w:p>
    <w:p w14:paraId="1AFA3F93">
      <w:pPr>
        <w:pStyle w:val="5"/>
        <w:snapToGrid w:val="0"/>
        <w:spacing w:line="360" w:lineRule="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（3）供应商信用记录查询与使用：见《供应商须知前附表》。</w:t>
      </w:r>
    </w:p>
    <w:p w14:paraId="49A556F7">
      <w:pPr>
        <w:widowControl/>
        <w:spacing w:line="440" w:lineRule="exact"/>
        <w:ind w:firstLine="210" w:firstLineChars="100"/>
        <w:outlineLvl w:val="3"/>
        <w:rPr>
          <w:rFonts w:hint="eastAsia" w:ascii="仿宋" w:hAnsi="仿宋" w:eastAsia="仿宋" w:cs="仿宋"/>
          <w:b/>
          <w:bCs/>
          <w:szCs w:val="21"/>
          <w:highlight w:val="none"/>
        </w:rPr>
      </w:pPr>
      <w:r>
        <w:rPr>
          <w:rFonts w:hint="eastAsia" w:ascii="仿宋" w:hAnsi="仿宋" w:eastAsia="仿宋" w:cs="仿宋"/>
          <w:b/>
          <w:bCs/>
          <w:szCs w:val="21"/>
          <w:highlight w:val="none"/>
        </w:rPr>
        <w:t>30.评审工作的组织</w:t>
      </w:r>
    </w:p>
    <w:p w14:paraId="6B85FC27">
      <w:pPr>
        <w:widowControl/>
        <w:spacing w:line="440" w:lineRule="exact"/>
        <w:ind w:firstLine="210" w:firstLineChars="100"/>
        <w:rPr>
          <w:rFonts w:hint="eastAsia" w:ascii="仿宋" w:hAnsi="仿宋" w:eastAsia="仿宋" w:cs="仿宋"/>
          <w:szCs w:val="21"/>
          <w:highlight w:val="none"/>
        </w:rPr>
      </w:pPr>
      <w:r>
        <w:rPr>
          <w:rFonts w:hint="eastAsia" w:ascii="仿宋" w:hAnsi="仿宋" w:eastAsia="仿宋" w:cs="仿宋"/>
          <w:szCs w:val="21"/>
          <w:highlight w:val="none"/>
        </w:rPr>
        <w:t>采购人或采购代理机构负责组织本项目的评审工作，并依据《政府采购货物和服务招标投标管理办法（财政部第87号令）》第四十五条的相关规定履行职责。</w:t>
      </w:r>
    </w:p>
    <w:p w14:paraId="7F86226E">
      <w:pPr>
        <w:widowControl/>
        <w:spacing w:line="440" w:lineRule="exact"/>
        <w:ind w:firstLine="210" w:firstLineChars="100"/>
        <w:outlineLvl w:val="3"/>
        <w:rPr>
          <w:rFonts w:hint="eastAsia" w:ascii="仿宋" w:hAnsi="仿宋" w:eastAsia="仿宋" w:cs="仿宋"/>
          <w:b/>
          <w:bCs/>
          <w:szCs w:val="21"/>
          <w:highlight w:val="none"/>
        </w:rPr>
      </w:pPr>
      <w:r>
        <w:rPr>
          <w:rFonts w:hint="eastAsia" w:ascii="仿宋" w:hAnsi="仿宋" w:eastAsia="仿宋" w:cs="仿宋"/>
          <w:b/>
          <w:bCs/>
          <w:szCs w:val="21"/>
          <w:highlight w:val="none"/>
        </w:rPr>
        <w:t>31. 评标委员会的组建</w:t>
      </w:r>
    </w:p>
    <w:p w14:paraId="1F92A49D">
      <w:pPr>
        <w:widowControl/>
        <w:spacing w:line="440" w:lineRule="exact"/>
        <w:ind w:firstLine="210" w:firstLineChars="100"/>
        <w:rPr>
          <w:rFonts w:hint="eastAsia" w:ascii="仿宋" w:hAnsi="仿宋" w:eastAsia="仿宋" w:cs="仿宋"/>
          <w:szCs w:val="21"/>
          <w:highlight w:val="none"/>
        </w:rPr>
      </w:pPr>
      <w:r>
        <w:rPr>
          <w:rFonts w:hint="eastAsia" w:ascii="仿宋" w:hAnsi="仿宋" w:eastAsia="仿宋" w:cs="仿宋"/>
          <w:szCs w:val="21"/>
          <w:highlight w:val="none"/>
        </w:rPr>
        <w:t>31.1评标委员会由采购人或采购代理机构依法组建，成员由采购人代表和评审专家组成，成员人数为3人或以上单数，其中评审专家不少于成员总数的三分之二。</w:t>
      </w:r>
    </w:p>
    <w:p w14:paraId="6BD9CAFE">
      <w:pPr>
        <w:widowControl/>
        <w:spacing w:line="440" w:lineRule="exact"/>
        <w:ind w:firstLine="210" w:firstLineChars="100"/>
        <w:rPr>
          <w:rFonts w:hint="eastAsia" w:ascii="仿宋" w:hAnsi="仿宋" w:eastAsia="仿宋" w:cs="仿宋"/>
          <w:szCs w:val="21"/>
          <w:highlight w:val="none"/>
        </w:rPr>
      </w:pPr>
      <w:r>
        <w:rPr>
          <w:rFonts w:hint="eastAsia" w:ascii="仿宋" w:hAnsi="仿宋" w:eastAsia="仿宋" w:cs="仿宋"/>
          <w:szCs w:val="21"/>
          <w:highlight w:val="none"/>
        </w:rPr>
        <w:t>31.2评审专家从新疆政府采购云平台专家库中通过随机方式抽取产生。评标委员会成员名单在采购结果公告前保密。</w:t>
      </w:r>
    </w:p>
    <w:p w14:paraId="7D4BE89F">
      <w:pPr>
        <w:widowControl/>
        <w:spacing w:line="440" w:lineRule="exact"/>
        <w:ind w:firstLine="210" w:firstLineChars="100"/>
        <w:outlineLvl w:val="3"/>
        <w:rPr>
          <w:rFonts w:hint="eastAsia" w:ascii="仿宋" w:hAnsi="仿宋" w:eastAsia="仿宋" w:cs="仿宋"/>
          <w:b/>
          <w:bCs/>
          <w:szCs w:val="21"/>
          <w:highlight w:val="none"/>
        </w:rPr>
      </w:pPr>
      <w:r>
        <w:rPr>
          <w:rFonts w:hint="eastAsia" w:ascii="仿宋" w:hAnsi="仿宋" w:eastAsia="仿宋" w:cs="仿宋"/>
          <w:b/>
          <w:bCs/>
          <w:szCs w:val="21"/>
          <w:highlight w:val="none"/>
        </w:rPr>
        <w:t>32.评标委员会的职责</w:t>
      </w:r>
    </w:p>
    <w:p w14:paraId="137A44F3">
      <w:pPr>
        <w:widowControl/>
        <w:spacing w:line="440" w:lineRule="exact"/>
        <w:ind w:firstLine="210" w:firstLineChars="100"/>
        <w:rPr>
          <w:rFonts w:hint="eastAsia" w:ascii="仿宋" w:hAnsi="仿宋" w:eastAsia="仿宋" w:cs="仿宋"/>
          <w:szCs w:val="21"/>
          <w:highlight w:val="none"/>
        </w:rPr>
      </w:pPr>
      <w:r>
        <w:rPr>
          <w:rFonts w:hint="eastAsia" w:ascii="仿宋" w:hAnsi="仿宋" w:eastAsia="仿宋" w:cs="仿宋"/>
          <w:szCs w:val="21"/>
          <w:highlight w:val="none"/>
        </w:rPr>
        <w:t>32.1审查、评价投标文件是否符合采购文件的商务、技术等实质性要求。</w:t>
      </w:r>
    </w:p>
    <w:p w14:paraId="324FA8DD">
      <w:pPr>
        <w:widowControl/>
        <w:spacing w:line="440" w:lineRule="exact"/>
        <w:ind w:firstLine="210" w:firstLineChars="100"/>
        <w:rPr>
          <w:rFonts w:hint="eastAsia" w:ascii="仿宋" w:hAnsi="仿宋" w:eastAsia="仿宋" w:cs="仿宋"/>
          <w:szCs w:val="21"/>
          <w:highlight w:val="none"/>
        </w:rPr>
      </w:pPr>
      <w:r>
        <w:rPr>
          <w:rFonts w:hint="eastAsia" w:ascii="仿宋" w:hAnsi="仿宋" w:eastAsia="仿宋" w:cs="仿宋"/>
          <w:szCs w:val="21"/>
          <w:highlight w:val="none"/>
        </w:rPr>
        <w:t>32.2要求供应商对投标文件有关事项作出澄清或者说明。</w:t>
      </w:r>
    </w:p>
    <w:p w14:paraId="45AEB5C3">
      <w:pPr>
        <w:widowControl/>
        <w:spacing w:line="440" w:lineRule="exact"/>
        <w:ind w:firstLine="210" w:firstLineChars="100"/>
        <w:rPr>
          <w:rFonts w:hint="eastAsia" w:ascii="仿宋" w:hAnsi="仿宋" w:eastAsia="仿宋" w:cs="仿宋"/>
          <w:szCs w:val="21"/>
          <w:highlight w:val="none"/>
        </w:rPr>
      </w:pPr>
      <w:r>
        <w:rPr>
          <w:rFonts w:hint="eastAsia" w:ascii="仿宋" w:hAnsi="仿宋" w:eastAsia="仿宋" w:cs="仿宋"/>
          <w:szCs w:val="21"/>
          <w:highlight w:val="none"/>
        </w:rPr>
        <w:t>32.3对投标文件进行比较和评价。</w:t>
      </w:r>
    </w:p>
    <w:p w14:paraId="64979A58">
      <w:pPr>
        <w:widowControl/>
        <w:spacing w:line="440" w:lineRule="exact"/>
        <w:ind w:firstLine="210" w:firstLineChars="100"/>
        <w:rPr>
          <w:rFonts w:hint="eastAsia" w:ascii="仿宋" w:hAnsi="仿宋" w:eastAsia="仿宋" w:cs="仿宋"/>
          <w:szCs w:val="21"/>
          <w:highlight w:val="none"/>
        </w:rPr>
      </w:pPr>
      <w:r>
        <w:rPr>
          <w:rFonts w:hint="eastAsia" w:ascii="仿宋" w:hAnsi="仿宋" w:eastAsia="仿宋" w:cs="仿宋"/>
          <w:szCs w:val="21"/>
          <w:highlight w:val="none"/>
        </w:rPr>
        <w:t>32.4确定中标候选人名单，以及根据采购人委托直接确定中标人。</w:t>
      </w:r>
    </w:p>
    <w:p w14:paraId="7A091DF9">
      <w:pPr>
        <w:widowControl/>
        <w:spacing w:line="440" w:lineRule="exact"/>
        <w:ind w:firstLine="210" w:firstLineChars="100"/>
        <w:rPr>
          <w:rFonts w:hint="eastAsia" w:ascii="仿宋" w:hAnsi="仿宋" w:eastAsia="仿宋" w:cs="仿宋"/>
          <w:szCs w:val="21"/>
          <w:highlight w:val="none"/>
        </w:rPr>
      </w:pPr>
      <w:r>
        <w:rPr>
          <w:rFonts w:hint="eastAsia" w:ascii="仿宋" w:hAnsi="仿宋" w:eastAsia="仿宋" w:cs="仿宋"/>
          <w:szCs w:val="21"/>
          <w:highlight w:val="none"/>
        </w:rPr>
        <w:t>32.5向采购人、采购代理机构或者有关部门报告评审中发现的违法行为。</w:t>
      </w:r>
    </w:p>
    <w:p w14:paraId="4DCE3182">
      <w:pPr>
        <w:widowControl/>
        <w:spacing w:line="440" w:lineRule="exact"/>
        <w:ind w:firstLine="210" w:firstLineChars="100"/>
        <w:outlineLvl w:val="3"/>
        <w:rPr>
          <w:rFonts w:hint="eastAsia" w:ascii="仿宋" w:hAnsi="仿宋" w:eastAsia="仿宋" w:cs="仿宋"/>
          <w:b/>
          <w:bCs/>
          <w:szCs w:val="21"/>
          <w:highlight w:val="none"/>
        </w:rPr>
      </w:pPr>
      <w:r>
        <w:rPr>
          <w:rFonts w:hint="eastAsia" w:ascii="仿宋" w:hAnsi="仿宋" w:eastAsia="仿宋" w:cs="仿宋"/>
          <w:b/>
          <w:bCs/>
          <w:szCs w:val="21"/>
          <w:highlight w:val="none"/>
        </w:rPr>
        <w:t>33. 评标原则</w:t>
      </w:r>
    </w:p>
    <w:p w14:paraId="69C71D6A">
      <w:pPr>
        <w:widowControl/>
        <w:spacing w:line="440" w:lineRule="exact"/>
        <w:ind w:firstLine="210" w:firstLineChars="100"/>
        <w:rPr>
          <w:rFonts w:hint="eastAsia" w:ascii="仿宋" w:hAnsi="仿宋" w:eastAsia="仿宋" w:cs="仿宋"/>
          <w:szCs w:val="21"/>
          <w:highlight w:val="none"/>
        </w:rPr>
      </w:pPr>
      <w:r>
        <w:rPr>
          <w:rFonts w:hint="eastAsia" w:ascii="仿宋" w:hAnsi="仿宋" w:eastAsia="仿宋" w:cs="仿宋"/>
          <w:szCs w:val="21"/>
          <w:highlight w:val="none"/>
        </w:rPr>
        <w:t>33.1评标委员会将遵循公平、公正、科学的原则，对供应商提交的投标文件进行综合评审，评标委员会按照采购文件规定的评标细则进行评分。</w:t>
      </w:r>
    </w:p>
    <w:p w14:paraId="1F33C68A">
      <w:pPr>
        <w:widowControl/>
        <w:spacing w:line="440" w:lineRule="exact"/>
        <w:ind w:firstLine="210" w:firstLineChars="100"/>
        <w:rPr>
          <w:rFonts w:hint="eastAsia" w:ascii="仿宋" w:hAnsi="仿宋" w:eastAsia="仿宋" w:cs="仿宋"/>
          <w:szCs w:val="21"/>
          <w:highlight w:val="none"/>
        </w:rPr>
      </w:pPr>
      <w:r>
        <w:rPr>
          <w:rFonts w:hint="eastAsia" w:ascii="仿宋" w:hAnsi="仿宋" w:eastAsia="仿宋" w:cs="仿宋"/>
          <w:szCs w:val="21"/>
          <w:highlight w:val="none"/>
        </w:rPr>
        <w:t xml:space="preserve">33.2客观公正对待所有供应商，对所有投标评价均采用相同的程序和标准。 </w:t>
      </w:r>
    </w:p>
    <w:p w14:paraId="3AABA0C1">
      <w:pPr>
        <w:widowControl/>
        <w:spacing w:line="440" w:lineRule="exact"/>
        <w:ind w:firstLine="210" w:firstLineChars="100"/>
        <w:rPr>
          <w:rFonts w:hint="eastAsia" w:ascii="仿宋" w:hAnsi="仿宋" w:eastAsia="仿宋" w:cs="仿宋"/>
          <w:szCs w:val="21"/>
          <w:highlight w:val="none"/>
        </w:rPr>
      </w:pPr>
      <w:r>
        <w:rPr>
          <w:rFonts w:hint="eastAsia" w:ascii="仿宋" w:hAnsi="仿宋" w:eastAsia="仿宋" w:cs="仿宋"/>
          <w:szCs w:val="21"/>
          <w:highlight w:val="none"/>
        </w:rPr>
        <w:t>33.3评标委员会成员对需要共同认定的事项存在争议的，按照少数服从多数的原则作出结论。持不同意见的评标委员会成员应当在评审报告上签署不同意见及理由，否则视为同意评审报告。</w:t>
      </w:r>
    </w:p>
    <w:p w14:paraId="3FBCA354">
      <w:pPr>
        <w:widowControl/>
        <w:spacing w:line="440" w:lineRule="exact"/>
        <w:ind w:firstLine="210" w:firstLineChars="100"/>
        <w:rPr>
          <w:rFonts w:hint="eastAsia" w:ascii="仿宋" w:hAnsi="仿宋" w:eastAsia="仿宋" w:cs="仿宋"/>
          <w:szCs w:val="21"/>
          <w:highlight w:val="none"/>
        </w:rPr>
      </w:pPr>
      <w:r>
        <w:rPr>
          <w:rFonts w:hint="eastAsia" w:ascii="仿宋" w:hAnsi="仿宋" w:eastAsia="仿宋" w:cs="仿宋"/>
          <w:szCs w:val="21"/>
          <w:highlight w:val="none"/>
        </w:rPr>
        <w:t>33.4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14:paraId="5233C082">
      <w:pPr>
        <w:widowControl/>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非单一产品采购项目，采购人应当根据采购项目技术构成、产品价格比重等合理确定核心产品，并在采购文件中载明。多家供应商提供的核心产品品牌相同的，按前款规定处理。      </w:t>
      </w:r>
    </w:p>
    <w:p w14:paraId="406F7AE7">
      <w:pPr>
        <w:widowControl/>
        <w:numPr>
          <w:ilvl w:val="0"/>
          <w:numId w:val="3"/>
        </w:numPr>
        <w:spacing w:line="440" w:lineRule="exact"/>
        <w:ind w:firstLine="210" w:firstLineChars="100"/>
        <w:outlineLvl w:val="3"/>
        <w:rPr>
          <w:rFonts w:hint="eastAsia" w:ascii="仿宋" w:hAnsi="仿宋" w:eastAsia="仿宋" w:cs="仿宋"/>
          <w:szCs w:val="21"/>
          <w:highlight w:val="none"/>
        </w:rPr>
      </w:pPr>
      <w:r>
        <w:rPr>
          <w:rFonts w:hint="eastAsia" w:ascii="仿宋" w:hAnsi="仿宋" w:eastAsia="仿宋" w:cs="仿宋"/>
          <w:b/>
          <w:bCs/>
          <w:szCs w:val="21"/>
          <w:highlight w:val="none"/>
        </w:rPr>
        <w:t>评委纪律</w:t>
      </w:r>
    </w:p>
    <w:p w14:paraId="60F121EF">
      <w:pPr>
        <w:widowControl/>
        <w:numPr>
          <w:ilvl w:val="0"/>
          <w:numId w:val="0"/>
        </w:num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评标委员会成员必须严格遵守保密规定，不得泄露评审的有关情况，任何单位和个人不得干扰、影响评标的正常进行，评标委员会成员不得私下与投标供应商接触，不得出现新疆政府采购活动现场组织管理办法中规定的其他禁止行为。</w:t>
      </w:r>
    </w:p>
    <w:p w14:paraId="30C05136">
      <w:pPr>
        <w:widowControl/>
        <w:spacing w:line="440" w:lineRule="exact"/>
        <w:ind w:firstLine="210" w:firstLineChars="100"/>
        <w:outlineLvl w:val="3"/>
        <w:rPr>
          <w:rFonts w:hint="eastAsia" w:ascii="仿宋" w:hAnsi="仿宋" w:eastAsia="仿宋" w:cs="仿宋"/>
          <w:b/>
          <w:bCs/>
          <w:szCs w:val="21"/>
          <w:highlight w:val="none"/>
        </w:rPr>
      </w:pPr>
      <w:r>
        <w:rPr>
          <w:rFonts w:hint="eastAsia" w:ascii="仿宋" w:hAnsi="仿宋" w:eastAsia="仿宋" w:cs="仿宋"/>
          <w:b/>
          <w:bCs/>
          <w:szCs w:val="21"/>
          <w:highlight w:val="none"/>
        </w:rPr>
        <w:t>35.评标程序</w:t>
      </w:r>
    </w:p>
    <w:p w14:paraId="1F4A30C9">
      <w:pPr>
        <w:widowControl/>
        <w:spacing w:line="440" w:lineRule="exact"/>
        <w:ind w:firstLine="210" w:firstLineChars="100"/>
        <w:rPr>
          <w:rFonts w:hint="eastAsia" w:ascii="仿宋" w:hAnsi="仿宋" w:eastAsia="仿宋" w:cs="仿宋"/>
          <w:szCs w:val="21"/>
          <w:highlight w:val="none"/>
        </w:rPr>
      </w:pPr>
      <w:r>
        <w:rPr>
          <w:rFonts w:hint="eastAsia" w:ascii="仿宋" w:hAnsi="仿宋" w:eastAsia="仿宋" w:cs="仿宋"/>
          <w:szCs w:val="21"/>
          <w:highlight w:val="none"/>
        </w:rPr>
        <w:t>35.1 在评审专家中推选评标委员会组长，采购人代表不得担任评标委员会组长。</w:t>
      </w:r>
    </w:p>
    <w:p w14:paraId="6A348560">
      <w:pPr>
        <w:widowControl/>
        <w:spacing w:line="440" w:lineRule="exact"/>
        <w:ind w:firstLine="210" w:firstLineChars="100"/>
        <w:rPr>
          <w:rFonts w:hint="eastAsia" w:ascii="仿宋" w:hAnsi="仿宋" w:eastAsia="仿宋" w:cs="仿宋"/>
          <w:szCs w:val="21"/>
          <w:highlight w:val="none"/>
        </w:rPr>
      </w:pPr>
      <w:r>
        <w:rPr>
          <w:rFonts w:hint="eastAsia" w:ascii="仿宋" w:hAnsi="仿宋" w:eastAsia="仿宋" w:cs="仿宋"/>
          <w:szCs w:val="21"/>
          <w:highlight w:val="none"/>
        </w:rPr>
        <w:t>35.2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14:paraId="7460DB97">
      <w:pPr>
        <w:widowControl/>
        <w:spacing w:line="440" w:lineRule="exact"/>
        <w:ind w:firstLine="210" w:firstLineChars="100"/>
        <w:rPr>
          <w:rFonts w:hint="eastAsia" w:ascii="仿宋" w:hAnsi="仿宋" w:eastAsia="仿宋" w:cs="仿宋"/>
          <w:szCs w:val="21"/>
          <w:highlight w:val="none"/>
        </w:rPr>
      </w:pPr>
      <w:r>
        <w:rPr>
          <w:rFonts w:hint="eastAsia" w:ascii="仿宋" w:hAnsi="仿宋" w:eastAsia="仿宋" w:cs="仿宋"/>
          <w:szCs w:val="21"/>
          <w:highlight w:val="none"/>
        </w:rPr>
        <w:t>35.3 评审人员对符合资格的供应商的投标文件的有效性、符合性、完整性和响应程度进行审查，确定是否对采购文件作出实质性响应。</w:t>
      </w:r>
    </w:p>
    <w:p w14:paraId="4212BE75">
      <w:pPr>
        <w:widowControl/>
        <w:spacing w:line="440" w:lineRule="exact"/>
        <w:ind w:firstLine="210" w:firstLineChars="100"/>
        <w:rPr>
          <w:rFonts w:hint="eastAsia" w:ascii="仿宋" w:hAnsi="仿宋" w:eastAsia="仿宋" w:cs="仿宋"/>
          <w:szCs w:val="21"/>
          <w:highlight w:val="none"/>
        </w:rPr>
      </w:pPr>
      <w:r>
        <w:rPr>
          <w:rFonts w:hint="eastAsia" w:ascii="仿宋" w:hAnsi="仿宋" w:eastAsia="仿宋" w:cs="仿宋"/>
          <w:szCs w:val="21"/>
          <w:highlight w:val="none"/>
        </w:rPr>
        <w:t>35.4 评审人员按采购文件规定的评审方法和评审标准，依法独立对供应商投标文件进行评估、比较，并给予评价或打分，不受任何单位和个人的干预。</w:t>
      </w:r>
    </w:p>
    <w:p w14:paraId="7F1833E9">
      <w:pPr>
        <w:adjustRightInd w:val="0"/>
        <w:spacing w:line="360" w:lineRule="auto"/>
        <w:ind w:firstLine="210" w:firstLineChars="100"/>
        <w:rPr>
          <w:rFonts w:hint="eastAsia" w:ascii="仿宋" w:hAnsi="仿宋" w:eastAsia="仿宋" w:cs="仿宋"/>
          <w:kern w:val="0"/>
          <w:sz w:val="24"/>
          <w:highlight w:val="none"/>
        </w:rPr>
      </w:pPr>
      <w:r>
        <w:rPr>
          <w:rFonts w:hint="eastAsia" w:ascii="仿宋" w:hAnsi="仿宋" w:eastAsia="仿宋" w:cs="仿宋"/>
          <w:szCs w:val="21"/>
          <w:highlight w:val="none"/>
        </w:rPr>
        <w:t>35.5符合性审查。</w:t>
      </w:r>
      <w:r>
        <w:rPr>
          <w:rFonts w:hint="eastAsia" w:ascii="仿宋" w:hAnsi="仿宋" w:eastAsia="仿宋" w:cs="仿宋"/>
          <w:kern w:val="0"/>
          <w:szCs w:val="21"/>
          <w:highlight w:val="none"/>
        </w:rPr>
        <w:t>磋商小组应当对符合资格的磋商供应商的磋商</w:t>
      </w:r>
      <w:r>
        <w:rPr>
          <w:rFonts w:hint="eastAsia" w:ascii="仿宋" w:hAnsi="仿宋" w:eastAsia="仿宋" w:cs="仿宋"/>
          <w:kern w:val="0"/>
          <w:szCs w:val="21"/>
          <w:highlight w:val="none"/>
          <w:lang w:eastAsia="zh-CN"/>
        </w:rPr>
        <w:t>投标文件</w:t>
      </w:r>
      <w:r>
        <w:rPr>
          <w:rFonts w:hint="eastAsia" w:ascii="仿宋" w:hAnsi="仿宋" w:eastAsia="仿宋" w:cs="仿宋"/>
          <w:kern w:val="0"/>
          <w:szCs w:val="21"/>
          <w:highlight w:val="none"/>
        </w:rPr>
        <w:t>进行符合性审查，以确定其是否满足采购文件的实质性要求。不满足采购文件的实质性要求的，投标无效。</w:t>
      </w:r>
    </w:p>
    <w:p w14:paraId="46ECFADB">
      <w:pPr>
        <w:tabs>
          <w:tab w:val="left" w:pos="399"/>
        </w:tabs>
        <w:adjustRightInd w:val="0"/>
        <w:spacing w:line="360" w:lineRule="auto"/>
        <w:ind w:firstLine="210" w:firstLineChars="100"/>
        <w:outlineLvl w:val="9"/>
        <w:rPr>
          <w:rFonts w:hint="eastAsia" w:ascii="仿宋" w:hAnsi="仿宋" w:eastAsia="仿宋" w:cs="仿宋"/>
          <w:szCs w:val="21"/>
          <w:highlight w:val="none"/>
        </w:rPr>
      </w:pPr>
      <w:r>
        <w:rPr>
          <w:rFonts w:hint="eastAsia" w:ascii="仿宋" w:hAnsi="仿宋" w:eastAsia="仿宋" w:cs="仿宋"/>
          <w:szCs w:val="21"/>
          <w:highlight w:val="none"/>
        </w:rPr>
        <w:t>35.6与各磋商响应方进行磋商。</w:t>
      </w:r>
    </w:p>
    <w:p w14:paraId="5D32F1B4">
      <w:pPr>
        <w:adjustRightInd w:val="0"/>
        <w:spacing w:line="360" w:lineRule="auto"/>
        <w:ind w:firstLine="411" w:firstLineChars="196"/>
        <w:rPr>
          <w:rFonts w:hint="eastAsia" w:ascii="仿宋" w:hAnsi="仿宋" w:eastAsia="仿宋" w:cs="仿宋"/>
          <w:kern w:val="0"/>
          <w:szCs w:val="21"/>
          <w:highlight w:val="none"/>
        </w:rPr>
      </w:pPr>
      <w:r>
        <w:rPr>
          <w:rFonts w:hint="eastAsia" w:ascii="仿宋" w:hAnsi="仿宋" w:eastAsia="仿宋" w:cs="仿宋"/>
          <w:kern w:val="0"/>
          <w:szCs w:val="21"/>
          <w:highlight w:val="none"/>
        </w:rPr>
        <w:t>1.磋商小组与符合要求的供应商进行磋商。磋商小组所有成员按照</w:t>
      </w:r>
      <w:r>
        <w:rPr>
          <w:rFonts w:hint="eastAsia" w:ascii="仿宋" w:hAnsi="仿宋" w:eastAsia="仿宋" w:cs="仿宋"/>
          <w:kern w:val="0"/>
          <w:szCs w:val="21"/>
          <w:highlight w:val="none"/>
          <w:lang w:eastAsia="zh-CN"/>
        </w:rPr>
        <w:t>投标文件</w:t>
      </w:r>
      <w:r>
        <w:rPr>
          <w:rFonts w:hint="eastAsia" w:ascii="仿宋" w:hAnsi="仿宋" w:eastAsia="仿宋" w:cs="仿宋"/>
          <w:kern w:val="0"/>
          <w:szCs w:val="21"/>
          <w:highlight w:val="none"/>
        </w:rPr>
        <w:t>递交签到次序集中与单一供应商分别进行磋商，并给予所有参加磋商的供应商平等的磋商机会。磋商过程中，磋商小组可以根据磋商情况调整轮次。</w:t>
      </w:r>
    </w:p>
    <w:p w14:paraId="3061F203">
      <w:pPr>
        <w:adjustRightInd w:val="0"/>
        <w:spacing w:line="360" w:lineRule="auto"/>
        <w:ind w:firstLine="411" w:firstLineChars="196"/>
        <w:rPr>
          <w:rFonts w:hint="eastAsia" w:ascii="仿宋" w:hAnsi="仿宋" w:eastAsia="仿宋" w:cs="仿宋"/>
          <w:kern w:val="0"/>
          <w:szCs w:val="21"/>
          <w:highlight w:val="none"/>
        </w:rPr>
      </w:pPr>
      <w:r>
        <w:rPr>
          <w:rFonts w:hint="eastAsia" w:ascii="仿宋" w:hAnsi="仿宋" w:eastAsia="仿宋" w:cs="仿宋"/>
          <w:kern w:val="0"/>
          <w:szCs w:val="21"/>
          <w:highlight w:val="none"/>
        </w:rPr>
        <w:t>2.经磋商确定采购文件的变动情况。对采购文件作出的实质性变动是采购文件的有效组成部分，磋商小组应当及时以书面形式同时通知所有参加磋商的供应商。</w:t>
      </w:r>
    </w:p>
    <w:p w14:paraId="571AFDC5">
      <w:pPr>
        <w:adjustRightInd w:val="0"/>
        <w:spacing w:line="360" w:lineRule="auto"/>
        <w:ind w:firstLine="411" w:firstLineChars="196"/>
        <w:rPr>
          <w:rFonts w:hint="eastAsia" w:ascii="仿宋" w:hAnsi="仿宋" w:eastAsia="仿宋" w:cs="仿宋"/>
          <w:kern w:val="0"/>
          <w:szCs w:val="21"/>
          <w:highlight w:val="none"/>
        </w:rPr>
      </w:pPr>
      <w:r>
        <w:rPr>
          <w:rFonts w:hint="eastAsia" w:ascii="仿宋" w:hAnsi="仿宋" w:eastAsia="仿宋" w:cs="仿宋"/>
          <w:kern w:val="0"/>
          <w:szCs w:val="21"/>
          <w:highlight w:val="none"/>
        </w:rPr>
        <w:t>3.磋商小组应当按照采购文件中规定的评标方法和标准，对符合性审查合格的</w:t>
      </w:r>
      <w:r>
        <w:rPr>
          <w:rFonts w:hint="eastAsia" w:ascii="仿宋" w:hAnsi="仿宋" w:eastAsia="仿宋" w:cs="仿宋"/>
          <w:kern w:val="0"/>
          <w:szCs w:val="21"/>
          <w:highlight w:val="none"/>
          <w:lang w:eastAsia="zh-CN"/>
        </w:rPr>
        <w:t>投标文件</w:t>
      </w:r>
      <w:r>
        <w:rPr>
          <w:rFonts w:hint="eastAsia" w:ascii="仿宋" w:hAnsi="仿宋" w:eastAsia="仿宋" w:cs="仿宋"/>
          <w:kern w:val="0"/>
          <w:szCs w:val="21"/>
          <w:highlight w:val="none"/>
        </w:rPr>
        <w:t>进行商务和技术评估，综合比较与评价。磋商小组各成员应当独立对每个磋商响应方的商务和技术文件进行评价，并汇总商务技术得分情况。</w:t>
      </w:r>
    </w:p>
    <w:p w14:paraId="70F8C6DC">
      <w:pPr>
        <w:adjustRightInd w:val="0"/>
        <w:spacing w:line="360" w:lineRule="auto"/>
        <w:ind w:firstLine="411" w:firstLineChars="196"/>
        <w:rPr>
          <w:rFonts w:hint="eastAsia" w:ascii="仿宋" w:hAnsi="仿宋" w:eastAsia="仿宋" w:cs="仿宋"/>
          <w:kern w:val="0"/>
          <w:szCs w:val="21"/>
          <w:highlight w:val="none"/>
        </w:rPr>
      </w:pPr>
      <w:r>
        <w:rPr>
          <w:rFonts w:hint="eastAsia" w:ascii="仿宋" w:hAnsi="仿宋" w:eastAsia="仿宋" w:cs="仿宋"/>
          <w:kern w:val="0"/>
          <w:szCs w:val="21"/>
          <w:highlight w:val="none"/>
        </w:rPr>
        <w:t>4.各磋商响应方在本项目全部磋商结束后在规定时间内进行最后报价（供应商需在30分钟内线上提交最终报价）。</w:t>
      </w:r>
    </w:p>
    <w:p w14:paraId="37982C5A">
      <w:pPr>
        <w:adjustRightInd w:val="0"/>
        <w:spacing w:line="360" w:lineRule="auto"/>
        <w:ind w:firstLine="210" w:firstLineChars="100"/>
        <w:rPr>
          <w:rFonts w:hint="eastAsia" w:ascii="仿宋" w:hAnsi="仿宋" w:eastAsia="仿宋" w:cs="仿宋"/>
          <w:kern w:val="0"/>
          <w:sz w:val="24"/>
          <w:highlight w:val="none"/>
        </w:rPr>
      </w:pPr>
      <w:r>
        <w:rPr>
          <w:rFonts w:hint="eastAsia" w:ascii="仿宋" w:hAnsi="仿宋" w:eastAsia="仿宋" w:cs="仿宋"/>
          <w:szCs w:val="21"/>
          <w:highlight w:val="none"/>
        </w:rPr>
        <w:t>35.7汇总商务技术得分。</w:t>
      </w:r>
      <w:r>
        <w:rPr>
          <w:rFonts w:hint="eastAsia" w:ascii="仿宋" w:hAnsi="仿宋" w:eastAsia="仿宋" w:cs="仿宋"/>
          <w:kern w:val="0"/>
          <w:szCs w:val="21"/>
          <w:highlight w:val="none"/>
        </w:rPr>
        <w:t>磋商小组各成员应当独立对每个磋商供应商的商务和技术文件进行评价，并汇总商务技术得分情况。</w:t>
      </w:r>
    </w:p>
    <w:p w14:paraId="6844A61D">
      <w:pPr>
        <w:adjustRightInd w:val="0"/>
        <w:spacing w:line="360" w:lineRule="auto"/>
        <w:ind w:firstLine="210" w:firstLineChars="100"/>
        <w:outlineLvl w:val="9"/>
        <w:rPr>
          <w:rFonts w:hint="eastAsia" w:ascii="仿宋" w:hAnsi="仿宋" w:eastAsia="仿宋" w:cs="仿宋"/>
          <w:szCs w:val="21"/>
          <w:highlight w:val="none"/>
        </w:rPr>
      </w:pPr>
      <w:r>
        <w:rPr>
          <w:rFonts w:hint="eastAsia" w:ascii="仿宋" w:hAnsi="仿宋" w:eastAsia="仿宋" w:cs="仿宋"/>
          <w:szCs w:val="21"/>
          <w:highlight w:val="none"/>
        </w:rPr>
        <w:t>35.8报价评审。</w:t>
      </w:r>
    </w:p>
    <w:p w14:paraId="1777CA10">
      <w:pPr>
        <w:widowControl/>
        <w:spacing w:line="440" w:lineRule="exact"/>
        <w:ind w:firstLine="420" w:firstLineChars="200"/>
        <w:outlineLvl w:val="9"/>
        <w:rPr>
          <w:rFonts w:hint="eastAsia" w:ascii="仿宋" w:hAnsi="仿宋" w:eastAsia="仿宋" w:cs="仿宋"/>
          <w:kern w:val="0"/>
          <w:szCs w:val="21"/>
          <w:highlight w:val="none"/>
        </w:rPr>
      </w:pPr>
      <w:r>
        <w:rPr>
          <w:rFonts w:hint="eastAsia" w:ascii="仿宋" w:hAnsi="仿宋" w:eastAsia="仿宋" w:cs="仿宋"/>
          <w:kern w:val="0"/>
          <w:szCs w:val="21"/>
          <w:highlight w:val="none"/>
        </w:rPr>
        <w:t>1.磋商</w:t>
      </w:r>
      <w:r>
        <w:rPr>
          <w:rFonts w:hint="eastAsia" w:ascii="仿宋" w:hAnsi="仿宋" w:eastAsia="仿宋" w:cs="仿宋"/>
          <w:kern w:val="0"/>
          <w:szCs w:val="21"/>
          <w:highlight w:val="none"/>
          <w:lang w:eastAsia="zh-CN"/>
        </w:rPr>
        <w:t>投标文件</w:t>
      </w:r>
      <w:r>
        <w:rPr>
          <w:rFonts w:hint="eastAsia" w:ascii="仿宋" w:hAnsi="仿宋" w:eastAsia="仿宋" w:cs="仿宋"/>
          <w:kern w:val="0"/>
          <w:szCs w:val="21"/>
          <w:highlight w:val="none"/>
        </w:rPr>
        <w:t>报价出现前后不一致的，按照下列规定修正：</w:t>
      </w:r>
    </w:p>
    <w:p w14:paraId="258975C0">
      <w:pPr>
        <w:widowControl/>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2.磋商</w:t>
      </w:r>
      <w:r>
        <w:rPr>
          <w:rFonts w:hint="eastAsia" w:ascii="仿宋" w:hAnsi="仿宋" w:eastAsia="仿宋" w:cs="仿宋"/>
          <w:kern w:val="0"/>
          <w:szCs w:val="21"/>
          <w:highlight w:val="none"/>
          <w:lang w:eastAsia="zh-CN"/>
        </w:rPr>
        <w:t>投标文件</w:t>
      </w:r>
      <w:r>
        <w:rPr>
          <w:rFonts w:hint="eastAsia" w:ascii="仿宋" w:hAnsi="仿宋" w:eastAsia="仿宋" w:cs="仿宋"/>
          <w:kern w:val="0"/>
          <w:szCs w:val="21"/>
          <w:highlight w:val="none"/>
        </w:rPr>
        <w:t>中开标一览表(报价表)内容与磋商</w:t>
      </w:r>
      <w:r>
        <w:rPr>
          <w:rFonts w:hint="eastAsia" w:ascii="仿宋" w:hAnsi="仿宋" w:eastAsia="仿宋" w:cs="仿宋"/>
          <w:kern w:val="0"/>
          <w:szCs w:val="21"/>
          <w:highlight w:val="none"/>
          <w:lang w:eastAsia="zh-CN"/>
        </w:rPr>
        <w:t>投标文件</w:t>
      </w:r>
      <w:r>
        <w:rPr>
          <w:rFonts w:hint="eastAsia" w:ascii="仿宋" w:hAnsi="仿宋" w:eastAsia="仿宋" w:cs="仿宋"/>
          <w:kern w:val="0"/>
          <w:szCs w:val="21"/>
          <w:highlight w:val="none"/>
        </w:rPr>
        <w:t>中相应内容不一致的，以开标一览表(报价表)为准;</w:t>
      </w:r>
    </w:p>
    <w:p w14:paraId="74E0657B">
      <w:pPr>
        <w:widowControl/>
        <w:spacing w:line="440" w:lineRule="exact"/>
        <w:ind w:firstLine="420" w:firstLineChars="200"/>
        <w:outlineLvl w:val="9"/>
        <w:rPr>
          <w:rFonts w:hint="eastAsia" w:ascii="仿宋" w:hAnsi="仿宋" w:eastAsia="仿宋" w:cs="仿宋"/>
          <w:kern w:val="0"/>
          <w:szCs w:val="21"/>
          <w:highlight w:val="none"/>
        </w:rPr>
      </w:pPr>
      <w:r>
        <w:rPr>
          <w:rFonts w:hint="eastAsia" w:ascii="仿宋" w:hAnsi="仿宋" w:eastAsia="仿宋" w:cs="仿宋"/>
          <w:kern w:val="0"/>
          <w:szCs w:val="21"/>
          <w:highlight w:val="none"/>
        </w:rPr>
        <w:t>3.大写金额和小写金额不一致的，以大写金额为准;</w:t>
      </w:r>
    </w:p>
    <w:p w14:paraId="5B79AA53">
      <w:pPr>
        <w:widowControl/>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4.单价金额小数点或者百分比有明显错位的，以开标一览表的总价为准，并修改单价;</w:t>
      </w:r>
    </w:p>
    <w:p w14:paraId="126106EA">
      <w:pPr>
        <w:widowControl/>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5.总价金额与按单价汇总金额不一致的，以单价金额计算结果为准。</w:t>
      </w:r>
    </w:p>
    <w:p w14:paraId="68A35FCE">
      <w:pPr>
        <w:widowControl/>
        <w:spacing w:line="440" w:lineRule="exact"/>
        <w:ind w:firstLine="420" w:firstLineChars="200"/>
        <w:outlineLvl w:val="9"/>
        <w:rPr>
          <w:rFonts w:hint="eastAsia" w:ascii="仿宋" w:hAnsi="仿宋" w:eastAsia="仿宋" w:cs="仿宋"/>
          <w:kern w:val="0"/>
          <w:szCs w:val="21"/>
          <w:highlight w:val="none"/>
        </w:rPr>
      </w:pPr>
      <w:r>
        <w:rPr>
          <w:rFonts w:hint="eastAsia" w:ascii="仿宋" w:hAnsi="仿宋" w:eastAsia="仿宋" w:cs="仿宋"/>
          <w:kern w:val="0"/>
          <w:szCs w:val="21"/>
          <w:highlight w:val="none"/>
        </w:rPr>
        <w:t>6.同时出现两种以上不一致的，按照规定的顺序修正。</w:t>
      </w:r>
    </w:p>
    <w:p w14:paraId="54C61F9A">
      <w:pPr>
        <w:widowControl/>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7.磋商</w:t>
      </w:r>
      <w:r>
        <w:rPr>
          <w:rFonts w:hint="eastAsia" w:ascii="仿宋" w:hAnsi="仿宋" w:eastAsia="仿宋" w:cs="仿宋"/>
          <w:kern w:val="0"/>
          <w:szCs w:val="21"/>
          <w:highlight w:val="none"/>
          <w:lang w:eastAsia="zh-CN"/>
        </w:rPr>
        <w:t>投标文件</w:t>
      </w:r>
      <w:r>
        <w:rPr>
          <w:rFonts w:hint="eastAsia" w:ascii="仿宋" w:hAnsi="仿宋" w:eastAsia="仿宋" w:cs="仿宋"/>
          <w:kern w:val="0"/>
          <w:szCs w:val="21"/>
          <w:highlight w:val="none"/>
        </w:rPr>
        <w:t>出现不是唯一的、有选择性投标报价的，投标无效。</w:t>
      </w:r>
    </w:p>
    <w:p w14:paraId="4D1C9836">
      <w:pPr>
        <w:widowControl/>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8.投标报价超过采购文件中规定的预算金额或者最高限价的，投标无效。</w:t>
      </w:r>
    </w:p>
    <w:p w14:paraId="4AD87A6F">
      <w:pPr>
        <w:widowControl/>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9.磋商小组认为磋商供应商的报价明显低于其他通过符合性审查磋商供应商的报价，有可能影响产品质量或者不能诚信履约的，应当要求其在合理的时间内提供书面说明，必要时提交相关证明材料;磋商供应商不能证明其报价合理性的，磋商小组应当将其作为无效投标处理。</w:t>
      </w:r>
    </w:p>
    <w:p w14:paraId="53947A83">
      <w:pPr>
        <w:widowControl/>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szCs w:val="21"/>
          <w:highlight w:val="none"/>
        </w:rPr>
        <w:t>35.9排序与推荐。</w:t>
      </w:r>
      <w:r>
        <w:rPr>
          <w:rFonts w:hint="eastAsia" w:ascii="仿宋" w:hAnsi="仿宋" w:eastAsia="仿宋" w:cs="仿宋"/>
          <w:kern w:val="0"/>
          <w:szCs w:val="21"/>
          <w:highlight w:val="none"/>
        </w:rPr>
        <w:t>采用综合评分法的，评标结果按评审后得分由高到低顺序排列。得分相同的，按投标报价由低到高顺序排列。得分且投标报价相同的并列。</w:t>
      </w:r>
      <w:r>
        <w:rPr>
          <w:rFonts w:hint="eastAsia" w:ascii="仿宋" w:hAnsi="仿宋" w:eastAsia="仿宋" w:cs="仿宋"/>
          <w:kern w:val="0"/>
          <w:szCs w:val="21"/>
          <w:highlight w:val="none"/>
          <w:lang w:eastAsia="zh-CN"/>
        </w:rPr>
        <w:t>投标文件</w:t>
      </w:r>
      <w:r>
        <w:rPr>
          <w:rFonts w:hint="eastAsia" w:ascii="仿宋" w:hAnsi="仿宋" w:eastAsia="仿宋" w:cs="仿宋"/>
          <w:kern w:val="0"/>
          <w:szCs w:val="21"/>
          <w:highlight w:val="none"/>
        </w:rPr>
        <w:t>满足招标文件全部实质性要求，且按照评审因素的量化指标评审得分最高的投标人为排名第一的中标候选人。</w:t>
      </w:r>
    </w:p>
    <w:p w14:paraId="68C09116">
      <w:pPr>
        <w:widowControl/>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577068FF">
      <w:pPr>
        <w:rPr>
          <w:rFonts w:hint="eastAsia" w:ascii="仿宋" w:hAnsi="仿宋" w:eastAsia="仿宋" w:cs="仿宋"/>
          <w:highlight w:val="none"/>
        </w:rPr>
      </w:pPr>
    </w:p>
    <w:p w14:paraId="026F08B4">
      <w:pPr>
        <w:widowControl/>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综合评分法货物项目的价格分值占总分值的比重(</w:t>
      </w:r>
      <w:r>
        <w:rPr>
          <w:rFonts w:hint="eastAsia" w:ascii="仿宋" w:hAnsi="仿宋" w:eastAsia="仿宋" w:cs="仿宋"/>
          <w:kern w:val="0"/>
          <w:szCs w:val="21"/>
          <w:highlight w:val="none"/>
          <w:lang w:eastAsia="zh-CN"/>
        </w:rPr>
        <w:t>即权值)为</w:t>
      </w:r>
      <w:r>
        <w:rPr>
          <w:rFonts w:hint="eastAsia" w:ascii="仿宋" w:hAnsi="仿宋" w:eastAsia="仿宋" w:cs="仿宋"/>
          <w:kern w:val="0"/>
          <w:szCs w:val="21"/>
          <w:highlight w:val="none"/>
          <w:lang w:val="en-US" w:eastAsia="zh-CN"/>
        </w:rPr>
        <w:t>10</w:t>
      </w:r>
      <w:r>
        <w:rPr>
          <w:rFonts w:hint="eastAsia" w:ascii="仿宋" w:hAnsi="仿宋" w:eastAsia="仿宋" w:cs="仿宋"/>
          <w:kern w:val="0"/>
          <w:szCs w:val="21"/>
          <w:highlight w:val="none"/>
          <w:lang w:eastAsia="zh-CN"/>
        </w:rPr>
        <w:t>％，</w:t>
      </w:r>
      <w:r>
        <w:rPr>
          <w:rFonts w:hint="eastAsia" w:ascii="仿宋" w:hAnsi="仿宋" w:eastAsia="仿宋" w:cs="仿宋"/>
          <w:kern w:val="0"/>
          <w:szCs w:val="21"/>
          <w:highlight w:val="none"/>
        </w:rPr>
        <w:t>采购项目中含不同采购对象的，以占项目资金比例最高的采购对象确定其项目属性。其价格不列为评分因素，有特殊情况需要在上述规定范围外设定价格分权重的。</w:t>
      </w:r>
    </w:p>
    <w:p w14:paraId="2254A333">
      <w:pPr>
        <w:widowControl/>
        <w:spacing w:line="440" w:lineRule="exact"/>
        <w:ind w:firstLine="480"/>
        <w:rPr>
          <w:rFonts w:hint="eastAsia" w:ascii="仿宋" w:hAnsi="仿宋" w:eastAsia="仿宋" w:cs="仿宋"/>
          <w:kern w:val="0"/>
          <w:szCs w:val="21"/>
          <w:highlight w:val="none"/>
        </w:rPr>
      </w:pPr>
      <w:r>
        <w:rPr>
          <w:rFonts w:hint="eastAsia" w:ascii="仿宋" w:hAnsi="仿宋" w:eastAsia="仿宋" w:cs="仿宋"/>
          <w:kern w:val="0"/>
          <w:szCs w:val="21"/>
          <w:highlight w:val="none"/>
        </w:rPr>
        <w:t>综合评分法中的价格分统一采用</w:t>
      </w:r>
      <w:r>
        <w:rPr>
          <w:rFonts w:hint="eastAsia" w:ascii="仿宋" w:hAnsi="仿宋" w:eastAsia="仿宋" w:cs="仿宋"/>
          <w:kern w:val="0"/>
          <w:szCs w:val="21"/>
          <w:highlight w:val="none"/>
          <w:lang w:eastAsia="zh-CN"/>
        </w:rPr>
        <w:t>高</w:t>
      </w:r>
      <w:r>
        <w:rPr>
          <w:rFonts w:hint="eastAsia" w:ascii="仿宋" w:hAnsi="仿宋" w:eastAsia="仿宋" w:cs="仿宋"/>
          <w:kern w:val="0"/>
          <w:szCs w:val="21"/>
          <w:highlight w:val="none"/>
        </w:rPr>
        <w:t>价优先法计算，即满足磋商文件要求且最后报价最</w:t>
      </w:r>
      <w:r>
        <w:rPr>
          <w:rFonts w:hint="eastAsia" w:ascii="仿宋" w:hAnsi="仿宋" w:eastAsia="仿宋" w:cs="仿宋"/>
          <w:kern w:val="0"/>
          <w:szCs w:val="21"/>
          <w:highlight w:val="none"/>
          <w:lang w:eastAsia="zh-CN"/>
        </w:rPr>
        <w:t>高</w:t>
      </w:r>
      <w:r>
        <w:rPr>
          <w:rFonts w:hint="eastAsia" w:ascii="仿宋" w:hAnsi="仿宋" w:eastAsia="仿宋" w:cs="仿宋"/>
          <w:kern w:val="0"/>
          <w:szCs w:val="21"/>
          <w:highlight w:val="none"/>
        </w:rPr>
        <w:t>的供应商的价格为招标基准价，其价格分为满分。其他供应商的价格分统一按照下列公式计算：</w:t>
      </w:r>
    </w:p>
    <w:p w14:paraId="647C1FEC">
      <w:pPr>
        <w:widowControl/>
        <w:spacing w:line="440" w:lineRule="exact"/>
        <w:ind w:firstLine="480"/>
        <w:rPr>
          <w:rFonts w:hint="eastAsia" w:ascii="仿宋" w:hAnsi="仿宋" w:eastAsia="仿宋" w:cs="仿宋"/>
          <w:kern w:val="0"/>
          <w:szCs w:val="21"/>
          <w:highlight w:val="none"/>
        </w:rPr>
      </w:pPr>
      <w:r>
        <w:rPr>
          <w:rFonts w:hint="eastAsia" w:ascii="仿宋" w:hAnsi="仿宋" w:eastAsia="仿宋" w:cs="仿宋"/>
          <w:kern w:val="0"/>
          <w:szCs w:val="21"/>
          <w:highlight w:val="none"/>
        </w:rPr>
        <w:t>投标报价得分=（基准价/投标报价）×价格权值×100</w:t>
      </w:r>
    </w:p>
    <w:p w14:paraId="12690328">
      <w:pPr>
        <w:widowControl/>
        <w:spacing w:line="440" w:lineRule="exact"/>
        <w:ind w:firstLine="480"/>
        <w:rPr>
          <w:rFonts w:hint="eastAsia" w:ascii="仿宋" w:hAnsi="仿宋" w:eastAsia="仿宋" w:cs="仿宋"/>
          <w:szCs w:val="21"/>
          <w:highlight w:val="none"/>
        </w:rPr>
      </w:pPr>
      <w:r>
        <w:rPr>
          <w:rFonts w:hint="eastAsia" w:ascii="仿宋" w:hAnsi="仿宋" w:eastAsia="仿宋" w:cs="仿宋"/>
          <w:kern w:val="0"/>
          <w:szCs w:val="21"/>
          <w:highlight w:val="none"/>
        </w:rPr>
        <w:t>项目评审过程中，不得去掉最后报价中的最高报价和最低报价。</w:t>
      </w:r>
    </w:p>
    <w:p w14:paraId="2BA3E549">
      <w:pPr>
        <w:widowControl/>
        <w:spacing w:line="440" w:lineRule="exact"/>
        <w:ind w:firstLine="210" w:firstLineChars="100"/>
        <w:rPr>
          <w:rFonts w:hint="eastAsia" w:ascii="仿宋" w:hAnsi="仿宋" w:eastAsia="仿宋" w:cs="仿宋"/>
          <w:szCs w:val="21"/>
          <w:highlight w:val="none"/>
        </w:rPr>
      </w:pPr>
      <w:r>
        <w:rPr>
          <w:rFonts w:hint="eastAsia" w:ascii="仿宋" w:hAnsi="仿宋" w:eastAsia="仿宋" w:cs="仿宋"/>
          <w:szCs w:val="21"/>
          <w:highlight w:val="none"/>
        </w:rPr>
        <w:t>35.</w:t>
      </w:r>
      <w:r>
        <w:rPr>
          <w:rFonts w:hint="eastAsia" w:ascii="仿宋" w:hAnsi="仿宋" w:eastAsia="仿宋" w:cs="仿宋"/>
          <w:szCs w:val="21"/>
          <w:highlight w:val="none"/>
          <w:lang w:val="en-US" w:eastAsia="zh-CN"/>
        </w:rPr>
        <w:t>10</w:t>
      </w:r>
      <w:r>
        <w:rPr>
          <w:rFonts w:hint="eastAsia" w:ascii="仿宋" w:hAnsi="仿宋" w:eastAsia="仿宋" w:cs="仿宋"/>
          <w:szCs w:val="21"/>
          <w:highlight w:val="none"/>
        </w:rPr>
        <w:t xml:space="preserve">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14:paraId="0E776BF1">
      <w:pPr>
        <w:widowControl/>
        <w:spacing w:line="440" w:lineRule="exact"/>
        <w:ind w:firstLine="210" w:firstLineChars="100"/>
        <w:rPr>
          <w:rFonts w:hint="eastAsia" w:ascii="仿宋" w:hAnsi="仿宋" w:eastAsia="仿宋" w:cs="仿宋"/>
          <w:szCs w:val="21"/>
          <w:highlight w:val="none"/>
        </w:rPr>
      </w:pPr>
      <w:r>
        <w:rPr>
          <w:rFonts w:hint="eastAsia" w:ascii="仿宋" w:hAnsi="仿宋" w:eastAsia="仿宋" w:cs="仿宋"/>
          <w:szCs w:val="21"/>
          <w:highlight w:val="none"/>
        </w:rPr>
        <w:t>35.</w:t>
      </w:r>
      <w:r>
        <w:rPr>
          <w:rFonts w:hint="eastAsia" w:ascii="仿宋" w:hAnsi="仿宋" w:eastAsia="仿宋" w:cs="仿宋"/>
          <w:szCs w:val="21"/>
          <w:highlight w:val="none"/>
          <w:lang w:val="en-US" w:eastAsia="zh-CN"/>
        </w:rPr>
        <w:t>11</w:t>
      </w:r>
      <w:r>
        <w:rPr>
          <w:rFonts w:hint="eastAsia" w:ascii="仿宋" w:hAnsi="仿宋" w:eastAsia="仿宋" w:cs="仿宋"/>
          <w:szCs w:val="21"/>
          <w:highlight w:val="none"/>
        </w:rPr>
        <w:t xml:space="preserve"> 评审人员需对采购方工作人员唱票或统计的评审结果进行确认，现场监督员应对评审结果签署监督意见。如发现分值汇总计算错误、分项评分超出评分标准范围、客观评分不一致以及存在评分畸高、畸低（其总评分偏</w:t>
      </w:r>
      <w:r>
        <w:rPr>
          <w:rFonts w:hint="eastAsia" w:ascii="仿宋" w:hAnsi="仿宋" w:eastAsia="仿宋" w:cs="仿宋"/>
          <w:color w:val="auto"/>
          <w:szCs w:val="21"/>
          <w:highlight w:val="none"/>
        </w:rPr>
        <w:t>离平均分30%以上的）情</w:t>
      </w:r>
      <w:r>
        <w:rPr>
          <w:rFonts w:hint="eastAsia" w:ascii="仿宋" w:hAnsi="仿宋" w:eastAsia="仿宋" w:cs="仿宋"/>
          <w:szCs w:val="21"/>
          <w:highlight w:val="none"/>
        </w:rPr>
        <w:t>形的，应由相关人员当场改正或作出书面说明；拒不改正又不作书面说明的，由现场监督员如实记载后存入项目档案资料。</w:t>
      </w:r>
    </w:p>
    <w:p w14:paraId="70365ED2">
      <w:pPr>
        <w:widowControl/>
        <w:spacing w:line="440" w:lineRule="exact"/>
        <w:ind w:firstLine="210" w:firstLineChars="100"/>
        <w:rPr>
          <w:rFonts w:hint="eastAsia" w:ascii="仿宋" w:hAnsi="仿宋" w:eastAsia="仿宋" w:cs="仿宋"/>
          <w:szCs w:val="21"/>
          <w:highlight w:val="none"/>
        </w:rPr>
      </w:pPr>
      <w:r>
        <w:rPr>
          <w:rFonts w:hint="eastAsia" w:ascii="仿宋" w:hAnsi="仿宋" w:eastAsia="仿宋" w:cs="仿宋"/>
          <w:szCs w:val="21"/>
          <w:highlight w:val="none"/>
        </w:rPr>
        <w:t>35.</w:t>
      </w:r>
      <w:r>
        <w:rPr>
          <w:rFonts w:hint="eastAsia" w:ascii="仿宋" w:hAnsi="仿宋" w:eastAsia="仿宋" w:cs="仿宋"/>
          <w:szCs w:val="21"/>
          <w:highlight w:val="none"/>
          <w:lang w:val="en-US" w:eastAsia="zh-CN"/>
        </w:rPr>
        <w:t>12</w:t>
      </w:r>
      <w:r>
        <w:rPr>
          <w:rFonts w:hint="eastAsia" w:ascii="仿宋" w:hAnsi="仿宋" w:eastAsia="仿宋" w:cs="仿宋"/>
          <w:szCs w:val="21"/>
          <w:highlight w:val="none"/>
        </w:rPr>
        <w:t xml:space="preserve"> 评标委员会根据评审汇总情况和采购文件规定确定中标候选供应商排序名单。</w:t>
      </w:r>
    </w:p>
    <w:p w14:paraId="31115C0A">
      <w:pPr>
        <w:widowControl/>
        <w:spacing w:line="440" w:lineRule="exact"/>
        <w:ind w:firstLine="210" w:firstLineChars="100"/>
        <w:rPr>
          <w:rFonts w:hint="eastAsia" w:ascii="仿宋" w:hAnsi="仿宋" w:eastAsia="仿宋" w:cs="仿宋"/>
          <w:szCs w:val="21"/>
          <w:highlight w:val="none"/>
        </w:rPr>
      </w:pPr>
      <w:r>
        <w:rPr>
          <w:rFonts w:hint="eastAsia" w:ascii="仿宋" w:hAnsi="仿宋" w:eastAsia="仿宋" w:cs="仿宋"/>
          <w:szCs w:val="21"/>
          <w:highlight w:val="none"/>
        </w:rPr>
        <w:t>35.</w:t>
      </w:r>
      <w:r>
        <w:rPr>
          <w:rFonts w:hint="eastAsia" w:ascii="仿宋" w:hAnsi="仿宋" w:eastAsia="仿宋" w:cs="仿宋"/>
          <w:szCs w:val="21"/>
          <w:highlight w:val="none"/>
          <w:lang w:val="en-US" w:eastAsia="zh-CN"/>
        </w:rPr>
        <w:t>13</w:t>
      </w:r>
      <w:r>
        <w:rPr>
          <w:rFonts w:hint="eastAsia" w:ascii="仿宋" w:hAnsi="仿宋" w:eastAsia="仿宋" w:cs="仿宋"/>
          <w:szCs w:val="21"/>
          <w:highlight w:val="none"/>
        </w:rPr>
        <w:t xml:space="preserve"> 起草评审报告，所有评审人员须在评审报告上签字确认，对自己的评审意见承担法律责任。 </w:t>
      </w:r>
    </w:p>
    <w:p w14:paraId="25DB74BF">
      <w:pPr>
        <w:widowControl/>
        <w:spacing w:line="440" w:lineRule="exact"/>
        <w:ind w:firstLine="210" w:firstLineChars="100"/>
        <w:rPr>
          <w:rFonts w:hint="eastAsia" w:ascii="仿宋" w:hAnsi="仿宋" w:eastAsia="仿宋" w:cs="仿宋"/>
          <w:szCs w:val="21"/>
          <w:highlight w:val="none"/>
        </w:rPr>
      </w:pPr>
      <w:r>
        <w:rPr>
          <w:rFonts w:hint="eastAsia" w:ascii="仿宋" w:hAnsi="仿宋" w:eastAsia="仿宋" w:cs="仿宋"/>
          <w:szCs w:val="21"/>
          <w:highlight w:val="none"/>
        </w:rPr>
        <w:t>35.</w:t>
      </w:r>
      <w:r>
        <w:rPr>
          <w:rFonts w:hint="eastAsia" w:ascii="仿宋" w:hAnsi="仿宋" w:eastAsia="仿宋" w:cs="仿宋"/>
          <w:szCs w:val="21"/>
          <w:highlight w:val="none"/>
          <w:lang w:val="en-US" w:eastAsia="zh-CN"/>
        </w:rPr>
        <w:t>14</w:t>
      </w:r>
      <w:r>
        <w:rPr>
          <w:rFonts w:hint="eastAsia" w:ascii="仿宋" w:hAnsi="仿宋" w:eastAsia="仿宋" w:cs="仿宋"/>
          <w:szCs w:val="21"/>
          <w:highlight w:val="none"/>
        </w:rPr>
        <w:t xml:space="preserve"> 采购组织机构对评标委员会评审专家进行评价。</w:t>
      </w:r>
    </w:p>
    <w:p w14:paraId="4E3B0398">
      <w:pPr>
        <w:widowControl/>
        <w:spacing w:line="440" w:lineRule="exact"/>
        <w:ind w:firstLine="210" w:firstLineChars="100"/>
        <w:rPr>
          <w:rFonts w:hint="eastAsia" w:ascii="仿宋" w:hAnsi="仿宋" w:eastAsia="仿宋" w:cs="仿宋"/>
          <w:szCs w:val="21"/>
          <w:highlight w:val="none"/>
        </w:rPr>
      </w:pPr>
      <w:r>
        <w:rPr>
          <w:rFonts w:hint="eastAsia" w:ascii="仿宋" w:hAnsi="仿宋" w:eastAsia="仿宋" w:cs="仿宋"/>
          <w:szCs w:val="21"/>
          <w:highlight w:val="none"/>
        </w:rPr>
        <w:t>35.</w:t>
      </w:r>
      <w:r>
        <w:rPr>
          <w:rFonts w:hint="eastAsia" w:ascii="仿宋" w:hAnsi="仿宋" w:eastAsia="仿宋" w:cs="仿宋"/>
          <w:szCs w:val="21"/>
          <w:highlight w:val="none"/>
          <w:lang w:val="en-US" w:eastAsia="zh-CN"/>
        </w:rPr>
        <w:t>15</w:t>
      </w:r>
      <w:r>
        <w:rPr>
          <w:rFonts w:hint="eastAsia" w:ascii="仿宋" w:hAnsi="仿宋" w:eastAsia="仿宋" w:cs="仿宋"/>
          <w:szCs w:val="21"/>
          <w:highlight w:val="none"/>
        </w:rPr>
        <w:t xml:space="preserve"> 修改评审结果</w:t>
      </w:r>
    </w:p>
    <w:p w14:paraId="2AB2C2BC">
      <w:pPr>
        <w:widowControl/>
        <w:spacing w:line="440" w:lineRule="exact"/>
        <w:ind w:firstLine="210" w:firstLineChars="100"/>
        <w:rPr>
          <w:rFonts w:hint="eastAsia" w:ascii="仿宋" w:hAnsi="仿宋" w:eastAsia="仿宋" w:cs="仿宋"/>
          <w:szCs w:val="21"/>
          <w:highlight w:val="none"/>
        </w:rPr>
      </w:pPr>
      <w:r>
        <w:rPr>
          <w:rFonts w:hint="eastAsia" w:ascii="仿宋" w:hAnsi="仿宋" w:eastAsia="仿宋" w:cs="仿宋"/>
          <w:szCs w:val="21"/>
          <w:highlight w:val="none"/>
        </w:rPr>
        <w:t>评标结果汇总完成后，除下列情形外，任何人不得修改评标结果：</w:t>
      </w:r>
    </w:p>
    <w:p w14:paraId="1289F806">
      <w:pPr>
        <w:widowControl/>
        <w:spacing w:line="440" w:lineRule="exact"/>
        <w:ind w:firstLine="210" w:firstLineChars="100"/>
        <w:rPr>
          <w:rFonts w:hint="eastAsia" w:ascii="仿宋" w:hAnsi="仿宋" w:eastAsia="仿宋" w:cs="仿宋"/>
          <w:szCs w:val="21"/>
          <w:highlight w:val="none"/>
        </w:rPr>
      </w:pPr>
      <w:r>
        <w:rPr>
          <w:rFonts w:hint="eastAsia" w:ascii="仿宋" w:hAnsi="仿宋" w:eastAsia="仿宋" w:cs="仿宋"/>
          <w:szCs w:val="21"/>
          <w:highlight w:val="none"/>
        </w:rPr>
        <w:t>（1）分值汇总计算错误的；</w:t>
      </w:r>
    </w:p>
    <w:p w14:paraId="64FF9B2A">
      <w:pPr>
        <w:widowControl/>
        <w:spacing w:line="440" w:lineRule="exact"/>
        <w:ind w:firstLine="210" w:firstLineChars="100"/>
        <w:rPr>
          <w:rFonts w:hint="eastAsia" w:ascii="仿宋" w:hAnsi="仿宋" w:eastAsia="仿宋" w:cs="仿宋"/>
          <w:szCs w:val="21"/>
          <w:highlight w:val="none"/>
        </w:rPr>
      </w:pPr>
      <w:r>
        <w:rPr>
          <w:rFonts w:hint="eastAsia" w:ascii="仿宋" w:hAnsi="仿宋" w:eastAsia="仿宋" w:cs="仿宋"/>
          <w:szCs w:val="21"/>
          <w:highlight w:val="none"/>
        </w:rPr>
        <w:t>（2）分项评分超出评分标准范围的；</w:t>
      </w:r>
    </w:p>
    <w:p w14:paraId="556DE1F3">
      <w:pPr>
        <w:widowControl/>
        <w:spacing w:line="440" w:lineRule="exact"/>
        <w:ind w:firstLine="210" w:firstLineChars="100"/>
        <w:rPr>
          <w:rFonts w:hint="eastAsia" w:ascii="仿宋" w:hAnsi="仿宋" w:eastAsia="仿宋" w:cs="仿宋"/>
          <w:szCs w:val="21"/>
          <w:highlight w:val="none"/>
        </w:rPr>
      </w:pPr>
      <w:r>
        <w:rPr>
          <w:rFonts w:hint="eastAsia" w:ascii="仿宋" w:hAnsi="仿宋" w:eastAsia="仿宋" w:cs="仿宋"/>
          <w:szCs w:val="21"/>
          <w:highlight w:val="none"/>
        </w:rPr>
        <w:t>（3）评标委员会成员对客观评审因素评分不一致的；</w:t>
      </w:r>
    </w:p>
    <w:p w14:paraId="53723527">
      <w:pPr>
        <w:widowControl/>
        <w:spacing w:line="440" w:lineRule="exact"/>
        <w:ind w:firstLine="210" w:firstLineChars="100"/>
        <w:rPr>
          <w:rFonts w:hint="eastAsia" w:ascii="仿宋" w:hAnsi="仿宋" w:eastAsia="仿宋" w:cs="仿宋"/>
          <w:szCs w:val="21"/>
          <w:highlight w:val="none"/>
        </w:rPr>
      </w:pPr>
      <w:r>
        <w:rPr>
          <w:rFonts w:hint="eastAsia" w:ascii="仿宋" w:hAnsi="仿宋" w:eastAsia="仿宋" w:cs="仿宋"/>
          <w:szCs w:val="21"/>
          <w:highlight w:val="none"/>
        </w:rPr>
        <w:t>（4）经评标委员会认定评分畸高、畸低的。</w:t>
      </w:r>
    </w:p>
    <w:p w14:paraId="71E9B91F">
      <w:pPr>
        <w:widowControl/>
        <w:spacing w:line="440" w:lineRule="exact"/>
        <w:ind w:firstLine="210" w:firstLineChars="100"/>
        <w:rPr>
          <w:rFonts w:hint="eastAsia" w:ascii="仿宋" w:hAnsi="仿宋" w:eastAsia="仿宋" w:cs="仿宋"/>
          <w:szCs w:val="21"/>
          <w:highlight w:val="none"/>
        </w:rPr>
      </w:pPr>
      <w:r>
        <w:rPr>
          <w:rFonts w:hint="eastAsia" w:ascii="仿宋" w:hAnsi="仿宋" w:eastAsia="仿宋" w:cs="仿宋"/>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2CF7B996">
      <w:pPr>
        <w:spacing w:line="440" w:lineRule="exact"/>
        <w:ind w:firstLine="210" w:firstLineChars="100"/>
        <w:jc w:val="left"/>
        <w:outlineLvl w:val="3"/>
        <w:rPr>
          <w:rFonts w:hint="eastAsia" w:ascii="仿宋" w:hAnsi="仿宋" w:eastAsia="仿宋" w:cs="仿宋"/>
          <w:b/>
          <w:bCs/>
          <w:szCs w:val="21"/>
          <w:highlight w:val="none"/>
        </w:rPr>
      </w:pPr>
      <w:r>
        <w:rPr>
          <w:rFonts w:hint="eastAsia" w:ascii="仿宋" w:hAnsi="仿宋" w:eastAsia="仿宋" w:cs="仿宋"/>
          <w:b/>
          <w:bCs/>
          <w:szCs w:val="21"/>
          <w:highlight w:val="none"/>
        </w:rPr>
        <w:t>36．澄清、说明或补正的形式</w:t>
      </w:r>
    </w:p>
    <w:p w14:paraId="4B65BE99">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szCs w:val="21"/>
          <w:highlight w:val="none"/>
        </w:rPr>
        <w:t>投标供应商澄清、说明或补正时间为20分钟</w:t>
      </w:r>
      <w:r>
        <w:rPr>
          <w:rFonts w:hint="eastAsia" w:ascii="仿宋" w:hAnsi="仿宋" w:eastAsia="仿宋" w:cs="仿宋"/>
          <w:szCs w:val="21"/>
          <w:highlight w:val="none"/>
        </w:rPr>
        <w:t>。</w:t>
      </w:r>
    </w:p>
    <w:p w14:paraId="766FEE5C">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36.2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14:paraId="4190B25D">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0545A07D">
      <w:pPr>
        <w:spacing w:line="440" w:lineRule="exact"/>
        <w:ind w:firstLine="210" w:firstLineChars="100"/>
        <w:jc w:val="left"/>
        <w:outlineLvl w:val="3"/>
        <w:rPr>
          <w:rFonts w:hint="eastAsia" w:ascii="仿宋" w:hAnsi="仿宋" w:eastAsia="仿宋" w:cs="仿宋"/>
          <w:b/>
          <w:bCs/>
          <w:szCs w:val="21"/>
          <w:highlight w:val="none"/>
        </w:rPr>
      </w:pPr>
      <w:r>
        <w:rPr>
          <w:rFonts w:hint="eastAsia" w:ascii="仿宋" w:hAnsi="仿宋" w:eastAsia="仿宋" w:cs="仿宋"/>
          <w:b/>
          <w:bCs/>
          <w:szCs w:val="21"/>
          <w:highlight w:val="none"/>
        </w:rPr>
        <w:t>37．错误修正的原则</w:t>
      </w:r>
    </w:p>
    <w:p w14:paraId="71B9FDCC">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电子交易平台客户端里开标一览表录入的投标报价或优惠率与扫描上传的报价文件信息不一致的，以扫描上传的报价文件信息为准进行修正。</w:t>
      </w:r>
    </w:p>
    <w:p w14:paraId="51C73EAE">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投标文件报价出现前后不一致的，除采购文件另有规定外，按照下列规定修正：</w:t>
      </w:r>
    </w:p>
    <w:p w14:paraId="23DE4EB0">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37.1 投标函中表述的内容与报价表中不一致的，以报价表为准；报价表中的内容与报价明细表不一致的，以报价表为准；</w:t>
      </w:r>
    </w:p>
    <w:p w14:paraId="76AAA4C8">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37.2 投标文件中的大写金额和小写金额不一致的，以大写金额为准；</w:t>
      </w:r>
    </w:p>
    <w:p w14:paraId="06E42A74">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37.3 单价金额小数点或者百分比有明显错位的，以开标一览表的总价为准，并修改单价；</w:t>
      </w:r>
    </w:p>
    <w:p w14:paraId="3A9E3769">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37.4 总价金额与按单价汇总金额不一致的，以单价金额计算结果为准；</w:t>
      </w:r>
    </w:p>
    <w:p w14:paraId="75644337">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37.5 若用文字表示的数值与用数字表示的数值不一致，以文字表示的数值为准；</w:t>
      </w:r>
    </w:p>
    <w:p w14:paraId="21559A94">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37.6 如有多报（指数量超出采购文件需求）、重报（指同一货物重复报价），其投标总价在评标过程中不予调整，如其中标，其合同价按其投标单价予以调整；</w:t>
      </w:r>
    </w:p>
    <w:p w14:paraId="5F591703">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37.7 对不同文字文本投标文件的解释发生异议的，以中文文本为准；</w:t>
      </w:r>
    </w:p>
    <w:p w14:paraId="235DFF14">
      <w:pPr>
        <w:spacing w:line="440" w:lineRule="exact"/>
        <w:ind w:firstLine="210" w:firstLineChars="100"/>
        <w:jc w:val="left"/>
        <w:rPr>
          <w:rFonts w:hint="eastAsia" w:ascii="仿宋" w:hAnsi="仿宋" w:eastAsia="仿宋" w:cs="仿宋"/>
          <w:b/>
          <w:bCs/>
          <w:szCs w:val="21"/>
          <w:highlight w:val="none"/>
        </w:rPr>
      </w:pPr>
      <w:r>
        <w:rPr>
          <w:rFonts w:hint="eastAsia" w:ascii="仿宋" w:hAnsi="仿宋" w:eastAsia="仿宋" w:cs="仿宋"/>
          <w:szCs w:val="21"/>
          <w:highlight w:val="none"/>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bCs/>
          <w:szCs w:val="21"/>
          <w:highlight w:val="none"/>
        </w:rPr>
        <w:t>修正应当采用电子询标的形式，并加盖公章（电子印章）。</w:t>
      </w:r>
    </w:p>
    <w:p w14:paraId="2407C637">
      <w:pPr>
        <w:spacing w:line="440" w:lineRule="exact"/>
        <w:ind w:firstLine="210" w:firstLineChars="100"/>
        <w:jc w:val="left"/>
        <w:outlineLvl w:val="3"/>
        <w:rPr>
          <w:rFonts w:hint="eastAsia" w:ascii="仿宋" w:hAnsi="仿宋" w:eastAsia="仿宋" w:cs="仿宋"/>
          <w:b/>
          <w:bCs/>
          <w:szCs w:val="21"/>
          <w:highlight w:val="none"/>
        </w:rPr>
      </w:pPr>
      <w:r>
        <w:rPr>
          <w:rFonts w:hint="eastAsia" w:ascii="仿宋" w:hAnsi="仿宋" w:eastAsia="仿宋" w:cs="仿宋"/>
          <w:b/>
          <w:bCs/>
          <w:szCs w:val="21"/>
          <w:highlight w:val="none"/>
        </w:rPr>
        <w:t>38．无效投标文件</w:t>
      </w:r>
    </w:p>
    <w:p w14:paraId="4262F867">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有下列情形之一的，投标文件按无效标处理：</w:t>
      </w:r>
    </w:p>
    <w:p w14:paraId="1E4156D1">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38.1 报名的投标人与参加投标的投标人发生实质性变更的且未提供有效证明的；</w:t>
      </w:r>
    </w:p>
    <w:p w14:paraId="075EFBB5">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38.2投标人提交两份或两份以上内容不同的投标文件，未声明哪一份有效的；</w:t>
      </w:r>
    </w:p>
    <w:p w14:paraId="7B614A94">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38.3 投标文件非投标人法定代表人签署的，未提供或提供无效的法定代表人授权书；</w:t>
      </w:r>
    </w:p>
    <w:p w14:paraId="55E9B2AE">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38.4 未按磋商文件规定装订；</w:t>
      </w:r>
    </w:p>
    <w:p w14:paraId="3D570318">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38.5 投标文件内容未按磋商文件规定签字或盖章的；</w:t>
      </w:r>
    </w:p>
    <w:p w14:paraId="238537AE">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38.6 投标文件组成漏项或未按规定的格式编制或投标文件正、副本份数不足或内容不全或内容字迹模糊辨认不清的等而导致评标活动无法正常进行；</w:t>
      </w:r>
    </w:p>
    <w:p w14:paraId="1015DB79">
      <w:pPr>
        <w:spacing w:line="440" w:lineRule="exact"/>
        <w:ind w:firstLine="210" w:firstLineChars="100"/>
        <w:jc w:val="left"/>
        <w:outlineLvl w:val="9"/>
        <w:rPr>
          <w:rFonts w:hint="eastAsia" w:ascii="仿宋" w:hAnsi="仿宋" w:eastAsia="仿宋" w:cs="仿宋"/>
          <w:szCs w:val="21"/>
          <w:highlight w:val="none"/>
        </w:rPr>
      </w:pPr>
      <w:r>
        <w:rPr>
          <w:rFonts w:hint="eastAsia" w:ascii="仿宋" w:hAnsi="仿宋" w:eastAsia="仿宋" w:cs="仿宋"/>
          <w:szCs w:val="21"/>
          <w:highlight w:val="none"/>
        </w:rPr>
        <w:t>38.7 投标人未按磋商文件变更通知更改投标文件的；</w:t>
      </w:r>
    </w:p>
    <w:p w14:paraId="7274A8C3">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38.8 《开标一览表》和《投标分项报价表》内容不完整且不接受修正意见或字迹不能辨认的或未提供；</w:t>
      </w:r>
    </w:p>
    <w:p w14:paraId="7105292A">
      <w:pPr>
        <w:spacing w:line="440" w:lineRule="exact"/>
        <w:ind w:firstLine="210" w:firstLineChars="100"/>
        <w:jc w:val="left"/>
        <w:outlineLvl w:val="9"/>
        <w:rPr>
          <w:rFonts w:hint="eastAsia" w:ascii="仿宋" w:hAnsi="仿宋" w:eastAsia="仿宋" w:cs="仿宋"/>
          <w:szCs w:val="21"/>
          <w:highlight w:val="none"/>
        </w:rPr>
      </w:pPr>
      <w:r>
        <w:rPr>
          <w:rFonts w:hint="eastAsia" w:ascii="仿宋" w:hAnsi="仿宋" w:eastAsia="仿宋" w:cs="仿宋"/>
          <w:szCs w:val="21"/>
          <w:highlight w:val="none"/>
        </w:rPr>
        <w:t>38.9 标项投标报价超过磋商文件规定的预算金额或最高限价</w:t>
      </w:r>
    </w:p>
    <w:p w14:paraId="4AB4C2AE">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38.10 因投标人原因编制错误造成经评标委员会修正后的报价达到或超过投标报价的0.5%；</w:t>
      </w:r>
    </w:p>
    <w:p w14:paraId="1D48B7A2">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38.11 投标人的报价明显低于其他通过符合性审查投标人的报价，有可能影响产品质量或者不能诚信履约的，且在规定时间内不能合理说明原因并提供证明材料的；</w:t>
      </w:r>
    </w:p>
    <w:p w14:paraId="399C4D04">
      <w:pPr>
        <w:spacing w:line="440" w:lineRule="exact"/>
        <w:ind w:firstLine="210" w:firstLineChars="100"/>
        <w:jc w:val="left"/>
        <w:outlineLvl w:val="9"/>
        <w:rPr>
          <w:rFonts w:hint="eastAsia" w:ascii="仿宋" w:hAnsi="仿宋" w:eastAsia="仿宋" w:cs="仿宋"/>
          <w:szCs w:val="21"/>
          <w:highlight w:val="none"/>
        </w:rPr>
      </w:pPr>
      <w:r>
        <w:rPr>
          <w:rFonts w:hint="eastAsia" w:ascii="仿宋" w:hAnsi="仿宋" w:eastAsia="仿宋" w:cs="仿宋"/>
          <w:szCs w:val="21"/>
          <w:highlight w:val="none"/>
        </w:rPr>
        <w:t>38.12 未实质性响应磋商文件中条款要求的投标文件；</w:t>
      </w:r>
    </w:p>
    <w:p w14:paraId="0B97B55F">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38.13 不符合招标范围、技术规格、技术标准的要求无法满足采购人使用要求；</w:t>
      </w:r>
    </w:p>
    <w:p w14:paraId="50AAFB10">
      <w:pPr>
        <w:spacing w:line="440" w:lineRule="exact"/>
        <w:ind w:firstLine="210" w:firstLineChars="100"/>
        <w:jc w:val="left"/>
        <w:outlineLvl w:val="9"/>
        <w:rPr>
          <w:rFonts w:hint="eastAsia" w:ascii="仿宋" w:hAnsi="仿宋" w:eastAsia="仿宋" w:cs="仿宋"/>
          <w:szCs w:val="21"/>
          <w:highlight w:val="none"/>
        </w:rPr>
      </w:pPr>
      <w:r>
        <w:rPr>
          <w:rFonts w:hint="eastAsia" w:ascii="仿宋" w:hAnsi="仿宋" w:eastAsia="仿宋" w:cs="仿宋"/>
          <w:szCs w:val="21"/>
          <w:highlight w:val="none"/>
        </w:rPr>
        <w:t>38.14 投标文件附有采购人不能接受的条款；</w:t>
      </w:r>
    </w:p>
    <w:p w14:paraId="144BEF4B">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38.15 投标文件中提供了赠品或者与本项目采购无关的其他商品、服务；</w:t>
      </w:r>
    </w:p>
    <w:p w14:paraId="18710234">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38.16 投标文件中承诺的投标有效期少于磋商文件中载明的投标有效期；</w:t>
      </w:r>
    </w:p>
    <w:p w14:paraId="48B1F4C9">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38.17投标人串通投标，妨碍其他投标人的竞争行为，损害采购人或者其他投标人的合法权益；</w:t>
      </w:r>
    </w:p>
    <w:p w14:paraId="3038CF2F">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38.18违反国家及政府部门相关法律、法规、文件规定或经评标委员会认定的其他属于重大偏离；</w:t>
      </w:r>
    </w:p>
    <w:p w14:paraId="4B02D4D0">
      <w:pPr>
        <w:spacing w:line="440" w:lineRule="exact"/>
        <w:ind w:firstLine="210" w:firstLineChars="100"/>
        <w:jc w:val="left"/>
        <w:outlineLvl w:val="3"/>
        <w:rPr>
          <w:rFonts w:hint="eastAsia" w:ascii="仿宋" w:hAnsi="仿宋" w:eastAsia="仿宋" w:cs="仿宋"/>
          <w:b/>
          <w:bCs/>
          <w:szCs w:val="21"/>
          <w:highlight w:val="none"/>
        </w:rPr>
      </w:pPr>
      <w:r>
        <w:rPr>
          <w:rFonts w:hint="eastAsia" w:ascii="仿宋" w:hAnsi="仿宋" w:eastAsia="仿宋" w:cs="仿宋"/>
          <w:b/>
          <w:bCs/>
          <w:szCs w:val="21"/>
          <w:highlight w:val="none"/>
        </w:rPr>
        <w:t>39．废标</w:t>
      </w:r>
    </w:p>
    <w:p w14:paraId="498906D1">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39.1 符合磋商文件规定废标情形的；</w:t>
      </w:r>
    </w:p>
    <w:p w14:paraId="32FEDAB5">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39.2 出现影响采购公正的违法、违规行为的；</w:t>
      </w:r>
    </w:p>
    <w:p w14:paraId="421AD382">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39.3 供应商的报价均超过了采购预算（或最高限价），采购人不能支付的;</w:t>
      </w:r>
    </w:p>
    <w:p w14:paraId="30E3ECEE">
      <w:pPr>
        <w:spacing w:line="440" w:lineRule="exact"/>
        <w:ind w:firstLine="210" w:firstLineChars="100"/>
        <w:jc w:val="left"/>
        <w:outlineLvl w:val="9"/>
        <w:rPr>
          <w:rFonts w:hint="eastAsia" w:ascii="仿宋" w:hAnsi="仿宋" w:eastAsia="仿宋" w:cs="仿宋"/>
          <w:szCs w:val="21"/>
          <w:highlight w:val="none"/>
        </w:rPr>
      </w:pPr>
      <w:r>
        <w:rPr>
          <w:rFonts w:hint="eastAsia" w:ascii="仿宋" w:hAnsi="仿宋" w:eastAsia="仿宋" w:cs="仿宋"/>
          <w:szCs w:val="21"/>
          <w:highlight w:val="none"/>
        </w:rPr>
        <w:t>39.4 因重大变故，采购任务取消的。</w:t>
      </w:r>
    </w:p>
    <w:p w14:paraId="07DCC41C">
      <w:pPr>
        <w:spacing w:line="440" w:lineRule="exact"/>
        <w:ind w:firstLine="210" w:firstLineChars="100"/>
        <w:jc w:val="left"/>
        <w:outlineLvl w:val="3"/>
        <w:rPr>
          <w:rFonts w:hint="eastAsia" w:ascii="仿宋" w:hAnsi="仿宋" w:eastAsia="仿宋" w:cs="仿宋"/>
          <w:b/>
          <w:bCs/>
          <w:szCs w:val="21"/>
          <w:highlight w:val="none"/>
        </w:rPr>
      </w:pPr>
      <w:r>
        <w:rPr>
          <w:rFonts w:hint="eastAsia" w:ascii="仿宋" w:hAnsi="仿宋" w:eastAsia="仿宋" w:cs="仿宋"/>
          <w:b/>
          <w:bCs/>
          <w:szCs w:val="21"/>
          <w:highlight w:val="none"/>
        </w:rPr>
        <w:t>40．突发情况处理</w:t>
      </w:r>
    </w:p>
    <w:p w14:paraId="31920A1F">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40.1 采购过程中出现以下情形，导致电子交易平台无法正常运行，或者无法保证电子交易的公平、公正和安全时，采购组织机构可中止电子交易活动：</w:t>
      </w:r>
    </w:p>
    <w:p w14:paraId="48512BCD">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 xml:space="preserve">（1）电子交易平台发生故障而无法登录访问的； </w:t>
      </w:r>
    </w:p>
    <w:p w14:paraId="6C46C579">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（2）电子交易平台应用或数据库出现错误，不能进行正常操作的；</w:t>
      </w:r>
    </w:p>
    <w:p w14:paraId="7105AD65">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（3）电子交易平台发现严重安全漏洞，有潜在泄密危险的；</w:t>
      </w:r>
    </w:p>
    <w:p w14:paraId="53CF6571">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 xml:space="preserve">（4）病毒发作导致不能进行正常操作的； </w:t>
      </w:r>
    </w:p>
    <w:p w14:paraId="7885B93F">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（5）其他无法保证电子交易的公平、公正和安全的情况。</w:t>
      </w:r>
    </w:p>
    <w:p w14:paraId="101A01DF">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出现前款规定情形，不影响采购公平、公正性的，采购组织机构可以待上述情形消除后继续组织电子交易活动，也可以决定某些环节以纸质形式进行；影响或可能影响采购公平、公正性的，应当重新采购。</w:t>
      </w:r>
    </w:p>
    <w:p w14:paraId="7B5CB693">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40.2 采购代理机构或评审小组因不可抗力（不可抗力包括但不限于自然灾害、断电、传播疫病等）原因造成电子交易活动无法正常运行的，将采取以下措施：</w:t>
      </w:r>
    </w:p>
    <w:p w14:paraId="7A6B62F7">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 xml:space="preserve">（1）短时间内能消除不可抗力因素的，采购代理机构或评审小组在消除不可抗力因素后继续组织电子交易活动； </w:t>
      </w:r>
    </w:p>
    <w:p w14:paraId="17E0A10A">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（2）长时间内无法消除不可抗力因素的，采购代理机构或评审小组将中止电子交易活动。中止电子交易活动的，采购人应当重新组织政府采购活动。</w:t>
      </w:r>
    </w:p>
    <w:p w14:paraId="2F8CD8CF">
      <w:pPr>
        <w:spacing w:line="440" w:lineRule="exact"/>
        <w:ind w:firstLine="210" w:firstLineChars="100"/>
        <w:jc w:val="left"/>
        <w:outlineLvl w:val="3"/>
        <w:rPr>
          <w:rFonts w:hint="eastAsia" w:ascii="仿宋" w:hAnsi="仿宋" w:eastAsia="仿宋" w:cs="仿宋"/>
          <w:b/>
          <w:szCs w:val="21"/>
          <w:highlight w:val="none"/>
        </w:rPr>
      </w:pPr>
      <w:r>
        <w:rPr>
          <w:rFonts w:hint="eastAsia" w:ascii="仿宋" w:hAnsi="仿宋" w:eastAsia="仿宋" w:cs="仿宋"/>
          <w:b/>
          <w:szCs w:val="21"/>
          <w:highlight w:val="none"/>
        </w:rPr>
        <w:t>41. 定标</w:t>
      </w:r>
    </w:p>
    <w:p w14:paraId="2F055522">
      <w:pPr>
        <w:spacing w:line="440" w:lineRule="exact"/>
        <w:ind w:firstLine="210" w:firstLineChars="100"/>
        <w:jc w:val="left"/>
        <w:outlineLvl w:val="9"/>
        <w:rPr>
          <w:rFonts w:hint="eastAsia" w:ascii="仿宋" w:hAnsi="仿宋" w:eastAsia="仿宋" w:cs="仿宋"/>
          <w:szCs w:val="21"/>
          <w:highlight w:val="none"/>
        </w:rPr>
      </w:pPr>
      <w:bookmarkStart w:id="65" w:name="_Toc469495729"/>
      <w:r>
        <w:rPr>
          <w:rFonts w:hint="eastAsia" w:ascii="仿宋" w:hAnsi="仿宋" w:eastAsia="仿宋" w:cs="仿宋"/>
          <w:szCs w:val="21"/>
          <w:highlight w:val="none"/>
        </w:rPr>
        <w:t>41.1采购结果确认（确定中标供应商）</w:t>
      </w:r>
    </w:p>
    <w:p w14:paraId="1D85B6DD">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采购结果确认（确定中标供应商）：本项目由采购人根据评标委员会提交的《评审报告》，通过“政府采购云平台”依法确认采购结果、确定中标供应商。具体流程如下：</w:t>
      </w:r>
    </w:p>
    <w:p w14:paraId="26F87082">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（1）采购代理机构将在评审结束后2个工作日内将评审报告送采购人。</w:t>
      </w:r>
    </w:p>
    <w:p w14:paraId="20FCA1D2">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 xml:space="preserve">（2）采购人将在收到评审报告之日起5个工作日内，在评审报告推荐的中标候选供应商名单中按顺序确定中标供应商，并将确认意见以书面形式回复采购代理机构。 </w:t>
      </w:r>
    </w:p>
    <w:p w14:paraId="0887D529">
      <w:pPr>
        <w:spacing w:line="440" w:lineRule="exact"/>
        <w:ind w:firstLine="210" w:firstLineChars="100"/>
        <w:jc w:val="left"/>
        <w:rPr>
          <w:rFonts w:hint="eastAsia" w:ascii="仿宋" w:hAnsi="仿宋" w:eastAsia="仿宋" w:cs="仿宋"/>
          <w:b/>
          <w:bCs/>
          <w:szCs w:val="21"/>
          <w:highlight w:val="none"/>
        </w:rPr>
      </w:pPr>
      <w:r>
        <w:rPr>
          <w:rFonts w:hint="eastAsia" w:ascii="仿宋" w:hAnsi="仿宋" w:eastAsia="仿宋" w:cs="仿宋"/>
          <w:szCs w:val="21"/>
          <w:highlight w:val="none"/>
        </w:rPr>
        <w:t>41.2采购结果经采购人确认后2个工作日内，采购代理机构将在</w:t>
      </w:r>
      <w:r>
        <w:rPr>
          <w:rFonts w:hint="eastAsia" w:ascii="仿宋" w:hAnsi="仿宋" w:eastAsia="仿宋" w:cs="仿宋"/>
          <w:b/>
          <w:bCs/>
          <w:szCs w:val="21"/>
          <w:highlight w:val="none"/>
        </w:rPr>
        <w:t>、新疆政府采购网（www.zjzfcg.gov.cn）上公告采购结果，中标公告期限为1个工作日。</w:t>
      </w:r>
    </w:p>
    <w:p w14:paraId="0A434DCA">
      <w:pPr>
        <w:spacing w:line="440" w:lineRule="exact"/>
        <w:ind w:firstLine="210" w:firstLineChars="100"/>
        <w:jc w:val="left"/>
        <w:outlineLvl w:val="3"/>
        <w:rPr>
          <w:rFonts w:hint="eastAsia" w:ascii="仿宋" w:hAnsi="仿宋" w:eastAsia="仿宋" w:cs="仿宋"/>
          <w:b/>
          <w:bCs/>
          <w:szCs w:val="21"/>
          <w:highlight w:val="none"/>
        </w:rPr>
      </w:pPr>
      <w:r>
        <w:rPr>
          <w:rFonts w:hint="eastAsia" w:ascii="仿宋" w:hAnsi="仿宋" w:eastAsia="仿宋" w:cs="仿宋"/>
          <w:b/>
          <w:bCs/>
          <w:szCs w:val="21"/>
          <w:highlight w:val="none"/>
        </w:rPr>
        <w:t>42. 成交通知书</w:t>
      </w:r>
    </w:p>
    <w:p w14:paraId="04E06E47">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42.1在成交通知书发出前，招标人将中标侯选人的情况在克州公共资源交易中心网、新疆政府采购网予以公示，</w:t>
      </w:r>
      <w:r>
        <w:rPr>
          <w:rFonts w:hint="eastAsia" w:ascii="仿宋" w:hAnsi="仿宋" w:eastAsia="仿宋" w:cs="仿宋"/>
          <w:b/>
          <w:bCs/>
          <w:szCs w:val="21"/>
          <w:highlight w:val="none"/>
        </w:rPr>
        <w:t>公示期为一个工作日。待公示期结束后，</w:t>
      </w:r>
      <w:r>
        <w:rPr>
          <w:rFonts w:hint="eastAsia" w:ascii="仿宋" w:hAnsi="仿宋" w:eastAsia="仿宋" w:cs="仿宋"/>
          <w:szCs w:val="21"/>
          <w:highlight w:val="none"/>
        </w:rPr>
        <w:t>采购组织机构向中标人发出中标通知书。</w:t>
      </w:r>
    </w:p>
    <w:p w14:paraId="0428AA18">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42.2成交通知书作为签订合同的重要依据，对采购人和中标供应商均具有法律效力。采购人改变中标结果或者中标供应商放弃中标项目的都应承担法律责任。成交供应商不得向他人转让中标项目，也不得将中标项目肢解后分别向他人转让。</w:t>
      </w:r>
    </w:p>
    <w:p w14:paraId="028DECE2">
      <w:pPr>
        <w:spacing w:before="156" w:beforeLines="50" w:line="440" w:lineRule="exact"/>
        <w:jc w:val="center"/>
        <w:outlineLvl w:val="2"/>
        <w:rPr>
          <w:rFonts w:hint="eastAsia" w:ascii="仿宋" w:hAnsi="仿宋" w:eastAsia="仿宋" w:cs="仿宋"/>
          <w:b/>
          <w:bCs/>
          <w:sz w:val="28"/>
          <w:szCs w:val="28"/>
          <w:highlight w:val="none"/>
        </w:rPr>
      </w:pPr>
      <w:bookmarkStart w:id="66" w:name="_Toc21524"/>
      <w:bookmarkStart w:id="67" w:name="_Toc30216"/>
      <w:r>
        <w:rPr>
          <w:rFonts w:hint="eastAsia" w:ascii="仿宋" w:hAnsi="仿宋" w:eastAsia="仿宋" w:cs="仿宋"/>
          <w:b/>
          <w:bCs/>
          <w:sz w:val="28"/>
          <w:szCs w:val="28"/>
          <w:highlight w:val="none"/>
        </w:rPr>
        <w:t>（六）合同的授予</w:t>
      </w:r>
      <w:bookmarkEnd w:id="65"/>
      <w:bookmarkEnd w:id="66"/>
      <w:bookmarkEnd w:id="67"/>
    </w:p>
    <w:p w14:paraId="725A4BBB">
      <w:pPr>
        <w:spacing w:line="440" w:lineRule="exact"/>
        <w:ind w:firstLine="210" w:firstLineChars="100"/>
        <w:jc w:val="left"/>
        <w:outlineLvl w:val="3"/>
        <w:rPr>
          <w:rFonts w:hint="eastAsia" w:ascii="仿宋" w:hAnsi="仿宋" w:eastAsia="仿宋" w:cs="仿宋"/>
          <w:b/>
          <w:bCs/>
          <w:szCs w:val="21"/>
          <w:highlight w:val="none"/>
        </w:rPr>
      </w:pPr>
      <w:bookmarkStart w:id="68" w:name="_Toc73975842"/>
      <w:bookmarkStart w:id="69" w:name="_Toc469495730"/>
      <w:r>
        <w:rPr>
          <w:rFonts w:hint="eastAsia" w:ascii="仿宋" w:hAnsi="仿宋" w:eastAsia="仿宋" w:cs="仿宋"/>
          <w:b/>
          <w:bCs/>
          <w:szCs w:val="21"/>
          <w:highlight w:val="none"/>
        </w:rPr>
        <w:t>43．履约保证金</w:t>
      </w:r>
      <w:bookmarkEnd w:id="68"/>
    </w:p>
    <w:p w14:paraId="4D791628">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43.1 中标供应商在签订合同后5个工作日内向采购人交纳不超过中标价</w:t>
      </w:r>
      <w:r>
        <w:rPr>
          <w:rFonts w:hint="eastAsia" w:ascii="仿宋" w:hAnsi="仿宋" w:eastAsia="仿宋" w:cs="仿宋"/>
          <w:szCs w:val="21"/>
          <w:highlight w:val="none"/>
          <w:u w:val="single"/>
          <w:lang w:val="en-US" w:eastAsia="zh-CN"/>
        </w:rPr>
        <w:t>/</w:t>
      </w:r>
      <w:r>
        <w:rPr>
          <w:rFonts w:hint="eastAsia" w:ascii="仿宋" w:hAnsi="仿宋" w:eastAsia="仿宋" w:cs="仿宋"/>
          <w:szCs w:val="21"/>
          <w:highlight w:val="none"/>
        </w:rPr>
        <w:t>的履约保证金（鼓励以银行、保险公司出具的履约保函形式提交；若以电汇、银行转账方式提交的，必须转到采购人的指定账户）。</w:t>
      </w:r>
    </w:p>
    <w:p w14:paraId="176132D7">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43.2 签订合同后，如中标供应商不按合同约定履约的，履约保证金不予退还，履约保证金不足以赔偿损失的，按实际损失赔偿。</w:t>
      </w:r>
    </w:p>
    <w:p w14:paraId="11504753">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43.3 如果中标供应商在建设期内没有涉及采购人的应付而未付金额或违约行为，采购人在项目验收合格后或提前终止合同后全额无息退还履约保证金。</w:t>
      </w:r>
    </w:p>
    <w:p w14:paraId="5BC6BF40">
      <w:pPr>
        <w:spacing w:line="440" w:lineRule="exact"/>
        <w:ind w:firstLine="210" w:firstLineChars="100"/>
        <w:jc w:val="left"/>
        <w:outlineLvl w:val="3"/>
        <w:rPr>
          <w:rFonts w:hint="eastAsia" w:ascii="仿宋" w:hAnsi="仿宋" w:eastAsia="仿宋" w:cs="仿宋"/>
          <w:b/>
          <w:bCs/>
          <w:szCs w:val="21"/>
          <w:highlight w:val="none"/>
        </w:rPr>
      </w:pPr>
      <w:bookmarkStart w:id="70" w:name="_Toc73975843"/>
      <w:r>
        <w:rPr>
          <w:rFonts w:hint="eastAsia" w:ascii="仿宋" w:hAnsi="仿宋" w:eastAsia="仿宋" w:cs="仿宋"/>
          <w:b/>
          <w:bCs/>
          <w:szCs w:val="21"/>
          <w:highlight w:val="none"/>
        </w:rPr>
        <w:t>44．签订合同及公告</w:t>
      </w:r>
      <w:bookmarkEnd w:id="70"/>
    </w:p>
    <w:p w14:paraId="11B2A052">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44.1采购人在中标通知书发出之日起30日内与中标供应商签订合同。</w:t>
      </w:r>
    </w:p>
    <w:p w14:paraId="281B65EB">
      <w:pPr>
        <w:spacing w:line="440" w:lineRule="exact"/>
        <w:ind w:firstLine="210" w:firstLineChars="100"/>
        <w:jc w:val="left"/>
        <w:outlineLvl w:val="9"/>
        <w:rPr>
          <w:rFonts w:hint="eastAsia" w:ascii="仿宋" w:hAnsi="仿宋" w:eastAsia="仿宋" w:cs="仿宋"/>
          <w:szCs w:val="21"/>
          <w:highlight w:val="none"/>
        </w:rPr>
      </w:pPr>
      <w:r>
        <w:rPr>
          <w:rFonts w:hint="eastAsia" w:ascii="仿宋" w:hAnsi="仿宋" w:eastAsia="仿宋" w:cs="仿宋"/>
          <w:szCs w:val="21"/>
          <w:highlight w:val="none"/>
        </w:rPr>
        <w:t>44.2中标供应商拖延、拒签合同的,取消中标资格。</w:t>
      </w:r>
    </w:p>
    <w:p w14:paraId="49444169">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44.3 采购文件、中标供应商的投标文件及评标过程中有关澄清文件等均作为签订合同的依据。所签订的合同不得对采购文件和中标供应商的投标文件的内容作实质性修改。</w:t>
      </w:r>
    </w:p>
    <w:p w14:paraId="3BF3E964">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44.4采购人应当自政府采购合同签订之日起2个工作日内，在省级以上财政部门指定的政府采购信息发布媒体及相关网站上公告。</w:t>
      </w:r>
    </w:p>
    <w:p w14:paraId="26A88C66">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44.5采购人应当自政府采购合同签订之日起7个工作日内，将政府采购合同副本报同级人民政府财政部门备案以及采购代理机构存档。</w:t>
      </w:r>
    </w:p>
    <w:p w14:paraId="17C016B1">
      <w:pPr>
        <w:adjustRightInd w:val="0"/>
        <w:snapToGrid w:val="0"/>
        <w:spacing w:line="440" w:lineRule="exact"/>
        <w:jc w:val="center"/>
        <w:outlineLvl w:val="2"/>
        <w:rPr>
          <w:rFonts w:hint="eastAsia" w:ascii="仿宋" w:hAnsi="仿宋" w:eastAsia="仿宋" w:cs="仿宋"/>
          <w:b/>
          <w:bCs/>
          <w:sz w:val="28"/>
          <w:szCs w:val="28"/>
          <w:highlight w:val="none"/>
        </w:rPr>
      </w:pPr>
      <w:bookmarkStart w:id="71" w:name="_Toc29743"/>
      <w:bookmarkStart w:id="72" w:name="_Toc3036"/>
      <w:r>
        <w:rPr>
          <w:rFonts w:hint="eastAsia" w:ascii="仿宋" w:hAnsi="仿宋" w:eastAsia="仿宋" w:cs="仿宋"/>
          <w:b/>
          <w:bCs/>
          <w:sz w:val="28"/>
          <w:szCs w:val="28"/>
          <w:highlight w:val="none"/>
        </w:rPr>
        <w:t>（七）纪律和监督</w:t>
      </w:r>
      <w:bookmarkEnd w:id="69"/>
      <w:bookmarkEnd w:id="71"/>
      <w:bookmarkEnd w:id="72"/>
    </w:p>
    <w:p w14:paraId="0D5E26F1">
      <w:pPr>
        <w:spacing w:line="440" w:lineRule="exact"/>
        <w:ind w:firstLine="308" w:firstLineChars="147"/>
        <w:jc w:val="left"/>
        <w:outlineLvl w:val="3"/>
        <w:rPr>
          <w:rFonts w:hint="eastAsia" w:ascii="仿宋" w:hAnsi="仿宋" w:eastAsia="仿宋" w:cs="仿宋"/>
          <w:b/>
          <w:szCs w:val="21"/>
          <w:highlight w:val="none"/>
        </w:rPr>
      </w:pPr>
      <w:r>
        <w:rPr>
          <w:rFonts w:hint="eastAsia" w:ascii="仿宋" w:hAnsi="仿宋" w:eastAsia="仿宋" w:cs="仿宋"/>
          <w:b/>
          <w:szCs w:val="21"/>
          <w:highlight w:val="none"/>
        </w:rPr>
        <w:t xml:space="preserve">45. 对招标人的纪律要求 </w:t>
      </w:r>
    </w:p>
    <w:p w14:paraId="0D567F68">
      <w:pPr>
        <w:adjustRightInd w:val="0"/>
        <w:snapToGrid w:val="0"/>
        <w:spacing w:line="440" w:lineRule="exact"/>
        <w:ind w:firstLine="315" w:firstLineChars="150"/>
        <w:rPr>
          <w:rFonts w:hint="eastAsia" w:ascii="仿宋" w:hAnsi="仿宋" w:eastAsia="仿宋" w:cs="仿宋"/>
          <w:kern w:val="10"/>
          <w:szCs w:val="21"/>
          <w:highlight w:val="none"/>
        </w:rPr>
      </w:pPr>
      <w:r>
        <w:rPr>
          <w:rFonts w:hint="eastAsia" w:ascii="仿宋" w:hAnsi="仿宋" w:eastAsia="仿宋" w:cs="仿宋"/>
          <w:kern w:val="10"/>
          <w:szCs w:val="21"/>
          <w:highlight w:val="none"/>
        </w:rPr>
        <w:t xml:space="preserve">45.1招标人不得泄漏招标投标活动中应当保密的情况和资料，不得与投标人串通损害国家利益，社会公共利益或者他人合法权益。 </w:t>
      </w:r>
    </w:p>
    <w:p w14:paraId="40BACAD4">
      <w:pPr>
        <w:spacing w:line="440" w:lineRule="exact"/>
        <w:ind w:firstLine="308" w:firstLineChars="147"/>
        <w:jc w:val="left"/>
        <w:outlineLvl w:val="3"/>
        <w:rPr>
          <w:rFonts w:hint="eastAsia" w:ascii="仿宋" w:hAnsi="仿宋" w:eastAsia="仿宋" w:cs="仿宋"/>
          <w:b/>
          <w:szCs w:val="21"/>
          <w:highlight w:val="none"/>
        </w:rPr>
      </w:pPr>
      <w:r>
        <w:rPr>
          <w:rFonts w:hint="eastAsia" w:ascii="仿宋" w:hAnsi="仿宋" w:eastAsia="仿宋" w:cs="仿宋"/>
          <w:b/>
          <w:szCs w:val="21"/>
          <w:highlight w:val="none"/>
        </w:rPr>
        <w:t xml:space="preserve">46. 对投标人的纪律要求 </w:t>
      </w:r>
    </w:p>
    <w:p w14:paraId="4D62FDBA">
      <w:pPr>
        <w:adjustRightInd w:val="0"/>
        <w:snapToGrid w:val="0"/>
        <w:spacing w:line="440" w:lineRule="exact"/>
        <w:ind w:firstLine="315" w:firstLineChars="150"/>
        <w:rPr>
          <w:rFonts w:hint="eastAsia" w:ascii="仿宋" w:hAnsi="仿宋" w:eastAsia="仿宋" w:cs="仿宋"/>
          <w:kern w:val="10"/>
          <w:szCs w:val="21"/>
          <w:highlight w:val="none"/>
        </w:rPr>
      </w:pPr>
      <w:r>
        <w:rPr>
          <w:rFonts w:hint="eastAsia" w:ascii="仿宋" w:hAnsi="仿宋" w:eastAsia="仿宋" w:cs="仿宋"/>
          <w:kern w:val="10"/>
          <w:szCs w:val="21"/>
          <w:highlight w:val="none"/>
        </w:rPr>
        <w:t>46.1投标人不得相互串通投标或者与招标人串通投标，不得向招标人或者评标委员会成员行贿谋取中标，不得以他人名义投标或者以其他方式弄虚作假骗取中标；投标人不得以任何方式干扰、影响评标工作。</w:t>
      </w:r>
    </w:p>
    <w:p w14:paraId="2AB68E4B">
      <w:pPr>
        <w:spacing w:line="440" w:lineRule="exact"/>
        <w:ind w:firstLine="308" w:firstLineChars="147"/>
        <w:jc w:val="left"/>
        <w:outlineLvl w:val="3"/>
        <w:rPr>
          <w:rFonts w:hint="eastAsia" w:ascii="仿宋" w:hAnsi="仿宋" w:eastAsia="仿宋" w:cs="仿宋"/>
          <w:b/>
          <w:szCs w:val="21"/>
          <w:highlight w:val="none"/>
        </w:rPr>
      </w:pPr>
      <w:r>
        <w:rPr>
          <w:rFonts w:hint="eastAsia" w:ascii="仿宋" w:hAnsi="仿宋" w:eastAsia="仿宋" w:cs="仿宋"/>
          <w:b/>
          <w:szCs w:val="21"/>
          <w:highlight w:val="none"/>
        </w:rPr>
        <w:t xml:space="preserve">47. 对评标委员会成员的纪律要求 </w:t>
      </w:r>
    </w:p>
    <w:p w14:paraId="62D69FAF">
      <w:pPr>
        <w:adjustRightInd w:val="0"/>
        <w:snapToGrid w:val="0"/>
        <w:spacing w:line="440" w:lineRule="exact"/>
        <w:ind w:firstLine="315" w:firstLineChars="150"/>
        <w:rPr>
          <w:rFonts w:hint="eastAsia" w:ascii="仿宋" w:hAnsi="仿宋" w:eastAsia="仿宋" w:cs="仿宋"/>
          <w:kern w:val="10"/>
          <w:szCs w:val="21"/>
          <w:highlight w:val="none"/>
        </w:rPr>
      </w:pPr>
      <w:r>
        <w:rPr>
          <w:rFonts w:hint="eastAsia" w:ascii="仿宋" w:hAnsi="仿宋" w:eastAsia="仿宋" w:cs="仿宋"/>
          <w:kern w:val="10"/>
          <w:szCs w:val="21"/>
          <w:highlight w:val="none"/>
        </w:rPr>
        <w:t>47.1评标委员会成员不得收受他人的财物或者其他好处，不得向他人透漏对投标文件的评审和比较、中标候选人的推荐情况以及评标有关的其他情况。</w:t>
      </w:r>
    </w:p>
    <w:p w14:paraId="6AE9D237">
      <w:pPr>
        <w:adjustRightInd w:val="0"/>
        <w:snapToGrid w:val="0"/>
        <w:spacing w:line="440" w:lineRule="exact"/>
        <w:ind w:firstLine="315" w:firstLineChars="150"/>
        <w:rPr>
          <w:rFonts w:hint="eastAsia" w:ascii="仿宋" w:hAnsi="仿宋" w:eastAsia="仿宋" w:cs="仿宋"/>
          <w:kern w:val="10"/>
          <w:szCs w:val="21"/>
          <w:highlight w:val="none"/>
        </w:rPr>
      </w:pPr>
      <w:r>
        <w:rPr>
          <w:rFonts w:hint="eastAsia" w:ascii="仿宋" w:hAnsi="仿宋" w:eastAsia="仿宋" w:cs="仿宋"/>
          <w:kern w:val="10"/>
          <w:szCs w:val="21"/>
          <w:highlight w:val="none"/>
        </w:rPr>
        <w:t xml:space="preserve">47.2在评标活动中，评标委员会成员不得擅离职守，影响评标程序正常进行，不得使用第三章“评标办法”没有规定的评审因素和标准进行评标。 </w:t>
      </w:r>
    </w:p>
    <w:p w14:paraId="0F9AFE9F">
      <w:pPr>
        <w:spacing w:line="440" w:lineRule="exact"/>
        <w:ind w:firstLine="308" w:firstLineChars="147"/>
        <w:jc w:val="left"/>
        <w:outlineLvl w:val="3"/>
        <w:rPr>
          <w:rFonts w:hint="eastAsia" w:ascii="仿宋" w:hAnsi="仿宋" w:eastAsia="仿宋" w:cs="仿宋"/>
          <w:b/>
          <w:szCs w:val="21"/>
          <w:highlight w:val="none"/>
        </w:rPr>
      </w:pPr>
      <w:r>
        <w:rPr>
          <w:rFonts w:hint="eastAsia" w:ascii="仿宋" w:hAnsi="仿宋" w:eastAsia="仿宋" w:cs="仿宋"/>
          <w:b/>
          <w:szCs w:val="21"/>
          <w:highlight w:val="none"/>
        </w:rPr>
        <w:t xml:space="preserve">48. 对与评标活动有关的工作人员的纪律要求 </w:t>
      </w:r>
    </w:p>
    <w:p w14:paraId="359051B9">
      <w:pPr>
        <w:adjustRightInd w:val="0"/>
        <w:snapToGrid w:val="0"/>
        <w:spacing w:line="440" w:lineRule="exact"/>
        <w:ind w:firstLine="315" w:firstLineChars="150"/>
        <w:rPr>
          <w:rFonts w:hint="eastAsia" w:ascii="仿宋" w:hAnsi="仿宋" w:eastAsia="仿宋" w:cs="仿宋"/>
          <w:kern w:val="10"/>
          <w:szCs w:val="21"/>
          <w:highlight w:val="none"/>
        </w:rPr>
      </w:pPr>
      <w:r>
        <w:rPr>
          <w:rFonts w:hint="eastAsia" w:ascii="仿宋" w:hAnsi="仿宋" w:eastAsia="仿宋" w:cs="仿宋"/>
          <w:kern w:val="10"/>
          <w:szCs w:val="21"/>
          <w:highlight w:val="none"/>
        </w:rPr>
        <w:t>48.1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53015A6">
      <w:pPr>
        <w:spacing w:before="156" w:beforeLines="50" w:after="156" w:afterLines="50" w:line="500" w:lineRule="exact"/>
        <w:jc w:val="center"/>
        <w:outlineLvl w:val="2"/>
        <w:rPr>
          <w:rFonts w:hint="eastAsia" w:ascii="仿宋" w:hAnsi="仿宋" w:eastAsia="仿宋" w:cs="仿宋"/>
          <w:b/>
          <w:bCs/>
          <w:sz w:val="28"/>
          <w:szCs w:val="28"/>
          <w:highlight w:val="none"/>
        </w:rPr>
      </w:pPr>
      <w:bookmarkStart w:id="73" w:name="_Toc25735"/>
      <w:r>
        <w:rPr>
          <w:rFonts w:hint="eastAsia" w:ascii="仿宋" w:hAnsi="仿宋" w:eastAsia="仿宋" w:cs="仿宋"/>
          <w:b/>
          <w:bCs/>
          <w:sz w:val="28"/>
          <w:szCs w:val="28"/>
          <w:highlight w:val="none"/>
        </w:rPr>
        <w:t>（八）质疑与投诉</w:t>
      </w:r>
      <w:bookmarkEnd w:id="73"/>
    </w:p>
    <w:p w14:paraId="303F33D4">
      <w:pPr>
        <w:spacing w:line="440" w:lineRule="exact"/>
        <w:ind w:firstLine="210" w:firstLineChars="100"/>
        <w:jc w:val="left"/>
        <w:outlineLvl w:val="3"/>
        <w:rPr>
          <w:rFonts w:hint="eastAsia" w:ascii="仿宋" w:hAnsi="仿宋" w:eastAsia="仿宋" w:cs="仿宋"/>
          <w:b/>
          <w:bCs/>
          <w:szCs w:val="21"/>
          <w:highlight w:val="none"/>
        </w:rPr>
      </w:pPr>
      <w:r>
        <w:rPr>
          <w:rFonts w:hint="eastAsia" w:ascii="仿宋" w:hAnsi="仿宋" w:eastAsia="仿宋" w:cs="仿宋"/>
          <w:b/>
          <w:bCs/>
          <w:szCs w:val="21"/>
          <w:highlight w:val="none"/>
        </w:rPr>
        <w:t>49．质疑和投诉</w:t>
      </w:r>
    </w:p>
    <w:p w14:paraId="11269C59">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14:paraId="4EAA5A92">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（一）对可以质疑的采购文件提出质疑的，为收到采购文件之日或者采购文件公告期限届满之日；</w:t>
      </w:r>
    </w:p>
    <w:p w14:paraId="0ACB68A5">
      <w:pPr>
        <w:spacing w:line="440" w:lineRule="exact"/>
        <w:ind w:firstLine="210" w:firstLineChars="100"/>
        <w:jc w:val="left"/>
        <w:outlineLvl w:val="9"/>
        <w:rPr>
          <w:rFonts w:hint="eastAsia" w:ascii="仿宋" w:hAnsi="仿宋" w:eastAsia="仿宋" w:cs="仿宋"/>
          <w:szCs w:val="21"/>
          <w:highlight w:val="none"/>
        </w:rPr>
      </w:pPr>
      <w:r>
        <w:rPr>
          <w:rFonts w:hint="eastAsia" w:ascii="仿宋" w:hAnsi="仿宋" w:eastAsia="仿宋" w:cs="仿宋"/>
          <w:szCs w:val="21"/>
          <w:highlight w:val="none"/>
        </w:rPr>
        <w:t>（二）对采购过程提出质疑的，为各采购程序环节结束之日；</w:t>
      </w:r>
    </w:p>
    <w:p w14:paraId="329AC216">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（三）对中标或者成交结果提出质疑的，为中标或者成交结果公告期限届满之日。</w:t>
      </w:r>
    </w:p>
    <w:p w14:paraId="0957A985">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14:paraId="4253860E">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供应商为自然人的，应当由本人签字；供应商为法人或者其他组织的，应当由法定代表人、主要负责人，或者其授权代表签字或者盖章，并加盖公章。</w:t>
      </w:r>
    </w:p>
    <w:p w14:paraId="2F8717C0">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49.3供应商质疑、投诉应当有明确的请求和必要的证明材料。供应商投诉的事项不得超出已质疑事项的范围。采购人及采购代理机构按《政府采购质疑和投诉办法》进行处理供应商质疑事项。</w:t>
      </w:r>
    </w:p>
    <w:p w14:paraId="1AE5DCA0">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49.4质疑供应商对采购人、采购代理机构的质疑答复不满意，或者采购人、采购代理机构未在规定期限内作出答复的，供应商可以在答复期满后15个工作日内向同级财政部门提起投诉。</w:t>
      </w:r>
    </w:p>
    <w:p w14:paraId="48BA4DE3">
      <w:pPr>
        <w:spacing w:line="440" w:lineRule="exact"/>
        <w:ind w:firstLine="210" w:firstLineChars="100"/>
        <w:jc w:val="left"/>
        <w:outlineLvl w:val="9"/>
        <w:rPr>
          <w:rFonts w:hint="eastAsia" w:ascii="仿宋" w:hAnsi="仿宋" w:eastAsia="仿宋" w:cs="仿宋"/>
          <w:szCs w:val="21"/>
          <w:highlight w:val="none"/>
        </w:rPr>
      </w:pPr>
      <w:r>
        <w:rPr>
          <w:rFonts w:hint="eastAsia" w:ascii="仿宋" w:hAnsi="仿宋" w:eastAsia="仿宋" w:cs="仿宋"/>
          <w:szCs w:val="21"/>
          <w:highlight w:val="none"/>
        </w:rPr>
        <w:t>49.5供应商有下列情形之一的，将其列入不良行为记录名单：</w:t>
      </w:r>
    </w:p>
    <w:p w14:paraId="369B7559">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（一）一年内三次以上质疑均查无实据的；</w:t>
      </w:r>
    </w:p>
    <w:p w14:paraId="72EBE070">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（二）捏造事实或者提供虚假质疑材料的。</w:t>
      </w:r>
    </w:p>
    <w:p w14:paraId="3B0EF732">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（三）以非法手段取得证明材料。证据来源的合法性存在明显疑问，质疑人无法证明其取得方式合法的，视为以非法手段取得证明材料。</w:t>
      </w:r>
    </w:p>
    <w:p w14:paraId="2FBBB478">
      <w:pPr>
        <w:jc w:val="left"/>
        <w:rPr>
          <w:rFonts w:hint="eastAsia" w:ascii="仿宋" w:hAnsi="仿宋" w:eastAsia="仿宋" w:cs="仿宋"/>
          <w:b/>
          <w:bCs/>
          <w:szCs w:val="21"/>
          <w:highlight w:val="none"/>
        </w:rPr>
      </w:pPr>
    </w:p>
    <w:p w14:paraId="4FBEC5EC">
      <w:pPr>
        <w:rPr>
          <w:rFonts w:hint="eastAsia" w:ascii="仿宋" w:hAnsi="仿宋" w:eastAsia="仿宋" w:cs="仿宋"/>
          <w:b/>
          <w:bCs/>
          <w:szCs w:val="21"/>
          <w:highlight w:val="none"/>
        </w:rPr>
      </w:pPr>
      <w:r>
        <w:rPr>
          <w:rFonts w:hint="eastAsia" w:ascii="仿宋" w:hAnsi="仿宋" w:eastAsia="仿宋" w:cs="仿宋"/>
          <w:b/>
          <w:bCs/>
          <w:szCs w:val="21"/>
          <w:highlight w:val="none"/>
        </w:rPr>
        <w:t>附件：</w:t>
      </w:r>
    </w:p>
    <w:p w14:paraId="41BC93F4">
      <w:pPr>
        <w:jc w:val="center"/>
        <w:rPr>
          <w:rFonts w:hint="eastAsia" w:ascii="仿宋" w:hAnsi="仿宋" w:eastAsia="仿宋" w:cs="仿宋"/>
          <w:b/>
          <w:bCs/>
          <w:sz w:val="32"/>
          <w:szCs w:val="32"/>
          <w:highlight w:val="none"/>
        </w:rPr>
      </w:pPr>
    </w:p>
    <w:p w14:paraId="23E86DF7">
      <w:pPr>
        <w:jc w:val="center"/>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政府采购投诉书（范本）</w:t>
      </w:r>
    </w:p>
    <w:p w14:paraId="74B774E0">
      <w:pPr>
        <w:spacing w:line="400" w:lineRule="exact"/>
        <w:jc w:val="center"/>
        <w:rPr>
          <w:rFonts w:hint="eastAsia" w:ascii="仿宋" w:hAnsi="仿宋" w:eastAsia="仿宋" w:cs="仿宋"/>
          <w:sz w:val="24"/>
          <w:szCs w:val="24"/>
          <w:highlight w:val="none"/>
          <w:u w:val="single"/>
        </w:rPr>
      </w:pPr>
    </w:p>
    <w:p w14:paraId="06F1D607">
      <w:pPr>
        <w:spacing w:line="400" w:lineRule="exact"/>
        <w:rPr>
          <w:rFonts w:hint="eastAsia" w:ascii="仿宋" w:hAnsi="仿宋" w:eastAsia="仿宋" w:cs="仿宋"/>
          <w:szCs w:val="21"/>
          <w:highlight w:val="none"/>
        </w:rPr>
      </w:pPr>
      <w:r>
        <w:rPr>
          <w:rFonts w:hint="eastAsia" w:ascii="仿宋" w:hAnsi="仿宋" w:eastAsia="仿宋" w:cs="仿宋"/>
          <w:szCs w:val="21"/>
          <w:highlight w:val="none"/>
        </w:rPr>
        <w:t>投诉人：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法定代表人：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w:t>
      </w:r>
    </w:p>
    <w:p w14:paraId="53149ECC">
      <w:pPr>
        <w:spacing w:line="400" w:lineRule="exact"/>
        <w:rPr>
          <w:rFonts w:hint="eastAsia" w:ascii="仿宋" w:hAnsi="仿宋" w:eastAsia="仿宋" w:cs="仿宋"/>
          <w:szCs w:val="21"/>
          <w:highlight w:val="none"/>
        </w:rPr>
      </w:pPr>
      <w:r>
        <w:rPr>
          <w:rFonts w:hint="eastAsia" w:ascii="仿宋" w:hAnsi="仿宋" w:eastAsia="仿宋" w:cs="仿宋"/>
          <w:szCs w:val="21"/>
          <w:highlight w:val="none"/>
        </w:rPr>
        <w:t>地址：</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电话：</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w:t>
      </w:r>
    </w:p>
    <w:p w14:paraId="4131ECA9">
      <w:pPr>
        <w:spacing w:line="400" w:lineRule="exact"/>
        <w:rPr>
          <w:rFonts w:hint="eastAsia" w:ascii="仿宋" w:hAnsi="仿宋" w:eastAsia="仿宋" w:cs="仿宋"/>
          <w:szCs w:val="21"/>
          <w:highlight w:val="none"/>
        </w:rPr>
      </w:pPr>
      <w:r>
        <w:rPr>
          <w:rFonts w:hint="eastAsia" w:ascii="仿宋" w:hAnsi="仿宋" w:eastAsia="仿宋" w:cs="仿宋"/>
          <w:szCs w:val="21"/>
          <w:highlight w:val="none"/>
        </w:rPr>
        <w:t>委托代理人姓名：</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职务：</w:t>
      </w:r>
      <w:r>
        <w:rPr>
          <w:rFonts w:hint="eastAsia" w:ascii="仿宋" w:hAnsi="仿宋" w:eastAsia="仿宋" w:cs="仿宋"/>
          <w:szCs w:val="21"/>
          <w:highlight w:val="none"/>
          <w:u w:val="single"/>
        </w:rPr>
        <w:t xml:space="preserve">               </w:t>
      </w:r>
    </w:p>
    <w:p w14:paraId="334F3281">
      <w:pPr>
        <w:spacing w:line="400" w:lineRule="exact"/>
        <w:rPr>
          <w:rFonts w:hint="eastAsia" w:ascii="仿宋" w:hAnsi="仿宋" w:eastAsia="仿宋" w:cs="仿宋"/>
          <w:szCs w:val="21"/>
          <w:highlight w:val="none"/>
        </w:rPr>
      </w:pPr>
      <w:r>
        <w:rPr>
          <w:rFonts w:hint="eastAsia" w:ascii="仿宋" w:hAnsi="仿宋" w:eastAsia="仿宋" w:cs="仿宋"/>
          <w:szCs w:val="21"/>
          <w:highlight w:val="none"/>
        </w:rPr>
        <w:t>住址：</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联系电话：</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w:t>
      </w:r>
    </w:p>
    <w:p w14:paraId="2794CA89">
      <w:pPr>
        <w:spacing w:line="400" w:lineRule="exact"/>
        <w:rPr>
          <w:rFonts w:hint="eastAsia" w:ascii="仿宋" w:hAnsi="仿宋" w:eastAsia="仿宋" w:cs="仿宋"/>
          <w:szCs w:val="21"/>
          <w:highlight w:val="none"/>
        </w:rPr>
      </w:pPr>
      <w:r>
        <w:rPr>
          <w:rFonts w:hint="eastAsia" w:ascii="仿宋" w:hAnsi="仿宋" w:eastAsia="仿宋" w:cs="仿宋"/>
          <w:szCs w:val="21"/>
          <w:highlight w:val="none"/>
        </w:rPr>
        <w:t>被投诉人：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法定代表人：</w:t>
      </w:r>
      <w:r>
        <w:rPr>
          <w:rFonts w:hint="eastAsia" w:ascii="仿宋" w:hAnsi="仿宋" w:eastAsia="仿宋" w:cs="仿宋"/>
          <w:szCs w:val="21"/>
          <w:highlight w:val="none"/>
          <w:u w:val="single"/>
        </w:rPr>
        <w:t xml:space="preserve">         </w:t>
      </w:r>
    </w:p>
    <w:p w14:paraId="0A62D8DE">
      <w:pPr>
        <w:spacing w:line="400" w:lineRule="exact"/>
        <w:rPr>
          <w:rFonts w:hint="eastAsia" w:ascii="仿宋" w:hAnsi="仿宋" w:eastAsia="仿宋" w:cs="仿宋"/>
          <w:szCs w:val="21"/>
          <w:highlight w:val="none"/>
          <w:u w:val="single"/>
        </w:rPr>
      </w:pPr>
      <w:r>
        <w:rPr>
          <w:rFonts w:hint="eastAsia" w:ascii="仿宋" w:hAnsi="仿宋" w:eastAsia="仿宋" w:cs="仿宋"/>
          <w:szCs w:val="21"/>
          <w:highlight w:val="none"/>
        </w:rPr>
        <w:t>地址：</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电话：</w:t>
      </w:r>
      <w:r>
        <w:rPr>
          <w:rFonts w:hint="eastAsia" w:ascii="仿宋" w:hAnsi="仿宋" w:eastAsia="仿宋" w:cs="仿宋"/>
          <w:szCs w:val="21"/>
          <w:highlight w:val="none"/>
          <w:u w:val="single"/>
        </w:rPr>
        <w:t xml:space="preserve">               </w:t>
      </w:r>
    </w:p>
    <w:p w14:paraId="4CACFA71">
      <w:pPr>
        <w:spacing w:line="400" w:lineRule="exact"/>
        <w:ind w:firstLine="420" w:firstLineChars="200"/>
        <w:rPr>
          <w:rFonts w:hint="eastAsia" w:ascii="仿宋" w:hAnsi="仿宋" w:eastAsia="仿宋" w:cs="仿宋"/>
          <w:szCs w:val="21"/>
          <w:highlight w:val="none"/>
        </w:rPr>
      </w:pPr>
    </w:p>
    <w:p w14:paraId="5197B34B">
      <w:pPr>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我公司参加了</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年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日被投诉人组织的</w:t>
      </w:r>
      <w:r>
        <w:rPr>
          <w:rFonts w:hint="eastAsia" w:ascii="仿宋" w:hAnsi="仿宋" w:eastAsia="仿宋" w:cs="仿宋"/>
          <w:szCs w:val="21"/>
          <w:highlight w:val="none"/>
          <w:u w:val="single"/>
        </w:rPr>
        <w:t>（采购人）（项目名称）（项目编号）</w:t>
      </w:r>
      <w:r>
        <w:rPr>
          <w:rFonts w:hint="eastAsia" w:ascii="仿宋" w:hAnsi="仿宋" w:eastAsia="仿宋" w:cs="仿宋"/>
          <w:szCs w:val="21"/>
          <w:highlight w:val="none"/>
        </w:rPr>
        <w:t>的采购活动，我公司认为该项目的</w:t>
      </w:r>
      <w:r>
        <w:rPr>
          <w:rFonts w:hint="eastAsia" w:ascii="仿宋" w:hAnsi="仿宋" w:eastAsia="仿宋" w:cs="仿宋"/>
          <w:szCs w:val="21"/>
          <w:highlight w:val="none"/>
          <w:u w:val="single"/>
        </w:rPr>
        <w:t>（采购文件/采购过程/中标（中标）结果）</w:t>
      </w:r>
      <w:r>
        <w:rPr>
          <w:rFonts w:hint="eastAsia" w:ascii="仿宋" w:hAnsi="仿宋" w:eastAsia="仿宋" w:cs="仿宋"/>
          <w:szCs w:val="21"/>
          <w:highlight w:val="none"/>
        </w:rPr>
        <w:t>损害了我公司权益，对此，我公司于</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日向</w:t>
      </w:r>
      <w:r>
        <w:rPr>
          <w:rFonts w:hint="eastAsia" w:ascii="仿宋" w:hAnsi="仿宋" w:eastAsia="仿宋" w:cs="仿宋"/>
          <w:szCs w:val="21"/>
          <w:highlight w:val="none"/>
          <w:u w:val="single"/>
        </w:rPr>
        <w:t>（采购人或者政府采购代理机构）</w:t>
      </w:r>
      <w:r>
        <w:rPr>
          <w:rFonts w:hint="eastAsia" w:ascii="仿宋" w:hAnsi="仿宋" w:eastAsia="仿宋" w:cs="仿宋"/>
          <w:szCs w:val="21"/>
          <w:highlight w:val="none"/>
        </w:rPr>
        <w:t>提出了质疑，</w:t>
      </w:r>
      <w:r>
        <w:rPr>
          <w:rFonts w:hint="eastAsia" w:ascii="仿宋" w:hAnsi="仿宋" w:eastAsia="仿宋" w:cs="仿宋"/>
          <w:szCs w:val="21"/>
          <w:highlight w:val="none"/>
          <w:u w:val="single"/>
        </w:rPr>
        <w:t>（其于    年  月  日作出书面答复，因对其作出的答复不满意）/（被质疑人未在法定期内予以答复，按照政府采购有关规定）</w:t>
      </w:r>
      <w:r>
        <w:rPr>
          <w:rFonts w:hint="eastAsia" w:ascii="仿宋" w:hAnsi="仿宋" w:eastAsia="仿宋" w:cs="仿宋"/>
          <w:szCs w:val="21"/>
          <w:highlight w:val="none"/>
        </w:rPr>
        <w:t>，现向贵机关提起投诉：</w:t>
      </w:r>
    </w:p>
    <w:p w14:paraId="45B8DA92">
      <w:pPr>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w:t>
      </w:r>
      <w:r>
        <w:rPr>
          <w:rFonts w:hint="eastAsia" w:ascii="仿宋" w:hAnsi="仿宋" w:eastAsia="仿宋" w:cs="仿宋"/>
          <w:szCs w:val="21"/>
          <w:highlight w:val="none"/>
          <w:u w:val="single"/>
        </w:rPr>
        <w:t>具体的投诉事项及事实依据；</w:t>
      </w:r>
    </w:p>
    <w:p w14:paraId="7AC6DF23">
      <w:pPr>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w:t>
      </w:r>
      <w:r>
        <w:rPr>
          <w:rFonts w:hint="eastAsia" w:ascii="仿宋" w:hAnsi="仿宋" w:eastAsia="仿宋" w:cs="仿宋"/>
          <w:szCs w:val="21"/>
          <w:highlight w:val="none"/>
          <w:u w:val="single"/>
        </w:rPr>
        <w:t>质疑和质疑答复情况简要描述；</w:t>
      </w:r>
    </w:p>
    <w:p w14:paraId="2132B138">
      <w:pPr>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w:t>
      </w:r>
      <w:r>
        <w:rPr>
          <w:rFonts w:hint="eastAsia" w:ascii="仿宋" w:hAnsi="仿宋" w:eastAsia="仿宋" w:cs="仿宋"/>
          <w:szCs w:val="21"/>
          <w:highlight w:val="none"/>
          <w:u w:val="single"/>
        </w:rPr>
        <w:t>投诉请求。</w:t>
      </w:r>
    </w:p>
    <w:p w14:paraId="1A9DFCF6">
      <w:pPr>
        <w:spacing w:line="400" w:lineRule="exact"/>
        <w:rPr>
          <w:rFonts w:hint="eastAsia" w:ascii="仿宋" w:hAnsi="仿宋" w:eastAsia="仿宋" w:cs="仿宋"/>
          <w:szCs w:val="21"/>
          <w:highlight w:val="none"/>
        </w:rPr>
      </w:pPr>
      <w:r>
        <w:rPr>
          <w:rFonts w:hint="eastAsia" w:ascii="仿宋" w:hAnsi="仿宋" w:eastAsia="仿宋" w:cs="仿宋"/>
          <w:szCs w:val="21"/>
          <w:highlight w:val="none"/>
        </w:rPr>
        <w:t>附件：</w:t>
      </w:r>
    </w:p>
    <w:p w14:paraId="6F9B1715">
      <w:pPr>
        <w:spacing w:line="400" w:lineRule="exact"/>
        <w:outlineLvl w:val="9"/>
        <w:rPr>
          <w:rFonts w:hint="eastAsia" w:ascii="仿宋" w:hAnsi="仿宋" w:eastAsia="仿宋" w:cs="仿宋"/>
          <w:szCs w:val="21"/>
          <w:highlight w:val="none"/>
        </w:rPr>
      </w:pPr>
      <w:r>
        <w:rPr>
          <w:rFonts w:hint="eastAsia" w:ascii="仿宋" w:hAnsi="仿宋" w:eastAsia="仿宋" w:cs="仿宋"/>
          <w:szCs w:val="21"/>
          <w:highlight w:val="none"/>
        </w:rPr>
        <w:t>1.质疑书和质疑答复书；</w:t>
      </w:r>
    </w:p>
    <w:p w14:paraId="646B6642">
      <w:pPr>
        <w:spacing w:line="400" w:lineRule="exact"/>
        <w:rPr>
          <w:rFonts w:hint="eastAsia" w:ascii="仿宋" w:hAnsi="仿宋" w:eastAsia="仿宋" w:cs="仿宋"/>
          <w:szCs w:val="21"/>
          <w:highlight w:val="none"/>
        </w:rPr>
      </w:pPr>
      <w:r>
        <w:rPr>
          <w:rFonts w:hint="eastAsia" w:ascii="仿宋" w:hAnsi="仿宋" w:eastAsia="仿宋" w:cs="仿宋"/>
          <w:szCs w:val="21"/>
          <w:highlight w:val="none"/>
        </w:rPr>
        <w:t>2.证据材料（需注明证据来源），证人的姓名、住址和联系方式等；</w:t>
      </w:r>
    </w:p>
    <w:p w14:paraId="5084A956">
      <w:pPr>
        <w:spacing w:line="400" w:lineRule="exact"/>
        <w:rPr>
          <w:rFonts w:hint="eastAsia" w:ascii="仿宋" w:hAnsi="仿宋" w:eastAsia="仿宋" w:cs="仿宋"/>
          <w:szCs w:val="21"/>
          <w:highlight w:val="none"/>
        </w:rPr>
      </w:pPr>
      <w:r>
        <w:rPr>
          <w:rFonts w:hint="eastAsia" w:ascii="仿宋" w:hAnsi="仿宋" w:eastAsia="仿宋" w:cs="仿宋"/>
          <w:szCs w:val="21"/>
          <w:highlight w:val="none"/>
        </w:rPr>
        <w:t>3.营业执照；</w:t>
      </w:r>
    </w:p>
    <w:p w14:paraId="369EAA3F">
      <w:pPr>
        <w:spacing w:line="400" w:lineRule="exact"/>
        <w:rPr>
          <w:rFonts w:hint="eastAsia" w:ascii="仿宋" w:hAnsi="仿宋" w:eastAsia="仿宋" w:cs="仿宋"/>
          <w:szCs w:val="21"/>
          <w:highlight w:val="none"/>
        </w:rPr>
      </w:pPr>
      <w:r>
        <w:rPr>
          <w:rFonts w:hint="eastAsia" w:ascii="仿宋" w:hAnsi="仿宋" w:eastAsia="仿宋" w:cs="仿宋"/>
          <w:szCs w:val="21"/>
          <w:highlight w:val="none"/>
        </w:rPr>
        <w:t>4.法定代表人身份证明函</w:t>
      </w:r>
    </w:p>
    <w:p w14:paraId="33D174F2">
      <w:pPr>
        <w:spacing w:line="400" w:lineRule="exact"/>
        <w:rPr>
          <w:rFonts w:hint="eastAsia" w:ascii="仿宋" w:hAnsi="仿宋" w:eastAsia="仿宋" w:cs="仿宋"/>
          <w:szCs w:val="21"/>
          <w:highlight w:val="none"/>
        </w:rPr>
      </w:pPr>
      <w:r>
        <w:rPr>
          <w:rFonts w:hint="eastAsia" w:ascii="仿宋" w:hAnsi="仿宋" w:eastAsia="仿宋" w:cs="仿宋"/>
          <w:szCs w:val="21"/>
          <w:highlight w:val="none"/>
        </w:rPr>
        <w:t>5.法定代表人授权委托书（包含法定代表人和委托代理人的身份证复印件）；</w:t>
      </w:r>
    </w:p>
    <w:p w14:paraId="67BFC163">
      <w:pPr>
        <w:spacing w:line="400" w:lineRule="exact"/>
        <w:outlineLvl w:val="9"/>
        <w:rPr>
          <w:rFonts w:hint="eastAsia" w:ascii="仿宋" w:hAnsi="仿宋" w:eastAsia="仿宋" w:cs="仿宋"/>
          <w:szCs w:val="21"/>
          <w:highlight w:val="none"/>
        </w:rPr>
      </w:pPr>
      <w:r>
        <w:rPr>
          <w:rFonts w:hint="eastAsia" w:ascii="仿宋" w:hAnsi="仿宋" w:eastAsia="仿宋" w:cs="仿宋"/>
          <w:szCs w:val="21"/>
          <w:highlight w:val="none"/>
        </w:rPr>
        <w:t>6.政府采购监管部门认为应当提供的其它材料。</w:t>
      </w:r>
    </w:p>
    <w:p w14:paraId="20506279">
      <w:pPr>
        <w:spacing w:line="400" w:lineRule="exact"/>
        <w:jc w:val="right"/>
        <w:rPr>
          <w:rFonts w:hint="eastAsia" w:ascii="仿宋" w:hAnsi="仿宋" w:eastAsia="仿宋" w:cs="仿宋"/>
          <w:szCs w:val="21"/>
          <w:highlight w:val="none"/>
        </w:rPr>
      </w:pPr>
      <w:r>
        <w:rPr>
          <w:rFonts w:hint="eastAsia" w:ascii="仿宋" w:hAnsi="仿宋" w:eastAsia="仿宋" w:cs="仿宋"/>
          <w:szCs w:val="21"/>
          <w:highlight w:val="none"/>
        </w:rPr>
        <w:t>投诉供应商：（盖章）</w:t>
      </w:r>
    </w:p>
    <w:p w14:paraId="67B04040">
      <w:pPr>
        <w:spacing w:line="400" w:lineRule="exact"/>
        <w:rPr>
          <w:rFonts w:hint="eastAsia" w:ascii="仿宋" w:hAnsi="仿宋" w:eastAsia="仿宋" w:cs="仿宋"/>
          <w:szCs w:val="21"/>
          <w:highlight w:val="none"/>
        </w:rPr>
      </w:pPr>
      <w:r>
        <w:rPr>
          <w:rFonts w:hint="eastAsia" w:ascii="仿宋" w:hAnsi="仿宋" w:eastAsia="仿宋" w:cs="仿宋"/>
          <w:szCs w:val="21"/>
          <w:highlight w:val="none"/>
        </w:rPr>
        <w:t xml:space="preserve">                  法定代表人（或主要负责人）：（签字）</w:t>
      </w:r>
    </w:p>
    <w:p w14:paraId="6C631CDB">
      <w:pPr>
        <w:spacing w:line="400" w:lineRule="exact"/>
        <w:ind w:firstLine="3360" w:firstLineChars="1600"/>
        <w:rPr>
          <w:rFonts w:hint="eastAsia" w:ascii="仿宋" w:hAnsi="仿宋" w:eastAsia="仿宋" w:cs="仿宋"/>
          <w:szCs w:val="21"/>
          <w:highlight w:val="none"/>
        </w:rPr>
      </w:pP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1E52E183">
      <w:pPr>
        <w:spacing w:line="400" w:lineRule="exact"/>
        <w:rPr>
          <w:rFonts w:hint="eastAsia" w:ascii="仿宋" w:hAnsi="仿宋" w:eastAsia="仿宋" w:cs="仿宋"/>
          <w:szCs w:val="21"/>
          <w:highlight w:val="none"/>
        </w:rPr>
      </w:pPr>
    </w:p>
    <w:p w14:paraId="4283804E">
      <w:pPr>
        <w:spacing w:line="400" w:lineRule="exact"/>
        <w:jc w:val="right"/>
        <w:rPr>
          <w:rFonts w:hint="eastAsia" w:ascii="仿宋" w:hAnsi="仿宋" w:eastAsia="仿宋" w:cs="仿宋"/>
          <w:szCs w:val="21"/>
          <w:highlight w:val="none"/>
        </w:rPr>
      </w:pPr>
      <w:r>
        <w:rPr>
          <w:rFonts w:hint="eastAsia" w:ascii="仿宋" w:hAnsi="仿宋" w:eastAsia="仿宋" w:cs="仿宋"/>
          <w:szCs w:val="21"/>
          <w:highlight w:val="none"/>
        </w:rPr>
        <w:t>本投诉书正本叁份，副本</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份并附电子文档。</w:t>
      </w:r>
    </w:p>
    <w:p w14:paraId="285011ED">
      <w:pPr>
        <w:jc w:val="center"/>
        <w:outlineLvl w:val="2"/>
        <w:rPr>
          <w:rFonts w:hint="eastAsia" w:ascii="仿宋" w:hAnsi="仿宋" w:eastAsia="仿宋" w:cs="仿宋"/>
          <w:b/>
          <w:bCs/>
          <w:sz w:val="28"/>
          <w:szCs w:val="28"/>
          <w:highlight w:val="none"/>
          <w:lang w:eastAsia="zh-CN"/>
        </w:rPr>
        <w:sectPr>
          <w:headerReference r:id="rId6" w:type="default"/>
          <w:footerReference r:id="rId7" w:type="default"/>
          <w:pgSz w:w="11906" w:h="16838"/>
          <w:pgMar w:top="1440" w:right="1080" w:bottom="1440" w:left="1080" w:header="964" w:footer="1020" w:gutter="0"/>
          <w:pgNumType w:fmt="decimal"/>
          <w:cols w:space="720" w:num="1"/>
          <w:docGrid w:type="linesAndChars" w:linePitch="312" w:charSpace="0"/>
        </w:sectPr>
      </w:pPr>
      <w:bookmarkStart w:id="74" w:name="_Toc27114"/>
      <w:bookmarkStart w:id="75" w:name="_Toc17515"/>
      <w:bookmarkStart w:id="76" w:name="_Toc27270"/>
    </w:p>
    <w:p w14:paraId="00C08F9C">
      <w:pPr>
        <w:jc w:val="center"/>
        <w:outlineLvl w:val="2"/>
        <w:rPr>
          <w:rFonts w:hint="eastAsia" w:ascii="仿宋" w:hAnsi="仿宋" w:eastAsia="仿宋" w:cs="仿宋"/>
          <w:sz w:val="28"/>
          <w:szCs w:val="28"/>
          <w:highlight w:val="none"/>
        </w:rPr>
      </w:pP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投诉相关说明</w:t>
      </w:r>
      <w:bookmarkEnd w:id="74"/>
      <w:bookmarkEnd w:id="75"/>
      <w:bookmarkEnd w:id="76"/>
    </w:p>
    <w:p w14:paraId="3B00C534">
      <w:pPr>
        <w:widowControl/>
        <w:spacing w:line="400" w:lineRule="exact"/>
        <w:ind w:firstLine="420"/>
        <w:jc w:val="left"/>
        <w:rPr>
          <w:rFonts w:hint="eastAsia" w:ascii="仿宋" w:hAnsi="仿宋" w:eastAsia="仿宋" w:cs="仿宋"/>
          <w:szCs w:val="21"/>
          <w:highlight w:val="none"/>
        </w:rPr>
      </w:pPr>
      <w:r>
        <w:rPr>
          <w:rFonts w:hint="eastAsia" w:ascii="仿宋" w:hAnsi="仿宋" w:eastAsia="仿宋" w:cs="仿宋"/>
          <w:szCs w:val="21"/>
          <w:highlight w:val="none"/>
        </w:rPr>
        <w:t>投诉人应当满足《政府采购法》、《政府采购法实施条例》和《政府采购供应商投诉处理办法》的相关规定。</w:t>
      </w:r>
    </w:p>
    <w:p w14:paraId="0C860A93">
      <w:pPr>
        <w:numPr>
          <w:ilvl w:val="0"/>
          <w:numId w:val="0"/>
        </w:numPr>
        <w:spacing w:line="400" w:lineRule="exact"/>
        <w:ind w:firstLine="210" w:firstLineChars="100"/>
        <w:outlineLvl w:val="9"/>
        <w:rPr>
          <w:rFonts w:hint="eastAsia" w:ascii="仿宋" w:hAnsi="仿宋" w:eastAsia="仿宋" w:cs="仿宋"/>
          <w:b/>
          <w:bCs/>
          <w:szCs w:val="21"/>
          <w:highlight w:val="none"/>
        </w:rPr>
      </w:pPr>
      <w:bookmarkStart w:id="77" w:name="_Toc11499"/>
      <w:bookmarkStart w:id="78" w:name="_Toc19974"/>
      <w:r>
        <w:rPr>
          <w:rFonts w:hint="eastAsia" w:ascii="仿宋" w:hAnsi="仿宋" w:eastAsia="仿宋" w:cs="仿宋"/>
          <w:b/>
          <w:bCs/>
          <w:szCs w:val="21"/>
          <w:highlight w:val="none"/>
          <w:lang w:val="en-US" w:eastAsia="zh-CN"/>
        </w:rPr>
        <w:t>一</w:t>
      </w:r>
      <w:r>
        <w:rPr>
          <w:rFonts w:hint="eastAsia" w:ascii="仿宋" w:hAnsi="仿宋" w:eastAsia="仿宋" w:cs="仿宋"/>
          <w:b/>
          <w:bCs/>
          <w:szCs w:val="21"/>
          <w:highlight w:val="none"/>
        </w:rPr>
        <w:t>、质疑前置及时间要求</w:t>
      </w:r>
      <w:bookmarkEnd w:id="77"/>
      <w:bookmarkEnd w:id="78"/>
    </w:p>
    <w:p w14:paraId="33A5408C">
      <w:pPr>
        <w:widowControl/>
        <w:spacing w:line="400" w:lineRule="exact"/>
        <w:ind w:firstLine="420"/>
        <w:jc w:val="left"/>
        <w:rPr>
          <w:rFonts w:hint="eastAsia" w:ascii="仿宋" w:hAnsi="仿宋" w:eastAsia="仿宋" w:cs="仿宋"/>
          <w:kern w:val="0"/>
          <w:szCs w:val="21"/>
          <w:highlight w:val="none"/>
          <w:shd w:val="clear" w:color="auto" w:fill="FFFFFF"/>
        </w:rPr>
      </w:pPr>
      <w:r>
        <w:rPr>
          <w:rFonts w:hint="eastAsia" w:ascii="仿宋" w:hAnsi="仿宋" w:eastAsia="仿宋" w:cs="仿宋"/>
          <w:szCs w:val="21"/>
          <w:highlight w:val="none"/>
        </w:rPr>
        <w:t>《中华人民共和国政府采购法》</w:t>
      </w:r>
      <w:r>
        <w:rPr>
          <w:rFonts w:hint="eastAsia" w:ascii="仿宋" w:hAnsi="仿宋" w:eastAsia="仿宋" w:cs="仿宋"/>
          <w:kern w:val="0"/>
          <w:szCs w:val="21"/>
          <w:highlight w:val="none"/>
          <w:shd w:val="clear" w:color="auto" w:fill="FFFFFF"/>
        </w:rPr>
        <w:t>第五十一条：供应商对政府采购活动事项有疑问的，可以向采购人提出询问，采购人应当及时作出答复，但答复的内容不得涉及商业秘密。</w:t>
      </w:r>
    </w:p>
    <w:p w14:paraId="5D998DB3">
      <w:pPr>
        <w:widowControl/>
        <w:spacing w:line="400" w:lineRule="exact"/>
        <w:ind w:firstLine="420"/>
        <w:jc w:val="left"/>
        <w:rPr>
          <w:rFonts w:hint="eastAsia" w:ascii="仿宋" w:hAnsi="仿宋" w:eastAsia="仿宋" w:cs="仿宋"/>
          <w:szCs w:val="21"/>
          <w:highlight w:val="none"/>
        </w:rPr>
      </w:pPr>
      <w:r>
        <w:rPr>
          <w:rFonts w:hint="eastAsia" w:ascii="仿宋" w:hAnsi="仿宋" w:eastAsia="仿宋" w:cs="仿宋"/>
          <w:kern w:val="0"/>
          <w:szCs w:val="21"/>
          <w:highlight w:val="none"/>
          <w:shd w:val="clear" w:color="auto" w:fill="FFFFFF"/>
        </w:rPr>
        <w:t xml:space="preserve"> 第五十二条：供应商认为采购文件、采购过程和中标、中标结果使自己的权益受到损害的，可以在知道或者应知其权益受到损害之日起七个工作日内，以书面形式向采购人提出质疑。</w:t>
      </w:r>
    </w:p>
    <w:p w14:paraId="0F946E16">
      <w:pPr>
        <w:widowControl/>
        <w:spacing w:line="400" w:lineRule="exact"/>
        <w:ind w:firstLine="420"/>
        <w:jc w:val="left"/>
        <w:rPr>
          <w:rFonts w:hint="eastAsia" w:ascii="仿宋" w:hAnsi="仿宋" w:eastAsia="仿宋" w:cs="仿宋"/>
          <w:kern w:val="0"/>
          <w:szCs w:val="21"/>
          <w:highlight w:val="none"/>
          <w:shd w:val="clear" w:color="auto" w:fill="FFFFFF"/>
        </w:rPr>
      </w:pPr>
      <w:r>
        <w:rPr>
          <w:rFonts w:hint="eastAsia" w:ascii="仿宋" w:hAnsi="仿宋" w:eastAsia="仿宋" w:cs="仿宋"/>
          <w:kern w:val="0"/>
          <w:szCs w:val="21"/>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14:paraId="3CD28653">
      <w:pPr>
        <w:widowControl/>
        <w:spacing w:line="400" w:lineRule="exact"/>
        <w:ind w:firstLine="420"/>
        <w:jc w:val="left"/>
        <w:rPr>
          <w:rFonts w:hint="eastAsia" w:ascii="仿宋" w:hAnsi="仿宋" w:eastAsia="仿宋" w:cs="仿宋"/>
          <w:kern w:val="0"/>
          <w:szCs w:val="21"/>
          <w:highlight w:val="none"/>
          <w:shd w:val="clear" w:color="auto" w:fill="FFFFFF"/>
        </w:rPr>
      </w:pPr>
      <w:r>
        <w:rPr>
          <w:rFonts w:hint="eastAsia" w:ascii="仿宋" w:hAnsi="仿宋" w:eastAsia="仿宋" w:cs="仿宋"/>
          <w:kern w:val="0"/>
          <w:szCs w:val="21"/>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14:paraId="5284C590">
      <w:pPr>
        <w:widowControl/>
        <w:spacing w:line="400" w:lineRule="exact"/>
        <w:ind w:firstLine="420"/>
        <w:jc w:val="left"/>
        <w:rPr>
          <w:rFonts w:hint="eastAsia" w:ascii="仿宋" w:hAnsi="仿宋" w:eastAsia="仿宋" w:cs="仿宋"/>
          <w:szCs w:val="21"/>
          <w:highlight w:val="none"/>
        </w:rPr>
      </w:pPr>
      <w:r>
        <w:rPr>
          <w:rFonts w:hint="eastAsia" w:ascii="仿宋" w:hAnsi="仿宋" w:eastAsia="仿宋" w:cs="仿宋"/>
          <w:kern w:val="0"/>
          <w:szCs w:val="21"/>
          <w:highlight w:val="none"/>
          <w:shd w:val="clear" w:color="auto" w:fill="FFFFFF"/>
        </w:rPr>
        <w:t xml:space="preserve">  《政府采购实施条例》第五十五条：供应商质疑、投诉应当有明确的请求和必要的证明材料。供应商投诉的事项不得超出质疑事项的范围。</w:t>
      </w:r>
    </w:p>
    <w:p w14:paraId="42B68491">
      <w:pPr>
        <w:spacing w:line="400" w:lineRule="exact"/>
        <w:ind w:left="3780" w:hanging="3780" w:hangingChars="1800"/>
        <w:outlineLvl w:val="9"/>
        <w:rPr>
          <w:rFonts w:hint="eastAsia" w:ascii="仿宋" w:hAnsi="仿宋" w:eastAsia="仿宋" w:cs="仿宋"/>
          <w:szCs w:val="21"/>
          <w:highlight w:val="none"/>
        </w:rPr>
      </w:pPr>
      <w:r>
        <w:rPr>
          <w:rFonts w:hint="eastAsia" w:ascii="仿宋" w:hAnsi="仿宋" w:eastAsia="仿宋" w:cs="仿宋"/>
          <w:szCs w:val="21"/>
          <w:highlight w:val="none"/>
        </w:rPr>
        <w:t xml:space="preserve"> </w:t>
      </w:r>
      <w:r>
        <w:rPr>
          <w:rFonts w:hint="eastAsia" w:ascii="仿宋" w:hAnsi="仿宋" w:eastAsia="仿宋" w:cs="仿宋"/>
          <w:b/>
          <w:bCs/>
          <w:szCs w:val="21"/>
          <w:highlight w:val="none"/>
        </w:rPr>
        <w:t xml:space="preserve">   </w:t>
      </w:r>
      <w:bookmarkStart w:id="79" w:name="_Toc15224"/>
      <w:bookmarkStart w:id="80" w:name="_Toc13508"/>
      <w:r>
        <w:rPr>
          <w:rFonts w:hint="eastAsia" w:ascii="仿宋" w:hAnsi="仿宋" w:eastAsia="仿宋" w:cs="仿宋"/>
          <w:b/>
          <w:bCs/>
          <w:szCs w:val="21"/>
          <w:highlight w:val="none"/>
        </w:rPr>
        <w:t>二、书面方式</w:t>
      </w:r>
      <w:bookmarkEnd w:id="79"/>
      <w:bookmarkEnd w:id="80"/>
    </w:p>
    <w:p w14:paraId="219487B4">
      <w:pPr>
        <w:spacing w:line="400" w:lineRule="exact"/>
        <w:rPr>
          <w:rFonts w:hint="eastAsia" w:ascii="仿宋" w:hAnsi="仿宋" w:eastAsia="仿宋" w:cs="仿宋"/>
          <w:szCs w:val="21"/>
          <w:highlight w:val="none"/>
        </w:rPr>
      </w:pPr>
      <w:r>
        <w:rPr>
          <w:rFonts w:hint="eastAsia" w:ascii="仿宋" w:hAnsi="仿宋" w:eastAsia="仿宋" w:cs="仿宋"/>
          <w:szCs w:val="21"/>
          <w:highlight w:val="none"/>
        </w:rPr>
        <w:t xml:space="preserve">    《政府采购供应商投诉处理办法》第八条：投诉人投诉</w:t>
      </w:r>
      <w:r>
        <w:rPr>
          <w:rFonts w:hint="eastAsia" w:ascii="仿宋" w:hAnsi="仿宋" w:eastAsia="仿宋" w:cs="仿宋"/>
          <w:szCs w:val="21"/>
          <w:highlight w:val="none"/>
          <w:lang w:val="en-US" w:eastAsia="zh-CN"/>
        </w:rPr>
        <w:t>时，应当提交投诉书，</w:t>
      </w:r>
      <w:r>
        <w:rPr>
          <w:rFonts w:hint="eastAsia" w:ascii="仿宋" w:hAnsi="仿宋" w:eastAsia="仿宋" w:cs="仿宋"/>
          <w:szCs w:val="21"/>
          <w:highlight w:val="none"/>
        </w:rPr>
        <w:t>并按照被投诉人以及与投诉事项有关的供应商数量提供投诉书的副本。</w:t>
      </w:r>
    </w:p>
    <w:p w14:paraId="1AE7EE1C">
      <w:pPr>
        <w:spacing w:line="400" w:lineRule="exact"/>
        <w:ind w:left="3780" w:hanging="3780" w:hangingChars="1800"/>
        <w:rPr>
          <w:rFonts w:hint="eastAsia" w:ascii="仿宋" w:hAnsi="仿宋" w:eastAsia="仿宋" w:cs="仿宋"/>
          <w:szCs w:val="21"/>
          <w:highlight w:val="none"/>
        </w:rPr>
      </w:pPr>
      <w:r>
        <w:rPr>
          <w:rFonts w:hint="eastAsia" w:ascii="仿宋" w:hAnsi="仿宋" w:eastAsia="仿宋" w:cs="仿宋"/>
          <w:szCs w:val="21"/>
          <w:highlight w:val="none"/>
        </w:rPr>
        <w:t xml:space="preserve">   投诉书应当包括下列主要内容：</w:t>
      </w:r>
    </w:p>
    <w:p w14:paraId="3A4C6835">
      <w:pPr>
        <w:numPr>
          <w:ilvl w:val="0"/>
          <w:numId w:val="0"/>
        </w:numPr>
        <w:spacing w:line="400" w:lineRule="exact"/>
        <w:ind w:left="1272" w:leftChars="0"/>
        <w:rPr>
          <w:rFonts w:hint="eastAsia" w:ascii="仿宋" w:hAnsi="仿宋" w:eastAsia="仿宋" w:cs="仿宋"/>
          <w:szCs w:val="21"/>
          <w:highlight w:val="none"/>
        </w:rPr>
      </w:pP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一</w:t>
      </w:r>
      <w:r>
        <w:rPr>
          <w:rFonts w:hint="eastAsia" w:ascii="仿宋" w:hAnsi="仿宋" w:eastAsia="仿宋" w:cs="仿宋"/>
          <w:szCs w:val="21"/>
          <w:highlight w:val="none"/>
          <w:lang w:eastAsia="zh-CN"/>
        </w:rPr>
        <w:t>）</w:t>
      </w:r>
      <w:r>
        <w:rPr>
          <w:rFonts w:hint="eastAsia" w:ascii="仿宋" w:hAnsi="仿宋" w:eastAsia="仿宋" w:cs="仿宋"/>
          <w:szCs w:val="21"/>
          <w:highlight w:val="none"/>
        </w:rPr>
        <w:t>投诉人和被投诉人的名称、地址、电话等；</w:t>
      </w:r>
    </w:p>
    <w:p w14:paraId="2E7402C2">
      <w:pPr>
        <w:numPr>
          <w:ilvl w:val="0"/>
          <w:numId w:val="0"/>
        </w:numPr>
        <w:tabs>
          <w:tab w:val="left" w:pos="1203"/>
        </w:tabs>
        <w:spacing w:line="400" w:lineRule="exact"/>
        <w:ind w:left="1272" w:leftChars="0"/>
        <w:rPr>
          <w:rFonts w:hint="eastAsia" w:ascii="仿宋" w:hAnsi="仿宋" w:eastAsia="仿宋" w:cs="仿宋"/>
          <w:szCs w:val="21"/>
          <w:highlight w:val="none"/>
        </w:rPr>
      </w:pP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二</w:t>
      </w:r>
      <w:r>
        <w:rPr>
          <w:rFonts w:hint="eastAsia" w:ascii="仿宋" w:hAnsi="仿宋" w:eastAsia="仿宋" w:cs="仿宋"/>
          <w:szCs w:val="21"/>
          <w:highlight w:val="none"/>
          <w:lang w:eastAsia="zh-CN"/>
        </w:rPr>
        <w:t>）</w:t>
      </w:r>
      <w:r>
        <w:rPr>
          <w:rFonts w:hint="eastAsia" w:ascii="仿宋" w:hAnsi="仿宋" w:eastAsia="仿宋" w:cs="仿宋"/>
          <w:szCs w:val="21"/>
          <w:highlight w:val="none"/>
        </w:rPr>
        <w:t>具体的投诉事项及事实依据；</w:t>
      </w:r>
    </w:p>
    <w:p w14:paraId="7B397CA5">
      <w:pPr>
        <w:numPr>
          <w:ilvl w:val="0"/>
          <w:numId w:val="0"/>
        </w:numPr>
        <w:spacing w:line="400" w:lineRule="exact"/>
        <w:ind w:left="1272" w:leftChars="0"/>
        <w:rPr>
          <w:rFonts w:hint="eastAsia" w:ascii="仿宋" w:hAnsi="仿宋" w:eastAsia="仿宋" w:cs="仿宋"/>
          <w:szCs w:val="21"/>
          <w:highlight w:val="none"/>
        </w:rPr>
      </w:pP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三</w:t>
      </w:r>
      <w:r>
        <w:rPr>
          <w:rFonts w:hint="eastAsia" w:ascii="仿宋" w:hAnsi="仿宋" w:eastAsia="仿宋" w:cs="仿宋"/>
          <w:szCs w:val="21"/>
          <w:highlight w:val="none"/>
          <w:lang w:eastAsia="zh-CN"/>
        </w:rPr>
        <w:t>）</w:t>
      </w:r>
      <w:r>
        <w:rPr>
          <w:rFonts w:hint="eastAsia" w:ascii="仿宋" w:hAnsi="仿宋" w:eastAsia="仿宋" w:cs="仿宋"/>
          <w:szCs w:val="21"/>
          <w:highlight w:val="none"/>
        </w:rPr>
        <w:t>质疑和质疑答复情况及相关证明材料；</w:t>
      </w:r>
    </w:p>
    <w:p w14:paraId="05E0E8F5">
      <w:pPr>
        <w:numPr>
          <w:ilvl w:val="0"/>
          <w:numId w:val="0"/>
        </w:numPr>
        <w:spacing w:line="400" w:lineRule="exact"/>
        <w:ind w:left="1272" w:leftChars="0"/>
        <w:rPr>
          <w:rFonts w:hint="eastAsia" w:ascii="仿宋" w:hAnsi="仿宋" w:eastAsia="仿宋" w:cs="仿宋"/>
          <w:szCs w:val="21"/>
          <w:highlight w:val="none"/>
        </w:rPr>
      </w:pP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四</w:t>
      </w:r>
      <w:r>
        <w:rPr>
          <w:rFonts w:hint="eastAsia" w:ascii="仿宋" w:hAnsi="仿宋" w:eastAsia="仿宋" w:cs="仿宋"/>
          <w:szCs w:val="21"/>
          <w:highlight w:val="none"/>
          <w:lang w:eastAsia="zh-CN"/>
        </w:rPr>
        <w:t>）</w:t>
      </w:r>
      <w:r>
        <w:rPr>
          <w:rFonts w:hint="eastAsia" w:ascii="仿宋" w:hAnsi="仿宋" w:eastAsia="仿宋" w:cs="仿宋"/>
          <w:szCs w:val="21"/>
          <w:highlight w:val="none"/>
        </w:rPr>
        <w:t>提起投诉的日期。</w:t>
      </w:r>
    </w:p>
    <w:p w14:paraId="2E441863">
      <w:pPr>
        <w:spacing w:line="400" w:lineRule="exact"/>
        <w:ind w:firstLine="645"/>
        <w:rPr>
          <w:rFonts w:hint="eastAsia" w:ascii="仿宋" w:hAnsi="仿宋" w:eastAsia="仿宋" w:cs="仿宋"/>
          <w:szCs w:val="21"/>
          <w:highlight w:val="none"/>
        </w:rPr>
      </w:pPr>
      <w:r>
        <w:rPr>
          <w:rFonts w:hint="eastAsia" w:ascii="仿宋" w:hAnsi="仿宋" w:eastAsia="仿宋" w:cs="仿宋"/>
          <w:szCs w:val="21"/>
          <w:highlight w:val="none"/>
        </w:rPr>
        <w:t>投诉书应当署名。投诉人为自然人，应当由本人签字；投诉人为法人或者其他组织的，应当由法定代表人或者主要负责人签字并加盖公章。</w:t>
      </w:r>
    </w:p>
    <w:p w14:paraId="7EBCE815">
      <w:pPr>
        <w:spacing w:line="400" w:lineRule="exact"/>
        <w:ind w:firstLine="645"/>
        <w:rPr>
          <w:rFonts w:hint="eastAsia" w:ascii="仿宋" w:hAnsi="仿宋" w:eastAsia="仿宋" w:cs="仿宋"/>
          <w:szCs w:val="21"/>
          <w:highlight w:val="none"/>
        </w:rPr>
      </w:pPr>
      <w:r>
        <w:rPr>
          <w:rFonts w:hint="eastAsia" w:ascii="仿宋" w:hAnsi="仿宋" w:eastAsia="仿宋" w:cs="仿宋"/>
          <w:szCs w:val="21"/>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14:paraId="7F5452E8">
      <w:pPr>
        <w:spacing w:line="400" w:lineRule="exact"/>
        <w:ind w:firstLine="645"/>
        <w:rPr>
          <w:rFonts w:hint="eastAsia" w:ascii="仿宋" w:hAnsi="仿宋" w:eastAsia="仿宋" w:cs="仿宋"/>
          <w:szCs w:val="21"/>
          <w:highlight w:val="none"/>
        </w:rPr>
      </w:pPr>
      <w:r>
        <w:rPr>
          <w:rFonts w:hint="eastAsia" w:ascii="仿宋" w:hAnsi="仿宋" w:eastAsia="仿宋" w:cs="仿宋"/>
          <w:szCs w:val="21"/>
          <w:highlight w:val="none"/>
        </w:rPr>
        <w:t>《政府采购供应商投诉处理办法》第十条：投诉人提起投诉应当符合下列条件：</w:t>
      </w:r>
    </w:p>
    <w:p w14:paraId="2E9C979B">
      <w:pPr>
        <w:numPr>
          <w:ilvl w:val="0"/>
          <w:numId w:val="0"/>
        </w:numPr>
        <w:spacing w:line="400" w:lineRule="exact"/>
        <w:ind w:left="1065" w:leftChars="0"/>
        <w:rPr>
          <w:rFonts w:hint="eastAsia" w:ascii="仿宋" w:hAnsi="仿宋" w:eastAsia="仿宋" w:cs="仿宋"/>
          <w:szCs w:val="21"/>
          <w:highlight w:val="none"/>
        </w:rPr>
      </w:pPr>
      <w:r>
        <w:rPr>
          <w:rFonts w:hint="eastAsia" w:ascii="仿宋" w:hAnsi="仿宋" w:eastAsia="仿宋" w:cs="仿宋"/>
          <w:szCs w:val="21"/>
          <w:highlight w:val="none"/>
          <w:lang w:val="en-US" w:eastAsia="zh-CN"/>
        </w:rPr>
        <w:t xml:space="preserve">  （一</w:t>
      </w:r>
      <w:r>
        <w:rPr>
          <w:rFonts w:hint="eastAsia" w:ascii="仿宋" w:hAnsi="仿宋" w:eastAsia="仿宋" w:cs="仿宋"/>
          <w:szCs w:val="21"/>
          <w:highlight w:val="none"/>
          <w:lang w:eastAsia="zh-CN"/>
        </w:rPr>
        <w:t>）</w:t>
      </w:r>
      <w:r>
        <w:rPr>
          <w:rFonts w:hint="eastAsia" w:ascii="仿宋" w:hAnsi="仿宋" w:eastAsia="仿宋" w:cs="仿宋"/>
          <w:szCs w:val="21"/>
          <w:highlight w:val="none"/>
        </w:rPr>
        <w:t>投诉人是参与所投诉政府采购活动的供应商；</w:t>
      </w:r>
    </w:p>
    <w:p w14:paraId="540A4A77">
      <w:pPr>
        <w:numPr>
          <w:ilvl w:val="0"/>
          <w:numId w:val="0"/>
        </w:numPr>
        <w:tabs>
          <w:tab w:val="left" w:pos="1466"/>
        </w:tabs>
        <w:spacing w:line="400" w:lineRule="exact"/>
        <w:ind w:firstLine="1260" w:firstLineChars="600"/>
        <w:rPr>
          <w:rFonts w:hint="eastAsia" w:ascii="仿宋" w:hAnsi="仿宋" w:eastAsia="仿宋" w:cs="仿宋"/>
          <w:szCs w:val="21"/>
          <w:highlight w:val="none"/>
        </w:rPr>
      </w:pP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二</w:t>
      </w:r>
      <w:r>
        <w:rPr>
          <w:rFonts w:hint="eastAsia" w:ascii="仿宋" w:hAnsi="仿宋" w:eastAsia="仿宋" w:cs="仿宋"/>
          <w:szCs w:val="21"/>
          <w:highlight w:val="none"/>
          <w:lang w:eastAsia="zh-CN"/>
        </w:rPr>
        <w:t>）</w:t>
      </w:r>
      <w:r>
        <w:rPr>
          <w:rFonts w:hint="eastAsia" w:ascii="仿宋" w:hAnsi="仿宋" w:eastAsia="仿宋" w:cs="仿宋"/>
          <w:szCs w:val="21"/>
          <w:highlight w:val="none"/>
        </w:rPr>
        <w:t>提起投诉诉前已依法进行质疑；</w:t>
      </w:r>
    </w:p>
    <w:p w14:paraId="6373FF74">
      <w:pPr>
        <w:numPr>
          <w:ilvl w:val="0"/>
          <w:numId w:val="0"/>
        </w:numPr>
        <w:spacing w:line="400" w:lineRule="exact"/>
        <w:ind w:firstLine="1260" w:firstLineChars="600"/>
        <w:rPr>
          <w:rFonts w:hint="eastAsia" w:ascii="仿宋" w:hAnsi="仿宋" w:eastAsia="仿宋" w:cs="仿宋"/>
          <w:szCs w:val="21"/>
          <w:highlight w:val="none"/>
        </w:rPr>
      </w:pP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三</w:t>
      </w:r>
      <w:r>
        <w:rPr>
          <w:rFonts w:hint="eastAsia" w:ascii="仿宋" w:hAnsi="仿宋" w:eastAsia="仿宋" w:cs="仿宋"/>
          <w:szCs w:val="21"/>
          <w:highlight w:val="none"/>
          <w:lang w:eastAsia="zh-CN"/>
        </w:rPr>
        <w:t>）</w:t>
      </w:r>
      <w:r>
        <w:rPr>
          <w:rFonts w:hint="eastAsia" w:ascii="仿宋" w:hAnsi="仿宋" w:eastAsia="仿宋" w:cs="仿宋"/>
          <w:szCs w:val="21"/>
          <w:highlight w:val="none"/>
        </w:rPr>
        <w:t>投诉书内容符合本办法的规定；</w:t>
      </w:r>
    </w:p>
    <w:p w14:paraId="21BFEF5C">
      <w:pPr>
        <w:numPr>
          <w:ilvl w:val="0"/>
          <w:numId w:val="0"/>
        </w:numPr>
        <w:spacing w:line="400" w:lineRule="exact"/>
        <w:ind w:left="1065" w:leftChars="0" w:firstLine="210" w:firstLineChars="100"/>
        <w:rPr>
          <w:rFonts w:hint="eastAsia" w:ascii="仿宋" w:hAnsi="仿宋" w:eastAsia="仿宋" w:cs="仿宋"/>
          <w:szCs w:val="21"/>
          <w:highlight w:val="none"/>
        </w:rPr>
      </w:pP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四</w:t>
      </w:r>
      <w:r>
        <w:rPr>
          <w:rFonts w:hint="eastAsia" w:ascii="仿宋" w:hAnsi="仿宋" w:eastAsia="仿宋" w:cs="仿宋"/>
          <w:szCs w:val="21"/>
          <w:highlight w:val="none"/>
          <w:lang w:eastAsia="zh-CN"/>
        </w:rPr>
        <w:t>）</w:t>
      </w:r>
      <w:r>
        <w:rPr>
          <w:rFonts w:hint="eastAsia" w:ascii="仿宋" w:hAnsi="仿宋" w:eastAsia="仿宋" w:cs="仿宋"/>
          <w:szCs w:val="21"/>
          <w:highlight w:val="none"/>
        </w:rPr>
        <w:t>在投诉有效期内提起投诉；</w:t>
      </w:r>
    </w:p>
    <w:p w14:paraId="472B3B3D">
      <w:pPr>
        <w:numPr>
          <w:ilvl w:val="0"/>
          <w:numId w:val="0"/>
        </w:numPr>
        <w:spacing w:line="400" w:lineRule="exact"/>
        <w:ind w:left="1065" w:leftChars="0" w:firstLine="210" w:firstLineChars="100"/>
        <w:rPr>
          <w:rFonts w:hint="eastAsia" w:ascii="仿宋" w:hAnsi="仿宋" w:eastAsia="仿宋" w:cs="仿宋"/>
          <w:szCs w:val="21"/>
          <w:highlight w:val="none"/>
        </w:rPr>
      </w:pP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五</w:t>
      </w:r>
      <w:r>
        <w:rPr>
          <w:rFonts w:hint="eastAsia" w:ascii="仿宋" w:hAnsi="仿宋" w:eastAsia="仿宋" w:cs="仿宋"/>
          <w:szCs w:val="21"/>
          <w:highlight w:val="none"/>
          <w:lang w:eastAsia="zh-CN"/>
        </w:rPr>
        <w:t>）</w:t>
      </w:r>
      <w:r>
        <w:rPr>
          <w:rFonts w:hint="eastAsia" w:ascii="仿宋" w:hAnsi="仿宋" w:eastAsia="仿宋" w:cs="仿宋"/>
          <w:szCs w:val="21"/>
          <w:highlight w:val="none"/>
        </w:rPr>
        <w:t>属于本级财政部门管辖；</w:t>
      </w:r>
    </w:p>
    <w:p w14:paraId="12406F89">
      <w:pPr>
        <w:numPr>
          <w:ilvl w:val="0"/>
          <w:numId w:val="0"/>
        </w:numPr>
        <w:spacing w:line="400" w:lineRule="exact"/>
        <w:ind w:left="1065" w:leftChars="0" w:firstLine="210" w:firstLineChars="100"/>
        <w:rPr>
          <w:rFonts w:hint="eastAsia" w:ascii="仿宋" w:hAnsi="仿宋" w:eastAsia="仿宋" w:cs="仿宋"/>
          <w:szCs w:val="21"/>
          <w:highlight w:val="none"/>
        </w:rPr>
      </w:pP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六</w:t>
      </w:r>
      <w:r>
        <w:rPr>
          <w:rFonts w:hint="eastAsia" w:ascii="仿宋" w:hAnsi="仿宋" w:eastAsia="仿宋" w:cs="仿宋"/>
          <w:szCs w:val="21"/>
          <w:highlight w:val="none"/>
          <w:lang w:eastAsia="zh-CN"/>
        </w:rPr>
        <w:t>）</w:t>
      </w:r>
      <w:r>
        <w:rPr>
          <w:rFonts w:hint="eastAsia" w:ascii="仿宋" w:hAnsi="仿宋" w:eastAsia="仿宋" w:cs="仿宋"/>
          <w:szCs w:val="21"/>
          <w:highlight w:val="none"/>
        </w:rPr>
        <w:t>同一投诉事项未经财政部门投诉处理；</w:t>
      </w:r>
    </w:p>
    <w:p w14:paraId="6B249E1B">
      <w:pPr>
        <w:numPr>
          <w:ilvl w:val="0"/>
          <w:numId w:val="0"/>
        </w:numPr>
        <w:spacing w:line="400" w:lineRule="exact"/>
        <w:ind w:left="1065" w:leftChars="0" w:firstLine="210" w:firstLineChars="100"/>
        <w:rPr>
          <w:rFonts w:hint="eastAsia" w:ascii="仿宋" w:hAnsi="仿宋" w:eastAsia="仿宋" w:cs="仿宋"/>
          <w:szCs w:val="21"/>
          <w:highlight w:val="none"/>
        </w:rPr>
      </w:pP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七</w:t>
      </w:r>
      <w:r>
        <w:rPr>
          <w:rFonts w:hint="eastAsia" w:ascii="仿宋" w:hAnsi="仿宋" w:eastAsia="仿宋" w:cs="仿宋"/>
          <w:szCs w:val="21"/>
          <w:highlight w:val="none"/>
          <w:lang w:eastAsia="zh-CN"/>
        </w:rPr>
        <w:t>）</w:t>
      </w:r>
      <w:r>
        <w:rPr>
          <w:rFonts w:hint="eastAsia" w:ascii="仿宋" w:hAnsi="仿宋" w:eastAsia="仿宋" w:cs="仿宋"/>
          <w:szCs w:val="21"/>
          <w:highlight w:val="none"/>
        </w:rPr>
        <w:t>国务院财政部门规定的其他条件。</w:t>
      </w:r>
    </w:p>
    <w:p w14:paraId="75321624">
      <w:pPr>
        <w:spacing w:line="400" w:lineRule="exact"/>
        <w:ind w:left="3780" w:hanging="3780" w:hangingChars="1800"/>
        <w:rPr>
          <w:rFonts w:hint="eastAsia" w:ascii="仿宋" w:hAnsi="仿宋" w:eastAsia="仿宋" w:cs="仿宋"/>
          <w:szCs w:val="21"/>
          <w:highlight w:val="none"/>
        </w:rPr>
      </w:pPr>
      <w:r>
        <w:rPr>
          <w:rFonts w:hint="eastAsia" w:ascii="仿宋" w:hAnsi="仿宋" w:eastAsia="仿宋" w:cs="仿宋"/>
          <w:szCs w:val="21"/>
          <w:highlight w:val="none"/>
        </w:rPr>
        <w:t xml:space="preserve">   </w:t>
      </w:r>
    </w:p>
    <w:p w14:paraId="599FD5DE">
      <w:pPr>
        <w:outlineLvl w:val="9"/>
        <w:rPr>
          <w:rFonts w:hint="eastAsia" w:ascii="仿宋" w:hAnsi="仿宋" w:eastAsia="仿宋" w:cs="仿宋"/>
          <w:szCs w:val="21"/>
          <w:highlight w:val="none"/>
        </w:rPr>
      </w:pPr>
      <w:r>
        <w:rPr>
          <w:rFonts w:hint="eastAsia" w:ascii="仿宋" w:hAnsi="仿宋" w:eastAsia="仿宋" w:cs="仿宋"/>
          <w:szCs w:val="21"/>
          <w:highlight w:val="none"/>
        </w:rPr>
        <w:t xml:space="preserve"> </w:t>
      </w:r>
      <w:r>
        <w:rPr>
          <w:rFonts w:hint="eastAsia" w:ascii="仿宋" w:hAnsi="仿宋" w:eastAsia="仿宋" w:cs="仿宋"/>
          <w:b/>
          <w:bCs/>
          <w:szCs w:val="21"/>
          <w:highlight w:val="none"/>
        </w:rPr>
        <w:t xml:space="preserve">   </w:t>
      </w:r>
      <w:bookmarkStart w:id="81" w:name="_Toc10437"/>
      <w:bookmarkStart w:id="82" w:name="_Toc5978"/>
      <w:r>
        <w:rPr>
          <w:rFonts w:hint="eastAsia" w:ascii="仿宋" w:hAnsi="仿宋" w:eastAsia="仿宋" w:cs="仿宋"/>
          <w:b/>
          <w:bCs/>
          <w:szCs w:val="21"/>
          <w:highlight w:val="none"/>
        </w:rPr>
        <w:t>三、虚假、恶意投诉法律责任</w:t>
      </w:r>
      <w:bookmarkEnd w:id="81"/>
      <w:bookmarkEnd w:id="82"/>
    </w:p>
    <w:p w14:paraId="65141F58">
      <w:pPr>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第七十三条：供应商捏造实施、提供虚假材料或者以非法手段取得证明材料进行投诉的，由财政部门列入不良行为记录名单，禁止其1至3年内参加政府采购活动。</w:t>
      </w:r>
    </w:p>
    <w:p w14:paraId="41FB575A">
      <w:pPr>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《政府采购供应商投诉处理办法》第二十六条：投诉人有下列情形之一的，属于虚假、恶意投诉，财政部门应当驳回投诉，将其列入不良行为记录名单，并依法予以处罚：</w:t>
      </w:r>
    </w:p>
    <w:p w14:paraId="467A51AB">
      <w:pPr>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（一）1年内3次以上投诉均查无实据的；</w:t>
      </w:r>
    </w:p>
    <w:p w14:paraId="37A5BAD2">
      <w:pPr>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（二）捏造事实或者提供虚假投诉材料的。</w:t>
      </w:r>
    </w:p>
    <w:p w14:paraId="4F0AE49E">
      <w:pPr>
        <w:rPr>
          <w:rFonts w:hint="eastAsia" w:ascii="仿宋" w:hAnsi="仿宋" w:eastAsia="仿宋" w:cs="仿宋"/>
          <w:szCs w:val="21"/>
          <w:highlight w:val="none"/>
        </w:rPr>
      </w:pPr>
      <w:r>
        <w:rPr>
          <w:rFonts w:hint="eastAsia" w:ascii="仿宋" w:hAnsi="仿宋" w:eastAsia="仿宋" w:cs="仿宋"/>
          <w:szCs w:val="21"/>
          <w:highlight w:val="none"/>
        </w:rPr>
        <w:t>递交投诉书地址：政府采购办</w:t>
      </w:r>
    </w:p>
    <w:p w14:paraId="1D236A4D">
      <w:pPr>
        <w:spacing w:line="540" w:lineRule="exact"/>
        <w:jc w:val="center"/>
        <w:outlineLvl w:val="2"/>
        <w:rPr>
          <w:rFonts w:hint="eastAsia" w:ascii="仿宋" w:hAnsi="仿宋" w:eastAsia="仿宋" w:cs="仿宋"/>
          <w:b/>
          <w:bCs/>
          <w:sz w:val="32"/>
          <w:szCs w:val="32"/>
          <w:highlight w:val="none"/>
          <w:lang w:eastAsia="zh-CN"/>
        </w:rPr>
        <w:sectPr>
          <w:pgSz w:w="11906" w:h="16838"/>
          <w:pgMar w:top="1440" w:right="1080" w:bottom="1440" w:left="1080" w:header="964" w:footer="1020" w:gutter="0"/>
          <w:pgNumType w:fmt="decimal"/>
          <w:cols w:space="720" w:num="1"/>
          <w:docGrid w:type="linesAndChars" w:linePitch="312" w:charSpace="0"/>
        </w:sectPr>
      </w:pPr>
      <w:bookmarkStart w:id="83" w:name="_Toc19764"/>
      <w:bookmarkStart w:id="84" w:name="_Toc1697"/>
      <w:bookmarkStart w:id="85" w:name="_Toc30496"/>
    </w:p>
    <w:p w14:paraId="0ACCB16A">
      <w:pPr>
        <w:spacing w:line="540" w:lineRule="exact"/>
        <w:jc w:val="center"/>
        <w:outlineLvl w:val="2"/>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十</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rPr>
        <w:t>质疑函范本</w:t>
      </w:r>
      <w:bookmarkEnd w:id="83"/>
      <w:bookmarkEnd w:id="84"/>
      <w:bookmarkEnd w:id="85"/>
    </w:p>
    <w:p w14:paraId="1F73D99F">
      <w:pPr>
        <w:adjustRightInd w:val="0"/>
        <w:snapToGrid w:val="0"/>
        <w:spacing w:before="312" w:beforeLines="100" w:line="540" w:lineRule="exact"/>
        <w:ind w:firstLine="420" w:firstLineChars="200"/>
        <w:outlineLvl w:val="9"/>
        <w:rPr>
          <w:rFonts w:hint="eastAsia" w:ascii="仿宋" w:hAnsi="仿宋" w:eastAsia="仿宋" w:cs="仿宋"/>
          <w:bCs/>
          <w:szCs w:val="21"/>
          <w:highlight w:val="none"/>
        </w:rPr>
      </w:pPr>
      <w:bookmarkStart w:id="86" w:name="_Toc9061"/>
      <w:bookmarkStart w:id="87" w:name="_Toc25524"/>
      <w:r>
        <w:rPr>
          <w:rFonts w:hint="eastAsia" w:ascii="仿宋" w:hAnsi="仿宋" w:eastAsia="仿宋" w:cs="仿宋"/>
          <w:bCs/>
          <w:szCs w:val="21"/>
          <w:highlight w:val="none"/>
        </w:rPr>
        <w:t>一、质疑供应商基本信息</w:t>
      </w:r>
      <w:bookmarkEnd w:id="86"/>
      <w:bookmarkEnd w:id="87"/>
    </w:p>
    <w:p w14:paraId="38632913">
      <w:pPr>
        <w:adjustRightInd w:val="0"/>
        <w:snapToGrid w:val="0"/>
        <w:spacing w:line="540" w:lineRule="exact"/>
        <w:ind w:firstLine="420" w:firstLineChars="200"/>
        <w:rPr>
          <w:rFonts w:hint="eastAsia" w:ascii="仿宋" w:hAnsi="仿宋" w:eastAsia="仿宋" w:cs="仿宋"/>
          <w:szCs w:val="21"/>
          <w:highlight w:val="none"/>
          <w:u w:val="dotted"/>
        </w:rPr>
      </w:pPr>
      <w:r>
        <w:rPr>
          <w:rFonts w:hint="eastAsia" w:ascii="仿宋" w:hAnsi="仿宋" w:eastAsia="仿宋" w:cs="仿宋"/>
          <w:szCs w:val="21"/>
          <w:highlight w:val="none"/>
        </w:rPr>
        <w:t>质疑供应商：</w:t>
      </w:r>
      <w:r>
        <w:rPr>
          <w:rFonts w:hint="eastAsia" w:ascii="仿宋" w:hAnsi="仿宋" w:eastAsia="仿宋" w:cs="仿宋"/>
          <w:szCs w:val="21"/>
          <w:highlight w:val="none"/>
          <w:u w:val="dotted"/>
        </w:rPr>
        <w:t xml:space="preserve">                         </w:t>
      </w:r>
    </w:p>
    <w:p w14:paraId="7BCE8659">
      <w:pPr>
        <w:adjustRightInd w:val="0"/>
        <w:snapToGrid w:val="0"/>
        <w:spacing w:line="5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地址：</w:t>
      </w:r>
      <w:r>
        <w:rPr>
          <w:rFonts w:hint="eastAsia" w:ascii="仿宋" w:hAnsi="仿宋" w:eastAsia="仿宋" w:cs="仿宋"/>
          <w:szCs w:val="21"/>
          <w:highlight w:val="none"/>
          <w:u w:val="dotted"/>
        </w:rPr>
        <w:t xml:space="preserve">                          </w:t>
      </w:r>
      <w:r>
        <w:rPr>
          <w:rFonts w:hint="eastAsia" w:ascii="仿宋" w:hAnsi="仿宋" w:eastAsia="仿宋" w:cs="仿宋"/>
          <w:szCs w:val="21"/>
          <w:highlight w:val="none"/>
        </w:rPr>
        <w:t>邮编：</w:t>
      </w:r>
      <w:r>
        <w:rPr>
          <w:rFonts w:hint="eastAsia" w:ascii="仿宋" w:hAnsi="仿宋" w:eastAsia="仿宋" w:cs="仿宋"/>
          <w:szCs w:val="21"/>
          <w:highlight w:val="none"/>
          <w:u w:val="dotted"/>
        </w:rPr>
        <w:t xml:space="preserve">            </w:t>
      </w:r>
    </w:p>
    <w:p w14:paraId="0E2DA1BF">
      <w:pPr>
        <w:adjustRightInd w:val="0"/>
        <w:snapToGrid w:val="0"/>
        <w:spacing w:line="5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联系人：</w:t>
      </w:r>
      <w:r>
        <w:rPr>
          <w:rFonts w:hint="eastAsia" w:ascii="仿宋" w:hAnsi="仿宋" w:eastAsia="仿宋" w:cs="仿宋"/>
          <w:szCs w:val="21"/>
          <w:highlight w:val="none"/>
          <w:u w:val="dotted"/>
        </w:rPr>
        <w:t xml:space="preserve">                      </w:t>
      </w:r>
      <w:r>
        <w:rPr>
          <w:rFonts w:hint="eastAsia" w:ascii="仿宋" w:hAnsi="仿宋" w:eastAsia="仿宋" w:cs="仿宋"/>
          <w:szCs w:val="21"/>
          <w:highlight w:val="none"/>
        </w:rPr>
        <w:t>联系电话：</w:t>
      </w:r>
      <w:r>
        <w:rPr>
          <w:rFonts w:hint="eastAsia" w:ascii="仿宋" w:hAnsi="仿宋" w:eastAsia="仿宋" w:cs="仿宋"/>
          <w:szCs w:val="21"/>
          <w:highlight w:val="none"/>
          <w:u w:val="dotted"/>
        </w:rPr>
        <w:t xml:space="preserve">            </w:t>
      </w:r>
    </w:p>
    <w:p w14:paraId="5454A681">
      <w:pPr>
        <w:adjustRightInd w:val="0"/>
        <w:snapToGrid w:val="0"/>
        <w:spacing w:line="540" w:lineRule="exact"/>
        <w:ind w:firstLine="420" w:firstLineChars="200"/>
        <w:rPr>
          <w:rFonts w:hint="eastAsia" w:ascii="仿宋" w:hAnsi="仿宋" w:eastAsia="仿宋" w:cs="仿宋"/>
          <w:szCs w:val="21"/>
          <w:highlight w:val="none"/>
          <w:u w:val="dotted"/>
        </w:rPr>
      </w:pPr>
      <w:r>
        <w:rPr>
          <w:rFonts w:hint="eastAsia" w:ascii="仿宋" w:hAnsi="仿宋" w:eastAsia="仿宋" w:cs="仿宋"/>
          <w:szCs w:val="21"/>
          <w:highlight w:val="none"/>
        </w:rPr>
        <w:t>授权代表：</w:t>
      </w:r>
      <w:r>
        <w:rPr>
          <w:rFonts w:hint="eastAsia" w:ascii="仿宋" w:hAnsi="仿宋" w:eastAsia="仿宋" w:cs="仿宋"/>
          <w:szCs w:val="21"/>
          <w:highlight w:val="none"/>
          <w:u w:val="dotted"/>
        </w:rPr>
        <w:t xml:space="preserve">                                          </w:t>
      </w:r>
    </w:p>
    <w:p w14:paraId="2510966E">
      <w:pPr>
        <w:adjustRightInd w:val="0"/>
        <w:snapToGrid w:val="0"/>
        <w:spacing w:line="5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联系电话：</w:t>
      </w:r>
      <w:r>
        <w:rPr>
          <w:rFonts w:hint="eastAsia" w:ascii="仿宋" w:hAnsi="仿宋" w:eastAsia="仿宋" w:cs="仿宋"/>
          <w:szCs w:val="21"/>
          <w:highlight w:val="none"/>
          <w:u w:val="dotted"/>
        </w:rPr>
        <w:t xml:space="preserve">                                          </w:t>
      </w:r>
    </w:p>
    <w:p w14:paraId="1461A422">
      <w:pPr>
        <w:adjustRightInd w:val="0"/>
        <w:snapToGrid w:val="0"/>
        <w:spacing w:line="5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地址： </w:t>
      </w:r>
      <w:r>
        <w:rPr>
          <w:rFonts w:hint="eastAsia" w:ascii="仿宋" w:hAnsi="仿宋" w:eastAsia="仿宋" w:cs="仿宋"/>
          <w:szCs w:val="21"/>
          <w:highlight w:val="none"/>
          <w:u w:val="dotted"/>
        </w:rPr>
        <w:t xml:space="preserve">                        </w:t>
      </w:r>
      <w:r>
        <w:rPr>
          <w:rFonts w:hint="eastAsia" w:ascii="仿宋" w:hAnsi="仿宋" w:eastAsia="仿宋" w:cs="仿宋"/>
          <w:szCs w:val="21"/>
          <w:highlight w:val="none"/>
        </w:rPr>
        <w:t>邮编：</w:t>
      </w:r>
      <w:r>
        <w:rPr>
          <w:rFonts w:hint="eastAsia" w:ascii="仿宋" w:hAnsi="仿宋" w:eastAsia="仿宋" w:cs="仿宋"/>
          <w:szCs w:val="21"/>
          <w:highlight w:val="none"/>
          <w:u w:val="dotted"/>
        </w:rPr>
        <w:t xml:space="preserve">               </w:t>
      </w:r>
    </w:p>
    <w:p w14:paraId="471B0D34">
      <w:pPr>
        <w:adjustRightInd w:val="0"/>
        <w:snapToGrid w:val="0"/>
        <w:spacing w:line="540" w:lineRule="exact"/>
        <w:ind w:firstLine="420" w:firstLineChars="200"/>
        <w:outlineLvl w:val="9"/>
        <w:rPr>
          <w:rFonts w:hint="eastAsia" w:ascii="仿宋" w:hAnsi="仿宋" w:eastAsia="仿宋" w:cs="仿宋"/>
          <w:bCs/>
          <w:szCs w:val="21"/>
          <w:highlight w:val="none"/>
        </w:rPr>
      </w:pPr>
      <w:bookmarkStart w:id="88" w:name="_Toc19533"/>
      <w:bookmarkStart w:id="89" w:name="_Toc15938"/>
      <w:r>
        <w:rPr>
          <w:rFonts w:hint="eastAsia" w:ascii="仿宋" w:hAnsi="仿宋" w:eastAsia="仿宋" w:cs="仿宋"/>
          <w:bCs/>
          <w:szCs w:val="21"/>
          <w:highlight w:val="none"/>
        </w:rPr>
        <w:t>二、质疑项目基本情况</w:t>
      </w:r>
      <w:bookmarkEnd w:id="88"/>
      <w:bookmarkEnd w:id="89"/>
    </w:p>
    <w:p w14:paraId="3A9E6629">
      <w:pPr>
        <w:adjustRightInd w:val="0"/>
        <w:snapToGrid w:val="0"/>
        <w:spacing w:line="5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质疑项目的名称：</w:t>
      </w:r>
      <w:r>
        <w:rPr>
          <w:rFonts w:hint="eastAsia" w:ascii="仿宋" w:hAnsi="仿宋" w:eastAsia="仿宋" w:cs="仿宋"/>
          <w:szCs w:val="21"/>
          <w:highlight w:val="none"/>
          <w:u w:val="dotted"/>
        </w:rPr>
        <w:t xml:space="preserve">                                     </w:t>
      </w:r>
    </w:p>
    <w:p w14:paraId="66C5A078">
      <w:pPr>
        <w:adjustRightInd w:val="0"/>
        <w:snapToGrid w:val="0"/>
        <w:spacing w:line="5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质疑项目的编号：</w:t>
      </w:r>
      <w:r>
        <w:rPr>
          <w:rFonts w:hint="eastAsia" w:ascii="仿宋" w:hAnsi="仿宋" w:eastAsia="仿宋" w:cs="仿宋"/>
          <w:szCs w:val="21"/>
          <w:highlight w:val="none"/>
          <w:u w:val="dotted"/>
        </w:rPr>
        <w:t xml:space="preserve">               </w:t>
      </w:r>
      <w:r>
        <w:rPr>
          <w:rFonts w:hint="eastAsia" w:ascii="仿宋" w:hAnsi="仿宋" w:eastAsia="仿宋" w:cs="仿宋"/>
          <w:szCs w:val="21"/>
          <w:highlight w:val="none"/>
        </w:rPr>
        <w:t>包号：</w:t>
      </w:r>
      <w:r>
        <w:rPr>
          <w:rFonts w:hint="eastAsia" w:ascii="仿宋" w:hAnsi="仿宋" w:eastAsia="仿宋" w:cs="仿宋"/>
          <w:szCs w:val="21"/>
          <w:highlight w:val="none"/>
          <w:u w:val="dotted"/>
        </w:rPr>
        <w:t xml:space="preserve">                </w:t>
      </w:r>
    </w:p>
    <w:p w14:paraId="5E99D4F4">
      <w:pPr>
        <w:adjustRightInd w:val="0"/>
        <w:snapToGrid w:val="0"/>
        <w:spacing w:line="540" w:lineRule="exact"/>
        <w:ind w:firstLine="420" w:firstLineChars="200"/>
        <w:rPr>
          <w:rFonts w:hint="eastAsia" w:ascii="仿宋" w:hAnsi="仿宋" w:eastAsia="仿宋" w:cs="仿宋"/>
          <w:szCs w:val="21"/>
          <w:highlight w:val="none"/>
          <w:u w:val="dotted"/>
        </w:rPr>
      </w:pPr>
      <w:r>
        <w:rPr>
          <w:rFonts w:hint="eastAsia" w:ascii="仿宋" w:hAnsi="仿宋" w:eastAsia="仿宋" w:cs="仿宋"/>
          <w:szCs w:val="21"/>
          <w:highlight w:val="none"/>
        </w:rPr>
        <w:t>采购人名称：</w:t>
      </w:r>
      <w:r>
        <w:rPr>
          <w:rFonts w:hint="eastAsia" w:ascii="仿宋" w:hAnsi="仿宋" w:eastAsia="仿宋" w:cs="仿宋"/>
          <w:szCs w:val="21"/>
          <w:highlight w:val="none"/>
          <w:u w:val="dotted"/>
        </w:rPr>
        <w:t xml:space="preserve">                                         </w:t>
      </w:r>
    </w:p>
    <w:p w14:paraId="05C64FA8">
      <w:pPr>
        <w:adjustRightInd w:val="0"/>
        <w:snapToGrid w:val="0"/>
        <w:spacing w:line="5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采购文件获取日期：</w:t>
      </w:r>
      <w:r>
        <w:rPr>
          <w:rFonts w:hint="eastAsia" w:ascii="仿宋" w:hAnsi="仿宋" w:eastAsia="仿宋" w:cs="仿宋"/>
          <w:szCs w:val="21"/>
          <w:highlight w:val="none"/>
          <w:u w:val="dotted"/>
        </w:rPr>
        <w:t xml:space="preserve">                                   </w:t>
      </w:r>
    </w:p>
    <w:p w14:paraId="223DD53C">
      <w:pPr>
        <w:adjustRightInd w:val="0"/>
        <w:snapToGrid w:val="0"/>
        <w:spacing w:line="540" w:lineRule="exact"/>
        <w:ind w:firstLine="420" w:firstLineChars="200"/>
        <w:outlineLvl w:val="9"/>
        <w:rPr>
          <w:rFonts w:hint="eastAsia" w:ascii="仿宋" w:hAnsi="仿宋" w:eastAsia="仿宋" w:cs="仿宋"/>
          <w:bCs/>
          <w:szCs w:val="21"/>
          <w:highlight w:val="none"/>
        </w:rPr>
      </w:pPr>
      <w:bookmarkStart w:id="90" w:name="_Toc18271"/>
      <w:bookmarkStart w:id="91" w:name="_Toc25298"/>
      <w:r>
        <w:rPr>
          <w:rFonts w:hint="eastAsia" w:ascii="仿宋" w:hAnsi="仿宋" w:eastAsia="仿宋" w:cs="仿宋"/>
          <w:bCs/>
          <w:szCs w:val="21"/>
          <w:highlight w:val="none"/>
        </w:rPr>
        <w:t>三、质疑事项具体内容</w:t>
      </w:r>
      <w:bookmarkEnd w:id="90"/>
      <w:bookmarkEnd w:id="91"/>
    </w:p>
    <w:p w14:paraId="06997B5F">
      <w:pPr>
        <w:adjustRightInd w:val="0"/>
        <w:snapToGrid w:val="0"/>
        <w:spacing w:line="540" w:lineRule="exact"/>
        <w:ind w:firstLine="420" w:firstLineChars="200"/>
        <w:rPr>
          <w:rFonts w:hint="eastAsia" w:ascii="仿宋" w:hAnsi="仿宋" w:eastAsia="仿宋" w:cs="仿宋"/>
          <w:szCs w:val="21"/>
          <w:highlight w:val="none"/>
          <w:u w:val="dotted"/>
        </w:rPr>
      </w:pPr>
      <w:r>
        <w:rPr>
          <w:rFonts w:hint="eastAsia" w:ascii="仿宋" w:hAnsi="仿宋" w:eastAsia="仿宋" w:cs="仿宋"/>
          <w:szCs w:val="21"/>
          <w:highlight w:val="none"/>
        </w:rPr>
        <w:t>质疑事项1：</w:t>
      </w:r>
      <w:r>
        <w:rPr>
          <w:rFonts w:hint="eastAsia" w:ascii="仿宋" w:hAnsi="仿宋" w:eastAsia="仿宋" w:cs="仿宋"/>
          <w:szCs w:val="21"/>
          <w:highlight w:val="none"/>
          <w:u w:val="dotted"/>
        </w:rPr>
        <w:t xml:space="preserve">                                         </w:t>
      </w:r>
    </w:p>
    <w:p w14:paraId="7D97F736">
      <w:pPr>
        <w:adjustRightInd w:val="0"/>
        <w:snapToGrid w:val="0"/>
        <w:spacing w:line="5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事实依据：</w:t>
      </w:r>
      <w:r>
        <w:rPr>
          <w:rFonts w:hint="eastAsia" w:ascii="仿宋" w:hAnsi="仿宋" w:eastAsia="仿宋" w:cs="仿宋"/>
          <w:szCs w:val="21"/>
          <w:highlight w:val="none"/>
          <w:u w:val="dotted"/>
        </w:rPr>
        <w:t xml:space="preserve">                                           </w:t>
      </w:r>
    </w:p>
    <w:p w14:paraId="33C69318">
      <w:pPr>
        <w:adjustRightInd w:val="0"/>
        <w:snapToGrid w:val="0"/>
        <w:spacing w:line="540" w:lineRule="exact"/>
        <w:ind w:firstLine="420" w:firstLineChars="200"/>
        <w:rPr>
          <w:rFonts w:hint="eastAsia" w:ascii="仿宋" w:hAnsi="仿宋" w:eastAsia="仿宋" w:cs="仿宋"/>
          <w:szCs w:val="21"/>
          <w:highlight w:val="none"/>
          <w:u w:val="dotted"/>
        </w:rPr>
      </w:pPr>
      <w:r>
        <w:rPr>
          <w:rFonts w:hint="eastAsia" w:ascii="仿宋" w:hAnsi="仿宋" w:eastAsia="仿宋" w:cs="仿宋"/>
          <w:szCs w:val="21"/>
          <w:highlight w:val="none"/>
        </w:rPr>
        <w:t>法律依据：</w:t>
      </w:r>
      <w:r>
        <w:rPr>
          <w:rFonts w:hint="eastAsia" w:ascii="仿宋" w:hAnsi="仿宋" w:eastAsia="仿宋" w:cs="仿宋"/>
          <w:szCs w:val="21"/>
          <w:highlight w:val="none"/>
          <w:u w:val="dotted"/>
        </w:rPr>
        <w:t xml:space="preserve">                                           </w:t>
      </w:r>
    </w:p>
    <w:p w14:paraId="3531218E">
      <w:pPr>
        <w:adjustRightInd w:val="0"/>
        <w:snapToGrid w:val="0"/>
        <w:spacing w:line="540" w:lineRule="exact"/>
        <w:ind w:firstLine="420" w:firstLineChars="200"/>
        <w:rPr>
          <w:rFonts w:hint="eastAsia" w:ascii="仿宋" w:hAnsi="仿宋" w:eastAsia="仿宋" w:cs="仿宋"/>
          <w:szCs w:val="21"/>
          <w:highlight w:val="none"/>
          <w:u w:val="dotted"/>
        </w:rPr>
      </w:pPr>
      <w:r>
        <w:rPr>
          <w:rFonts w:hint="eastAsia" w:ascii="仿宋" w:hAnsi="仿宋" w:eastAsia="仿宋" w:cs="仿宋"/>
          <w:szCs w:val="21"/>
          <w:highlight w:val="none"/>
        </w:rPr>
        <w:t>质疑事项2</w:t>
      </w:r>
    </w:p>
    <w:p w14:paraId="5A328DE6">
      <w:pPr>
        <w:adjustRightInd w:val="0"/>
        <w:snapToGrid w:val="0"/>
        <w:spacing w:line="5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w:t>
      </w:r>
    </w:p>
    <w:p w14:paraId="495E357D">
      <w:pPr>
        <w:adjustRightInd w:val="0"/>
        <w:snapToGrid w:val="0"/>
        <w:spacing w:line="540" w:lineRule="exact"/>
        <w:ind w:firstLine="420" w:firstLineChars="200"/>
        <w:outlineLvl w:val="9"/>
        <w:rPr>
          <w:rFonts w:hint="eastAsia" w:ascii="仿宋" w:hAnsi="仿宋" w:eastAsia="仿宋" w:cs="仿宋"/>
          <w:bCs/>
          <w:szCs w:val="21"/>
          <w:highlight w:val="none"/>
        </w:rPr>
      </w:pPr>
      <w:bookmarkStart w:id="92" w:name="_Toc20488"/>
      <w:bookmarkStart w:id="93" w:name="_Toc22365"/>
      <w:r>
        <w:rPr>
          <w:rFonts w:hint="eastAsia" w:ascii="仿宋" w:hAnsi="仿宋" w:eastAsia="仿宋" w:cs="仿宋"/>
          <w:bCs/>
          <w:szCs w:val="21"/>
          <w:highlight w:val="none"/>
        </w:rPr>
        <w:t>四、与质疑事项相关的质疑请求</w:t>
      </w:r>
      <w:bookmarkEnd w:id="92"/>
      <w:bookmarkEnd w:id="93"/>
    </w:p>
    <w:p w14:paraId="6EACF9A8">
      <w:pPr>
        <w:adjustRightInd w:val="0"/>
        <w:snapToGrid w:val="0"/>
        <w:spacing w:line="540" w:lineRule="exact"/>
        <w:ind w:firstLine="420" w:firstLineChars="200"/>
        <w:rPr>
          <w:rFonts w:hint="eastAsia" w:ascii="仿宋" w:hAnsi="仿宋" w:eastAsia="仿宋" w:cs="仿宋"/>
          <w:szCs w:val="21"/>
          <w:highlight w:val="none"/>
          <w:u w:val="dotted"/>
        </w:rPr>
      </w:pPr>
      <w:r>
        <w:rPr>
          <w:rFonts w:hint="eastAsia" w:ascii="仿宋" w:hAnsi="仿宋" w:eastAsia="仿宋" w:cs="仿宋"/>
          <w:szCs w:val="21"/>
          <w:highlight w:val="none"/>
        </w:rPr>
        <w:t>请求：</w:t>
      </w:r>
      <w:r>
        <w:rPr>
          <w:rFonts w:hint="eastAsia" w:ascii="仿宋" w:hAnsi="仿宋" w:eastAsia="仿宋" w:cs="仿宋"/>
          <w:szCs w:val="21"/>
          <w:highlight w:val="none"/>
          <w:u w:val="dotted"/>
        </w:rPr>
        <w:t xml:space="preserve">                                               </w:t>
      </w:r>
    </w:p>
    <w:p w14:paraId="3808A205">
      <w:pPr>
        <w:spacing w:line="5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签字(签章)：                   公章：                      </w:t>
      </w:r>
    </w:p>
    <w:p w14:paraId="45103244">
      <w:pPr>
        <w:spacing w:line="540" w:lineRule="exact"/>
        <w:ind w:firstLine="420" w:firstLineChars="200"/>
        <w:rPr>
          <w:rFonts w:hint="eastAsia" w:ascii="仿宋" w:hAnsi="仿宋" w:eastAsia="仿宋" w:cs="仿宋"/>
          <w:b/>
          <w:bCs/>
          <w:szCs w:val="21"/>
          <w:highlight w:val="none"/>
        </w:rPr>
      </w:pPr>
      <w:r>
        <w:rPr>
          <w:rFonts w:hint="eastAsia" w:ascii="仿宋" w:hAnsi="仿宋" w:eastAsia="仿宋" w:cs="仿宋"/>
          <w:szCs w:val="21"/>
          <w:highlight w:val="none"/>
        </w:rPr>
        <w:t xml:space="preserve">日期：    </w:t>
      </w:r>
    </w:p>
    <w:p w14:paraId="60C5E233">
      <w:pPr>
        <w:pageBreakBefore/>
        <w:spacing w:line="440" w:lineRule="exact"/>
        <w:jc w:val="center"/>
        <w:outlineLvl w:val="0"/>
        <w:rPr>
          <w:rFonts w:hint="eastAsia" w:ascii="仿宋" w:hAnsi="仿宋" w:eastAsia="仿宋" w:cs="仿宋"/>
          <w:b/>
          <w:bCs/>
          <w:sz w:val="32"/>
          <w:szCs w:val="32"/>
          <w:highlight w:val="none"/>
        </w:rPr>
      </w:pPr>
      <w:bookmarkStart w:id="94" w:name="_Toc6424"/>
      <w:bookmarkStart w:id="95" w:name="_Toc14721"/>
      <w:bookmarkStart w:id="96" w:name="_Toc7619"/>
      <w:bookmarkStart w:id="97" w:name="_Toc9959"/>
      <w:r>
        <w:rPr>
          <w:rFonts w:hint="eastAsia" w:ascii="仿宋" w:hAnsi="仿宋" w:eastAsia="仿宋" w:cs="仿宋"/>
          <w:b/>
          <w:bCs/>
          <w:sz w:val="32"/>
          <w:szCs w:val="32"/>
          <w:highlight w:val="none"/>
        </w:rPr>
        <w:t>第三章  评标办法</w:t>
      </w:r>
      <w:bookmarkEnd w:id="94"/>
      <w:bookmarkEnd w:id="95"/>
      <w:bookmarkEnd w:id="96"/>
      <w:bookmarkEnd w:id="97"/>
    </w:p>
    <w:p w14:paraId="69897C25">
      <w:pPr>
        <w:jc w:val="center"/>
        <w:outlineLvl w:val="1"/>
        <w:rPr>
          <w:rFonts w:hint="eastAsia" w:ascii="仿宋" w:hAnsi="仿宋" w:eastAsia="仿宋" w:cs="仿宋"/>
          <w:b/>
          <w:sz w:val="28"/>
          <w:szCs w:val="28"/>
          <w:highlight w:val="none"/>
        </w:rPr>
      </w:pPr>
      <w:bookmarkStart w:id="98" w:name="_Toc9174"/>
      <w:bookmarkStart w:id="99" w:name="_Toc15973"/>
      <w:bookmarkStart w:id="100" w:name="_Toc15723"/>
      <w:bookmarkStart w:id="101" w:name="_Toc362983802"/>
      <w:bookmarkStart w:id="102" w:name="_Toc267320058"/>
      <w:bookmarkStart w:id="103" w:name="_Toc363135205"/>
      <w:r>
        <w:rPr>
          <w:rFonts w:hint="eastAsia" w:ascii="仿宋" w:hAnsi="仿宋" w:eastAsia="仿宋" w:cs="仿宋"/>
          <w:b/>
          <w:sz w:val="28"/>
          <w:szCs w:val="28"/>
          <w:highlight w:val="none"/>
        </w:rPr>
        <w:t>一  总  则</w:t>
      </w:r>
      <w:bookmarkEnd w:id="98"/>
      <w:bookmarkEnd w:id="99"/>
      <w:bookmarkEnd w:id="100"/>
    </w:p>
    <w:p w14:paraId="2CF960E5">
      <w:pPr>
        <w:tabs>
          <w:tab w:val="left" w:pos="567"/>
          <w:tab w:val="left" w:pos="600"/>
        </w:tabs>
        <w:spacing w:line="440" w:lineRule="exact"/>
        <w:ind w:firstLine="535" w:firstLineChars="255"/>
        <w:outlineLvl w:val="2"/>
        <w:rPr>
          <w:rFonts w:hint="eastAsia" w:ascii="仿宋" w:hAnsi="仿宋" w:eastAsia="仿宋" w:cs="仿宋"/>
          <w:b/>
          <w:bCs/>
          <w:szCs w:val="21"/>
          <w:highlight w:val="none"/>
        </w:rPr>
      </w:pPr>
      <w:bookmarkStart w:id="104" w:name="_Toc6608"/>
      <w:r>
        <w:rPr>
          <w:rFonts w:hint="eastAsia" w:ascii="仿宋" w:hAnsi="仿宋" w:eastAsia="仿宋" w:cs="仿宋"/>
          <w:b/>
          <w:bCs/>
          <w:szCs w:val="21"/>
          <w:highlight w:val="none"/>
        </w:rPr>
        <w:t>1、一般规定</w:t>
      </w:r>
      <w:bookmarkEnd w:id="104"/>
    </w:p>
    <w:p w14:paraId="2715469C">
      <w:pPr>
        <w:spacing w:line="440" w:lineRule="exact"/>
        <w:ind w:firstLine="535" w:firstLineChars="255"/>
        <w:rPr>
          <w:rFonts w:hint="eastAsia" w:ascii="仿宋" w:hAnsi="仿宋" w:eastAsia="仿宋" w:cs="仿宋"/>
          <w:szCs w:val="21"/>
          <w:highlight w:val="none"/>
        </w:rPr>
      </w:pPr>
      <w:r>
        <w:rPr>
          <w:rFonts w:hint="eastAsia" w:ascii="仿宋" w:hAnsi="仿宋" w:eastAsia="仿宋" w:cs="仿宋"/>
          <w:szCs w:val="21"/>
          <w:highlight w:val="none"/>
        </w:rPr>
        <w:t>1.1本项目的招标按照《中华人民共和国政府采购法》、《政府采购服务和服务招标磋商管理办法》、《政府采购竞争性磋商采购方式管理暂行办法》及政府采购的有关规定进行。</w:t>
      </w:r>
    </w:p>
    <w:p w14:paraId="1ED22957">
      <w:pPr>
        <w:spacing w:line="440" w:lineRule="exact"/>
        <w:ind w:firstLine="535" w:firstLineChars="255"/>
        <w:outlineLvl w:val="9"/>
        <w:rPr>
          <w:rFonts w:hint="eastAsia" w:ascii="仿宋" w:hAnsi="仿宋" w:eastAsia="仿宋" w:cs="仿宋"/>
          <w:szCs w:val="21"/>
          <w:highlight w:val="none"/>
        </w:rPr>
      </w:pPr>
      <w:r>
        <w:rPr>
          <w:rFonts w:hint="eastAsia" w:ascii="仿宋" w:hAnsi="仿宋" w:eastAsia="仿宋" w:cs="仿宋"/>
          <w:szCs w:val="21"/>
          <w:highlight w:val="none"/>
        </w:rPr>
        <w:t>1.2评标必须遵循公开、公平、公正、诚实信用的原则。</w:t>
      </w:r>
    </w:p>
    <w:p w14:paraId="418D8690">
      <w:pPr>
        <w:spacing w:line="440" w:lineRule="exact"/>
        <w:ind w:firstLine="535" w:firstLineChars="255"/>
        <w:rPr>
          <w:rFonts w:hint="eastAsia" w:ascii="仿宋" w:hAnsi="仿宋" w:eastAsia="仿宋" w:cs="仿宋"/>
          <w:szCs w:val="21"/>
          <w:highlight w:val="none"/>
        </w:rPr>
      </w:pPr>
      <w:r>
        <w:rPr>
          <w:rFonts w:hint="eastAsia" w:ascii="仿宋" w:hAnsi="仿宋" w:eastAsia="仿宋" w:cs="仿宋"/>
          <w:szCs w:val="21"/>
          <w:highlight w:val="none"/>
        </w:rPr>
        <w:t>1.3招标代理机构组织招标、开标、评标工作，全过程接受政府采购有关部门的监督、管理和指导。</w:t>
      </w:r>
    </w:p>
    <w:p w14:paraId="06890003">
      <w:pPr>
        <w:spacing w:line="440" w:lineRule="exact"/>
        <w:ind w:firstLine="535" w:firstLineChars="255"/>
        <w:rPr>
          <w:rFonts w:hint="eastAsia" w:ascii="仿宋" w:hAnsi="仿宋" w:eastAsia="仿宋" w:cs="仿宋"/>
          <w:szCs w:val="21"/>
          <w:highlight w:val="none"/>
        </w:rPr>
      </w:pPr>
      <w:r>
        <w:rPr>
          <w:rFonts w:hint="eastAsia" w:ascii="仿宋" w:hAnsi="仿宋" w:eastAsia="仿宋" w:cs="仿宋"/>
          <w:szCs w:val="21"/>
          <w:highlight w:val="none"/>
        </w:rPr>
        <w:t>1.4评标按照磋商文件规定的内容进行，采取综合比较和分项打分相结合的评标方法（综合评分法），避免纯技术或纯经济的倾向。</w:t>
      </w:r>
    </w:p>
    <w:p w14:paraId="313D6A82">
      <w:pPr>
        <w:spacing w:line="440" w:lineRule="exact"/>
        <w:ind w:firstLine="535" w:firstLineChars="255"/>
        <w:rPr>
          <w:rFonts w:hint="eastAsia" w:ascii="仿宋" w:hAnsi="仿宋" w:eastAsia="仿宋" w:cs="仿宋"/>
          <w:szCs w:val="21"/>
          <w:highlight w:val="none"/>
        </w:rPr>
      </w:pPr>
      <w:r>
        <w:rPr>
          <w:rFonts w:hint="eastAsia" w:ascii="仿宋" w:hAnsi="仿宋" w:eastAsia="仿宋" w:cs="仿宋"/>
          <w:szCs w:val="21"/>
          <w:highlight w:val="none"/>
        </w:rPr>
        <w:t>1.5本办法的评标对象是指供应商按照磋商文件要求提供的有效</w:t>
      </w:r>
      <w:r>
        <w:rPr>
          <w:rFonts w:hint="eastAsia" w:ascii="仿宋" w:hAnsi="仿宋" w:eastAsia="仿宋" w:cs="仿宋"/>
          <w:szCs w:val="21"/>
          <w:highlight w:val="none"/>
          <w:lang w:eastAsia="zh-CN"/>
        </w:rPr>
        <w:t>投标文件</w:t>
      </w:r>
      <w:r>
        <w:rPr>
          <w:rFonts w:hint="eastAsia" w:ascii="仿宋" w:hAnsi="仿宋" w:eastAsia="仿宋" w:cs="仿宋"/>
          <w:szCs w:val="21"/>
          <w:highlight w:val="none"/>
        </w:rPr>
        <w:t>，包括供应商应磋商小组要求对原</w:t>
      </w:r>
      <w:r>
        <w:rPr>
          <w:rFonts w:hint="eastAsia" w:ascii="仿宋" w:hAnsi="仿宋" w:eastAsia="仿宋" w:cs="仿宋"/>
          <w:szCs w:val="21"/>
          <w:highlight w:val="none"/>
          <w:lang w:eastAsia="zh-CN"/>
        </w:rPr>
        <w:t>投标文件</w:t>
      </w:r>
      <w:r>
        <w:rPr>
          <w:rFonts w:hint="eastAsia" w:ascii="仿宋" w:hAnsi="仿宋" w:eastAsia="仿宋" w:cs="仿宋"/>
          <w:szCs w:val="21"/>
          <w:highlight w:val="none"/>
        </w:rPr>
        <w:t>作出的正式书面澄清文件。</w:t>
      </w:r>
    </w:p>
    <w:p w14:paraId="098BFBAD">
      <w:pPr>
        <w:tabs>
          <w:tab w:val="left" w:pos="567"/>
          <w:tab w:val="left" w:pos="600"/>
        </w:tabs>
        <w:spacing w:line="440" w:lineRule="exact"/>
        <w:ind w:firstLine="535" w:firstLineChars="255"/>
        <w:outlineLvl w:val="2"/>
        <w:rPr>
          <w:rFonts w:hint="eastAsia" w:ascii="仿宋" w:hAnsi="仿宋" w:eastAsia="仿宋" w:cs="仿宋"/>
          <w:b/>
          <w:bCs/>
          <w:szCs w:val="21"/>
          <w:highlight w:val="none"/>
        </w:rPr>
      </w:pPr>
      <w:bookmarkStart w:id="105" w:name="_Toc4344"/>
      <w:r>
        <w:rPr>
          <w:rFonts w:hint="eastAsia" w:ascii="仿宋" w:hAnsi="仿宋" w:eastAsia="仿宋" w:cs="仿宋"/>
          <w:b/>
          <w:bCs/>
          <w:szCs w:val="21"/>
          <w:highlight w:val="none"/>
        </w:rPr>
        <w:t>2、磋商组织机构的组成</w:t>
      </w:r>
      <w:bookmarkEnd w:id="105"/>
    </w:p>
    <w:p w14:paraId="41BF1DCE">
      <w:pPr>
        <w:tabs>
          <w:tab w:val="left" w:pos="567"/>
          <w:tab w:val="left" w:pos="1145"/>
        </w:tabs>
        <w:spacing w:line="440" w:lineRule="exact"/>
        <w:ind w:firstLine="535" w:firstLineChars="255"/>
        <w:rPr>
          <w:rFonts w:hint="eastAsia" w:ascii="仿宋" w:hAnsi="仿宋" w:eastAsia="仿宋" w:cs="仿宋"/>
          <w:szCs w:val="21"/>
          <w:highlight w:val="none"/>
        </w:rPr>
      </w:pPr>
      <w:r>
        <w:rPr>
          <w:rFonts w:hint="eastAsia" w:ascii="仿宋" w:hAnsi="仿宋" w:eastAsia="仿宋" w:cs="仿宋"/>
          <w:szCs w:val="21"/>
          <w:highlight w:val="none"/>
        </w:rPr>
        <w:t>2.1磋商小组成员由招标人的代表和随机抽取的有关方面的</w:t>
      </w:r>
      <w:r>
        <w:rPr>
          <w:rFonts w:hint="eastAsia" w:ascii="仿宋" w:hAnsi="仿宋" w:eastAsia="仿宋" w:cs="仿宋"/>
          <w:b/>
          <w:bCs/>
          <w:szCs w:val="21"/>
          <w:highlight w:val="none"/>
        </w:rPr>
        <w:t>专</w:t>
      </w:r>
      <w:r>
        <w:rPr>
          <w:rFonts w:hint="eastAsia" w:ascii="仿宋" w:hAnsi="仿宋" w:eastAsia="仿宋" w:cs="仿宋"/>
          <w:b/>
          <w:bCs/>
          <w:szCs w:val="21"/>
          <w:highlight w:val="none"/>
          <w:u w:val="single"/>
        </w:rPr>
        <w:t>家</w:t>
      </w:r>
      <w:r>
        <w:rPr>
          <w:rFonts w:hint="eastAsia" w:ascii="仿宋" w:hAnsi="仿宋" w:eastAsia="仿宋" w:cs="仿宋"/>
          <w:b/>
          <w:bCs/>
          <w:szCs w:val="21"/>
          <w:highlight w:val="none"/>
          <w:u w:val="single"/>
          <w:lang w:val="en-US" w:eastAsia="zh-CN"/>
        </w:rPr>
        <w:t>3</w:t>
      </w:r>
      <w:r>
        <w:rPr>
          <w:rFonts w:hint="eastAsia" w:ascii="仿宋" w:hAnsi="仿宋" w:eastAsia="仿宋" w:cs="仿宋"/>
          <w:b/>
          <w:bCs/>
          <w:szCs w:val="21"/>
          <w:highlight w:val="none"/>
          <w:u w:val="single"/>
        </w:rPr>
        <w:t>名组成，</w:t>
      </w:r>
      <w:r>
        <w:rPr>
          <w:rFonts w:hint="eastAsia" w:ascii="仿宋" w:hAnsi="仿宋" w:eastAsia="仿宋" w:cs="仿宋"/>
          <w:szCs w:val="21"/>
          <w:highlight w:val="none"/>
        </w:rPr>
        <w:t>磋商小组的成员在评标过程中</w:t>
      </w:r>
      <w:r>
        <w:rPr>
          <w:rFonts w:hint="eastAsia" w:ascii="仿宋" w:hAnsi="仿宋" w:eastAsia="仿宋" w:cs="仿宋"/>
          <w:szCs w:val="21"/>
          <w:highlight w:val="none"/>
          <w:lang w:val="zh-CN"/>
        </w:rPr>
        <w:t>必须严格遵守政府采购的有关规定</w:t>
      </w:r>
      <w:r>
        <w:rPr>
          <w:rFonts w:hint="eastAsia" w:ascii="仿宋" w:hAnsi="仿宋" w:eastAsia="仿宋" w:cs="仿宋"/>
          <w:szCs w:val="21"/>
          <w:highlight w:val="none"/>
        </w:rPr>
        <w:t>。专家从当地专家库中随机抽取产生。</w:t>
      </w:r>
    </w:p>
    <w:p w14:paraId="49EBBA6C">
      <w:pPr>
        <w:tabs>
          <w:tab w:val="left" w:pos="567"/>
          <w:tab w:val="left" w:pos="1145"/>
        </w:tabs>
        <w:spacing w:line="440" w:lineRule="exact"/>
        <w:ind w:firstLine="535" w:firstLineChars="255"/>
        <w:rPr>
          <w:rFonts w:hint="eastAsia" w:ascii="仿宋" w:hAnsi="仿宋" w:eastAsia="仿宋" w:cs="仿宋"/>
          <w:szCs w:val="21"/>
          <w:highlight w:val="none"/>
        </w:rPr>
      </w:pPr>
      <w:r>
        <w:rPr>
          <w:rFonts w:hint="eastAsia" w:ascii="仿宋" w:hAnsi="仿宋" w:eastAsia="仿宋" w:cs="仿宋"/>
          <w:szCs w:val="21"/>
          <w:highlight w:val="none"/>
        </w:rPr>
        <w:t>2.2评标工作组由招标人及有关专家组成，由磋商小组确认，并接受其领导。</w:t>
      </w:r>
    </w:p>
    <w:p w14:paraId="0D57E4D4">
      <w:pPr>
        <w:tabs>
          <w:tab w:val="left" w:pos="567"/>
          <w:tab w:val="left" w:pos="1145"/>
        </w:tabs>
        <w:spacing w:line="440" w:lineRule="exact"/>
        <w:ind w:firstLine="535" w:firstLineChars="255"/>
        <w:rPr>
          <w:rFonts w:hint="eastAsia" w:ascii="仿宋" w:hAnsi="仿宋" w:eastAsia="仿宋" w:cs="仿宋"/>
          <w:szCs w:val="21"/>
          <w:highlight w:val="none"/>
        </w:rPr>
      </w:pPr>
      <w:r>
        <w:rPr>
          <w:rFonts w:hint="eastAsia" w:ascii="仿宋" w:hAnsi="仿宋" w:eastAsia="仿宋" w:cs="仿宋"/>
          <w:szCs w:val="21"/>
          <w:highlight w:val="none"/>
        </w:rPr>
        <w:t>2.3磋商小组应相对独立工作，负责评标、撰写技术、商务评标报告。采购代理机构负责评标过程中资料的保管、发放、回收，整理、汇总评标资料。</w:t>
      </w:r>
    </w:p>
    <w:p w14:paraId="28E20FA3">
      <w:pPr>
        <w:tabs>
          <w:tab w:val="left" w:pos="567"/>
          <w:tab w:val="left" w:pos="600"/>
        </w:tabs>
        <w:spacing w:line="440" w:lineRule="exact"/>
        <w:ind w:firstLine="535" w:firstLineChars="255"/>
        <w:outlineLvl w:val="2"/>
        <w:rPr>
          <w:rFonts w:hint="eastAsia" w:ascii="仿宋" w:hAnsi="仿宋" w:eastAsia="仿宋" w:cs="仿宋"/>
          <w:b/>
          <w:bCs/>
          <w:szCs w:val="21"/>
          <w:highlight w:val="none"/>
        </w:rPr>
      </w:pPr>
      <w:bookmarkStart w:id="106" w:name="_Toc3371"/>
      <w:r>
        <w:rPr>
          <w:rFonts w:hint="eastAsia" w:ascii="仿宋" w:hAnsi="仿宋" w:eastAsia="仿宋" w:cs="仿宋"/>
          <w:b/>
          <w:bCs/>
          <w:szCs w:val="21"/>
          <w:highlight w:val="none"/>
        </w:rPr>
        <w:t>3、磋商小组职责</w:t>
      </w:r>
      <w:bookmarkEnd w:id="106"/>
    </w:p>
    <w:p w14:paraId="30046AF9">
      <w:pPr>
        <w:pStyle w:val="56"/>
        <w:spacing w:before="0" w:beforeAutospacing="0" w:after="0" w:afterAutospacing="0" w:line="440" w:lineRule="exact"/>
        <w:ind w:firstLine="535" w:firstLineChars="25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3.1审查磋商文件是否符合磋商文件要求，并作出评价；</w:t>
      </w:r>
    </w:p>
    <w:p w14:paraId="00730F14">
      <w:pPr>
        <w:pStyle w:val="56"/>
        <w:spacing w:before="0" w:beforeAutospacing="0" w:after="0" w:afterAutospacing="0" w:line="440" w:lineRule="exact"/>
        <w:ind w:firstLine="535" w:firstLineChars="25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3.2要求供应商对磋商文件有关事项作出解释或者澄清；</w:t>
      </w:r>
    </w:p>
    <w:p w14:paraId="19DF8DFC">
      <w:pPr>
        <w:pStyle w:val="56"/>
        <w:spacing w:before="0" w:beforeAutospacing="0" w:after="0" w:afterAutospacing="0" w:line="440" w:lineRule="exact"/>
        <w:ind w:firstLine="535" w:firstLineChars="25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3.3推荐成交候选人名单；</w:t>
      </w:r>
    </w:p>
    <w:p w14:paraId="2CA542DE">
      <w:pPr>
        <w:pStyle w:val="56"/>
        <w:spacing w:before="0" w:beforeAutospacing="0" w:after="0" w:afterAutospacing="0" w:line="440" w:lineRule="exact"/>
        <w:ind w:firstLine="535" w:firstLineChars="25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3.4向招标人、招标代理机构或者有关部门报告非法干预评标工作的行为。</w:t>
      </w:r>
    </w:p>
    <w:p w14:paraId="6A850917">
      <w:pPr>
        <w:tabs>
          <w:tab w:val="left" w:pos="567"/>
          <w:tab w:val="left" w:pos="600"/>
        </w:tabs>
        <w:spacing w:line="440" w:lineRule="exact"/>
        <w:ind w:firstLine="535" w:firstLineChars="255"/>
        <w:outlineLvl w:val="2"/>
        <w:rPr>
          <w:rFonts w:hint="eastAsia" w:ascii="仿宋" w:hAnsi="仿宋" w:eastAsia="仿宋" w:cs="仿宋"/>
          <w:b/>
          <w:bCs/>
          <w:szCs w:val="21"/>
          <w:highlight w:val="none"/>
        </w:rPr>
      </w:pPr>
      <w:bookmarkStart w:id="107" w:name="_Toc27837"/>
      <w:r>
        <w:rPr>
          <w:rFonts w:hint="eastAsia" w:ascii="仿宋" w:hAnsi="仿宋" w:eastAsia="仿宋" w:cs="仿宋"/>
          <w:b/>
          <w:bCs/>
          <w:szCs w:val="21"/>
          <w:highlight w:val="none"/>
        </w:rPr>
        <w:t>4、磋商小组义务</w:t>
      </w:r>
      <w:bookmarkEnd w:id="107"/>
    </w:p>
    <w:p w14:paraId="16B363AC">
      <w:pPr>
        <w:tabs>
          <w:tab w:val="left" w:pos="567"/>
          <w:tab w:val="left" w:pos="600"/>
        </w:tabs>
        <w:spacing w:line="440" w:lineRule="exact"/>
        <w:ind w:firstLine="535" w:firstLineChars="255"/>
        <w:outlineLvl w:val="9"/>
        <w:rPr>
          <w:rFonts w:hint="eastAsia" w:ascii="仿宋" w:hAnsi="仿宋" w:eastAsia="仿宋" w:cs="仿宋"/>
          <w:szCs w:val="21"/>
          <w:highlight w:val="none"/>
        </w:rPr>
      </w:pPr>
      <w:r>
        <w:rPr>
          <w:rFonts w:hint="eastAsia" w:ascii="仿宋" w:hAnsi="仿宋" w:eastAsia="仿宋" w:cs="仿宋"/>
          <w:szCs w:val="21"/>
          <w:highlight w:val="none"/>
        </w:rPr>
        <w:t>4.1遵纪守法，客观、公正、廉洁地履行职责；</w:t>
      </w:r>
    </w:p>
    <w:p w14:paraId="47C3E21D">
      <w:pPr>
        <w:tabs>
          <w:tab w:val="left" w:pos="567"/>
          <w:tab w:val="left" w:pos="600"/>
        </w:tabs>
        <w:spacing w:line="440" w:lineRule="exact"/>
        <w:ind w:firstLine="535" w:firstLineChars="255"/>
        <w:rPr>
          <w:rFonts w:hint="eastAsia" w:ascii="仿宋" w:hAnsi="仿宋" w:eastAsia="仿宋" w:cs="仿宋"/>
          <w:szCs w:val="21"/>
          <w:highlight w:val="none"/>
        </w:rPr>
      </w:pPr>
      <w:r>
        <w:rPr>
          <w:rFonts w:hint="eastAsia" w:ascii="仿宋" w:hAnsi="仿宋" w:eastAsia="仿宋" w:cs="仿宋"/>
          <w:szCs w:val="21"/>
          <w:highlight w:val="none"/>
        </w:rPr>
        <w:t>4.2按照磋商文件规定的评标方法和评标标准进行评标，对评审意见承担个人责任；</w:t>
      </w:r>
    </w:p>
    <w:p w14:paraId="39723279">
      <w:pPr>
        <w:tabs>
          <w:tab w:val="left" w:pos="567"/>
          <w:tab w:val="left" w:pos="600"/>
        </w:tabs>
        <w:spacing w:line="440" w:lineRule="exact"/>
        <w:ind w:firstLine="535" w:firstLineChars="255"/>
        <w:rPr>
          <w:rFonts w:hint="eastAsia" w:ascii="仿宋" w:hAnsi="仿宋" w:eastAsia="仿宋" w:cs="仿宋"/>
          <w:szCs w:val="21"/>
          <w:highlight w:val="none"/>
        </w:rPr>
      </w:pPr>
      <w:r>
        <w:rPr>
          <w:rFonts w:hint="eastAsia" w:ascii="仿宋" w:hAnsi="仿宋" w:eastAsia="仿宋" w:cs="仿宋"/>
          <w:szCs w:val="21"/>
          <w:highlight w:val="none"/>
        </w:rPr>
        <w:t>4.3对评标过程和结果，以及供应商的商业秘密保密；</w:t>
      </w:r>
    </w:p>
    <w:p w14:paraId="51D93C51">
      <w:pPr>
        <w:tabs>
          <w:tab w:val="left" w:pos="567"/>
          <w:tab w:val="left" w:pos="600"/>
        </w:tabs>
        <w:spacing w:line="440" w:lineRule="exact"/>
        <w:ind w:firstLine="535" w:firstLineChars="255"/>
        <w:rPr>
          <w:rFonts w:hint="eastAsia" w:ascii="仿宋" w:hAnsi="仿宋" w:eastAsia="仿宋" w:cs="仿宋"/>
          <w:szCs w:val="21"/>
          <w:highlight w:val="none"/>
        </w:rPr>
      </w:pPr>
      <w:r>
        <w:rPr>
          <w:rFonts w:hint="eastAsia" w:ascii="仿宋" w:hAnsi="仿宋" w:eastAsia="仿宋" w:cs="仿宋"/>
          <w:szCs w:val="21"/>
          <w:highlight w:val="none"/>
        </w:rPr>
        <w:t>4.4参与评标报告的起草；</w:t>
      </w:r>
    </w:p>
    <w:p w14:paraId="34C618A2">
      <w:pPr>
        <w:tabs>
          <w:tab w:val="left" w:pos="567"/>
          <w:tab w:val="left" w:pos="600"/>
        </w:tabs>
        <w:spacing w:line="440" w:lineRule="exact"/>
        <w:ind w:firstLine="535" w:firstLineChars="255"/>
        <w:rPr>
          <w:rFonts w:hint="eastAsia" w:ascii="仿宋" w:hAnsi="仿宋" w:eastAsia="仿宋" w:cs="仿宋"/>
          <w:szCs w:val="21"/>
          <w:highlight w:val="none"/>
        </w:rPr>
      </w:pPr>
      <w:r>
        <w:rPr>
          <w:rFonts w:hint="eastAsia" w:ascii="仿宋" w:hAnsi="仿宋" w:eastAsia="仿宋" w:cs="仿宋"/>
          <w:szCs w:val="21"/>
          <w:highlight w:val="none"/>
        </w:rPr>
        <w:t>4.5配合有关部门的投诉处理工作；</w:t>
      </w:r>
    </w:p>
    <w:p w14:paraId="007C8DDC">
      <w:pPr>
        <w:tabs>
          <w:tab w:val="left" w:pos="567"/>
          <w:tab w:val="left" w:pos="600"/>
        </w:tabs>
        <w:spacing w:line="440" w:lineRule="exact"/>
        <w:ind w:firstLine="535" w:firstLineChars="255"/>
        <w:rPr>
          <w:rFonts w:hint="eastAsia" w:ascii="仿宋" w:hAnsi="仿宋" w:eastAsia="仿宋" w:cs="仿宋"/>
          <w:szCs w:val="21"/>
          <w:highlight w:val="none"/>
        </w:rPr>
      </w:pPr>
      <w:r>
        <w:rPr>
          <w:rFonts w:hint="eastAsia" w:ascii="仿宋" w:hAnsi="仿宋" w:eastAsia="仿宋" w:cs="仿宋"/>
          <w:szCs w:val="21"/>
          <w:highlight w:val="none"/>
        </w:rPr>
        <w:t>4.6配合招标人、招标代理机构答复磋商供应商提出的质疑。</w:t>
      </w:r>
    </w:p>
    <w:p w14:paraId="38F33C35">
      <w:pPr>
        <w:tabs>
          <w:tab w:val="left" w:pos="1547"/>
        </w:tabs>
        <w:spacing w:line="440" w:lineRule="exact"/>
        <w:ind w:firstLine="535" w:firstLineChars="255"/>
        <w:outlineLvl w:val="2"/>
        <w:rPr>
          <w:rFonts w:hint="eastAsia" w:ascii="仿宋" w:hAnsi="仿宋" w:eastAsia="仿宋" w:cs="仿宋"/>
          <w:b/>
          <w:bCs/>
          <w:szCs w:val="21"/>
          <w:highlight w:val="none"/>
        </w:rPr>
      </w:pPr>
      <w:bookmarkStart w:id="108" w:name="_Toc9721"/>
      <w:r>
        <w:rPr>
          <w:rFonts w:hint="eastAsia" w:ascii="仿宋" w:hAnsi="仿宋" w:eastAsia="仿宋" w:cs="仿宋"/>
          <w:b/>
          <w:bCs/>
          <w:szCs w:val="21"/>
          <w:highlight w:val="none"/>
        </w:rPr>
        <w:t>5、 评标程序</w:t>
      </w:r>
      <w:bookmarkEnd w:id="108"/>
    </w:p>
    <w:p w14:paraId="5F7A2E18">
      <w:pPr>
        <w:pStyle w:val="21"/>
        <w:tabs>
          <w:tab w:val="left" w:pos="720"/>
          <w:tab w:val="clear" w:pos="0"/>
        </w:tabs>
        <w:spacing w:line="440" w:lineRule="exact"/>
        <w:ind w:firstLine="535" w:firstLineChars="255"/>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5.1本次评标首先由磋商小组对供应商的</w:t>
      </w:r>
      <w:r>
        <w:rPr>
          <w:rFonts w:hint="eastAsia" w:ascii="仿宋" w:hAnsi="仿宋" w:eastAsia="仿宋" w:cs="仿宋"/>
          <w:bCs/>
          <w:color w:val="auto"/>
          <w:szCs w:val="21"/>
          <w:highlight w:val="none"/>
          <w:lang w:eastAsia="zh-CN"/>
        </w:rPr>
        <w:t>投标文件</w:t>
      </w:r>
      <w:r>
        <w:rPr>
          <w:rFonts w:hint="eastAsia" w:ascii="仿宋" w:hAnsi="仿宋" w:eastAsia="仿宋" w:cs="仿宋"/>
          <w:bCs/>
          <w:color w:val="auto"/>
          <w:szCs w:val="21"/>
          <w:highlight w:val="none"/>
        </w:rPr>
        <w:t>进行初审，对未能通过初审的</w:t>
      </w:r>
      <w:r>
        <w:rPr>
          <w:rFonts w:hint="eastAsia" w:ascii="仿宋" w:hAnsi="仿宋" w:eastAsia="仿宋" w:cs="仿宋"/>
          <w:bCs/>
          <w:color w:val="auto"/>
          <w:szCs w:val="21"/>
          <w:highlight w:val="none"/>
          <w:lang w:eastAsia="zh-CN"/>
        </w:rPr>
        <w:t>投标文件</w:t>
      </w:r>
      <w:r>
        <w:rPr>
          <w:rFonts w:hint="eastAsia" w:ascii="仿宋" w:hAnsi="仿宋" w:eastAsia="仿宋" w:cs="仿宋"/>
          <w:bCs/>
          <w:color w:val="auto"/>
          <w:szCs w:val="21"/>
          <w:highlight w:val="none"/>
        </w:rPr>
        <w:t>作废标处理；</w:t>
      </w:r>
    </w:p>
    <w:p w14:paraId="37AD67DC">
      <w:pPr>
        <w:tabs>
          <w:tab w:val="left" w:pos="720"/>
        </w:tabs>
        <w:spacing w:line="440" w:lineRule="exact"/>
        <w:ind w:firstLine="535" w:firstLineChars="255"/>
        <w:rPr>
          <w:rFonts w:hint="eastAsia" w:ascii="仿宋" w:hAnsi="仿宋" w:eastAsia="仿宋" w:cs="仿宋"/>
          <w:szCs w:val="21"/>
          <w:highlight w:val="none"/>
        </w:rPr>
      </w:pPr>
      <w:r>
        <w:rPr>
          <w:rFonts w:hint="eastAsia" w:ascii="仿宋" w:hAnsi="仿宋" w:eastAsia="仿宋" w:cs="仿宋"/>
          <w:szCs w:val="21"/>
          <w:highlight w:val="none"/>
        </w:rPr>
        <w:t>5.2对通过初审的供应商的</w:t>
      </w:r>
      <w:r>
        <w:rPr>
          <w:rFonts w:hint="eastAsia" w:ascii="仿宋" w:hAnsi="仿宋" w:eastAsia="仿宋" w:cs="仿宋"/>
          <w:szCs w:val="21"/>
          <w:highlight w:val="none"/>
          <w:lang w:eastAsia="zh-CN"/>
        </w:rPr>
        <w:t>投标文件</w:t>
      </w:r>
      <w:r>
        <w:rPr>
          <w:rFonts w:hint="eastAsia" w:ascii="仿宋" w:hAnsi="仿宋" w:eastAsia="仿宋" w:cs="仿宋"/>
          <w:szCs w:val="21"/>
          <w:highlight w:val="none"/>
        </w:rPr>
        <w:t>进行详细的比较和评价。如需要，进行必要的澄清工作；</w:t>
      </w:r>
    </w:p>
    <w:p w14:paraId="70D9E2B9">
      <w:pPr>
        <w:spacing w:line="360" w:lineRule="auto"/>
        <w:outlineLvl w:val="9"/>
        <w:rPr>
          <w:rFonts w:hint="eastAsia" w:ascii="仿宋" w:hAnsi="仿宋" w:eastAsia="仿宋" w:cs="仿宋"/>
          <w:color w:val="000000"/>
          <w:szCs w:val="21"/>
          <w:highlight w:val="none"/>
        </w:rPr>
      </w:pPr>
      <w:r>
        <w:rPr>
          <w:rFonts w:hint="eastAsia" w:ascii="仿宋" w:hAnsi="仿宋" w:eastAsia="仿宋" w:cs="仿宋"/>
          <w:szCs w:val="21"/>
          <w:highlight w:val="none"/>
        </w:rPr>
        <w:t>5.3</w:t>
      </w:r>
      <w:r>
        <w:rPr>
          <w:rFonts w:hint="eastAsia" w:ascii="仿宋" w:hAnsi="仿宋" w:eastAsia="仿宋" w:cs="仿宋"/>
          <w:color w:val="000000"/>
          <w:szCs w:val="21"/>
          <w:highlight w:val="none"/>
        </w:rPr>
        <w:t>评标报告与推荐成交候选人</w:t>
      </w:r>
    </w:p>
    <w:p w14:paraId="12ED611A">
      <w:pPr>
        <w:widowControl/>
        <w:spacing w:line="440" w:lineRule="exact"/>
        <w:ind w:firstLine="480"/>
        <w:rPr>
          <w:rFonts w:hint="eastAsia" w:ascii="仿宋" w:hAnsi="仿宋" w:eastAsia="仿宋" w:cs="仿宋"/>
          <w:kern w:val="0"/>
          <w:szCs w:val="21"/>
          <w:highlight w:val="none"/>
        </w:rPr>
      </w:pPr>
      <w:r>
        <w:rPr>
          <w:rFonts w:hint="eastAsia" w:ascii="仿宋" w:hAnsi="仿宋" w:eastAsia="仿宋" w:cs="仿宋"/>
          <w:szCs w:val="21"/>
          <w:highlight w:val="none"/>
        </w:rPr>
        <w:t>5.</w:t>
      </w:r>
      <w:r>
        <w:rPr>
          <w:rFonts w:hint="eastAsia" w:ascii="仿宋" w:hAnsi="仿宋" w:eastAsia="仿宋" w:cs="仿宋"/>
          <w:szCs w:val="21"/>
          <w:highlight w:val="none"/>
          <w:lang w:val="en-US" w:eastAsia="zh-CN"/>
        </w:rPr>
        <w:t>4</w:t>
      </w:r>
      <w:r>
        <w:rPr>
          <w:rFonts w:hint="eastAsia" w:ascii="仿宋" w:hAnsi="仿宋" w:eastAsia="仿宋" w:cs="仿宋"/>
          <w:kern w:val="0"/>
          <w:szCs w:val="21"/>
          <w:highlight w:val="none"/>
        </w:rPr>
        <w:t>磋商小组各成员应当独立对每个有效响应的文件进行评价、打分，然后汇总每个供应商每项评分因素的得分。</w:t>
      </w:r>
    </w:p>
    <w:p w14:paraId="594123BA">
      <w:pPr>
        <w:widowControl/>
        <w:spacing w:line="440" w:lineRule="exact"/>
        <w:ind w:firstLine="480"/>
        <w:rPr>
          <w:rFonts w:hint="eastAsia" w:ascii="仿宋" w:hAnsi="仿宋" w:eastAsia="仿宋" w:cs="仿宋"/>
          <w:kern w:val="0"/>
          <w:szCs w:val="21"/>
          <w:highlight w:val="none"/>
        </w:rPr>
      </w:pPr>
      <w:r>
        <w:rPr>
          <w:rFonts w:hint="eastAsia" w:ascii="仿宋" w:hAnsi="仿宋" w:eastAsia="仿宋" w:cs="仿宋"/>
          <w:kern w:val="0"/>
          <w:szCs w:val="21"/>
          <w:highlight w:val="none"/>
        </w:rPr>
        <w:t>　综合评分法服务项目的价格分值占总分值的比重(</w:t>
      </w:r>
      <w:r>
        <w:rPr>
          <w:rFonts w:hint="eastAsia" w:ascii="仿宋" w:hAnsi="仿宋" w:eastAsia="仿宋" w:cs="仿宋"/>
          <w:kern w:val="0"/>
          <w:szCs w:val="21"/>
          <w:highlight w:val="none"/>
          <w:lang w:eastAsia="zh-CN"/>
        </w:rPr>
        <w:t>即权值)为</w:t>
      </w:r>
      <w:r>
        <w:rPr>
          <w:rFonts w:hint="eastAsia" w:ascii="仿宋" w:hAnsi="仿宋" w:eastAsia="仿宋" w:cs="仿宋"/>
          <w:kern w:val="0"/>
          <w:szCs w:val="21"/>
          <w:highlight w:val="none"/>
          <w:lang w:val="en-US" w:eastAsia="zh-CN"/>
        </w:rPr>
        <w:t>10</w:t>
      </w:r>
      <w:r>
        <w:rPr>
          <w:rFonts w:hint="eastAsia" w:ascii="仿宋" w:hAnsi="仿宋" w:eastAsia="仿宋" w:cs="仿宋"/>
          <w:kern w:val="0"/>
          <w:szCs w:val="21"/>
          <w:highlight w:val="none"/>
          <w:lang w:eastAsia="zh-CN"/>
        </w:rPr>
        <w:t>％</w:t>
      </w:r>
      <w:r>
        <w:rPr>
          <w:rFonts w:hint="eastAsia" w:ascii="仿宋" w:hAnsi="仿宋" w:eastAsia="仿宋" w:cs="仿宋"/>
          <w:kern w:val="0"/>
          <w:szCs w:val="21"/>
          <w:highlight w:val="none"/>
        </w:rPr>
        <w:t>，采购项目中含不同采购对象的，以占项目资金比例最高的采购对象确定其项目属性。其价格不列为评分因素，有特殊情况需要在上述规定范围外设定价格分权重的。</w:t>
      </w:r>
    </w:p>
    <w:p w14:paraId="1113F834">
      <w:pPr>
        <w:widowControl/>
        <w:spacing w:line="440" w:lineRule="exact"/>
        <w:ind w:firstLine="480"/>
        <w:rPr>
          <w:rFonts w:hint="eastAsia" w:ascii="仿宋" w:hAnsi="仿宋" w:eastAsia="仿宋" w:cs="仿宋"/>
          <w:kern w:val="0"/>
          <w:szCs w:val="21"/>
          <w:highlight w:val="none"/>
        </w:rPr>
      </w:pPr>
      <w:r>
        <w:rPr>
          <w:rFonts w:hint="eastAsia" w:ascii="仿宋" w:hAnsi="仿宋" w:eastAsia="仿宋" w:cs="仿宋"/>
          <w:kern w:val="0"/>
          <w:szCs w:val="21"/>
          <w:highlight w:val="none"/>
        </w:rPr>
        <w:t>　综合评分法中的价格分统一采用</w:t>
      </w:r>
      <w:r>
        <w:rPr>
          <w:rFonts w:hint="eastAsia" w:ascii="仿宋" w:hAnsi="仿宋" w:eastAsia="仿宋" w:cs="仿宋"/>
          <w:kern w:val="0"/>
          <w:szCs w:val="21"/>
          <w:highlight w:val="none"/>
          <w:lang w:eastAsia="zh-CN"/>
        </w:rPr>
        <w:t>高</w:t>
      </w:r>
      <w:r>
        <w:rPr>
          <w:rFonts w:hint="eastAsia" w:ascii="仿宋" w:hAnsi="仿宋" w:eastAsia="仿宋" w:cs="仿宋"/>
          <w:kern w:val="0"/>
          <w:szCs w:val="21"/>
          <w:highlight w:val="none"/>
        </w:rPr>
        <w:t>价优先法计算，即满足磋商文件要求且最后报价最</w:t>
      </w:r>
      <w:r>
        <w:rPr>
          <w:rFonts w:hint="eastAsia" w:ascii="仿宋" w:hAnsi="仿宋" w:eastAsia="仿宋" w:cs="仿宋"/>
          <w:kern w:val="0"/>
          <w:szCs w:val="21"/>
          <w:highlight w:val="none"/>
          <w:lang w:eastAsia="zh-CN"/>
        </w:rPr>
        <w:t>高</w:t>
      </w:r>
      <w:r>
        <w:rPr>
          <w:rFonts w:hint="eastAsia" w:ascii="仿宋" w:hAnsi="仿宋" w:eastAsia="仿宋" w:cs="仿宋"/>
          <w:kern w:val="0"/>
          <w:szCs w:val="21"/>
          <w:highlight w:val="none"/>
        </w:rPr>
        <w:t>的供应商的价格为磋商基准价，其价格分为满分。其他供应商的价格分统一按照下列公式计算：</w:t>
      </w:r>
    </w:p>
    <w:p w14:paraId="45FAC5DC">
      <w:pPr>
        <w:widowControl/>
        <w:spacing w:line="440" w:lineRule="exact"/>
        <w:ind w:firstLine="480"/>
        <w:rPr>
          <w:rFonts w:hint="eastAsia" w:ascii="仿宋" w:hAnsi="仿宋" w:eastAsia="仿宋" w:cs="仿宋"/>
          <w:kern w:val="0"/>
          <w:szCs w:val="21"/>
          <w:highlight w:val="none"/>
        </w:rPr>
      </w:pPr>
      <w:r>
        <w:rPr>
          <w:rFonts w:hint="eastAsia" w:ascii="仿宋" w:hAnsi="仿宋" w:eastAsia="仿宋" w:cs="仿宋"/>
          <w:kern w:val="0"/>
          <w:szCs w:val="21"/>
          <w:highlight w:val="none"/>
        </w:rPr>
        <w:t>　磋商报价得分=（磋商基准价/最后磋商报价）×价格权值×100</w:t>
      </w:r>
    </w:p>
    <w:p w14:paraId="20CF226B">
      <w:pPr>
        <w:widowControl/>
        <w:spacing w:line="360" w:lineRule="auto"/>
        <w:ind w:firstLine="480"/>
        <w:rPr>
          <w:rFonts w:hint="eastAsia" w:ascii="仿宋" w:hAnsi="仿宋" w:eastAsia="仿宋" w:cs="仿宋"/>
          <w:kern w:val="0"/>
          <w:szCs w:val="21"/>
          <w:highlight w:val="none"/>
        </w:rPr>
      </w:pPr>
      <w:r>
        <w:rPr>
          <w:rFonts w:hint="eastAsia" w:ascii="仿宋" w:hAnsi="仿宋" w:eastAsia="仿宋" w:cs="仿宋"/>
          <w:kern w:val="0"/>
          <w:szCs w:val="21"/>
          <w:highlight w:val="none"/>
        </w:rPr>
        <w:t>　项目评审过程中，不得去掉最后报价中的最高报价和最低报价。</w:t>
      </w:r>
    </w:p>
    <w:p w14:paraId="60603D82">
      <w:pPr>
        <w:spacing w:line="360" w:lineRule="auto"/>
        <w:jc w:val="left"/>
        <w:outlineLvl w:val="9"/>
        <w:rPr>
          <w:rFonts w:hint="eastAsia" w:ascii="仿宋" w:hAnsi="仿宋" w:eastAsia="仿宋" w:cs="仿宋"/>
          <w:kern w:val="0"/>
          <w:szCs w:val="21"/>
          <w:highlight w:val="none"/>
        </w:rPr>
      </w:pPr>
      <w:bookmarkStart w:id="109" w:name="_Toc10523"/>
      <w:r>
        <w:rPr>
          <w:rFonts w:hint="eastAsia" w:ascii="仿宋" w:hAnsi="仿宋" w:eastAsia="仿宋" w:cs="仿宋"/>
          <w:kern w:val="0"/>
          <w:szCs w:val="21"/>
          <w:highlight w:val="none"/>
        </w:rPr>
        <w:t>  磋商小组应当根据综合评分情况，按照评审得分由高到低顺序推荐3名以上成交候选供应商符合《政府采购竞争性磋商采购方式管理暂行办法》法第二十五条磋商小组应当根据综合评分情况，按照评审得分由高到低顺序推荐3名以上成交候选供应商。符合本办法第二十一条第三款情形的，可以推荐2家成交候选供应商。评审得分相同的，按照最后报价由低到高的顺序推荐。评审得分且最后报价相同的，按照技术指标优劣顺序推荐。</w:t>
      </w:r>
      <w:bookmarkEnd w:id="109"/>
    </w:p>
    <w:p w14:paraId="141EC069">
      <w:pPr>
        <w:spacing w:line="360" w:lineRule="auto"/>
        <w:jc w:val="left"/>
        <w:outlineLvl w:val="9"/>
        <w:rPr>
          <w:rFonts w:hint="eastAsia" w:ascii="仿宋" w:hAnsi="仿宋" w:eastAsia="仿宋" w:cs="仿宋"/>
          <w:b/>
          <w:sz w:val="28"/>
          <w:szCs w:val="28"/>
          <w:highlight w:val="none"/>
        </w:rPr>
      </w:pPr>
    </w:p>
    <w:p w14:paraId="042BE20E">
      <w:pPr>
        <w:jc w:val="center"/>
        <w:outlineLvl w:val="9"/>
        <w:rPr>
          <w:rFonts w:hint="eastAsia" w:ascii="仿宋" w:hAnsi="仿宋" w:eastAsia="仿宋" w:cs="仿宋"/>
          <w:b/>
          <w:sz w:val="28"/>
          <w:szCs w:val="28"/>
          <w:highlight w:val="none"/>
        </w:rPr>
      </w:pPr>
    </w:p>
    <w:p w14:paraId="2405BDA1">
      <w:pPr>
        <w:jc w:val="center"/>
        <w:outlineLvl w:val="9"/>
        <w:rPr>
          <w:rFonts w:hint="eastAsia" w:ascii="仿宋" w:hAnsi="仿宋" w:eastAsia="仿宋" w:cs="仿宋"/>
          <w:b/>
          <w:sz w:val="28"/>
          <w:szCs w:val="28"/>
          <w:highlight w:val="none"/>
        </w:rPr>
      </w:pPr>
    </w:p>
    <w:p w14:paraId="39BB4125">
      <w:pPr>
        <w:jc w:val="center"/>
        <w:outlineLvl w:val="9"/>
        <w:rPr>
          <w:rFonts w:hint="eastAsia" w:ascii="仿宋" w:hAnsi="仿宋" w:eastAsia="仿宋" w:cs="仿宋"/>
          <w:b/>
          <w:sz w:val="28"/>
          <w:szCs w:val="28"/>
          <w:highlight w:val="none"/>
        </w:rPr>
      </w:pPr>
    </w:p>
    <w:p w14:paraId="7ED7B5CF">
      <w:pPr>
        <w:jc w:val="center"/>
        <w:outlineLvl w:val="9"/>
        <w:rPr>
          <w:rFonts w:hint="eastAsia" w:ascii="仿宋" w:hAnsi="仿宋" w:eastAsia="仿宋" w:cs="仿宋"/>
          <w:b/>
          <w:sz w:val="28"/>
          <w:szCs w:val="28"/>
          <w:highlight w:val="none"/>
        </w:rPr>
      </w:pPr>
    </w:p>
    <w:p w14:paraId="4F605FC7">
      <w:pPr>
        <w:jc w:val="center"/>
        <w:outlineLvl w:val="9"/>
        <w:rPr>
          <w:rFonts w:hint="eastAsia" w:ascii="仿宋" w:hAnsi="仿宋" w:eastAsia="仿宋" w:cs="仿宋"/>
          <w:b/>
          <w:sz w:val="28"/>
          <w:szCs w:val="28"/>
          <w:highlight w:val="none"/>
        </w:rPr>
      </w:pPr>
    </w:p>
    <w:p w14:paraId="6F682EB3">
      <w:pPr>
        <w:jc w:val="center"/>
        <w:outlineLvl w:val="9"/>
        <w:rPr>
          <w:rFonts w:hint="eastAsia" w:ascii="仿宋" w:hAnsi="仿宋" w:eastAsia="仿宋" w:cs="仿宋"/>
          <w:b/>
          <w:sz w:val="28"/>
          <w:szCs w:val="28"/>
          <w:highlight w:val="none"/>
        </w:rPr>
      </w:pPr>
    </w:p>
    <w:p w14:paraId="6BE2C03E">
      <w:pPr>
        <w:jc w:val="center"/>
        <w:outlineLvl w:val="1"/>
        <w:rPr>
          <w:rFonts w:hint="eastAsia" w:ascii="仿宋" w:hAnsi="仿宋" w:eastAsia="仿宋" w:cs="仿宋"/>
          <w:b/>
          <w:sz w:val="28"/>
          <w:szCs w:val="28"/>
          <w:highlight w:val="none"/>
        </w:rPr>
        <w:sectPr>
          <w:pgSz w:w="11906" w:h="16838"/>
          <w:pgMar w:top="1440" w:right="1080" w:bottom="1440" w:left="1080" w:header="851" w:footer="992" w:gutter="0"/>
          <w:pgNumType w:fmt="decimal"/>
          <w:cols w:space="720" w:num="1"/>
          <w:docGrid w:type="linesAndChars" w:linePitch="312" w:charSpace="0"/>
        </w:sectPr>
      </w:pPr>
      <w:bookmarkStart w:id="110" w:name="_Toc5760"/>
      <w:bookmarkStart w:id="111" w:name="_Toc13601"/>
    </w:p>
    <w:p w14:paraId="0E517115">
      <w:pPr>
        <w:jc w:val="center"/>
        <w:outlineLvl w:val="1"/>
        <w:rPr>
          <w:rFonts w:hint="eastAsia" w:ascii="仿宋" w:hAnsi="仿宋" w:eastAsia="仿宋" w:cs="仿宋"/>
          <w:b/>
          <w:sz w:val="28"/>
          <w:szCs w:val="28"/>
          <w:highlight w:val="none"/>
        </w:rPr>
      </w:pPr>
      <w:bookmarkStart w:id="112" w:name="_Toc9512"/>
      <w:r>
        <w:rPr>
          <w:rFonts w:hint="eastAsia" w:ascii="仿宋" w:hAnsi="仿宋" w:eastAsia="仿宋" w:cs="仿宋"/>
          <w:b/>
          <w:sz w:val="28"/>
          <w:szCs w:val="28"/>
          <w:highlight w:val="none"/>
        </w:rPr>
        <w:t>二  投标文件初审</w:t>
      </w:r>
      <w:bookmarkEnd w:id="101"/>
      <w:bookmarkEnd w:id="110"/>
      <w:bookmarkEnd w:id="111"/>
      <w:bookmarkEnd w:id="112"/>
    </w:p>
    <w:p w14:paraId="2B94EC7B">
      <w:pPr>
        <w:spacing w:line="400" w:lineRule="exact"/>
        <w:ind w:firstLine="308" w:firstLineChars="147"/>
        <w:outlineLvl w:val="2"/>
        <w:rPr>
          <w:rFonts w:hint="eastAsia" w:ascii="仿宋" w:hAnsi="仿宋" w:eastAsia="仿宋" w:cs="仿宋"/>
          <w:b/>
          <w:szCs w:val="21"/>
          <w:highlight w:val="none"/>
        </w:rPr>
      </w:pPr>
      <w:bookmarkStart w:id="113" w:name="_Toc20224"/>
      <w:r>
        <w:rPr>
          <w:rFonts w:hint="eastAsia" w:ascii="仿宋" w:hAnsi="仿宋" w:eastAsia="仿宋" w:cs="仿宋"/>
          <w:b/>
          <w:szCs w:val="21"/>
          <w:highlight w:val="none"/>
        </w:rPr>
        <w:t>6.资格性审查:</w:t>
      </w:r>
      <w:bookmarkEnd w:id="113"/>
    </w:p>
    <w:p w14:paraId="35E50260">
      <w:pPr>
        <w:ind w:firstLine="420" w:firstLineChars="200"/>
        <w:outlineLvl w:val="9"/>
        <w:rPr>
          <w:rFonts w:hint="eastAsia" w:ascii="仿宋" w:hAnsi="仿宋" w:eastAsia="仿宋" w:cs="仿宋"/>
          <w:szCs w:val="21"/>
          <w:highlight w:val="none"/>
        </w:rPr>
      </w:pPr>
      <w:r>
        <w:rPr>
          <w:rFonts w:hint="eastAsia" w:ascii="仿宋" w:hAnsi="仿宋" w:eastAsia="仿宋" w:cs="仿宋"/>
          <w:szCs w:val="21"/>
          <w:highlight w:val="none"/>
        </w:rPr>
        <w:t>6.1评审细则</w:t>
      </w:r>
    </w:p>
    <w:tbl>
      <w:tblPr>
        <w:tblStyle w:val="25"/>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550"/>
        <w:gridCol w:w="5363"/>
        <w:gridCol w:w="1415"/>
        <w:gridCol w:w="1366"/>
      </w:tblGrid>
      <w:tr w14:paraId="2EAC6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86" w:type="dxa"/>
            <w:vMerge w:val="restart"/>
            <w:noWrap w:val="0"/>
            <w:vAlign w:val="center"/>
          </w:tcPr>
          <w:p w14:paraId="4373D413">
            <w:pPr>
              <w:shd w:val="clear" w:color="auto" w:fill="auto"/>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项目</w:t>
            </w:r>
          </w:p>
        </w:tc>
        <w:tc>
          <w:tcPr>
            <w:tcW w:w="5913" w:type="dxa"/>
            <w:gridSpan w:val="2"/>
            <w:vMerge w:val="restart"/>
            <w:noWrap w:val="0"/>
            <w:vAlign w:val="center"/>
          </w:tcPr>
          <w:p w14:paraId="76D40153">
            <w:pPr>
              <w:shd w:val="clear" w:color="auto" w:fill="auto"/>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评审内容</w:t>
            </w:r>
          </w:p>
        </w:tc>
        <w:tc>
          <w:tcPr>
            <w:tcW w:w="2781" w:type="dxa"/>
            <w:gridSpan w:val="2"/>
            <w:noWrap w:val="0"/>
            <w:vAlign w:val="center"/>
          </w:tcPr>
          <w:p w14:paraId="41EC6137">
            <w:pPr>
              <w:shd w:val="clear" w:color="auto" w:fill="auto"/>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评审意见</w:t>
            </w:r>
          </w:p>
        </w:tc>
      </w:tr>
      <w:tr w14:paraId="2AD6B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86" w:type="dxa"/>
            <w:vMerge w:val="continue"/>
            <w:noWrap w:val="0"/>
            <w:vAlign w:val="center"/>
          </w:tcPr>
          <w:p w14:paraId="2049262C">
            <w:pPr>
              <w:shd w:val="clear" w:color="auto" w:fill="auto"/>
              <w:rPr>
                <w:rFonts w:hint="eastAsia" w:ascii="仿宋" w:hAnsi="仿宋" w:eastAsia="仿宋" w:cs="仿宋"/>
                <w:b w:val="0"/>
                <w:bCs/>
                <w:color w:val="auto"/>
                <w:sz w:val="21"/>
                <w:szCs w:val="21"/>
                <w:highlight w:val="none"/>
              </w:rPr>
            </w:pPr>
          </w:p>
        </w:tc>
        <w:tc>
          <w:tcPr>
            <w:tcW w:w="5913" w:type="dxa"/>
            <w:gridSpan w:val="2"/>
            <w:vMerge w:val="continue"/>
            <w:noWrap w:val="0"/>
            <w:vAlign w:val="top"/>
          </w:tcPr>
          <w:p w14:paraId="33D37353">
            <w:pPr>
              <w:shd w:val="clear" w:color="auto" w:fill="auto"/>
              <w:rPr>
                <w:rFonts w:hint="eastAsia" w:ascii="仿宋" w:hAnsi="仿宋" w:eastAsia="仿宋" w:cs="仿宋"/>
                <w:b w:val="0"/>
                <w:bCs/>
                <w:color w:val="auto"/>
                <w:sz w:val="21"/>
                <w:szCs w:val="21"/>
                <w:highlight w:val="none"/>
              </w:rPr>
            </w:pPr>
          </w:p>
        </w:tc>
        <w:tc>
          <w:tcPr>
            <w:tcW w:w="1415" w:type="dxa"/>
            <w:noWrap w:val="0"/>
            <w:vAlign w:val="center"/>
          </w:tcPr>
          <w:p w14:paraId="1F4035D3">
            <w:pPr>
              <w:shd w:val="clear" w:color="auto" w:fill="auto"/>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rPr>
              <w:t>是否合格</w:t>
            </w:r>
          </w:p>
        </w:tc>
        <w:tc>
          <w:tcPr>
            <w:tcW w:w="1366" w:type="dxa"/>
            <w:noWrap w:val="0"/>
            <w:vAlign w:val="center"/>
          </w:tcPr>
          <w:p w14:paraId="5E7785A7">
            <w:pPr>
              <w:shd w:val="clear" w:color="auto" w:fill="auto"/>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rPr>
              <w:t>是否合格</w:t>
            </w:r>
          </w:p>
        </w:tc>
      </w:tr>
      <w:tr w14:paraId="53E9A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6" w:type="dxa"/>
            <w:vMerge w:val="restart"/>
            <w:noWrap w:val="0"/>
            <w:vAlign w:val="center"/>
          </w:tcPr>
          <w:p w14:paraId="5CD7F5F7">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审</w:t>
            </w:r>
          </w:p>
          <w:p w14:paraId="0EA7C011">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查</w:t>
            </w:r>
          </w:p>
          <w:p w14:paraId="6E64082C">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标</w:t>
            </w:r>
          </w:p>
          <w:p w14:paraId="568F4BE6">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准</w:t>
            </w:r>
          </w:p>
          <w:p w14:paraId="43FE6B88">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(适</w:t>
            </w:r>
          </w:p>
          <w:p w14:paraId="05AFD1D5">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用</w:t>
            </w:r>
          </w:p>
          <w:p w14:paraId="71B29BB4">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于</w:t>
            </w:r>
          </w:p>
          <w:p w14:paraId="2D282360">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资</w:t>
            </w:r>
          </w:p>
          <w:p w14:paraId="001A44A7">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格</w:t>
            </w:r>
          </w:p>
          <w:p w14:paraId="03AF456E">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后</w:t>
            </w:r>
          </w:p>
          <w:p w14:paraId="4C0B3429">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审)</w:t>
            </w:r>
          </w:p>
        </w:tc>
        <w:tc>
          <w:tcPr>
            <w:tcW w:w="550" w:type="dxa"/>
            <w:noWrap w:val="0"/>
            <w:vAlign w:val="center"/>
          </w:tcPr>
          <w:p w14:paraId="18693A30">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w:t>
            </w:r>
          </w:p>
        </w:tc>
        <w:tc>
          <w:tcPr>
            <w:tcW w:w="5363" w:type="dxa"/>
            <w:noWrap w:val="0"/>
            <w:vAlign w:val="center"/>
          </w:tcPr>
          <w:p w14:paraId="3EF54BD9">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具备合格的（三证合一）营业执照副本</w:t>
            </w:r>
          </w:p>
        </w:tc>
        <w:tc>
          <w:tcPr>
            <w:tcW w:w="1415" w:type="dxa"/>
            <w:noWrap w:val="0"/>
            <w:vAlign w:val="top"/>
          </w:tcPr>
          <w:p w14:paraId="3D90AE86">
            <w:pPr>
              <w:shd w:val="clear" w:color="auto" w:fill="auto"/>
              <w:rPr>
                <w:rFonts w:hint="eastAsia" w:ascii="仿宋" w:hAnsi="仿宋" w:eastAsia="仿宋" w:cs="仿宋"/>
                <w:color w:val="auto"/>
                <w:sz w:val="21"/>
                <w:szCs w:val="21"/>
                <w:highlight w:val="none"/>
              </w:rPr>
            </w:pPr>
          </w:p>
        </w:tc>
        <w:tc>
          <w:tcPr>
            <w:tcW w:w="1366" w:type="dxa"/>
            <w:noWrap w:val="0"/>
            <w:vAlign w:val="top"/>
          </w:tcPr>
          <w:p w14:paraId="03DA38D1">
            <w:pPr>
              <w:shd w:val="clear" w:color="auto" w:fill="auto"/>
              <w:rPr>
                <w:rFonts w:hint="eastAsia" w:ascii="仿宋" w:hAnsi="仿宋" w:eastAsia="仿宋" w:cs="仿宋"/>
                <w:color w:val="auto"/>
                <w:sz w:val="21"/>
                <w:szCs w:val="21"/>
                <w:highlight w:val="none"/>
              </w:rPr>
            </w:pPr>
          </w:p>
        </w:tc>
      </w:tr>
      <w:tr w14:paraId="5FADD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86" w:type="dxa"/>
            <w:vMerge w:val="continue"/>
            <w:noWrap w:val="0"/>
            <w:vAlign w:val="center"/>
          </w:tcPr>
          <w:p w14:paraId="4AB0B37B">
            <w:pPr>
              <w:shd w:val="clear" w:color="auto" w:fill="auto"/>
              <w:rPr>
                <w:rFonts w:hint="eastAsia" w:ascii="仿宋" w:hAnsi="仿宋" w:eastAsia="仿宋" w:cs="仿宋"/>
                <w:color w:val="auto"/>
                <w:sz w:val="21"/>
                <w:szCs w:val="21"/>
                <w:highlight w:val="none"/>
              </w:rPr>
            </w:pPr>
          </w:p>
        </w:tc>
        <w:tc>
          <w:tcPr>
            <w:tcW w:w="550" w:type="dxa"/>
            <w:noWrap w:val="0"/>
            <w:vAlign w:val="center"/>
          </w:tcPr>
          <w:p w14:paraId="06D1AD91">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w:t>
            </w:r>
          </w:p>
        </w:tc>
        <w:tc>
          <w:tcPr>
            <w:tcW w:w="5363" w:type="dxa"/>
            <w:noWrap w:val="0"/>
            <w:vAlign w:val="center"/>
          </w:tcPr>
          <w:p w14:paraId="66BF6DD4">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法定代表人投标需提供法定代表人资格证明，委托代理人投标需提供法定代表人授权委托书</w:t>
            </w:r>
          </w:p>
        </w:tc>
        <w:tc>
          <w:tcPr>
            <w:tcW w:w="1415" w:type="dxa"/>
            <w:noWrap w:val="0"/>
            <w:vAlign w:val="top"/>
          </w:tcPr>
          <w:p w14:paraId="53EEBE1D">
            <w:pPr>
              <w:shd w:val="clear" w:color="auto" w:fill="auto"/>
              <w:rPr>
                <w:rFonts w:hint="eastAsia" w:ascii="仿宋" w:hAnsi="仿宋" w:eastAsia="仿宋" w:cs="仿宋"/>
                <w:color w:val="auto"/>
                <w:sz w:val="21"/>
                <w:szCs w:val="21"/>
                <w:highlight w:val="none"/>
              </w:rPr>
            </w:pPr>
          </w:p>
        </w:tc>
        <w:tc>
          <w:tcPr>
            <w:tcW w:w="1366" w:type="dxa"/>
            <w:noWrap w:val="0"/>
            <w:vAlign w:val="top"/>
          </w:tcPr>
          <w:p w14:paraId="224352EF">
            <w:pPr>
              <w:shd w:val="clear" w:color="auto" w:fill="auto"/>
              <w:rPr>
                <w:rFonts w:hint="eastAsia" w:ascii="仿宋" w:hAnsi="仿宋" w:eastAsia="仿宋" w:cs="仿宋"/>
                <w:color w:val="auto"/>
                <w:sz w:val="21"/>
                <w:szCs w:val="21"/>
                <w:highlight w:val="none"/>
              </w:rPr>
            </w:pPr>
          </w:p>
        </w:tc>
      </w:tr>
      <w:tr w14:paraId="4808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886" w:type="dxa"/>
            <w:vMerge w:val="continue"/>
            <w:noWrap w:val="0"/>
            <w:vAlign w:val="center"/>
          </w:tcPr>
          <w:p w14:paraId="1F7CD284">
            <w:pPr>
              <w:shd w:val="clear" w:color="auto" w:fill="auto"/>
              <w:rPr>
                <w:rFonts w:hint="eastAsia" w:ascii="仿宋" w:hAnsi="仿宋" w:eastAsia="仿宋" w:cs="仿宋"/>
                <w:color w:val="auto"/>
                <w:sz w:val="21"/>
                <w:szCs w:val="21"/>
                <w:highlight w:val="none"/>
              </w:rPr>
            </w:pPr>
          </w:p>
        </w:tc>
        <w:tc>
          <w:tcPr>
            <w:tcW w:w="550" w:type="dxa"/>
            <w:noWrap w:val="0"/>
            <w:vAlign w:val="center"/>
          </w:tcPr>
          <w:p w14:paraId="07144F32">
            <w:pPr>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w:t>
            </w:r>
          </w:p>
        </w:tc>
        <w:tc>
          <w:tcPr>
            <w:tcW w:w="5363" w:type="dxa"/>
            <w:noWrap w:val="0"/>
            <w:vAlign w:val="center"/>
          </w:tcPr>
          <w:p w14:paraId="5850AE78">
            <w:pPr>
              <w:pStyle w:val="24"/>
              <w:spacing w:line="240" w:lineRule="auto"/>
              <w:ind w:left="0" w:leftChars="0" w:firstLine="0" w:firstLineChars="0"/>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投标企业须提供投标人（被授权在职人员）近6个月任意一个月有效的社保证明和完税证明；</w:t>
            </w:r>
          </w:p>
        </w:tc>
        <w:tc>
          <w:tcPr>
            <w:tcW w:w="1415" w:type="dxa"/>
            <w:noWrap w:val="0"/>
            <w:vAlign w:val="top"/>
          </w:tcPr>
          <w:p w14:paraId="690C8DBB">
            <w:pPr>
              <w:shd w:val="clear" w:color="auto" w:fill="auto"/>
              <w:rPr>
                <w:rFonts w:hint="eastAsia" w:ascii="仿宋" w:hAnsi="仿宋" w:eastAsia="仿宋" w:cs="仿宋"/>
                <w:color w:val="auto"/>
                <w:sz w:val="21"/>
                <w:szCs w:val="21"/>
                <w:highlight w:val="none"/>
              </w:rPr>
            </w:pPr>
          </w:p>
        </w:tc>
        <w:tc>
          <w:tcPr>
            <w:tcW w:w="1366" w:type="dxa"/>
            <w:noWrap w:val="0"/>
            <w:vAlign w:val="top"/>
          </w:tcPr>
          <w:p w14:paraId="17216589">
            <w:pPr>
              <w:shd w:val="clear" w:color="auto" w:fill="auto"/>
              <w:rPr>
                <w:rFonts w:hint="eastAsia" w:ascii="仿宋" w:hAnsi="仿宋" w:eastAsia="仿宋" w:cs="仿宋"/>
                <w:color w:val="auto"/>
                <w:sz w:val="21"/>
                <w:szCs w:val="21"/>
                <w:highlight w:val="none"/>
              </w:rPr>
            </w:pPr>
          </w:p>
        </w:tc>
      </w:tr>
      <w:tr w14:paraId="4931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886" w:type="dxa"/>
            <w:vMerge w:val="continue"/>
            <w:noWrap w:val="0"/>
            <w:vAlign w:val="center"/>
          </w:tcPr>
          <w:p w14:paraId="6411F32B">
            <w:pPr>
              <w:shd w:val="clear" w:color="auto" w:fill="auto"/>
              <w:rPr>
                <w:rFonts w:hint="eastAsia" w:ascii="仿宋" w:hAnsi="仿宋" w:eastAsia="仿宋" w:cs="仿宋"/>
                <w:color w:val="auto"/>
                <w:sz w:val="21"/>
                <w:szCs w:val="21"/>
                <w:highlight w:val="none"/>
              </w:rPr>
            </w:pPr>
          </w:p>
        </w:tc>
        <w:tc>
          <w:tcPr>
            <w:tcW w:w="550" w:type="dxa"/>
            <w:noWrap w:val="0"/>
            <w:vAlign w:val="center"/>
          </w:tcPr>
          <w:p w14:paraId="4068DB51">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w:t>
            </w:r>
          </w:p>
        </w:tc>
        <w:tc>
          <w:tcPr>
            <w:tcW w:w="5363" w:type="dxa"/>
            <w:noWrap w:val="0"/>
            <w:vAlign w:val="center"/>
          </w:tcPr>
          <w:p w14:paraId="0738F0FA">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参加采购活动前三年内，投标人在“信用中国”（</w:t>
            </w:r>
            <w:r>
              <w:rPr>
                <w:rFonts w:hint="eastAsia" w:ascii="仿宋" w:hAnsi="仿宋" w:eastAsia="仿宋" w:cs="仿宋"/>
                <w:color w:val="auto"/>
                <w:kern w:val="0"/>
                <w:sz w:val="21"/>
                <w:szCs w:val="21"/>
                <w:highlight w:val="none"/>
                <w:lang w:val="en-US" w:eastAsia="zh-CN" w:bidi="ar-SA"/>
              </w:rPr>
              <w:fldChar w:fldCharType="begin"/>
            </w:r>
            <w:r>
              <w:rPr>
                <w:rFonts w:hint="eastAsia" w:ascii="仿宋" w:hAnsi="仿宋" w:eastAsia="仿宋" w:cs="仿宋"/>
                <w:color w:val="auto"/>
                <w:kern w:val="0"/>
                <w:sz w:val="21"/>
                <w:szCs w:val="21"/>
                <w:highlight w:val="none"/>
                <w:lang w:val="en-US" w:eastAsia="zh-CN" w:bidi="ar-SA"/>
              </w:rPr>
              <w:instrText xml:space="preserve"> HYPERLINK "http://www.creditchina.gov.cn%EF%BC%89%E5%92%8C%E2%80%9C%E4%B8%AD%E5%9B%BD%E6%94%BF%E5%BA%9C%E9%87%87%E8%B4%AD%E7%BD%91%E2%80%9D%EF%BC%88www.ccgp.gov.cn%EF%BC%89%E7%BD%91%E7%AB%99%E4%B8%8A%E6%9C%AA%E8%A2%AB%E5%88%97%E5%85%A5%E5%A4%B1%E4%BF%A1%E8%A2%AB%E6%89%A7%E8%A1%8C%E4%BA%BA%E3%80%81%E9%87%8D%E5%A4%A7%E7%A8%8E%E6%94%B6%E8%BF%9D%E6%B3%95%E6%A1%88%E4%BB%B6%E5%BD%93%E4%BA%8B%E4%BA%BA%E5%90%8D%E5%8D%95%E4%BB%A5%E5%8F%8A%E6%94%BF%E5%BA%9C%E9%87%87%E8%B4%AD%E4%B8%A5%E9%87%8D%E8%BF%9D%E6%B3%95%E5%A4%B1%E4%BF%A1%E8%A1%8C%E4%B8%BA%E8%AE%B0%E5%BD%95%E5%90%8D%E5%8D%95%EF%BC%88%E6%8F%90%E4%BE%9B%E6%9F%A5%E8%AF%A2%E7%BB%93%E6%9E%9C%E7%BD%91%E9%A1%B5%E6%88%AA%E5%9B%BE%E5%B9%B6%E5%8A%A0%E7%9B%96%E4%BE%9B%E5%BA%94%E5%95%86%E5%85%AC%E7%AB%A0%EF%BC%89%EF%BC%9B/" </w:instrText>
            </w:r>
            <w:r>
              <w:rPr>
                <w:rFonts w:hint="eastAsia" w:ascii="仿宋" w:hAnsi="仿宋" w:eastAsia="仿宋" w:cs="仿宋"/>
                <w:color w:val="auto"/>
                <w:kern w:val="0"/>
                <w:sz w:val="21"/>
                <w:szCs w:val="21"/>
                <w:highlight w:val="none"/>
                <w:lang w:val="en-US" w:eastAsia="zh-CN" w:bidi="ar-SA"/>
              </w:rPr>
              <w:fldChar w:fldCharType="separate"/>
            </w:r>
            <w:r>
              <w:rPr>
                <w:rFonts w:hint="eastAsia" w:ascii="仿宋" w:hAnsi="仿宋" w:eastAsia="仿宋" w:cs="仿宋"/>
                <w:color w:val="auto"/>
                <w:kern w:val="0"/>
                <w:sz w:val="21"/>
                <w:szCs w:val="21"/>
                <w:highlight w:val="none"/>
                <w:lang w:val="en-US" w:eastAsia="zh-CN" w:bidi="ar-SA"/>
              </w:rPr>
              <w:t>www.creditchina.gov.cn）和“中国政府采购网”（www.ccgp.gov.cn）网站上未被列入失信被执行人、重大税收违法案件当事人名单以及政府采购严重违法失信行为记录名单（投标文件中的查询截图不做强制性要求，最终以代理机构开标现场在政采云系统中查询结果为准）；</w:t>
            </w:r>
            <w:r>
              <w:rPr>
                <w:rFonts w:hint="eastAsia" w:ascii="仿宋" w:hAnsi="仿宋" w:eastAsia="仿宋" w:cs="仿宋"/>
                <w:color w:val="auto"/>
                <w:kern w:val="0"/>
                <w:sz w:val="21"/>
                <w:szCs w:val="21"/>
                <w:highlight w:val="none"/>
                <w:lang w:val="en-US" w:eastAsia="zh-CN" w:bidi="ar-SA"/>
              </w:rPr>
              <w:fldChar w:fldCharType="end"/>
            </w:r>
          </w:p>
        </w:tc>
        <w:tc>
          <w:tcPr>
            <w:tcW w:w="1415" w:type="dxa"/>
            <w:noWrap w:val="0"/>
            <w:vAlign w:val="top"/>
          </w:tcPr>
          <w:p w14:paraId="312A25D8">
            <w:pPr>
              <w:shd w:val="clear" w:color="auto" w:fill="auto"/>
              <w:rPr>
                <w:rFonts w:hint="eastAsia" w:ascii="仿宋" w:hAnsi="仿宋" w:eastAsia="仿宋" w:cs="仿宋"/>
                <w:color w:val="auto"/>
                <w:sz w:val="21"/>
                <w:szCs w:val="21"/>
                <w:highlight w:val="none"/>
              </w:rPr>
            </w:pPr>
          </w:p>
        </w:tc>
        <w:tc>
          <w:tcPr>
            <w:tcW w:w="1366" w:type="dxa"/>
            <w:noWrap w:val="0"/>
            <w:vAlign w:val="top"/>
          </w:tcPr>
          <w:p w14:paraId="14638D5A">
            <w:pPr>
              <w:shd w:val="clear" w:color="auto" w:fill="auto"/>
              <w:rPr>
                <w:rFonts w:hint="eastAsia" w:ascii="仿宋" w:hAnsi="仿宋" w:eastAsia="仿宋" w:cs="仿宋"/>
                <w:color w:val="auto"/>
                <w:sz w:val="21"/>
                <w:szCs w:val="21"/>
                <w:highlight w:val="none"/>
              </w:rPr>
            </w:pPr>
          </w:p>
        </w:tc>
      </w:tr>
      <w:tr w14:paraId="6BFF8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86" w:type="dxa"/>
            <w:vMerge w:val="continue"/>
            <w:noWrap w:val="0"/>
            <w:vAlign w:val="center"/>
          </w:tcPr>
          <w:p w14:paraId="23A5CA54">
            <w:pPr>
              <w:shd w:val="clear" w:color="auto" w:fill="auto"/>
              <w:rPr>
                <w:rFonts w:hint="eastAsia" w:ascii="仿宋" w:hAnsi="仿宋" w:eastAsia="仿宋" w:cs="仿宋"/>
                <w:color w:val="auto"/>
                <w:sz w:val="21"/>
                <w:szCs w:val="21"/>
                <w:highlight w:val="none"/>
              </w:rPr>
            </w:pPr>
          </w:p>
        </w:tc>
        <w:tc>
          <w:tcPr>
            <w:tcW w:w="550" w:type="dxa"/>
            <w:noWrap w:val="0"/>
            <w:vAlign w:val="center"/>
          </w:tcPr>
          <w:p w14:paraId="2AD43C7F">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c>
          <w:tcPr>
            <w:tcW w:w="5363" w:type="dxa"/>
            <w:noWrap w:val="0"/>
            <w:vAlign w:val="center"/>
          </w:tcPr>
          <w:p w14:paraId="76C0755A">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bidi="ar-SA"/>
              </w:rPr>
              <w:t xml:space="preserve">具有履行合同所必需的设备和专业技术能力： </w:t>
            </w:r>
          </w:p>
          <w:p w14:paraId="6F1AF3CE">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bidi="ar-SA"/>
              </w:rPr>
              <w:t>《供应商具有履行合同所必需的设备和专业技术能力提供声明函》</w:t>
            </w:r>
          </w:p>
        </w:tc>
        <w:tc>
          <w:tcPr>
            <w:tcW w:w="1415" w:type="dxa"/>
            <w:noWrap w:val="0"/>
            <w:vAlign w:val="top"/>
          </w:tcPr>
          <w:p w14:paraId="336D9D0C">
            <w:pPr>
              <w:shd w:val="clear" w:color="auto" w:fill="auto"/>
              <w:rPr>
                <w:rFonts w:hint="eastAsia" w:ascii="仿宋" w:hAnsi="仿宋" w:eastAsia="仿宋" w:cs="仿宋"/>
                <w:color w:val="auto"/>
                <w:sz w:val="21"/>
                <w:szCs w:val="21"/>
                <w:highlight w:val="none"/>
              </w:rPr>
            </w:pPr>
          </w:p>
        </w:tc>
        <w:tc>
          <w:tcPr>
            <w:tcW w:w="1366" w:type="dxa"/>
            <w:noWrap w:val="0"/>
            <w:vAlign w:val="top"/>
          </w:tcPr>
          <w:p w14:paraId="4FF23A64">
            <w:pPr>
              <w:shd w:val="clear" w:color="auto" w:fill="auto"/>
              <w:rPr>
                <w:rFonts w:hint="eastAsia" w:ascii="仿宋" w:hAnsi="仿宋" w:eastAsia="仿宋" w:cs="仿宋"/>
                <w:color w:val="auto"/>
                <w:sz w:val="21"/>
                <w:szCs w:val="21"/>
                <w:highlight w:val="none"/>
              </w:rPr>
            </w:pPr>
          </w:p>
        </w:tc>
      </w:tr>
      <w:tr w14:paraId="7ED77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6" w:type="dxa"/>
            <w:vMerge w:val="continue"/>
            <w:noWrap w:val="0"/>
            <w:vAlign w:val="center"/>
          </w:tcPr>
          <w:p w14:paraId="0FD0C4E9">
            <w:pPr>
              <w:shd w:val="clear" w:color="auto" w:fill="auto"/>
              <w:rPr>
                <w:rFonts w:hint="eastAsia" w:ascii="仿宋" w:hAnsi="仿宋" w:eastAsia="仿宋" w:cs="仿宋"/>
                <w:color w:val="auto"/>
                <w:sz w:val="21"/>
                <w:szCs w:val="21"/>
                <w:highlight w:val="none"/>
              </w:rPr>
            </w:pPr>
          </w:p>
        </w:tc>
        <w:tc>
          <w:tcPr>
            <w:tcW w:w="550" w:type="dxa"/>
            <w:noWrap w:val="0"/>
            <w:vAlign w:val="center"/>
          </w:tcPr>
          <w:p w14:paraId="1FD356B1">
            <w:pPr>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6</w:t>
            </w:r>
          </w:p>
        </w:tc>
        <w:tc>
          <w:tcPr>
            <w:tcW w:w="5363" w:type="dxa"/>
            <w:noWrap w:val="0"/>
            <w:vAlign w:val="center"/>
          </w:tcPr>
          <w:p w14:paraId="3AA0D335">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kern w:val="0"/>
                <w:sz w:val="21"/>
                <w:szCs w:val="21"/>
                <w:highlight w:val="none"/>
                <w:lang w:val="en-US" w:eastAsia="zh-CN" w:bidi="ar-SA"/>
              </w:rPr>
              <w:t>具有良好的商业信誉和健全的财务会计制度：提供近三年任意一年的审计报告扫描件(成立不足一年提供成立至今财务报表，至少包含资产负债表）或提供其基本开户银行在投标截止日前、六个月内出具的资信证明扫描件（银行出具的存款证明不能替代银行资信证明）。</w:t>
            </w:r>
          </w:p>
        </w:tc>
        <w:tc>
          <w:tcPr>
            <w:tcW w:w="1415" w:type="dxa"/>
            <w:noWrap w:val="0"/>
            <w:vAlign w:val="top"/>
          </w:tcPr>
          <w:p w14:paraId="598D4F43">
            <w:pPr>
              <w:shd w:val="clear" w:color="auto" w:fill="auto"/>
              <w:rPr>
                <w:rFonts w:hint="eastAsia" w:ascii="仿宋" w:hAnsi="仿宋" w:eastAsia="仿宋" w:cs="仿宋"/>
                <w:color w:val="auto"/>
                <w:sz w:val="21"/>
                <w:szCs w:val="21"/>
                <w:highlight w:val="none"/>
              </w:rPr>
            </w:pPr>
          </w:p>
        </w:tc>
        <w:tc>
          <w:tcPr>
            <w:tcW w:w="1366" w:type="dxa"/>
            <w:noWrap w:val="0"/>
            <w:vAlign w:val="top"/>
          </w:tcPr>
          <w:p w14:paraId="27953FCD">
            <w:pPr>
              <w:shd w:val="clear" w:color="auto" w:fill="auto"/>
              <w:rPr>
                <w:rFonts w:hint="eastAsia" w:ascii="仿宋" w:hAnsi="仿宋" w:eastAsia="仿宋" w:cs="仿宋"/>
                <w:color w:val="auto"/>
                <w:sz w:val="21"/>
                <w:szCs w:val="21"/>
                <w:highlight w:val="none"/>
              </w:rPr>
            </w:pPr>
          </w:p>
        </w:tc>
      </w:tr>
      <w:tr w14:paraId="7E9CD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6" w:type="dxa"/>
            <w:vMerge w:val="continue"/>
            <w:noWrap w:val="0"/>
            <w:vAlign w:val="center"/>
          </w:tcPr>
          <w:p w14:paraId="42C8A5A8">
            <w:pPr>
              <w:shd w:val="clear" w:color="auto" w:fill="auto"/>
              <w:rPr>
                <w:rFonts w:hint="eastAsia" w:ascii="仿宋" w:hAnsi="仿宋" w:eastAsia="仿宋" w:cs="仿宋"/>
                <w:color w:val="auto"/>
                <w:sz w:val="21"/>
                <w:szCs w:val="21"/>
                <w:highlight w:val="none"/>
              </w:rPr>
            </w:pPr>
          </w:p>
        </w:tc>
        <w:tc>
          <w:tcPr>
            <w:tcW w:w="550" w:type="dxa"/>
            <w:noWrap w:val="0"/>
            <w:vAlign w:val="center"/>
          </w:tcPr>
          <w:p w14:paraId="39489079">
            <w:pPr>
              <w:jc w:val="cente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7</w:t>
            </w:r>
          </w:p>
        </w:tc>
        <w:tc>
          <w:tcPr>
            <w:tcW w:w="5363" w:type="dxa"/>
            <w:noWrap w:val="0"/>
            <w:vAlign w:val="center"/>
          </w:tcPr>
          <w:p w14:paraId="16DAE30F">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kern w:val="0"/>
                <w:sz w:val="21"/>
                <w:szCs w:val="21"/>
                <w:highlight w:val="none"/>
                <w:lang w:val="en-US" w:eastAsia="zh-CN" w:bidi="ar-SA"/>
              </w:rPr>
              <w:t>参加政府采购活动前三年内，在经营活动中没有重大违法记录：提供书面声明。</w:t>
            </w:r>
          </w:p>
          <w:p w14:paraId="5A54BE9F">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color w:val="000000"/>
                <w:kern w:val="0"/>
                <w:sz w:val="21"/>
                <w:szCs w:val="21"/>
                <w:highlight w:val="none"/>
                <w:lang w:val="en-US" w:eastAsia="zh-CN" w:bidi="ar-SA"/>
              </w:rPr>
            </w:pPr>
          </w:p>
        </w:tc>
        <w:tc>
          <w:tcPr>
            <w:tcW w:w="1415" w:type="dxa"/>
            <w:noWrap w:val="0"/>
            <w:vAlign w:val="top"/>
          </w:tcPr>
          <w:p w14:paraId="52BF76B4">
            <w:pPr>
              <w:shd w:val="clear" w:color="auto" w:fill="auto"/>
              <w:rPr>
                <w:rFonts w:hint="eastAsia" w:ascii="仿宋" w:hAnsi="仿宋" w:eastAsia="仿宋" w:cs="仿宋"/>
                <w:color w:val="auto"/>
                <w:sz w:val="21"/>
                <w:szCs w:val="21"/>
                <w:highlight w:val="none"/>
              </w:rPr>
            </w:pPr>
          </w:p>
        </w:tc>
        <w:tc>
          <w:tcPr>
            <w:tcW w:w="1366" w:type="dxa"/>
            <w:noWrap w:val="0"/>
            <w:vAlign w:val="top"/>
          </w:tcPr>
          <w:p w14:paraId="3FD14E4A">
            <w:pPr>
              <w:shd w:val="clear" w:color="auto" w:fill="auto"/>
              <w:rPr>
                <w:rFonts w:hint="eastAsia" w:ascii="仿宋" w:hAnsi="仿宋" w:eastAsia="仿宋" w:cs="仿宋"/>
                <w:color w:val="auto"/>
                <w:sz w:val="21"/>
                <w:szCs w:val="21"/>
                <w:highlight w:val="none"/>
              </w:rPr>
            </w:pPr>
          </w:p>
        </w:tc>
      </w:tr>
      <w:tr w14:paraId="6FF6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6" w:type="dxa"/>
            <w:vMerge w:val="continue"/>
            <w:noWrap w:val="0"/>
            <w:vAlign w:val="center"/>
          </w:tcPr>
          <w:p w14:paraId="1C5F4BA3">
            <w:pPr>
              <w:shd w:val="clear" w:color="auto" w:fill="auto"/>
              <w:rPr>
                <w:rFonts w:hint="eastAsia" w:ascii="仿宋" w:hAnsi="仿宋" w:eastAsia="仿宋" w:cs="仿宋"/>
                <w:color w:val="auto"/>
                <w:sz w:val="21"/>
                <w:szCs w:val="21"/>
                <w:highlight w:val="none"/>
              </w:rPr>
            </w:pPr>
          </w:p>
        </w:tc>
        <w:tc>
          <w:tcPr>
            <w:tcW w:w="550" w:type="dxa"/>
            <w:noWrap w:val="0"/>
            <w:vAlign w:val="center"/>
          </w:tcPr>
          <w:p w14:paraId="205BAFDB">
            <w:pPr>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8</w:t>
            </w:r>
          </w:p>
        </w:tc>
        <w:tc>
          <w:tcPr>
            <w:tcW w:w="5363" w:type="dxa"/>
            <w:noWrap w:val="0"/>
            <w:vAlign w:val="center"/>
          </w:tcPr>
          <w:p w14:paraId="48B940E8">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kern w:val="0"/>
                <w:sz w:val="21"/>
                <w:szCs w:val="21"/>
                <w:highlight w:val="none"/>
                <w:lang w:val="en-US" w:eastAsia="zh-CN" w:bidi="ar-SA"/>
              </w:rPr>
              <w:t>供应商应为中小企业，请根据要求单独上传《中小企业声明函》。格式以采购文件要求为准。</w:t>
            </w:r>
          </w:p>
        </w:tc>
        <w:tc>
          <w:tcPr>
            <w:tcW w:w="1415" w:type="dxa"/>
            <w:noWrap w:val="0"/>
            <w:vAlign w:val="top"/>
          </w:tcPr>
          <w:p w14:paraId="40923F50">
            <w:pPr>
              <w:shd w:val="clear" w:color="auto" w:fill="auto"/>
              <w:rPr>
                <w:rFonts w:hint="eastAsia" w:ascii="仿宋" w:hAnsi="仿宋" w:eastAsia="仿宋" w:cs="仿宋"/>
                <w:color w:val="auto"/>
                <w:sz w:val="21"/>
                <w:szCs w:val="21"/>
                <w:highlight w:val="none"/>
              </w:rPr>
            </w:pPr>
          </w:p>
        </w:tc>
        <w:tc>
          <w:tcPr>
            <w:tcW w:w="1366" w:type="dxa"/>
            <w:noWrap w:val="0"/>
            <w:vAlign w:val="top"/>
          </w:tcPr>
          <w:p w14:paraId="57F39F60">
            <w:pPr>
              <w:shd w:val="clear" w:color="auto" w:fill="auto"/>
              <w:rPr>
                <w:rFonts w:hint="eastAsia" w:ascii="仿宋" w:hAnsi="仿宋" w:eastAsia="仿宋" w:cs="仿宋"/>
                <w:color w:val="auto"/>
                <w:sz w:val="21"/>
                <w:szCs w:val="21"/>
                <w:highlight w:val="none"/>
              </w:rPr>
            </w:pPr>
          </w:p>
        </w:tc>
      </w:tr>
      <w:tr w14:paraId="1E58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86" w:type="dxa"/>
            <w:vMerge w:val="continue"/>
            <w:noWrap w:val="0"/>
            <w:vAlign w:val="center"/>
          </w:tcPr>
          <w:p w14:paraId="08BD37FA">
            <w:pPr>
              <w:shd w:val="clear" w:color="auto" w:fill="auto"/>
              <w:jc w:val="center"/>
              <w:rPr>
                <w:rFonts w:hint="eastAsia" w:ascii="仿宋" w:hAnsi="仿宋" w:eastAsia="仿宋" w:cs="仿宋"/>
                <w:color w:val="auto"/>
                <w:sz w:val="21"/>
                <w:szCs w:val="21"/>
                <w:highlight w:val="none"/>
              </w:rPr>
            </w:pPr>
          </w:p>
        </w:tc>
        <w:tc>
          <w:tcPr>
            <w:tcW w:w="8694" w:type="dxa"/>
            <w:gridSpan w:val="4"/>
            <w:noWrap w:val="0"/>
            <w:vAlign w:val="center"/>
          </w:tcPr>
          <w:p w14:paraId="6518F08F">
            <w:pPr>
              <w:shd w:val="clear" w:color="auto" w:fill="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b w:val="0"/>
                <w:bCs/>
                <w:color w:val="auto"/>
                <w:sz w:val="21"/>
                <w:szCs w:val="21"/>
              </w:rPr>
              <w:t>评审结果“√”表示合格；“×”表示不合格，一项不合格结果为不合格，如不合格，请在结果中写明原因。</w:t>
            </w:r>
          </w:p>
        </w:tc>
      </w:tr>
    </w:tbl>
    <w:p w14:paraId="676AA1C3">
      <w:pPr>
        <w:ind w:firstLine="420" w:firstLineChars="200"/>
        <w:outlineLvl w:val="9"/>
        <w:rPr>
          <w:rFonts w:hint="eastAsia" w:ascii="仿宋" w:hAnsi="仿宋" w:eastAsia="仿宋" w:cs="仿宋"/>
          <w:szCs w:val="21"/>
          <w:highlight w:val="none"/>
          <w:lang w:eastAsia="zh-CN"/>
        </w:rPr>
      </w:pPr>
    </w:p>
    <w:p w14:paraId="1EECFFF3">
      <w:pPr>
        <w:spacing w:line="400" w:lineRule="exact"/>
        <w:ind w:firstLine="506" w:firstLineChars="241"/>
        <w:rPr>
          <w:rFonts w:hint="eastAsia" w:ascii="仿宋" w:hAnsi="仿宋" w:eastAsia="仿宋" w:cs="仿宋"/>
          <w:b/>
          <w:szCs w:val="21"/>
          <w:highlight w:val="none"/>
        </w:rPr>
      </w:pPr>
      <w:r>
        <w:rPr>
          <w:rFonts w:hint="eastAsia" w:ascii="仿宋" w:hAnsi="仿宋" w:eastAsia="仿宋" w:cs="仿宋"/>
          <w:b/>
          <w:szCs w:val="21"/>
          <w:highlight w:val="none"/>
        </w:rPr>
        <w:t>6.2如评标专家在检验电子标书过程中，如果由于投标人自身原因导致评标专家无法查看并检验电子标书中以上相关资料的，否决其投标。即使投标单位将原件携带至现场的，同样按无效投标处理。</w:t>
      </w:r>
    </w:p>
    <w:p w14:paraId="7F5BDF1B">
      <w:pPr>
        <w:spacing w:before="156" w:beforeLines="50" w:line="440" w:lineRule="exact"/>
        <w:ind w:firstLine="308" w:firstLineChars="147"/>
        <w:outlineLvl w:val="2"/>
        <w:rPr>
          <w:rFonts w:hint="eastAsia" w:ascii="仿宋" w:hAnsi="仿宋" w:eastAsia="仿宋" w:cs="仿宋"/>
          <w:b/>
          <w:szCs w:val="21"/>
          <w:highlight w:val="none"/>
        </w:rPr>
        <w:sectPr>
          <w:pgSz w:w="11906" w:h="16838"/>
          <w:pgMar w:top="1440" w:right="1080" w:bottom="1440" w:left="1080" w:header="851" w:footer="992" w:gutter="0"/>
          <w:pgNumType w:fmt="decimal"/>
          <w:cols w:space="720" w:num="1"/>
          <w:docGrid w:type="linesAndChars" w:linePitch="312" w:charSpace="0"/>
        </w:sectPr>
      </w:pPr>
      <w:bookmarkStart w:id="114" w:name="_Toc907"/>
    </w:p>
    <w:p w14:paraId="692E9BAF">
      <w:pPr>
        <w:spacing w:before="156" w:beforeLines="50" w:line="440" w:lineRule="exact"/>
        <w:ind w:firstLine="308" w:firstLineChars="147"/>
        <w:outlineLvl w:val="2"/>
        <w:rPr>
          <w:rFonts w:hint="eastAsia" w:ascii="仿宋" w:hAnsi="仿宋" w:eastAsia="仿宋" w:cs="仿宋"/>
          <w:b/>
          <w:szCs w:val="21"/>
          <w:highlight w:val="none"/>
        </w:rPr>
      </w:pPr>
      <w:r>
        <w:rPr>
          <w:rFonts w:hint="eastAsia" w:ascii="仿宋" w:hAnsi="仿宋" w:eastAsia="仿宋" w:cs="仿宋"/>
          <w:b/>
          <w:szCs w:val="21"/>
          <w:highlight w:val="none"/>
        </w:rPr>
        <w:t>7.符合性审查</w:t>
      </w:r>
      <w:bookmarkEnd w:id="114"/>
    </w:p>
    <w:p w14:paraId="073DFD03">
      <w:pPr>
        <w:spacing w:line="440" w:lineRule="exact"/>
        <w:ind w:firstLine="420" w:firstLineChars="200"/>
        <w:outlineLvl w:val="9"/>
        <w:rPr>
          <w:rFonts w:hint="eastAsia" w:ascii="仿宋" w:hAnsi="仿宋" w:eastAsia="仿宋" w:cs="仿宋"/>
          <w:szCs w:val="21"/>
          <w:highlight w:val="none"/>
        </w:rPr>
      </w:pPr>
      <w:r>
        <w:rPr>
          <w:rFonts w:hint="eastAsia" w:ascii="仿宋" w:hAnsi="仿宋" w:eastAsia="仿宋" w:cs="仿宋"/>
          <w:szCs w:val="21"/>
          <w:highlight w:val="none"/>
        </w:rPr>
        <w:t>7．1评审细则</w:t>
      </w:r>
    </w:p>
    <w:tbl>
      <w:tblPr>
        <w:tblStyle w:val="25"/>
        <w:tblpPr w:leftFromText="180" w:rightFromText="180" w:vertAnchor="text" w:horzAnchor="page" w:tblpX="1342" w:tblpY="201"/>
        <w:tblW w:w="949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2"/>
        <w:gridCol w:w="495"/>
        <w:gridCol w:w="6579"/>
        <w:gridCol w:w="753"/>
        <w:gridCol w:w="749"/>
      </w:tblGrid>
      <w:tr w14:paraId="4A18BA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3" w:hRule="atLeast"/>
        </w:trPr>
        <w:tc>
          <w:tcPr>
            <w:tcW w:w="922" w:type="dxa"/>
            <w:tcBorders>
              <w:top w:val="single" w:color="auto" w:sz="4" w:space="0"/>
              <w:left w:val="single" w:color="auto" w:sz="4" w:space="0"/>
            </w:tcBorders>
            <w:noWrap w:val="0"/>
            <w:vAlign w:val="center"/>
          </w:tcPr>
          <w:p w14:paraId="13AF78D7">
            <w:pPr>
              <w:jc w:val="center"/>
              <w:rPr>
                <w:rFonts w:hint="eastAsia" w:ascii="仿宋" w:hAnsi="仿宋" w:eastAsia="仿宋" w:cs="仿宋"/>
                <w:b/>
                <w:sz w:val="21"/>
                <w:szCs w:val="21"/>
              </w:rPr>
            </w:pPr>
            <w:r>
              <w:rPr>
                <w:rFonts w:hint="eastAsia" w:ascii="仿宋" w:hAnsi="仿宋" w:eastAsia="仿宋" w:cs="仿宋"/>
                <w:b/>
                <w:sz w:val="21"/>
                <w:szCs w:val="21"/>
              </w:rPr>
              <w:t>项目</w:t>
            </w:r>
          </w:p>
        </w:tc>
        <w:tc>
          <w:tcPr>
            <w:tcW w:w="7074" w:type="dxa"/>
            <w:gridSpan w:val="2"/>
            <w:tcBorders>
              <w:top w:val="single" w:color="auto" w:sz="4" w:space="0"/>
            </w:tcBorders>
            <w:noWrap w:val="0"/>
            <w:vAlign w:val="center"/>
          </w:tcPr>
          <w:p w14:paraId="01BC0DCC">
            <w:pPr>
              <w:jc w:val="center"/>
              <w:rPr>
                <w:rFonts w:hint="eastAsia" w:ascii="仿宋" w:hAnsi="仿宋" w:eastAsia="仿宋" w:cs="仿宋"/>
                <w:b/>
                <w:sz w:val="21"/>
                <w:szCs w:val="21"/>
              </w:rPr>
            </w:pPr>
            <w:r>
              <w:rPr>
                <w:rFonts w:hint="eastAsia" w:ascii="仿宋" w:hAnsi="仿宋" w:eastAsia="仿宋" w:cs="仿宋"/>
                <w:b/>
                <w:sz w:val="21"/>
                <w:szCs w:val="21"/>
              </w:rPr>
              <w:t>评审内容</w:t>
            </w:r>
          </w:p>
        </w:tc>
        <w:tc>
          <w:tcPr>
            <w:tcW w:w="1502" w:type="dxa"/>
            <w:gridSpan w:val="2"/>
            <w:tcBorders>
              <w:top w:val="single" w:color="auto" w:sz="4" w:space="0"/>
              <w:right w:val="single" w:color="auto" w:sz="4" w:space="0"/>
            </w:tcBorders>
            <w:noWrap w:val="0"/>
            <w:vAlign w:val="center"/>
          </w:tcPr>
          <w:p w14:paraId="4A1AD84B">
            <w:pPr>
              <w:jc w:val="center"/>
              <w:rPr>
                <w:rFonts w:hint="eastAsia" w:ascii="仿宋" w:hAnsi="仿宋" w:eastAsia="仿宋" w:cs="仿宋"/>
                <w:b/>
                <w:sz w:val="21"/>
                <w:szCs w:val="21"/>
              </w:rPr>
            </w:pPr>
            <w:r>
              <w:rPr>
                <w:rFonts w:hint="eastAsia" w:ascii="仿宋" w:hAnsi="仿宋" w:eastAsia="仿宋" w:cs="仿宋"/>
                <w:b/>
                <w:sz w:val="21"/>
                <w:szCs w:val="21"/>
              </w:rPr>
              <w:t>评审意见</w:t>
            </w:r>
          </w:p>
        </w:tc>
      </w:tr>
      <w:tr w14:paraId="5064AB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922" w:type="dxa"/>
            <w:tcBorders>
              <w:left w:val="single" w:color="auto" w:sz="4" w:space="0"/>
              <w:bottom w:val="single" w:color="auto" w:sz="4" w:space="0"/>
            </w:tcBorders>
            <w:noWrap w:val="0"/>
            <w:vAlign w:val="center"/>
          </w:tcPr>
          <w:p w14:paraId="31BFA6A8">
            <w:pPr>
              <w:rPr>
                <w:rFonts w:hint="eastAsia" w:ascii="仿宋" w:hAnsi="仿宋" w:eastAsia="仿宋" w:cs="仿宋"/>
                <w:sz w:val="21"/>
                <w:szCs w:val="21"/>
              </w:rPr>
            </w:pPr>
          </w:p>
        </w:tc>
        <w:tc>
          <w:tcPr>
            <w:tcW w:w="7074" w:type="dxa"/>
            <w:gridSpan w:val="2"/>
            <w:tcBorders>
              <w:bottom w:val="single" w:color="auto" w:sz="4" w:space="0"/>
            </w:tcBorders>
            <w:noWrap w:val="0"/>
            <w:vAlign w:val="top"/>
          </w:tcPr>
          <w:p w14:paraId="33988274">
            <w:pPr>
              <w:rPr>
                <w:rFonts w:hint="eastAsia" w:ascii="仿宋" w:hAnsi="仿宋" w:eastAsia="仿宋" w:cs="仿宋"/>
                <w:sz w:val="21"/>
                <w:szCs w:val="21"/>
              </w:rPr>
            </w:pPr>
          </w:p>
        </w:tc>
        <w:tc>
          <w:tcPr>
            <w:tcW w:w="753" w:type="dxa"/>
            <w:noWrap w:val="0"/>
            <w:vAlign w:val="center"/>
          </w:tcPr>
          <w:p w14:paraId="07E10DA2">
            <w:pPr>
              <w:jc w:val="center"/>
              <w:rPr>
                <w:rFonts w:hint="eastAsia" w:ascii="仿宋" w:hAnsi="仿宋" w:eastAsia="仿宋" w:cs="仿宋"/>
                <w:b/>
                <w:sz w:val="21"/>
                <w:szCs w:val="21"/>
              </w:rPr>
            </w:pPr>
            <w:r>
              <w:rPr>
                <w:rFonts w:hint="eastAsia" w:ascii="仿宋" w:hAnsi="仿宋" w:eastAsia="仿宋" w:cs="仿宋"/>
                <w:spacing w:val="-2"/>
                <w:sz w:val="21"/>
                <w:szCs w:val="21"/>
              </w:rPr>
              <w:t>√</w:t>
            </w:r>
          </w:p>
        </w:tc>
        <w:tc>
          <w:tcPr>
            <w:tcW w:w="749" w:type="dxa"/>
            <w:tcBorders>
              <w:right w:val="single" w:color="auto" w:sz="4" w:space="0"/>
            </w:tcBorders>
            <w:noWrap w:val="0"/>
            <w:vAlign w:val="center"/>
          </w:tcPr>
          <w:p w14:paraId="43B87AD3">
            <w:pPr>
              <w:ind w:firstLine="206" w:firstLineChars="100"/>
              <w:rPr>
                <w:rFonts w:hint="eastAsia" w:ascii="仿宋" w:hAnsi="仿宋" w:eastAsia="仿宋" w:cs="仿宋"/>
                <w:b/>
                <w:sz w:val="21"/>
                <w:szCs w:val="21"/>
              </w:rPr>
            </w:pPr>
            <w:r>
              <w:rPr>
                <w:rFonts w:hint="eastAsia" w:ascii="仿宋" w:hAnsi="仿宋" w:eastAsia="仿宋" w:cs="仿宋"/>
                <w:spacing w:val="-2"/>
                <w:sz w:val="21"/>
                <w:szCs w:val="21"/>
              </w:rPr>
              <w:t>×</w:t>
            </w:r>
          </w:p>
        </w:tc>
      </w:tr>
      <w:tr w14:paraId="3A0825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922" w:type="dxa"/>
            <w:vMerge w:val="restart"/>
            <w:tcBorders>
              <w:top w:val="single" w:color="auto" w:sz="4" w:space="0"/>
              <w:left w:val="single" w:color="auto" w:sz="4" w:space="0"/>
              <w:right w:val="single" w:color="auto" w:sz="4" w:space="0"/>
            </w:tcBorders>
            <w:noWrap w:val="0"/>
            <w:vAlign w:val="center"/>
          </w:tcPr>
          <w:p w14:paraId="72738511">
            <w:pPr>
              <w:jc w:val="center"/>
              <w:rPr>
                <w:rFonts w:hint="eastAsia" w:ascii="仿宋" w:hAnsi="仿宋" w:eastAsia="仿宋" w:cs="仿宋"/>
                <w:sz w:val="21"/>
                <w:szCs w:val="21"/>
              </w:rPr>
            </w:pPr>
            <w:r>
              <w:rPr>
                <w:rFonts w:hint="eastAsia" w:ascii="仿宋" w:hAnsi="仿宋" w:eastAsia="仿宋" w:cs="仿宋"/>
                <w:sz w:val="21"/>
                <w:szCs w:val="21"/>
              </w:rPr>
              <w:t>审</w:t>
            </w:r>
          </w:p>
          <w:p w14:paraId="41FEAF20">
            <w:pPr>
              <w:jc w:val="center"/>
              <w:rPr>
                <w:rFonts w:hint="eastAsia" w:ascii="仿宋" w:hAnsi="仿宋" w:eastAsia="仿宋" w:cs="仿宋"/>
                <w:sz w:val="21"/>
                <w:szCs w:val="21"/>
              </w:rPr>
            </w:pPr>
            <w:r>
              <w:rPr>
                <w:rFonts w:hint="eastAsia" w:ascii="仿宋" w:hAnsi="仿宋" w:eastAsia="仿宋" w:cs="仿宋"/>
                <w:sz w:val="21"/>
                <w:szCs w:val="21"/>
              </w:rPr>
              <w:t>查</w:t>
            </w:r>
          </w:p>
          <w:p w14:paraId="748BF78A">
            <w:pPr>
              <w:jc w:val="center"/>
              <w:rPr>
                <w:rFonts w:hint="eastAsia" w:ascii="仿宋" w:hAnsi="仿宋" w:eastAsia="仿宋" w:cs="仿宋"/>
                <w:sz w:val="21"/>
                <w:szCs w:val="21"/>
              </w:rPr>
            </w:pPr>
            <w:r>
              <w:rPr>
                <w:rFonts w:hint="eastAsia" w:ascii="仿宋" w:hAnsi="仿宋" w:eastAsia="仿宋" w:cs="仿宋"/>
                <w:sz w:val="21"/>
                <w:szCs w:val="21"/>
              </w:rPr>
              <w:t>标</w:t>
            </w:r>
          </w:p>
          <w:p w14:paraId="7DB7D411">
            <w:pPr>
              <w:jc w:val="center"/>
              <w:rPr>
                <w:rFonts w:hint="eastAsia" w:ascii="仿宋" w:hAnsi="仿宋" w:eastAsia="仿宋" w:cs="仿宋"/>
                <w:sz w:val="21"/>
                <w:szCs w:val="21"/>
              </w:rPr>
            </w:pPr>
            <w:r>
              <w:rPr>
                <w:rFonts w:hint="eastAsia" w:ascii="仿宋" w:hAnsi="仿宋" w:eastAsia="仿宋" w:cs="仿宋"/>
                <w:sz w:val="21"/>
                <w:szCs w:val="21"/>
              </w:rPr>
              <w:t>准</w:t>
            </w:r>
          </w:p>
        </w:tc>
        <w:tc>
          <w:tcPr>
            <w:tcW w:w="495" w:type="dxa"/>
            <w:tcBorders>
              <w:top w:val="single" w:color="auto" w:sz="4" w:space="0"/>
              <w:left w:val="single" w:color="auto" w:sz="4" w:space="0"/>
              <w:right w:val="single" w:color="auto" w:sz="4" w:space="0"/>
            </w:tcBorders>
            <w:noWrap w:val="0"/>
            <w:vAlign w:val="center"/>
          </w:tcPr>
          <w:p w14:paraId="32A84871">
            <w:pPr>
              <w:jc w:val="center"/>
              <w:rPr>
                <w:rFonts w:hint="eastAsia" w:ascii="仿宋" w:hAnsi="仿宋" w:eastAsia="仿宋" w:cs="仿宋"/>
                <w:sz w:val="21"/>
                <w:szCs w:val="21"/>
              </w:rPr>
            </w:pPr>
            <w:r>
              <w:rPr>
                <w:rFonts w:hint="eastAsia" w:ascii="仿宋" w:hAnsi="仿宋" w:eastAsia="仿宋" w:cs="仿宋"/>
                <w:sz w:val="21"/>
                <w:szCs w:val="21"/>
              </w:rPr>
              <w:t>1</w:t>
            </w:r>
          </w:p>
        </w:tc>
        <w:tc>
          <w:tcPr>
            <w:tcW w:w="6579" w:type="dxa"/>
            <w:tcBorders>
              <w:top w:val="single" w:color="auto" w:sz="4" w:space="0"/>
              <w:left w:val="single" w:color="auto" w:sz="4" w:space="0"/>
              <w:right w:val="single" w:color="auto" w:sz="4" w:space="0"/>
            </w:tcBorders>
            <w:noWrap w:val="0"/>
            <w:vAlign w:val="center"/>
          </w:tcPr>
          <w:p w14:paraId="6F6D071D">
            <w:pPr>
              <w:spacing w:line="400" w:lineRule="exact"/>
              <w:jc w:val="left"/>
              <w:rPr>
                <w:rFonts w:hint="eastAsia" w:ascii="仿宋" w:hAnsi="仿宋" w:eastAsia="仿宋" w:cs="仿宋"/>
                <w:sz w:val="21"/>
                <w:szCs w:val="21"/>
              </w:rPr>
            </w:pPr>
            <w:r>
              <w:rPr>
                <w:rFonts w:hint="eastAsia" w:ascii="仿宋" w:hAnsi="仿宋" w:eastAsia="仿宋" w:cs="仿宋"/>
                <w:sz w:val="21"/>
                <w:szCs w:val="21"/>
              </w:rPr>
              <w:t>由政府立项核准、审批的采购项目, 报价未高于设定的采购预算价的；</w:t>
            </w:r>
          </w:p>
        </w:tc>
        <w:tc>
          <w:tcPr>
            <w:tcW w:w="753" w:type="dxa"/>
            <w:tcBorders>
              <w:left w:val="single" w:color="auto" w:sz="4" w:space="0"/>
              <w:right w:val="single" w:color="auto" w:sz="4" w:space="0"/>
            </w:tcBorders>
            <w:noWrap w:val="0"/>
            <w:vAlign w:val="top"/>
          </w:tcPr>
          <w:p w14:paraId="731DBDCD">
            <w:pPr>
              <w:jc w:val="center"/>
              <w:rPr>
                <w:rFonts w:hint="eastAsia" w:ascii="仿宋" w:hAnsi="仿宋" w:eastAsia="仿宋" w:cs="仿宋"/>
                <w:b/>
                <w:sz w:val="21"/>
                <w:szCs w:val="21"/>
              </w:rPr>
            </w:pPr>
          </w:p>
        </w:tc>
        <w:tc>
          <w:tcPr>
            <w:tcW w:w="749" w:type="dxa"/>
            <w:tcBorders>
              <w:left w:val="single" w:color="auto" w:sz="4" w:space="0"/>
              <w:right w:val="single" w:color="auto" w:sz="4" w:space="0"/>
            </w:tcBorders>
            <w:noWrap w:val="0"/>
            <w:vAlign w:val="top"/>
          </w:tcPr>
          <w:p w14:paraId="73C31B6D">
            <w:pPr>
              <w:jc w:val="center"/>
              <w:rPr>
                <w:rFonts w:hint="eastAsia" w:ascii="仿宋" w:hAnsi="仿宋" w:eastAsia="仿宋" w:cs="仿宋"/>
                <w:b/>
                <w:sz w:val="21"/>
                <w:szCs w:val="21"/>
              </w:rPr>
            </w:pPr>
          </w:p>
        </w:tc>
      </w:tr>
      <w:tr w14:paraId="18BCE8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22" w:type="dxa"/>
            <w:vMerge w:val="continue"/>
            <w:tcBorders>
              <w:left w:val="single" w:color="auto" w:sz="4" w:space="0"/>
              <w:right w:val="single" w:color="auto" w:sz="4" w:space="0"/>
            </w:tcBorders>
            <w:noWrap w:val="0"/>
            <w:vAlign w:val="center"/>
          </w:tcPr>
          <w:p w14:paraId="36342446">
            <w:pPr>
              <w:rPr>
                <w:rFonts w:hint="eastAsia" w:ascii="仿宋" w:hAnsi="仿宋" w:eastAsia="仿宋" w:cs="仿宋"/>
                <w:sz w:val="21"/>
                <w:szCs w:val="21"/>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243B30DC">
            <w:pPr>
              <w:jc w:val="center"/>
              <w:rPr>
                <w:rFonts w:hint="eastAsia" w:ascii="仿宋" w:hAnsi="仿宋" w:eastAsia="仿宋" w:cs="仿宋"/>
                <w:sz w:val="21"/>
                <w:szCs w:val="21"/>
              </w:rPr>
            </w:pPr>
            <w:r>
              <w:rPr>
                <w:rFonts w:hint="eastAsia" w:ascii="仿宋" w:hAnsi="仿宋" w:eastAsia="仿宋" w:cs="仿宋"/>
                <w:sz w:val="21"/>
                <w:szCs w:val="21"/>
              </w:rPr>
              <w:t>2</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5BE9D70C">
            <w:pPr>
              <w:spacing w:line="400" w:lineRule="exact"/>
              <w:jc w:val="left"/>
              <w:rPr>
                <w:rFonts w:hint="eastAsia" w:ascii="仿宋" w:hAnsi="仿宋" w:eastAsia="仿宋" w:cs="仿宋"/>
                <w:sz w:val="21"/>
                <w:szCs w:val="21"/>
              </w:rPr>
            </w:pPr>
            <w:r>
              <w:rPr>
                <w:rFonts w:hint="eastAsia" w:ascii="仿宋" w:hAnsi="仿宋" w:eastAsia="仿宋" w:cs="仿宋"/>
                <w:sz w:val="21"/>
                <w:szCs w:val="21"/>
              </w:rPr>
              <w:t>法定代表人身份证明及授权委托书有效，且符合招标文件规定的格式。</w:t>
            </w:r>
          </w:p>
        </w:tc>
        <w:tc>
          <w:tcPr>
            <w:tcW w:w="753" w:type="dxa"/>
            <w:tcBorders>
              <w:left w:val="single" w:color="auto" w:sz="4" w:space="0"/>
            </w:tcBorders>
            <w:noWrap w:val="0"/>
            <w:vAlign w:val="top"/>
          </w:tcPr>
          <w:p w14:paraId="69412A33">
            <w:pPr>
              <w:rPr>
                <w:rFonts w:hint="eastAsia" w:ascii="仿宋" w:hAnsi="仿宋" w:eastAsia="仿宋" w:cs="仿宋"/>
                <w:sz w:val="21"/>
                <w:szCs w:val="21"/>
              </w:rPr>
            </w:pPr>
          </w:p>
        </w:tc>
        <w:tc>
          <w:tcPr>
            <w:tcW w:w="749" w:type="dxa"/>
            <w:tcBorders>
              <w:right w:val="single" w:color="auto" w:sz="4" w:space="0"/>
            </w:tcBorders>
            <w:noWrap w:val="0"/>
            <w:vAlign w:val="top"/>
          </w:tcPr>
          <w:p w14:paraId="47874BF0">
            <w:pPr>
              <w:rPr>
                <w:rFonts w:hint="eastAsia" w:ascii="仿宋" w:hAnsi="仿宋" w:eastAsia="仿宋" w:cs="仿宋"/>
                <w:sz w:val="21"/>
                <w:szCs w:val="21"/>
              </w:rPr>
            </w:pPr>
          </w:p>
        </w:tc>
      </w:tr>
      <w:tr w14:paraId="4CBB21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922" w:type="dxa"/>
            <w:vMerge w:val="continue"/>
            <w:tcBorders>
              <w:left w:val="single" w:color="auto" w:sz="4" w:space="0"/>
              <w:right w:val="single" w:color="auto" w:sz="4" w:space="0"/>
            </w:tcBorders>
            <w:noWrap w:val="0"/>
            <w:vAlign w:val="center"/>
          </w:tcPr>
          <w:p w14:paraId="0AA3279B">
            <w:pPr>
              <w:rPr>
                <w:rFonts w:hint="eastAsia" w:ascii="仿宋" w:hAnsi="仿宋" w:eastAsia="仿宋" w:cs="仿宋"/>
                <w:sz w:val="21"/>
                <w:szCs w:val="21"/>
              </w:rPr>
            </w:pPr>
          </w:p>
        </w:tc>
        <w:tc>
          <w:tcPr>
            <w:tcW w:w="495" w:type="dxa"/>
            <w:tcBorders>
              <w:top w:val="single" w:color="auto" w:sz="4" w:space="0"/>
              <w:left w:val="single" w:color="auto" w:sz="4" w:space="0"/>
              <w:right w:val="single" w:color="auto" w:sz="4" w:space="0"/>
            </w:tcBorders>
            <w:noWrap w:val="0"/>
            <w:vAlign w:val="center"/>
          </w:tcPr>
          <w:p w14:paraId="40D2A974">
            <w:pPr>
              <w:jc w:val="center"/>
              <w:rPr>
                <w:rFonts w:hint="eastAsia" w:ascii="仿宋" w:hAnsi="仿宋" w:eastAsia="仿宋" w:cs="仿宋"/>
                <w:sz w:val="21"/>
                <w:szCs w:val="21"/>
              </w:rPr>
            </w:pPr>
            <w:r>
              <w:rPr>
                <w:rFonts w:hint="eastAsia" w:ascii="仿宋" w:hAnsi="仿宋" w:eastAsia="仿宋" w:cs="仿宋"/>
                <w:sz w:val="21"/>
                <w:szCs w:val="21"/>
              </w:rPr>
              <w:t>3</w:t>
            </w:r>
          </w:p>
        </w:tc>
        <w:tc>
          <w:tcPr>
            <w:tcW w:w="6579" w:type="dxa"/>
            <w:tcBorders>
              <w:top w:val="single" w:color="auto" w:sz="4" w:space="0"/>
              <w:left w:val="single" w:color="auto" w:sz="4" w:space="0"/>
              <w:right w:val="single" w:color="auto" w:sz="4" w:space="0"/>
            </w:tcBorders>
            <w:noWrap w:val="0"/>
            <w:vAlign w:val="center"/>
          </w:tcPr>
          <w:p w14:paraId="7599D397">
            <w:pPr>
              <w:spacing w:line="400" w:lineRule="exact"/>
              <w:jc w:val="left"/>
              <w:rPr>
                <w:rFonts w:hint="eastAsia" w:ascii="仿宋" w:hAnsi="仿宋" w:eastAsia="仿宋" w:cs="仿宋"/>
                <w:sz w:val="21"/>
                <w:szCs w:val="21"/>
              </w:rPr>
            </w:pPr>
            <w:r>
              <w:rPr>
                <w:rFonts w:hint="eastAsia" w:ascii="仿宋" w:hAnsi="仿宋" w:eastAsia="仿宋" w:cs="仿宋"/>
                <w:sz w:val="21"/>
                <w:szCs w:val="21"/>
              </w:rPr>
              <w:t>只有一个方案投标。</w:t>
            </w:r>
          </w:p>
        </w:tc>
        <w:tc>
          <w:tcPr>
            <w:tcW w:w="753" w:type="dxa"/>
            <w:tcBorders>
              <w:left w:val="single" w:color="auto" w:sz="4" w:space="0"/>
            </w:tcBorders>
            <w:noWrap w:val="0"/>
            <w:vAlign w:val="top"/>
          </w:tcPr>
          <w:p w14:paraId="64F86CB9">
            <w:pPr>
              <w:rPr>
                <w:rFonts w:hint="eastAsia" w:ascii="仿宋" w:hAnsi="仿宋" w:eastAsia="仿宋" w:cs="仿宋"/>
                <w:sz w:val="21"/>
                <w:szCs w:val="21"/>
              </w:rPr>
            </w:pPr>
          </w:p>
        </w:tc>
        <w:tc>
          <w:tcPr>
            <w:tcW w:w="749" w:type="dxa"/>
            <w:tcBorders>
              <w:right w:val="single" w:color="auto" w:sz="4" w:space="0"/>
            </w:tcBorders>
            <w:noWrap w:val="0"/>
            <w:vAlign w:val="top"/>
          </w:tcPr>
          <w:p w14:paraId="6E70BA5A">
            <w:pPr>
              <w:rPr>
                <w:rFonts w:hint="eastAsia" w:ascii="仿宋" w:hAnsi="仿宋" w:eastAsia="仿宋" w:cs="仿宋"/>
                <w:sz w:val="21"/>
                <w:szCs w:val="21"/>
              </w:rPr>
            </w:pPr>
          </w:p>
        </w:tc>
      </w:tr>
      <w:tr w14:paraId="233B9C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922" w:type="dxa"/>
            <w:vMerge w:val="continue"/>
            <w:tcBorders>
              <w:left w:val="single" w:color="auto" w:sz="4" w:space="0"/>
              <w:right w:val="single" w:color="auto" w:sz="4" w:space="0"/>
            </w:tcBorders>
            <w:noWrap w:val="0"/>
            <w:vAlign w:val="center"/>
          </w:tcPr>
          <w:p w14:paraId="652FDECD">
            <w:pPr>
              <w:rPr>
                <w:rFonts w:hint="eastAsia" w:ascii="仿宋" w:hAnsi="仿宋" w:eastAsia="仿宋" w:cs="仿宋"/>
                <w:sz w:val="21"/>
                <w:szCs w:val="21"/>
              </w:rPr>
            </w:pPr>
          </w:p>
        </w:tc>
        <w:tc>
          <w:tcPr>
            <w:tcW w:w="495" w:type="dxa"/>
            <w:tcBorders>
              <w:left w:val="single" w:color="auto" w:sz="4" w:space="0"/>
            </w:tcBorders>
            <w:noWrap w:val="0"/>
            <w:vAlign w:val="center"/>
          </w:tcPr>
          <w:p w14:paraId="436E6A8A">
            <w:pPr>
              <w:jc w:val="center"/>
              <w:rPr>
                <w:rFonts w:hint="eastAsia" w:ascii="仿宋" w:hAnsi="仿宋" w:eastAsia="仿宋" w:cs="仿宋"/>
                <w:sz w:val="21"/>
                <w:szCs w:val="21"/>
              </w:rPr>
            </w:pPr>
            <w:r>
              <w:rPr>
                <w:rFonts w:hint="eastAsia" w:ascii="仿宋" w:hAnsi="仿宋" w:eastAsia="仿宋" w:cs="仿宋"/>
                <w:sz w:val="21"/>
                <w:szCs w:val="21"/>
              </w:rPr>
              <w:t>4</w:t>
            </w:r>
          </w:p>
        </w:tc>
        <w:tc>
          <w:tcPr>
            <w:tcW w:w="6579" w:type="dxa"/>
            <w:tcBorders>
              <w:right w:val="single" w:color="auto" w:sz="4" w:space="0"/>
            </w:tcBorders>
            <w:noWrap w:val="0"/>
            <w:vAlign w:val="center"/>
          </w:tcPr>
          <w:p w14:paraId="2A73B0FB">
            <w:pPr>
              <w:spacing w:line="400" w:lineRule="exact"/>
              <w:jc w:val="left"/>
              <w:rPr>
                <w:rFonts w:hint="eastAsia" w:ascii="仿宋" w:hAnsi="仿宋" w:eastAsia="仿宋" w:cs="仿宋"/>
                <w:sz w:val="21"/>
                <w:szCs w:val="21"/>
              </w:rPr>
            </w:pPr>
            <w:r>
              <w:rPr>
                <w:rFonts w:hint="eastAsia" w:ascii="仿宋" w:hAnsi="仿宋" w:eastAsia="仿宋" w:cs="仿宋"/>
                <w:sz w:val="21"/>
                <w:szCs w:val="21"/>
              </w:rPr>
              <w:t>投标文件内容齐全、无遗漏。</w:t>
            </w:r>
          </w:p>
        </w:tc>
        <w:tc>
          <w:tcPr>
            <w:tcW w:w="753" w:type="dxa"/>
            <w:tcBorders>
              <w:left w:val="single" w:color="auto" w:sz="4" w:space="0"/>
            </w:tcBorders>
            <w:noWrap w:val="0"/>
            <w:vAlign w:val="top"/>
          </w:tcPr>
          <w:p w14:paraId="537BF695">
            <w:pPr>
              <w:rPr>
                <w:rFonts w:hint="eastAsia" w:ascii="仿宋" w:hAnsi="仿宋" w:eastAsia="仿宋" w:cs="仿宋"/>
                <w:sz w:val="21"/>
                <w:szCs w:val="21"/>
              </w:rPr>
            </w:pPr>
          </w:p>
        </w:tc>
        <w:tc>
          <w:tcPr>
            <w:tcW w:w="749" w:type="dxa"/>
            <w:tcBorders>
              <w:right w:val="single" w:color="auto" w:sz="4" w:space="0"/>
            </w:tcBorders>
            <w:noWrap w:val="0"/>
            <w:vAlign w:val="top"/>
          </w:tcPr>
          <w:p w14:paraId="2E6E5972">
            <w:pPr>
              <w:rPr>
                <w:rFonts w:hint="eastAsia" w:ascii="仿宋" w:hAnsi="仿宋" w:eastAsia="仿宋" w:cs="仿宋"/>
                <w:sz w:val="21"/>
                <w:szCs w:val="21"/>
              </w:rPr>
            </w:pPr>
          </w:p>
        </w:tc>
      </w:tr>
      <w:tr w14:paraId="260CAF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trPr>
        <w:tc>
          <w:tcPr>
            <w:tcW w:w="922" w:type="dxa"/>
            <w:vMerge w:val="continue"/>
            <w:tcBorders>
              <w:left w:val="single" w:color="auto" w:sz="4" w:space="0"/>
              <w:right w:val="single" w:color="auto" w:sz="4" w:space="0"/>
            </w:tcBorders>
            <w:noWrap w:val="0"/>
            <w:vAlign w:val="center"/>
          </w:tcPr>
          <w:p w14:paraId="3D667242">
            <w:pPr>
              <w:rPr>
                <w:rFonts w:hint="eastAsia" w:ascii="仿宋" w:hAnsi="仿宋" w:eastAsia="仿宋" w:cs="仿宋"/>
                <w:sz w:val="21"/>
                <w:szCs w:val="21"/>
              </w:rPr>
            </w:pPr>
          </w:p>
        </w:tc>
        <w:tc>
          <w:tcPr>
            <w:tcW w:w="495" w:type="dxa"/>
            <w:tcBorders>
              <w:left w:val="single" w:color="auto" w:sz="4" w:space="0"/>
              <w:bottom w:val="single" w:color="auto" w:sz="4" w:space="0"/>
            </w:tcBorders>
            <w:noWrap w:val="0"/>
            <w:vAlign w:val="center"/>
          </w:tcPr>
          <w:p w14:paraId="63DE697C">
            <w:pPr>
              <w:jc w:val="center"/>
              <w:rPr>
                <w:rFonts w:hint="eastAsia" w:ascii="仿宋" w:hAnsi="仿宋" w:eastAsia="仿宋" w:cs="仿宋"/>
                <w:sz w:val="21"/>
                <w:szCs w:val="21"/>
              </w:rPr>
            </w:pPr>
            <w:r>
              <w:rPr>
                <w:rFonts w:hint="eastAsia" w:ascii="仿宋" w:hAnsi="仿宋" w:eastAsia="仿宋" w:cs="仿宋"/>
                <w:sz w:val="21"/>
                <w:szCs w:val="21"/>
              </w:rPr>
              <w:t>5</w:t>
            </w:r>
          </w:p>
        </w:tc>
        <w:tc>
          <w:tcPr>
            <w:tcW w:w="6579" w:type="dxa"/>
            <w:tcBorders>
              <w:bottom w:val="single" w:color="auto" w:sz="4" w:space="0"/>
              <w:right w:val="single" w:color="auto" w:sz="4" w:space="0"/>
            </w:tcBorders>
            <w:noWrap w:val="0"/>
            <w:vAlign w:val="center"/>
          </w:tcPr>
          <w:p w14:paraId="380AAE88">
            <w:pPr>
              <w:spacing w:line="400" w:lineRule="exact"/>
              <w:jc w:val="left"/>
              <w:rPr>
                <w:rFonts w:hint="eastAsia" w:ascii="仿宋" w:hAnsi="仿宋" w:eastAsia="仿宋" w:cs="仿宋"/>
                <w:sz w:val="21"/>
                <w:szCs w:val="21"/>
              </w:rPr>
            </w:pPr>
            <w:r>
              <w:rPr>
                <w:rFonts w:hint="eastAsia" w:ascii="仿宋" w:hAnsi="仿宋" w:eastAsia="仿宋" w:cs="仿宋"/>
                <w:sz w:val="21"/>
                <w:szCs w:val="21"/>
              </w:rPr>
              <w:t>对</w:t>
            </w:r>
            <w:r>
              <w:rPr>
                <w:rFonts w:hint="eastAsia" w:ascii="仿宋" w:hAnsi="仿宋" w:eastAsia="仿宋" w:cs="仿宋"/>
                <w:sz w:val="21"/>
                <w:szCs w:val="21"/>
                <w:lang w:val="en-US" w:eastAsia="zh-CN"/>
              </w:rPr>
              <w:t>磋商</w:t>
            </w:r>
            <w:r>
              <w:rPr>
                <w:rFonts w:hint="eastAsia" w:ascii="仿宋" w:hAnsi="仿宋" w:eastAsia="仿宋" w:cs="仿宋"/>
                <w:sz w:val="21"/>
                <w:szCs w:val="21"/>
              </w:rPr>
              <w:t>文件规定的招标内容全部作出响应。</w:t>
            </w:r>
          </w:p>
        </w:tc>
        <w:tc>
          <w:tcPr>
            <w:tcW w:w="753" w:type="dxa"/>
            <w:tcBorders>
              <w:left w:val="single" w:color="auto" w:sz="4" w:space="0"/>
              <w:bottom w:val="single" w:color="auto" w:sz="4" w:space="0"/>
            </w:tcBorders>
            <w:noWrap w:val="0"/>
            <w:vAlign w:val="top"/>
          </w:tcPr>
          <w:p w14:paraId="213A065B">
            <w:pPr>
              <w:rPr>
                <w:rFonts w:hint="eastAsia" w:ascii="仿宋" w:hAnsi="仿宋" w:eastAsia="仿宋" w:cs="仿宋"/>
                <w:sz w:val="21"/>
                <w:szCs w:val="21"/>
              </w:rPr>
            </w:pPr>
          </w:p>
        </w:tc>
        <w:tc>
          <w:tcPr>
            <w:tcW w:w="749" w:type="dxa"/>
            <w:tcBorders>
              <w:bottom w:val="single" w:color="auto" w:sz="4" w:space="0"/>
              <w:right w:val="single" w:color="auto" w:sz="4" w:space="0"/>
            </w:tcBorders>
            <w:noWrap w:val="0"/>
            <w:vAlign w:val="top"/>
          </w:tcPr>
          <w:p w14:paraId="5237A544">
            <w:pPr>
              <w:rPr>
                <w:rFonts w:hint="eastAsia" w:ascii="仿宋" w:hAnsi="仿宋" w:eastAsia="仿宋" w:cs="仿宋"/>
                <w:sz w:val="21"/>
                <w:szCs w:val="21"/>
              </w:rPr>
            </w:pPr>
          </w:p>
        </w:tc>
      </w:tr>
      <w:tr w14:paraId="6355DB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atLeast"/>
        </w:trPr>
        <w:tc>
          <w:tcPr>
            <w:tcW w:w="922" w:type="dxa"/>
            <w:vMerge w:val="continue"/>
            <w:tcBorders>
              <w:left w:val="single" w:color="auto" w:sz="4" w:space="0"/>
              <w:right w:val="single" w:color="auto" w:sz="4" w:space="0"/>
            </w:tcBorders>
            <w:noWrap w:val="0"/>
            <w:vAlign w:val="center"/>
          </w:tcPr>
          <w:p w14:paraId="32646ED0">
            <w:pPr>
              <w:outlineLvl w:val="9"/>
              <w:rPr>
                <w:rFonts w:hint="eastAsia" w:ascii="仿宋" w:hAnsi="仿宋" w:eastAsia="仿宋" w:cs="仿宋"/>
                <w:sz w:val="21"/>
                <w:szCs w:val="21"/>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68F15099">
            <w:pPr>
              <w:jc w:val="center"/>
              <w:outlineLvl w:val="9"/>
              <w:rPr>
                <w:rFonts w:hint="eastAsia" w:ascii="仿宋" w:hAnsi="仿宋" w:eastAsia="仿宋" w:cs="仿宋"/>
                <w:sz w:val="21"/>
                <w:szCs w:val="21"/>
              </w:rPr>
            </w:pPr>
            <w:r>
              <w:rPr>
                <w:rFonts w:hint="eastAsia" w:ascii="仿宋" w:hAnsi="仿宋" w:eastAsia="仿宋" w:cs="仿宋"/>
                <w:sz w:val="21"/>
                <w:szCs w:val="21"/>
              </w:rPr>
              <w:t>6</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2A3A52DB">
            <w:pPr>
              <w:pageBreakBefore/>
              <w:numPr>
                <w:ilvl w:val="0"/>
                <w:numId w:val="0"/>
              </w:numPr>
              <w:spacing w:line="360" w:lineRule="auto"/>
              <w:ind w:left="0" w:leftChars="0" w:firstLine="0" w:firstLineChars="0"/>
              <w:jc w:val="both"/>
              <w:outlineLvl w:val="9"/>
              <w:rPr>
                <w:rFonts w:hint="eastAsia" w:ascii="仿宋" w:hAnsi="仿宋" w:eastAsia="仿宋" w:cs="仿宋"/>
                <w:sz w:val="21"/>
                <w:szCs w:val="21"/>
              </w:rPr>
            </w:pPr>
            <w:r>
              <w:rPr>
                <w:rFonts w:hint="eastAsia" w:ascii="仿宋" w:hAnsi="仿宋" w:eastAsia="仿宋" w:cs="仿宋"/>
                <w:color w:val="000000"/>
                <w:szCs w:val="21"/>
                <w:highlight w:val="none"/>
              </w:rPr>
              <w:t>满足招标文件提出的</w:t>
            </w:r>
            <w:r>
              <w:rPr>
                <w:rFonts w:hint="eastAsia" w:ascii="仿宋" w:hAnsi="仿宋" w:eastAsia="仿宋" w:cs="仿宋"/>
                <w:color w:val="000000"/>
                <w:szCs w:val="21"/>
                <w:highlight w:val="none"/>
                <w:lang w:val="en-US" w:eastAsia="zh-CN"/>
              </w:rPr>
              <w:t>服务内容要求、</w:t>
            </w:r>
            <w:r>
              <w:rPr>
                <w:rFonts w:hint="eastAsia" w:ascii="仿宋" w:hAnsi="仿宋" w:eastAsia="仿宋" w:cs="仿宋"/>
                <w:color w:val="000000"/>
                <w:szCs w:val="21"/>
                <w:highlight w:val="none"/>
              </w:rPr>
              <w:t>质量要求</w:t>
            </w:r>
            <w:r>
              <w:rPr>
                <w:rFonts w:hint="eastAsia" w:ascii="仿宋" w:hAnsi="仿宋" w:eastAsia="仿宋" w:cs="仿宋"/>
                <w:sz w:val="21"/>
                <w:szCs w:val="21"/>
              </w:rPr>
              <w:t>。</w:t>
            </w:r>
          </w:p>
        </w:tc>
        <w:tc>
          <w:tcPr>
            <w:tcW w:w="753" w:type="dxa"/>
            <w:tcBorders>
              <w:top w:val="single" w:color="auto" w:sz="4" w:space="0"/>
              <w:left w:val="single" w:color="auto" w:sz="4" w:space="0"/>
              <w:bottom w:val="single" w:color="auto" w:sz="4" w:space="0"/>
              <w:right w:val="single" w:color="auto" w:sz="4" w:space="0"/>
            </w:tcBorders>
            <w:noWrap w:val="0"/>
            <w:vAlign w:val="top"/>
          </w:tcPr>
          <w:p w14:paraId="4940FA5F">
            <w:pPr>
              <w:outlineLvl w:val="9"/>
              <w:rPr>
                <w:rFonts w:hint="eastAsia" w:ascii="仿宋" w:hAnsi="仿宋" w:eastAsia="仿宋" w:cs="仿宋"/>
                <w:sz w:val="21"/>
                <w:szCs w:val="21"/>
              </w:rPr>
            </w:pPr>
          </w:p>
        </w:tc>
        <w:tc>
          <w:tcPr>
            <w:tcW w:w="749" w:type="dxa"/>
            <w:tcBorders>
              <w:top w:val="single" w:color="auto" w:sz="4" w:space="0"/>
              <w:left w:val="single" w:color="auto" w:sz="4" w:space="0"/>
              <w:bottom w:val="single" w:color="auto" w:sz="4" w:space="0"/>
              <w:right w:val="single" w:color="auto" w:sz="4" w:space="0"/>
            </w:tcBorders>
            <w:noWrap w:val="0"/>
            <w:vAlign w:val="top"/>
          </w:tcPr>
          <w:p w14:paraId="3E77C4BF">
            <w:pPr>
              <w:outlineLvl w:val="9"/>
              <w:rPr>
                <w:rFonts w:hint="eastAsia" w:ascii="仿宋" w:hAnsi="仿宋" w:eastAsia="仿宋" w:cs="仿宋"/>
                <w:sz w:val="21"/>
                <w:szCs w:val="21"/>
              </w:rPr>
            </w:pPr>
          </w:p>
        </w:tc>
      </w:tr>
      <w:tr w14:paraId="16E67D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922" w:type="dxa"/>
            <w:vMerge w:val="continue"/>
            <w:tcBorders>
              <w:left w:val="single" w:color="auto" w:sz="4" w:space="0"/>
              <w:right w:val="single" w:color="auto" w:sz="4" w:space="0"/>
            </w:tcBorders>
            <w:noWrap w:val="0"/>
            <w:vAlign w:val="center"/>
          </w:tcPr>
          <w:p w14:paraId="05A0F063">
            <w:pPr>
              <w:rPr>
                <w:rFonts w:hint="eastAsia" w:ascii="仿宋" w:hAnsi="仿宋" w:eastAsia="仿宋" w:cs="仿宋"/>
                <w:sz w:val="21"/>
                <w:szCs w:val="21"/>
              </w:rPr>
            </w:pPr>
          </w:p>
        </w:tc>
        <w:tc>
          <w:tcPr>
            <w:tcW w:w="495" w:type="dxa"/>
            <w:tcBorders>
              <w:top w:val="single" w:color="auto" w:sz="4" w:space="0"/>
              <w:left w:val="single" w:color="auto" w:sz="4" w:space="0"/>
            </w:tcBorders>
            <w:noWrap w:val="0"/>
            <w:vAlign w:val="center"/>
          </w:tcPr>
          <w:p w14:paraId="70FB5FD0">
            <w:pPr>
              <w:jc w:val="center"/>
              <w:rPr>
                <w:rFonts w:hint="eastAsia" w:ascii="仿宋" w:hAnsi="仿宋" w:eastAsia="仿宋" w:cs="仿宋"/>
                <w:sz w:val="21"/>
                <w:szCs w:val="21"/>
              </w:rPr>
            </w:pPr>
            <w:r>
              <w:rPr>
                <w:rFonts w:hint="eastAsia" w:ascii="仿宋" w:hAnsi="仿宋" w:eastAsia="仿宋" w:cs="仿宋"/>
                <w:sz w:val="21"/>
                <w:szCs w:val="21"/>
              </w:rPr>
              <w:t>7</w:t>
            </w:r>
          </w:p>
        </w:tc>
        <w:tc>
          <w:tcPr>
            <w:tcW w:w="6579" w:type="dxa"/>
            <w:tcBorders>
              <w:top w:val="single" w:color="auto" w:sz="4" w:space="0"/>
              <w:right w:val="single" w:color="auto" w:sz="4" w:space="0"/>
            </w:tcBorders>
            <w:noWrap w:val="0"/>
            <w:vAlign w:val="center"/>
          </w:tcPr>
          <w:p w14:paraId="1C0F2936">
            <w:pPr>
              <w:spacing w:line="400" w:lineRule="exact"/>
              <w:jc w:val="left"/>
              <w:rPr>
                <w:rFonts w:hint="eastAsia" w:ascii="仿宋" w:hAnsi="仿宋" w:eastAsia="仿宋" w:cs="仿宋"/>
                <w:sz w:val="21"/>
                <w:szCs w:val="21"/>
              </w:rPr>
            </w:pPr>
            <w:r>
              <w:rPr>
                <w:rFonts w:hint="eastAsia" w:ascii="仿宋" w:hAnsi="仿宋" w:eastAsia="仿宋" w:cs="仿宋"/>
                <w:sz w:val="21"/>
                <w:szCs w:val="21"/>
              </w:rPr>
              <w:t>是否按规定的格式填写，内容不全或关键字迹模糊、无法辨认的；</w:t>
            </w:r>
          </w:p>
        </w:tc>
        <w:tc>
          <w:tcPr>
            <w:tcW w:w="753" w:type="dxa"/>
            <w:tcBorders>
              <w:top w:val="single" w:color="auto" w:sz="4" w:space="0"/>
              <w:left w:val="single" w:color="auto" w:sz="4" w:space="0"/>
            </w:tcBorders>
            <w:noWrap w:val="0"/>
            <w:vAlign w:val="top"/>
          </w:tcPr>
          <w:p w14:paraId="78DF1CD0">
            <w:pPr>
              <w:rPr>
                <w:rFonts w:hint="eastAsia" w:ascii="仿宋" w:hAnsi="仿宋" w:eastAsia="仿宋" w:cs="仿宋"/>
                <w:sz w:val="21"/>
                <w:szCs w:val="21"/>
              </w:rPr>
            </w:pPr>
          </w:p>
        </w:tc>
        <w:tc>
          <w:tcPr>
            <w:tcW w:w="749" w:type="dxa"/>
            <w:tcBorders>
              <w:top w:val="single" w:color="auto" w:sz="4" w:space="0"/>
              <w:right w:val="single" w:color="auto" w:sz="4" w:space="0"/>
            </w:tcBorders>
            <w:noWrap w:val="0"/>
            <w:vAlign w:val="top"/>
          </w:tcPr>
          <w:p w14:paraId="5F2A3A54">
            <w:pPr>
              <w:rPr>
                <w:rFonts w:hint="eastAsia" w:ascii="仿宋" w:hAnsi="仿宋" w:eastAsia="仿宋" w:cs="仿宋"/>
                <w:sz w:val="21"/>
                <w:szCs w:val="21"/>
              </w:rPr>
            </w:pPr>
          </w:p>
        </w:tc>
      </w:tr>
      <w:tr w14:paraId="6E9DA7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3" w:hRule="atLeast"/>
        </w:trPr>
        <w:tc>
          <w:tcPr>
            <w:tcW w:w="922" w:type="dxa"/>
            <w:vMerge w:val="continue"/>
            <w:tcBorders>
              <w:left w:val="single" w:color="auto" w:sz="4" w:space="0"/>
              <w:right w:val="single" w:color="auto" w:sz="4" w:space="0"/>
            </w:tcBorders>
            <w:noWrap w:val="0"/>
            <w:vAlign w:val="center"/>
          </w:tcPr>
          <w:p w14:paraId="05F59EB2">
            <w:pPr>
              <w:rPr>
                <w:rFonts w:hint="eastAsia" w:ascii="仿宋" w:hAnsi="仿宋" w:eastAsia="仿宋" w:cs="仿宋"/>
                <w:sz w:val="21"/>
                <w:szCs w:val="21"/>
              </w:rPr>
            </w:pPr>
          </w:p>
        </w:tc>
        <w:tc>
          <w:tcPr>
            <w:tcW w:w="495" w:type="dxa"/>
            <w:tcBorders>
              <w:left w:val="single" w:color="auto" w:sz="4" w:space="0"/>
            </w:tcBorders>
            <w:noWrap w:val="0"/>
            <w:vAlign w:val="center"/>
          </w:tcPr>
          <w:p w14:paraId="0EF59117">
            <w:pPr>
              <w:jc w:val="center"/>
              <w:rPr>
                <w:rFonts w:hint="eastAsia" w:ascii="仿宋" w:hAnsi="仿宋" w:eastAsia="仿宋" w:cs="仿宋"/>
                <w:sz w:val="21"/>
                <w:szCs w:val="21"/>
              </w:rPr>
            </w:pPr>
            <w:r>
              <w:rPr>
                <w:rFonts w:hint="eastAsia" w:ascii="仿宋" w:hAnsi="仿宋" w:eastAsia="仿宋" w:cs="仿宋"/>
                <w:sz w:val="21"/>
                <w:szCs w:val="21"/>
              </w:rPr>
              <w:t>8</w:t>
            </w:r>
          </w:p>
        </w:tc>
        <w:tc>
          <w:tcPr>
            <w:tcW w:w="6579" w:type="dxa"/>
            <w:tcBorders>
              <w:right w:val="single" w:color="auto" w:sz="4" w:space="0"/>
            </w:tcBorders>
            <w:noWrap w:val="0"/>
            <w:vAlign w:val="center"/>
          </w:tcPr>
          <w:p w14:paraId="2DB76A89">
            <w:pPr>
              <w:spacing w:line="400" w:lineRule="exact"/>
              <w:jc w:val="left"/>
              <w:rPr>
                <w:rFonts w:hint="eastAsia" w:ascii="仿宋" w:hAnsi="仿宋" w:eastAsia="仿宋" w:cs="仿宋"/>
                <w:sz w:val="21"/>
                <w:szCs w:val="21"/>
              </w:rPr>
            </w:pPr>
            <w:r>
              <w:rPr>
                <w:rFonts w:hint="eastAsia" w:ascii="仿宋" w:hAnsi="仿宋" w:eastAsia="仿宋" w:cs="仿宋"/>
                <w:sz w:val="21"/>
                <w:szCs w:val="21"/>
              </w:rPr>
              <w:t>投标文件是否附有招标人不能接受的条件；</w:t>
            </w:r>
          </w:p>
        </w:tc>
        <w:tc>
          <w:tcPr>
            <w:tcW w:w="753" w:type="dxa"/>
            <w:tcBorders>
              <w:left w:val="single" w:color="auto" w:sz="4" w:space="0"/>
            </w:tcBorders>
            <w:noWrap w:val="0"/>
            <w:vAlign w:val="top"/>
          </w:tcPr>
          <w:p w14:paraId="44AD6668">
            <w:pPr>
              <w:rPr>
                <w:rFonts w:hint="eastAsia" w:ascii="仿宋" w:hAnsi="仿宋" w:eastAsia="仿宋" w:cs="仿宋"/>
                <w:sz w:val="21"/>
                <w:szCs w:val="21"/>
              </w:rPr>
            </w:pPr>
          </w:p>
        </w:tc>
        <w:tc>
          <w:tcPr>
            <w:tcW w:w="749" w:type="dxa"/>
            <w:tcBorders>
              <w:right w:val="single" w:color="auto" w:sz="4" w:space="0"/>
            </w:tcBorders>
            <w:noWrap w:val="0"/>
            <w:vAlign w:val="top"/>
          </w:tcPr>
          <w:p w14:paraId="75AA103B">
            <w:pPr>
              <w:rPr>
                <w:rFonts w:hint="eastAsia" w:ascii="仿宋" w:hAnsi="仿宋" w:eastAsia="仿宋" w:cs="仿宋"/>
                <w:sz w:val="21"/>
                <w:szCs w:val="21"/>
              </w:rPr>
            </w:pPr>
          </w:p>
        </w:tc>
      </w:tr>
      <w:tr w14:paraId="05F2DA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 w:hRule="atLeast"/>
        </w:trPr>
        <w:tc>
          <w:tcPr>
            <w:tcW w:w="922" w:type="dxa"/>
            <w:vMerge w:val="continue"/>
            <w:tcBorders>
              <w:left w:val="single" w:color="auto" w:sz="4" w:space="0"/>
              <w:right w:val="single" w:color="auto" w:sz="4" w:space="0"/>
            </w:tcBorders>
            <w:noWrap w:val="0"/>
            <w:vAlign w:val="center"/>
          </w:tcPr>
          <w:p w14:paraId="59819D84">
            <w:pPr>
              <w:rPr>
                <w:rFonts w:hint="eastAsia" w:ascii="仿宋" w:hAnsi="仿宋" w:eastAsia="仿宋" w:cs="仿宋"/>
                <w:sz w:val="21"/>
                <w:szCs w:val="21"/>
              </w:rPr>
            </w:pPr>
          </w:p>
        </w:tc>
        <w:tc>
          <w:tcPr>
            <w:tcW w:w="495" w:type="dxa"/>
            <w:tcBorders>
              <w:left w:val="single" w:color="auto" w:sz="4" w:space="0"/>
            </w:tcBorders>
            <w:noWrap w:val="0"/>
            <w:vAlign w:val="center"/>
          </w:tcPr>
          <w:p w14:paraId="4D2659AE">
            <w:pPr>
              <w:jc w:val="center"/>
              <w:rPr>
                <w:rFonts w:hint="eastAsia" w:ascii="仿宋" w:hAnsi="仿宋" w:eastAsia="仿宋" w:cs="仿宋"/>
                <w:sz w:val="21"/>
                <w:szCs w:val="21"/>
              </w:rPr>
            </w:pPr>
            <w:r>
              <w:rPr>
                <w:rFonts w:hint="eastAsia" w:ascii="仿宋" w:hAnsi="仿宋" w:eastAsia="仿宋" w:cs="仿宋"/>
                <w:sz w:val="21"/>
                <w:szCs w:val="21"/>
              </w:rPr>
              <w:t>9</w:t>
            </w:r>
          </w:p>
        </w:tc>
        <w:tc>
          <w:tcPr>
            <w:tcW w:w="6579" w:type="dxa"/>
            <w:tcBorders>
              <w:right w:val="single" w:color="auto" w:sz="4" w:space="0"/>
            </w:tcBorders>
            <w:noWrap w:val="0"/>
            <w:vAlign w:val="center"/>
          </w:tcPr>
          <w:p w14:paraId="741C62D9">
            <w:pPr>
              <w:spacing w:line="400" w:lineRule="exact"/>
              <w:jc w:val="left"/>
              <w:rPr>
                <w:rFonts w:hint="eastAsia" w:ascii="仿宋" w:hAnsi="仿宋" w:eastAsia="仿宋" w:cs="仿宋"/>
                <w:sz w:val="21"/>
                <w:szCs w:val="21"/>
              </w:rPr>
            </w:pPr>
            <w:r>
              <w:rPr>
                <w:rFonts w:hint="eastAsia" w:ascii="仿宋" w:hAnsi="仿宋" w:eastAsia="仿宋" w:cs="仿宋"/>
                <w:sz w:val="21"/>
                <w:szCs w:val="21"/>
              </w:rPr>
              <w:t>投标有效期满足招标文件要求。</w:t>
            </w:r>
          </w:p>
        </w:tc>
        <w:tc>
          <w:tcPr>
            <w:tcW w:w="753" w:type="dxa"/>
            <w:tcBorders>
              <w:left w:val="single" w:color="auto" w:sz="4" w:space="0"/>
            </w:tcBorders>
            <w:noWrap w:val="0"/>
            <w:vAlign w:val="top"/>
          </w:tcPr>
          <w:p w14:paraId="4C9E7301">
            <w:pPr>
              <w:rPr>
                <w:rFonts w:hint="eastAsia" w:ascii="仿宋" w:hAnsi="仿宋" w:eastAsia="仿宋" w:cs="仿宋"/>
                <w:sz w:val="21"/>
                <w:szCs w:val="21"/>
              </w:rPr>
            </w:pPr>
          </w:p>
        </w:tc>
        <w:tc>
          <w:tcPr>
            <w:tcW w:w="749" w:type="dxa"/>
            <w:tcBorders>
              <w:right w:val="single" w:color="auto" w:sz="4" w:space="0"/>
            </w:tcBorders>
            <w:noWrap w:val="0"/>
            <w:vAlign w:val="top"/>
          </w:tcPr>
          <w:p w14:paraId="15C1817E">
            <w:pPr>
              <w:rPr>
                <w:rFonts w:hint="eastAsia" w:ascii="仿宋" w:hAnsi="仿宋" w:eastAsia="仿宋" w:cs="仿宋"/>
                <w:sz w:val="21"/>
                <w:szCs w:val="21"/>
              </w:rPr>
            </w:pPr>
          </w:p>
        </w:tc>
      </w:tr>
      <w:tr w14:paraId="646EB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atLeast"/>
        </w:trPr>
        <w:tc>
          <w:tcPr>
            <w:tcW w:w="922" w:type="dxa"/>
            <w:vMerge w:val="continue"/>
            <w:tcBorders>
              <w:left w:val="single" w:color="auto" w:sz="4" w:space="0"/>
              <w:right w:val="single" w:color="auto" w:sz="4" w:space="0"/>
            </w:tcBorders>
            <w:noWrap w:val="0"/>
            <w:vAlign w:val="center"/>
          </w:tcPr>
          <w:p w14:paraId="3B18E8E7">
            <w:pPr>
              <w:rPr>
                <w:rFonts w:hint="eastAsia" w:ascii="仿宋" w:hAnsi="仿宋" w:eastAsia="仿宋" w:cs="仿宋"/>
                <w:sz w:val="21"/>
                <w:szCs w:val="21"/>
              </w:rPr>
            </w:pPr>
          </w:p>
        </w:tc>
        <w:tc>
          <w:tcPr>
            <w:tcW w:w="495" w:type="dxa"/>
            <w:tcBorders>
              <w:left w:val="single" w:color="auto" w:sz="4" w:space="0"/>
            </w:tcBorders>
            <w:noWrap w:val="0"/>
            <w:vAlign w:val="center"/>
          </w:tcPr>
          <w:p w14:paraId="4C04CA78">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6579" w:type="dxa"/>
            <w:tcBorders>
              <w:right w:val="single" w:color="auto" w:sz="4" w:space="0"/>
            </w:tcBorders>
            <w:noWrap w:val="0"/>
            <w:vAlign w:val="center"/>
          </w:tcPr>
          <w:p w14:paraId="6ADBC92A">
            <w:pPr>
              <w:spacing w:line="400" w:lineRule="exact"/>
              <w:jc w:val="left"/>
              <w:rPr>
                <w:rFonts w:hint="eastAsia" w:ascii="仿宋" w:hAnsi="仿宋" w:eastAsia="仿宋" w:cs="仿宋"/>
                <w:sz w:val="21"/>
                <w:szCs w:val="21"/>
              </w:rPr>
            </w:pPr>
            <w:r>
              <w:rPr>
                <w:rFonts w:hint="eastAsia" w:ascii="仿宋" w:hAnsi="仿宋" w:eastAsia="仿宋" w:cs="仿宋"/>
                <w:sz w:val="21"/>
                <w:szCs w:val="21"/>
              </w:rPr>
              <w:t>投标人详细地址、联系人、电话。</w:t>
            </w:r>
          </w:p>
        </w:tc>
        <w:tc>
          <w:tcPr>
            <w:tcW w:w="753" w:type="dxa"/>
            <w:tcBorders>
              <w:left w:val="single" w:color="auto" w:sz="4" w:space="0"/>
            </w:tcBorders>
            <w:noWrap w:val="0"/>
            <w:vAlign w:val="top"/>
          </w:tcPr>
          <w:p w14:paraId="3934A5E8">
            <w:pPr>
              <w:rPr>
                <w:rFonts w:hint="eastAsia" w:ascii="仿宋" w:hAnsi="仿宋" w:eastAsia="仿宋" w:cs="仿宋"/>
                <w:sz w:val="21"/>
                <w:szCs w:val="21"/>
              </w:rPr>
            </w:pPr>
          </w:p>
        </w:tc>
        <w:tc>
          <w:tcPr>
            <w:tcW w:w="749" w:type="dxa"/>
            <w:tcBorders>
              <w:right w:val="single" w:color="auto" w:sz="4" w:space="0"/>
            </w:tcBorders>
            <w:noWrap w:val="0"/>
            <w:vAlign w:val="top"/>
          </w:tcPr>
          <w:p w14:paraId="2211EEA8">
            <w:pPr>
              <w:rPr>
                <w:rFonts w:hint="eastAsia" w:ascii="仿宋" w:hAnsi="仿宋" w:eastAsia="仿宋" w:cs="仿宋"/>
                <w:sz w:val="21"/>
                <w:szCs w:val="21"/>
              </w:rPr>
            </w:pPr>
          </w:p>
        </w:tc>
      </w:tr>
      <w:tr w14:paraId="0639F3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1" w:hRule="atLeast"/>
        </w:trPr>
        <w:tc>
          <w:tcPr>
            <w:tcW w:w="7996" w:type="dxa"/>
            <w:gridSpan w:val="3"/>
            <w:tcBorders>
              <w:left w:val="single" w:color="auto" w:sz="4" w:space="0"/>
              <w:right w:val="single" w:color="auto" w:sz="4" w:space="0"/>
            </w:tcBorders>
            <w:noWrap w:val="0"/>
            <w:vAlign w:val="center"/>
          </w:tcPr>
          <w:p w14:paraId="2E17E1B0">
            <w:pPr>
              <w:jc w:val="center"/>
              <w:rPr>
                <w:rFonts w:hint="eastAsia" w:ascii="仿宋" w:hAnsi="仿宋" w:eastAsia="仿宋" w:cs="仿宋"/>
                <w:sz w:val="21"/>
                <w:szCs w:val="21"/>
              </w:rPr>
            </w:pPr>
            <w:r>
              <w:rPr>
                <w:rFonts w:hint="eastAsia" w:ascii="仿宋" w:hAnsi="仿宋" w:eastAsia="仿宋" w:cs="仿宋"/>
                <w:spacing w:val="-2"/>
                <w:sz w:val="21"/>
                <w:szCs w:val="21"/>
              </w:rPr>
              <w:t>评审结果：须写通过或者不通过</w:t>
            </w:r>
          </w:p>
        </w:tc>
        <w:tc>
          <w:tcPr>
            <w:tcW w:w="1502" w:type="dxa"/>
            <w:gridSpan w:val="2"/>
            <w:tcBorders>
              <w:left w:val="single" w:color="auto" w:sz="4" w:space="0"/>
              <w:right w:val="single" w:color="auto" w:sz="4" w:space="0"/>
            </w:tcBorders>
            <w:noWrap w:val="0"/>
            <w:vAlign w:val="center"/>
          </w:tcPr>
          <w:p w14:paraId="57667241">
            <w:pPr>
              <w:rPr>
                <w:rFonts w:hint="eastAsia" w:ascii="仿宋" w:hAnsi="仿宋" w:eastAsia="仿宋" w:cs="仿宋"/>
                <w:sz w:val="21"/>
                <w:szCs w:val="21"/>
              </w:rPr>
            </w:pPr>
          </w:p>
        </w:tc>
      </w:tr>
      <w:tr w14:paraId="74B88D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9" w:hRule="atLeast"/>
        </w:trPr>
        <w:tc>
          <w:tcPr>
            <w:tcW w:w="9498" w:type="dxa"/>
            <w:gridSpan w:val="5"/>
            <w:tcBorders>
              <w:left w:val="single" w:color="auto" w:sz="4" w:space="0"/>
              <w:bottom w:val="single" w:color="auto" w:sz="4" w:space="0"/>
              <w:right w:val="single" w:color="auto" w:sz="4" w:space="0"/>
            </w:tcBorders>
            <w:noWrap w:val="0"/>
            <w:vAlign w:val="center"/>
          </w:tcPr>
          <w:p w14:paraId="74C239E5">
            <w:pPr>
              <w:ind w:firstLine="370" w:firstLineChars="180"/>
              <w:rPr>
                <w:rFonts w:hint="eastAsia" w:ascii="仿宋" w:hAnsi="仿宋" w:eastAsia="仿宋" w:cs="仿宋"/>
                <w:sz w:val="21"/>
                <w:szCs w:val="21"/>
              </w:rPr>
            </w:pPr>
            <w:r>
              <w:rPr>
                <w:rFonts w:hint="eastAsia" w:ascii="仿宋" w:hAnsi="仿宋" w:eastAsia="仿宋" w:cs="仿宋"/>
                <w:spacing w:val="-2"/>
                <w:sz w:val="21"/>
                <w:szCs w:val="21"/>
              </w:rPr>
              <w:t xml:space="preserve">结论：通过评审打“√”，未通过评审打“×”   </w:t>
            </w:r>
            <w:r>
              <w:rPr>
                <w:rFonts w:hint="eastAsia" w:ascii="仿宋" w:hAnsi="仿宋" w:eastAsia="仿宋" w:cs="仿宋"/>
                <w:sz w:val="21"/>
                <w:szCs w:val="21"/>
              </w:rPr>
              <w:t>注：如有一项不合格，作废标处理。</w:t>
            </w:r>
          </w:p>
        </w:tc>
      </w:tr>
    </w:tbl>
    <w:p w14:paraId="27CA66D8">
      <w:pPr>
        <w:rPr>
          <w:rFonts w:hint="eastAsia" w:ascii="仿宋" w:hAnsi="仿宋" w:eastAsia="仿宋" w:cs="仿宋"/>
          <w:highlight w:val="none"/>
        </w:rPr>
      </w:pPr>
    </w:p>
    <w:p w14:paraId="137E0742">
      <w:pPr>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7.2评委会判定投标文件的响应性只根据投标文件本身的内容，而不寻求外部的证据，但投标有不真实不正确的内容时除外。</w:t>
      </w:r>
    </w:p>
    <w:p w14:paraId="6E8278AB">
      <w:pPr>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7.3如果投标文件实质上没有响应采购文件的要求，评委会将予以拒绝，投标人不得通过修正或撤销不符合要求的偏离或保留，而使其投标成为实质上响应的投标。</w:t>
      </w:r>
    </w:p>
    <w:p w14:paraId="161E210E">
      <w:pPr>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7.4投标人可在现场20分钟内对评标委员会的评审结论提出异议，评标委员会根据采购文件及有关规定对投标人的异议进行复议</w:t>
      </w:r>
    </w:p>
    <w:p w14:paraId="73BC7D7D">
      <w:pPr>
        <w:tabs>
          <w:tab w:val="left" w:pos="384"/>
        </w:tabs>
        <w:spacing w:line="400" w:lineRule="exact"/>
        <w:ind w:firstLine="420" w:firstLineChars="200"/>
        <w:outlineLvl w:val="9"/>
        <w:rPr>
          <w:rFonts w:hint="eastAsia" w:ascii="仿宋" w:hAnsi="仿宋" w:eastAsia="仿宋" w:cs="仿宋"/>
          <w:szCs w:val="21"/>
          <w:highlight w:val="none"/>
        </w:rPr>
      </w:pPr>
      <w:r>
        <w:rPr>
          <w:rFonts w:hint="eastAsia" w:ascii="仿宋" w:hAnsi="仿宋" w:eastAsia="仿宋" w:cs="仿宋"/>
          <w:szCs w:val="21"/>
          <w:highlight w:val="none"/>
        </w:rPr>
        <w:t>7.5只有通过初审的投标人才能进入下一步评标程序。</w:t>
      </w:r>
    </w:p>
    <w:p w14:paraId="5F81E7C9">
      <w:pPr>
        <w:spacing w:line="400" w:lineRule="exact"/>
        <w:ind w:firstLine="420" w:firstLineChars="200"/>
        <w:rPr>
          <w:rFonts w:hint="eastAsia" w:ascii="仿宋" w:hAnsi="仿宋" w:eastAsia="仿宋" w:cs="仿宋"/>
          <w:szCs w:val="21"/>
          <w:highlight w:val="none"/>
        </w:rPr>
      </w:pPr>
      <w:r>
        <w:rPr>
          <w:rFonts w:hint="eastAsia" w:ascii="仿宋" w:hAnsi="仿宋" w:eastAsia="仿宋" w:cs="仿宋"/>
          <w:b/>
          <w:szCs w:val="21"/>
          <w:highlight w:val="none"/>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14:paraId="4F8B6554">
      <w:pPr>
        <w:spacing w:before="156" w:beforeLines="50" w:line="400" w:lineRule="exact"/>
        <w:jc w:val="center"/>
        <w:outlineLvl w:val="1"/>
        <w:rPr>
          <w:rFonts w:hint="eastAsia" w:ascii="仿宋" w:hAnsi="仿宋" w:eastAsia="仿宋" w:cs="仿宋"/>
          <w:b/>
          <w:sz w:val="28"/>
          <w:szCs w:val="28"/>
          <w:highlight w:val="none"/>
        </w:rPr>
      </w:pPr>
      <w:bookmarkStart w:id="115" w:name="_Toc5861"/>
      <w:bookmarkStart w:id="116" w:name="_Toc19366"/>
      <w:bookmarkStart w:id="117" w:name="_Toc26844"/>
      <w:bookmarkStart w:id="118" w:name="_Toc362983803"/>
      <w:r>
        <w:rPr>
          <w:rFonts w:hint="eastAsia" w:ascii="仿宋" w:hAnsi="仿宋" w:eastAsia="仿宋" w:cs="仿宋"/>
          <w:b/>
          <w:sz w:val="28"/>
          <w:szCs w:val="28"/>
          <w:highlight w:val="none"/>
        </w:rPr>
        <w:t>三  投标文件的澄清和补正</w:t>
      </w:r>
      <w:bookmarkEnd w:id="115"/>
      <w:bookmarkEnd w:id="116"/>
      <w:bookmarkEnd w:id="117"/>
      <w:bookmarkEnd w:id="118"/>
    </w:p>
    <w:p w14:paraId="34B20842">
      <w:pPr>
        <w:spacing w:line="440" w:lineRule="exact"/>
        <w:ind w:firstLine="210" w:firstLineChars="100"/>
        <w:jc w:val="left"/>
        <w:outlineLvl w:val="2"/>
        <w:rPr>
          <w:rFonts w:hint="eastAsia" w:ascii="仿宋" w:hAnsi="仿宋" w:eastAsia="仿宋" w:cs="仿宋"/>
          <w:b/>
          <w:bCs/>
          <w:szCs w:val="21"/>
          <w:highlight w:val="none"/>
        </w:rPr>
      </w:pPr>
      <w:bookmarkStart w:id="119" w:name="_Toc25494"/>
      <w:r>
        <w:rPr>
          <w:rFonts w:hint="eastAsia" w:ascii="仿宋" w:hAnsi="仿宋" w:eastAsia="仿宋" w:cs="仿宋"/>
          <w:b/>
          <w:bCs/>
          <w:szCs w:val="21"/>
          <w:highlight w:val="none"/>
        </w:rPr>
        <w:t>8．澄清、说明或补正的形式</w:t>
      </w:r>
      <w:bookmarkEnd w:id="119"/>
    </w:p>
    <w:p w14:paraId="11BDB83E">
      <w:pPr>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14:paraId="6CD2B865">
      <w:pPr>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8.2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14:paraId="00E1D0B0">
      <w:pPr>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487C7773">
      <w:pPr>
        <w:spacing w:line="440" w:lineRule="exact"/>
        <w:ind w:firstLine="210" w:firstLineChars="100"/>
        <w:jc w:val="left"/>
        <w:outlineLvl w:val="2"/>
        <w:rPr>
          <w:rFonts w:hint="eastAsia" w:ascii="仿宋" w:hAnsi="仿宋" w:eastAsia="仿宋" w:cs="仿宋"/>
          <w:b/>
          <w:bCs/>
          <w:szCs w:val="21"/>
          <w:highlight w:val="none"/>
        </w:rPr>
      </w:pPr>
      <w:bookmarkStart w:id="120" w:name="_Toc23603"/>
      <w:r>
        <w:rPr>
          <w:rFonts w:hint="eastAsia" w:ascii="仿宋" w:hAnsi="仿宋" w:eastAsia="仿宋" w:cs="仿宋"/>
          <w:b/>
          <w:bCs/>
          <w:szCs w:val="21"/>
          <w:highlight w:val="none"/>
        </w:rPr>
        <w:t>9．错误修正的原则</w:t>
      </w:r>
      <w:bookmarkEnd w:id="120"/>
    </w:p>
    <w:p w14:paraId="63A9B715">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电子交易平台客户端里开标一览表录入的投标报价或优惠率与扫描上传的报价文件信息不一致的，以扫描上传的报价文件信息为准进行修正。</w:t>
      </w:r>
    </w:p>
    <w:p w14:paraId="4089EC04">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投标文件报价出现前后不一致的，除采购文件另有规定外，按照下列规定修正：</w:t>
      </w:r>
    </w:p>
    <w:p w14:paraId="620CDF6F">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9.1 投标函中表述的内容与报价表中不一致的，以报价表为准；报价表中的内容与报价明细表不一致的，以报价表为准；</w:t>
      </w:r>
    </w:p>
    <w:p w14:paraId="1C6852AF">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9.2 投标文件中的大写金额和小写金额不一致的，以大写金额为准；</w:t>
      </w:r>
    </w:p>
    <w:p w14:paraId="2F1D3A75">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9.3 单价金额小数点或者百分比有明显错位的，以开标一览表的总价为准，并修改单价；</w:t>
      </w:r>
    </w:p>
    <w:p w14:paraId="7CDC7B02">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9.4 总价金额与按单价汇总金额不一致的，以单价金额计算结果为准；</w:t>
      </w:r>
    </w:p>
    <w:p w14:paraId="2513CD26">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9.5 若用文字表示的数值与用数字表示的数值不一致，以文字表示的数值为准；</w:t>
      </w:r>
    </w:p>
    <w:p w14:paraId="666327F1">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9.6 如有多报（指数量超出采购文件需求）、重报（指同一货物重复报价），其投标总价在评标过程中不予调整，如其中标，其合同价按其投标单价予以调整；</w:t>
      </w:r>
    </w:p>
    <w:p w14:paraId="5B82823A">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9.7 对不同文字文本投标文件的解释发生异议的，以中文文本为准；</w:t>
      </w:r>
    </w:p>
    <w:p w14:paraId="2F10B011">
      <w:pPr>
        <w:spacing w:line="44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14:paraId="64D9FD89">
      <w:pPr>
        <w:spacing w:line="400" w:lineRule="exact"/>
        <w:jc w:val="center"/>
        <w:outlineLvl w:val="1"/>
        <w:rPr>
          <w:rFonts w:hint="eastAsia" w:ascii="仿宋" w:hAnsi="仿宋" w:eastAsia="仿宋" w:cs="仿宋"/>
          <w:b/>
          <w:sz w:val="28"/>
          <w:szCs w:val="28"/>
          <w:highlight w:val="none"/>
        </w:rPr>
      </w:pPr>
      <w:bookmarkStart w:id="121" w:name="_Toc30397"/>
      <w:bookmarkStart w:id="122" w:name="_Toc15740"/>
      <w:bookmarkStart w:id="123" w:name="_Toc18469"/>
      <w:r>
        <w:rPr>
          <w:rFonts w:hint="eastAsia" w:ascii="仿宋" w:hAnsi="仿宋" w:eastAsia="仿宋" w:cs="仿宋"/>
          <w:b/>
          <w:sz w:val="28"/>
          <w:szCs w:val="28"/>
          <w:highlight w:val="none"/>
        </w:rPr>
        <w:t>四 比较与评价</w:t>
      </w:r>
      <w:bookmarkEnd w:id="121"/>
      <w:bookmarkEnd w:id="122"/>
      <w:bookmarkEnd w:id="123"/>
    </w:p>
    <w:p w14:paraId="57AF9FAE">
      <w:pPr>
        <w:tabs>
          <w:tab w:val="left" w:pos="720"/>
        </w:tabs>
        <w:spacing w:line="440" w:lineRule="exact"/>
        <w:ind w:firstLine="535" w:firstLineChars="255"/>
        <w:outlineLvl w:val="2"/>
        <w:rPr>
          <w:rFonts w:hint="eastAsia" w:ascii="仿宋" w:hAnsi="仿宋" w:eastAsia="仿宋" w:cs="仿宋"/>
          <w:b/>
          <w:bCs/>
          <w:szCs w:val="21"/>
          <w:highlight w:val="none"/>
          <w:lang w:val="en-US" w:eastAsia="zh-CN"/>
        </w:rPr>
      </w:pPr>
      <w:bookmarkStart w:id="124" w:name="_Toc17075"/>
      <w:bookmarkStart w:id="125" w:name="_Toc362983805"/>
      <w:r>
        <w:rPr>
          <w:rFonts w:hint="eastAsia" w:ascii="仿宋" w:hAnsi="仿宋" w:eastAsia="仿宋" w:cs="仿宋"/>
          <w:b/>
          <w:bCs/>
          <w:szCs w:val="21"/>
          <w:highlight w:val="none"/>
          <w:lang w:val="en-US" w:eastAsia="zh-CN"/>
        </w:rPr>
        <w:t>10.比较与评价</w:t>
      </w:r>
      <w:bookmarkEnd w:id="124"/>
    </w:p>
    <w:p w14:paraId="05E9D65E">
      <w:pPr>
        <w:tabs>
          <w:tab w:val="left" w:pos="720"/>
        </w:tabs>
        <w:spacing w:line="440" w:lineRule="exact"/>
        <w:ind w:firstLine="535" w:firstLineChars="255"/>
        <w:rPr>
          <w:rFonts w:hint="eastAsia" w:ascii="仿宋" w:hAnsi="仿宋" w:eastAsia="仿宋" w:cs="仿宋"/>
          <w:szCs w:val="21"/>
          <w:highlight w:val="none"/>
        </w:rPr>
      </w:pPr>
      <w:r>
        <w:rPr>
          <w:rFonts w:hint="eastAsia" w:ascii="仿宋" w:hAnsi="仿宋" w:eastAsia="仿宋" w:cs="仿宋"/>
          <w:szCs w:val="21"/>
          <w:highlight w:val="none"/>
        </w:rPr>
        <w:t>10.1评标委员会按磋商文件中规定的评标方法和标准，对资格性检查和符合性检查合格的投标文件进行商务和技术评估、综合比较与评价。</w:t>
      </w:r>
    </w:p>
    <w:p w14:paraId="5AE6D98D">
      <w:pPr>
        <w:spacing w:line="440" w:lineRule="exact"/>
        <w:ind w:firstLine="539" w:firstLineChars="257"/>
        <w:rPr>
          <w:rFonts w:hint="eastAsia" w:ascii="仿宋" w:hAnsi="仿宋" w:eastAsia="仿宋" w:cs="仿宋"/>
          <w:szCs w:val="21"/>
          <w:highlight w:val="none"/>
        </w:rPr>
      </w:pPr>
      <w:r>
        <w:rPr>
          <w:rFonts w:hint="eastAsia" w:ascii="仿宋" w:hAnsi="仿宋" w:eastAsia="仿宋" w:cs="仿宋"/>
          <w:szCs w:val="21"/>
          <w:highlight w:val="none"/>
        </w:rPr>
        <w:t>10.2评标委员会根据商务和技术评估的结果，采用综合评分法，分别对投标文件的商务、技术、价格等内容进行打分。其中，商务评估、技术评估、价格评估的评分权值（详见附件1）。</w:t>
      </w:r>
    </w:p>
    <w:p w14:paraId="0DC7FF0E">
      <w:pPr>
        <w:spacing w:line="440" w:lineRule="exact"/>
        <w:ind w:firstLine="539" w:firstLineChars="257"/>
        <w:outlineLvl w:val="9"/>
        <w:rPr>
          <w:rFonts w:hint="eastAsia" w:ascii="仿宋" w:hAnsi="仿宋" w:eastAsia="仿宋" w:cs="仿宋"/>
          <w:bCs/>
          <w:szCs w:val="21"/>
          <w:highlight w:val="none"/>
        </w:rPr>
      </w:pPr>
      <w:r>
        <w:rPr>
          <w:rFonts w:hint="eastAsia" w:ascii="仿宋" w:hAnsi="仿宋" w:eastAsia="仿宋" w:cs="仿宋"/>
          <w:szCs w:val="21"/>
          <w:highlight w:val="none"/>
        </w:rPr>
        <w:t>10.</w:t>
      </w:r>
      <w:r>
        <w:rPr>
          <w:rFonts w:hint="eastAsia" w:ascii="仿宋" w:hAnsi="仿宋" w:eastAsia="仿宋" w:cs="仿宋"/>
          <w:bCs/>
          <w:szCs w:val="21"/>
          <w:highlight w:val="none"/>
        </w:rPr>
        <w:t>2.1评委打分办法</w:t>
      </w:r>
    </w:p>
    <w:p w14:paraId="20D8E555">
      <w:pPr>
        <w:spacing w:line="440" w:lineRule="exact"/>
        <w:ind w:firstLine="539" w:firstLineChars="257"/>
        <w:rPr>
          <w:rFonts w:hint="eastAsia" w:ascii="仿宋" w:hAnsi="仿宋" w:eastAsia="仿宋" w:cs="仿宋"/>
          <w:szCs w:val="21"/>
          <w:highlight w:val="none"/>
        </w:rPr>
      </w:pPr>
      <w:r>
        <w:rPr>
          <w:rFonts w:hint="eastAsia" w:ascii="仿宋" w:hAnsi="仿宋" w:eastAsia="仿宋" w:cs="仿宋"/>
          <w:bCs/>
          <w:szCs w:val="21"/>
          <w:highlight w:val="none"/>
        </w:rPr>
        <w:t>（1）</w:t>
      </w:r>
      <w:r>
        <w:rPr>
          <w:rFonts w:hint="eastAsia" w:ascii="仿宋" w:hAnsi="仿宋" w:eastAsia="仿宋" w:cs="仿宋"/>
          <w:szCs w:val="21"/>
          <w:highlight w:val="none"/>
        </w:rPr>
        <w:t>参加评分的评委应尽力体现客观、实事求是，避免学派偏见和个人偏好。</w:t>
      </w:r>
    </w:p>
    <w:p w14:paraId="1B8D49D7">
      <w:pPr>
        <w:spacing w:line="440" w:lineRule="exact"/>
        <w:ind w:firstLine="539" w:firstLineChars="257"/>
        <w:rPr>
          <w:rFonts w:hint="eastAsia" w:ascii="仿宋" w:hAnsi="仿宋" w:eastAsia="仿宋" w:cs="仿宋"/>
          <w:szCs w:val="21"/>
          <w:highlight w:val="none"/>
        </w:rPr>
      </w:pPr>
      <w:r>
        <w:rPr>
          <w:rFonts w:hint="eastAsia" w:ascii="仿宋" w:hAnsi="仿宋" w:eastAsia="仿宋" w:cs="仿宋"/>
          <w:szCs w:val="21"/>
          <w:highlight w:val="none"/>
        </w:rPr>
        <w:t>（2）衡量、对比的依据，应以磋商文件、投标文件、提供的正式试验数据、质询澄清中的文字为准，口头回答和收集的资料只作为参考。</w:t>
      </w:r>
    </w:p>
    <w:p w14:paraId="1118725A">
      <w:pPr>
        <w:spacing w:line="440" w:lineRule="exact"/>
        <w:ind w:firstLine="539" w:firstLineChars="257"/>
        <w:rPr>
          <w:rFonts w:hint="eastAsia" w:ascii="仿宋" w:hAnsi="仿宋" w:eastAsia="仿宋" w:cs="仿宋"/>
          <w:szCs w:val="21"/>
          <w:highlight w:val="none"/>
        </w:rPr>
      </w:pPr>
      <w:r>
        <w:rPr>
          <w:rFonts w:hint="eastAsia" w:ascii="仿宋" w:hAnsi="仿宋" w:eastAsia="仿宋" w:cs="仿宋"/>
          <w:szCs w:val="21"/>
          <w:highlight w:val="none"/>
        </w:rPr>
        <w:t>（3）评分主要是为比较各投标人的价格、商务和技术综合排序。</w:t>
      </w:r>
    </w:p>
    <w:p w14:paraId="14E3561F">
      <w:pPr>
        <w:spacing w:line="440" w:lineRule="exact"/>
        <w:ind w:firstLine="539" w:firstLineChars="257"/>
        <w:rPr>
          <w:rFonts w:hint="eastAsia" w:ascii="仿宋" w:hAnsi="仿宋" w:eastAsia="仿宋" w:cs="仿宋"/>
          <w:szCs w:val="21"/>
          <w:highlight w:val="none"/>
        </w:rPr>
      </w:pPr>
      <w:r>
        <w:rPr>
          <w:rFonts w:hint="eastAsia" w:ascii="仿宋" w:hAnsi="仿宋" w:eastAsia="仿宋" w:cs="仿宋"/>
          <w:szCs w:val="21"/>
          <w:highlight w:val="none"/>
        </w:rPr>
        <w:t>（4）评委打分采取记名形式。</w:t>
      </w:r>
    </w:p>
    <w:p w14:paraId="462D5F0D">
      <w:pPr>
        <w:spacing w:line="440" w:lineRule="exact"/>
        <w:ind w:firstLine="539" w:firstLineChars="257"/>
        <w:rPr>
          <w:rFonts w:hint="eastAsia" w:ascii="仿宋" w:hAnsi="仿宋" w:eastAsia="仿宋" w:cs="仿宋"/>
          <w:szCs w:val="21"/>
          <w:highlight w:val="none"/>
        </w:rPr>
      </w:pPr>
      <w:r>
        <w:rPr>
          <w:rFonts w:hint="eastAsia" w:ascii="仿宋" w:hAnsi="仿宋" w:eastAsia="仿宋" w:cs="仿宋"/>
          <w:szCs w:val="21"/>
          <w:highlight w:val="none"/>
        </w:rPr>
        <w:t>（5）各评委根据提供的技术打分表独立自主打分，任何人不得要求评委统一打分或统一确定等次顺序。</w:t>
      </w:r>
    </w:p>
    <w:p w14:paraId="0A5C02F3">
      <w:pPr>
        <w:spacing w:line="440" w:lineRule="exact"/>
        <w:ind w:firstLine="539" w:firstLineChars="257"/>
        <w:outlineLvl w:val="9"/>
        <w:rPr>
          <w:rFonts w:hint="eastAsia" w:ascii="仿宋" w:hAnsi="仿宋" w:eastAsia="仿宋" w:cs="仿宋"/>
          <w:szCs w:val="21"/>
          <w:highlight w:val="none"/>
        </w:rPr>
      </w:pPr>
      <w:r>
        <w:rPr>
          <w:rFonts w:hint="eastAsia" w:ascii="仿宋" w:hAnsi="仿宋" w:eastAsia="仿宋" w:cs="仿宋"/>
          <w:szCs w:val="21"/>
          <w:highlight w:val="none"/>
        </w:rPr>
        <w:t>（6）对打分表中的每项条款，各评委应根据投标文件、澄清材料、磋商文件要求，按满足的程度给投标人打分。</w:t>
      </w:r>
    </w:p>
    <w:p w14:paraId="5DA35C54">
      <w:pPr>
        <w:spacing w:line="440" w:lineRule="exact"/>
        <w:ind w:firstLine="539" w:firstLineChars="257"/>
        <w:outlineLvl w:val="9"/>
        <w:rPr>
          <w:rFonts w:hint="eastAsia" w:ascii="仿宋" w:hAnsi="仿宋" w:eastAsia="仿宋" w:cs="仿宋"/>
          <w:szCs w:val="21"/>
          <w:highlight w:val="none"/>
        </w:rPr>
      </w:pPr>
      <w:r>
        <w:rPr>
          <w:rFonts w:hint="eastAsia" w:ascii="仿宋" w:hAnsi="仿宋" w:eastAsia="仿宋" w:cs="仿宋"/>
          <w:szCs w:val="21"/>
          <w:highlight w:val="none"/>
        </w:rPr>
        <w:t>（7）评分程序</w:t>
      </w:r>
    </w:p>
    <w:p w14:paraId="57E5D2EE">
      <w:pPr>
        <w:spacing w:line="440" w:lineRule="exact"/>
        <w:ind w:firstLine="630" w:firstLineChars="300"/>
        <w:outlineLvl w:val="9"/>
        <w:rPr>
          <w:rFonts w:hint="eastAsia" w:ascii="仿宋" w:hAnsi="仿宋" w:eastAsia="仿宋" w:cs="仿宋"/>
          <w:szCs w:val="21"/>
          <w:highlight w:val="none"/>
        </w:rPr>
      </w:pPr>
      <w:r>
        <w:rPr>
          <w:rFonts w:hint="eastAsia" w:ascii="仿宋" w:hAnsi="仿宋" w:eastAsia="仿宋" w:cs="仿宋"/>
          <w:szCs w:val="21"/>
          <w:highlight w:val="none"/>
        </w:rPr>
        <w:t>1)就投标人的投标文件对照整理出商务、技术评标因素对比表、偏差表，并在经过校核的基础上逐项打分。</w:t>
      </w:r>
    </w:p>
    <w:p w14:paraId="6278DF8B">
      <w:pPr>
        <w:tabs>
          <w:tab w:val="left" w:pos="508"/>
        </w:tabs>
        <w:spacing w:line="440" w:lineRule="exact"/>
        <w:ind w:firstLine="630" w:firstLineChars="300"/>
        <w:outlineLvl w:val="9"/>
        <w:rPr>
          <w:rFonts w:hint="eastAsia" w:ascii="仿宋" w:hAnsi="仿宋" w:eastAsia="仿宋" w:cs="仿宋"/>
          <w:szCs w:val="21"/>
          <w:highlight w:val="none"/>
        </w:rPr>
      </w:pPr>
      <w:r>
        <w:rPr>
          <w:rFonts w:hint="eastAsia" w:ascii="仿宋" w:hAnsi="仿宋" w:eastAsia="仿宋" w:cs="仿宋"/>
          <w:szCs w:val="21"/>
          <w:highlight w:val="none"/>
        </w:rPr>
        <w:t>2)各评委独立完成打分后，将评分表交给代理机构，由代理机构组织进行分数统计。</w:t>
      </w:r>
    </w:p>
    <w:p w14:paraId="2A8D9755">
      <w:pPr>
        <w:ind w:firstLine="630" w:firstLineChars="300"/>
        <w:outlineLvl w:val="9"/>
        <w:rPr>
          <w:rFonts w:hint="eastAsia" w:ascii="仿宋" w:hAnsi="仿宋" w:eastAsia="仿宋" w:cs="仿宋"/>
          <w:szCs w:val="21"/>
          <w:highlight w:val="none"/>
        </w:rPr>
      </w:pPr>
      <w:r>
        <w:rPr>
          <w:rFonts w:hint="eastAsia" w:ascii="仿宋" w:hAnsi="仿宋" w:eastAsia="仿宋" w:cs="仿宋"/>
          <w:szCs w:val="21"/>
          <w:highlight w:val="none"/>
        </w:rPr>
        <w:t>3)最终汇总表中各投标人得分应为评委打分的算术平均值。</w:t>
      </w:r>
    </w:p>
    <w:p w14:paraId="5D395993">
      <w:pPr>
        <w:outlineLvl w:val="9"/>
        <w:rPr>
          <w:rFonts w:hint="eastAsia" w:ascii="仿宋" w:hAnsi="仿宋" w:eastAsia="仿宋" w:cs="仿宋"/>
          <w:szCs w:val="21"/>
          <w:highlight w:val="none"/>
        </w:rPr>
      </w:pPr>
    </w:p>
    <w:p w14:paraId="4DCA5D7D">
      <w:pPr>
        <w:rPr>
          <w:rFonts w:hint="eastAsia" w:ascii="仿宋" w:hAnsi="仿宋" w:eastAsia="仿宋" w:cs="仿宋"/>
          <w:szCs w:val="21"/>
          <w:highlight w:val="none"/>
        </w:rPr>
      </w:pPr>
    </w:p>
    <w:p w14:paraId="658CA5D7">
      <w:pPr>
        <w:rPr>
          <w:rFonts w:hint="eastAsia" w:ascii="仿宋" w:hAnsi="仿宋" w:eastAsia="仿宋" w:cs="仿宋"/>
          <w:szCs w:val="21"/>
          <w:highlight w:val="none"/>
        </w:rPr>
      </w:pPr>
    </w:p>
    <w:p w14:paraId="790F7B73">
      <w:pPr>
        <w:rPr>
          <w:rFonts w:hint="eastAsia" w:ascii="仿宋" w:hAnsi="仿宋" w:eastAsia="仿宋" w:cs="仿宋"/>
          <w:szCs w:val="21"/>
          <w:highlight w:val="none"/>
        </w:rPr>
      </w:pPr>
    </w:p>
    <w:p w14:paraId="27BE8ACF">
      <w:pPr>
        <w:rPr>
          <w:rFonts w:hint="eastAsia" w:ascii="仿宋" w:hAnsi="仿宋" w:eastAsia="仿宋" w:cs="仿宋"/>
          <w:szCs w:val="21"/>
          <w:highlight w:val="none"/>
        </w:rPr>
      </w:pPr>
    </w:p>
    <w:p w14:paraId="17500BB3">
      <w:pPr>
        <w:rPr>
          <w:rFonts w:hint="eastAsia" w:ascii="仿宋" w:hAnsi="仿宋" w:eastAsia="仿宋" w:cs="仿宋"/>
          <w:szCs w:val="21"/>
          <w:highlight w:val="none"/>
        </w:rPr>
      </w:pPr>
    </w:p>
    <w:p w14:paraId="13D4A03E">
      <w:pPr>
        <w:rPr>
          <w:rFonts w:hint="eastAsia" w:ascii="仿宋" w:hAnsi="仿宋" w:eastAsia="仿宋" w:cs="仿宋"/>
          <w:szCs w:val="21"/>
          <w:highlight w:val="none"/>
        </w:rPr>
      </w:pPr>
    </w:p>
    <w:p w14:paraId="03961690">
      <w:pPr>
        <w:rPr>
          <w:rFonts w:hint="eastAsia" w:ascii="仿宋" w:hAnsi="仿宋" w:eastAsia="仿宋" w:cs="仿宋"/>
          <w:szCs w:val="21"/>
          <w:highlight w:val="none"/>
        </w:rPr>
      </w:pPr>
    </w:p>
    <w:p w14:paraId="686F68BC">
      <w:pPr>
        <w:rPr>
          <w:rFonts w:hint="eastAsia" w:ascii="仿宋" w:hAnsi="仿宋" w:eastAsia="仿宋" w:cs="仿宋"/>
          <w:szCs w:val="21"/>
          <w:highlight w:val="none"/>
        </w:rPr>
      </w:pPr>
    </w:p>
    <w:p w14:paraId="2A2810D2">
      <w:pPr>
        <w:rPr>
          <w:rFonts w:hint="eastAsia" w:ascii="仿宋" w:hAnsi="仿宋" w:eastAsia="仿宋" w:cs="仿宋"/>
          <w:szCs w:val="21"/>
          <w:highlight w:val="none"/>
        </w:rPr>
      </w:pPr>
    </w:p>
    <w:p w14:paraId="3A8F8D99">
      <w:pPr>
        <w:rPr>
          <w:rFonts w:hint="eastAsia" w:ascii="仿宋" w:hAnsi="仿宋" w:eastAsia="仿宋" w:cs="仿宋"/>
          <w:szCs w:val="21"/>
          <w:highlight w:val="none"/>
        </w:rPr>
      </w:pPr>
    </w:p>
    <w:p w14:paraId="440D7D67">
      <w:pPr>
        <w:rPr>
          <w:rFonts w:hint="eastAsia" w:ascii="仿宋" w:hAnsi="仿宋" w:eastAsia="仿宋" w:cs="仿宋"/>
          <w:szCs w:val="21"/>
          <w:highlight w:val="none"/>
        </w:rPr>
      </w:pPr>
    </w:p>
    <w:p w14:paraId="5170D80E">
      <w:pPr>
        <w:rPr>
          <w:rFonts w:hint="eastAsia" w:ascii="仿宋" w:hAnsi="仿宋" w:eastAsia="仿宋" w:cs="仿宋"/>
          <w:szCs w:val="21"/>
          <w:highlight w:val="none"/>
        </w:rPr>
      </w:pPr>
    </w:p>
    <w:p w14:paraId="34810756">
      <w:pPr>
        <w:rPr>
          <w:rFonts w:hint="eastAsia" w:ascii="仿宋" w:hAnsi="仿宋" w:eastAsia="仿宋" w:cs="仿宋"/>
          <w:szCs w:val="21"/>
          <w:highlight w:val="none"/>
        </w:rPr>
      </w:pPr>
    </w:p>
    <w:p w14:paraId="3FE2E1EC">
      <w:pPr>
        <w:rPr>
          <w:rFonts w:hint="eastAsia" w:ascii="仿宋" w:hAnsi="仿宋" w:eastAsia="仿宋" w:cs="仿宋"/>
          <w:szCs w:val="21"/>
          <w:highlight w:val="none"/>
        </w:rPr>
      </w:pPr>
    </w:p>
    <w:p w14:paraId="1CEA29DF">
      <w:pPr>
        <w:rPr>
          <w:rFonts w:hint="eastAsia" w:ascii="仿宋" w:hAnsi="仿宋" w:eastAsia="仿宋" w:cs="仿宋"/>
          <w:szCs w:val="21"/>
          <w:highlight w:val="none"/>
        </w:rPr>
      </w:pPr>
    </w:p>
    <w:p w14:paraId="191ABE10">
      <w:pPr>
        <w:pStyle w:val="24"/>
        <w:ind w:left="0" w:leftChars="0" w:firstLine="0" w:firstLineChars="0"/>
        <w:rPr>
          <w:rFonts w:hint="eastAsia" w:ascii="仿宋" w:hAnsi="仿宋" w:eastAsia="仿宋" w:cs="仿宋"/>
        </w:rPr>
      </w:pPr>
    </w:p>
    <w:p w14:paraId="65335DAC">
      <w:pPr>
        <w:outlineLvl w:val="9"/>
        <w:rPr>
          <w:rFonts w:hint="eastAsia" w:ascii="仿宋" w:hAnsi="仿宋" w:eastAsia="仿宋" w:cs="仿宋"/>
          <w:b/>
          <w:bCs/>
          <w:szCs w:val="21"/>
          <w:highlight w:val="none"/>
        </w:rPr>
        <w:sectPr>
          <w:pgSz w:w="11906" w:h="16838"/>
          <w:pgMar w:top="1440" w:right="1080" w:bottom="1440" w:left="1080" w:header="851" w:footer="992" w:gutter="0"/>
          <w:pgNumType w:fmt="decimal"/>
          <w:cols w:space="720" w:num="1"/>
          <w:docGrid w:type="linesAndChars" w:linePitch="312" w:charSpace="0"/>
        </w:sectPr>
      </w:pPr>
    </w:p>
    <w:tbl>
      <w:tblPr>
        <w:tblStyle w:val="25"/>
        <w:tblpPr w:leftFromText="180" w:rightFromText="180" w:vertAnchor="text" w:horzAnchor="page" w:tblpX="1073" w:tblpY="298"/>
        <w:tblOverlap w:val="never"/>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3"/>
        <w:gridCol w:w="1784"/>
        <w:gridCol w:w="843"/>
        <w:gridCol w:w="3735"/>
        <w:gridCol w:w="2208"/>
      </w:tblGrid>
      <w:tr w14:paraId="0A7D0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393" w:type="dxa"/>
            <w:tcBorders>
              <w:top w:val="single" w:color="auto" w:sz="4" w:space="0"/>
              <w:left w:val="single" w:color="auto" w:sz="4" w:space="0"/>
              <w:bottom w:val="single" w:color="auto" w:sz="4" w:space="0"/>
              <w:right w:val="single" w:color="ACD6AC" w:sz="8" w:space="0"/>
            </w:tcBorders>
            <w:shd w:val="clear" w:color="auto" w:fill="auto"/>
            <w:vAlign w:val="center"/>
          </w:tcPr>
          <w:p w14:paraId="701EFE03">
            <w:pPr>
              <w:snapToGrid w:val="0"/>
              <w:ind w:left="0" w:leftChars="0" w:right="0" w:rightChars="0" w:firstLine="0" w:firstLineChars="0"/>
              <w:jc w:val="center"/>
              <w:rPr>
                <w:rFonts w:hint="eastAsia" w:ascii="仿宋" w:hAnsi="仿宋" w:eastAsia="仿宋" w:cs="仿宋"/>
                <w:b/>
                <w:color w:val="000000"/>
                <w:sz w:val="20"/>
                <w:szCs w:val="20"/>
                <w:lang w:val="en-US" w:eastAsia="zh-CN"/>
              </w:rPr>
            </w:pPr>
            <w:r>
              <w:rPr>
                <w:rFonts w:hint="eastAsia" w:ascii="仿宋" w:hAnsi="仿宋" w:eastAsia="仿宋" w:cs="仿宋"/>
                <w:b/>
                <w:color w:val="000000"/>
                <w:kern w:val="0"/>
                <w:sz w:val="20"/>
                <w:szCs w:val="20"/>
                <w:lang w:val="en-US" w:eastAsia="zh-CN"/>
              </w:rPr>
              <w:t>序号</w:t>
            </w:r>
          </w:p>
        </w:tc>
        <w:tc>
          <w:tcPr>
            <w:tcW w:w="1784" w:type="dxa"/>
            <w:tcBorders>
              <w:top w:val="single" w:color="auto" w:sz="4" w:space="0"/>
              <w:left w:val="single" w:color="ACD6AC" w:sz="8" w:space="0"/>
              <w:bottom w:val="single" w:color="auto" w:sz="4" w:space="0"/>
              <w:right w:val="single" w:color="ACD6AC" w:sz="8" w:space="0"/>
            </w:tcBorders>
            <w:shd w:val="clear" w:color="auto" w:fill="auto"/>
            <w:vAlign w:val="center"/>
          </w:tcPr>
          <w:p w14:paraId="2E1DC169">
            <w:pPr>
              <w:snapToGrid w:val="0"/>
              <w:ind w:left="0" w:leftChars="0" w:right="0" w:rightChars="0" w:firstLine="0" w:firstLineChars="0"/>
              <w:jc w:val="center"/>
              <w:rPr>
                <w:rFonts w:hint="eastAsia" w:ascii="仿宋" w:hAnsi="仿宋" w:eastAsia="仿宋" w:cs="仿宋"/>
                <w:b/>
                <w:color w:val="000000"/>
                <w:kern w:val="0"/>
                <w:sz w:val="20"/>
                <w:szCs w:val="20"/>
                <w:lang w:val="en-US" w:eastAsia="zh-CN"/>
              </w:rPr>
            </w:pPr>
            <w:r>
              <w:rPr>
                <w:rFonts w:hint="eastAsia" w:ascii="仿宋" w:hAnsi="仿宋" w:eastAsia="仿宋" w:cs="仿宋"/>
                <w:b/>
                <w:color w:val="000000"/>
                <w:kern w:val="0"/>
                <w:sz w:val="20"/>
                <w:szCs w:val="20"/>
              </w:rPr>
              <w:t>评分因素及权重</w:t>
            </w:r>
          </w:p>
        </w:tc>
        <w:tc>
          <w:tcPr>
            <w:tcW w:w="843" w:type="dxa"/>
            <w:tcBorders>
              <w:top w:val="single" w:color="auto" w:sz="4" w:space="0"/>
              <w:left w:val="single" w:color="ACD6AC" w:sz="8" w:space="0"/>
              <w:bottom w:val="single" w:color="auto" w:sz="4" w:space="0"/>
              <w:right w:val="single" w:color="ACD6AC" w:sz="8" w:space="0"/>
            </w:tcBorders>
            <w:shd w:val="clear" w:color="auto" w:fill="auto"/>
            <w:vAlign w:val="center"/>
          </w:tcPr>
          <w:p w14:paraId="6F9D4D01">
            <w:pPr>
              <w:snapToGrid w:val="0"/>
              <w:ind w:left="0" w:leftChars="0" w:right="0" w:rightChars="0" w:firstLine="0" w:firstLineChars="0"/>
              <w:jc w:val="center"/>
              <w:rPr>
                <w:rFonts w:hint="eastAsia" w:ascii="仿宋" w:hAnsi="仿宋" w:eastAsia="仿宋" w:cs="仿宋"/>
                <w:b/>
                <w:color w:val="000000"/>
                <w:kern w:val="0"/>
                <w:sz w:val="20"/>
                <w:szCs w:val="20"/>
              </w:rPr>
            </w:pPr>
            <w:r>
              <w:rPr>
                <w:rFonts w:hint="eastAsia" w:ascii="仿宋" w:hAnsi="仿宋" w:eastAsia="仿宋" w:cs="仿宋"/>
                <w:b/>
                <w:color w:val="000000"/>
                <w:sz w:val="20"/>
                <w:szCs w:val="20"/>
                <w:lang w:val="en-US" w:eastAsia="zh-CN"/>
              </w:rPr>
              <w:t>分值</w:t>
            </w:r>
          </w:p>
        </w:tc>
        <w:tc>
          <w:tcPr>
            <w:tcW w:w="3735" w:type="dxa"/>
            <w:tcBorders>
              <w:top w:val="single" w:color="auto" w:sz="4" w:space="0"/>
              <w:left w:val="single" w:color="ACD6AC" w:sz="8" w:space="0"/>
              <w:bottom w:val="single" w:color="auto" w:sz="4" w:space="0"/>
              <w:right w:val="single" w:color="ACD6AC" w:sz="8" w:space="0"/>
            </w:tcBorders>
            <w:shd w:val="clear" w:color="auto" w:fill="auto"/>
            <w:vAlign w:val="center"/>
          </w:tcPr>
          <w:p w14:paraId="06F7CE54">
            <w:pPr>
              <w:numPr>
                <w:ilvl w:val="0"/>
                <w:numId w:val="0"/>
              </w:numPr>
              <w:snapToGrid w:val="0"/>
              <w:ind w:left="0" w:leftChars="0" w:right="0" w:rightChars="0" w:firstLine="0" w:firstLineChars="0"/>
              <w:jc w:val="center"/>
              <w:rPr>
                <w:rFonts w:hint="eastAsia" w:ascii="仿宋" w:hAnsi="仿宋" w:eastAsia="仿宋" w:cs="仿宋"/>
                <w:b/>
                <w:color w:val="000000"/>
                <w:kern w:val="0"/>
                <w:sz w:val="20"/>
                <w:szCs w:val="20"/>
              </w:rPr>
            </w:pPr>
            <w:r>
              <w:rPr>
                <w:rFonts w:hint="eastAsia" w:ascii="仿宋" w:hAnsi="仿宋" w:eastAsia="仿宋" w:cs="仿宋"/>
                <w:b/>
                <w:color w:val="000000"/>
                <w:kern w:val="0"/>
                <w:sz w:val="20"/>
                <w:szCs w:val="20"/>
              </w:rPr>
              <w:t>评分标准</w:t>
            </w:r>
          </w:p>
        </w:tc>
        <w:tc>
          <w:tcPr>
            <w:tcW w:w="2208" w:type="dxa"/>
            <w:tcBorders>
              <w:top w:val="single" w:color="auto" w:sz="4" w:space="0"/>
              <w:left w:val="single" w:color="ACD6AC" w:sz="8" w:space="0"/>
              <w:bottom w:val="single" w:color="auto" w:sz="4" w:space="0"/>
              <w:right w:val="single" w:color="auto" w:sz="4" w:space="0"/>
            </w:tcBorders>
            <w:shd w:val="clear" w:color="auto" w:fill="auto"/>
            <w:vAlign w:val="center"/>
          </w:tcPr>
          <w:p w14:paraId="5727494C">
            <w:pPr>
              <w:snapToGrid w:val="0"/>
              <w:ind w:left="0" w:leftChars="0" w:right="0" w:rightChars="0" w:firstLine="0" w:firstLineChars="0"/>
              <w:jc w:val="center"/>
              <w:rPr>
                <w:rFonts w:hint="eastAsia" w:ascii="仿宋" w:hAnsi="仿宋" w:eastAsia="仿宋" w:cs="仿宋"/>
                <w:b/>
                <w:color w:val="000000"/>
                <w:sz w:val="20"/>
                <w:szCs w:val="20"/>
              </w:rPr>
            </w:pPr>
          </w:p>
        </w:tc>
      </w:tr>
      <w:tr w14:paraId="7C509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93" w:type="dxa"/>
            <w:tcBorders>
              <w:top w:val="single" w:color="auto" w:sz="4" w:space="0"/>
              <w:left w:val="single" w:color="auto" w:sz="4" w:space="0"/>
              <w:bottom w:val="single" w:color="auto" w:sz="4" w:space="0"/>
              <w:right w:val="single" w:color="auto" w:sz="4" w:space="0"/>
            </w:tcBorders>
            <w:shd w:val="clear" w:color="auto" w:fill="FEFEFE"/>
            <w:vAlign w:val="center"/>
          </w:tcPr>
          <w:p w14:paraId="1030E726">
            <w:pPr>
              <w:snapToGrid w:val="0"/>
              <w:ind w:left="0" w:leftChars="0" w:right="0" w:rightChars="0" w:firstLine="0" w:firstLineChars="0"/>
              <w:jc w:val="center"/>
              <w:rPr>
                <w:rFonts w:hint="eastAsia" w:ascii="仿宋" w:hAnsi="仿宋" w:eastAsia="仿宋" w:cs="仿宋"/>
                <w:snapToGrid w:val="0"/>
                <w:color w:val="000000"/>
                <w:spacing w:val="-1"/>
                <w:kern w:val="0"/>
                <w:sz w:val="21"/>
                <w:szCs w:val="21"/>
                <w:lang w:val="en-US" w:eastAsia="zh-CN" w:bidi="ar-SA"/>
              </w:rPr>
            </w:pPr>
            <w:r>
              <w:rPr>
                <w:rFonts w:hint="eastAsia" w:ascii="仿宋" w:hAnsi="仿宋" w:eastAsia="仿宋" w:cs="仿宋"/>
                <w:snapToGrid w:val="0"/>
                <w:color w:val="000000"/>
                <w:spacing w:val="-1"/>
                <w:kern w:val="0"/>
                <w:sz w:val="21"/>
                <w:szCs w:val="21"/>
                <w:lang w:val="en-US" w:eastAsia="zh-CN" w:bidi="ar-SA"/>
              </w:rPr>
              <w:t>1.经济部分</w:t>
            </w:r>
          </w:p>
        </w:tc>
        <w:tc>
          <w:tcPr>
            <w:tcW w:w="1784" w:type="dxa"/>
            <w:tcBorders>
              <w:top w:val="single" w:color="auto" w:sz="4" w:space="0"/>
              <w:left w:val="single" w:color="auto" w:sz="4" w:space="0"/>
              <w:bottom w:val="single" w:color="auto" w:sz="4" w:space="0"/>
              <w:right w:val="single" w:color="auto" w:sz="4" w:space="0"/>
            </w:tcBorders>
            <w:shd w:val="clear" w:color="auto" w:fill="FEFEFE"/>
            <w:vAlign w:val="center"/>
          </w:tcPr>
          <w:p w14:paraId="1E7D4560">
            <w:pPr>
              <w:snapToGrid w:val="0"/>
              <w:jc w:val="center"/>
              <w:rPr>
                <w:rFonts w:hint="eastAsia" w:ascii="仿宋" w:hAnsi="仿宋" w:eastAsia="仿宋" w:cs="仿宋"/>
                <w:snapToGrid w:val="0"/>
                <w:color w:val="000000"/>
                <w:spacing w:val="-1"/>
                <w:kern w:val="0"/>
                <w:sz w:val="21"/>
                <w:szCs w:val="21"/>
                <w:lang w:val="en-US" w:eastAsia="en-US" w:bidi="ar-SA"/>
              </w:rPr>
            </w:pPr>
            <w:r>
              <w:rPr>
                <w:rFonts w:hint="eastAsia" w:ascii="仿宋" w:hAnsi="仿宋" w:eastAsia="仿宋" w:cs="仿宋"/>
                <w:snapToGrid w:val="0"/>
                <w:color w:val="000000"/>
                <w:spacing w:val="-1"/>
                <w:kern w:val="0"/>
                <w:sz w:val="21"/>
                <w:szCs w:val="21"/>
                <w:lang w:val="en-US" w:eastAsia="en-US" w:bidi="ar-SA"/>
              </w:rPr>
              <w:t>投标报价</w:t>
            </w:r>
          </w:p>
        </w:tc>
        <w:tc>
          <w:tcPr>
            <w:tcW w:w="843" w:type="dxa"/>
            <w:tcBorders>
              <w:top w:val="single" w:color="auto" w:sz="4" w:space="0"/>
              <w:left w:val="single" w:color="auto" w:sz="4" w:space="0"/>
              <w:bottom w:val="single" w:color="auto" w:sz="4" w:space="0"/>
              <w:right w:val="single" w:color="auto" w:sz="4" w:space="0"/>
            </w:tcBorders>
            <w:shd w:val="clear" w:color="auto" w:fill="FEFEFE"/>
            <w:vAlign w:val="center"/>
          </w:tcPr>
          <w:p w14:paraId="1B2D32E7">
            <w:pPr>
              <w:snapToGrid w:val="0"/>
              <w:ind w:left="0" w:leftChars="0" w:right="0" w:rightChars="0" w:firstLine="0" w:firstLineChars="0"/>
              <w:jc w:val="center"/>
              <w:rPr>
                <w:rFonts w:hint="eastAsia" w:ascii="仿宋" w:hAnsi="仿宋" w:eastAsia="仿宋" w:cs="仿宋"/>
                <w:snapToGrid w:val="0"/>
                <w:color w:val="000000"/>
                <w:spacing w:val="-1"/>
                <w:kern w:val="0"/>
                <w:sz w:val="21"/>
                <w:szCs w:val="21"/>
                <w:lang w:val="en-US" w:eastAsia="en-US" w:bidi="ar-SA"/>
              </w:rPr>
            </w:pPr>
            <w:r>
              <w:rPr>
                <w:rFonts w:hint="eastAsia" w:ascii="仿宋" w:hAnsi="仿宋" w:eastAsia="仿宋" w:cs="仿宋"/>
                <w:snapToGrid w:val="0"/>
                <w:color w:val="000000"/>
                <w:spacing w:val="-1"/>
                <w:kern w:val="0"/>
                <w:sz w:val="21"/>
                <w:szCs w:val="21"/>
                <w:lang w:val="en-US" w:eastAsia="zh-CN" w:bidi="ar-SA"/>
              </w:rPr>
              <w:t>10分</w:t>
            </w:r>
          </w:p>
        </w:tc>
        <w:tc>
          <w:tcPr>
            <w:tcW w:w="3735" w:type="dxa"/>
            <w:tcBorders>
              <w:top w:val="single" w:color="auto" w:sz="4" w:space="0"/>
              <w:left w:val="single" w:color="auto" w:sz="4" w:space="0"/>
              <w:bottom w:val="single" w:color="auto" w:sz="4" w:space="0"/>
              <w:right w:val="single" w:color="auto" w:sz="4" w:space="0"/>
            </w:tcBorders>
            <w:shd w:val="clear" w:color="auto" w:fill="FEFEFE"/>
            <w:vAlign w:val="center"/>
          </w:tcPr>
          <w:p w14:paraId="33C557FA">
            <w:pPr>
              <w:numPr>
                <w:ilvl w:val="0"/>
                <w:numId w:val="0"/>
              </w:numPr>
              <w:snapToGrid w:val="0"/>
              <w:ind w:left="0" w:leftChars="0" w:right="0" w:rightChars="0" w:firstLine="0" w:firstLineChars="0"/>
              <w:jc w:val="left"/>
              <w:rPr>
                <w:rFonts w:hint="eastAsia" w:ascii="仿宋" w:hAnsi="仿宋" w:eastAsia="仿宋" w:cs="仿宋"/>
                <w:snapToGrid w:val="0"/>
                <w:color w:val="000000"/>
                <w:spacing w:val="-1"/>
                <w:kern w:val="0"/>
                <w:sz w:val="21"/>
                <w:szCs w:val="21"/>
                <w:lang w:val="en-US" w:eastAsia="en-US" w:bidi="ar-SA"/>
              </w:rPr>
            </w:pPr>
            <w:r>
              <w:rPr>
                <w:rFonts w:hint="eastAsia" w:ascii="仿宋" w:hAnsi="仿宋" w:eastAsia="仿宋" w:cs="仿宋"/>
                <w:snapToGrid w:val="0"/>
                <w:color w:val="000000"/>
                <w:spacing w:val="-1"/>
                <w:kern w:val="0"/>
                <w:sz w:val="21"/>
                <w:szCs w:val="21"/>
                <w:lang w:val="en-US" w:eastAsia="zh-CN" w:bidi="ar-SA"/>
              </w:rPr>
              <w:t xml:space="preserve">投标报价得分=（评标基准价/投标报价）*价格权重*100 </w:t>
            </w:r>
          </w:p>
          <w:p w14:paraId="73624E63">
            <w:pPr>
              <w:numPr>
                <w:ilvl w:val="0"/>
                <w:numId w:val="0"/>
              </w:numPr>
              <w:snapToGrid w:val="0"/>
              <w:ind w:left="0" w:leftChars="0" w:right="0" w:rightChars="0" w:firstLine="0" w:firstLineChars="0"/>
              <w:jc w:val="left"/>
              <w:rPr>
                <w:rFonts w:hint="eastAsia" w:ascii="仿宋" w:hAnsi="仿宋" w:eastAsia="仿宋" w:cs="仿宋"/>
                <w:snapToGrid w:val="0"/>
                <w:color w:val="000000"/>
                <w:spacing w:val="-1"/>
                <w:kern w:val="0"/>
                <w:sz w:val="21"/>
                <w:szCs w:val="21"/>
                <w:lang w:val="en-US" w:eastAsia="en-US" w:bidi="ar-SA"/>
              </w:rPr>
            </w:pPr>
            <w:r>
              <w:rPr>
                <w:rFonts w:hint="eastAsia" w:ascii="仿宋" w:hAnsi="仿宋" w:eastAsia="仿宋" w:cs="仿宋"/>
                <w:snapToGrid w:val="0"/>
                <w:color w:val="000000"/>
                <w:spacing w:val="-1"/>
                <w:kern w:val="0"/>
                <w:sz w:val="21"/>
                <w:szCs w:val="21"/>
                <w:lang w:val="en-US" w:eastAsia="zh-CN" w:bidi="ar-SA"/>
              </w:rPr>
              <w:t xml:space="preserve">注：基准价=响应招标文件的最低投标报价 </w:t>
            </w:r>
          </w:p>
        </w:tc>
        <w:tc>
          <w:tcPr>
            <w:tcW w:w="2208" w:type="dxa"/>
            <w:tcBorders>
              <w:top w:val="single" w:color="auto" w:sz="4" w:space="0"/>
              <w:left w:val="single" w:color="auto" w:sz="4" w:space="0"/>
              <w:bottom w:val="single" w:color="auto" w:sz="4" w:space="0"/>
              <w:right w:val="single" w:color="auto" w:sz="4" w:space="0"/>
            </w:tcBorders>
            <w:shd w:val="clear" w:color="auto" w:fill="FEFEFE"/>
            <w:vAlign w:val="center"/>
          </w:tcPr>
          <w:p w14:paraId="32BD974C">
            <w:pPr>
              <w:snapToGrid w:val="0"/>
              <w:ind w:left="0" w:leftChars="0" w:right="0" w:rightChars="0" w:firstLine="0" w:firstLineChars="0"/>
              <w:jc w:val="center"/>
              <w:rPr>
                <w:rFonts w:hint="eastAsia" w:ascii="仿宋" w:hAnsi="仿宋" w:eastAsia="仿宋" w:cs="仿宋"/>
                <w:color w:val="000000"/>
                <w:sz w:val="21"/>
                <w:szCs w:val="21"/>
              </w:rPr>
            </w:pPr>
            <w:r>
              <w:rPr>
                <w:rFonts w:hint="eastAsia" w:ascii="仿宋" w:hAnsi="仿宋" w:eastAsia="仿宋" w:cs="仿宋"/>
                <w:snapToGrid w:val="0"/>
                <w:color w:val="000000"/>
                <w:spacing w:val="-1"/>
                <w:kern w:val="0"/>
                <w:sz w:val="21"/>
                <w:szCs w:val="21"/>
                <w:lang w:val="en-US" w:eastAsia="zh-CN" w:bidi="ar-SA"/>
              </w:rPr>
              <w:t>投标报价超过采购预算价的按废标处理</w:t>
            </w:r>
          </w:p>
        </w:tc>
      </w:tr>
    </w:tbl>
    <w:p w14:paraId="371B6102">
      <w:pPr>
        <w:outlineLvl w:val="9"/>
        <w:rPr>
          <w:rFonts w:hint="eastAsia" w:ascii="仿宋" w:hAnsi="仿宋" w:eastAsia="仿宋" w:cs="仿宋"/>
          <w:b/>
          <w:sz w:val="22"/>
          <w:szCs w:val="22"/>
          <w:highlight w:val="none"/>
        </w:rPr>
      </w:pPr>
      <w:r>
        <w:rPr>
          <w:rFonts w:hint="eastAsia" w:ascii="仿宋" w:hAnsi="仿宋" w:eastAsia="仿宋" w:cs="仿宋"/>
          <w:b/>
          <w:bCs/>
          <w:szCs w:val="21"/>
          <w:highlight w:val="none"/>
        </w:rPr>
        <w:t>（8）评分标准和细则（综合评分法评分标准）</w:t>
      </w:r>
    </w:p>
    <w:tbl>
      <w:tblPr>
        <w:tblStyle w:val="71"/>
        <w:tblW w:w="98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14"/>
        <w:gridCol w:w="1280"/>
        <w:gridCol w:w="7371"/>
      </w:tblGrid>
      <w:tr w14:paraId="17D48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2494" w:type="dxa"/>
            <w:gridSpan w:val="2"/>
            <w:vAlign w:val="center"/>
          </w:tcPr>
          <w:p w14:paraId="6DB317E5">
            <w:pPr>
              <w:pStyle w:val="75"/>
              <w:widowControl/>
              <w:snapToGrid w:val="0"/>
              <w:spacing w:before="46" w:line="240" w:lineRule="auto"/>
              <w:ind w:left="0" w:leftChars="0" w:right="0" w:rightChars="0" w:firstLine="0" w:firstLineChars="0"/>
              <w:jc w:val="center"/>
              <w:rPr>
                <w:b/>
              </w:rPr>
            </w:pPr>
            <w:r>
              <w:rPr>
                <w:b/>
                <w:spacing w:val="-7"/>
              </w:rPr>
              <w:t>条款号</w:t>
            </w:r>
          </w:p>
        </w:tc>
        <w:tc>
          <w:tcPr>
            <w:tcW w:w="7371" w:type="dxa"/>
            <w:vAlign w:val="center"/>
          </w:tcPr>
          <w:p w14:paraId="04158B5D">
            <w:pPr>
              <w:pStyle w:val="75"/>
              <w:widowControl/>
              <w:snapToGrid w:val="0"/>
              <w:spacing w:before="46" w:line="240" w:lineRule="auto"/>
              <w:ind w:left="0" w:leftChars="0" w:right="0" w:rightChars="0" w:firstLine="0" w:firstLineChars="0"/>
              <w:jc w:val="center"/>
              <w:rPr>
                <w:b/>
              </w:rPr>
            </w:pPr>
            <w:r>
              <w:rPr>
                <w:b/>
                <w:spacing w:val="-6"/>
              </w:rPr>
              <w:t>评审标准</w:t>
            </w:r>
          </w:p>
        </w:tc>
      </w:tr>
      <w:tr w14:paraId="7D5A1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214" w:type="dxa"/>
            <w:vAlign w:val="center"/>
          </w:tcPr>
          <w:p w14:paraId="19305A6A">
            <w:pPr>
              <w:pStyle w:val="75"/>
              <w:widowControl/>
              <w:snapToGrid w:val="0"/>
              <w:spacing w:before="91"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1</w:t>
            </w:r>
          </w:p>
        </w:tc>
        <w:tc>
          <w:tcPr>
            <w:tcW w:w="1280" w:type="dxa"/>
            <w:vAlign w:val="center"/>
          </w:tcPr>
          <w:p w14:paraId="7FA30746">
            <w:pPr>
              <w:pStyle w:val="75"/>
              <w:widowControl/>
              <w:snapToGrid w:val="0"/>
              <w:spacing w:before="91"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pacing w:val="-3"/>
                <w:sz w:val="21"/>
                <w:szCs w:val="21"/>
              </w:rPr>
              <w:t>项目实施方案</w:t>
            </w:r>
            <w:r>
              <w:rPr>
                <w:rFonts w:hint="eastAsia" w:ascii="仿宋" w:hAnsi="仿宋" w:eastAsia="仿宋" w:cs="仿宋"/>
                <w:spacing w:val="-7"/>
                <w:sz w:val="21"/>
                <w:szCs w:val="21"/>
              </w:rPr>
              <w:t>（</w:t>
            </w:r>
            <w:r>
              <w:rPr>
                <w:rFonts w:hint="eastAsia" w:ascii="仿宋" w:hAnsi="仿宋" w:eastAsia="仿宋" w:cs="仿宋"/>
                <w:spacing w:val="-7"/>
                <w:sz w:val="21"/>
                <w:szCs w:val="21"/>
                <w:lang w:val="en-US" w:eastAsia="zh-CN"/>
              </w:rPr>
              <w:t>3</w:t>
            </w:r>
            <w:r>
              <w:rPr>
                <w:rFonts w:hint="eastAsia" w:ascii="仿宋" w:hAnsi="仿宋" w:eastAsia="仿宋" w:cs="仿宋"/>
                <w:spacing w:val="-7"/>
                <w:sz w:val="21"/>
                <w:szCs w:val="21"/>
              </w:rPr>
              <w:t>0</w:t>
            </w:r>
            <w:r>
              <w:rPr>
                <w:rFonts w:hint="eastAsia" w:ascii="仿宋" w:hAnsi="仿宋" w:eastAsia="仿宋" w:cs="仿宋"/>
                <w:spacing w:val="-56"/>
                <w:sz w:val="21"/>
                <w:szCs w:val="21"/>
              </w:rPr>
              <w:t xml:space="preserve"> </w:t>
            </w:r>
            <w:r>
              <w:rPr>
                <w:rFonts w:hint="eastAsia" w:ascii="仿宋" w:hAnsi="仿宋" w:eastAsia="仿宋" w:cs="仿宋"/>
                <w:spacing w:val="-7"/>
                <w:sz w:val="21"/>
                <w:szCs w:val="21"/>
              </w:rPr>
              <w:t>分）</w:t>
            </w:r>
          </w:p>
        </w:tc>
        <w:tc>
          <w:tcPr>
            <w:tcW w:w="7371" w:type="dxa"/>
            <w:vAlign w:val="center"/>
          </w:tcPr>
          <w:p w14:paraId="0344A570">
            <w:pPr>
              <w:pStyle w:val="75"/>
              <w:widowControl/>
              <w:snapToGrid w:val="0"/>
              <w:spacing w:before="41"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pacing w:val="-1"/>
                <w:sz w:val="21"/>
                <w:szCs w:val="21"/>
              </w:rPr>
              <w:t>根据采购文件提供项目实施方案，包含：</w:t>
            </w:r>
          </w:p>
          <w:p w14:paraId="63FA4140">
            <w:pPr>
              <w:pStyle w:val="75"/>
              <w:widowControl/>
              <w:snapToGrid w:val="0"/>
              <w:spacing w:before="211"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pacing w:val="-1"/>
                <w:sz w:val="21"/>
                <w:szCs w:val="21"/>
              </w:rPr>
              <w:t>①对项目类型背景的理解和认识；</w:t>
            </w:r>
          </w:p>
          <w:p w14:paraId="12FA92B4">
            <w:pPr>
              <w:pStyle w:val="75"/>
              <w:widowControl/>
              <w:snapToGrid w:val="0"/>
              <w:spacing w:before="214"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pacing w:val="-1"/>
                <w:sz w:val="21"/>
                <w:szCs w:val="21"/>
              </w:rPr>
              <w:t>②项目服务的难点及解决方案；</w:t>
            </w:r>
          </w:p>
          <w:p w14:paraId="6A1039C8">
            <w:pPr>
              <w:pStyle w:val="75"/>
              <w:widowControl/>
              <w:snapToGrid w:val="0"/>
              <w:spacing w:before="214"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pacing w:val="-2"/>
                <w:sz w:val="21"/>
                <w:szCs w:val="21"/>
              </w:rPr>
              <w:t>③服务方法及内容；</w:t>
            </w:r>
          </w:p>
          <w:p w14:paraId="5AB590F4">
            <w:pPr>
              <w:pStyle w:val="75"/>
              <w:widowControl/>
              <w:snapToGrid w:val="0"/>
              <w:spacing w:before="214"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pacing w:val="-1"/>
                <w:sz w:val="21"/>
                <w:szCs w:val="21"/>
              </w:rPr>
              <w:t>④服务时间进度安排；</w:t>
            </w:r>
          </w:p>
          <w:p w14:paraId="61D7C98D">
            <w:pPr>
              <w:pStyle w:val="75"/>
              <w:widowControl/>
              <w:snapToGrid w:val="0"/>
              <w:spacing w:before="214"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pacing w:val="-1"/>
                <w:sz w:val="21"/>
                <w:szCs w:val="21"/>
              </w:rPr>
              <w:t>⑤服务质量控制措施内容；</w:t>
            </w:r>
          </w:p>
          <w:p w14:paraId="12487F4B">
            <w:pPr>
              <w:pStyle w:val="75"/>
              <w:widowControl/>
              <w:snapToGrid w:val="0"/>
              <w:spacing w:before="216"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pacing w:val="-1"/>
                <w:sz w:val="21"/>
                <w:szCs w:val="21"/>
              </w:rPr>
              <w:t>内容完整，各个组成部分定位准确，能充分反映出对业务问题的深入理解和解决问题的正确思路，能充分体现建设目标，每项满分</w:t>
            </w:r>
            <w:r>
              <w:rPr>
                <w:rFonts w:hint="eastAsia" w:ascii="仿宋" w:hAnsi="仿宋" w:eastAsia="仿宋" w:cs="仿宋"/>
                <w:spacing w:val="-1"/>
                <w:sz w:val="21"/>
                <w:szCs w:val="21"/>
                <w:lang w:val="en-US" w:eastAsia="zh-CN"/>
              </w:rPr>
              <w:t>6</w:t>
            </w:r>
            <w:r>
              <w:rPr>
                <w:rFonts w:hint="eastAsia" w:ascii="仿宋" w:hAnsi="仿宋" w:eastAsia="仿宋" w:cs="仿宋"/>
                <w:spacing w:val="-1"/>
                <w:sz w:val="21"/>
                <w:szCs w:val="21"/>
              </w:rPr>
              <w:t xml:space="preserve">分。最多得 </w:t>
            </w:r>
            <w:r>
              <w:rPr>
                <w:rFonts w:hint="eastAsia" w:ascii="仿宋" w:hAnsi="仿宋" w:eastAsia="仿宋" w:cs="仿宋"/>
                <w:spacing w:val="-1"/>
                <w:sz w:val="21"/>
                <w:szCs w:val="21"/>
                <w:lang w:val="en-US" w:eastAsia="zh-CN"/>
              </w:rPr>
              <w:t>3</w:t>
            </w:r>
            <w:r>
              <w:rPr>
                <w:rFonts w:hint="eastAsia" w:ascii="仿宋" w:hAnsi="仿宋" w:eastAsia="仿宋" w:cs="仿宋"/>
                <w:spacing w:val="-1"/>
                <w:sz w:val="21"/>
                <w:szCs w:val="21"/>
              </w:rPr>
              <w:t>0 分。</w:t>
            </w:r>
            <w:r>
              <w:rPr>
                <w:rFonts w:hint="eastAsia" w:ascii="仿宋" w:hAnsi="仿宋" w:eastAsia="仿宋" w:cs="仿宋"/>
                <w:spacing w:val="-1"/>
                <w:sz w:val="21"/>
                <w:szCs w:val="21"/>
                <w:lang w:val="en-US" w:eastAsia="zh-CN"/>
              </w:rPr>
              <w:t>每缺少一项内容扣6分，每项内容存在一处缺陷扣4分，扣完为止；(本项所称“缺陷”是指内容缺项、方案非专门针对本项目或不适用本项目特性、套用其他项目内容、涉及的相关规范及标准错误、地点区域错误、内容缺失、只有简单描述无实质性内容、对同一问题前后表述矛盾、存在逻辑漏洞、科学原理或常识错误、不利于本项目目标的实现、现有技术条件下不可能出现的情形等任意一种情形)。</w:t>
            </w:r>
          </w:p>
        </w:tc>
      </w:tr>
      <w:tr w14:paraId="7CB59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1214" w:type="dxa"/>
            <w:vAlign w:val="center"/>
          </w:tcPr>
          <w:p w14:paraId="7903C3A0">
            <w:pPr>
              <w:pStyle w:val="75"/>
              <w:widowControl/>
              <w:snapToGrid w:val="0"/>
              <w:spacing w:before="91"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2</w:t>
            </w:r>
          </w:p>
        </w:tc>
        <w:tc>
          <w:tcPr>
            <w:tcW w:w="1280" w:type="dxa"/>
            <w:vAlign w:val="center"/>
          </w:tcPr>
          <w:p w14:paraId="0399B593">
            <w:pPr>
              <w:pStyle w:val="75"/>
              <w:widowControl/>
              <w:snapToGrid w:val="0"/>
              <w:spacing w:before="91"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pacing w:val="-7"/>
                <w:sz w:val="21"/>
                <w:szCs w:val="21"/>
              </w:rPr>
              <w:t>人员配置（20</w:t>
            </w:r>
          </w:p>
          <w:p w14:paraId="445B7CD6">
            <w:pPr>
              <w:pStyle w:val="75"/>
              <w:widowControl/>
              <w:snapToGrid w:val="0"/>
              <w:spacing w:before="208"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pacing w:val="-7"/>
                <w:sz w:val="21"/>
                <w:szCs w:val="21"/>
              </w:rPr>
              <w:t>分）</w:t>
            </w:r>
          </w:p>
        </w:tc>
        <w:tc>
          <w:tcPr>
            <w:tcW w:w="7371" w:type="dxa"/>
            <w:vAlign w:val="center"/>
          </w:tcPr>
          <w:p w14:paraId="576E5DB0">
            <w:pPr>
              <w:pStyle w:val="75"/>
              <w:widowControl/>
              <w:snapToGrid w:val="0"/>
              <w:spacing w:before="43" w:line="240" w:lineRule="auto"/>
              <w:ind w:left="0" w:leftChars="0" w:right="0" w:rightChars="0" w:firstLine="0" w:firstLineChars="0"/>
              <w:jc w:val="left"/>
              <w:rPr>
                <w:rFonts w:hint="eastAsia" w:ascii="仿宋" w:hAnsi="仿宋" w:eastAsia="仿宋" w:cs="仿宋"/>
                <w:spacing w:val="-13"/>
                <w:sz w:val="21"/>
                <w:szCs w:val="21"/>
                <w:lang w:val="en-US" w:eastAsia="zh-CN"/>
              </w:rPr>
            </w:pPr>
            <w:r>
              <w:rPr>
                <w:rFonts w:hint="eastAsia" w:ascii="仿宋" w:hAnsi="仿宋" w:eastAsia="仿宋" w:cs="仿宋"/>
                <w:spacing w:val="-13"/>
                <w:sz w:val="21"/>
                <w:szCs w:val="21"/>
              </w:rPr>
              <w:t>供应商针对本项目配置人员</w:t>
            </w:r>
            <w:r>
              <w:rPr>
                <w:rFonts w:hint="eastAsia" w:ascii="仿宋" w:hAnsi="仿宋" w:eastAsia="仿宋" w:cs="仿宋"/>
                <w:spacing w:val="-13"/>
                <w:sz w:val="21"/>
                <w:szCs w:val="21"/>
                <w:lang w:eastAsia="zh-CN"/>
              </w:rPr>
              <w:t>：</w:t>
            </w:r>
            <w:r>
              <w:rPr>
                <w:rFonts w:hint="eastAsia" w:ascii="仿宋" w:hAnsi="仿宋" w:eastAsia="仿宋" w:cs="仿宋"/>
                <w:spacing w:val="-13"/>
                <w:sz w:val="21"/>
                <w:szCs w:val="21"/>
                <w:lang w:val="en-US" w:eastAsia="zh-CN"/>
              </w:rPr>
              <w:t>1、主厨1人、帮厨1人、食材清洗分拣人员2人；</w:t>
            </w:r>
          </w:p>
          <w:p w14:paraId="73CD102D">
            <w:pPr>
              <w:pStyle w:val="75"/>
              <w:widowControl/>
              <w:snapToGrid w:val="0"/>
              <w:spacing w:before="43" w:line="240" w:lineRule="auto"/>
              <w:ind w:left="0" w:leftChars="0" w:right="0" w:rightChars="0" w:firstLine="0" w:firstLineChars="0"/>
              <w:jc w:val="left"/>
              <w:rPr>
                <w:rFonts w:hint="eastAsia" w:ascii="仿宋" w:hAnsi="仿宋" w:eastAsia="仿宋" w:cs="仿宋"/>
                <w:spacing w:val="-13"/>
                <w:sz w:val="21"/>
                <w:szCs w:val="21"/>
                <w:lang w:val="en-US" w:eastAsia="zh-CN"/>
              </w:rPr>
            </w:pPr>
            <w:r>
              <w:rPr>
                <w:rFonts w:hint="eastAsia" w:ascii="仿宋" w:hAnsi="仿宋" w:eastAsia="仿宋" w:cs="仿宋"/>
                <w:spacing w:val="-13"/>
                <w:sz w:val="21"/>
                <w:szCs w:val="21"/>
                <w:lang w:val="en-US" w:eastAsia="zh-CN"/>
              </w:rPr>
              <w:t>2、护理人员3人，需具备养老护理相关从业经验，优先持有养老护理员职业资格证；</w:t>
            </w:r>
          </w:p>
          <w:p w14:paraId="3936F895">
            <w:pPr>
              <w:pStyle w:val="75"/>
              <w:widowControl/>
              <w:snapToGrid w:val="0"/>
              <w:spacing w:before="43" w:line="240" w:lineRule="auto"/>
              <w:ind w:left="0" w:leftChars="0" w:right="0" w:rightChars="0" w:firstLine="0" w:firstLineChars="0"/>
              <w:jc w:val="left"/>
              <w:rPr>
                <w:rFonts w:hint="eastAsia" w:ascii="仿宋" w:hAnsi="仿宋" w:eastAsia="仿宋" w:cs="仿宋"/>
                <w:spacing w:val="-13"/>
                <w:sz w:val="21"/>
                <w:szCs w:val="21"/>
                <w:lang w:val="en-US" w:eastAsia="zh-CN"/>
              </w:rPr>
            </w:pPr>
            <w:r>
              <w:rPr>
                <w:rFonts w:hint="eastAsia" w:ascii="仿宋" w:hAnsi="仿宋" w:eastAsia="仿宋" w:cs="仿宋"/>
                <w:spacing w:val="-13"/>
                <w:sz w:val="21"/>
                <w:szCs w:val="21"/>
                <w:lang w:val="en-US" w:eastAsia="zh-CN"/>
              </w:rPr>
              <w:t>3、保安人员2人，24小时轮班倒；</w:t>
            </w:r>
          </w:p>
          <w:p w14:paraId="09087FBF">
            <w:pPr>
              <w:pStyle w:val="75"/>
              <w:widowControl/>
              <w:snapToGrid w:val="0"/>
              <w:spacing w:before="43" w:line="240" w:lineRule="auto"/>
              <w:ind w:left="0" w:leftChars="0" w:right="0" w:rightChars="0" w:firstLine="0" w:firstLineChars="0"/>
              <w:jc w:val="left"/>
              <w:rPr>
                <w:rFonts w:hint="eastAsia" w:ascii="仿宋" w:hAnsi="仿宋" w:eastAsia="仿宋" w:cs="仿宋"/>
                <w:spacing w:val="-13"/>
                <w:sz w:val="21"/>
                <w:szCs w:val="21"/>
                <w:lang w:val="en-US" w:eastAsia="zh-CN"/>
              </w:rPr>
            </w:pPr>
            <w:r>
              <w:rPr>
                <w:rFonts w:hint="eastAsia" w:ascii="仿宋" w:hAnsi="仿宋" w:eastAsia="仿宋" w:cs="仿宋"/>
                <w:spacing w:val="-13"/>
                <w:sz w:val="21"/>
                <w:szCs w:val="21"/>
                <w:lang w:val="en-US" w:eastAsia="zh-CN"/>
              </w:rPr>
              <w:t>4、保洁人员2人；</w:t>
            </w:r>
          </w:p>
          <w:p w14:paraId="017BC933">
            <w:pPr>
              <w:pStyle w:val="75"/>
              <w:widowControl/>
              <w:snapToGrid w:val="0"/>
              <w:spacing w:before="43" w:line="240" w:lineRule="auto"/>
              <w:ind w:left="0" w:leftChars="0" w:right="0" w:rightChars="0" w:firstLine="0" w:firstLineChars="0"/>
              <w:jc w:val="left"/>
              <w:rPr>
                <w:rFonts w:hint="default" w:ascii="仿宋" w:hAnsi="仿宋" w:eastAsia="仿宋" w:cs="仿宋"/>
                <w:sz w:val="21"/>
                <w:szCs w:val="21"/>
                <w:lang w:val="en-US" w:eastAsia="zh-CN"/>
              </w:rPr>
            </w:pPr>
            <w:r>
              <w:rPr>
                <w:rFonts w:hint="default" w:ascii="仿宋" w:hAnsi="仿宋" w:eastAsia="仿宋" w:cs="仿宋"/>
                <w:spacing w:val="-13"/>
                <w:sz w:val="21"/>
                <w:szCs w:val="21"/>
              </w:rPr>
              <w:t>满足以上要求，</w:t>
            </w:r>
            <w:r>
              <w:rPr>
                <w:rFonts w:hint="eastAsia" w:ascii="仿宋" w:hAnsi="仿宋" w:eastAsia="仿宋" w:cs="仿宋"/>
                <w:spacing w:val="-15"/>
                <w:sz w:val="21"/>
                <w:szCs w:val="21"/>
              </w:rPr>
              <w:t>得基本分</w:t>
            </w:r>
            <w:r>
              <w:rPr>
                <w:rFonts w:hint="default" w:ascii="仿宋" w:hAnsi="仿宋" w:eastAsia="仿宋" w:cs="仿宋"/>
                <w:spacing w:val="-15"/>
                <w:sz w:val="21"/>
                <w:szCs w:val="21"/>
              </w:rPr>
              <w:t>10</w:t>
            </w:r>
            <w:r>
              <w:rPr>
                <w:rFonts w:hint="eastAsia" w:ascii="仿宋" w:hAnsi="仿宋" w:eastAsia="仿宋" w:cs="仿宋"/>
                <w:spacing w:val="-15"/>
                <w:sz w:val="21"/>
                <w:szCs w:val="21"/>
              </w:rPr>
              <w:t xml:space="preserve"> 分；普通服务人员每多提供 1 人得 1 分，最多得</w:t>
            </w:r>
            <w:r>
              <w:rPr>
                <w:rFonts w:hint="default" w:ascii="仿宋" w:hAnsi="仿宋" w:eastAsia="仿宋" w:cs="仿宋"/>
                <w:spacing w:val="-15"/>
                <w:sz w:val="21"/>
                <w:szCs w:val="21"/>
              </w:rPr>
              <w:t>4</w:t>
            </w:r>
            <w:r>
              <w:rPr>
                <w:rFonts w:hint="eastAsia" w:ascii="仿宋" w:hAnsi="仿宋" w:eastAsia="仿宋" w:cs="仿宋"/>
                <w:spacing w:val="-15"/>
                <w:sz w:val="21"/>
                <w:szCs w:val="21"/>
              </w:rPr>
              <w:t xml:space="preserve"> 分；专业技术人员（有社会工作者职业资格证书）每多提供 1 名得 </w:t>
            </w:r>
            <w:r>
              <w:rPr>
                <w:rFonts w:hint="default" w:ascii="仿宋" w:hAnsi="仿宋" w:eastAsia="仿宋" w:cs="仿宋"/>
                <w:spacing w:val="-15"/>
                <w:sz w:val="21"/>
                <w:szCs w:val="21"/>
              </w:rPr>
              <w:t>2</w:t>
            </w:r>
            <w:r>
              <w:rPr>
                <w:rFonts w:hint="eastAsia" w:ascii="仿宋" w:hAnsi="仿宋" w:eastAsia="仿宋" w:cs="仿宋"/>
                <w:spacing w:val="-15"/>
                <w:sz w:val="21"/>
                <w:szCs w:val="21"/>
              </w:rPr>
              <w:t>分，最多得</w:t>
            </w:r>
            <w:r>
              <w:rPr>
                <w:rFonts w:hint="default" w:ascii="仿宋" w:hAnsi="仿宋" w:eastAsia="仿宋" w:cs="仿宋"/>
                <w:spacing w:val="-15"/>
                <w:sz w:val="21"/>
                <w:szCs w:val="21"/>
              </w:rPr>
              <w:t>6</w:t>
            </w:r>
            <w:r>
              <w:rPr>
                <w:rFonts w:hint="eastAsia" w:ascii="仿宋" w:hAnsi="仿宋" w:eastAsia="仿宋" w:cs="仿宋"/>
                <w:spacing w:val="-15"/>
                <w:sz w:val="21"/>
                <w:szCs w:val="21"/>
              </w:rPr>
              <w:t>分</w:t>
            </w:r>
            <w:r>
              <w:rPr>
                <w:rFonts w:hint="eastAsia" w:ascii="仿宋" w:hAnsi="仿宋" w:eastAsia="仿宋" w:cs="仿宋"/>
                <w:spacing w:val="-15"/>
                <w:sz w:val="21"/>
                <w:szCs w:val="21"/>
                <w:lang w:eastAsia="zh-CN"/>
              </w:rPr>
              <w:t>。</w:t>
            </w:r>
            <w:r>
              <w:rPr>
                <w:rFonts w:hint="eastAsia" w:ascii="仿宋" w:hAnsi="仿宋" w:eastAsia="仿宋" w:cs="仿宋"/>
                <w:spacing w:val="-15"/>
                <w:sz w:val="21"/>
                <w:szCs w:val="21"/>
                <w:lang w:val="en-US" w:eastAsia="zh-CN"/>
              </w:rPr>
              <w:t>备注：需提供身份证扫描件、劳动合同或社保证明，相关证件等，不提供不得分。</w:t>
            </w:r>
          </w:p>
        </w:tc>
      </w:tr>
      <w:tr w14:paraId="769B7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214" w:type="dxa"/>
            <w:vAlign w:val="center"/>
          </w:tcPr>
          <w:p w14:paraId="34087A33">
            <w:pPr>
              <w:pStyle w:val="75"/>
              <w:widowControl/>
              <w:snapToGrid w:val="0"/>
              <w:spacing w:before="91"/>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3</w:t>
            </w:r>
          </w:p>
        </w:tc>
        <w:tc>
          <w:tcPr>
            <w:tcW w:w="1280" w:type="dxa"/>
            <w:vAlign w:val="center"/>
          </w:tcPr>
          <w:p w14:paraId="3314DDA6">
            <w:pPr>
              <w:pStyle w:val="75"/>
              <w:widowControl/>
              <w:snapToGrid w:val="0"/>
              <w:spacing w:before="91" w:line="240" w:lineRule="auto"/>
              <w:ind w:left="0" w:leftChars="0" w:right="0" w:rightChars="0" w:firstLine="0" w:firstLineChars="0"/>
              <w:jc w:val="center"/>
              <w:rPr>
                <w:rFonts w:hint="eastAsia" w:ascii="仿宋" w:hAnsi="仿宋" w:eastAsia="仿宋" w:cs="仿宋"/>
                <w:sz w:val="21"/>
                <w:szCs w:val="21"/>
                <w:lang w:eastAsia="zh-CN"/>
              </w:rPr>
            </w:pPr>
            <w:r>
              <w:rPr>
                <w:rFonts w:hint="eastAsia" w:ascii="仿宋" w:hAnsi="仿宋" w:eastAsia="仿宋" w:cs="仿宋"/>
                <w:spacing w:val="-3"/>
                <w:sz w:val="21"/>
                <w:szCs w:val="21"/>
                <w:lang w:val="en-US" w:eastAsia="zh-CN"/>
              </w:rPr>
              <w:t>管理制度</w:t>
            </w:r>
            <w:r>
              <w:rPr>
                <w:rFonts w:hint="eastAsia" w:ascii="仿宋" w:hAnsi="仿宋" w:eastAsia="仿宋" w:cs="仿宋"/>
                <w:spacing w:val="-3"/>
                <w:sz w:val="21"/>
                <w:szCs w:val="21"/>
              </w:rPr>
              <w:t>（</w:t>
            </w:r>
            <w:r>
              <w:rPr>
                <w:rFonts w:hint="eastAsia" w:ascii="仿宋" w:hAnsi="仿宋" w:eastAsia="仿宋" w:cs="仿宋"/>
                <w:spacing w:val="-3"/>
                <w:sz w:val="21"/>
                <w:szCs w:val="21"/>
                <w:lang w:val="en-US" w:eastAsia="zh-CN"/>
              </w:rPr>
              <w:t>8</w:t>
            </w:r>
          </w:p>
          <w:p w14:paraId="4A6753FF">
            <w:pPr>
              <w:pStyle w:val="75"/>
              <w:widowControl/>
              <w:snapToGrid w:val="0"/>
              <w:spacing w:before="207"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pacing w:val="-7"/>
                <w:sz w:val="21"/>
                <w:szCs w:val="21"/>
              </w:rPr>
              <w:t>分）</w:t>
            </w:r>
          </w:p>
        </w:tc>
        <w:tc>
          <w:tcPr>
            <w:tcW w:w="7371" w:type="dxa"/>
            <w:vAlign w:val="center"/>
          </w:tcPr>
          <w:p w14:paraId="02C748E4">
            <w:pPr>
              <w:pStyle w:val="75"/>
              <w:widowControl/>
              <w:snapToGrid w:val="0"/>
              <w:spacing w:before="43" w:line="240" w:lineRule="auto"/>
              <w:ind w:left="0" w:leftChars="0" w:right="0" w:rightChars="0" w:firstLine="0" w:firstLineChars="0"/>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针对本项目采购需求，特制定管理制度：</w:t>
            </w:r>
            <w:r>
              <w:rPr>
                <w:rFonts w:hint="eastAsia" w:ascii="仿宋" w:hAnsi="仿宋" w:eastAsia="仿宋" w:cs="仿宋"/>
                <w:spacing w:val="-1"/>
                <w:sz w:val="21"/>
                <w:szCs w:val="21"/>
              </w:rPr>
              <w:t>①</w:t>
            </w:r>
            <w:r>
              <w:rPr>
                <w:rFonts w:hint="eastAsia" w:ascii="仿宋" w:hAnsi="仿宋" w:eastAsia="仿宋" w:cs="仿宋"/>
                <w:spacing w:val="-1"/>
                <w:sz w:val="21"/>
                <w:szCs w:val="21"/>
                <w:lang w:val="en-US" w:eastAsia="zh-CN"/>
              </w:rPr>
              <w:t>考勤打卡制度；</w:t>
            </w:r>
            <w:r>
              <w:rPr>
                <w:rFonts w:hint="eastAsia" w:ascii="仿宋" w:hAnsi="仿宋" w:eastAsia="仿宋" w:cs="仿宋"/>
                <w:spacing w:val="-1"/>
                <w:sz w:val="21"/>
                <w:szCs w:val="21"/>
              </w:rPr>
              <w:t>②</w:t>
            </w:r>
            <w:r>
              <w:rPr>
                <w:rFonts w:hint="eastAsia" w:ascii="仿宋" w:hAnsi="仿宋" w:eastAsia="仿宋" w:cs="仿宋"/>
                <w:spacing w:val="-1"/>
                <w:sz w:val="21"/>
                <w:szCs w:val="21"/>
                <w:lang w:val="en-US" w:eastAsia="zh-CN"/>
              </w:rPr>
              <w:t>财务管理制度；</w:t>
            </w:r>
            <w:r>
              <w:rPr>
                <w:rFonts w:hint="eastAsia" w:ascii="仿宋" w:hAnsi="仿宋" w:eastAsia="仿宋" w:cs="仿宋"/>
                <w:spacing w:val="-2"/>
                <w:sz w:val="21"/>
                <w:szCs w:val="21"/>
              </w:rPr>
              <w:t>③</w:t>
            </w:r>
            <w:r>
              <w:rPr>
                <w:rFonts w:hint="eastAsia" w:ascii="仿宋" w:hAnsi="仿宋" w:eastAsia="仿宋" w:cs="仿宋"/>
                <w:spacing w:val="-2"/>
                <w:sz w:val="21"/>
                <w:szCs w:val="21"/>
                <w:lang w:val="en-US" w:eastAsia="zh-CN"/>
              </w:rPr>
              <w:t>卫生管理制度；</w:t>
            </w:r>
            <w:r>
              <w:rPr>
                <w:rFonts w:hint="eastAsia" w:ascii="仿宋" w:hAnsi="仿宋" w:eastAsia="仿宋" w:cs="仿宋"/>
                <w:spacing w:val="-1"/>
                <w:sz w:val="21"/>
                <w:szCs w:val="21"/>
              </w:rPr>
              <w:t>④</w:t>
            </w:r>
            <w:r>
              <w:rPr>
                <w:rFonts w:hint="eastAsia" w:ascii="仿宋" w:hAnsi="仿宋" w:eastAsia="仿宋" w:cs="仿宋"/>
                <w:spacing w:val="-1"/>
                <w:sz w:val="21"/>
                <w:szCs w:val="21"/>
                <w:lang w:val="en-US" w:eastAsia="zh-CN"/>
              </w:rPr>
              <w:t>人员进出登记管理制度。</w:t>
            </w:r>
            <w:r>
              <w:rPr>
                <w:rFonts w:hint="eastAsia" w:ascii="仿宋" w:hAnsi="仿宋" w:eastAsia="仿宋" w:cs="仿宋"/>
                <w:spacing w:val="-5"/>
                <w:sz w:val="21"/>
                <w:szCs w:val="21"/>
                <w:lang w:val="en-US" w:eastAsia="zh-CN"/>
              </w:rPr>
              <w:t>每提供1项得2分，</w:t>
            </w:r>
            <w:r>
              <w:rPr>
                <w:rFonts w:hint="eastAsia" w:ascii="仿宋" w:hAnsi="仿宋" w:eastAsia="仿宋" w:cs="仿宋"/>
                <w:spacing w:val="-5"/>
                <w:sz w:val="21"/>
                <w:szCs w:val="21"/>
              </w:rPr>
              <w:t>满分得</w:t>
            </w:r>
            <w:r>
              <w:rPr>
                <w:rFonts w:hint="eastAsia" w:ascii="仿宋" w:hAnsi="仿宋" w:eastAsia="仿宋" w:cs="仿宋"/>
                <w:spacing w:val="-28"/>
                <w:sz w:val="21"/>
                <w:szCs w:val="21"/>
              </w:rPr>
              <w:t xml:space="preserve"> </w:t>
            </w:r>
            <w:r>
              <w:rPr>
                <w:rFonts w:hint="eastAsia" w:ascii="仿宋" w:hAnsi="仿宋" w:eastAsia="仿宋" w:cs="仿宋"/>
                <w:spacing w:val="-28"/>
                <w:sz w:val="21"/>
                <w:szCs w:val="21"/>
                <w:lang w:val="en-US" w:eastAsia="zh-CN"/>
              </w:rPr>
              <w:t>8</w:t>
            </w:r>
            <w:r>
              <w:rPr>
                <w:rFonts w:hint="eastAsia" w:ascii="仿宋" w:hAnsi="仿宋" w:eastAsia="仿宋" w:cs="仿宋"/>
                <w:spacing w:val="-7"/>
                <w:sz w:val="21"/>
                <w:szCs w:val="21"/>
              </w:rPr>
              <w:t>分</w:t>
            </w:r>
            <w:r>
              <w:rPr>
                <w:rFonts w:hint="eastAsia" w:ascii="仿宋" w:hAnsi="仿宋" w:eastAsia="仿宋" w:cs="仿宋"/>
                <w:spacing w:val="-7"/>
                <w:sz w:val="21"/>
                <w:szCs w:val="21"/>
                <w:lang w:eastAsia="zh-CN"/>
              </w:rPr>
              <w:t>，</w:t>
            </w:r>
            <w:r>
              <w:rPr>
                <w:rFonts w:hint="eastAsia" w:ascii="仿宋" w:hAnsi="仿宋" w:eastAsia="仿宋" w:cs="仿宋"/>
                <w:spacing w:val="-7"/>
                <w:sz w:val="21"/>
                <w:szCs w:val="21"/>
                <w:lang w:val="en-US" w:eastAsia="zh-CN"/>
              </w:rPr>
              <w:t>不提供不得分。</w:t>
            </w:r>
          </w:p>
        </w:tc>
      </w:tr>
      <w:tr w14:paraId="770AC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jc w:val="center"/>
        </w:trPr>
        <w:tc>
          <w:tcPr>
            <w:tcW w:w="1214" w:type="dxa"/>
            <w:vAlign w:val="center"/>
          </w:tcPr>
          <w:p w14:paraId="45FD676B">
            <w:pPr>
              <w:pStyle w:val="75"/>
              <w:widowControl/>
              <w:snapToGrid w:val="0"/>
              <w:spacing w:before="91"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4</w:t>
            </w:r>
          </w:p>
        </w:tc>
        <w:tc>
          <w:tcPr>
            <w:tcW w:w="1280" w:type="dxa"/>
            <w:vAlign w:val="center"/>
          </w:tcPr>
          <w:p w14:paraId="3738A29C">
            <w:pPr>
              <w:pStyle w:val="75"/>
              <w:widowControl/>
              <w:snapToGrid w:val="0"/>
              <w:spacing w:before="315"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pacing w:val="-7"/>
                <w:sz w:val="21"/>
                <w:szCs w:val="21"/>
              </w:rPr>
              <w:t>售后服务的承诺（1</w:t>
            </w:r>
            <w:r>
              <w:rPr>
                <w:rFonts w:hint="eastAsia" w:ascii="仿宋" w:hAnsi="仿宋" w:eastAsia="仿宋" w:cs="仿宋"/>
                <w:spacing w:val="-7"/>
                <w:sz w:val="21"/>
                <w:szCs w:val="21"/>
                <w:lang w:val="en-US" w:eastAsia="zh-CN"/>
              </w:rPr>
              <w:t>2</w:t>
            </w:r>
            <w:r>
              <w:rPr>
                <w:rFonts w:hint="eastAsia" w:ascii="仿宋" w:hAnsi="仿宋" w:eastAsia="仿宋" w:cs="仿宋"/>
                <w:spacing w:val="-59"/>
                <w:sz w:val="21"/>
                <w:szCs w:val="21"/>
              </w:rPr>
              <w:t xml:space="preserve"> </w:t>
            </w:r>
            <w:r>
              <w:rPr>
                <w:rFonts w:hint="eastAsia" w:ascii="仿宋" w:hAnsi="仿宋" w:eastAsia="仿宋" w:cs="仿宋"/>
                <w:spacing w:val="-7"/>
                <w:sz w:val="21"/>
                <w:szCs w:val="21"/>
              </w:rPr>
              <w:t>分）</w:t>
            </w:r>
          </w:p>
        </w:tc>
        <w:tc>
          <w:tcPr>
            <w:tcW w:w="7371" w:type="dxa"/>
            <w:vAlign w:val="center"/>
          </w:tcPr>
          <w:p w14:paraId="382E1789">
            <w:pPr>
              <w:pStyle w:val="75"/>
              <w:widowControl/>
              <w:snapToGrid w:val="0"/>
              <w:spacing w:before="44" w:line="240" w:lineRule="auto"/>
              <w:ind w:left="0" w:leftChars="0" w:right="0" w:rightChars="0" w:firstLine="0" w:firstLineChars="0"/>
              <w:jc w:val="left"/>
              <w:rPr>
                <w:rFonts w:hint="default" w:ascii="仿宋" w:hAnsi="仿宋" w:eastAsia="仿宋" w:cs="仿宋"/>
                <w:sz w:val="21"/>
                <w:szCs w:val="21"/>
                <w:lang w:val="en-US" w:eastAsia="zh-CN"/>
              </w:rPr>
            </w:pPr>
            <w:r>
              <w:rPr>
                <w:rFonts w:hint="eastAsia" w:ascii="仿宋" w:hAnsi="仿宋" w:eastAsia="仿宋" w:cs="仿宋"/>
                <w:spacing w:val="-12"/>
                <w:sz w:val="21"/>
                <w:szCs w:val="21"/>
              </w:rPr>
              <w:t>供应商提供具体详细的服务体系和服务内容</w:t>
            </w:r>
            <w:r>
              <w:rPr>
                <w:rFonts w:hint="eastAsia" w:ascii="仿宋" w:hAnsi="仿宋" w:eastAsia="仿宋" w:cs="仿宋"/>
                <w:spacing w:val="-12"/>
                <w:sz w:val="21"/>
                <w:szCs w:val="21"/>
                <w:lang w:eastAsia="zh-CN"/>
              </w:rPr>
              <w:t>：</w:t>
            </w:r>
            <w:r>
              <w:rPr>
                <w:rFonts w:hint="eastAsia" w:ascii="仿宋" w:hAnsi="仿宋" w:eastAsia="仿宋" w:cs="仿宋"/>
                <w:spacing w:val="-1"/>
                <w:sz w:val="21"/>
                <w:szCs w:val="21"/>
              </w:rPr>
              <w:t>①</w:t>
            </w:r>
            <w:r>
              <w:rPr>
                <w:rFonts w:hint="eastAsia" w:ascii="仿宋" w:hAnsi="仿宋" w:eastAsia="仿宋" w:cs="仿宋"/>
                <w:spacing w:val="-12"/>
                <w:sz w:val="21"/>
                <w:szCs w:val="21"/>
              </w:rPr>
              <w:t>服</w:t>
            </w:r>
            <w:r>
              <w:rPr>
                <w:rFonts w:hint="eastAsia" w:ascii="仿宋" w:hAnsi="仿宋" w:eastAsia="仿宋" w:cs="仿宋"/>
                <w:spacing w:val="-5"/>
                <w:sz w:val="21"/>
                <w:szCs w:val="21"/>
              </w:rPr>
              <w:t>务标准</w:t>
            </w:r>
            <w:r>
              <w:rPr>
                <w:rFonts w:hint="eastAsia" w:ascii="仿宋" w:hAnsi="仿宋" w:eastAsia="仿宋" w:cs="仿宋"/>
                <w:spacing w:val="-5"/>
                <w:sz w:val="21"/>
                <w:szCs w:val="21"/>
                <w:lang w:eastAsia="zh-CN"/>
              </w:rPr>
              <w:t>；</w:t>
            </w:r>
            <w:r>
              <w:rPr>
                <w:rFonts w:hint="eastAsia" w:ascii="仿宋" w:hAnsi="仿宋" w:eastAsia="仿宋" w:cs="仿宋"/>
                <w:spacing w:val="-1"/>
                <w:sz w:val="21"/>
                <w:szCs w:val="21"/>
              </w:rPr>
              <w:t>②</w:t>
            </w:r>
            <w:r>
              <w:rPr>
                <w:rFonts w:hint="eastAsia" w:ascii="仿宋" w:hAnsi="仿宋" w:eastAsia="仿宋" w:cs="仿宋"/>
                <w:spacing w:val="-5"/>
                <w:sz w:val="21"/>
                <w:szCs w:val="21"/>
              </w:rPr>
              <w:t>人员配备</w:t>
            </w:r>
            <w:r>
              <w:rPr>
                <w:rFonts w:hint="eastAsia" w:ascii="仿宋" w:hAnsi="仿宋" w:eastAsia="仿宋" w:cs="仿宋"/>
                <w:spacing w:val="-5"/>
                <w:sz w:val="21"/>
                <w:szCs w:val="21"/>
                <w:lang w:eastAsia="zh-CN"/>
              </w:rPr>
              <w:t>；</w:t>
            </w:r>
            <w:r>
              <w:rPr>
                <w:rFonts w:hint="eastAsia" w:ascii="仿宋" w:hAnsi="仿宋" w:eastAsia="仿宋" w:cs="仿宋"/>
                <w:spacing w:val="-2"/>
                <w:sz w:val="21"/>
                <w:szCs w:val="21"/>
              </w:rPr>
              <w:t>③</w:t>
            </w:r>
            <w:r>
              <w:rPr>
                <w:rFonts w:hint="eastAsia" w:ascii="仿宋" w:hAnsi="仿宋" w:eastAsia="仿宋" w:cs="仿宋"/>
                <w:spacing w:val="-5"/>
                <w:sz w:val="21"/>
                <w:szCs w:val="21"/>
              </w:rPr>
              <w:t>响应</w:t>
            </w:r>
            <w:r>
              <w:rPr>
                <w:rFonts w:hint="eastAsia" w:ascii="仿宋" w:hAnsi="仿宋" w:eastAsia="仿宋" w:cs="仿宋"/>
                <w:spacing w:val="-5"/>
                <w:sz w:val="21"/>
                <w:szCs w:val="21"/>
                <w:lang w:val="en-US" w:eastAsia="zh-CN"/>
              </w:rPr>
              <w:t>时间（确保24小时有人管理节假日全员服从排班值守，保障节假日期间福利机构正常运转。）；</w:t>
            </w:r>
            <w:r>
              <w:rPr>
                <w:rFonts w:hint="eastAsia" w:ascii="仿宋" w:hAnsi="仿宋" w:eastAsia="仿宋" w:cs="仿宋"/>
                <w:spacing w:val="-1"/>
                <w:sz w:val="21"/>
                <w:szCs w:val="21"/>
              </w:rPr>
              <w:t>④</w:t>
            </w:r>
            <w:r>
              <w:rPr>
                <w:rFonts w:hint="eastAsia" w:ascii="仿宋" w:hAnsi="仿宋" w:eastAsia="仿宋" w:cs="仿宋"/>
                <w:spacing w:val="-5"/>
                <w:sz w:val="21"/>
                <w:szCs w:val="21"/>
              </w:rPr>
              <w:t>保障措施等；</w:t>
            </w:r>
            <w:r>
              <w:rPr>
                <w:rFonts w:hint="eastAsia" w:ascii="仿宋" w:hAnsi="仿宋" w:eastAsia="仿宋" w:cs="仿宋"/>
                <w:spacing w:val="-5"/>
                <w:sz w:val="21"/>
                <w:szCs w:val="21"/>
                <w:lang w:val="en-US" w:eastAsia="zh-CN"/>
              </w:rPr>
              <w:t>每提供1项得3分，</w:t>
            </w:r>
            <w:r>
              <w:rPr>
                <w:rFonts w:hint="eastAsia" w:ascii="仿宋" w:hAnsi="仿宋" w:eastAsia="仿宋" w:cs="仿宋"/>
                <w:spacing w:val="-5"/>
                <w:sz w:val="21"/>
                <w:szCs w:val="21"/>
              </w:rPr>
              <w:t>满分得</w:t>
            </w:r>
            <w:r>
              <w:rPr>
                <w:rFonts w:hint="eastAsia" w:ascii="仿宋" w:hAnsi="仿宋" w:eastAsia="仿宋" w:cs="仿宋"/>
                <w:spacing w:val="-28"/>
                <w:sz w:val="21"/>
                <w:szCs w:val="21"/>
              </w:rPr>
              <w:t xml:space="preserve"> </w:t>
            </w:r>
            <w:r>
              <w:rPr>
                <w:rFonts w:hint="eastAsia" w:ascii="仿宋" w:hAnsi="仿宋" w:eastAsia="仿宋" w:cs="仿宋"/>
                <w:spacing w:val="-5"/>
                <w:sz w:val="21"/>
                <w:szCs w:val="21"/>
              </w:rPr>
              <w:t>1</w:t>
            </w:r>
            <w:r>
              <w:rPr>
                <w:rFonts w:hint="eastAsia" w:ascii="仿宋" w:hAnsi="仿宋" w:eastAsia="仿宋" w:cs="仿宋"/>
                <w:spacing w:val="-5"/>
                <w:sz w:val="21"/>
                <w:szCs w:val="21"/>
                <w:lang w:val="en-US" w:eastAsia="zh-CN"/>
              </w:rPr>
              <w:t>2</w:t>
            </w:r>
            <w:r>
              <w:rPr>
                <w:rFonts w:hint="eastAsia" w:ascii="仿宋" w:hAnsi="仿宋" w:eastAsia="仿宋" w:cs="仿宋"/>
                <w:spacing w:val="-7"/>
                <w:sz w:val="21"/>
                <w:szCs w:val="21"/>
              </w:rPr>
              <w:t>分</w:t>
            </w:r>
            <w:r>
              <w:rPr>
                <w:rFonts w:hint="eastAsia" w:ascii="仿宋" w:hAnsi="仿宋" w:eastAsia="仿宋" w:cs="仿宋"/>
                <w:spacing w:val="-7"/>
                <w:sz w:val="21"/>
                <w:szCs w:val="21"/>
                <w:lang w:eastAsia="zh-CN"/>
              </w:rPr>
              <w:t>，</w:t>
            </w:r>
            <w:r>
              <w:rPr>
                <w:rFonts w:hint="eastAsia" w:ascii="仿宋" w:hAnsi="仿宋" w:eastAsia="仿宋" w:cs="仿宋"/>
                <w:spacing w:val="-7"/>
                <w:sz w:val="21"/>
                <w:szCs w:val="21"/>
                <w:lang w:val="en-US" w:eastAsia="zh-CN"/>
              </w:rPr>
              <w:t>不提供不得分。</w:t>
            </w:r>
          </w:p>
        </w:tc>
      </w:tr>
      <w:tr w14:paraId="77174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214" w:type="dxa"/>
            <w:vAlign w:val="center"/>
          </w:tcPr>
          <w:p w14:paraId="379F8090">
            <w:pPr>
              <w:pStyle w:val="75"/>
              <w:widowControl/>
              <w:snapToGrid w:val="0"/>
              <w:spacing w:before="91"/>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5</w:t>
            </w:r>
          </w:p>
        </w:tc>
        <w:tc>
          <w:tcPr>
            <w:tcW w:w="1280" w:type="dxa"/>
            <w:vAlign w:val="center"/>
          </w:tcPr>
          <w:p w14:paraId="26B86E4E">
            <w:pPr>
              <w:pStyle w:val="75"/>
              <w:widowControl/>
              <w:snapToGrid w:val="0"/>
              <w:spacing w:before="326" w:line="240" w:lineRule="auto"/>
              <w:ind w:left="0" w:leftChars="0" w:right="0" w:rightChars="0" w:firstLine="0" w:firstLineChars="0"/>
              <w:jc w:val="center"/>
              <w:rPr>
                <w:rFonts w:hint="eastAsia" w:ascii="仿宋" w:hAnsi="仿宋" w:eastAsia="仿宋" w:cs="仿宋"/>
                <w:sz w:val="21"/>
                <w:szCs w:val="21"/>
                <w:lang w:eastAsia="zh-CN"/>
              </w:rPr>
            </w:pPr>
            <w:r>
              <w:rPr>
                <w:rFonts w:hint="eastAsia" w:ascii="仿宋" w:hAnsi="仿宋" w:eastAsia="仿宋" w:cs="仿宋"/>
                <w:spacing w:val="-6"/>
                <w:sz w:val="21"/>
                <w:szCs w:val="21"/>
              </w:rPr>
              <w:t>应急预案（1</w:t>
            </w:r>
            <w:r>
              <w:rPr>
                <w:rFonts w:hint="eastAsia" w:ascii="仿宋" w:hAnsi="仿宋" w:eastAsia="仿宋" w:cs="仿宋"/>
                <w:spacing w:val="-6"/>
                <w:sz w:val="21"/>
                <w:szCs w:val="21"/>
                <w:lang w:val="en-US" w:eastAsia="zh-CN"/>
              </w:rPr>
              <w:t>8</w:t>
            </w:r>
          </w:p>
          <w:p w14:paraId="405EB42A">
            <w:pPr>
              <w:pStyle w:val="75"/>
              <w:widowControl/>
              <w:snapToGrid w:val="0"/>
              <w:spacing w:before="209"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pacing w:val="-7"/>
                <w:sz w:val="21"/>
                <w:szCs w:val="21"/>
              </w:rPr>
              <w:t>分）</w:t>
            </w:r>
          </w:p>
        </w:tc>
        <w:tc>
          <w:tcPr>
            <w:tcW w:w="7371" w:type="dxa"/>
            <w:vAlign w:val="center"/>
          </w:tcPr>
          <w:p w14:paraId="43879022">
            <w:pPr>
              <w:pStyle w:val="75"/>
              <w:widowControl/>
              <w:snapToGrid w:val="0"/>
              <w:spacing w:before="64" w:line="240" w:lineRule="auto"/>
              <w:ind w:left="0" w:leftChars="0" w:right="0" w:rightChars="0" w:firstLine="0" w:firstLineChars="0"/>
              <w:jc w:val="left"/>
              <w:rPr>
                <w:rFonts w:hint="default" w:ascii="仿宋" w:hAnsi="仿宋" w:eastAsia="仿宋" w:cs="仿宋"/>
                <w:sz w:val="21"/>
                <w:szCs w:val="21"/>
                <w:lang w:val="en-US" w:eastAsia="zh-CN"/>
              </w:rPr>
            </w:pPr>
            <w:r>
              <w:rPr>
                <w:rFonts w:hint="eastAsia" w:ascii="仿宋" w:hAnsi="仿宋" w:eastAsia="仿宋" w:cs="仿宋"/>
                <w:spacing w:val="-12"/>
                <w:sz w:val="21"/>
                <w:szCs w:val="21"/>
              </w:rPr>
              <w:t>在满足采购人的服务要求及标准的前提下，提供应急</w:t>
            </w:r>
            <w:r>
              <w:rPr>
                <w:rFonts w:hint="eastAsia" w:ascii="仿宋" w:hAnsi="仿宋" w:eastAsia="仿宋" w:cs="仿宋"/>
                <w:spacing w:val="-20"/>
                <w:sz w:val="21"/>
                <w:szCs w:val="21"/>
              </w:rPr>
              <w:t>方案</w:t>
            </w:r>
            <w:r>
              <w:rPr>
                <w:rFonts w:hint="eastAsia" w:ascii="仿宋" w:hAnsi="仿宋" w:eastAsia="仿宋" w:cs="仿宋"/>
                <w:spacing w:val="-20"/>
                <w:sz w:val="21"/>
                <w:szCs w:val="21"/>
                <w:lang w:eastAsia="zh-CN"/>
              </w:rPr>
              <w:t>：</w:t>
            </w:r>
            <w:r>
              <w:rPr>
                <w:rFonts w:hint="eastAsia" w:ascii="仿宋" w:hAnsi="仿宋" w:eastAsia="仿宋" w:cs="仿宋"/>
                <w:spacing w:val="-1"/>
                <w:sz w:val="21"/>
                <w:szCs w:val="21"/>
              </w:rPr>
              <w:t>①</w:t>
            </w:r>
            <w:r>
              <w:rPr>
                <w:rFonts w:hint="eastAsia" w:ascii="仿宋" w:hAnsi="仿宋" w:eastAsia="仿宋" w:cs="仿宋"/>
                <w:spacing w:val="-20"/>
                <w:sz w:val="21"/>
                <w:szCs w:val="21"/>
              </w:rPr>
              <w:t>应急情况处置预案</w:t>
            </w:r>
            <w:r>
              <w:rPr>
                <w:rFonts w:hint="eastAsia" w:ascii="仿宋" w:hAnsi="仿宋" w:eastAsia="仿宋" w:cs="仿宋"/>
                <w:spacing w:val="-20"/>
                <w:sz w:val="21"/>
                <w:szCs w:val="21"/>
                <w:lang w:eastAsia="zh-CN"/>
              </w:rPr>
              <w:t>；</w:t>
            </w:r>
            <w:r>
              <w:rPr>
                <w:rFonts w:hint="eastAsia" w:ascii="仿宋" w:hAnsi="仿宋" w:eastAsia="仿宋" w:cs="仿宋"/>
                <w:spacing w:val="-1"/>
                <w:sz w:val="21"/>
                <w:szCs w:val="21"/>
              </w:rPr>
              <w:t>②</w:t>
            </w:r>
            <w:r>
              <w:rPr>
                <w:rFonts w:hint="eastAsia" w:ascii="仿宋" w:hAnsi="仿宋" w:eastAsia="仿宋" w:cs="仿宋"/>
                <w:spacing w:val="-20"/>
                <w:sz w:val="21"/>
                <w:szCs w:val="21"/>
              </w:rPr>
              <w:t>应急处理得方式</w:t>
            </w:r>
            <w:r>
              <w:rPr>
                <w:rFonts w:hint="eastAsia" w:ascii="仿宋" w:hAnsi="仿宋" w:eastAsia="仿宋" w:cs="仿宋"/>
                <w:spacing w:val="-21"/>
                <w:sz w:val="21"/>
                <w:szCs w:val="21"/>
              </w:rPr>
              <w:t>方法</w:t>
            </w:r>
            <w:r>
              <w:rPr>
                <w:rFonts w:hint="eastAsia" w:ascii="仿宋" w:hAnsi="仿宋" w:eastAsia="仿宋" w:cs="仿宋"/>
                <w:spacing w:val="-21"/>
                <w:sz w:val="21"/>
                <w:szCs w:val="21"/>
                <w:lang w:eastAsia="zh-CN"/>
              </w:rPr>
              <w:t>；</w:t>
            </w:r>
            <w:r>
              <w:rPr>
                <w:rFonts w:hint="eastAsia" w:ascii="仿宋" w:hAnsi="仿宋" w:eastAsia="仿宋" w:cs="仿宋"/>
                <w:spacing w:val="-2"/>
                <w:sz w:val="21"/>
                <w:szCs w:val="21"/>
              </w:rPr>
              <w:t>③</w:t>
            </w:r>
            <w:r>
              <w:rPr>
                <w:rFonts w:hint="eastAsia" w:ascii="仿宋" w:hAnsi="仿宋" w:eastAsia="仿宋" w:cs="仿宋"/>
                <w:spacing w:val="-11"/>
                <w:sz w:val="21"/>
                <w:szCs w:val="21"/>
              </w:rPr>
              <w:t>应急响应时间</w:t>
            </w:r>
            <w:r>
              <w:rPr>
                <w:rFonts w:hint="eastAsia" w:ascii="仿宋" w:hAnsi="仿宋" w:eastAsia="仿宋" w:cs="仿宋"/>
                <w:spacing w:val="-11"/>
                <w:sz w:val="21"/>
                <w:szCs w:val="21"/>
                <w:lang w:eastAsia="zh-CN"/>
              </w:rPr>
              <w:t>，</w:t>
            </w:r>
            <w:r>
              <w:rPr>
                <w:rFonts w:hint="eastAsia" w:ascii="仿宋" w:hAnsi="仿宋" w:eastAsia="仿宋" w:cs="仿宋"/>
                <w:spacing w:val="-11"/>
                <w:sz w:val="21"/>
                <w:szCs w:val="21"/>
                <w:lang w:val="en-US" w:eastAsia="zh-CN"/>
              </w:rPr>
              <w:t>每提供一项得6分，</w:t>
            </w:r>
            <w:r>
              <w:rPr>
                <w:rFonts w:hint="eastAsia" w:ascii="仿宋" w:hAnsi="仿宋" w:eastAsia="仿宋" w:cs="仿宋"/>
                <w:spacing w:val="-11"/>
                <w:sz w:val="21"/>
                <w:szCs w:val="21"/>
              </w:rPr>
              <w:t>满分得</w:t>
            </w:r>
            <w:r>
              <w:rPr>
                <w:rFonts w:hint="eastAsia" w:ascii="仿宋" w:hAnsi="仿宋" w:eastAsia="仿宋" w:cs="仿宋"/>
                <w:spacing w:val="-43"/>
                <w:sz w:val="21"/>
                <w:szCs w:val="21"/>
              </w:rPr>
              <w:t xml:space="preserve"> </w:t>
            </w:r>
            <w:r>
              <w:rPr>
                <w:rFonts w:hint="eastAsia" w:ascii="仿宋" w:hAnsi="仿宋" w:eastAsia="仿宋" w:cs="仿宋"/>
                <w:spacing w:val="-11"/>
                <w:sz w:val="21"/>
                <w:szCs w:val="21"/>
              </w:rPr>
              <w:t>1</w:t>
            </w:r>
            <w:r>
              <w:rPr>
                <w:rFonts w:hint="eastAsia" w:ascii="仿宋" w:hAnsi="仿宋" w:eastAsia="仿宋" w:cs="仿宋"/>
                <w:spacing w:val="-11"/>
                <w:sz w:val="21"/>
                <w:szCs w:val="21"/>
                <w:lang w:val="en-US" w:eastAsia="zh-CN"/>
              </w:rPr>
              <w:t>8</w:t>
            </w:r>
            <w:r>
              <w:rPr>
                <w:rFonts w:hint="eastAsia" w:ascii="仿宋" w:hAnsi="仿宋" w:eastAsia="仿宋" w:cs="仿宋"/>
                <w:spacing w:val="-11"/>
                <w:sz w:val="21"/>
                <w:szCs w:val="21"/>
              </w:rPr>
              <w:t>分</w:t>
            </w:r>
            <w:r>
              <w:rPr>
                <w:rFonts w:hint="eastAsia" w:ascii="仿宋" w:hAnsi="仿宋" w:eastAsia="仿宋" w:cs="仿宋"/>
                <w:spacing w:val="-11"/>
                <w:sz w:val="21"/>
                <w:szCs w:val="21"/>
                <w:lang w:eastAsia="zh-CN"/>
              </w:rPr>
              <w:t>，</w:t>
            </w:r>
            <w:r>
              <w:rPr>
                <w:rFonts w:hint="eastAsia" w:ascii="仿宋" w:hAnsi="仿宋" w:eastAsia="仿宋" w:cs="仿宋"/>
                <w:spacing w:val="-11"/>
                <w:sz w:val="21"/>
                <w:szCs w:val="21"/>
                <w:lang w:val="en-US" w:eastAsia="zh-CN"/>
              </w:rPr>
              <w:t>不提供不得分。</w:t>
            </w:r>
          </w:p>
        </w:tc>
      </w:tr>
      <w:tr w14:paraId="77BD3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214" w:type="dxa"/>
            <w:vAlign w:val="top"/>
          </w:tcPr>
          <w:p w14:paraId="686D2357">
            <w:pPr>
              <w:widowControl/>
              <w:kinsoku w:val="0"/>
              <w:autoSpaceDE w:val="0"/>
              <w:autoSpaceDN w:val="0"/>
              <w:adjustRightInd w:val="0"/>
              <w:snapToGrid w:val="0"/>
              <w:spacing w:line="256" w:lineRule="auto"/>
              <w:jc w:val="left"/>
              <w:textAlignment w:val="baseline"/>
              <w:rPr>
                <w:rFonts w:hint="eastAsia" w:ascii="仿宋" w:hAnsi="仿宋" w:eastAsia="仿宋" w:cs="仿宋"/>
                <w:snapToGrid w:val="0"/>
                <w:color w:val="000000"/>
                <w:kern w:val="0"/>
                <w:sz w:val="21"/>
                <w:szCs w:val="21"/>
                <w:lang w:eastAsia="en-US"/>
              </w:rPr>
            </w:pPr>
          </w:p>
          <w:p w14:paraId="3D8CB4AC">
            <w:pPr>
              <w:pStyle w:val="75"/>
              <w:widowControl/>
              <w:snapToGrid w:val="0"/>
              <w:spacing w:before="91"/>
              <w:ind w:left="408"/>
              <w:rPr>
                <w:rFonts w:hint="eastAsia" w:ascii="仿宋" w:hAnsi="仿宋" w:eastAsia="仿宋" w:cs="仿宋"/>
                <w:sz w:val="21"/>
                <w:szCs w:val="21"/>
              </w:rPr>
            </w:pPr>
            <w:r>
              <w:rPr>
                <w:rFonts w:hint="eastAsia" w:ascii="仿宋" w:hAnsi="仿宋" w:eastAsia="仿宋" w:cs="仿宋"/>
                <w:sz w:val="21"/>
                <w:szCs w:val="21"/>
              </w:rPr>
              <w:t>6</w:t>
            </w:r>
          </w:p>
        </w:tc>
        <w:tc>
          <w:tcPr>
            <w:tcW w:w="1280" w:type="dxa"/>
            <w:vAlign w:val="top"/>
          </w:tcPr>
          <w:p w14:paraId="092A4A2E">
            <w:pPr>
              <w:pStyle w:val="75"/>
              <w:widowControl/>
              <w:snapToGrid w:val="0"/>
              <w:spacing w:before="91" w:line="221" w:lineRule="auto"/>
              <w:jc w:val="right"/>
              <w:rPr>
                <w:rFonts w:hint="eastAsia" w:ascii="仿宋" w:hAnsi="仿宋" w:eastAsia="仿宋" w:cs="仿宋"/>
                <w:spacing w:val="-30"/>
                <w:sz w:val="21"/>
                <w:szCs w:val="21"/>
              </w:rPr>
            </w:pPr>
          </w:p>
          <w:p w14:paraId="0F1BC93B">
            <w:pPr>
              <w:pStyle w:val="75"/>
              <w:widowControl/>
              <w:snapToGrid w:val="0"/>
              <w:spacing w:before="91" w:line="221" w:lineRule="auto"/>
              <w:jc w:val="right"/>
              <w:rPr>
                <w:rFonts w:hint="eastAsia" w:ascii="仿宋" w:hAnsi="仿宋" w:eastAsia="仿宋" w:cs="仿宋"/>
                <w:sz w:val="21"/>
                <w:szCs w:val="21"/>
              </w:rPr>
            </w:pPr>
            <w:r>
              <w:rPr>
                <w:rFonts w:hint="eastAsia" w:ascii="仿宋" w:hAnsi="仿宋" w:eastAsia="仿宋" w:cs="仿宋"/>
                <w:spacing w:val="-30"/>
                <w:sz w:val="21"/>
                <w:szCs w:val="21"/>
              </w:rPr>
              <w:t>企业业绩（</w:t>
            </w:r>
            <w:r>
              <w:rPr>
                <w:rFonts w:hint="eastAsia" w:ascii="仿宋" w:hAnsi="仿宋" w:eastAsia="仿宋" w:cs="仿宋"/>
                <w:spacing w:val="-30"/>
                <w:sz w:val="21"/>
                <w:szCs w:val="21"/>
                <w:lang w:val="en-US" w:eastAsia="zh-CN"/>
              </w:rPr>
              <w:t>2</w:t>
            </w:r>
            <w:r>
              <w:rPr>
                <w:rFonts w:hint="eastAsia" w:ascii="仿宋" w:hAnsi="仿宋" w:eastAsia="仿宋" w:cs="仿宋"/>
                <w:spacing w:val="-30"/>
                <w:sz w:val="21"/>
                <w:szCs w:val="21"/>
              </w:rPr>
              <w:t>分）</w:t>
            </w:r>
          </w:p>
        </w:tc>
        <w:tc>
          <w:tcPr>
            <w:tcW w:w="7371" w:type="dxa"/>
            <w:vAlign w:val="top"/>
          </w:tcPr>
          <w:p w14:paraId="7D400186">
            <w:pPr>
              <w:pStyle w:val="75"/>
              <w:widowControl/>
              <w:snapToGrid w:val="0"/>
              <w:spacing w:before="48" w:line="358" w:lineRule="auto"/>
              <w:ind w:left="136" w:right="96" w:hanging="21"/>
              <w:rPr>
                <w:rFonts w:hint="eastAsia" w:ascii="仿宋" w:hAnsi="仿宋" w:eastAsia="仿宋" w:cs="仿宋"/>
                <w:sz w:val="21"/>
                <w:szCs w:val="21"/>
              </w:rPr>
            </w:pPr>
            <w:r>
              <w:rPr>
                <w:rFonts w:hint="eastAsia" w:ascii="仿宋" w:hAnsi="仿宋" w:eastAsia="仿宋" w:cs="仿宋"/>
                <w:spacing w:val="-12"/>
                <w:sz w:val="21"/>
                <w:szCs w:val="21"/>
              </w:rPr>
              <w:t>近三年以来完成的类似项目业绩，每一个有效业绩得</w:t>
            </w:r>
            <w:r>
              <w:rPr>
                <w:rFonts w:hint="eastAsia" w:ascii="仿宋" w:hAnsi="仿宋" w:eastAsia="仿宋" w:cs="仿宋"/>
                <w:spacing w:val="-13"/>
                <w:sz w:val="21"/>
                <w:szCs w:val="21"/>
                <w:lang w:val="en-US" w:eastAsia="zh-CN"/>
              </w:rPr>
              <w:t>0.5</w:t>
            </w:r>
            <w:r>
              <w:rPr>
                <w:rFonts w:hint="eastAsia" w:ascii="仿宋" w:hAnsi="仿宋" w:eastAsia="仿宋" w:cs="仿宋"/>
                <w:spacing w:val="-13"/>
                <w:sz w:val="21"/>
                <w:szCs w:val="21"/>
              </w:rPr>
              <w:t>分,最多得</w:t>
            </w:r>
            <w:r>
              <w:rPr>
                <w:rFonts w:hint="eastAsia" w:ascii="仿宋" w:hAnsi="仿宋" w:eastAsia="仿宋" w:cs="仿宋"/>
                <w:spacing w:val="-66"/>
                <w:sz w:val="21"/>
                <w:szCs w:val="21"/>
              </w:rPr>
              <w:t xml:space="preserve"> </w:t>
            </w:r>
            <w:r>
              <w:rPr>
                <w:rFonts w:hint="eastAsia" w:ascii="仿宋" w:hAnsi="仿宋" w:eastAsia="仿宋" w:cs="仿宋"/>
                <w:spacing w:val="-13"/>
                <w:sz w:val="21"/>
                <w:szCs w:val="21"/>
                <w:lang w:val="en-US" w:eastAsia="zh-CN"/>
              </w:rPr>
              <w:t>2</w:t>
            </w:r>
            <w:r>
              <w:rPr>
                <w:rFonts w:hint="eastAsia" w:ascii="仿宋" w:hAnsi="仿宋" w:eastAsia="仿宋" w:cs="仿宋"/>
                <w:spacing w:val="-13"/>
                <w:sz w:val="21"/>
                <w:szCs w:val="21"/>
              </w:rPr>
              <w:t>分。</w:t>
            </w:r>
          </w:p>
          <w:p w14:paraId="28AE9188">
            <w:pPr>
              <w:pStyle w:val="75"/>
              <w:widowControl/>
              <w:snapToGrid w:val="0"/>
              <w:spacing w:line="344" w:lineRule="auto"/>
              <w:ind w:left="122" w:right="96" w:hanging="5"/>
              <w:rPr>
                <w:rFonts w:hint="eastAsia" w:ascii="仿宋" w:hAnsi="仿宋" w:eastAsia="仿宋" w:cs="仿宋"/>
                <w:sz w:val="21"/>
                <w:szCs w:val="21"/>
              </w:rPr>
            </w:pPr>
            <w:r>
              <w:rPr>
                <w:rFonts w:hint="eastAsia" w:ascii="仿宋" w:hAnsi="仿宋" w:eastAsia="仿宋" w:cs="仿宋"/>
                <w:spacing w:val="-12"/>
                <w:sz w:val="21"/>
                <w:szCs w:val="21"/>
              </w:rPr>
              <w:t>有效业绩：附中标通知书或合同协议书</w:t>
            </w:r>
            <w:r>
              <w:rPr>
                <w:rFonts w:hint="eastAsia" w:ascii="仿宋" w:hAnsi="仿宋" w:eastAsia="仿宋" w:cs="仿宋"/>
                <w:spacing w:val="-12"/>
                <w:sz w:val="21"/>
                <w:szCs w:val="21"/>
                <w:lang w:val="en-US" w:eastAsia="zh-CN"/>
              </w:rPr>
              <w:t>关键页</w:t>
            </w:r>
            <w:r>
              <w:rPr>
                <w:rFonts w:hint="eastAsia" w:ascii="仿宋" w:hAnsi="仿宋" w:eastAsia="仿宋" w:cs="仿宋"/>
                <w:spacing w:val="-12"/>
                <w:sz w:val="21"/>
                <w:szCs w:val="21"/>
              </w:rPr>
              <w:t>，否则视为无</w:t>
            </w:r>
            <w:r>
              <w:rPr>
                <w:rFonts w:hint="eastAsia" w:ascii="仿宋" w:hAnsi="仿宋" w:eastAsia="仿宋" w:cs="仿宋"/>
                <w:spacing w:val="-9"/>
                <w:sz w:val="21"/>
                <w:szCs w:val="21"/>
              </w:rPr>
              <w:t>效；</w:t>
            </w:r>
          </w:p>
        </w:tc>
      </w:tr>
    </w:tbl>
    <w:p w14:paraId="2EFE578A">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注：以上有缺陷、不足、描述不清楚是指，①只有单纯的文件描述，前后内容无法连贯，内容脱离了实际情况，不具备实施的可能性；②套用其他项目方案，前后内容互相矛盾，存在与本项目无关的内容；③内容不满足项目要求、与本项目无关或与本项目不匹配、项目涉及的名称、地点不一致；④不符合采购项目相关的规范及标准任一情形等。</w:t>
      </w:r>
    </w:p>
    <w:p w14:paraId="08E97A5C">
      <w:pPr>
        <w:spacing w:line="440" w:lineRule="exact"/>
        <w:ind w:firstLine="210" w:firstLineChars="100"/>
        <w:rPr>
          <w:rFonts w:hint="eastAsia" w:ascii="仿宋" w:hAnsi="仿宋" w:eastAsia="仿宋" w:cs="仿宋"/>
          <w:szCs w:val="21"/>
          <w:highlight w:val="none"/>
        </w:rPr>
      </w:pPr>
      <w:r>
        <w:rPr>
          <w:rFonts w:hint="eastAsia" w:ascii="仿宋" w:hAnsi="仿宋" w:eastAsia="仿宋" w:cs="仿宋"/>
          <w:szCs w:val="21"/>
          <w:highlight w:val="none"/>
        </w:rPr>
        <w:t>备注:1、根据《政府采购服务和服务招投标管理办法》第87号令第六十条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809D61D">
      <w:pPr>
        <w:spacing w:line="440" w:lineRule="exact"/>
        <w:ind w:firstLine="539" w:firstLineChars="257"/>
        <w:rPr>
          <w:rFonts w:hint="eastAsia" w:ascii="仿宋" w:hAnsi="仿宋" w:eastAsia="仿宋" w:cs="仿宋"/>
          <w:szCs w:val="21"/>
          <w:highlight w:val="none"/>
        </w:rPr>
      </w:pPr>
      <w:r>
        <w:rPr>
          <w:rFonts w:hint="eastAsia" w:ascii="仿宋" w:hAnsi="仿宋" w:eastAsia="仿宋" w:cs="仿宋"/>
          <w:szCs w:val="21"/>
          <w:highlight w:val="none"/>
        </w:rPr>
        <w:t>2、供应商在评标过程中，所进行的力图影响评标结果的不符合招标规则的活动，可能导致其被取消中标资格。</w:t>
      </w:r>
    </w:p>
    <w:p w14:paraId="3C713512">
      <w:pPr>
        <w:spacing w:line="440" w:lineRule="exact"/>
        <w:ind w:firstLine="539" w:firstLineChars="257"/>
        <w:outlineLvl w:val="9"/>
        <w:rPr>
          <w:rFonts w:hint="eastAsia" w:ascii="仿宋" w:hAnsi="仿宋" w:eastAsia="仿宋" w:cs="仿宋"/>
          <w:szCs w:val="21"/>
          <w:highlight w:val="none"/>
        </w:rPr>
      </w:pPr>
      <w:r>
        <w:rPr>
          <w:rFonts w:hint="eastAsia" w:ascii="仿宋" w:hAnsi="仿宋" w:eastAsia="仿宋" w:cs="仿宋"/>
          <w:szCs w:val="21"/>
          <w:highlight w:val="none"/>
        </w:rPr>
        <w:t>3、与磋商文件有重大偏离的投标文件将被拒绝。</w:t>
      </w:r>
    </w:p>
    <w:p w14:paraId="371CCAA1">
      <w:pPr>
        <w:spacing w:line="440" w:lineRule="exact"/>
        <w:ind w:firstLine="539" w:firstLineChars="257"/>
        <w:rPr>
          <w:rFonts w:hint="eastAsia" w:ascii="仿宋" w:hAnsi="仿宋" w:eastAsia="仿宋" w:cs="仿宋"/>
          <w:szCs w:val="21"/>
          <w:highlight w:val="none"/>
          <w:lang w:eastAsia="zh-CN"/>
        </w:rPr>
      </w:pPr>
      <w:r>
        <w:rPr>
          <w:rFonts w:hint="eastAsia" w:ascii="仿宋" w:hAnsi="仿宋" w:eastAsia="仿宋" w:cs="仿宋"/>
          <w:szCs w:val="21"/>
          <w:highlight w:val="none"/>
        </w:rPr>
        <w:t>附：对于商务部分（投标报价）的评分，按以下方法进行：价格分统一采用</w:t>
      </w:r>
      <w:r>
        <w:rPr>
          <w:rFonts w:hint="eastAsia" w:ascii="仿宋" w:hAnsi="仿宋" w:eastAsia="仿宋" w:cs="仿宋"/>
          <w:szCs w:val="21"/>
          <w:highlight w:val="none"/>
          <w:lang w:eastAsia="zh-CN"/>
        </w:rPr>
        <w:t>高</w:t>
      </w:r>
      <w:r>
        <w:rPr>
          <w:rFonts w:hint="eastAsia" w:ascii="仿宋" w:hAnsi="仿宋" w:eastAsia="仿宋" w:cs="仿宋"/>
          <w:szCs w:val="21"/>
          <w:highlight w:val="none"/>
        </w:rPr>
        <w:t>价优先法计算，即满足磋商文件要求且评标价格最</w:t>
      </w:r>
      <w:r>
        <w:rPr>
          <w:rFonts w:hint="eastAsia" w:ascii="仿宋" w:hAnsi="仿宋" w:eastAsia="仿宋" w:cs="仿宋"/>
          <w:szCs w:val="21"/>
          <w:highlight w:val="none"/>
          <w:lang w:eastAsia="zh-CN"/>
        </w:rPr>
        <w:t>高</w:t>
      </w:r>
      <w:r>
        <w:rPr>
          <w:rFonts w:hint="eastAsia" w:ascii="仿宋" w:hAnsi="仿宋" w:eastAsia="仿宋" w:cs="仿宋"/>
          <w:szCs w:val="21"/>
          <w:highlight w:val="none"/>
        </w:rPr>
        <w:t>的报价为评标基准价，其价格分为满分。其他投标人的价格分统一按照下列公式计算：报价得分=(评标基准价／评标价格)</w:t>
      </w:r>
      <w:r>
        <w:rPr>
          <w:rFonts w:hint="eastAsia" w:ascii="仿宋" w:hAnsi="仿宋" w:eastAsia="仿宋" w:cs="仿宋"/>
          <w:szCs w:val="21"/>
          <w:highlight w:val="none"/>
          <w:lang w:eastAsia="zh-CN"/>
        </w:rPr>
        <w:t>×10%×100</w:t>
      </w:r>
    </w:p>
    <w:bookmarkEnd w:id="125"/>
    <w:p w14:paraId="18C468FA">
      <w:pPr>
        <w:spacing w:line="440" w:lineRule="exact"/>
        <w:ind w:firstLine="539" w:firstLineChars="257"/>
        <w:rPr>
          <w:rFonts w:hint="eastAsia" w:ascii="仿宋" w:hAnsi="仿宋" w:eastAsia="仿宋" w:cs="仿宋"/>
          <w:szCs w:val="21"/>
          <w:highlight w:val="none"/>
        </w:rPr>
      </w:pPr>
      <w:r>
        <w:rPr>
          <w:rFonts w:hint="eastAsia" w:ascii="仿宋" w:hAnsi="仿宋" w:eastAsia="仿宋" w:cs="仿宋"/>
          <w:szCs w:val="21"/>
          <w:highlight w:val="none"/>
        </w:rPr>
        <w:t>4、各评标委员会成员对每个投标人的上述指标的打分（除报价外）的算术平均分，加上经计算的报价得分，即为该投标人的最终综合评估分。评标委员会将按投标人得分顺序由高到低依次排名，得分相同的，按投标报价由低到高顺序排列。得分及报价相同的，按技术指标优劣顺序排列。得分最高的前一名至前三名投标人将成为成交候选人。</w:t>
      </w:r>
    </w:p>
    <w:p w14:paraId="08078A2E">
      <w:pPr>
        <w:spacing w:line="440" w:lineRule="exact"/>
        <w:ind w:firstLine="539" w:firstLineChars="257"/>
        <w:rPr>
          <w:rFonts w:hint="eastAsia" w:ascii="仿宋" w:hAnsi="仿宋" w:eastAsia="仿宋" w:cs="仿宋"/>
          <w:szCs w:val="21"/>
          <w:highlight w:val="none"/>
        </w:rPr>
      </w:pPr>
      <w:r>
        <w:rPr>
          <w:rFonts w:hint="eastAsia" w:ascii="仿宋" w:hAnsi="仿宋" w:eastAsia="仿宋" w:cs="仿宋"/>
          <w:szCs w:val="21"/>
          <w:highlight w:val="none"/>
        </w:rPr>
        <w:t>5、最低报价不作为评标的唯一依据。采购人不承诺将合同授予报价最低的投标人。</w:t>
      </w:r>
    </w:p>
    <w:p w14:paraId="59E15131">
      <w:pPr>
        <w:spacing w:line="440" w:lineRule="exact"/>
        <w:ind w:firstLine="539" w:firstLineChars="257"/>
        <w:rPr>
          <w:rFonts w:hint="eastAsia" w:ascii="仿宋" w:hAnsi="仿宋" w:eastAsia="仿宋" w:cs="仿宋"/>
          <w:szCs w:val="21"/>
          <w:highlight w:val="none"/>
        </w:rPr>
      </w:pPr>
      <w:r>
        <w:rPr>
          <w:rFonts w:hint="eastAsia" w:ascii="仿宋" w:hAnsi="仿宋" w:eastAsia="仿宋" w:cs="仿宋"/>
          <w:szCs w:val="21"/>
          <w:highlight w:val="none"/>
        </w:rPr>
        <w:t>6、经评标委员会评议，认为投标报价过高、超出采购人预算的项目，可以不确立中标人，做为废标处理。</w:t>
      </w:r>
    </w:p>
    <w:bookmarkEnd w:id="102"/>
    <w:p w14:paraId="47DE92CC">
      <w:pPr>
        <w:snapToGrid w:val="0"/>
        <w:spacing w:line="400" w:lineRule="exact"/>
        <w:ind w:firstLine="420" w:firstLineChars="200"/>
        <w:outlineLvl w:val="2"/>
        <w:rPr>
          <w:rFonts w:hint="eastAsia" w:ascii="仿宋" w:hAnsi="仿宋" w:eastAsia="仿宋" w:cs="仿宋"/>
          <w:b/>
          <w:szCs w:val="21"/>
          <w:highlight w:val="none"/>
        </w:rPr>
      </w:pPr>
      <w:bookmarkStart w:id="126" w:name="_Toc22667"/>
      <w:r>
        <w:rPr>
          <w:rFonts w:hint="eastAsia" w:ascii="仿宋" w:hAnsi="仿宋" w:eastAsia="仿宋" w:cs="仿宋"/>
          <w:b/>
          <w:szCs w:val="21"/>
          <w:highlight w:val="none"/>
        </w:rPr>
        <w:t>1</w:t>
      </w:r>
      <w:r>
        <w:rPr>
          <w:rFonts w:hint="eastAsia" w:ascii="仿宋" w:hAnsi="仿宋" w:eastAsia="仿宋" w:cs="仿宋"/>
          <w:b/>
          <w:szCs w:val="21"/>
          <w:highlight w:val="none"/>
          <w:lang w:val="en-US" w:eastAsia="zh-CN"/>
        </w:rPr>
        <w:t>1</w:t>
      </w:r>
      <w:r>
        <w:rPr>
          <w:rFonts w:hint="eastAsia" w:ascii="仿宋" w:hAnsi="仿宋" w:eastAsia="仿宋" w:cs="仿宋"/>
          <w:b/>
          <w:szCs w:val="21"/>
          <w:highlight w:val="none"/>
        </w:rPr>
        <w:t>.无效投标条款</w:t>
      </w:r>
      <w:bookmarkEnd w:id="126"/>
    </w:p>
    <w:p w14:paraId="1FE4419D">
      <w:pPr>
        <w:snapToGrid w:val="0"/>
        <w:spacing w:line="400" w:lineRule="exact"/>
        <w:ind w:firstLine="420" w:firstLineChars="200"/>
        <w:outlineLvl w:val="9"/>
        <w:rPr>
          <w:rFonts w:hint="eastAsia" w:ascii="仿宋" w:hAnsi="仿宋" w:eastAsia="仿宋" w:cs="仿宋"/>
          <w:szCs w:val="21"/>
          <w:highlight w:val="none"/>
        </w:rPr>
      </w:pP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.1投标文件有下列情形之一的,其投标文件拒收:</w:t>
      </w:r>
    </w:p>
    <w:p w14:paraId="19501164">
      <w:pPr>
        <w:snapToGrid w:val="0"/>
        <w:spacing w:line="400" w:lineRule="exact"/>
        <w:ind w:firstLine="420" w:firstLineChars="200"/>
        <w:rPr>
          <w:rFonts w:hint="eastAsia" w:ascii="仿宋" w:hAnsi="仿宋" w:eastAsia="仿宋" w:cs="仿宋"/>
          <w:b/>
          <w:bCs/>
          <w:szCs w:val="21"/>
          <w:highlight w:val="none"/>
        </w:rPr>
      </w:pPr>
      <w:r>
        <w:rPr>
          <w:rFonts w:hint="eastAsia" w:ascii="仿宋" w:hAnsi="仿宋" w:eastAsia="仿宋" w:cs="仿宋"/>
          <w:b/>
          <w:szCs w:val="21"/>
          <w:highlight w:val="none"/>
          <w:lang w:eastAsia="zh-CN"/>
        </w:rPr>
        <w:t>（</w:t>
      </w:r>
      <w:r>
        <w:rPr>
          <w:rFonts w:hint="eastAsia" w:ascii="仿宋" w:hAnsi="仿宋" w:eastAsia="仿宋" w:cs="仿宋"/>
          <w:b/>
          <w:szCs w:val="21"/>
          <w:highlight w:val="none"/>
          <w:lang w:val="en-US" w:eastAsia="zh-CN"/>
        </w:rPr>
        <w:t>1</w:t>
      </w:r>
      <w:r>
        <w:rPr>
          <w:rFonts w:hint="eastAsia" w:ascii="仿宋" w:hAnsi="仿宋" w:eastAsia="仿宋" w:cs="仿宋"/>
          <w:b/>
          <w:szCs w:val="21"/>
          <w:highlight w:val="none"/>
          <w:lang w:eastAsia="zh-CN"/>
        </w:rPr>
        <w:t>）</w:t>
      </w:r>
      <w:r>
        <w:rPr>
          <w:rFonts w:hint="eastAsia" w:ascii="仿宋" w:hAnsi="仿宋" w:eastAsia="仿宋" w:cs="仿宋"/>
          <w:b/>
          <w:bCs/>
          <w:szCs w:val="21"/>
          <w:highlight w:val="none"/>
        </w:rPr>
        <w:t xml:space="preserve"> 未在开标截止时间前通过网上招标投标系统递交有效电子投标文件的，开标系统不予接收。</w:t>
      </w:r>
    </w:p>
    <w:p w14:paraId="093F8586">
      <w:pPr>
        <w:snapToGrid w:val="0"/>
        <w:spacing w:line="400" w:lineRule="exact"/>
        <w:ind w:firstLine="420" w:firstLineChars="200"/>
        <w:rPr>
          <w:rFonts w:hint="eastAsia" w:ascii="仿宋" w:hAnsi="仿宋" w:eastAsia="仿宋" w:cs="仿宋"/>
          <w:b/>
          <w:bCs/>
          <w:szCs w:val="21"/>
          <w:highlight w:val="none"/>
        </w:rPr>
      </w:pPr>
      <w:r>
        <w:rPr>
          <w:rFonts w:hint="eastAsia" w:ascii="仿宋" w:hAnsi="仿宋" w:eastAsia="仿宋" w:cs="仿宋"/>
          <w:b/>
          <w:bCs/>
          <w:szCs w:val="21"/>
          <w:highlight w:val="none"/>
          <w:lang w:eastAsia="zh-CN"/>
        </w:rPr>
        <w:t>（</w:t>
      </w:r>
      <w:r>
        <w:rPr>
          <w:rFonts w:hint="eastAsia" w:ascii="仿宋" w:hAnsi="仿宋" w:eastAsia="仿宋" w:cs="仿宋"/>
          <w:b/>
          <w:bCs/>
          <w:szCs w:val="21"/>
          <w:highlight w:val="none"/>
        </w:rPr>
        <w:t>2）</w:t>
      </w:r>
      <w:r>
        <w:rPr>
          <w:rFonts w:hint="eastAsia" w:ascii="仿宋" w:hAnsi="仿宋" w:eastAsia="仿宋" w:cs="仿宋"/>
          <w:b/>
          <w:szCs w:val="21"/>
          <w:highlight w:val="none"/>
        </w:rPr>
        <w:t>所有投标人应在规定时间里完成投标文件的解密工作</w:t>
      </w:r>
      <w:r>
        <w:rPr>
          <w:rFonts w:hint="eastAsia" w:ascii="仿宋" w:hAnsi="仿宋" w:eastAsia="仿宋" w:cs="仿宋"/>
          <w:b/>
          <w:bCs/>
          <w:szCs w:val="21"/>
          <w:highlight w:val="none"/>
        </w:rPr>
        <w:t>【投标人使用其有效加密锁（CA锁）进行解密（因投标人原因未能提供有效CA锁对其投标文件进行解密的，其投标文件按无效标处理），以网上招投标系统解密倒计时为准】</w:t>
      </w:r>
      <w:r>
        <w:rPr>
          <w:rFonts w:hint="eastAsia" w:ascii="仿宋" w:hAnsi="仿宋" w:eastAsia="仿宋" w:cs="仿宋"/>
          <w:b/>
          <w:szCs w:val="21"/>
          <w:highlight w:val="none"/>
        </w:rPr>
        <w:t>，因系统原因未能成功解密的投标文件，可导入备份投标文件。备份投标文件也无法导入的，则投标文件被否决。</w:t>
      </w:r>
    </w:p>
    <w:p w14:paraId="671756B5">
      <w:pPr>
        <w:snapToGrid w:val="0"/>
        <w:spacing w:line="400" w:lineRule="exact"/>
        <w:rPr>
          <w:rFonts w:hint="eastAsia" w:ascii="仿宋" w:hAnsi="仿宋" w:eastAsia="仿宋" w:cs="仿宋"/>
          <w:szCs w:val="21"/>
          <w:highlight w:val="none"/>
        </w:rPr>
      </w:pPr>
      <w:r>
        <w:rPr>
          <w:rFonts w:hint="eastAsia" w:ascii="仿宋" w:hAnsi="仿宋" w:eastAsia="仿宋" w:cs="仿宋"/>
          <w:szCs w:val="21"/>
          <w:highlight w:val="none"/>
        </w:rPr>
        <w:t xml:space="preserve">  </w:t>
      </w:r>
      <w:r>
        <w:rPr>
          <w:rFonts w:hint="eastAsia" w:ascii="仿宋" w:hAnsi="仿宋" w:eastAsia="仿宋" w:cs="仿宋"/>
          <w:szCs w:val="21"/>
          <w:highlight w:val="none"/>
          <w:lang w:val="en-US" w:eastAsia="zh-CN"/>
        </w:rPr>
        <w:t xml:space="preserve"> 11</w:t>
      </w:r>
      <w:r>
        <w:rPr>
          <w:rFonts w:hint="eastAsia" w:ascii="仿宋" w:hAnsi="仿宋" w:eastAsia="仿宋" w:cs="仿宋"/>
          <w:szCs w:val="21"/>
          <w:highlight w:val="none"/>
        </w:rPr>
        <w:t>.2投标人有下列情形之一的,资格审查后其投标作无效投标处理：</w:t>
      </w:r>
    </w:p>
    <w:p w14:paraId="15B7A180">
      <w:pPr>
        <w:snapToGrid w:val="0"/>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(1)法定代表人参加开标会议未携带有效的法定代表人身份证明原件和本人身份证的；委托代理人参加开标会议未携带有效的法定代表人授权书和本人身份证；</w:t>
      </w:r>
    </w:p>
    <w:p w14:paraId="5F336E46">
      <w:pPr>
        <w:snapToGrid w:val="0"/>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(2)投标人为本项目提供招标代理服务的；</w:t>
      </w:r>
    </w:p>
    <w:p w14:paraId="20725BA0">
      <w:pPr>
        <w:snapToGrid w:val="0"/>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(3)投标人与在本项目代理机构存在相互任职或工作的；</w:t>
      </w:r>
    </w:p>
    <w:p w14:paraId="49CC1621">
      <w:pPr>
        <w:snapToGrid w:val="0"/>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(4)投标保证金未按规定要求缴纳的；</w:t>
      </w:r>
    </w:p>
    <w:p w14:paraId="72D37790">
      <w:pPr>
        <w:snapToGrid w:val="0"/>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w:t>
      </w:r>
      <w:r>
        <w:rPr>
          <w:rFonts w:hint="eastAsia" w:ascii="仿宋" w:hAnsi="仿宋" w:eastAsia="仿宋" w:cs="仿宋"/>
          <w:b/>
          <w:bCs/>
          <w:szCs w:val="21"/>
          <w:highlight w:val="none"/>
        </w:rPr>
        <w:t>评标专家无法查看并检验电子标书中相关资料的；</w:t>
      </w:r>
    </w:p>
    <w:p w14:paraId="52A10D18">
      <w:pPr>
        <w:snapToGrid w:val="0"/>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(6)联合体投标未提交联合体协议的；</w:t>
      </w:r>
    </w:p>
    <w:p w14:paraId="020086C9">
      <w:pPr>
        <w:snapToGrid w:val="0"/>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(7)被暂停营业的；</w:t>
      </w:r>
    </w:p>
    <w:p w14:paraId="4FB0111A">
      <w:pPr>
        <w:snapToGrid w:val="0"/>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(8)被暂停或取消投标资格的；</w:t>
      </w:r>
    </w:p>
    <w:p w14:paraId="5326BF18">
      <w:pPr>
        <w:snapToGrid w:val="0"/>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(9)财产被接管或冻结的；</w:t>
      </w:r>
    </w:p>
    <w:p w14:paraId="57A73880">
      <w:pPr>
        <w:snapToGrid w:val="0"/>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(10)投标人单位负责人为同一人或者存在控股、管理关系的不同单位的；</w:t>
      </w:r>
    </w:p>
    <w:p w14:paraId="1A9DFDB0">
      <w:pPr>
        <w:snapToGrid w:val="0"/>
        <w:spacing w:line="400" w:lineRule="exact"/>
        <w:ind w:firstLine="315" w:firstLineChars="150"/>
        <w:rPr>
          <w:rFonts w:hint="eastAsia" w:ascii="仿宋" w:hAnsi="仿宋" w:eastAsia="仿宋" w:cs="仿宋"/>
          <w:szCs w:val="21"/>
          <w:highlight w:val="none"/>
        </w:rPr>
      </w:pPr>
      <w:r>
        <w:rPr>
          <w:rFonts w:hint="eastAsia" w:ascii="仿宋" w:hAnsi="仿宋" w:eastAsia="仿宋" w:cs="仿宋"/>
          <w:szCs w:val="21"/>
          <w:highlight w:val="none"/>
        </w:rPr>
        <w:t>（11）投标人基本资格条件和特定资格条件中有一项及以上不符合要求的；</w:t>
      </w:r>
    </w:p>
    <w:p w14:paraId="0870294A">
      <w:pPr>
        <w:keepNext w:val="0"/>
        <w:keepLines w:val="0"/>
        <w:pageBreakBefore w:val="0"/>
        <w:widowControl w:val="0"/>
        <w:kinsoku/>
        <w:wordWrap/>
        <w:overflowPunct/>
        <w:topLinePunct w:val="0"/>
        <w:autoSpaceDE/>
        <w:autoSpaceDN/>
        <w:bidi w:val="0"/>
        <w:adjustRightInd/>
        <w:snapToGrid w:val="0"/>
        <w:spacing w:line="400" w:lineRule="exact"/>
        <w:ind w:firstLine="315" w:firstLineChars="150"/>
        <w:textAlignment w:val="auto"/>
        <w:outlineLvl w:val="9"/>
        <w:rPr>
          <w:rFonts w:hint="eastAsia" w:ascii="仿宋" w:hAnsi="仿宋" w:eastAsia="仿宋" w:cs="仿宋"/>
          <w:szCs w:val="21"/>
          <w:highlight w:val="none"/>
        </w:rPr>
      </w:pPr>
      <w:r>
        <w:rPr>
          <w:rFonts w:hint="eastAsia" w:ascii="仿宋" w:hAnsi="仿宋" w:eastAsia="仿宋" w:cs="仿宋"/>
          <w:szCs w:val="21"/>
          <w:highlight w:val="none"/>
        </w:rPr>
        <w:t>（12）投标人使用相同的MAC地址进行报名的；</w:t>
      </w:r>
    </w:p>
    <w:p w14:paraId="5B9631CE">
      <w:pPr>
        <w:keepNext w:val="0"/>
        <w:keepLines w:val="0"/>
        <w:pageBreakBefore w:val="0"/>
        <w:widowControl w:val="0"/>
        <w:kinsoku/>
        <w:wordWrap/>
        <w:overflowPunct/>
        <w:topLinePunct w:val="0"/>
        <w:autoSpaceDE/>
        <w:autoSpaceDN/>
        <w:bidi w:val="0"/>
        <w:adjustRightInd/>
        <w:snapToGrid w:val="0"/>
        <w:spacing w:line="400" w:lineRule="exact"/>
        <w:ind w:firstLine="315" w:firstLineChars="150"/>
        <w:textAlignment w:val="auto"/>
        <w:outlineLvl w:val="9"/>
        <w:rPr>
          <w:rFonts w:hint="eastAsia" w:ascii="仿宋" w:hAnsi="仿宋" w:eastAsia="仿宋" w:cs="仿宋"/>
          <w:szCs w:val="21"/>
          <w:highlight w:val="none"/>
        </w:rPr>
      </w:pPr>
      <w:r>
        <w:rPr>
          <w:rFonts w:hint="eastAsia" w:ascii="仿宋" w:hAnsi="仿宋" w:eastAsia="仿宋" w:cs="仿宋"/>
          <w:szCs w:val="21"/>
          <w:highlight w:val="none"/>
        </w:rPr>
        <w:t>（13）其它情形，经评标委员会委提出按无效投标处理，并经公共资源交易监督部门核准的；</w:t>
      </w:r>
    </w:p>
    <w:p w14:paraId="6672BD70">
      <w:pPr>
        <w:keepNext w:val="0"/>
        <w:keepLines w:val="0"/>
        <w:pageBreakBefore w:val="0"/>
        <w:widowControl w:val="0"/>
        <w:kinsoku/>
        <w:wordWrap/>
        <w:overflowPunct/>
        <w:topLinePunct w:val="0"/>
        <w:autoSpaceDE/>
        <w:autoSpaceDN/>
        <w:bidi w:val="0"/>
        <w:adjustRightInd/>
        <w:snapToGrid w:val="0"/>
        <w:spacing w:line="400" w:lineRule="exact"/>
        <w:ind w:firstLine="315" w:firstLineChars="150"/>
        <w:textAlignment w:val="auto"/>
        <w:outlineLvl w:val="9"/>
        <w:rPr>
          <w:rFonts w:hint="eastAsia" w:ascii="仿宋" w:hAnsi="仿宋" w:eastAsia="仿宋" w:cs="仿宋"/>
          <w:szCs w:val="21"/>
          <w:highlight w:val="none"/>
        </w:rPr>
      </w:pPr>
      <w:r>
        <w:rPr>
          <w:rFonts w:hint="eastAsia" w:ascii="仿宋" w:hAnsi="仿宋" w:eastAsia="仿宋" w:cs="仿宋"/>
          <w:szCs w:val="21"/>
          <w:highlight w:val="none"/>
        </w:rPr>
        <w:t>（14）投标人使用相同IP地址报名的，一经发现，监管部门将进一步核实，查实后按串通投标处理；</w:t>
      </w:r>
    </w:p>
    <w:p w14:paraId="741E165D">
      <w:pPr>
        <w:keepNext w:val="0"/>
        <w:keepLines w:val="0"/>
        <w:pageBreakBefore w:val="0"/>
        <w:widowControl w:val="0"/>
        <w:kinsoku/>
        <w:wordWrap/>
        <w:overflowPunct/>
        <w:topLinePunct w:val="0"/>
        <w:autoSpaceDE/>
        <w:autoSpaceDN/>
        <w:bidi w:val="0"/>
        <w:adjustRightInd/>
        <w:snapToGrid w:val="0"/>
        <w:spacing w:line="400" w:lineRule="exact"/>
        <w:ind w:firstLine="315" w:firstLineChars="150"/>
        <w:textAlignment w:val="auto"/>
        <w:outlineLvl w:val="9"/>
        <w:rPr>
          <w:rFonts w:hint="eastAsia" w:ascii="仿宋" w:hAnsi="仿宋" w:eastAsia="仿宋" w:cs="仿宋"/>
          <w:szCs w:val="21"/>
          <w:highlight w:val="none"/>
        </w:rPr>
      </w:pPr>
      <w:r>
        <w:rPr>
          <w:rFonts w:hint="eastAsia" w:ascii="仿宋" w:hAnsi="仿宋" w:eastAsia="仿宋" w:cs="仿宋"/>
          <w:szCs w:val="21"/>
          <w:highlight w:val="none"/>
        </w:rPr>
        <w:t>（15）采购文件规定的其它无效投标情形。</w:t>
      </w:r>
    </w:p>
    <w:p w14:paraId="5CBAB949">
      <w:pPr>
        <w:snapToGrid w:val="0"/>
        <w:spacing w:line="400" w:lineRule="exact"/>
        <w:outlineLvl w:val="9"/>
        <w:rPr>
          <w:rFonts w:hint="eastAsia" w:ascii="仿宋" w:hAnsi="仿宋" w:eastAsia="仿宋" w:cs="仿宋"/>
          <w:szCs w:val="21"/>
          <w:highlight w:val="none"/>
        </w:rPr>
      </w:pPr>
      <w:r>
        <w:rPr>
          <w:rFonts w:hint="eastAsia" w:ascii="仿宋" w:hAnsi="仿宋" w:eastAsia="仿宋" w:cs="仿宋"/>
          <w:szCs w:val="21"/>
          <w:highlight w:val="none"/>
        </w:rPr>
        <w:t xml:space="preserve">   1</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.3 投标人有下列情形之一的,符合性审查后其投标按无效投标处理：</w:t>
      </w:r>
    </w:p>
    <w:p w14:paraId="647AE35A">
      <w:pPr>
        <w:keepNext w:val="0"/>
        <w:keepLines w:val="0"/>
        <w:pageBreakBefore w:val="0"/>
        <w:kinsoku/>
        <w:wordWrap/>
        <w:overflowPunct/>
        <w:topLinePunct w:val="0"/>
        <w:autoSpaceDE/>
        <w:autoSpaceDN/>
        <w:bidi w:val="0"/>
        <w:adjustRightInd/>
        <w:snapToGrid w:val="0"/>
        <w:spacing w:line="400" w:lineRule="exact"/>
        <w:ind w:firstLine="315" w:firstLineChars="150"/>
        <w:textAlignment w:val="auto"/>
        <w:outlineLvl w:val="9"/>
        <w:rPr>
          <w:rFonts w:hint="eastAsia" w:ascii="仿宋" w:hAnsi="仿宋" w:eastAsia="仿宋" w:cs="仿宋"/>
          <w:szCs w:val="21"/>
          <w:highlight w:val="none"/>
        </w:rPr>
      </w:pP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lang w:eastAsia="zh-CN"/>
        </w:rPr>
        <w:t>）</w:t>
      </w:r>
      <w:r>
        <w:rPr>
          <w:rFonts w:hint="eastAsia" w:ascii="仿宋" w:hAnsi="仿宋" w:eastAsia="仿宋" w:cs="仿宋"/>
          <w:szCs w:val="21"/>
          <w:highlight w:val="none"/>
        </w:rPr>
        <w:t>投标文件签字、盖章不全，经评标委员会一致认定对开评标内容有实质性影响并经监督部门核准的；</w:t>
      </w:r>
    </w:p>
    <w:p w14:paraId="67156D25">
      <w:pPr>
        <w:keepNext w:val="0"/>
        <w:keepLines w:val="0"/>
        <w:pageBreakBefore w:val="0"/>
        <w:kinsoku/>
        <w:wordWrap/>
        <w:overflowPunct/>
        <w:topLinePunct w:val="0"/>
        <w:autoSpaceDE/>
        <w:autoSpaceDN/>
        <w:bidi w:val="0"/>
        <w:adjustRightInd/>
        <w:snapToGrid w:val="0"/>
        <w:spacing w:line="400" w:lineRule="exact"/>
        <w:ind w:firstLine="315" w:firstLineChars="150"/>
        <w:textAlignment w:val="auto"/>
        <w:outlineLvl w:val="9"/>
        <w:rPr>
          <w:rFonts w:hint="eastAsia" w:ascii="仿宋" w:hAnsi="仿宋" w:eastAsia="仿宋" w:cs="仿宋"/>
          <w:szCs w:val="21"/>
          <w:highlight w:val="none"/>
        </w:rPr>
      </w:pP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lang w:eastAsia="zh-CN"/>
        </w:rPr>
        <w:t>）</w:t>
      </w:r>
      <w:r>
        <w:rPr>
          <w:rFonts w:hint="eastAsia" w:ascii="仿宋" w:hAnsi="仿宋" w:eastAsia="仿宋" w:cs="仿宋"/>
          <w:szCs w:val="21"/>
          <w:highlight w:val="none"/>
        </w:rPr>
        <w:t>未按规定的格式填写，实质性内容不全或关键字迹模糊、无法辨认; 经监督部门核准的；</w:t>
      </w:r>
    </w:p>
    <w:p w14:paraId="6C57A206">
      <w:pPr>
        <w:keepNext w:val="0"/>
        <w:keepLines w:val="0"/>
        <w:pageBreakBefore w:val="0"/>
        <w:kinsoku/>
        <w:wordWrap/>
        <w:overflowPunct/>
        <w:topLinePunct w:val="0"/>
        <w:autoSpaceDE/>
        <w:autoSpaceDN/>
        <w:bidi w:val="0"/>
        <w:adjustRightInd/>
        <w:snapToGrid w:val="0"/>
        <w:spacing w:line="400" w:lineRule="exact"/>
        <w:ind w:firstLine="315" w:firstLineChars="150"/>
        <w:textAlignment w:val="auto"/>
        <w:outlineLvl w:val="9"/>
        <w:rPr>
          <w:rFonts w:hint="eastAsia" w:ascii="仿宋" w:hAnsi="仿宋" w:eastAsia="仿宋" w:cs="仿宋"/>
          <w:szCs w:val="21"/>
          <w:highlight w:val="none"/>
        </w:rPr>
      </w:pP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lang w:eastAsia="zh-CN"/>
        </w:rPr>
        <w:t>）</w:t>
      </w:r>
      <w:r>
        <w:rPr>
          <w:rFonts w:hint="eastAsia" w:ascii="仿宋" w:hAnsi="仿宋" w:eastAsia="仿宋" w:cs="仿宋"/>
          <w:szCs w:val="21"/>
          <w:highlight w:val="none"/>
        </w:rPr>
        <w:t>同一投标人提交两个以上不同的投标文件或者投标报价，但采购文件规定提交备选方案的除外；</w:t>
      </w:r>
    </w:p>
    <w:p w14:paraId="23D93F6B">
      <w:pPr>
        <w:keepNext w:val="0"/>
        <w:keepLines w:val="0"/>
        <w:pageBreakBefore w:val="0"/>
        <w:kinsoku/>
        <w:wordWrap/>
        <w:overflowPunct/>
        <w:topLinePunct w:val="0"/>
        <w:autoSpaceDE/>
        <w:autoSpaceDN/>
        <w:bidi w:val="0"/>
        <w:adjustRightInd/>
        <w:snapToGrid w:val="0"/>
        <w:spacing w:line="400" w:lineRule="exact"/>
        <w:ind w:firstLine="315" w:firstLineChars="150"/>
        <w:textAlignment w:val="auto"/>
        <w:outlineLvl w:val="9"/>
        <w:rPr>
          <w:rFonts w:hint="eastAsia" w:ascii="仿宋" w:hAnsi="仿宋" w:eastAsia="仿宋" w:cs="仿宋"/>
          <w:szCs w:val="21"/>
          <w:highlight w:val="none"/>
        </w:rPr>
      </w:pP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lang w:eastAsia="zh-CN"/>
        </w:rPr>
        <w:t>）</w:t>
      </w:r>
      <w:r>
        <w:rPr>
          <w:rFonts w:hint="eastAsia" w:ascii="仿宋" w:hAnsi="仿宋" w:eastAsia="仿宋" w:cs="仿宋"/>
          <w:szCs w:val="21"/>
          <w:highlight w:val="none"/>
        </w:rPr>
        <w:t>投标文件没有对采购文件的实质性要求和条件作出响应;</w:t>
      </w:r>
    </w:p>
    <w:p w14:paraId="23C307C9">
      <w:pPr>
        <w:keepNext w:val="0"/>
        <w:keepLines w:val="0"/>
        <w:pageBreakBefore w:val="0"/>
        <w:kinsoku/>
        <w:wordWrap/>
        <w:overflowPunct/>
        <w:topLinePunct w:val="0"/>
        <w:autoSpaceDE/>
        <w:autoSpaceDN/>
        <w:bidi w:val="0"/>
        <w:adjustRightInd/>
        <w:snapToGrid w:val="0"/>
        <w:spacing w:line="400" w:lineRule="exact"/>
        <w:ind w:firstLine="315" w:firstLineChars="150"/>
        <w:textAlignment w:val="auto"/>
        <w:outlineLvl w:val="9"/>
        <w:rPr>
          <w:rFonts w:hint="eastAsia" w:ascii="仿宋" w:hAnsi="仿宋" w:eastAsia="仿宋" w:cs="仿宋"/>
          <w:szCs w:val="21"/>
          <w:highlight w:val="none"/>
        </w:rPr>
      </w:pP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lang w:eastAsia="zh-CN"/>
        </w:rPr>
        <w:t>）</w:t>
      </w:r>
      <w:r>
        <w:rPr>
          <w:rFonts w:hint="eastAsia" w:ascii="仿宋" w:hAnsi="仿宋" w:eastAsia="仿宋" w:cs="仿宋"/>
          <w:szCs w:val="21"/>
          <w:highlight w:val="none"/>
        </w:rPr>
        <w:t>投标报价超出规定的投标限价或公布的采购预算的；注：投标人的投标报价各项单价均不得高于磋商文件给定的单价最高限价，否则，其投标文件将按无效投标处理。</w:t>
      </w:r>
    </w:p>
    <w:p w14:paraId="3D821F26">
      <w:pPr>
        <w:keepNext w:val="0"/>
        <w:keepLines w:val="0"/>
        <w:pageBreakBefore w:val="0"/>
        <w:kinsoku/>
        <w:wordWrap/>
        <w:overflowPunct/>
        <w:topLinePunct w:val="0"/>
        <w:autoSpaceDE/>
        <w:autoSpaceDN/>
        <w:bidi w:val="0"/>
        <w:adjustRightInd/>
        <w:snapToGrid w:val="0"/>
        <w:spacing w:line="400" w:lineRule="exact"/>
        <w:ind w:firstLine="315" w:firstLineChars="150"/>
        <w:textAlignment w:val="auto"/>
        <w:outlineLvl w:val="9"/>
        <w:rPr>
          <w:rFonts w:hint="eastAsia" w:ascii="仿宋" w:hAnsi="仿宋" w:eastAsia="仿宋" w:cs="仿宋"/>
          <w:szCs w:val="21"/>
          <w:highlight w:val="none"/>
        </w:rPr>
      </w:pP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lang w:eastAsia="zh-CN"/>
        </w:rPr>
        <w:t>）</w:t>
      </w:r>
      <w:r>
        <w:rPr>
          <w:rFonts w:hint="eastAsia" w:ascii="仿宋" w:hAnsi="仿宋" w:eastAsia="仿宋" w:cs="仿宋"/>
          <w:szCs w:val="21"/>
          <w:highlight w:val="none"/>
        </w:rPr>
        <w:t>不按评标委员会要求澄清、说明或补正的，或者评标委员会根据采购文件的规定对采购文件的计算错误进行修正后，投标人不接受修正的投标报价的。</w:t>
      </w:r>
    </w:p>
    <w:p w14:paraId="43B86AC3">
      <w:pPr>
        <w:keepNext w:val="0"/>
        <w:keepLines w:val="0"/>
        <w:pageBreakBefore w:val="0"/>
        <w:kinsoku/>
        <w:wordWrap/>
        <w:overflowPunct/>
        <w:topLinePunct w:val="0"/>
        <w:autoSpaceDE/>
        <w:autoSpaceDN/>
        <w:bidi w:val="0"/>
        <w:adjustRightInd/>
        <w:snapToGrid w:val="0"/>
        <w:spacing w:line="400" w:lineRule="exact"/>
        <w:ind w:firstLine="315" w:firstLineChars="150"/>
        <w:textAlignment w:val="auto"/>
        <w:outlineLvl w:val="9"/>
        <w:rPr>
          <w:rFonts w:hint="eastAsia" w:ascii="仿宋" w:hAnsi="仿宋" w:eastAsia="仿宋" w:cs="仿宋"/>
          <w:szCs w:val="21"/>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7</w:t>
      </w:r>
      <w:r>
        <w:rPr>
          <w:rFonts w:hint="eastAsia" w:ascii="仿宋" w:hAnsi="仿宋" w:eastAsia="仿宋" w:cs="仿宋"/>
          <w:szCs w:val="21"/>
          <w:highlight w:val="none"/>
        </w:rPr>
        <w:t>）其它情形，经评标委员会委提出按无效投标处理，并经公共资源交易监督部门核准的；</w:t>
      </w:r>
    </w:p>
    <w:p w14:paraId="32FF873B">
      <w:pPr>
        <w:keepNext w:val="0"/>
        <w:keepLines w:val="0"/>
        <w:pageBreakBefore w:val="0"/>
        <w:kinsoku/>
        <w:wordWrap/>
        <w:overflowPunct/>
        <w:topLinePunct w:val="0"/>
        <w:autoSpaceDE/>
        <w:autoSpaceDN/>
        <w:bidi w:val="0"/>
        <w:adjustRightInd/>
        <w:snapToGrid w:val="0"/>
        <w:spacing w:line="400" w:lineRule="exact"/>
        <w:ind w:firstLine="315" w:firstLineChars="150"/>
        <w:textAlignment w:val="auto"/>
        <w:outlineLvl w:val="9"/>
        <w:rPr>
          <w:rFonts w:hint="eastAsia" w:ascii="仿宋" w:hAnsi="仿宋" w:eastAsia="仿宋" w:cs="仿宋"/>
          <w:szCs w:val="21"/>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8</w:t>
      </w:r>
      <w:r>
        <w:rPr>
          <w:rFonts w:hint="eastAsia" w:ascii="仿宋" w:hAnsi="仿宋" w:eastAsia="仿宋" w:cs="仿宋"/>
          <w:szCs w:val="21"/>
          <w:highlight w:val="none"/>
        </w:rPr>
        <w:t>）</w:t>
      </w:r>
      <w:r>
        <w:rPr>
          <w:rFonts w:hint="eastAsia" w:ascii="仿宋" w:hAnsi="仿宋" w:eastAsia="仿宋" w:cs="仿宋"/>
          <w:kern w:val="0"/>
          <w:szCs w:val="21"/>
          <w:highlight w:val="none"/>
          <w:shd w:val="clear" w:color="auto" w:fill="FFFFFF"/>
          <w:lang w:bidi="ar"/>
        </w:rPr>
        <w:t>未按照磋商文件的规定提交投标保证金的；</w:t>
      </w:r>
    </w:p>
    <w:p w14:paraId="13CDA9E4">
      <w:pPr>
        <w:keepNext w:val="0"/>
        <w:keepLines w:val="0"/>
        <w:pageBreakBefore w:val="0"/>
        <w:widowControl/>
        <w:kinsoku/>
        <w:wordWrap/>
        <w:overflowPunct/>
        <w:topLinePunct w:val="0"/>
        <w:autoSpaceDE/>
        <w:autoSpaceDN/>
        <w:bidi w:val="0"/>
        <w:adjustRightInd/>
        <w:spacing w:line="400" w:lineRule="exact"/>
        <w:ind w:firstLine="315" w:firstLineChars="150"/>
        <w:jc w:val="left"/>
        <w:textAlignment w:val="auto"/>
        <w:outlineLvl w:val="9"/>
        <w:rPr>
          <w:rFonts w:hint="eastAsia" w:ascii="仿宋" w:hAnsi="仿宋" w:eastAsia="仿宋" w:cs="仿宋"/>
          <w:szCs w:val="21"/>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9</w:t>
      </w:r>
      <w:r>
        <w:rPr>
          <w:rFonts w:hint="eastAsia" w:ascii="仿宋" w:hAnsi="仿宋" w:eastAsia="仿宋" w:cs="仿宋"/>
          <w:szCs w:val="21"/>
          <w:highlight w:val="none"/>
        </w:rPr>
        <w:t>）</w:t>
      </w:r>
      <w:r>
        <w:rPr>
          <w:rFonts w:hint="eastAsia" w:ascii="仿宋" w:hAnsi="仿宋" w:eastAsia="仿宋" w:cs="仿宋"/>
          <w:kern w:val="0"/>
          <w:szCs w:val="21"/>
          <w:highlight w:val="none"/>
          <w:shd w:val="clear" w:color="auto" w:fill="FFFFFF"/>
          <w:lang w:bidi="ar"/>
        </w:rPr>
        <w:t>投标文件含有采购人不能接受的附加条件的;</w:t>
      </w:r>
    </w:p>
    <w:p w14:paraId="2BE906DA">
      <w:pPr>
        <w:keepNext w:val="0"/>
        <w:keepLines w:val="0"/>
        <w:pageBreakBefore w:val="0"/>
        <w:tabs>
          <w:tab w:val="left" w:pos="1123"/>
        </w:tabs>
        <w:kinsoku/>
        <w:wordWrap/>
        <w:overflowPunct/>
        <w:topLinePunct w:val="0"/>
        <w:autoSpaceDE/>
        <w:autoSpaceDN/>
        <w:bidi w:val="0"/>
        <w:adjustRightInd/>
        <w:snapToGrid w:val="0"/>
        <w:spacing w:line="400" w:lineRule="exact"/>
        <w:ind w:firstLine="315" w:firstLineChars="150"/>
        <w:textAlignment w:val="auto"/>
        <w:outlineLvl w:val="9"/>
        <w:rPr>
          <w:rFonts w:hint="eastAsia" w:ascii="仿宋" w:hAnsi="仿宋" w:eastAsia="仿宋" w:cs="仿宋"/>
          <w:szCs w:val="21"/>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10</w:t>
      </w:r>
      <w:r>
        <w:rPr>
          <w:rFonts w:hint="eastAsia" w:ascii="仿宋" w:hAnsi="仿宋" w:eastAsia="仿宋" w:cs="仿宋"/>
          <w:szCs w:val="21"/>
          <w:highlight w:val="none"/>
        </w:rPr>
        <w:t>）采购文件规定的其它无效投标情形。</w:t>
      </w:r>
    </w:p>
    <w:p w14:paraId="6031D750">
      <w:pPr>
        <w:snapToGrid w:val="0"/>
        <w:spacing w:line="400" w:lineRule="exact"/>
        <w:ind w:firstLine="420" w:firstLineChars="200"/>
        <w:outlineLvl w:val="9"/>
        <w:rPr>
          <w:rFonts w:hint="eastAsia" w:ascii="仿宋" w:hAnsi="仿宋" w:eastAsia="仿宋" w:cs="仿宋"/>
          <w:szCs w:val="21"/>
          <w:highlight w:val="none"/>
        </w:rPr>
      </w:pP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.4 投标人有下列情形之一的, 详细评审后其投标按无效投标处理：</w:t>
      </w:r>
    </w:p>
    <w:p w14:paraId="642AF6C8">
      <w:pPr>
        <w:keepNext w:val="0"/>
        <w:keepLines w:val="0"/>
        <w:pageBreakBefore w:val="0"/>
        <w:widowControl w:val="0"/>
        <w:kinsoku/>
        <w:wordWrap/>
        <w:overflowPunct/>
        <w:topLinePunct w:val="0"/>
        <w:autoSpaceDE/>
        <w:autoSpaceDN/>
        <w:bidi w:val="0"/>
        <w:adjustRightInd/>
        <w:snapToGrid w:val="0"/>
        <w:spacing w:line="400" w:lineRule="exact"/>
        <w:ind w:firstLine="315" w:firstLineChars="150"/>
        <w:textAlignment w:val="auto"/>
        <w:outlineLvl w:val="9"/>
        <w:rPr>
          <w:rFonts w:hint="eastAsia" w:ascii="仿宋" w:hAnsi="仿宋" w:eastAsia="仿宋" w:cs="仿宋"/>
          <w:szCs w:val="21"/>
          <w:highlight w:val="none"/>
        </w:rPr>
      </w:pP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lang w:eastAsia="zh-CN"/>
        </w:rPr>
        <w:t>）</w:t>
      </w:r>
      <w:r>
        <w:rPr>
          <w:rFonts w:hint="eastAsia" w:ascii="仿宋" w:hAnsi="仿宋" w:eastAsia="仿宋" w:cs="仿宋"/>
          <w:szCs w:val="21"/>
          <w:highlight w:val="none"/>
        </w:rPr>
        <w:t>投标产品不符合必须强制执行的国家标准的；</w:t>
      </w:r>
    </w:p>
    <w:p w14:paraId="0E40DA05">
      <w:pPr>
        <w:keepNext w:val="0"/>
        <w:keepLines w:val="0"/>
        <w:pageBreakBefore w:val="0"/>
        <w:widowControl w:val="0"/>
        <w:kinsoku/>
        <w:wordWrap/>
        <w:overflowPunct/>
        <w:topLinePunct w:val="0"/>
        <w:autoSpaceDE/>
        <w:autoSpaceDN/>
        <w:bidi w:val="0"/>
        <w:adjustRightInd/>
        <w:snapToGrid w:val="0"/>
        <w:spacing w:line="400" w:lineRule="exact"/>
        <w:ind w:firstLine="315" w:firstLineChars="150"/>
        <w:textAlignment w:val="auto"/>
        <w:outlineLvl w:val="9"/>
        <w:rPr>
          <w:rFonts w:hint="eastAsia" w:ascii="仿宋" w:hAnsi="仿宋" w:eastAsia="仿宋" w:cs="仿宋"/>
          <w:szCs w:val="21"/>
          <w:highlight w:val="none"/>
        </w:rPr>
      </w:pP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lang w:eastAsia="zh-CN"/>
        </w:rPr>
        <w:t>）</w:t>
      </w:r>
      <w:r>
        <w:rPr>
          <w:rFonts w:hint="eastAsia" w:ascii="仿宋" w:hAnsi="仿宋" w:eastAsia="仿宋" w:cs="仿宋"/>
          <w:szCs w:val="21"/>
          <w:highlight w:val="none"/>
        </w:rPr>
        <w:t>投标人有串通投标、弄虚作假、行贿等违法行为；</w:t>
      </w:r>
    </w:p>
    <w:p w14:paraId="75D5AF9A">
      <w:pPr>
        <w:keepNext w:val="0"/>
        <w:keepLines w:val="0"/>
        <w:pageBreakBefore w:val="0"/>
        <w:widowControl w:val="0"/>
        <w:kinsoku/>
        <w:wordWrap/>
        <w:overflowPunct/>
        <w:topLinePunct w:val="0"/>
        <w:autoSpaceDE/>
        <w:autoSpaceDN/>
        <w:bidi w:val="0"/>
        <w:adjustRightInd/>
        <w:snapToGrid w:val="0"/>
        <w:spacing w:line="400" w:lineRule="exact"/>
        <w:ind w:firstLine="315" w:firstLineChars="150"/>
        <w:textAlignment w:val="auto"/>
        <w:outlineLvl w:val="9"/>
        <w:rPr>
          <w:rFonts w:hint="eastAsia" w:ascii="仿宋" w:hAnsi="仿宋" w:eastAsia="仿宋" w:cs="仿宋"/>
          <w:szCs w:val="21"/>
          <w:highlight w:val="none"/>
        </w:rPr>
      </w:pP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lang w:eastAsia="zh-CN"/>
        </w:rPr>
        <w:t>）</w:t>
      </w:r>
      <w:r>
        <w:rPr>
          <w:rFonts w:hint="eastAsia" w:ascii="仿宋" w:hAnsi="仿宋" w:eastAsia="仿宋" w:cs="仿宋"/>
          <w:szCs w:val="21"/>
          <w:highlight w:val="none"/>
        </w:rPr>
        <w:t>投标文件含有违反国家法律、法规的内容，或附有招标人不能接受的条件的；</w:t>
      </w:r>
    </w:p>
    <w:p w14:paraId="5D7151CE">
      <w:pPr>
        <w:spacing w:line="360" w:lineRule="auto"/>
        <w:ind w:firstLine="315" w:firstLineChars="150"/>
        <w:outlineLvl w:val="9"/>
        <w:rPr>
          <w:rFonts w:hint="eastAsia" w:ascii="仿宋" w:hAnsi="仿宋" w:eastAsia="仿宋" w:cs="仿宋"/>
          <w:szCs w:val="21"/>
          <w:highlight w:val="none"/>
        </w:rPr>
      </w:pPr>
      <w:r>
        <w:rPr>
          <w:rFonts w:hint="eastAsia" w:ascii="仿宋" w:hAnsi="仿宋" w:eastAsia="仿宋" w:cs="仿宋"/>
          <w:szCs w:val="21"/>
          <w:highlight w:val="none"/>
        </w:rPr>
        <w:t>（4）在同一项目（或同一标段）中有多个投标人有效投标报价接近最高限价，且评标委员会认为报价出现异常的，可以宣布其投标无效；</w:t>
      </w:r>
    </w:p>
    <w:p w14:paraId="3CC39F61">
      <w:pPr>
        <w:spacing w:line="360" w:lineRule="auto"/>
        <w:ind w:firstLine="315" w:firstLineChars="150"/>
        <w:outlineLvl w:val="9"/>
        <w:rPr>
          <w:rFonts w:hint="eastAsia" w:ascii="仿宋" w:hAnsi="仿宋" w:eastAsia="仿宋" w:cs="仿宋"/>
          <w:szCs w:val="21"/>
          <w:highlight w:val="none"/>
        </w:rPr>
      </w:pPr>
      <w:r>
        <w:rPr>
          <w:rFonts w:hint="eastAsia" w:ascii="仿宋" w:hAnsi="仿宋" w:eastAsia="仿宋" w:cs="仿宋"/>
          <w:szCs w:val="21"/>
          <w:highlight w:val="none"/>
        </w:rPr>
        <w:t>（5）报价明显低于其他投标人，且不能证明报价合理性的投标无效；</w:t>
      </w:r>
    </w:p>
    <w:p w14:paraId="090CE835">
      <w:pPr>
        <w:spacing w:line="360" w:lineRule="auto"/>
        <w:ind w:firstLine="315" w:firstLineChars="150"/>
        <w:outlineLvl w:val="9"/>
        <w:rPr>
          <w:rFonts w:hint="eastAsia" w:ascii="仿宋" w:hAnsi="仿宋" w:eastAsia="仿宋" w:cs="仿宋"/>
          <w:szCs w:val="21"/>
          <w:highlight w:val="none"/>
        </w:rPr>
      </w:pPr>
      <w:r>
        <w:rPr>
          <w:rFonts w:hint="eastAsia" w:ascii="仿宋" w:hAnsi="仿宋" w:eastAsia="仿宋" w:cs="仿宋"/>
          <w:szCs w:val="21"/>
          <w:highlight w:val="none"/>
        </w:rPr>
        <w:t>（6）拒不确认评标委员会评审修正的投标无效；</w:t>
      </w:r>
    </w:p>
    <w:p w14:paraId="75FC6723">
      <w:pPr>
        <w:keepNext w:val="0"/>
        <w:keepLines w:val="0"/>
        <w:pageBreakBefore w:val="0"/>
        <w:widowControl w:val="0"/>
        <w:kinsoku/>
        <w:wordWrap/>
        <w:overflowPunct/>
        <w:topLinePunct w:val="0"/>
        <w:autoSpaceDE/>
        <w:autoSpaceDN/>
        <w:bidi w:val="0"/>
        <w:adjustRightInd/>
        <w:snapToGrid w:val="0"/>
        <w:spacing w:line="400" w:lineRule="exact"/>
        <w:ind w:firstLine="315" w:firstLineChars="150"/>
        <w:textAlignment w:val="auto"/>
        <w:outlineLvl w:val="9"/>
        <w:rPr>
          <w:rFonts w:hint="eastAsia" w:ascii="仿宋" w:hAnsi="仿宋" w:eastAsia="仿宋" w:cs="仿宋"/>
          <w:szCs w:val="21"/>
          <w:highlight w:val="none"/>
        </w:rPr>
      </w:pP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7</w:t>
      </w:r>
      <w:r>
        <w:rPr>
          <w:rFonts w:hint="eastAsia" w:ascii="仿宋" w:hAnsi="仿宋" w:eastAsia="仿宋" w:cs="仿宋"/>
          <w:szCs w:val="21"/>
          <w:highlight w:val="none"/>
          <w:lang w:eastAsia="zh-CN"/>
        </w:rPr>
        <w:t>）</w:t>
      </w:r>
      <w:r>
        <w:rPr>
          <w:rFonts w:hint="eastAsia" w:ascii="仿宋" w:hAnsi="仿宋" w:eastAsia="仿宋" w:cs="仿宋"/>
          <w:szCs w:val="21"/>
          <w:highlight w:val="none"/>
        </w:rPr>
        <w:t>其它情形，经评标委员会委提出按无效投标处理，并经公共资源交易监督部门核准的；</w:t>
      </w:r>
    </w:p>
    <w:p w14:paraId="58361396">
      <w:pPr>
        <w:keepNext w:val="0"/>
        <w:keepLines w:val="0"/>
        <w:pageBreakBefore w:val="0"/>
        <w:widowControl w:val="0"/>
        <w:kinsoku/>
        <w:wordWrap/>
        <w:overflowPunct/>
        <w:topLinePunct w:val="0"/>
        <w:autoSpaceDE/>
        <w:autoSpaceDN/>
        <w:bidi w:val="0"/>
        <w:adjustRightInd/>
        <w:snapToGrid w:val="0"/>
        <w:spacing w:line="400" w:lineRule="exact"/>
        <w:ind w:firstLine="315" w:firstLineChars="150"/>
        <w:textAlignment w:val="auto"/>
        <w:outlineLvl w:val="9"/>
        <w:rPr>
          <w:rFonts w:hint="eastAsia" w:ascii="仿宋" w:hAnsi="仿宋" w:eastAsia="仿宋" w:cs="仿宋"/>
          <w:szCs w:val="21"/>
          <w:highlight w:val="none"/>
        </w:rPr>
      </w:pPr>
      <w:r>
        <w:rPr>
          <w:rFonts w:hint="eastAsia" w:ascii="仿宋" w:hAnsi="仿宋" w:eastAsia="仿宋" w:cs="仿宋"/>
          <w:szCs w:val="21"/>
          <w:highlight w:val="none"/>
        </w:rPr>
        <w:t>（8）采购文件规定的其它无效投标情形。</w:t>
      </w:r>
    </w:p>
    <w:p w14:paraId="791BB87D">
      <w:pPr>
        <w:pageBreakBefore/>
        <w:spacing w:line="360" w:lineRule="auto"/>
        <w:jc w:val="center"/>
        <w:outlineLvl w:val="9"/>
        <w:rPr>
          <w:rFonts w:hint="eastAsia" w:ascii="仿宋" w:hAnsi="仿宋" w:eastAsia="仿宋" w:cs="仿宋"/>
          <w:b/>
          <w:sz w:val="32"/>
          <w:szCs w:val="32"/>
          <w:highlight w:val="none"/>
        </w:rPr>
        <w:sectPr>
          <w:pgSz w:w="11906" w:h="16838"/>
          <w:pgMar w:top="1440" w:right="1080" w:bottom="1440" w:left="1080" w:header="851" w:footer="992" w:gutter="0"/>
          <w:pgNumType w:fmt="decimal"/>
          <w:cols w:space="720" w:num="1"/>
          <w:docGrid w:type="linesAndChars" w:linePitch="312" w:charSpace="0"/>
        </w:sectPr>
      </w:pPr>
      <w:bookmarkStart w:id="127" w:name="OLE_LINK4"/>
    </w:p>
    <w:p w14:paraId="6E27DD00">
      <w:pPr>
        <w:pageBreakBefore/>
        <w:numPr>
          <w:ilvl w:val="0"/>
          <w:numId w:val="0"/>
        </w:numPr>
        <w:spacing w:line="360" w:lineRule="auto"/>
        <w:jc w:val="center"/>
        <w:outlineLvl w:val="0"/>
        <w:rPr>
          <w:rFonts w:hint="eastAsia" w:ascii="仿宋" w:hAnsi="仿宋" w:eastAsia="仿宋" w:cs="仿宋"/>
          <w:b/>
          <w:sz w:val="28"/>
          <w:szCs w:val="28"/>
          <w:highlight w:val="none"/>
        </w:rPr>
      </w:pPr>
      <w:bookmarkStart w:id="128" w:name="_Toc16209"/>
      <w:bookmarkStart w:id="129" w:name="_Toc1142"/>
      <w:bookmarkStart w:id="130" w:name="_Toc28390"/>
      <w:r>
        <w:rPr>
          <w:rFonts w:hint="eastAsia" w:ascii="仿宋" w:hAnsi="仿宋" w:eastAsia="仿宋" w:cs="仿宋"/>
          <w:b/>
          <w:sz w:val="32"/>
          <w:szCs w:val="32"/>
          <w:highlight w:val="none"/>
          <w:lang w:val="en-US" w:eastAsia="zh-CN"/>
        </w:rPr>
        <w:t>第四章</w:t>
      </w:r>
      <w:r>
        <w:rPr>
          <w:rFonts w:hint="eastAsia" w:ascii="仿宋" w:hAnsi="仿宋" w:eastAsia="仿宋" w:cs="仿宋"/>
          <w:b/>
          <w:sz w:val="32"/>
          <w:szCs w:val="32"/>
          <w:highlight w:val="none"/>
        </w:rPr>
        <w:t xml:space="preserve"> </w:t>
      </w:r>
      <w:bookmarkEnd w:id="103"/>
      <w:r>
        <w:rPr>
          <w:rFonts w:hint="eastAsia" w:ascii="仿宋" w:hAnsi="仿宋" w:eastAsia="仿宋" w:cs="仿宋"/>
          <w:b/>
          <w:sz w:val="32"/>
          <w:szCs w:val="32"/>
          <w:highlight w:val="none"/>
        </w:rPr>
        <w:t>招标项目技术要求及服务内容</w:t>
      </w:r>
      <w:bookmarkEnd w:id="128"/>
      <w:bookmarkEnd w:id="129"/>
      <w:bookmarkEnd w:id="130"/>
    </w:p>
    <w:p w14:paraId="043F487D">
      <w:pPr>
        <w:jc w:val="cente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bCs/>
          <w:color w:val="auto"/>
          <w:kern w:val="2"/>
          <w:sz w:val="28"/>
          <w:szCs w:val="28"/>
          <w:highlight w:val="none"/>
          <w:u w:color="000000"/>
          <w:lang w:val="en-US" w:eastAsia="zh-CN" w:bidi="ar-SA"/>
        </w:rPr>
        <w:t>政府公办福利机构购买社会服务项目招标项目技术要求及服务内容</w:t>
      </w:r>
    </w:p>
    <w:p w14:paraId="663EAD17">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一、项目总体概况</w:t>
      </w:r>
    </w:p>
    <w:p w14:paraId="057EA40E">
      <w:pPr>
        <w:ind w:firstLine="446" w:firstLineChars="200"/>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本项目为公办养老福利机构、特困人员供养服务中心购买社会化后勤保障及专业照料服务，服务范围包含生活护理服务、食堂餐饮服务、门卫安保值守、院区环境卫生保洁、园区绿化养护五大板块，服务人员统一由中标服务商派驻管理，严格按照民政行业服务规范、机构管理制度及甲方日常管理要求开展工作，保障福利机构入住特困人员、老人、残疾人等服务对象日常起居、饮食安全、院区秩序、环境整洁，全面提升公办福利机构运营服务质量。</w:t>
      </w:r>
    </w:p>
    <w:p w14:paraId="536A70EF">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二、总体技术服务标准</w:t>
      </w:r>
    </w:p>
    <w:p w14:paraId="0AEBCF37">
      <w:pPr>
        <w:ind w:firstLine="446" w:firstLineChars="200"/>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所有派驻服务人员身体健康、无传染病、无违法犯罪记录，持证上岗，服从机构统一调度管理。</w:t>
      </w:r>
    </w:p>
    <w:p w14:paraId="0B35F84F">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严格遵守消防安全、食品安全、民政福利机构管理各项规章制度，落实安全生产责任制。服务做到规范化、常态化、精细化，按时保质完成每日、每周、月度固定服务工作。接受甲方日常巡查、月度考核、季度考评，不合格服务立即整改。严禁虐待、歧视、冷落服务对象，文明服务、耐心照料，恪守职业道德。</w:t>
      </w:r>
    </w:p>
    <w:p w14:paraId="196853C3">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三、分项具体服务内容及技术要求</w:t>
      </w:r>
    </w:p>
    <w:p w14:paraId="7362A920">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（一）护理人员服务内容及技术要求</w:t>
      </w:r>
    </w:p>
    <w:p w14:paraId="5E7BB5A6">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1. 服务对象</w:t>
      </w:r>
    </w:p>
    <w:p w14:paraId="4C817226">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机构内特困供养人员、失能老人、半失能老人、行动不便人员、患病休养人员等</w:t>
      </w:r>
    </w:p>
    <w:p w14:paraId="3FCB91B9">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2. 核心服务内容</w:t>
      </w:r>
    </w:p>
    <w:p w14:paraId="7DFE42F6">
      <w:pPr>
        <w:rPr>
          <w:rFonts w:hint="default" w:ascii="仿宋" w:hAnsi="仿宋" w:eastAsia="仿宋" w:cs="仿宋"/>
          <w:b w:val="0"/>
          <w:bCs w:val="0"/>
          <w:color w:val="auto"/>
          <w:kern w:val="2"/>
          <w:sz w:val="22"/>
          <w:szCs w:val="22"/>
          <w:highlight w:val="none"/>
          <w:u w:color="000000"/>
          <w:lang w:val="en-US" w:eastAsia="zh-CN" w:bidi="ar-SA"/>
        </w:rPr>
      </w:pPr>
      <w:r>
        <w:rPr>
          <w:rFonts w:hint="eastAsia" w:ascii="仿宋" w:hAnsi="仿宋" w:eastAsia="仿宋" w:cs="仿宋"/>
          <w:b w:val="0"/>
          <w:bCs w:val="0"/>
          <w:color w:val="auto"/>
          <w:kern w:val="2"/>
          <w:sz w:val="22"/>
          <w:szCs w:val="22"/>
          <w:highlight w:val="none"/>
          <w:u w:color="000000"/>
          <w:lang w:val="en-US" w:eastAsia="zh-CN" w:bidi="ar-SA"/>
        </w:rPr>
        <w:t>1、</w:t>
      </w:r>
      <w:r>
        <w:rPr>
          <w:rFonts w:hint="default" w:ascii="仿宋" w:hAnsi="仿宋" w:eastAsia="仿宋" w:cs="仿宋"/>
          <w:b w:val="0"/>
          <w:bCs w:val="0"/>
          <w:color w:val="auto"/>
          <w:kern w:val="2"/>
          <w:sz w:val="22"/>
          <w:szCs w:val="22"/>
          <w:highlight w:val="none"/>
          <w:u w:color="000000"/>
          <w:lang w:val="en-US" w:eastAsia="zh-CN" w:bidi="ar-SA"/>
        </w:rPr>
        <w:t>日常起居照料</w:t>
      </w:r>
      <w:r>
        <w:rPr>
          <w:rFonts w:hint="eastAsia" w:ascii="仿宋" w:hAnsi="仿宋" w:eastAsia="仿宋" w:cs="仿宋"/>
          <w:b w:val="0"/>
          <w:bCs w:val="0"/>
          <w:color w:val="auto"/>
          <w:kern w:val="2"/>
          <w:sz w:val="22"/>
          <w:szCs w:val="22"/>
          <w:highlight w:val="none"/>
          <w:u w:color="000000"/>
          <w:lang w:val="en-US" w:eastAsia="zh-CN" w:bidi="ar-SA"/>
        </w:rPr>
        <w:t>：</w:t>
      </w:r>
      <w:r>
        <w:rPr>
          <w:rFonts w:hint="default" w:ascii="仿宋" w:hAnsi="仿宋" w:eastAsia="仿宋" w:cs="仿宋"/>
          <w:b w:val="0"/>
          <w:bCs w:val="0"/>
          <w:color w:val="auto"/>
          <w:kern w:val="2"/>
          <w:sz w:val="22"/>
          <w:szCs w:val="22"/>
          <w:highlight w:val="none"/>
          <w:u w:color="000000"/>
          <w:lang w:val="en-US" w:eastAsia="zh-CN" w:bidi="ar-SA"/>
        </w:rPr>
        <w:t>协助起床、穿衣、洗漱、梳头、剃须、整理床铺、更换被褥，定时整理居住房间内务。</w:t>
      </w:r>
    </w:p>
    <w:p w14:paraId="5A6E66D0">
      <w:pPr>
        <w:rPr>
          <w:rFonts w:hint="default" w:ascii="仿宋" w:hAnsi="仿宋" w:eastAsia="仿宋" w:cs="仿宋"/>
          <w:b w:val="0"/>
          <w:bCs w:val="0"/>
          <w:color w:val="auto"/>
          <w:kern w:val="2"/>
          <w:sz w:val="22"/>
          <w:szCs w:val="22"/>
          <w:highlight w:val="none"/>
          <w:u w:color="000000"/>
          <w:lang w:val="en-US" w:eastAsia="zh-CN" w:bidi="ar-SA"/>
        </w:rPr>
      </w:pPr>
      <w:r>
        <w:rPr>
          <w:rFonts w:hint="eastAsia" w:ascii="仿宋" w:hAnsi="仿宋" w:eastAsia="仿宋" w:cs="仿宋"/>
          <w:b w:val="0"/>
          <w:bCs w:val="0"/>
          <w:color w:val="auto"/>
          <w:kern w:val="2"/>
          <w:sz w:val="22"/>
          <w:szCs w:val="22"/>
          <w:highlight w:val="none"/>
          <w:u w:color="000000"/>
          <w:lang w:val="en-US" w:eastAsia="zh-CN" w:bidi="ar-SA"/>
        </w:rPr>
        <w:t>2、</w:t>
      </w:r>
      <w:r>
        <w:rPr>
          <w:rFonts w:hint="default" w:ascii="仿宋" w:hAnsi="仿宋" w:eastAsia="仿宋" w:cs="仿宋"/>
          <w:b w:val="0"/>
          <w:bCs w:val="0"/>
          <w:color w:val="auto"/>
          <w:kern w:val="2"/>
          <w:sz w:val="22"/>
          <w:szCs w:val="22"/>
          <w:highlight w:val="none"/>
          <w:u w:color="000000"/>
          <w:lang w:val="en-US" w:eastAsia="zh-CN" w:bidi="ar-SA"/>
        </w:rPr>
        <w:t>个人卫生护理</w:t>
      </w:r>
      <w:r>
        <w:rPr>
          <w:rFonts w:hint="eastAsia" w:ascii="仿宋" w:hAnsi="仿宋" w:eastAsia="仿宋" w:cs="仿宋"/>
          <w:b w:val="0"/>
          <w:bCs w:val="0"/>
          <w:color w:val="auto"/>
          <w:kern w:val="2"/>
          <w:sz w:val="22"/>
          <w:szCs w:val="22"/>
          <w:highlight w:val="none"/>
          <w:u w:color="000000"/>
          <w:lang w:val="en-US" w:eastAsia="zh-CN" w:bidi="ar-SA"/>
        </w:rPr>
        <w:t>：</w:t>
      </w:r>
      <w:r>
        <w:rPr>
          <w:rFonts w:hint="default" w:ascii="仿宋" w:hAnsi="仿宋" w:eastAsia="仿宋" w:cs="仿宋"/>
          <w:b w:val="0"/>
          <w:bCs w:val="0"/>
          <w:color w:val="auto"/>
          <w:kern w:val="2"/>
          <w:sz w:val="22"/>
          <w:szCs w:val="22"/>
          <w:highlight w:val="none"/>
          <w:u w:color="000000"/>
          <w:lang w:val="en-US" w:eastAsia="zh-CN" w:bidi="ar-SA"/>
        </w:rPr>
        <w:t>定时协助洗澡、洗头、洗脚、修剪指甲，定期更换贴身衣物，做好个人仪容整洁。</w:t>
      </w:r>
    </w:p>
    <w:p w14:paraId="5C2796F5">
      <w:pPr>
        <w:rPr>
          <w:rFonts w:hint="default" w:ascii="仿宋" w:hAnsi="仿宋" w:eastAsia="仿宋" w:cs="仿宋"/>
          <w:b w:val="0"/>
          <w:bCs w:val="0"/>
          <w:color w:val="auto"/>
          <w:kern w:val="2"/>
          <w:sz w:val="22"/>
          <w:szCs w:val="22"/>
          <w:highlight w:val="none"/>
          <w:u w:color="000000"/>
          <w:lang w:val="en-US" w:eastAsia="zh-CN" w:bidi="ar-SA"/>
        </w:rPr>
      </w:pPr>
      <w:r>
        <w:rPr>
          <w:rFonts w:hint="eastAsia" w:ascii="仿宋" w:hAnsi="仿宋" w:eastAsia="仿宋" w:cs="仿宋"/>
          <w:b w:val="0"/>
          <w:bCs w:val="0"/>
          <w:color w:val="auto"/>
          <w:kern w:val="2"/>
          <w:sz w:val="22"/>
          <w:szCs w:val="22"/>
          <w:highlight w:val="none"/>
          <w:u w:color="000000"/>
          <w:lang w:val="en-US" w:eastAsia="zh-CN" w:bidi="ar-SA"/>
        </w:rPr>
        <w:t>3、</w:t>
      </w:r>
      <w:r>
        <w:rPr>
          <w:rFonts w:hint="default" w:ascii="仿宋" w:hAnsi="仿宋" w:eastAsia="仿宋" w:cs="仿宋"/>
          <w:b w:val="0"/>
          <w:bCs w:val="0"/>
          <w:color w:val="auto"/>
          <w:kern w:val="2"/>
          <w:sz w:val="22"/>
          <w:szCs w:val="22"/>
          <w:highlight w:val="none"/>
          <w:u w:color="000000"/>
          <w:lang w:val="en-US" w:eastAsia="zh-CN" w:bidi="ar-SA"/>
        </w:rPr>
        <w:t>饮食协助照料</w:t>
      </w:r>
      <w:r>
        <w:rPr>
          <w:rFonts w:hint="eastAsia" w:ascii="仿宋" w:hAnsi="仿宋" w:eastAsia="仿宋" w:cs="仿宋"/>
          <w:b w:val="0"/>
          <w:bCs w:val="0"/>
          <w:color w:val="auto"/>
          <w:kern w:val="2"/>
          <w:sz w:val="22"/>
          <w:szCs w:val="22"/>
          <w:highlight w:val="none"/>
          <w:u w:color="000000"/>
          <w:lang w:val="en-US" w:eastAsia="zh-CN" w:bidi="ar-SA"/>
        </w:rPr>
        <w:t>：</w:t>
      </w:r>
      <w:r>
        <w:rPr>
          <w:rFonts w:hint="default" w:ascii="仿宋" w:hAnsi="仿宋" w:eastAsia="仿宋" w:cs="仿宋"/>
          <w:b w:val="0"/>
          <w:bCs w:val="0"/>
          <w:color w:val="auto"/>
          <w:kern w:val="2"/>
          <w:sz w:val="22"/>
          <w:szCs w:val="22"/>
          <w:highlight w:val="none"/>
          <w:u w:color="000000"/>
          <w:lang w:val="en-US" w:eastAsia="zh-CN" w:bidi="ar-SA"/>
        </w:rPr>
        <w:t>协助行动不便、吞咽困难人员就餐、喂水、喂饭，按需递送饮用水。</w:t>
      </w:r>
    </w:p>
    <w:p w14:paraId="4D828D3E">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如厕与排泄护理</w:t>
      </w:r>
      <w:r>
        <w:rPr>
          <w:rFonts w:hint="eastAsia" w:ascii="仿宋" w:hAnsi="仿宋" w:eastAsia="仿宋" w:cs="仿宋"/>
          <w:b w:val="0"/>
          <w:bCs w:val="0"/>
          <w:color w:val="auto"/>
          <w:kern w:val="2"/>
          <w:sz w:val="22"/>
          <w:szCs w:val="22"/>
          <w:highlight w:val="none"/>
          <w:u w:color="000000"/>
          <w:lang w:val="en-US" w:eastAsia="zh-CN" w:bidi="ar-SA"/>
        </w:rPr>
        <w:t>：</w:t>
      </w:r>
      <w:r>
        <w:rPr>
          <w:rFonts w:hint="default" w:ascii="仿宋" w:hAnsi="仿宋" w:eastAsia="仿宋" w:cs="仿宋"/>
          <w:b w:val="0"/>
          <w:bCs w:val="0"/>
          <w:color w:val="auto"/>
          <w:kern w:val="2"/>
          <w:sz w:val="22"/>
          <w:szCs w:val="22"/>
          <w:highlight w:val="none"/>
          <w:u w:color="000000"/>
          <w:lang w:val="en-US" w:eastAsia="zh-CN" w:bidi="ar-SA"/>
        </w:rPr>
        <w:t>协助如厕、搀扶行走，对失能人员做好尿布更换、身体清洁、褥疮预防护理。</w:t>
      </w:r>
    </w:p>
    <w:p w14:paraId="72330C84">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巡查看护服务</w:t>
      </w:r>
      <w:r>
        <w:rPr>
          <w:rFonts w:hint="eastAsia" w:ascii="仿宋" w:hAnsi="仿宋" w:eastAsia="仿宋" w:cs="仿宋"/>
          <w:b w:val="0"/>
          <w:bCs w:val="0"/>
          <w:color w:val="auto"/>
          <w:kern w:val="2"/>
          <w:sz w:val="22"/>
          <w:szCs w:val="22"/>
          <w:highlight w:val="none"/>
          <w:u w:color="000000"/>
          <w:lang w:val="en-US" w:eastAsia="zh-CN" w:bidi="ar-SA"/>
        </w:rPr>
        <w:t>：</w:t>
      </w:r>
      <w:r>
        <w:rPr>
          <w:rFonts w:hint="default" w:ascii="仿宋" w:hAnsi="仿宋" w:eastAsia="仿宋" w:cs="仿宋"/>
          <w:b w:val="0"/>
          <w:bCs w:val="0"/>
          <w:color w:val="auto"/>
          <w:kern w:val="2"/>
          <w:sz w:val="22"/>
          <w:szCs w:val="22"/>
          <w:highlight w:val="none"/>
          <w:u w:color="000000"/>
          <w:lang w:val="en-US" w:eastAsia="zh-CN" w:bidi="ar-SA"/>
        </w:rPr>
        <w:t>实行24小时轮值巡查，夜间定时查房，密切关注服务对象身体状态、情绪状态，突发不适第一时间上报机构管理人员。</w:t>
      </w:r>
    </w:p>
    <w:p w14:paraId="3B8BF074">
      <w:pPr>
        <w:rPr>
          <w:rFonts w:hint="default" w:ascii="仿宋" w:hAnsi="仿宋" w:eastAsia="仿宋" w:cs="仿宋"/>
          <w:b w:val="0"/>
          <w:bCs w:val="0"/>
          <w:color w:val="auto"/>
          <w:kern w:val="2"/>
          <w:sz w:val="22"/>
          <w:szCs w:val="22"/>
          <w:highlight w:val="none"/>
          <w:u w:color="000000"/>
          <w:lang w:val="en-US" w:eastAsia="zh-CN" w:bidi="ar-SA"/>
        </w:rPr>
      </w:pPr>
      <w:r>
        <w:rPr>
          <w:rFonts w:hint="eastAsia" w:ascii="仿宋" w:hAnsi="仿宋" w:eastAsia="仿宋" w:cs="仿宋"/>
          <w:b w:val="0"/>
          <w:bCs w:val="0"/>
          <w:color w:val="auto"/>
          <w:kern w:val="2"/>
          <w:sz w:val="22"/>
          <w:szCs w:val="22"/>
          <w:highlight w:val="none"/>
          <w:u w:color="000000"/>
          <w:lang w:val="en-US" w:eastAsia="zh-CN" w:bidi="ar-SA"/>
        </w:rPr>
        <w:t>4、</w:t>
      </w:r>
      <w:r>
        <w:rPr>
          <w:rFonts w:hint="default" w:ascii="仿宋" w:hAnsi="仿宋" w:eastAsia="仿宋" w:cs="仿宋"/>
          <w:b w:val="0"/>
          <w:bCs w:val="0"/>
          <w:color w:val="auto"/>
          <w:kern w:val="2"/>
          <w:sz w:val="22"/>
          <w:szCs w:val="22"/>
          <w:highlight w:val="none"/>
          <w:u w:color="000000"/>
          <w:lang w:val="en-US" w:eastAsia="zh-CN" w:bidi="ar-SA"/>
        </w:rPr>
        <w:t>康复简易陪护</w:t>
      </w:r>
      <w:r>
        <w:rPr>
          <w:rFonts w:hint="eastAsia" w:ascii="仿宋" w:hAnsi="仿宋" w:eastAsia="仿宋" w:cs="仿宋"/>
          <w:b w:val="0"/>
          <w:bCs w:val="0"/>
          <w:color w:val="auto"/>
          <w:kern w:val="2"/>
          <w:sz w:val="22"/>
          <w:szCs w:val="22"/>
          <w:highlight w:val="none"/>
          <w:u w:color="000000"/>
          <w:lang w:val="en-US" w:eastAsia="zh-CN" w:bidi="ar-SA"/>
        </w:rPr>
        <w:t>：</w:t>
      </w:r>
      <w:r>
        <w:rPr>
          <w:rFonts w:hint="default" w:ascii="仿宋" w:hAnsi="仿宋" w:eastAsia="仿宋" w:cs="仿宋"/>
          <w:b w:val="0"/>
          <w:bCs w:val="0"/>
          <w:color w:val="auto"/>
          <w:kern w:val="2"/>
          <w:sz w:val="22"/>
          <w:szCs w:val="22"/>
          <w:highlight w:val="none"/>
          <w:u w:color="000000"/>
          <w:lang w:val="en-US" w:eastAsia="zh-CN" w:bidi="ar-SA"/>
        </w:rPr>
        <w:t>陪同院内轻度康复活动、院内散步活动，做好出行搀扶防护。</w:t>
      </w:r>
    </w:p>
    <w:p w14:paraId="3FE0F26B">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情绪心理疏导</w:t>
      </w:r>
      <w:r>
        <w:rPr>
          <w:rFonts w:hint="eastAsia" w:ascii="仿宋" w:hAnsi="仿宋" w:eastAsia="仿宋" w:cs="仿宋"/>
          <w:b w:val="0"/>
          <w:bCs w:val="0"/>
          <w:color w:val="auto"/>
          <w:kern w:val="2"/>
          <w:sz w:val="22"/>
          <w:szCs w:val="22"/>
          <w:highlight w:val="none"/>
          <w:u w:color="000000"/>
          <w:lang w:val="en-US" w:eastAsia="zh-CN" w:bidi="ar-SA"/>
        </w:rPr>
        <w:t>：</w:t>
      </w:r>
      <w:r>
        <w:rPr>
          <w:rFonts w:hint="default" w:ascii="仿宋" w:hAnsi="仿宋" w:eastAsia="仿宋" w:cs="仿宋"/>
          <w:b w:val="0"/>
          <w:bCs w:val="0"/>
          <w:color w:val="auto"/>
          <w:kern w:val="2"/>
          <w:sz w:val="22"/>
          <w:szCs w:val="22"/>
          <w:highlight w:val="none"/>
          <w:u w:color="000000"/>
          <w:lang w:val="en-US" w:eastAsia="zh-CN" w:bidi="ar-SA"/>
        </w:rPr>
        <w:t>日常谈心陪伴，安抚独居老人情绪，及时化解矛盾，关爱孤寡特困人员。</w:t>
      </w:r>
    </w:p>
    <w:p w14:paraId="5241D36B">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基础健康协助</w:t>
      </w:r>
      <w:r>
        <w:rPr>
          <w:rFonts w:hint="eastAsia" w:ascii="仿宋" w:hAnsi="仿宋" w:eastAsia="仿宋" w:cs="仿宋"/>
          <w:b w:val="0"/>
          <w:bCs w:val="0"/>
          <w:color w:val="auto"/>
          <w:kern w:val="2"/>
          <w:sz w:val="22"/>
          <w:szCs w:val="22"/>
          <w:highlight w:val="none"/>
          <w:u w:color="000000"/>
          <w:lang w:val="en-US" w:eastAsia="zh-CN" w:bidi="ar-SA"/>
        </w:rPr>
        <w:t>：</w:t>
      </w:r>
      <w:r>
        <w:rPr>
          <w:rFonts w:hint="default" w:ascii="仿宋" w:hAnsi="仿宋" w:eastAsia="仿宋" w:cs="仿宋"/>
          <w:b w:val="0"/>
          <w:bCs w:val="0"/>
          <w:color w:val="auto"/>
          <w:kern w:val="2"/>
          <w:sz w:val="22"/>
          <w:szCs w:val="22"/>
          <w:highlight w:val="none"/>
          <w:u w:color="000000"/>
          <w:lang w:val="en-US" w:eastAsia="zh-CN" w:bidi="ar-SA"/>
        </w:rPr>
        <w:t>遵照机构医护指引，协助按时按量分发口服药品（不含诊疗行医），记录日常身体基本状况。</w:t>
      </w:r>
    </w:p>
    <w:p w14:paraId="753F6532">
      <w:pPr>
        <w:rPr>
          <w:rFonts w:hint="default" w:ascii="仿宋" w:hAnsi="仿宋" w:eastAsia="仿宋" w:cs="仿宋"/>
          <w:b w:val="0"/>
          <w:bCs w:val="0"/>
          <w:color w:val="auto"/>
          <w:kern w:val="2"/>
          <w:sz w:val="22"/>
          <w:szCs w:val="22"/>
          <w:highlight w:val="none"/>
          <w:u w:color="000000"/>
          <w:lang w:val="en-US" w:eastAsia="zh-CN" w:bidi="ar-SA"/>
        </w:rPr>
      </w:pPr>
      <w:r>
        <w:rPr>
          <w:rFonts w:hint="eastAsia" w:ascii="仿宋" w:hAnsi="仿宋" w:eastAsia="仿宋" w:cs="仿宋"/>
          <w:b w:val="0"/>
          <w:bCs w:val="0"/>
          <w:color w:val="auto"/>
          <w:kern w:val="2"/>
          <w:sz w:val="22"/>
          <w:szCs w:val="22"/>
          <w:highlight w:val="none"/>
          <w:u w:color="000000"/>
          <w:lang w:val="en-US" w:eastAsia="zh-CN" w:bidi="ar-SA"/>
        </w:rPr>
        <w:t>5、</w:t>
      </w:r>
      <w:r>
        <w:rPr>
          <w:rFonts w:hint="default" w:ascii="仿宋" w:hAnsi="仿宋" w:eastAsia="仿宋" w:cs="仿宋"/>
          <w:b w:val="0"/>
          <w:bCs w:val="0"/>
          <w:color w:val="auto"/>
          <w:kern w:val="2"/>
          <w:sz w:val="22"/>
          <w:szCs w:val="22"/>
          <w:highlight w:val="none"/>
          <w:u w:color="000000"/>
          <w:lang w:val="en-US" w:eastAsia="zh-CN" w:bidi="ar-SA"/>
        </w:rPr>
        <w:t>活动组织配合</w:t>
      </w:r>
      <w:r>
        <w:rPr>
          <w:rFonts w:hint="eastAsia" w:ascii="仿宋" w:hAnsi="仿宋" w:eastAsia="仿宋" w:cs="仿宋"/>
          <w:b w:val="0"/>
          <w:bCs w:val="0"/>
          <w:color w:val="auto"/>
          <w:kern w:val="2"/>
          <w:sz w:val="22"/>
          <w:szCs w:val="22"/>
          <w:highlight w:val="none"/>
          <w:u w:color="000000"/>
          <w:lang w:val="en-US" w:eastAsia="zh-CN" w:bidi="ar-SA"/>
        </w:rPr>
        <w:t>：</w:t>
      </w:r>
      <w:r>
        <w:rPr>
          <w:rFonts w:hint="default" w:ascii="仿宋" w:hAnsi="仿宋" w:eastAsia="仿宋" w:cs="仿宋"/>
          <w:b w:val="0"/>
          <w:bCs w:val="0"/>
          <w:color w:val="auto"/>
          <w:kern w:val="2"/>
          <w:sz w:val="22"/>
          <w:szCs w:val="22"/>
          <w:highlight w:val="none"/>
          <w:u w:color="000000"/>
          <w:lang w:val="en-US" w:eastAsia="zh-CN" w:bidi="ar-SA"/>
        </w:rPr>
        <w:t>配合机构开展文娱活动、节日活动、集体休闲活动，全程做好陪护保障。</w:t>
      </w:r>
    </w:p>
    <w:p w14:paraId="402B9A04">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3. 技术硬性要求</w:t>
      </w:r>
    </w:p>
    <w:p w14:paraId="0C7EB0C8">
      <w:pPr>
        <w:rPr>
          <w:rFonts w:hint="default" w:ascii="仿宋" w:hAnsi="仿宋" w:eastAsia="仿宋" w:cs="仿宋"/>
          <w:b w:val="0"/>
          <w:bCs w:val="0"/>
          <w:color w:val="auto"/>
          <w:kern w:val="2"/>
          <w:sz w:val="22"/>
          <w:szCs w:val="22"/>
          <w:highlight w:val="none"/>
          <w:u w:color="000000"/>
          <w:lang w:val="en-US" w:eastAsia="zh-CN" w:bidi="ar-SA"/>
        </w:rPr>
      </w:pPr>
      <w:r>
        <w:rPr>
          <w:rFonts w:hint="eastAsia" w:ascii="仿宋" w:hAnsi="仿宋" w:eastAsia="仿宋" w:cs="仿宋"/>
          <w:b w:val="0"/>
          <w:bCs w:val="0"/>
          <w:color w:val="auto"/>
          <w:kern w:val="2"/>
          <w:sz w:val="22"/>
          <w:szCs w:val="22"/>
          <w:highlight w:val="none"/>
          <w:u w:color="000000"/>
          <w:lang w:val="en-US" w:eastAsia="zh-CN" w:bidi="ar-SA"/>
        </w:rPr>
        <w:t>1、</w:t>
      </w:r>
      <w:r>
        <w:rPr>
          <w:rFonts w:hint="default" w:ascii="仿宋" w:hAnsi="仿宋" w:eastAsia="仿宋" w:cs="仿宋"/>
          <w:b w:val="0"/>
          <w:bCs w:val="0"/>
          <w:color w:val="auto"/>
          <w:kern w:val="2"/>
          <w:sz w:val="22"/>
          <w:szCs w:val="22"/>
          <w:highlight w:val="none"/>
          <w:u w:color="000000"/>
          <w:lang w:val="en-US" w:eastAsia="zh-CN" w:bidi="ar-SA"/>
        </w:rPr>
        <w:t>护理人员具备养老护理相关从业经验，优先持有养老护理员职业资格证。</w:t>
      </w:r>
    </w:p>
    <w:p w14:paraId="5C181929">
      <w:pPr>
        <w:rPr>
          <w:rFonts w:hint="default" w:ascii="仿宋" w:hAnsi="仿宋" w:eastAsia="仿宋" w:cs="仿宋"/>
          <w:b w:val="0"/>
          <w:bCs w:val="0"/>
          <w:color w:val="auto"/>
          <w:kern w:val="2"/>
          <w:sz w:val="22"/>
          <w:szCs w:val="22"/>
          <w:highlight w:val="none"/>
          <w:u w:color="000000"/>
          <w:lang w:val="en-US" w:eastAsia="zh-CN" w:bidi="ar-SA"/>
        </w:rPr>
      </w:pPr>
      <w:r>
        <w:rPr>
          <w:rFonts w:hint="eastAsia" w:ascii="仿宋" w:hAnsi="仿宋" w:eastAsia="仿宋" w:cs="仿宋"/>
          <w:b w:val="0"/>
          <w:bCs w:val="0"/>
          <w:color w:val="auto"/>
          <w:kern w:val="2"/>
          <w:sz w:val="22"/>
          <w:szCs w:val="22"/>
          <w:highlight w:val="none"/>
          <w:u w:color="000000"/>
          <w:lang w:val="en-US" w:eastAsia="zh-CN" w:bidi="ar-SA"/>
        </w:rPr>
        <w:t>2、</w:t>
      </w:r>
      <w:r>
        <w:rPr>
          <w:rFonts w:hint="default" w:ascii="仿宋" w:hAnsi="仿宋" w:eastAsia="仿宋" w:cs="仿宋"/>
          <w:b w:val="0"/>
          <w:bCs w:val="0"/>
          <w:color w:val="auto"/>
          <w:kern w:val="2"/>
          <w:sz w:val="22"/>
          <w:szCs w:val="22"/>
          <w:highlight w:val="none"/>
          <w:u w:color="000000"/>
          <w:lang w:val="en-US" w:eastAsia="zh-CN" w:bidi="ar-SA"/>
        </w:rPr>
        <w:t>熟练掌握褥疮护理、卧床老人照料、应急简单救助常识。</w:t>
      </w:r>
    </w:p>
    <w:p w14:paraId="5F081095">
      <w:pPr>
        <w:rPr>
          <w:rFonts w:hint="default" w:ascii="仿宋" w:hAnsi="仿宋" w:eastAsia="仿宋" w:cs="仿宋"/>
          <w:b w:val="0"/>
          <w:bCs w:val="0"/>
          <w:color w:val="auto"/>
          <w:kern w:val="2"/>
          <w:sz w:val="22"/>
          <w:szCs w:val="22"/>
          <w:highlight w:val="none"/>
          <w:u w:color="000000"/>
          <w:lang w:val="en-US" w:eastAsia="zh-CN" w:bidi="ar-SA"/>
        </w:rPr>
      </w:pPr>
      <w:r>
        <w:rPr>
          <w:rFonts w:hint="eastAsia" w:ascii="仿宋" w:hAnsi="仿宋" w:eastAsia="仿宋" w:cs="仿宋"/>
          <w:b w:val="0"/>
          <w:bCs w:val="0"/>
          <w:color w:val="auto"/>
          <w:kern w:val="2"/>
          <w:sz w:val="22"/>
          <w:szCs w:val="22"/>
          <w:highlight w:val="none"/>
          <w:u w:color="000000"/>
          <w:lang w:val="en-US" w:eastAsia="zh-CN" w:bidi="ar-SA"/>
        </w:rPr>
        <w:t>3、</w:t>
      </w:r>
      <w:r>
        <w:rPr>
          <w:rFonts w:hint="default" w:ascii="仿宋" w:hAnsi="仿宋" w:eastAsia="仿宋" w:cs="仿宋"/>
          <w:b w:val="0"/>
          <w:bCs w:val="0"/>
          <w:color w:val="auto"/>
          <w:kern w:val="2"/>
          <w:sz w:val="22"/>
          <w:szCs w:val="22"/>
          <w:highlight w:val="none"/>
          <w:u w:color="000000"/>
          <w:lang w:val="en-US" w:eastAsia="zh-CN" w:bidi="ar-SA"/>
        </w:rPr>
        <w:t>严格区分自理、半失能、全失能人员照料标准，分类精准服务。</w:t>
      </w:r>
    </w:p>
    <w:p w14:paraId="3C7A424B">
      <w:pPr>
        <w:rPr>
          <w:rFonts w:hint="default" w:ascii="仿宋" w:hAnsi="仿宋" w:eastAsia="仿宋" w:cs="仿宋"/>
          <w:b w:val="0"/>
          <w:bCs w:val="0"/>
          <w:color w:val="auto"/>
          <w:kern w:val="2"/>
          <w:sz w:val="22"/>
          <w:szCs w:val="22"/>
          <w:highlight w:val="none"/>
          <w:u w:color="000000"/>
          <w:lang w:val="en-US" w:eastAsia="zh-CN" w:bidi="ar-SA"/>
        </w:rPr>
      </w:pPr>
      <w:r>
        <w:rPr>
          <w:rFonts w:hint="eastAsia" w:ascii="仿宋" w:hAnsi="仿宋" w:eastAsia="仿宋" w:cs="仿宋"/>
          <w:b w:val="0"/>
          <w:bCs w:val="0"/>
          <w:color w:val="auto"/>
          <w:kern w:val="2"/>
          <w:sz w:val="22"/>
          <w:szCs w:val="22"/>
          <w:highlight w:val="none"/>
          <w:u w:color="000000"/>
          <w:lang w:val="en-US" w:eastAsia="zh-CN" w:bidi="ar-SA"/>
        </w:rPr>
        <w:t>4、</w:t>
      </w:r>
      <w:r>
        <w:rPr>
          <w:rFonts w:hint="default" w:ascii="仿宋" w:hAnsi="仿宋" w:eastAsia="仿宋" w:cs="仿宋"/>
          <w:b w:val="0"/>
          <w:bCs w:val="0"/>
          <w:color w:val="auto"/>
          <w:kern w:val="2"/>
          <w:sz w:val="22"/>
          <w:szCs w:val="22"/>
          <w:highlight w:val="none"/>
          <w:u w:color="000000"/>
          <w:lang w:val="en-US" w:eastAsia="zh-CN" w:bidi="ar-SA"/>
        </w:rPr>
        <w:t>护理区域无异味、床铺整洁干净、生活用品摆放规范。</w:t>
      </w:r>
    </w:p>
    <w:p w14:paraId="7AC6817B">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（二）食堂厨师及后厨人员服务内容及技术要求</w:t>
      </w:r>
    </w:p>
    <w:p w14:paraId="398C74EF">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1. 岗位配置</w:t>
      </w:r>
    </w:p>
    <w:p w14:paraId="4B480336">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主厨、帮厨、食材清洗分拣人员</w:t>
      </w:r>
    </w:p>
    <w:p w14:paraId="2F6A023D">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2. 核心服务内容</w:t>
      </w:r>
    </w:p>
    <w:p w14:paraId="6757CF41">
      <w:pPr>
        <w:rPr>
          <w:rFonts w:hint="default" w:ascii="仿宋" w:hAnsi="仿宋" w:eastAsia="仿宋" w:cs="仿宋"/>
          <w:b w:val="0"/>
          <w:bCs w:val="0"/>
          <w:color w:val="auto"/>
          <w:kern w:val="2"/>
          <w:sz w:val="22"/>
          <w:szCs w:val="22"/>
          <w:highlight w:val="none"/>
          <w:u w:color="000000"/>
          <w:lang w:val="en-US" w:eastAsia="zh-CN" w:bidi="ar-SA"/>
        </w:rPr>
      </w:pPr>
      <w:r>
        <w:rPr>
          <w:rFonts w:hint="eastAsia" w:ascii="仿宋" w:hAnsi="仿宋" w:eastAsia="仿宋" w:cs="仿宋"/>
          <w:b w:val="0"/>
          <w:bCs w:val="0"/>
          <w:color w:val="auto"/>
          <w:kern w:val="2"/>
          <w:sz w:val="22"/>
          <w:szCs w:val="22"/>
          <w:highlight w:val="none"/>
          <w:u w:color="000000"/>
          <w:lang w:val="en-US" w:eastAsia="zh-CN" w:bidi="ar-SA"/>
        </w:rPr>
        <w:t>①</w:t>
      </w:r>
      <w:r>
        <w:rPr>
          <w:rFonts w:hint="default" w:ascii="仿宋" w:hAnsi="仿宋" w:eastAsia="仿宋" w:cs="仿宋"/>
          <w:b w:val="0"/>
          <w:bCs w:val="0"/>
          <w:color w:val="auto"/>
          <w:kern w:val="2"/>
          <w:sz w:val="22"/>
          <w:szCs w:val="22"/>
          <w:highlight w:val="none"/>
          <w:u w:color="000000"/>
          <w:lang w:val="en-US" w:eastAsia="zh-CN" w:bidi="ar-SA"/>
        </w:rPr>
        <w:t>日常三餐制作</w:t>
      </w:r>
    </w:p>
    <w:p w14:paraId="510420FC">
      <w:pPr>
        <w:ind w:firstLine="446" w:firstLineChars="200"/>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按照福利机构膳食食谱，按时制作早餐、午餐、晚餐，按需提供加餐、流食、软食、病号餐。</w:t>
      </w:r>
    </w:p>
    <w:p w14:paraId="16771AAE">
      <w:pPr>
        <w:rPr>
          <w:rFonts w:hint="default" w:ascii="仿宋" w:hAnsi="仿宋" w:eastAsia="仿宋" w:cs="仿宋"/>
          <w:b w:val="0"/>
          <w:bCs w:val="0"/>
          <w:color w:val="auto"/>
          <w:kern w:val="2"/>
          <w:sz w:val="22"/>
          <w:szCs w:val="22"/>
          <w:highlight w:val="none"/>
          <w:u w:color="000000"/>
          <w:lang w:val="en-US" w:eastAsia="zh-CN" w:bidi="ar-SA"/>
        </w:rPr>
      </w:pPr>
      <w:r>
        <w:rPr>
          <w:rFonts w:hint="eastAsia" w:ascii="仿宋" w:hAnsi="仿宋" w:eastAsia="仿宋" w:cs="仿宋"/>
          <w:b w:val="0"/>
          <w:bCs w:val="0"/>
          <w:color w:val="auto"/>
          <w:kern w:val="2"/>
          <w:sz w:val="22"/>
          <w:szCs w:val="22"/>
          <w:highlight w:val="none"/>
          <w:u w:color="000000"/>
          <w:lang w:val="en-US" w:eastAsia="zh-CN" w:bidi="ar-SA"/>
        </w:rPr>
        <w:t>②</w:t>
      </w:r>
      <w:r>
        <w:rPr>
          <w:rFonts w:hint="default" w:ascii="仿宋" w:hAnsi="仿宋" w:eastAsia="仿宋" w:cs="仿宋"/>
          <w:b w:val="0"/>
          <w:bCs w:val="0"/>
          <w:color w:val="auto"/>
          <w:kern w:val="2"/>
          <w:sz w:val="22"/>
          <w:szCs w:val="22"/>
          <w:highlight w:val="none"/>
          <w:u w:color="000000"/>
          <w:lang w:val="en-US" w:eastAsia="zh-CN" w:bidi="ar-SA"/>
        </w:rPr>
        <w:t>食材验收与储存</w:t>
      </w:r>
      <w:r>
        <w:rPr>
          <w:rFonts w:hint="eastAsia" w:ascii="仿宋" w:hAnsi="仿宋" w:eastAsia="仿宋" w:cs="仿宋"/>
          <w:b w:val="0"/>
          <w:bCs w:val="0"/>
          <w:color w:val="auto"/>
          <w:kern w:val="2"/>
          <w:sz w:val="22"/>
          <w:szCs w:val="22"/>
          <w:highlight w:val="none"/>
          <w:u w:color="000000"/>
          <w:lang w:val="en-US" w:eastAsia="zh-CN" w:bidi="ar-SA"/>
        </w:rPr>
        <w:t>；</w:t>
      </w:r>
    </w:p>
    <w:p w14:paraId="6ABBB769">
      <w:pPr>
        <w:ind w:firstLine="446" w:firstLineChars="200"/>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配合机构完成食材入库验收，分类冷藏、冷冻储存食材，杜绝变质、过期食材使用。</w:t>
      </w:r>
    </w:p>
    <w:p w14:paraId="4D60D4CD">
      <w:pPr>
        <w:rPr>
          <w:rFonts w:hint="default" w:ascii="仿宋" w:hAnsi="仿宋" w:eastAsia="仿宋" w:cs="仿宋"/>
          <w:b w:val="0"/>
          <w:bCs w:val="0"/>
          <w:color w:val="auto"/>
          <w:kern w:val="2"/>
          <w:sz w:val="22"/>
          <w:szCs w:val="22"/>
          <w:highlight w:val="none"/>
          <w:u w:color="000000"/>
          <w:lang w:val="en-US" w:eastAsia="zh-CN" w:bidi="ar-SA"/>
        </w:rPr>
      </w:pPr>
      <w:r>
        <w:rPr>
          <w:rFonts w:hint="eastAsia" w:ascii="仿宋" w:hAnsi="仿宋" w:eastAsia="仿宋" w:cs="仿宋"/>
          <w:b w:val="0"/>
          <w:bCs w:val="0"/>
          <w:color w:val="auto"/>
          <w:kern w:val="2"/>
          <w:sz w:val="22"/>
          <w:szCs w:val="22"/>
          <w:highlight w:val="none"/>
          <w:u w:color="000000"/>
          <w:lang w:val="en-US" w:eastAsia="zh-CN" w:bidi="ar-SA"/>
        </w:rPr>
        <w:t>③</w:t>
      </w:r>
      <w:r>
        <w:rPr>
          <w:rFonts w:hint="default" w:ascii="仿宋" w:hAnsi="仿宋" w:eastAsia="仿宋" w:cs="仿宋"/>
          <w:b w:val="0"/>
          <w:bCs w:val="0"/>
          <w:color w:val="auto"/>
          <w:kern w:val="2"/>
          <w:sz w:val="22"/>
          <w:szCs w:val="22"/>
          <w:highlight w:val="none"/>
          <w:u w:color="000000"/>
          <w:lang w:val="en-US" w:eastAsia="zh-CN" w:bidi="ar-SA"/>
        </w:rPr>
        <w:t>荤素合理搭配</w:t>
      </w:r>
    </w:p>
    <w:p w14:paraId="57EAC0C2">
      <w:pPr>
        <w:ind w:firstLine="446" w:firstLineChars="200"/>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贴合老年人、特困人员饮食习惯，做到软烂易嚼、清淡少油少盐，营养均衡。</w:t>
      </w:r>
    </w:p>
    <w:p w14:paraId="14104CD3">
      <w:pPr>
        <w:rPr>
          <w:rFonts w:hint="default" w:ascii="仿宋" w:hAnsi="仿宋" w:eastAsia="仿宋" w:cs="仿宋"/>
          <w:b w:val="0"/>
          <w:bCs w:val="0"/>
          <w:color w:val="auto"/>
          <w:kern w:val="2"/>
          <w:sz w:val="22"/>
          <w:szCs w:val="22"/>
          <w:highlight w:val="none"/>
          <w:u w:color="000000"/>
          <w:lang w:val="en-US" w:eastAsia="zh-CN" w:bidi="ar-SA"/>
        </w:rPr>
      </w:pPr>
      <w:r>
        <w:rPr>
          <w:rFonts w:hint="eastAsia" w:ascii="仿宋" w:hAnsi="仿宋" w:eastAsia="仿宋" w:cs="仿宋"/>
          <w:b w:val="0"/>
          <w:bCs w:val="0"/>
          <w:color w:val="auto"/>
          <w:kern w:val="2"/>
          <w:sz w:val="22"/>
          <w:szCs w:val="22"/>
          <w:highlight w:val="none"/>
          <w:u w:color="000000"/>
          <w:lang w:val="en-US" w:eastAsia="zh-CN" w:bidi="ar-SA"/>
        </w:rPr>
        <w:t>④</w:t>
      </w:r>
      <w:r>
        <w:rPr>
          <w:rFonts w:hint="default" w:ascii="仿宋" w:hAnsi="仿宋" w:eastAsia="仿宋" w:cs="仿宋"/>
          <w:b w:val="0"/>
          <w:bCs w:val="0"/>
          <w:color w:val="auto"/>
          <w:kern w:val="2"/>
          <w:sz w:val="22"/>
          <w:szCs w:val="22"/>
          <w:highlight w:val="none"/>
          <w:u w:color="000000"/>
          <w:lang w:val="en-US" w:eastAsia="zh-CN" w:bidi="ar-SA"/>
        </w:rPr>
        <w:t>餐具厨具消杀</w:t>
      </w:r>
    </w:p>
    <w:p w14:paraId="1687DB4D">
      <w:pPr>
        <w:ind w:firstLine="446" w:firstLineChars="200"/>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每餐结束对餐盘、碗筷、灶台、厨具全面清洗、高温消毒，分区摆放。</w:t>
      </w:r>
    </w:p>
    <w:p w14:paraId="072CAEC7">
      <w:pPr>
        <w:rPr>
          <w:rFonts w:hint="default" w:ascii="仿宋" w:hAnsi="仿宋" w:eastAsia="仿宋" w:cs="仿宋"/>
          <w:b w:val="0"/>
          <w:bCs w:val="0"/>
          <w:color w:val="auto"/>
          <w:kern w:val="2"/>
          <w:sz w:val="22"/>
          <w:szCs w:val="22"/>
          <w:highlight w:val="none"/>
          <w:u w:color="000000"/>
          <w:lang w:val="en-US" w:eastAsia="zh-CN" w:bidi="ar-SA"/>
        </w:rPr>
      </w:pPr>
      <w:r>
        <w:rPr>
          <w:rFonts w:hint="eastAsia" w:ascii="仿宋" w:hAnsi="仿宋" w:eastAsia="仿宋" w:cs="仿宋"/>
          <w:b w:val="0"/>
          <w:bCs w:val="0"/>
          <w:color w:val="auto"/>
          <w:kern w:val="2"/>
          <w:sz w:val="22"/>
          <w:szCs w:val="22"/>
          <w:highlight w:val="none"/>
          <w:u w:color="000000"/>
          <w:lang w:val="en-US" w:eastAsia="zh-CN" w:bidi="ar-SA"/>
        </w:rPr>
        <w:t>⑤</w:t>
      </w:r>
      <w:r>
        <w:rPr>
          <w:rFonts w:hint="default" w:ascii="仿宋" w:hAnsi="仿宋" w:eastAsia="仿宋" w:cs="仿宋"/>
          <w:b w:val="0"/>
          <w:bCs w:val="0"/>
          <w:color w:val="auto"/>
          <w:kern w:val="2"/>
          <w:sz w:val="22"/>
          <w:szCs w:val="22"/>
          <w:highlight w:val="none"/>
          <w:u w:color="000000"/>
          <w:lang w:val="en-US" w:eastAsia="zh-CN" w:bidi="ar-SA"/>
        </w:rPr>
        <w:t>食堂环境卫生</w:t>
      </w:r>
    </w:p>
    <w:p w14:paraId="2163E992">
      <w:pPr>
        <w:ind w:firstLine="446" w:firstLineChars="200"/>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每日清理操作间、餐厅、储物间卫生，清理厨余垃圾，保持后厨无油污、无积水、无蚊虫。</w:t>
      </w:r>
    </w:p>
    <w:p w14:paraId="08B7BBDA">
      <w:pPr>
        <w:rPr>
          <w:rFonts w:hint="default" w:ascii="仿宋" w:hAnsi="仿宋" w:eastAsia="仿宋" w:cs="仿宋"/>
          <w:b w:val="0"/>
          <w:bCs w:val="0"/>
          <w:color w:val="auto"/>
          <w:kern w:val="2"/>
          <w:sz w:val="22"/>
          <w:szCs w:val="22"/>
          <w:highlight w:val="none"/>
          <w:u w:color="000000"/>
          <w:lang w:val="en-US" w:eastAsia="zh-CN" w:bidi="ar-SA"/>
        </w:rPr>
      </w:pPr>
      <w:r>
        <w:rPr>
          <w:rFonts w:hint="eastAsia" w:ascii="仿宋" w:hAnsi="仿宋" w:eastAsia="仿宋" w:cs="仿宋"/>
          <w:b w:val="0"/>
          <w:bCs w:val="0"/>
          <w:color w:val="auto"/>
          <w:kern w:val="2"/>
          <w:sz w:val="22"/>
          <w:szCs w:val="22"/>
          <w:highlight w:val="none"/>
          <w:u w:color="000000"/>
          <w:lang w:val="en-US" w:eastAsia="zh-CN" w:bidi="ar-SA"/>
        </w:rPr>
        <w:t>⑥</w:t>
      </w:r>
      <w:r>
        <w:rPr>
          <w:rFonts w:hint="default" w:ascii="仿宋" w:hAnsi="仿宋" w:eastAsia="仿宋" w:cs="仿宋"/>
          <w:b w:val="0"/>
          <w:bCs w:val="0"/>
          <w:color w:val="auto"/>
          <w:kern w:val="2"/>
          <w:sz w:val="22"/>
          <w:szCs w:val="22"/>
          <w:highlight w:val="none"/>
          <w:u w:color="000000"/>
          <w:lang w:val="en-US" w:eastAsia="zh-CN" w:bidi="ar-SA"/>
        </w:rPr>
        <w:t>就餐秩序维护</w:t>
      </w:r>
    </w:p>
    <w:p w14:paraId="477F4776">
      <w:pPr>
        <w:ind w:firstLine="446" w:firstLineChars="200"/>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维护院内老人有序就餐，协助行动不便人员送餐至房间。</w:t>
      </w:r>
    </w:p>
    <w:p w14:paraId="127563A1">
      <w:pPr>
        <w:rPr>
          <w:rFonts w:hint="default" w:ascii="仿宋" w:hAnsi="仿宋" w:eastAsia="仿宋" w:cs="仿宋"/>
          <w:b w:val="0"/>
          <w:bCs w:val="0"/>
          <w:color w:val="auto"/>
          <w:kern w:val="2"/>
          <w:sz w:val="22"/>
          <w:szCs w:val="22"/>
          <w:highlight w:val="none"/>
          <w:u w:color="000000"/>
          <w:lang w:val="en-US" w:eastAsia="zh-CN" w:bidi="ar-SA"/>
        </w:rPr>
      </w:pPr>
      <w:r>
        <w:rPr>
          <w:rFonts w:hint="eastAsia" w:ascii="仿宋" w:hAnsi="仿宋" w:eastAsia="仿宋" w:cs="仿宋"/>
          <w:b w:val="0"/>
          <w:bCs w:val="0"/>
          <w:color w:val="auto"/>
          <w:kern w:val="2"/>
          <w:sz w:val="22"/>
          <w:szCs w:val="22"/>
          <w:highlight w:val="none"/>
          <w:u w:color="000000"/>
          <w:lang w:val="en-US" w:eastAsia="zh-CN" w:bidi="ar-SA"/>
        </w:rPr>
        <w:t>⑦</w:t>
      </w:r>
      <w:r>
        <w:rPr>
          <w:rFonts w:hint="default" w:ascii="仿宋" w:hAnsi="仿宋" w:eastAsia="仿宋" w:cs="仿宋"/>
          <w:b w:val="0"/>
          <w:bCs w:val="0"/>
          <w:color w:val="auto"/>
          <w:kern w:val="2"/>
          <w:sz w:val="22"/>
          <w:szCs w:val="22"/>
          <w:highlight w:val="none"/>
          <w:u w:color="000000"/>
          <w:lang w:val="en-US" w:eastAsia="zh-CN" w:bidi="ar-SA"/>
        </w:rPr>
        <w:t>食品留样管理</w:t>
      </w:r>
    </w:p>
    <w:p w14:paraId="41DC5D0D">
      <w:pPr>
        <w:ind w:firstLine="446" w:firstLineChars="200"/>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严格落实食品安全留样制度，按规定足量、按时留样并登记台账。</w:t>
      </w:r>
    </w:p>
    <w:p w14:paraId="5D32F602">
      <w:pPr>
        <w:rPr>
          <w:rFonts w:hint="default" w:ascii="仿宋" w:hAnsi="仿宋" w:eastAsia="仿宋" w:cs="仿宋"/>
          <w:b w:val="0"/>
          <w:bCs w:val="0"/>
          <w:color w:val="auto"/>
          <w:kern w:val="2"/>
          <w:sz w:val="22"/>
          <w:szCs w:val="22"/>
          <w:highlight w:val="none"/>
          <w:u w:color="000000"/>
          <w:lang w:val="en-US" w:eastAsia="zh-CN" w:bidi="ar-SA"/>
        </w:rPr>
      </w:pPr>
      <w:r>
        <w:rPr>
          <w:rFonts w:hint="eastAsia" w:ascii="仿宋" w:hAnsi="仿宋" w:eastAsia="仿宋" w:cs="仿宋"/>
          <w:b w:val="0"/>
          <w:bCs w:val="0"/>
          <w:color w:val="auto"/>
          <w:kern w:val="2"/>
          <w:sz w:val="22"/>
          <w:szCs w:val="22"/>
          <w:highlight w:val="none"/>
          <w:u w:color="000000"/>
          <w:lang w:val="en-US" w:eastAsia="zh-CN" w:bidi="ar-SA"/>
        </w:rPr>
        <w:t>⑧</w:t>
      </w:r>
      <w:r>
        <w:rPr>
          <w:rFonts w:hint="default" w:ascii="仿宋" w:hAnsi="仿宋" w:eastAsia="仿宋" w:cs="仿宋"/>
          <w:b w:val="0"/>
          <w:bCs w:val="0"/>
          <w:color w:val="auto"/>
          <w:kern w:val="2"/>
          <w:sz w:val="22"/>
          <w:szCs w:val="22"/>
          <w:highlight w:val="none"/>
          <w:u w:color="000000"/>
          <w:lang w:val="en-US" w:eastAsia="zh-CN" w:bidi="ar-SA"/>
        </w:rPr>
        <w:t>节气膳食调整</w:t>
      </w:r>
    </w:p>
    <w:p w14:paraId="6DE131EA">
      <w:pPr>
        <w:ind w:firstLine="446" w:firstLineChars="200"/>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根据季节变化调整菜品，夏季防暑、冬季温补，适配老人身体需求。</w:t>
      </w:r>
    </w:p>
    <w:p w14:paraId="5A158160">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3. 技术硬性要求</w:t>
      </w:r>
    </w:p>
    <w:p w14:paraId="15C4F689">
      <w:pPr>
        <w:rPr>
          <w:rFonts w:hint="default" w:ascii="仿宋" w:hAnsi="仿宋" w:eastAsia="仿宋" w:cs="仿宋"/>
          <w:b w:val="0"/>
          <w:bCs w:val="0"/>
          <w:color w:val="auto"/>
          <w:kern w:val="2"/>
          <w:sz w:val="22"/>
          <w:szCs w:val="22"/>
          <w:highlight w:val="none"/>
          <w:u w:color="000000"/>
          <w:lang w:val="en-US" w:eastAsia="zh-CN" w:bidi="ar-SA"/>
        </w:rPr>
      </w:pPr>
      <w:r>
        <w:rPr>
          <w:rFonts w:hint="eastAsia" w:ascii="仿宋" w:hAnsi="仿宋" w:eastAsia="仿宋" w:cs="仿宋"/>
          <w:b w:val="0"/>
          <w:bCs w:val="0"/>
          <w:color w:val="auto"/>
          <w:kern w:val="2"/>
          <w:sz w:val="22"/>
          <w:szCs w:val="22"/>
          <w:highlight w:val="none"/>
          <w:u w:color="000000"/>
          <w:lang w:val="en-US" w:eastAsia="zh-CN" w:bidi="ar-SA"/>
        </w:rPr>
        <w:t>①</w:t>
      </w:r>
      <w:r>
        <w:rPr>
          <w:rFonts w:hint="default" w:ascii="仿宋" w:hAnsi="仿宋" w:eastAsia="仿宋" w:cs="仿宋"/>
          <w:b w:val="0"/>
          <w:bCs w:val="0"/>
          <w:color w:val="auto"/>
          <w:kern w:val="2"/>
          <w:sz w:val="22"/>
          <w:szCs w:val="22"/>
          <w:highlight w:val="none"/>
          <w:u w:color="000000"/>
          <w:lang w:val="en-US" w:eastAsia="zh-CN" w:bidi="ar-SA"/>
        </w:rPr>
        <w:t>厨师必须持有有效健康证、餐饮从业人员资格证，无传染性疾病。</w:t>
      </w:r>
    </w:p>
    <w:p w14:paraId="4515320B">
      <w:pPr>
        <w:rPr>
          <w:rFonts w:hint="default" w:ascii="仿宋" w:hAnsi="仿宋" w:eastAsia="仿宋" w:cs="仿宋"/>
          <w:b w:val="0"/>
          <w:bCs w:val="0"/>
          <w:color w:val="auto"/>
          <w:kern w:val="2"/>
          <w:sz w:val="22"/>
          <w:szCs w:val="22"/>
          <w:highlight w:val="none"/>
          <w:u w:color="000000"/>
          <w:lang w:val="en-US" w:eastAsia="zh-CN" w:bidi="ar-SA"/>
        </w:rPr>
      </w:pPr>
      <w:r>
        <w:rPr>
          <w:rFonts w:hint="eastAsia" w:ascii="仿宋" w:hAnsi="仿宋" w:eastAsia="仿宋" w:cs="仿宋"/>
          <w:b w:val="0"/>
          <w:bCs w:val="0"/>
          <w:color w:val="auto"/>
          <w:kern w:val="2"/>
          <w:sz w:val="22"/>
          <w:szCs w:val="22"/>
          <w:highlight w:val="none"/>
          <w:u w:color="000000"/>
          <w:lang w:val="en-US" w:eastAsia="zh-CN" w:bidi="ar-SA"/>
        </w:rPr>
        <w:t>②</w:t>
      </w:r>
      <w:r>
        <w:rPr>
          <w:rFonts w:hint="default" w:ascii="仿宋" w:hAnsi="仿宋" w:eastAsia="仿宋" w:cs="仿宋"/>
          <w:b w:val="0"/>
          <w:bCs w:val="0"/>
          <w:color w:val="auto"/>
          <w:kern w:val="2"/>
          <w:sz w:val="22"/>
          <w:szCs w:val="22"/>
          <w:highlight w:val="none"/>
          <w:u w:color="000000"/>
          <w:lang w:val="en-US" w:eastAsia="zh-CN" w:bidi="ar-SA"/>
        </w:rPr>
        <w:t>熟悉老年群体膳食禁忌，严禁生冷、辛辣、过硬、不易消化食品批量供应。</w:t>
      </w:r>
    </w:p>
    <w:p w14:paraId="34B7A87A">
      <w:pPr>
        <w:rPr>
          <w:rFonts w:hint="default" w:ascii="仿宋" w:hAnsi="仿宋" w:eastAsia="仿宋" w:cs="仿宋"/>
          <w:b w:val="0"/>
          <w:bCs w:val="0"/>
          <w:color w:val="auto"/>
          <w:kern w:val="2"/>
          <w:sz w:val="22"/>
          <w:szCs w:val="22"/>
          <w:highlight w:val="none"/>
          <w:u w:color="000000"/>
          <w:lang w:val="en-US" w:eastAsia="zh-CN" w:bidi="ar-SA"/>
        </w:rPr>
      </w:pPr>
      <w:r>
        <w:rPr>
          <w:rFonts w:hint="eastAsia" w:ascii="仿宋" w:hAnsi="仿宋" w:eastAsia="仿宋" w:cs="仿宋"/>
          <w:b w:val="0"/>
          <w:bCs w:val="0"/>
          <w:color w:val="auto"/>
          <w:kern w:val="2"/>
          <w:sz w:val="22"/>
          <w:szCs w:val="22"/>
          <w:highlight w:val="none"/>
          <w:u w:color="000000"/>
          <w:lang w:val="en-US" w:eastAsia="zh-CN" w:bidi="ar-SA"/>
        </w:rPr>
        <w:t>③</w:t>
      </w:r>
      <w:r>
        <w:rPr>
          <w:rFonts w:hint="default" w:ascii="仿宋" w:hAnsi="仿宋" w:eastAsia="仿宋" w:cs="仿宋"/>
          <w:b w:val="0"/>
          <w:bCs w:val="0"/>
          <w:color w:val="auto"/>
          <w:kern w:val="2"/>
          <w:sz w:val="22"/>
          <w:szCs w:val="22"/>
          <w:highlight w:val="none"/>
          <w:u w:color="000000"/>
          <w:lang w:val="en-US" w:eastAsia="zh-CN" w:bidi="ar-SA"/>
        </w:rPr>
        <w:t>严格遵守《食品安全法》，杜绝食物中毒、食材浪费、违规加工行为。</w:t>
      </w:r>
    </w:p>
    <w:p w14:paraId="165F04E8">
      <w:pPr>
        <w:rPr>
          <w:rFonts w:hint="default" w:ascii="仿宋" w:hAnsi="仿宋" w:eastAsia="仿宋" w:cs="仿宋"/>
          <w:b w:val="0"/>
          <w:bCs w:val="0"/>
          <w:color w:val="auto"/>
          <w:kern w:val="2"/>
          <w:sz w:val="22"/>
          <w:szCs w:val="22"/>
          <w:highlight w:val="none"/>
          <w:u w:color="000000"/>
          <w:lang w:val="en-US" w:eastAsia="zh-CN" w:bidi="ar-SA"/>
        </w:rPr>
      </w:pPr>
      <w:r>
        <w:rPr>
          <w:rFonts w:hint="eastAsia" w:ascii="仿宋" w:hAnsi="仿宋" w:eastAsia="仿宋" w:cs="仿宋"/>
          <w:b w:val="0"/>
          <w:bCs w:val="0"/>
          <w:color w:val="auto"/>
          <w:kern w:val="2"/>
          <w:sz w:val="22"/>
          <w:szCs w:val="22"/>
          <w:highlight w:val="none"/>
          <w:u w:color="000000"/>
          <w:lang w:val="en-US" w:eastAsia="zh-CN" w:bidi="ar-SA"/>
        </w:rPr>
        <w:t>④</w:t>
      </w:r>
      <w:r>
        <w:rPr>
          <w:rFonts w:hint="default" w:ascii="仿宋" w:hAnsi="仿宋" w:eastAsia="仿宋" w:cs="仿宋"/>
          <w:b w:val="0"/>
          <w:bCs w:val="0"/>
          <w:color w:val="auto"/>
          <w:kern w:val="2"/>
          <w:sz w:val="22"/>
          <w:szCs w:val="22"/>
          <w:highlight w:val="none"/>
          <w:u w:color="000000"/>
          <w:lang w:val="en-US" w:eastAsia="zh-CN" w:bidi="ar-SA"/>
        </w:rPr>
        <w:t>按时开餐，不得拖延就餐时间，菜品口味稳定、卫生达标。</w:t>
      </w:r>
    </w:p>
    <w:p w14:paraId="4D36642C">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（三）门卫安保值守服务内容及技术要求</w:t>
      </w:r>
    </w:p>
    <w:p w14:paraId="7418C924">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1. 核心服务内容</w:t>
      </w:r>
    </w:p>
    <w:p w14:paraId="1DDDE43B">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院区大门24小时值班值守</w:t>
      </w:r>
    </w:p>
    <w:p w14:paraId="08315751">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实行两班倒/三班倒全天在岗，严禁脱岗、睡岗、擅自离岗。</w:t>
      </w:r>
    </w:p>
    <w:p w14:paraId="602646DE">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人员出入登记管理</w:t>
      </w:r>
    </w:p>
    <w:p w14:paraId="6297D92D">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外来访客、办事人员、探视家属实名登记、电话核实、报备放行，严控无关人员随意进入院区。</w:t>
      </w:r>
    </w:p>
    <w:p w14:paraId="06645219">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车辆进出管理</w:t>
      </w:r>
    </w:p>
    <w:p w14:paraId="31141D00">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院内公务车辆、外来车辆有序疏导停放，登记外来车辆信息，禁止社会闲散车辆长期占用院内场地。</w:t>
      </w:r>
    </w:p>
    <w:p w14:paraId="6D866457">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院区安全巡逻</w:t>
      </w:r>
    </w:p>
    <w:p w14:paraId="7FB563EF">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定时对院区楼道、宿舍、围墙、消防通道、门窗进行安全巡查，排查漏水、漏电、门窗破损、安全隐患。</w:t>
      </w:r>
    </w:p>
    <w:p w14:paraId="24DE0D9C">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物资进出管控</w:t>
      </w:r>
    </w:p>
    <w:p w14:paraId="21829229">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院内物资、生活用品、捐赠物资进出核对登记，防止财物遗失外流。</w:t>
      </w:r>
    </w:p>
    <w:p w14:paraId="0F1A1447">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应急秩序维护</w:t>
      </w:r>
    </w:p>
    <w:p w14:paraId="5FBA04E1">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遇争吵纠纷、突发意外、极端天气第一时间上报并现场维持秩序。</w:t>
      </w:r>
    </w:p>
    <w:p w14:paraId="2DED5811">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消防安全巡查</w:t>
      </w:r>
    </w:p>
    <w:p w14:paraId="2BFD59A6">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日常检查消防器材、消防通道是否畅通，发现隐患立即上报整改。</w:t>
      </w:r>
    </w:p>
    <w:p w14:paraId="136A2314">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信件、快递、物资代收派送</w:t>
      </w:r>
    </w:p>
    <w:p w14:paraId="71E7E758">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统一代收院内快递、信件、生活用品，及时分发到位。</w:t>
      </w:r>
    </w:p>
    <w:p w14:paraId="03652999">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门禁设施日常看护</w:t>
      </w:r>
    </w:p>
    <w:p w14:paraId="13CDA045">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看护大门道闸、监控、门禁设备，发现损坏第一时间上报维修。</w:t>
      </w:r>
    </w:p>
    <w:p w14:paraId="42B5AD36">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2. 技术硬性要求</w:t>
      </w:r>
    </w:p>
    <w:p w14:paraId="518DD54A">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门卫人员作风端正、责任心强，熟悉安保基础常识。</w:t>
      </w:r>
    </w:p>
    <w:p w14:paraId="6D83FE3D">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严格执行机构封闭式管理规定，探视时间严格依规执行。</w:t>
      </w:r>
    </w:p>
    <w:p w14:paraId="24F92BB4">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做好值班台账、出入登记台账、巡查台账每日如实填写。</w:t>
      </w:r>
    </w:p>
    <w:p w14:paraId="43C387A5">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（四）院区环境卫生保洁服务内容及技术要求</w:t>
      </w:r>
    </w:p>
    <w:p w14:paraId="343F372A">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1. 服务区域</w:t>
      </w:r>
    </w:p>
    <w:p w14:paraId="6A324350">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福利机构所有宿舍房间、走廊楼道、楼梯扶手、公共卫生间、洗漱间、活动室、餐厅、办公公共区域、院内道路、边角死角。</w:t>
      </w:r>
    </w:p>
    <w:p w14:paraId="39EEFAFC">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2. 核心服务内容</w:t>
      </w:r>
    </w:p>
    <w:p w14:paraId="08E1DFC7">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日常普扫保洁</w:t>
      </w:r>
    </w:p>
    <w:p w14:paraId="000874C1">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每日定时清扫院内主干道、人行道、楼道地面，做到无垃圾、无杂物、无纸屑烟头。</w:t>
      </w:r>
    </w:p>
    <w:p w14:paraId="03876176">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室内保洁</w:t>
      </w:r>
    </w:p>
    <w:p w14:paraId="0C19E4B1">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定期清扫老人宿舍地面、窗台、桌面、门窗玻璃，擦拭灰尘，清理杂物。</w:t>
      </w:r>
    </w:p>
    <w:p w14:paraId="683CC53D">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公共卫生间保洁</w:t>
      </w:r>
    </w:p>
    <w:p w14:paraId="6711694D">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定时冲刷公厕、洗漱池，清除污渍、异味，保持地面干燥整洁，及时补充清洁用品。</w:t>
      </w:r>
    </w:p>
    <w:p w14:paraId="69E67DFF">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垃圾清运处理</w:t>
      </w:r>
    </w:p>
    <w:p w14:paraId="22CF710C">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全院分类收集生活垃圾，定点集中堆放，按时统一外运处置，做到日产日清。</w:t>
      </w:r>
    </w:p>
    <w:p w14:paraId="734E70EB">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污渍污渍清理</w:t>
      </w:r>
    </w:p>
    <w:p w14:paraId="49C3133A">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及时清理墙面污渍、地面油污、墙角蛛网，定期深度除尘。</w:t>
      </w:r>
    </w:p>
    <w:p w14:paraId="27C82FD7">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换季卫生整治</w:t>
      </w:r>
    </w:p>
    <w:p w14:paraId="6E1A6779">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配合机构开展春季大扫除、秋冬消杀清洁，清理堆积废旧杂物。</w:t>
      </w:r>
    </w:p>
    <w:p w14:paraId="7854B64B">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消杀辅助配合</w:t>
      </w:r>
    </w:p>
    <w:p w14:paraId="70A46905">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配合完成院内蚊虫消杀、日常防疫清洁消毒工作。</w:t>
      </w:r>
    </w:p>
    <w:p w14:paraId="27D07D2A">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3. 服务标准</w:t>
      </w:r>
    </w:p>
    <w:p w14:paraId="62FC77D5">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全天保持公共区域干净整洁，无积水、无淤泥、无乱堆乱放，环境卫生达标符合民政福利机构环境卫生考评标准。</w:t>
      </w:r>
    </w:p>
    <w:p w14:paraId="3243A574">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（五）园区绿化养护服务内容及技术要求</w:t>
      </w:r>
    </w:p>
    <w:p w14:paraId="43921C6B">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1. 服务范围</w:t>
      </w:r>
    </w:p>
    <w:p w14:paraId="559D6E3D">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院内绿化带、草坪、行道树木、景观花卉、庭院绿植、花坛花池全部绿化区域</w:t>
      </w:r>
    </w:p>
    <w:p w14:paraId="0EC0F365">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2. 核心服务内容</w:t>
      </w:r>
    </w:p>
    <w:p w14:paraId="34459FD6">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日常浇灌养护</w:t>
      </w:r>
    </w:p>
    <w:p w14:paraId="4B00925C">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根据天气、土壤湿度定期对花草、树木、草坪合理浇水，保障绿植正常存活生长。</w:t>
      </w:r>
    </w:p>
    <w:p w14:paraId="6B83A155">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杂草清理</w:t>
      </w:r>
    </w:p>
    <w:p w14:paraId="50BDE3CD">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及时清除绿化带内杂草、乱石、枯枝败叶，保持绿化区域整齐美观。</w:t>
      </w:r>
    </w:p>
    <w:p w14:paraId="5459711E">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修剪整形</w:t>
      </w:r>
    </w:p>
    <w:p w14:paraId="1299270E">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定期对乔木、灌木、绿篱、花草进行修剪整形，修整树形，清理徒长枝条。</w:t>
      </w:r>
    </w:p>
    <w:p w14:paraId="1B89E9E2">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病虫害防治</w:t>
      </w:r>
    </w:p>
    <w:p w14:paraId="5370AE68">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日常巡查绿植病虫害情况，采用合规环保药剂开展防虫防病作业，杜绝大面积绿植枯萎死亡。</w:t>
      </w:r>
    </w:p>
    <w:p w14:paraId="77CDE6AB">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施肥养护</w:t>
      </w:r>
    </w:p>
    <w:p w14:paraId="2624859E">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按季节合理施加有机肥、通用绿化肥料，提升绿植长势。</w:t>
      </w:r>
    </w:p>
    <w:p w14:paraId="34E2F083">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枯死绿植清理补植及时清理枯死树木、枯萎花草，统计缺苗区域，配合甲方完成绿植补栽补种。</w:t>
      </w:r>
    </w:p>
    <w:p w14:paraId="7B57C08E">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绿化设施维护</w:t>
      </w:r>
    </w:p>
    <w:p w14:paraId="129CC71F">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看护绿化围栏、浇灌水管、景观小品，发现损坏及时上报。</w:t>
      </w:r>
    </w:p>
    <w:p w14:paraId="77067B84">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秋冬防寒、夏季防晒防护</w:t>
      </w:r>
    </w:p>
    <w:p w14:paraId="67454A52">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冬季做好树木缠绳防冻，夏季做好耐旱遮阴养护。</w:t>
      </w:r>
    </w:p>
    <w:p w14:paraId="4D58B3A9">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3. 服务标准</w:t>
      </w:r>
    </w:p>
    <w:p w14:paraId="63B19203">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院区绿化长势良好、整齐美观，无大面积杂草、无成片枯死植被，整体院区生态环境整洁舒适。</w:t>
      </w:r>
    </w:p>
    <w:p w14:paraId="5A6C28B6">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四、人员管理及服务考核要求</w:t>
      </w:r>
    </w:p>
    <w:p w14:paraId="195A9F15">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中标服务商统一负责所有护理、厨师、门卫、保洁、绿化人员薪酬发放、社保缴纳、日常管理、岗前培训、绩效考核，承担全部用工主体责任。</w:t>
      </w:r>
    </w:p>
    <w:p w14:paraId="21BE1267">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服务商建立健全内部管理制度、人员台账、服务日志、考勤台账，按月报送甲方备案。</w:t>
      </w:r>
    </w:p>
    <w:p w14:paraId="31D3B8E0">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甲方拥有人员岗位调配权、服务监督权、考核处罚权，连续考核不合格人员，甲方有权要求服务商无条件更换。</w:t>
      </w:r>
    </w:p>
    <w:p w14:paraId="34050439">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所有服务严格贴合公办福利机构公益属性，坚持公益性、普惠性、便民性原则，严禁变相加价、缩减服务时长、降低服务标准。</w:t>
      </w:r>
    </w:p>
    <w:p w14:paraId="0EB92257">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服务期限、服务人数、值班班次、服务时长可根据福利机构实际入住人数、运营需求同步调整。</w:t>
      </w:r>
    </w:p>
    <w:p w14:paraId="222A6179">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五、项目附加服务要求</w:t>
      </w:r>
    </w:p>
    <w:p w14:paraId="2DA216D9">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配合机构完成各级民政部门迎检、督查、调研各项后勤保障工作。</w:t>
      </w:r>
    </w:p>
    <w:p w14:paraId="0E9F7517">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服务企业要在两处机构派驻管理人员，确保24小时有人管理节假日全员服从排班值守，保障节假日期间福利机构正常运转。</w:t>
      </w:r>
    </w:p>
    <w:p w14:paraId="15579BE5">
      <w:pPr>
        <w:rPr>
          <w:rFonts w:hint="default" w:ascii="仿宋" w:hAnsi="仿宋" w:eastAsia="仿宋" w:cs="仿宋"/>
          <w:b w:val="0"/>
          <w:bCs w:val="0"/>
          <w:color w:val="auto"/>
          <w:kern w:val="2"/>
          <w:sz w:val="22"/>
          <w:szCs w:val="22"/>
          <w:highlight w:val="none"/>
          <w:u w:color="000000"/>
          <w:lang w:val="en-US" w:eastAsia="zh-CN" w:bidi="ar-SA"/>
        </w:rPr>
      </w:pPr>
      <w:r>
        <w:rPr>
          <w:rFonts w:hint="default" w:ascii="仿宋" w:hAnsi="仿宋" w:eastAsia="仿宋" w:cs="仿宋"/>
          <w:b w:val="0"/>
          <w:bCs w:val="0"/>
          <w:color w:val="auto"/>
          <w:kern w:val="2"/>
          <w:sz w:val="22"/>
          <w:szCs w:val="22"/>
          <w:highlight w:val="none"/>
          <w:u w:color="000000"/>
          <w:lang w:val="en-US" w:eastAsia="zh-CN" w:bidi="ar-SA"/>
        </w:rPr>
        <w:t>遇极端天气、应急突发事件，服务商须第一时间增派人员配合处置。</w:t>
      </w:r>
    </w:p>
    <w:p w14:paraId="45D228B1">
      <w:pPr>
        <w:rPr>
          <w:rFonts w:hint="default" w:ascii="仿宋" w:hAnsi="仿宋" w:eastAsia="仿宋" w:cs="仿宋"/>
          <w:b w:val="0"/>
          <w:bCs w:val="0"/>
          <w:color w:val="auto"/>
          <w:kern w:val="2"/>
          <w:sz w:val="22"/>
          <w:szCs w:val="22"/>
          <w:highlight w:val="none"/>
          <w:u w:color="000000"/>
          <w:lang w:val="en-US" w:eastAsia="zh-CN" w:bidi="ar-SA"/>
        </w:rPr>
      </w:pPr>
    </w:p>
    <w:p w14:paraId="0D553619">
      <w:pPr>
        <w:rPr>
          <w:rFonts w:hint="default" w:ascii="仿宋" w:hAnsi="仿宋" w:eastAsia="仿宋" w:cs="仿宋"/>
          <w:b w:val="0"/>
          <w:bCs w:val="0"/>
          <w:color w:val="auto"/>
          <w:kern w:val="2"/>
          <w:sz w:val="22"/>
          <w:szCs w:val="22"/>
          <w:highlight w:val="none"/>
          <w:u w:color="000000"/>
          <w:lang w:val="en-US" w:eastAsia="zh-CN" w:bidi="ar-SA"/>
        </w:rPr>
      </w:pPr>
    </w:p>
    <w:p w14:paraId="7C363DB4">
      <w:pPr>
        <w:rPr>
          <w:rFonts w:hint="default" w:ascii="仿宋" w:hAnsi="仿宋" w:eastAsia="仿宋" w:cs="仿宋"/>
          <w:b w:val="0"/>
          <w:bCs w:val="0"/>
          <w:color w:val="auto"/>
          <w:kern w:val="2"/>
          <w:sz w:val="22"/>
          <w:szCs w:val="22"/>
          <w:highlight w:val="none"/>
          <w:u w:color="000000"/>
          <w:lang w:val="en-US" w:eastAsia="zh-CN" w:bidi="ar-SA"/>
        </w:rPr>
      </w:pPr>
    </w:p>
    <w:p w14:paraId="72114640">
      <w:pPr>
        <w:rPr>
          <w:rFonts w:hint="default" w:ascii="仿宋" w:hAnsi="仿宋" w:eastAsia="仿宋" w:cs="仿宋"/>
          <w:b w:val="0"/>
          <w:bCs w:val="0"/>
          <w:color w:val="auto"/>
          <w:kern w:val="2"/>
          <w:sz w:val="22"/>
          <w:szCs w:val="22"/>
          <w:highlight w:val="none"/>
          <w:u w:color="000000"/>
          <w:lang w:val="en-US" w:eastAsia="zh-CN" w:bidi="ar-SA"/>
        </w:rPr>
      </w:pPr>
    </w:p>
    <w:p w14:paraId="4FFF4EFB">
      <w:pPr>
        <w:rPr>
          <w:rFonts w:hint="default" w:ascii="仿宋" w:hAnsi="仿宋" w:eastAsia="仿宋" w:cs="仿宋"/>
          <w:b w:val="0"/>
          <w:bCs w:val="0"/>
          <w:color w:val="auto"/>
          <w:kern w:val="2"/>
          <w:sz w:val="22"/>
          <w:szCs w:val="22"/>
          <w:highlight w:val="none"/>
          <w:u w:color="000000"/>
          <w:lang w:val="en-US" w:eastAsia="zh-CN" w:bidi="ar-SA"/>
        </w:rPr>
      </w:pPr>
    </w:p>
    <w:p w14:paraId="32DF9611">
      <w:pPr>
        <w:rPr>
          <w:rFonts w:hint="default" w:ascii="仿宋" w:hAnsi="仿宋" w:eastAsia="仿宋" w:cs="仿宋"/>
          <w:b w:val="0"/>
          <w:bCs w:val="0"/>
          <w:color w:val="auto"/>
          <w:kern w:val="2"/>
          <w:sz w:val="22"/>
          <w:szCs w:val="22"/>
          <w:highlight w:val="none"/>
          <w:u w:color="000000"/>
          <w:lang w:val="en-US" w:eastAsia="zh-CN" w:bidi="ar-SA"/>
        </w:rPr>
      </w:pPr>
    </w:p>
    <w:p w14:paraId="03D5578C">
      <w:pPr>
        <w:rPr>
          <w:rFonts w:hint="default" w:ascii="仿宋" w:hAnsi="仿宋" w:eastAsia="仿宋" w:cs="仿宋"/>
          <w:b w:val="0"/>
          <w:bCs w:val="0"/>
          <w:color w:val="auto"/>
          <w:kern w:val="2"/>
          <w:sz w:val="22"/>
          <w:szCs w:val="22"/>
          <w:highlight w:val="none"/>
          <w:u w:color="000000"/>
          <w:lang w:val="en-US" w:eastAsia="zh-CN" w:bidi="ar-SA"/>
        </w:rPr>
      </w:pPr>
    </w:p>
    <w:p w14:paraId="1B6A0638">
      <w:pPr>
        <w:rPr>
          <w:rFonts w:hint="default" w:ascii="仿宋" w:hAnsi="仿宋" w:eastAsia="仿宋" w:cs="仿宋"/>
          <w:b w:val="0"/>
          <w:bCs w:val="0"/>
          <w:color w:val="auto"/>
          <w:kern w:val="2"/>
          <w:sz w:val="22"/>
          <w:szCs w:val="22"/>
          <w:highlight w:val="none"/>
          <w:u w:color="000000"/>
          <w:lang w:val="en-US" w:eastAsia="zh-CN" w:bidi="ar-SA"/>
        </w:rPr>
      </w:pPr>
    </w:p>
    <w:p w14:paraId="1B9144C1">
      <w:pPr>
        <w:rPr>
          <w:rFonts w:hint="default" w:ascii="仿宋" w:hAnsi="仿宋" w:eastAsia="仿宋" w:cs="仿宋"/>
          <w:b w:val="0"/>
          <w:bCs w:val="0"/>
          <w:color w:val="auto"/>
          <w:kern w:val="2"/>
          <w:sz w:val="22"/>
          <w:szCs w:val="22"/>
          <w:highlight w:val="none"/>
          <w:u w:color="000000"/>
          <w:lang w:val="en-US" w:eastAsia="zh-CN" w:bidi="ar-SA"/>
        </w:rPr>
      </w:pPr>
    </w:p>
    <w:p w14:paraId="505FF4A7">
      <w:pPr>
        <w:rPr>
          <w:rFonts w:hint="default" w:ascii="仿宋" w:hAnsi="仿宋" w:eastAsia="仿宋" w:cs="仿宋"/>
          <w:b w:val="0"/>
          <w:bCs w:val="0"/>
          <w:color w:val="auto"/>
          <w:kern w:val="2"/>
          <w:sz w:val="22"/>
          <w:szCs w:val="22"/>
          <w:highlight w:val="none"/>
          <w:u w:color="000000"/>
          <w:lang w:val="en-US" w:eastAsia="zh-CN" w:bidi="ar-SA"/>
        </w:rPr>
      </w:pPr>
    </w:p>
    <w:p w14:paraId="07B46C0C">
      <w:pPr>
        <w:rPr>
          <w:rFonts w:hint="default" w:ascii="仿宋" w:hAnsi="仿宋" w:eastAsia="仿宋" w:cs="仿宋"/>
          <w:b w:val="0"/>
          <w:bCs w:val="0"/>
          <w:color w:val="auto"/>
          <w:kern w:val="2"/>
          <w:sz w:val="22"/>
          <w:szCs w:val="22"/>
          <w:highlight w:val="none"/>
          <w:u w:color="000000"/>
          <w:lang w:val="en-US" w:eastAsia="zh-CN" w:bidi="ar-SA"/>
        </w:rPr>
      </w:pPr>
    </w:p>
    <w:p w14:paraId="179BED66">
      <w:pPr>
        <w:rPr>
          <w:rFonts w:hint="default" w:ascii="仿宋" w:hAnsi="仿宋" w:eastAsia="仿宋" w:cs="仿宋"/>
          <w:b w:val="0"/>
          <w:bCs w:val="0"/>
          <w:color w:val="auto"/>
          <w:kern w:val="2"/>
          <w:sz w:val="22"/>
          <w:szCs w:val="22"/>
          <w:highlight w:val="none"/>
          <w:u w:color="000000"/>
          <w:lang w:val="en-US" w:eastAsia="zh-CN" w:bidi="ar-SA"/>
        </w:rPr>
      </w:pPr>
    </w:p>
    <w:p w14:paraId="58ECB4C2">
      <w:pPr>
        <w:rPr>
          <w:rFonts w:hint="default" w:ascii="仿宋" w:hAnsi="仿宋" w:eastAsia="仿宋" w:cs="仿宋"/>
          <w:b w:val="0"/>
          <w:bCs w:val="0"/>
          <w:color w:val="auto"/>
          <w:kern w:val="2"/>
          <w:sz w:val="22"/>
          <w:szCs w:val="22"/>
          <w:highlight w:val="none"/>
          <w:u w:color="000000"/>
          <w:lang w:val="en-US" w:eastAsia="zh-CN" w:bidi="ar-SA"/>
        </w:rPr>
      </w:pPr>
    </w:p>
    <w:p w14:paraId="233EC0C3">
      <w:pPr>
        <w:rPr>
          <w:rFonts w:hint="default" w:ascii="仿宋" w:hAnsi="仿宋" w:eastAsia="仿宋" w:cs="仿宋"/>
          <w:b w:val="0"/>
          <w:bCs w:val="0"/>
          <w:color w:val="auto"/>
          <w:kern w:val="2"/>
          <w:sz w:val="22"/>
          <w:szCs w:val="22"/>
          <w:highlight w:val="none"/>
          <w:u w:color="000000"/>
          <w:lang w:val="en-US" w:eastAsia="zh-CN" w:bidi="ar-SA"/>
        </w:rPr>
      </w:pPr>
    </w:p>
    <w:p w14:paraId="08CAD853">
      <w:pPr>
        <w:rPr>
          <w:rFonts w:hint="default" w:ascii="仿宋" w:hAnsi="仿宋" w:eastAsia="仿宋" w:cs="仿宋"/>
          <w:b w:val="0"/>
          <w:bCs w:val="0"/>
          <w:color w:val="auto"/>
          <w:kern w:val="2"/>
          <w:sz w:val="22"/>
          <w:szCs w:val="22"/>
          <w:highlight w:val="none"/>
          <w:u w:color="000000"/>
          <w:lang w:val="en-US" w:eastAsia="zh-CN" w:bidi="ar-SA"/>
        </w:rPr>
      </w:pPr>
    </w:p>
    <w:p w14:paraId="41B4C480">
      <w:pPr>
        <w:rPr>
          <w:rFonts w:hint="default" w:ascii="仿宋" w:hAnsi="仿宋" w:eastAsia="仿宋" w:cs="仿宋"/>
          <w:b w:val="0"/>
          <w:bCs w:val="0"/>
          <w:color w:val="auto"/>
          <w:kern w:val="2"/>
          <w:sz w:val="22"/>
          <w:szCs w:val="22"/>
          <w:highlight w:val="none"/>
          <w:u w:color="000000"/>
          <w:lang w:val="en-US" w:eastAsia="zh-CN" w:bidi="ar-SA"/>
        </w:rPr>
      </w:pPr>
    </w:p>
    <w:p w14:paraId="18F5DFCA">
      <w:pPr>
        <w:rPr>
          <w:rFonts w:hint="default" w:ascii="仿宋" w:hAnsi="仿宋" w:eastAsia="仿宋" w:cs="仿宋"/>
          <w:b w:val="0"/>
          <w:bCs w:val="0"/>
          <w:color w:val="auto"/>
          <w:kern w:val="2"/>
          <w:sz w:val="22"/>
          <w:szCs w:val="22"/>
          <w:highlight w:val="none"/>
          <w:u w:color="000000"/>
          <w:lang w:val="en-US" w:eastAsia="zh-CN" w:bidi="ar-SA"/>
        </w:rPr>
      </w:pPr>
    </w:p>
    <w:p w14:paraId="43AE3731">
      <w:pPr>
        <w:rPr>
          <w:rFonts w:hint="default" w:ascii="仿宋" w:hAnsi="仿宋" w:eastAsia="仿宋" w:cs="仿宋"/>
          <w:b w:val="0"/>
          <w:bCs w:val="0"/>
          <w:color w:val="auto"/>
          <w:kern w:val="2"/>
          <w:sz w:val="22"/>
          <w:szCs w:val="22"/>
          <w:highlight w:val="none"/>
          <w:u w:color="000000"/>
          <w:lang w:val="en-US" w:eastAsia="zh-CN" w:bidi="ar-SA"/>
        </w:rPr>
      </w:pPr>
    </w:p>
    <w:p w14:paraId="4A3881B3">
      <w:pPr>
        <w:rPr>
          <w:rFonts w:hint="default" w:ascii="仿宋" w:hAnsi="仿宋" w:eastAsia="仿宋" w:cs="仿宋"/>
          <w:b w:val="0"/>
          <w:bCs w:val="0"/>
          <w:color w:val="auto"/>
          <w:kern w:val="2"/>
          <w:sz w:val="22"/>
          <w:szCs w:val="22"/>
          <w:highlight w:val="none"/>
          <w:u w:color="000000"/>
          <w:lang w:val="en-US" w:eastAsia="zh-CN" w:bidi="ar-SA"/>
        </w:rPr>
      </w:pPr>
    </w:p>
    <w:p w14:paraId="6DF87A10">
      <w:pPr>
        <w:rPr>
          <w:rFonts w:hint="default" w:ascii="仿宋" w:hAnsi="仿宋" w:eastAsia="仿宋" w:cs="仿宋"/>
          <w:b w:val="0"/>
          <w:bCs w:val="0"/>
          <w:color w:val="auto"/>
          <w:kern w:val="2"/>
          <w:sz w:val="22"/>
          <w:szCs w:val="22"/>
          <w:highlight w:val="none"/>
          <w:u w:color="000000"/>
          <w:lang w:val="en-US" w:eastAsia="zh-CN" w:bidi="ar-SA"/>
        </w:rPr>
      </w:pPr>
    </w:p>
    <w:p w14:paraId="29CF406B">
      <w:pPr>
        <w:rPr>
          <w:rFonts w:hint="default" w:ascii="仿宋" w:hAnsi="仿宋" w:eastAsia="仿宋" w:cs="仿宋"/>
          <w:b w:val="0"/>
          <w:bCs w:val="0"/>
          <w:color w:val="auto"/>
          <w:kern w:val="2"/>
          <w:sz w:val="22"/>
          <w:szCs w:val="22"/>
          <w:highlight w:val="none"/>
          <w:u w:color="000000"/>
          <w:lang w:val="en-US" w:eastAsia="zh-CN" w:bidi="ar-SA"/>
        </w:rPr>
      </w:pPr>
    </w:p>
    <w:p w14:paraId="4CAFFFE5">
      <w:pPr>
        <w:rPr>
          <w:rFonts w:hint="default" w:ascii="仿宋" w:hAnsi="仿宋" w:eastAsia="仿宋" w:cs="仿宋"/>
          <w:b w:val="0"/>
          <w:bCs w:val="0"/>
          <w:color w:val="auto"/>
          <w:kern w:val="2"/>
          <w:sz w:val="22"/>
          <w:szCs w:val="22"/>
          <w:highlight w:val="none"/>
          <w:u w:color="000000"/>
          <w:lang w:val="en-US" w:eastAsia="zh-CN" w:bidi="ar-SA"/>
        </w:rPr>
      </w:pPr>
    </w:p>
    <w:p w14:paraId="3EFC254C">
      <w:pPr>
        <w:rPr>
          <w:rFonts w:hint="default" w:ascii="仿宋" w:hAnsi="仿宋" w:eastAsia="仿宋" w:cs="仿宋"/>
          <w:b w:val="0"/>
          <w:bCs w:val="0"/>
          <w:color w:val="auto"/>
          <w:kern w:val="2"/>
          <w:sz w:val="22"/>
          <w:szCs w:val="22"/>
          <w:highlight w:val="none"/>
          <w:u w:color="000000"/>
          <w:lang w:val="en-US" w:eastAsia="zh-CN" w:bidi="ar-SA"/>
        </w:rPr>
      </w:pPr>
    </w:p>
    <w:p w14:paraId="7E42B2D1">
      <w:pPr>
        <w:rPr>
          <w:rFonts w:hint="default" w:ascii="仿宋" w:hAnsi="仿宋" w:eastAsia="仿宋" w:cs="仿宋"/>
          <w:b w:val="0"/>
          <w:bCs w:val="0"/>
          <w:color w:val="auto"/>
          <w:kern w:val="2"/>
          <w:sz w:val="22"/>
          <w:szCs w:val="22"/>
          <w:highlight w:val="none"/>
          <w:u w:color="000000"/>
          <w:lang w:val="en-US" w:eastAsia="zh-CN" w:bidi="ar-SA"/>
        </w:rPr>
      </w:pPr>
    </w:p>
    <w:p w14:paraId="389DFB48">
      <w:pPr>
        <w:rPr>
          <w:rFonts w:hint="default" w:ascii="仿宋" w:hAnsi="仿宋" w:eastAsia="仿宋" w:cs="仿宋"/>
          <w:b w:val="0"/>
          <w:bCs w:val="0"/>
          <w:color w:val="auto"/>
          <w:kern w:val="2"/>
          <w:sz w:val="22"/>
          <w:szCs w:val="22"/>
          <w:highlight w:val="none"/>
          <w:u w:color="000000"/>
          <w:lang w:val="en-US" w:eastAsia="zh-CN" w:bidi="ar-SA"/>
        </w:rPr>
      </w:pPr>
    </w:p>
    <w:bookmarkEnd w:id="127"/>
    <w:p w14:paraId="742AA4BF">
      <w:pPr>
        <w:numPr>
          <w:ilvl w:val="0"/>
          <w:numId w:val="0"/>
        </w:numPr>
        <w:spacing w:line="480" w:lineRule="exact"/>
        <w:ind w:leftChars="0"/>
        <w:jc w:val="center"/>
        <w:outlineLvl w:val="0"/>
        <w:rPr>
          <w:rFonts w:hint="eastAsia" w:ascii="仿宋" w:hAnsi="仿宋" w:eastAsia="仿宋" w:cs="仿宋"/>
          <w:b/>
          <w:sz w:val="32"/>
          <w:szCs w:val="32"/>
          <w:highlight w:val="none"/>
          <w:lang w:eastAsia="zh-CN"/>
        </w:rPr>
      </w:pPr>
      <w:bookmarkStart w:id="131" w:name="_Toc29918"/>
      <w:bookmarkStart w:id="132" w:name="_Toc21108"/>
      <w:bookmarkStart w:id="133" w:name="_Toc8329"/>
      <w:bookmarkStart w:id="134" w:name="_Toc11470"/>
      <w:r>
        <w:rPr>
          <w:rFonts w:hint="eastAsia" w:ascii="仿宋" w:hAnsi="仿宋" w:eastAsia="仿宋" w:cs="仿宋"/>
          <w:b/>
          <w:sz w:val="32"/>
          <w:szCs w:val="32"/>
          <w:highlight w:val="none"/>
          <w:lang w:val="en-US" w:eastAsia="zh-CN"/>
        </w:rPr>
        <w:t xml:space="preserve">第五章 </w:t>
      </w:r>
      <w:r>
        <w:rPr>
          <w:rFonts w:hint="eastAsia" w:ascii="仿宋" w:hAnsi="仿宋" w:eastAsia="仿宋" w:cs="仿宋"/>
          <w:b/>
          <w:sz w:val="32"/>
          <w:szCs w:val="32"/>
          <w:highlight w:val="none"/>
        </w:rPr>
        <w:t>合同</w:t>
      </w:r>
      <w:bookmarkEnd w:id="131"/>
      <w:bookmarkStart w:id="135" w:name="_Toc20669"/>
      <w:r>
        <w:rPr>
          <w:rFonts w:hint="eastAsia" w:ascii="仿宋" w:hAnsi="仿宋" w:eastAsia="仿宋" w:cs="仿宋"/>
          <w:b/>
          <w:sz w:val="32"/>
          <w:szCs w:val="32"/>
          <w:highlight w:val="none"/>
          <w:lang w:eastAsia="zh-CN"/>
        </w:rPr>
        <w:t>部分（参考</w:t>
      </w:r>
      <w:r>
        <w:rPr>
          <w:rFonts w:hint="eastAsia" w:ascii="仿宋" w:hAnsi="仿宋" w:eastAsia="仿宋" w:cs="仿宋"/>
          <w:b/>
          <w:sz w:val="32"/>
          <w:szCs w:val="32"/>
          <w:highlight w:val="none"/>
          <w:lang w:val="en-US" w:eastAsia="zh-CN"/>
        </w:rPr>
        <w:t>用</w:t>
      </w:r>
      <w:r>
        <w:rPr>
          <w:rFonts w:hint="eastAsia" w:ascii="仿宋" w:hAnsi="仿宋" w:eastAsia="仿宋" w:cs="仿宋"/>
          <w:b/>
          <w:sz w:val="32"/>
          <w:szCs w:val="32"/>
          <w:highlight w:val="none"/>
          <w:lang w:eastAsia="zh-CN"/>
        </w:rPr>
        <w:t>）</w:t>
      </w:r>
      <w:bookmarkEnd w:id="132"/>
      <w:bookmarkEnd w:id="133"/>
      <w:bookmarkEnd w:id="134"/>
    </w:p>
    <w:bookmarkEnd w:id="135"/>
    <w:p w14:paraId="144EABCC">
      <w:pPr>
        <w:widowControl w:val="0"/>
        <w:kinsoku/>
        <w:autoSpaceDE/>
        <w:autoSpaceDN/>
        <w:adjustRightInd/>
        <w:snapToGrid/>
        <w:spacing w:line="360" w:lineRule="auto"/>
        <w:ind w:firstLine="482"/>
        <w:jc w:val="center"/>
        <w:textAlignment w:val="auto"/>
        <w:rPr>
          <w:rFonts w:hint="eastAsia" w:ascii="仿宋" w:hAnsi="仿宋" w:eastAsia="仿宋" w:cs="仿宋"/>
          <w:b/>
          <w:bCs/>
          <w:snapToGrid/>
          <w:color w:val="000000"/>
          <w:kern w:val="2"/>
          <w:sz w:val="24"/>
          <w:szCs w:val="24"/>
          <w:highlight w:val="none"/>
          <w:lang w:eastAsia="zh-CN"/>
        </w:rPr>
      </w:pPr>
      <w:bookmarkStart w:id="136" w:name="_Toc20544"/>
      <w:bookmarkStart w:id="137" w:name="_Toc23000"/>
      <w:bookmarkStart w:id="138" w:name="_Toc2215"/>
      <w:bookmarkStart w:id="139" w:name="_Toc23215"/>
      <w:bookmarkStart w:id="140" w:name="_Toc30313"/>
      <w:r>
        <w:rPr>
          <w:rFonts w:hint="eastAsia" w:ascii="仿宋" w:hAnsi="仿宋" w:eastAsia="仿宋" w:cs="仿宋"/>
          <w:b/>
          <w:bCs/>
          <w:snapToGrid/>
          <w:color w:val="000000"/>
          <w:kern w:val="2"/>
          <w:sz w:val="24"/>
          <w:szCs w:val="24"/>
          <w:lang w:eastAsia="zh-CN"/>
        </w:rPr>
        <w:t>（注：此合同仅供参考，</w:t>
      </w:r>
      <w:r>
        <w:rPr>
          <w:rFonts w:hint="eastAsia" w:ascii="仿宋" w:hAnsi="仿宋" w:eastAsia="仿宋" w:cs="仿宋"/>
          <w:b/>
          <w:bCs/>
          <w:snapToGrid/>
          <w:color w:val="000000"/>
          <w:kern w:val="2"/>
          <w:sz w:val="24"/>
          <w:szCs w:val="24"/>
          <w:highlight w:val="none"/>
          <w:lang w:eastAsia="zh-CN"/>
        </w:rPr>
        <w:t>具体以实际签订的合同为准）</w:t>
      </w:r>
    </w:p>
    <w:p w14:paraId="389826EF">
      <w:pPr>
        <w:widowControl w:val="0"/>
        <w:kinsoku/>
        <w:autoSpaceDE/>
        <w:autoSpaceDN/>
        <w:adjustRightInd/>
        <w:snapToGrid/>
        <w:spacing w:line="480" w:lineRule="auto"/>
        <w:ind w:firstLine="482"/>
        <w:jc w:val="center"/>
        <w:textAlignment w:val="auto"/>
        <w:rPr>
          <w:rFonts w:hint="eastAsia" w:ascii="仿宋" w:hAnsi="仿宋" w:eastAsia="仿宋" w:cs="仿宋"/>
          <w:b/>
          <w:snapToGrid/>
          <w:color w:val="000000"/>
          <w:kern w:val="2"/>
          <w:szCs w:val="28"/>
          <w:lang w:eastAsia="zh-CN"/>
        </w:rPr>
      </w:pPr>
    </w:p>
    <w:p w14:paraId="5C094653">
      <w:pPr>
        <w:widowControl w:val="0"/>
        <w:kinsoku/>
        <w:autoSpaceDE/>
        <w:autoSpaceDN/>
        <w:adjustRightInd/>
        <w:snapToGrid/>
        <w:spacing w:line="480" w:lineRule="auto"/>
        <w:ind w:firstLine="482"/>
        <w:jc w:val="center"/>
        <w:textAlignment w:val="auto"/>
        <w:rPr>
          <w:rFonts w:hint="eastAsia" w:ascii="仿宋" w:hAnsi="仿宋" w:eastAsia="仿宋" w:cs="仿宋"/>
          <w:b/>
          <w:snapToGrid/>
          <w:color w:val="000000"/>
          <w:kern w:val="2"/>
          <w:szCs w:val="28"/>
          <w:lang w:eastAsia="zh-CN"/>
        </w:rPr>
      </w:pPr>
    </w:p>
    <w:p w14:paraId="16FCBC5D">
      <w:pPr>
        <w:widowControl w:val="0"/>
        <w:kinsoku/>
        <w:autoSpaceDE/>
        <w:autoSpaceDN/>
        <w:adjustRightInd/>
        <w:snapToGrid/>
        <w:spacing w:line="480" w:lineRule="auto"/>
        <w:ind w:firstLine="883"/>
        <w:jc w:val="center"/>
        <w:textAlignment w:val="auto"/>
        <w:rPr>
          <w:rFonts w:hint="eastAsia" w:ascii="仿宋" w:hAnsi="仿宋" w:eastAsia="仿宋" w:cs="仿宋"/>
          <w:b/>
          <w:snapToGrid/>
          <w:color w:val="000000"/>
          <w:kern w:val="2"/>
          <w:sz w:val="44"/>
          <w:szCs w:val="44"/>
          <w:lang w:eastAsia="zh-CN"/>
        </w:rPr>
      </w:pPr>
      <w:r>
        <w:rPr>
          <w:rFonts w:hint="eastAsia" w:ascii="仿宋" w:hAnsi="仿宋" w:eastAsia="仿宋" w:cs="仿宋"/>
          <w:b/>
          <w:snapToGrid/>
          <w:color w:val="000000"/>
          <w:kern w:val="2"/>
          <w:sz w:val="44"/>
          <w:szCs w:val="44"/>
          <w:lang w:eastAsia="zh-CN"/>
        </w:rPr>
        <w:t>政府采购合同参考范本</w:t>
      </w:r>
    </w:p>
    <w:p w14:paraId="68B723E9">
      <w:pPr>
        <w:widowControl w:val="0"/>
        <w:kinsoku/>
        <w:autoSpaceDE/>
        <w:autoSpaceDN/>
        <w:adjustRightInd/>
        <w:snapToGrid/>
        <w:spacing w:line="480" w:lineRule="auto"/>
        <w:ind w:firstLine="482"/>
        <w:jc w:val="center"/>
        <w:textAlignment w:val="auto"/>
        <w:rPr>
          <w:rFonts w:hint="eastAsia" w:ascii="仿宋" w:hAnsi="仿宋" w:eastAsia="仿宋" w:cs="仿宋"/>
          <w:b/>
          <w:snapToGrid/>
          <w:color w:val="000000"/>
          <w:kern w:val="2"/>
          <w:sz w:val="24"/>
          <w:szCs w:val="24"/>
          <w:lang w:eastAsia="zh-CN"/>
        </w:rPr>
      </w:pPr>
      <w:r>
        <w:rPr>
          <w:rFonts w:hint="eastAsia" w:ascii="仿宋" w:hAnsi="仿宋" w:eastAsia="仿宋" w:cs="仿宋"/>
          <w:b/>
          <w:snapToGrid/>
          <w:color w:val="000000"/>
          <w:kern w:val="2"/>
          <w:sz w:val="24"/>
          <w:szCs w:val="24"/>
          <w:lang w:eastAsia="zh-CN"/>
        </w:rPr>
        <w:t>（服务类）</w:t>
      </w:r>
    </w:p>
    <w:p w14:paraId="772EE887">
      <w:pPr>
        <w:widowControl w:val="0"/>
        <w:kinsoku/>
        <w:autoSpaceDE w:val="0"/>
        <w:autoSpaceDN w:val="0"/>
        <w:adjustRightInd w:val="0"/>
        <w:snapToGrid/>
        <w:spacing w:line="240" w:lineRule="auto"/>
        <w:jc w:val="left"/>
        <w:textAlignment w:val="auto"/>
        <w:rPr>
          <w:rFonts w:hint="eastAsia" w:ascii="仿宋" w:hAnsi="仿宋" w:eastAsia="仿宋" w:cs="仿宋"/>
          <w:snapToGrid/>
          <w:color w:val="000000"/>
          <w:kern w:val="2"/>
          <w:sz w:val="24"/>
          <w:szCs w:val="24"/>
          <w:lang w:eastAsia="zh-CN"/>
        </w:rPr>
      </w:pPr>
    </w:p>
    <w:p w14:paraId="77AFF28F">
      <w:pPr>
        <w:widowControl w:val="0"/>
        <w:kinsoku/>
        <w:autoSpaceDE w:val="0"/>
        <w:autoSpaceDN w:val="0"/>
        <w:adjustRightInd w:val="0"/>
        <w:snapToGrid/>
        <w:spacing w:line="240" w:lineRule="auto"/>
        <w:jc w:val="left"/>
        <w:textAlignment w:val="auto"/>
        <w:rPr>
          <w:rFonts w:hint="eastAsia" w:ascii="仿宋" w:hAnsi="仿宋" w:eastAsia="仿宋" w:cs="仿宋"/>
          <w:snapToGrid/>
          <w:color w:val="000000"/>
          <w:kern w:val="2"/>
          <w:sz w:val="24"/>
          <w:szCs w:val="24"/>
          <w:lang w:eastAsia="zh-CN"/>
        </w:rPr>
      </w:pPr>
    </w:p>
    <w:p w14:paraId="038E6C25">
      <w:pPr>
        <w:widowControl w:val="0"/>
        <w:kinsoku/>
        <w:autoSpaceDE w:val="0"/>
        <w:autoSpaceDN w:val="0"/>
        <w:adjustRightInd w:val="0"/>
        <w:snapToGrid/>
        <w:spacing w:line="240" w:lineRule="auto"/>
        <w:jc w:val="left"/>
        <w:textAlignment w:val="auto"/>
        <w:rPr>
          <w:rFonts w:hint="eastAsia" w:ascii="仿宋" w:hAnsi="仿宋" w:eastAsia="仿宋" w:cs="仿宋"/>
          <w:snapToGrid/>
          <w:color w:val="000000"/>
          <w:kern w:val="2"/>
          <w:sz w:val="24"/>
          <w:szCs w:val="24"/>
          <w:lang w:eastAsia="zh-CN"/>
        </w:rPr>
      </w:pPr>
    </w:p>
    <w:p w14:paraId="7924BC16">
      <w:pPr>
        <w:widowControl w:val="0"/>
        <w:kinsoku/>
        <w:autoSpaceDE w:val="0"/>
        <w:autoSpaceDN w:val="0"/>
        <w:adjustRightInd w:val="0"/>
        <w:snapToGrid/>
        <w:spacing w:line="240" w:lineRule="auto"/>
        <w:ind w:firstLine="482"/>
        <w:jc w:val="center"/>
        <w:textAlignment w:val="auto"/>
        <w:rPr>
          <w:rFonts w:hint="eastAsia" w:ascii="仿宋" w:hAnsi="仿宋" w:eastAsia="仿宋" w:cs="仿宋"/>
          <w:b/>
          <w:snapToGrid/>
          <w:color w:val="000000"/>
          <w:kern w:val="2"/>
          <w:sz w:val="24"/>
          <w:szCs w:val="24"/>
          <w:lang w:eastAsia="zh-CN"/>
        </w:rPr>
      </w:pPr>
      <w:r>
        <w:rPr>
          <w:rFonts w:hint="eastAsia" w:ascii="仿宋" w:hAnsi="仿宋" w:eastAsia="仿宋" w:cs="仿宋"/>
          <w:b/>
          <w:snapToGrid/>
          <w:color w:val="000000"/>
          <w:kern w:val="2"/>
          <w:sz w:val="24"/>
          <w:szCs w:val="24"/>
          <w:lang w:eastAsia="zh-CN"/>
        </w:rPr>
        <w:t>第一部分 合同书</w:t>
      </w:r>
    </w:p>
    <w:p w14:paraId="0E9C6F3C">
      <w:pPr>
        <w:widowControl w:val="0"/>
        <w:kinsoku/>
        <w:autoSpaceDE w:val="0"/>
        <w:autoSpaceDN w:val="0"/>
        <w:adjustRightInd w:val="0"/>
        <w:snapToGrid/>
        <w:spacing w:line="240" w:lineRule="auto"/>
        <w:jc w:val="left"/>
        <w:textAlignment w:val="auto"/>
        <w:rPr>
          <w:rFonts w:hint="eastAsia" w:ascii="仿宋" w:hAnsi="仿宋" w:eastAsia="仿宋" w:cs="仿宋"/>
          <w:snapToGrid/>
          <w:color w:val="000000"/>
          <w:kern w:val="2"/>
          <w:sz w:val="24"/>
          <w:szCs w:val="24"/>
          <w:lang w:eastAsia="zh-CN"/>
        </w:rPr>
      </w:pPr>
    </w:p>
    <w:p w14:paraId="38AF05B8">
      <w:pPr>
        <w:widowControl w:val="0"/>
        <w:kinsoku/>
        <w:autoSpaceDE w:val="0"/>
        <w:autoSpaceDN w:val="0"/>
        <w:adjustRightInd w:val="0"/>
        <w:snapToGrid/>
        <w:spacing w:line="240" w:lineRule="auto"/>
        <w:jc w:val="left"/>
        <w:textAlignment w:val="auto"/>
        <w:rPr>
          <w:rFonts w:hint="eastAsia" w:ascii="仿宋" w:hAnsi="仿宋" w:eastAsia="仿宋" w:cs="仿宋"/>
          <w:snapToGrid/>
          <w:color w:val="000000"/>
          <w:kern w:val="2"/>
          <w:sz w:val="24"/>
          <w:szCs w:val="24"/>
          <w:lang w:eastAsia="zh-CN"/>
        </w:rPr>
      </w:pPr>
    </w:p>
    <w:p w14:paraId="140617D7">
      <w:pPr>
        <w:widowControl w:val="0"/>
        <w:kinsoku/>
        <w:autoSpaceDE/>
        <w:autoSpaceDN/>
        <w:adjustRightInd/>
        <w:snapToGrid/>
        <w:spacing w:before="120" w:line="22" w:lineRule="atLeast"/>
        <w:jc w:val="both"/>
        <w:textAlignment w:val="auto"/>
        <w:rPr>
          <w:rFonts w:hint="eastAsia" w:ascii="仿宋" w:hAnsi="仿宋" w:eastAsia="仿宋" w:cs="仿宋"/>
          <w:snapToGrid/>
          <w:color w:val="000000"/>
          <w:kern w:val="2"/>
          <w:sz w:val="24"/>
          <w:szCs w:val="24"/>
          <w:lang w:eastAsia="zh-CN"/>
        </w:rPr>
      </w:pPr>
    </w:p>
    <w:p w14:paraId="2F15916B">
      <w:pPr>
        <w:widowControl w:val="0"/>
        <w:kinsoku/>
        <w:autoSpaceDE/>
        <w:autoSpaceDN/>
        <w:adjustRightInd/>
        <w:snapToGrid/>
        <w:spacing w:line="360" w:lineRule="auto"/>
        <w:ind w:firstLine="720"/>
        <w:jc w:val="both"/>
        <w:textAlignment w:val="auto"/>
        <w:rPr>
          <w:rFonts w:hint="eastAsia" w:ascii="仿宋" w:hAnsi="仿宋" w:eastAsia="仿宋" w:cs="仿宋"/>
          <w:snapToGrid/>
          <w:color w:val="000000"/>
          <w:kern w:val="2"/>
          <w:sz w:val="28"/>
          <w:szCs w:val="28"/>
          <w:lang w:eastAsia="zh-CN"/>
        </w:rPr>
      </w:pPr>
      <w:bookmarkStart w:id="141" w:name="_Toc331685783"/>
      <w:r>
        <w:rPr>
          <w:rFonts w:hint="eastAsia" w:ascii="仿宋" w:hAnsi="仿宋" w:eastAsia="仿宋" w:cs="仿宋"/>
          <w:snapToGrid/>
          <w:color w:val="000000"/>
          <w:kern w:val="2"/>
          <w:sz w:val="28"/>
          <w:szCs w:val="28"/>
          <w:lang w:eastAsia="zh-CN"/>
        </w:rPr>
        <w:t xml:space="preserve">项目名称：   </w:t>
      </w:r>
      <w:r>
        <w:rPr>
          <w:rFonts w:hint="eastAsia" w:ascii="仿宋" w:hAnsi="仿宋" w:eastAsia="仿宋" w:cs="仿宋"/>
          <w:b/>
          <w:bCs/>
          <w:snapToGrid/>
          <w:color w:val="000000"/>
          <w:kern w:val="2"/>
          <w:sz w:val="28"/>
          <w:szCs w:val="28"/>
          <w:u w:val="single"/>
          <w:lang w:eastAsia="zh-CN"/>
        </w:rPr>
        <w:t xml:space="preserve">                               </w:t>
      </w:r>
    </w:p>
    <w:p w14:paraId="4EE46C6E">
      <w:pPr>
        <w:widowControl w:val="0"/>
        <w:kinsoku/>
        <w:autoSpaceDE/>
        <w:autoSpaceDN/>
        <w:adjustRightInd/>
        <w:snapToGrid/>
        <w:spacing w:line="360" w:lineRule="auto"/>
        <w:ind w:firstLine="883"/>
        <w:jc w:val="center"/>
        <w:textAlignment w:val="auto"/>
        <w:rPr>
          <w:rFonts w:hint="eastAsia" w:ascii="仿宋" w:hAnsi="仿宋" w:eastAsia="仿宋" w:cs="仿宋"/>
          <w:b/>
          <w:snapToGrid/>
          <w:color w:val="000000"/>
          <w:kern w:val="2"/>
          <w:sz w:val="28"/>
          <w:szCs w:val="28"/>
          <w:u w:val="single"/>
          <w:lang w:eastAsia="zh-CN"/>
        </w:rPr>
      </w:pPr>
    </w:p>
    <w:p w14:paraId="644EEE8C">
      <w:pPr>
        <w:widowControl w:val="0"/>
        <w:kinsoku/>
        <w:autoSpaceDE/>
        <w:autoSpaceDN/>
        <w:adjustRightInd/>
        <w:snapToGrid/>
        <w:spacing w:line="360" w:lineRule="auto"/>
        <w:ind w:firstLine="883"/>
        <w:jc w:val="center"/>
        <w:textAlignment w:val="auto"/>
        <w:rPr>
          <w:rFonts w:hint="eastAsia" w:ascii="仿宋" w:hAnsi="仿宋" w:eastAsia="仿宋" w:cs="仿宋"/>
          <w:b/>
          <w:snapToGrid/>
          <w:color w:val="000000"/>
          <w:kern w:val="2"/>
          <w:sz w:val="28"/>
          <w:szCs w:val="28"/>
          <w:lang w:eastAsia="zh-CN"/>
        </w:rPr>
      </w:pPr>
    </w:p>
    <w:p w14:paraId="7F0B2244">
      <w:pPr>
        <w:widowControl w:val="0"/>
        <w:kinsoku/>
        <w:autoSpaceDE/>
        <w:autoSpaceDN/>
        <w:adjustRightInd/>
        <w:snapToGrid/>
        <w:spacing w:line="360" w:lineRule="auto"/>
        <w:ind w:firstLine="883"/>
        <w:jc w:val="center"/>
        <w:textAlignment w:val="auto"/>
        <w:rPr>
          <w:rFonts w:hint="eastAsia" w:ascii="仿宋" w:hAnsi="仿宋" w:eastAsia="仿宋" w:cs="仿宋"/>
          <w:b/>
          <w:snapToGrid/>
          <w:color w:val="000000"/>
          <w:kern w:val="2"/>
          <w:sz w:val="28"/>
          <w:szCs w:val="28"/>
          <w:lang w:eastAsia="zh-CN"/>
        </w:rPr>
      </w:pPr>
    </w:p>
    <w:p w14:paraId="2FD662DD">
      <w:pPr>
        <w:widowControl w:val="0"/>
        <w:kinsoku/>
        <w:autoSpaceDE/>
        <w:autoSpaceDN/>
        <w:adjustRightInd/>
        <w:snapToGrid/>
        <w:spacing w:line="360" w:lineRule="auto"/>
        <w:ind w:firstLine="883"/>
        <w:jc w:val="center"/>
        <w:textAlignment w:val="auto"/>
        <w:rPr>
          <w:rFonts w:hint="eastAsia" w:ascii="仿宋" w:hAnsi="仿宋" w:eastAsia="仿宋" w:cs="仿宋"/>
          <w:b/>
          <w:snapToGrid/>
          <w:color w:val="000000"/>
          <w:kern w:val="2"/>
          <w:sz w:val="28"/>
          <w:szCs w:val="28"/>
          <w:lang w:eastAsia="zh-CN"/>
        </w:rPr>
      </w:pPr>
    </w:p>
    <w:p w14:paraId="09B226B2">
      <w:pPr>
        <w:widowControl w:val="0"/>
        <w:kinsoku w:val="0"/>
        <w:autoSpaceDE w:val="0"/>
        <w:autoSpaceDN w:val="0"/>
        <w:adjustRightInd w:val="0"/>
        <w:snapToGrid w:val="0"/>
        <w:spacing w:after="120" w:line="360" w:lineRule="auto"/>
        <w:ind w:firstLine="643"/>
        <w:jc w:val="both"/>
        <w:textAlignment w:val="baseline"/>
        <w:rPr>
          <w:rFonts w:hint="eastAsia" w:ascii="仿宋" w:hAnsi="仿宋" w:eastAsia="仿宋" w:cs="仿宋"/>
          <w:b/>
          <w:bCs/>
          <w:snapToGrid w:val="0"/>
          <w:color w:val="000000"/>
          <w:kern w:val="0"/>
          <w:sz w:val="28"/>
          <w:szCs w:val="28"/>
          <w:lang w:val="en-US" w:eastAsia="zh-CN" w:bidi="ar-SA"/>
        </w:rPr>
      </w:pPr>
      <w:r>
        <w:rPr>
          <w:rFonts w:hint="eastAsia" w:ascii="仿宋" w:hAnsi="仿宋" w:eastAsia="仿宋" w:cs="仿宋"/>
          <w:b/>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zh-CN" w:bidi="ar-SA"/>
        </w:rPr>
        <w:t>委托方（甲方）：</w:t>
      </w:r>
      <w:r>
        <w:rPr>
          <w:rFonts w:hint="eastAsia" w:ascii="仿宋" w:hAnsi="仿宋" w:eastAsia="仿宋" w:cs="仿宋"/>
          <w:b/>
          <w:bCs/>
          <w:snapToGrid w:val="0"/>
          <w:color w:val="000000"/>
          <w:kern w:val="0"/>
          <w:sz w:val="28"/>
          <w:szCs w:val="28"/>
          <w:u w:val="single"/>
          <w:lang w:val="en-US" w:eastAsia="zh-CN" w:bidi="ar-SA"/>
        </w:rPr>
        <w:t xml:space="preserve">                                           </w:t>
      </w:r>
    </w:p>
    <w:p w14:paraId="3D205417">
      <w:pPr>
        <w:widowControl w:val="0"/>
        <w:kinsoku w:val="0"/>
        <w:autoSpaceDE w:val="0"/>
        <w:autoSpaceDN w:val="0"/>
        <w:adjustRightInd w:val="0"/>
        <w:snapToGrid w:val="0"/>
        <w:spacing w:after="120" w:line="360" w:lineRule="auto"/>
        <w:ind w:firstLine="640"/>
        <w:jc w:val="both"/>
        <w:textAlignment w:val="baseline"/>
        <w:rPr>
          <w:rFonts w:hint="eastAsia" w:ascii="仿宋" w:hAnsi="仿宋" w:eastAsia="仿宋" w:cs="仿宋"/>
          <w:b/>
          <w:snapToGrid w:val="0"/>
          <w:color w:val="000000"/>
          <w:kern w:val="0"/>
          <w:sz w:val="28"/>
          <w:szCs w:val="28"/>
          <w:u w:val="single"/>
          <w:lang w:val="en-US" w:eastAsia="zh-CN" w:bidi="ar-SA"/>
        </w:rPr>
      </w:pPr>
      <w:r>
        <w:rPr>
          <w:rFonts w:hint="eastAsia" w:ascii="仿宋" w:hAnsi="仿宋" w:eastAsia="仿宋" w:cs="仿宋"/>
          <w:snapToGrid w:val="0"/>
          <w:color w:val="000000"/>
          <w:kern w:val="0"/>
          <w:sz w:val="28"/>
          <w:szCs w:val="28"/>
          <w:lang w:val="en-US" w:eastAsia="zh-CN" w:bidi="ar-SA"/>
        </w:rPr>
        <w:t xml:space="preserve"> 承揽方（乙方）：</w:t>
      </w:r>
      <w:r>
        <w:rPr>
          <w:rFonts w:hint="eastAsia" w:ascii="仿宋" w:hAnsi="仿宋" w:eastAsia="仿宋" w:cs="仿宋"/>
          <w:b/>
          <w:snapToGrid w:val="0"/>
          <w:color w:val="000000"/>
          <w:kern w:val="0"/>
          <w:sz w:val="28"/>
          <w:szCs w:val="28"/>
          <w:u w:val="single"/>
          <w:lang w:val="en-US" w:eastAsia="zh-CN" w:bidi="ar-SA"/>
        </w:rPr>
        <w:t xml:space="preserve">                                   </w:t>
      </w:r>
      <w:r>
        <w:rPr>
          <w:rFonts w:hint="eastAsia" w:ascii="仿宋" w:hAnsi="仿宋" w:eastAsia="仿宋" w:cs="仿宋"/>
          <w:b/>
          <w:bCs/>
          <w:snapToGrid w:val="0"/>
          <w:color w:val="000000"/>
          <w:kern w:val="0"/>
          <w:sz w:val="28"/>
          <w:szCs w:val="28"/>
          <w:u w:val="single"/>
          <w:lang w:val="en-US" w:eastAsia="zh-CN" w:bidi="ar-SA"/>
        </w:rPr>
        <w:t xml:space="preserve">  </w:t>
      </w:r>
    </w:p>
    <w:p w14:paraId="288268F0">
      <w:pPr>
        <w:widowControl w:val="0"/>
        <w:kinsoku/>
        <w:autoSpaceDE/>
        <w:autoSpaceDN/>
        <w:adjustRightInd/>
        <w:snapToGrid/>
        <w:spacing w:line="360" w:lineRule="auto"/>
        <w:ind w:firstLine="883"/>
        <w:jc w:val="both"/>
        <w:textAlignment w:val="auto"/>
        <w:rPr>
          <w:rFonts w:hint="eastAsia" w:ascii="仿宋" w:hAnsi="仿宋" w:eastAsia="仿宋" w:cs="仿宋"/>
          <w:b/>
          <w:snapToGrid/>
          <w:color w:val="000000"/>
          <w:kern w:val="2"/>
          <w:sz w:val="28"/>
          <w:szCs w:val="28"/>
          <w:lang w:eastAsia="zh-CN"/>
        </w:rPr>
      </w:pPr>
    </w:p>
    <w:p w14:paraId="11C6FE08">
      <w:pPr>
        <w:widowControl w:val="0"/>
        <w:kinsoku/>
        <w:autoSpaceDE/>
        <w:autoSpaceDN/>
        <w:adjustRightInd/>
        <w:snapToGrid/>
        <w:spacing w:line="360" w:lineRule="auto"/>
        <w:ind w:firstLine="883"/>
        <w:jc w:val="both"/>
        <w:textAlignment w:val="auto"/>
        <w:rPr>
          <w:rFonts w:hint="eastAsia" w:ascii="仿宋" w:hAnsi="仿宋" w:eastAsia="仿宋" w:cs="仿宋"/>
          <w:b/>
          <w:snapToGrid/>
          <w:color w:val="000000"/>
          <w:kern w:val="2"/>
          <w:sz w:val="28"/>
          <w:szCs w:val="28"/>
          <w:lang w:eastAsia="zh-CN"/>
        </w:rPr>
      </w:pPr>
    </w:p>
    <w:p w14:paraId="2B5009ED">
      <w:pPr>
        <w:widowControl w:val="0"/>
        <w:kinsoku/>
        <w:autoSpaceDE/>
        <w:autoSpaceDN/>
        <w:adjustRightInd/>
        <w:snapToGrid/>
        <w:spacing w:line="415" w:lineRule="exact"/>
        <w:ind w:firstLine="640"/>
        <w:jc w:val="both"/>
        <w:textAlignment w:val="auto"/>
        <w:rPr>
          <w:rFonts w:hint="eastAsia" w:ascii="仿宋" w:hAnsi="仿宋" w:eastAsia="仿宋" w:cs="仿宋"/>
          <w:snapToGrid/>
          <w:color w:val="000000"/>
          <w:kern w:val="2"/>
          <w:sz w:val="28"/>
          <w:szCs w:val="28"/>
          <w:lang w:eastAsia="zh-CN"/>
        </w:rPr>
      </w:pPr>
      <w:r>
        <w:rPr>
          <w:rFonts w:hint="eastAsia" w:ascii="仿宋" w:hAnsi="仿宋" w:eastAsia="仿宋" w:cs="仿宋"/>
          <w:snapToGrid/>
          <w:color w:val="000000"/>
          <w:kern w:val="2"/>
          <w:sz w:val="28"/>
          <w:szCs w:val="28"/>
          <w:lang w:eastAsia="zh-CN"/>
        </w:rPr>
        <w:t xml:space="preserve">  </w:t>
      </w:r>
    </w:p>
    <w:p w14:paraId="0F0774A6">
      <w:pPr>
        <w:widowControl w:val="0"/>
        <w:kinsoku/>
        <w:autoSpaceDE/>
        <w:autoSpaceDN/>
        <w:adjustRightInd/>
        <w:snapToGrid/>
        <w:spacing w:line="415" w:lineRule="exact"/>
        <w:ind w:firstLine="600"/>
        <w:jc w:val="center"/>
        <w:textAlignment w:val="auto"/>
        <w:rPr>
          <w:rFonts w:hint="eastAsia" w:ascii="仿宋" w:hAnsi="仿宋" w:eastAsia="仿宋" w:cs="仿宋"/>
          <w:snapToGrid/>
          <w:color w:val="000000"/>
          <w:kern w:val="2"/>
          <w:sz w:val="28"/>
          <w:szCs w:val="28"/>
          <w:lang w:eastAsia="zh-CN"/>
        </w:rPr>
      </w:pPr>
      <w:r>
        <w:rPr>
          <w:rFonts w:hint="eastAsia" w:ascii="仿宋" w:hAnsi="仿宋" w:eastAsia="仿宋" w:cs="仿宋"/>
          <w:snapToGrid/>
          <w:color w:val="000000"/>
          <w:kern w:val="2"/>
          <w:sz w:val="28"/>
          <w:szCs w:val="28"/>
          <w:lang w:eastAsia="zh-CN"/>
        </w:rPr>
        <w:t>二〇XX年</w:t>
      </w:r>
      <w:r>
        <w:rPr>
          <w:rFonts w:hint="eastAsia" w:ascii="仿宋" w:hAnsi="仿宋" w:eastAsia="仿宋" w:cs="仿宋"/>
          <w:snapToGrid/>
          <w:color w:val="000000"/>
          <w:kern w:val="2"/>
          <w:sz w:val="28"/>
          <w:szCs w:val="28"/>
          <w:lang w:val="en-US" w:eastAsia="zh-CN"/>
        </w:rPr>
        <w:t>X</w:t>
      </w:r>
      <w:r>
        <w:rPr>
          <w:rFonts w:hint="eastAsia" w:ascii="仿宋" w:hAnsi="仿宋" w:eastAsia="仿宋" w:cs="仿宋"/>
          <w:snapToGrid/>
          <w:color w:val="000000"/>
          <w:kern w:val="2"/>
          <w:sz w:val="28"/>
          <w:szCs w:val="28"/>
          <w:lang w:eastAsia="zh-CN"/>
        </w:rPr>
        <w:t>月</w:t>
      </w:r>
    </w:p>
    <w:p w14:paraId="780DA947">
      <w:pPr>
        <w:widowControl w:val="0"/>
        <w:kinsoku/>
        <w:autoSpaceDE/>
        <w:autoSpaceDN/>
        <w:adjustRightInd/>
        <w:snapToGrid/>
        <w:spacing w:line="415" w:lineRule="exact"/>
        <w:jc w:val="both"/>
        <w:textAlignment w:val="auto"/>
        <w:rPr>
          <w:rFonts w:hint="eastAsia" w:ascii="仿宋" w:hAnsi="仿宋" w:eastAsia="仿宋" w:cs="仿宋"/>
          <w:snapToGrid/>
          <w:color w:val="000000"/>
          <w:kern w:val="2"/>
          <w:szCs w:val="24"/>
          <w:lang w:eastAsia="zh-CN"/>
        </w:rPr>
      </w:pPr>
    </w:p>
    <w:p w14:paraId="06863687">
      <w:pPr>
        <w:widowControl/>
        <w:kinsoku w:val="0"/>
        <w:autoSpaceDE w:val="0"/>
        <w:autoSpaceDN w:val="0"/>
        <w:adjustRightInd w:val="0"/>
        <w:snapToGrid w:val="0"/>
        <w:spacing w:line="240" w:lineRule="auto"/>
        <w:jc w:val="left"/>
        <w:textAlignment w:val="baseline"/>
        <w:rPr>
          <w:rFonts w:hint="eastAsia" w:ascii="仿宋" w:hAnsi="仿宋" w:eastAsia="仿宋" w:cs="仿宋"/>
          <w:b w:val="0"/>
          <w:bCs w:val="0"/>
          <w:snapToGrid/>
          <w:color w:val="000000"/>
          <w:kern w:val="2"/>
          <w:sz w:val="28"/>
          <w:szCs w:val="28"/>
          <w:lang w:val="en-US" w:eastAsia="zh-CN"/>
        </w:rPr>
      </w:pPr>
      <w:r>
        <w:rPr>
          <w:rFonts w:hint="eastAsia" w:ascii="仿宋" w:hAnsi="仿宋" w:eastAsia="仿宋" w:cs="仿宋"/>
          <w:b w:val="0"/>
          <w:bCs w:val="0"/>
          <w:snapToGrid/>
          <w:color w:val="000000"/>
          <w:kern w:val="2"/>
          <w:sz w:val="28"/>
          <w:szCs w:val="28"/>
          <w:lang w:val="en-US" w:eastAsia="zh-CN"/>
        </w:rPr>
        <w:br w:type="page"/>
      </w:r>
    </w:p>
    <w:p w14:paraId="5B98B2C8">
      <w:pPr>
        <w:widowControl w:val="0"/>
        <w:kinsoku/>
        <w:autoSpaceDE/>
        <w:autoSpaceDN/>
        <w:adjustRightInd/>
        <w:snapToGrid/>
        <w:spacing w:line="520" w:lineRule="exact"/>
        <w:ind w:firstLine="480"/>
        <w:jc w:val="center"/>
        <w:textAlignment w:val="auto"/>
        <w:rPr>
          <w:rFonts w:hint="eastAsia" w:ascii="仿宋" w:hAnsi="仿宋" w:eastAsia="仿宋" w:cs="仿宋"/>
          <w:b w:val="0"/>
          <w:bCs w:val="0"/>
          <w:snapToGrid/>
          <w:color w:val="000000"/>
          <w:kern w:val="2"/>
          <w:sz w:val="28"/>
          <w:szCs w:val="28"/>
          <w:lang w:val="en-US" w:eastAsia="zh-CN"/>
        </w:rPr>
      </w:pPr>
      <w:r>
        <w:rPr>
          <w:rFonts w:hint="eastAsia" w:ascii="仿宋" w:hAnsi="仿宋" w:eastAsia="仿宋" w:cs="仿宋"/>
          <w:b w:val="0"/>
          <w:bCs w:val="0"/>
          <w:snapToGrid/>
          <w:color w:val="000000"/>
          <w:kern w:val="2"/>
          <w:sz w:val="28"/>
          <w:szCs w:val="28"/>
          <w:lang w:val="en-US" w:eastAsia="zh-CN"/>
        </w:rPr>
        <w:t>合同格式自拟</w:t>
      </w:r>
    </w:p>
    <w:p w14:paraId="68F576B1">
      <w:pPr>
        <w:widowControl w:val="0"/>
        <w:kinsoku/>
        <w:autoSpaceDE/>
        <w:autoSpaceDN/>
        <w:adjustRightInd/>
        <w:snapToGrid/>
        <w:spacing w:line="520" w:lineRule="exact"/>
        <w:ind w:firstLine="480"/>
        <w:jc w:val="left"/>
        <w:textAlignment w:val="auto"/>
        <w:rPr>
          <w:rFonts w:hint="eastAsia" w:ascii="仿宋" w:hAnsi="仿宋" w:eastAsia="仿宋" w:cs="仿宋"/>
          <w:b w:val="0"/>
          <w:bCs w:val="0"/>
          <w:snapToGrid/>
          <w:color w:val="000000"/>
          <w:kern w:val="2"/>
          <w:sz w:val="28"/>
          <w:szCs w:val="28"/>
          <w:lang w:eastAsia="zh-CN"/>
        </w:rPr>
      </w:pPr>
      <w:r>
        <w:rPr>
          <w:rFonts w:hint="eastAsia" w:ascii="仿宋" w:hAnsi="仿宋" w:eastAsia="仿宋" w:cs="仿宋"/>
          <w:b w:val="0"/>
          <w:bCs w:val="0"/>
          <w:snapToGrid/>
          <w:color w:val="000000"/>
          <w:kern w:val="2"/>
          <w:sz w:val="28"/>
          <w:szCs w:val="28"/>
          <w:lang w:eastAsia="zh-CN"/>
        </w:rPr>
        <w:t>1.签订合同</w:t>
      </w:r>
    </w:p>
    <w:p w14:paraId="04ED9917">
      <w:pPr>
        <w:widowControl w:val="0"/>
        <w:kinsoku/>
        <w:autoSpaceDE/>
        <w:autoSpaceDN/>
        <w:adjustRightInd/>
        <w:snapToGrid/>
        <w:spacing w:line="520" w:lineRule="exact"/>
        <w:ind w:firstLine="480"/>
        <w:jc w:val="left"/>
        <w:textAlignment w:val="auto"/>
        <w:rPr>
          <w:rFonts w:hint="eastAsia" w:ascii="仿宋" w:hAnsi="仿宋" w:eastAsia="仿宋" w:cs="仿宋"/>
          <w:b w:val="0"/>
          <w:bCs w:val="0"/>
          <w:snapToGrid/>
          <w:color w:val="000000"/>
          <w:kern w:val="2"/>
          <w:sz w:val="28"/>
          <w:szCs w:val="28"/>
          <w:lang w:eastAsia="zh-CN"/>
        </w:rPr>
      </w:pPr>
      <w:r>
        <w:rPr>
          <w:rFonts w:hint="eastAsia" w:ascii="仿宋" w:hAnsi="仿宋" w:eastAsia="仿宋" w:cs="仿宋"/>
          <w:b w:val="0"/>
          <w:bCs w:val="0"/>
          <w:snapToGrid/>
          <w:color w:val="000000"/>
          <w:kern w:val="2"/>
          <w:sz w:val="28"/>
          <w:szCs w:val="28"/>
          <w:lang w:eastAsia="zh-CN"/>
        </w:rPr>
        <w:t>1.1 采购人应当自成交通知书发出之日起三十日内， 按照谈判文件和成交供应商响应文件的约定，与成交供应商签订书面合同。所签订合同不得对谈判文件和成交供应商响应文件作实质性修改。</w:t>
      </w:r>
    </w:p>
    <w:p w14:paraId="0898909F">
      <w:pPr>
        <w:widowControl w:val="0"/>
        <w:kinsoku/>
        <w:autoSpaceDE/>
        <w:autoSpaceDN/>
        <w:adjustRightInd/>
        <w:snapToGrid/>
        <w:spacing w:line="520" w:lineRule="exact"/>
        <w:ind w:firstLine="480"/>
        <w:jc w:val="left"/>
        <w:textAlignment w:val="auto"/>
        <w:rPr>
          <w:rFonts w:hint="eastAsia" w:ascii="仿宋" w:hAnsi="仿宋" w:eastAsia="仿宋" w:cs="仿宋"/>
          <w:b w:val="0"/>
          <w:bCs w:val="0"/>
          <w:snapToGrid/>
          <w:color w:val="000000"/>
          <w:kern w:val="2"/>
          <w:sz w:val="28"/>
          <w:szCs w:val="28"/>
          <w:lang w:eastAsia="zh-CN"/>
        </w:rPr>
      </w:pPr>
      <w:r>
        <w:rPr>
          <w:rFonts w:hint="eastAsia" w:ascii="仿宋" w:hAnsi="仿宋" w:eastAsia="仿宋" w:cs="仿宋"/>
          <w:b w:val="0"/>
          <w:bCs w:val="0"/>
          <w:snapToGrid/>
          <w:color w:val="000000"/>
          <w:kern w:val="2"/>
          <w:sz w:val="28"/>
          <w:szCs w:val="28"/>
          <w:lang w:eastAsia="zh-CN"/>
        </w:rPr>
        <w:t>1.2 签订的合同原则以本章第 4 条的规定为基础，并根据评审、答疑情况进行修改 补充，但该款并不限制采购人以其他方式签订合同的权利。采购人不得向成交供应商提出任 何不合理的要求，作为签订合同的条件，不得与成交供应商私下订立背离合同实质性内容的协议。</w:t>
      </w:r>
    </w:p>
    <w:p w14:paraId="261C852C">
      <w:pPr>
        <w:widowControl w:val="0"/>
        <w:kinsoku/>
        <w:autoSpaceDE/>
        <w:autoSpaceDN/>
        <w:adjustRightInd/>
        <w:snapToGrid/>
        <w:spacing w:line="520" w:lineRule="exact"/>
        <w:ind w:firstLine="480"/>
        <w:jc w:val="left"/>
        <w:textAlignment w:val="auto"/>
        <w:rPr>
          <w:rFonts w:hint="eastAsia" w:ascii="仿宋" w:hAnsi="仿宋" w:eastAsia="仿宋" w:cs="仿宋"/>
          <w:b w:val="0"/>
          <w:bCs w:val="0"/>
          <w:snapToGrid/>
          <w:color w:val="000000"/>
          <w:kern w:val="2"/>
          <w:sz w:val="28"/>
          <w:szCs w:val="28"/>
          <w:lang w:eastAsia="zh-CN"/>
        </w:rPr>
      </w:pPr>
      <w:r>
        <w:rPr>
          <w:rFonts w:hint="eastAsia" w:ascii="仿宋" w:hAnsi="仿宋" w:eastAsia="仿宋" w:cs="仿宋"/>
          <w:b w:val="0"/>
          <w:bCs w:val="0"/>
          <w:snapToGrid/>
          <w:color w:val="000000"/>
          <w:kern w:val="2"/>
          <w:sz w:val="28"/>
          <w:szCs w:val="28"/>
          <w:lang w:eastAsia="zh-CN"/>
        </w:rPr>
        <w:t>1.3 谈判文件、响应文件、书面承诺和成交通知书均作为经济合同的一部分，且具有法律效力。成交供应商应严格履行经济合同所规定的各项义务和责任，否则将依法处理。</w:t>
      </w:r>
    </w:p>
    <w:p w14:paraId="7473562C">
      <w:pPr>
        <w:widowControl w:val="0"/>
        <w:kinsoku/>
        <w:autoSpaceDE/>
        <w:autoSpaceDN/>
        <w:adjustRightInd/>
        <w:snapToGrid/>
        <w:spacing w:line="520" w:lineRule="exact"/>
        <w:ind w:firstLine="480"/>
        <w:jc w:val="left"/>
        <w:textAlignment w:val="auto"/>
        <w:rPr>
          <w:rFonts w:hint="eastAsia" w:ascii="仿宋" w:hAnsi="仿宋" w:eastAsia="仿宋" w:cs="仿宋"/>
          <w:b w:val="0"/>
          <w:bCs w:val="0"/>
          <w:snapToGrid/>
          <w:color w:val="000000"/>
          <w:kern w:val="2"/>
          <w:sz w:val="28"/>
          <w:szCs w:val="28"/>
          <w:lang w:eastAsia="zh-CN"/>
        </w:rPr>
      </w:pPr>
      <w:r>
        <w:rPr>
          <w:rFonts w:hint="eastAsia" w:ascii="仿宋" w:hAnsi="仿宋" w:eastAsia="仿宋" w:cs="仿宋"/>
          <w:b w:val="0"/>
          <w:bCs w:val="0"/>
          <w:snapToGrid/>
          <w:color w:val="000000"/>
          <w:kern w:val="2"/>
          <w:sz w:val="28"/>
          <w:szCs w:val="28"/>
          <w:lang w:eastAsia="zh-CN"/>
        </w:rPr>
        <w:t>1.4 有关法规或者谈判文件明确不允许分包方式履行合同的，成交供应商不得分包履行合同，否则将依法承担法律责任。谈判文件明确允许分包方式履行合同的，按照谈判文 件相关规定执行。</w:t>
      </w:r>
    </w:p>
    <w:p w14:paraId="692E669A">
      <w:pPr>
        <w:widowControl w:val="0"/>
        <w:kinsoku/>
        <w:autoSpaceDE/>
        <w:autoSpaceDN/>
        <w:adjustRightInd/>
        <w:snapToGrid/>
        <w:spacing w:line="520" w:lineRule="exact"/>
        <w:ind w:firstLine="480"/>
        <w:jc w:val="left"/>
        <w:textAlignment w:val="auto"/>
        <w:rPr>
          <w:rFonts w:hint="eastAsia" w:ascii="仿宋" w:hAnsi="仿宋" w:eastAsia="仿宋" w:cs="仿宋"/>
          <w:b w:val="0"/>
          <w:bCs w:val="0"/>
          <w:snapToGrid/>
          <w:color w:val="000000"/>
          <w:kern w:val="2"/>
          <w:sz w:val="28"/>
          <w:szCs w:val="28"/>
          <w:lang w:eastAsia="zh-CN"/>
        </w:rPr>
      </w:pPr>
      <w:r>
        <w:rPr>
          <w:rFonts w:hint="eastAsia" w:ascii="仿宋" w:hAnsi="仿宋" w:eastAsia="仿宋" w:cs="仿宋"/>
          <w:b w:val="0"/>
          <w:bCs w:val="0"/>
          <w:snapToGrid/>
          <w:color w:val="000000"/>
          <w:kern w:val="2"/>
          <w:sz w:val="28"/>
          <w:szCs w:val="28"/>
          <w:lang w:eastAsia="zh-CN"/>
        </w:rPr>
        <w:t>当成交供应商放弃成交结果或者因被质疑、投诉，经查属实或者因不可抗力而不能履行合同的，采购人可从推荐成交候选人名单中按顺序重新确定成交供应商，但应符合相关规定；否则采购人应重新组织采购。</w:t>
      </w:r>
    </w:p>
    <w:p w14:paraId="0937EA2B">
      <w:pPr>
        <w:widowControl w:val="0"/>
        <w:kinsoku/>
        <w:autoSpaceDE/>
        <w:autoSpaceDN/>
        <w:adjustRightInd/>
        <w:snapToGrid/>
        <w:spacing w:line="520" w:lineRule="exact"/>
        <w:ind w:firstLine="480"/>
        <w:jc w:val="left"/>
        <w:textAlignment w:val="auto"/>
        <w:rPr>
          <w:rFonts w:hint="eastAsia" w:ascii="仿宋" w:hAnsi="仿宋" w:eastAsia="仿宋" w:cs="仿宋"/>
          <w:b w:val="0"/>
          <w:bCs w:val="0"/>
          <w:snapToGrid/>
          <w:color w:val="000000"/>
          <w:kern w:val="2"/>
          <w:sz w:val="28"/>
          <w:szCs w:val="28"/>
          <w:lang w:eastAsia="zh-CN"/>
        </w:rPr>
      </w:pPr>
      <w:r>
        <w:rPr>
          <w:rFonts w:hint="eastAsia" w:ascii="仿宋" w:hAnsi="仿宋" w:eastAsia="仿宋" w:cs="仿宋"/>
          <w:b w:val="0"/>
          <w:bCs w:val="0"/>
          <w:snapToGrid/>
          <w:color w:val="000000"/>
          <w:kern w:val="2"/>
          <w:sz w:val="28"/>
          <w:szCs w:val="28"/>
          <w:lang w:eastAsia="zh-CN"/>
        </w:rPr>
        <w:t>1.5 采购人应当自采购合同签订之日起 7 个工作日内，将采购合同副本报同级财政 部门和有关部门备案。</w:t>
      </w:r>
    </w:p>
    <w:p w14:paraId="42E06577">
      <w:pPr>
        <w:widowControl w:val="0"/>
        <w:kinsoku/>
        <w:autoSpaceDE/>
        <w:autoSpaceDN/>
        <w:adjustRightInd/>
        <w:snapToGrid/>
        <w:spacing w:line="520" w:lineRule="exact"/>
        <w:ind w:firstLine="480"/>
        <w:jc w:val="left"/>
        <w:textAlignment w:val="auto"/>
        <w:rPr>
          <w:rFonts w:hint="eastAsia" w:ascii="仿宋" w:hAnsi="仿宋" w:eastAsia="仿宋" w:cs="仿宋"/>
          <w:b w:val="0"/>
          <w:bCs w:val="0"/>
          <w:snapToGrid/>
          <w:color w:val="000000"/>
          <w:kern w:val="2"/>
          <w:sz w:val="28"/>
          <w:szCs w:val="28"/>
          <w:lang w:eastAsia="zh-CN"/>
        </w:rPr>
      </w:pPr>
      <w:r>
        <w:rPr>
          <w:rFonts w:hint="eastAsia" w:ascii="仿宋" w:hAnsi="仿宋" w:eastAsia="仿宋" w:cs="仿宋"/>
          <w:b w:val="0"/>
          <w:bCs w:val="0"/>
          <w:snapToGrid/>
          <w:color w:val="000000"/>
          <w:kern w:val="2"/>
          <w:sz w:val="28"/>
          <w:szCs w:val="28"/>
          <w:lang w:eastAsia="zh-CN"/>
        </w:rPr>
        <w:t>1.6 法律、行政法规规定应当办理批准、登记等手续后生效的合同，依照其规定。</w:t>
      </w:r>
    </w:p>
    <w:p w14:paraId="234EEDE7">
      <w:pPr>
        <w:widowControl w:val="0"/>
        <w:kinsoku/>
        <w:autoSpaceDE/>
        <w:autoSpaceDN/>
        <w:adjustRightInd/>
        <w:snapToGrid/>
        <w:spacing w:line="520" w:lineRule="exact"/>
        <w:ind w:firstLine="480"/>
        <w:jc w:val="left"/>
        <w:textAlignment w:val="auto"/>
        <w:rPr>
          <w:rFonts w:hint="eastAsia" w:ascii="仿宋" w:hAnsi="仿宋" w:eastAsia="仿宋" w:cs="仿宋"/>
          <w:b w:val="0"/>
          <w:bCs w:val="0"/>
          <w:snapToGrid/>
          <w:color w:val="000000"/>
          <w:kern w:val="2"/>
          <w:sz w:val="28"/>
          <w:szCs w:val="28"/>
          <w:lang w:eastAsia="zh-CN"/>
        </w:rPr>
      </w:pPr>
      <w:r>
        <w:rPr>
          <w:rFonts w:hint="eastAsia" w:ascii="仿宋" w:hAnsi="仿宋" w:eastAsia="仿宋" w:cs="仿宋"/>
          <w:b w:val="0"/>
          <w:bCs w:val="0"/>
          <w:snapToGrid/>
          <w:color w:val="000000"/>
          <w:kern w:val="2"/>
          <w:sz w:val="28"/>
          <w:szCs w:val="28"/>
          <w:lang w:eastAsia="zh-CN"/>
        </w:rPr>
        <w:t>2.追加合同金额</w:t>
      </w:r>
    </w:p>
    <w:p w14:paraId="7327F097">
      <w:pPr>
        <w:widowControl w:val="0"/>
        <w:kinsoku/>
        <w:autoSpaceDE/>
        <w:autoSpaceDN/>
        <w:adjustRightInd/>
        <w:snapToGrid/>
        <w:spacing w:line="520" w:lineRule="exact"/>
        <w:ind w:firstLine="480"/>
        <w:jc w:val="left"/>
        <w:textAlignment w:val="auto"/>
        <w:rPr>
          <w:rFonts w:hint="eastAsia" w:ascii="仿宋" w:hAnsi="仿宋" w:eastAsia="仿宋" w:cs="仿宋"/>
          <w:b w:val="0"/>
          <w:bCs w:val="0"/>
          <w:snapToGrid/>
          <w:color w:val="000000"/>
          <w:kern w:val="2"/>
          <w:sz w:val="28"/>
          <w:szCs w:val="28"/>
          <w:lang w:eastAsia="zh-CN"/>
        </w:rPr>
      </w:pPr>
      <w:r>
        <w:rPr>
          <w:rFonts w:hint="eastAsia" w:ascii="仿宋" w:hAnsi="仿宋" w:eastAsia="仿宋" w:cs="仿宋"/>
          <w:b w:val="0"/>
          <w:bCs w:val="0"/>
          <w:snapToGrid/>
          <w:color w:val="000000"/>
          <w:kern w:val="2"/>
          <w:sz w:val="28"/>
          <w:szCs w:val="28"/>
          <w:lang w:eastAsia="zh-CN"/>
        </w:rPr>
        <w:t>政府采购合同履行中，采购人需要追加与合同标的相同的货物的，在不改变合同其 他条款的前提下并且在签订合同后 1 年内，经采购人报同级财政部门批准后，可以与成交人协商签订补充合同，但所有补充合同的采购金额不得超过原合同采购金额的10%，否则采购人应重新组织采购。</w:t>
      </w:r>
    </w:p>
    <w:p w14:paraId="4E2B331B">
      <w:pPr>
        <w:widowControl w:val="0"/>
        <w:kinsoku/>
        <w:autoSpaceDE/>
        <w:autoSpaceDN/>
        <w:adjustRightInd/>
        <w:snapToGrid/>
        <w:spacing w:line="520" w:lineRule="exact"/>
        <w:ind w:firstLine="480"/>
        <w:jc w:val="left"/>
        <w:textAlignment w:val="auto"/>
        <w:rPr>
          <w:rFonts w:hint="eastAsia" w:ascii="仿宋" w:hAnsi="仿宋" w:eastAsia="仿宋" w:cs="仿宋"/>
          <w:b w:val="0"/>
          <w:bCs w:val="0"/>
          <w:snapToGrid/>
          <w:color w:val="000000"/>
          <w:kern w:val="2"/>
          <w:sz w:val="28"/>
          <w:szCs w:val="28"/>
          <w:lang w:eastAsia="zh-CN"/>
        </w:rPr>
      </w:pPr>
      <w:r>
        <w:rPr>
          <w:rFonts w:hint="eastAsia" w:ascii="仿宋" w:hAnsi="仿宋" w:eastAsia="仿宋" w:cs="仿宋"/>
          <w:b w:val="0"/>
          <w:bCs w:val="0"/>
          <w:snapToGrid/>
          <w:color w:val="000000"/>
          <w:kern w:val="2"/>
          <w:sz w:val="28"/>
          <w:szCs w:val="28"/>
          <w:lang w:eastAsia="zh-CN"/>
        </w:rPr>
        <w:t>采购合同双方当事人不得擅自变更、中止或者终止合同。采购合同继续履行将损害 国家利益和社会公共利益的，双方当事人应当变更、中止或者终止合同。有过错的一方 应当承担赔偿责任，双方都有过错的，各自承担责任。</w:t>
      </w:r>
    </w:p>
    <w:p w14:paraId="13740288">
      <w:pPr>
        <w:widowControl w:val="0"/>
        <w:kinsoku/>
        <w:autoSpaceDE/>
        <w:autoSpaceDN/>
        <w:adjustRightInd/>
        <w:snapToGrid/>
        <w:spacing w:before="31" w:beforeLines="10" w:after="31" w:afterLines="10" w:line="500" w:lineRule="exact"/>
        <w:jc w:val="center"/>
        <w:textAlignment w:val="auto"/>
        <w:rPr>
          <w:rFonts w:hint="eastAsia" w:ascii="仿宋" w:hAnsi="仿宋" w:eastAsia="仿宋" w:cs="仿宋"/>
          <w:b/>
          <w:snapToGrid/>
          <w:color w:val="000000"/>
          <w:kern w:val="2"/>
          <w:sz w:val="44"/>
          <w:szCs w:val="44"/>
          <w:lang w:eastAsia="zh-CN"/>
        </w:rPr>
      </w:pPr>
    </w:p>
    <w:p w14:paraId="562D88C6">
      <w:pPr>
        <w:widowControl w:val="0"/>
        <w:kinsoku/>
        <w:autoSpaceDE/>
        <w:autoSpaceDN/>
        <w:adjustRightInd/>
        <w:snapToGrid/>
        <w:spacing w:line="240" w:lineRule="auto"/>
        <w:ind w:firstLine="482"/>
        <w:jc w:val="both"/>
        <w:textAlignment w:val="auto"/>
        <w:rPr>
          <w:rFonts w:hint="eastAsia" w:ascii="仿宋" w:hAnsi="仿宋" w:eastAsia="仿宋" w:cs="仿宋"/>
          <w:b/>
          <w:snapToGrid/>
          <w:color w:val="000000"/>
          <w:kern w:val="2"/>
          <w:sz w:val="24"/>
          <w:szCs w:val="24"/>
          <w:lang w:eastAsia="zh-CN"/>
        </w:rPr>
      </w:pPr>
      <w:r>
        <w:rPr>
          <w:rFonts w:hint="eastAsia" w:ascii="仿宋" w:hAnsi="仿宋" w:eastAsia="仿宋" w:cs="仿宋"/>
          <w:b/>
          <w:snapToGrid/>
          <w:color w:val="000000"/>
          <w:kern w:val="2"/>
          <w:sz w:val="24"/>
          <w:szCs w:val="24"/>
          <w:lang w:eastAsia="zh-CN"/>
        </w:rPr>
        <w:br w:type="page"/>
      </w:r>
    </w:p>
    <w:p w14:paraId="2E453350">
      <w:pPr>
        <w:widowControl w:val="0"/>
        <w:kinsoku/>
        <w:autoSpaceDE w:val="0"/>
        <w:autoSpaceDN w:val="0"/>
        <w:adjustRightInd w:val="0"/>
        <w:snapToGrid/>
        <w:spacing w:line="560" w:lineRule="exact"/>
        <w:ind w:firstLine="482"/>
        <w:jc w:val="center"/>
        <w:textAlignment w:val="auto"/>
        <w:rPr>
          <w:rFonts w:hint="eastAsia" w:ascii="仿宋" w:hAnsi="仿宋" w:eastAsia="仿宋" w:cs="仿宋"/>
          <w:b/>
          <w:snapToGrid/>
          <w:color w:val="000000"/>
          <w:kern w:val="2"/>
          <w:sz w:val="24"/>
          <w:szCs w:val="24"/>
          <w:lang w:eastAsia="zh-CN"/>
        </w:rPr>
      </w:pPr>
      <w:r>
        <w:rPr>
          <w:rFonts w:hint="eastAsia" w:ascii="仿宋" w:hAnsi="仿宋" w:eastAsia="仿宋" w:cs="仿宋"/>
          <w:b/>
          <w:snapToGrid/>
          <w:color w:val="000000"/>
          <w:kern w:val="2"/>
          <w:sz w:val="24"/>
          <w:szCs w:val="24"/>
          <w:lang w:eastAsia="zh-CN"/>
        </w:rPr>
        <w:t>第二部分 合同一般条款</w:t>
      </w:r>
      <w:bookmarkEnd w:id="141"/>
    </w:p>
    <w:p w14:paraId="6AD47CA0">
      <w:pPr>
        <w:widowControl w:val="0"/>
        <w:kinsoku/>
        <w:autoSpaceDE/>
        <w:autoSpaceDN/>
        <w:adjustRightInd/>
        <w:snapToGrid/>
        <w:spacing w:line="560" w:lineRule="exact"/>
        <w:ind w:firstLine="486" w:firstLineChars="200"/>
        <w:jc w:val="both"/>
        <w:textAlignment w:val="auto"/>
        <w:outlineLvl w:val="0"/>
        <w:rPr>
          <w:rFonts w:hint="eastAsia" w:ascii="仿宋" w:hAnsi="仿宋" w:eastAsia="仿宋" w:cs="仿宋"/>
          <w:b/>
          <w:snapToGrid/>
          <w:color w:val="000000"/>
          <w:kern w:val="2"/>
          <w:sz w:val="24"/>
          <w:szCs w:val="24"/>
          <w:lang w:eastAsia="zh-CN"/>
        </w:rPr>
      </w:pPr>
      <w:bookmarkStart w:id="142" w:name="_Toc5228"/>
      <w:bookmarkStart w:id="143" w:name="_Ref467379195"/>
      <w:bookmarkStart w:id="144" w:name="_Ref467379101"/>
      <w:bookmarkStart w:id="145" w:name="_Ref467379225"/>
      <w:bookmarkStart w:id="146" w:name="_Toc19680"/>
      <w:bookmarkStart w:id="147" w:name="_Ref467378404"/>
      <w:bookmarkStart w:id="148" w:name="_Ref467379109"/>
      <w:bookmarkStart w:id="149" w:name="_Ref467378463"/>
      <w:bookmarkStart w:id="150" w:name="_Ref467379205"/>
      <w:bookmarkStart w:id="151" w:name="_Toc17211"/>
      <w:bookmarkStart w:id="152" w:name="_Toc14021"/>
      <w:bookmarkStart w:id="153" w:name="_Toc25079"/>
      <w:bookmarkStart w:id="154" w:name="_Ref467378499"/>
      <w:bookmarkStart w:id="155" w:name="_Ref467379214"/>
      <w:bookmarkStart w:id="156" w:name="_Toc487900349"/>
      <w:bookmarkStart w:id="157" w:name="_Toc31297"/>
      <w:bookmarkStart w:id="158" w:name="_Toc22860"/>
      <w:bookmarkStart w:id="159" w:name="_Toc279701240"/>
      <w:bookmarkStart w:id="160" w:name="_Toc1104"/>
      <w:bookmarkStart w:id="161" w:name="_Toc259093669"/>
      <w:bookmarkStart w:id="162" w:name="_Toc23129"/>
      <w:bookmarkStart w:id="163" w:name="_Ref467379094"/>
      <w:bookmarkStart w:id="164" w:name="_Toc7427"/>
      <w:r>
        <w:rPr>
          <w:rFonts w:hint="eastAsia" w:ascii="仿宋" w:hAnsi="仿宋" w:eastAsia="仿宋" w:cs="仿宋"/>
          <w:b/>
          <w:snapToGrid/>
          <w:color w:val="000000"/>
          <w:kern w:val="2"/>
          <w:sz w:val="24"/>
          <w:szCs w:val="24"/>
          <w:lang w:eastAsia="zh-CN"/>
        </w:rPr>
        <w:t>2.1 定义</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496F5875">
      <w:pPr>
        <w:widowControl w:val="0"/>
        <w:kinsoku/>
        <w:autoSpaceDE/>
        <w:autoSpaceDN/>
        <w:adjustRightInd/>
        <w:snapToGrid/>
        <w:spacing w:line="560" w:lineRule="exact"/>
        <w:ind w:firstLine="486" w:firstLineChars="200"/>
        <w:jc w:val="both"/>
        <w:textAlignment w:val="auto"/>
        <w:rPr>
          <w:rFonts w:hint="eastAsia" w:ascii="仿宋" w:hAnsi="仿宋" w:eastAsia="仿宋" w:cs="仿宋"/>
          <w:snapToGrid/>
          <w:color w:val="000000"/>
          <w:kern w:val="2"/>
          <w:sz w:val="24"/>
          <w:szCs w:val="24"/>
          <w:lang w:eastAsia="zh-CN"/>
        </w:rPr>
      </w:pPr>
      <w:r>
        <w:rPr>
          <w:rFonts w:hint="eastAsia" w:ascii="仿宋" w:hAnsi="仿宋" w:eastAsia="仿宋" w:cs="仿宋"/>
          <w:snapToGrid/>
          <w:color w:val="000000"/>
          <w:kern w:val="2"/>
          <w:sz w:val="24"/>
          <w:szCs w:val="24"/>
          <w:lang w:eastAsia="zh-CN"/>
        </w:rPr>
        <w:t>本合同中的下列词语应按以下内容进行解释：</w:t>
      </w:r>
    </w:p>
    <w:p w14:paraId="246897C2">
      <w:pPr>
        <w:widowControl w:val="0"/>
        <w:kinsoku/>
        <w:autoSpaceDE/>
        <w:autoSpaceDN/>
        <w:adjustRightInd/>
        <w:snapToGrid/>
        <w:spacing w:line="560" w:lineRule="exact"/>
        <w:ind w:firstLine="486" w:firstLineChars="200"/>
        <w:jc w:val="both"/>
        <w:textAlignment w:val="auto"/>
        <w:rPr>
          <w:rFonts w:hint="eastAsia" w:ascii="仿宋" w:hAnsi="仿宋" w:eastAsia="仿宋" w:cs="仿宋"/>
          <w:snapToGrid/>
          <w:color w:val="000000"/>
          <w:kern w:val="2"/>
          <w:sz w:val="24"/>
          <w:szCs w:val="24"/>
          <w:lang w:eastAsia="zh-CN"/>
        </w:rPr>
      </w:pPr>
      <w:r>
        <w:rPr>
          <w:rFonts w:hint="eastAsia" w:ascii="仿宋" w:hAnsi="仿宋" w:eastAsia="仿宋" w:cs="仿宋"/>
          <w:snapToGrid/>
          <w:color w:val="000000"/>
          <w:kern w:val="2"/>
          <w:sz w:val="24"/>
          <w:szCs w:val="24"/>
          <w:lang w:eastAsia="zh-CN"/>
        </w:rPr>
        <w:t>2.1.1 “合同”系指采购人和中标（成交）供应商签订的载明双方当事人所达成的协议，并包括所有的附件、附录和构成合同的其他文件。</w:t>
      </w:r>
    </w:p>
    <w:p w14:paraId="375CC073">
      <w:pPr>
        <w:widowControl w:val="0"/>
        <w:kinsoku/>
        <w:autoSpaceDE/>
        <w:autoSpaceDN/>
        <w:adjustRightInd/>
        <w:snapToGrid/>
        <w:spacing w:line="560" w:lineRule="exact"/>
        <w:ind w:firstLine="486" w:firstLineChars="200"/>
        <w:jc w:val="both"/>
        <w:textAlignment w:val="auto"/>
        <w:rPr>
          <w:rFonts w:hint="eastAsia" w:ascii="仿宋" w:hAnsi="仿宋" w:eastAsia="仿宋" w:cs="仿宋"/>
          <w:snapToGrid/>
          <w:color w:val="000000"/>
          <w:kern w:val="2"/>
          <w:sz w:val="24"/>
          <w:szCs w:val="24"/>
          <w:lang w:eastAsia="zh-CN"/>
        </w:rPr>
      </w:pPr>
      <w:r>
        <w:rPr>
          <w:rFonts w:hint="eastAsia" w:ascii="仿宋" w:hAnsi="仿宋" w:eastAsia="仿宋" w:cs="仿宋"/>
          <w:snapToGrid/>
          <w:color w:val="000000"/>
          <w:kern w:val="2"/>
          <w:sz w:val="24"/>
          <w:szCs w:val="24"/>
          <w:lang w:eastAsia="zh-CN"/>
        </w:rPr>
        <w:t>2.1.2 “合同价”系指根据合同约定，中标（成交）供应商在完全履行合同义务后，采购人应支付给中标（成交）供应商的价格。</w:t>
      </w:r>
    </w:p>
    <w:p w14:paraId="60CD1243">
      <w:pPr>
        <w:widowControl w:val="0"/>
        <w:kinsoku/>
        <w:autoSpaceDE/>
        <w:autoSpaceDN/>
        <w:adjustRightInd/>
        <w:snapToGrid/>
        <w:spacing w:line="560" w:lineRule="exact"/>
        <w:ind w:firstLine="486" w:firstLineChars="200"/>
        <w:jc w:val="both"/>
        <w:textAlignment w:val="auto"/>
        <w:rPr>
          <w:rFonts w:hint="eastAsia" w:ascii="仿宋" w:hAnsi="仿宋" w:eastAsia="仿宋" w:cs="仿宋"/>
          <w:snapToGrid/>
          <w:color w:val="000000"/>
          <w:kern w:val="2"/>
          <w:sz w:val="24"/>
          <w:szCs w:val="24"/>
          <w:lang w:eastAsia="zh-CN"/>
        </w:rPr>
      </w:pPr>
      <w:r>
        <w:rPr>
          <w:rFonts w:hint="eastAsia" w:ascii="仿宋" w:hAnsi="仿宋" w:eastAsia="仿宋" w:cs="仿宋"/>
          <w:snapToGrid/>
          <w:color w:val="000000"/>
          <w:kern w:val="2"/>
          <w:sz w:val="24"/>
          <w:szCs w:val="24"/>
          <w:lang w:eastAsia="zh-CN"/>
        </w:rPr>
        <w:t>2.1.3 “服务”系指中标（成交）供应商根据合同约定应向采购人履行的除货物和工程以外的其他政府采购对象，包括采购人自身需要的服务和向社会公众提供的公共服务。</w:t>
      </w:r>
    </w:p>
    <w:p w14:paraId="2549BF1D">
      <w:pPr>
        <w:widowControl w:val="0"/>
        <w:kinsoku/>
        <w:autoSpaceDE/>
        <w:autoSpaceDN/>
        <w:adjustRightInd/>
        <w:snapToGrid/>
        <w:spacing w:line="560" w:lineRule="exact"/>
        <w:ind w:firstLine="486" w:firstLineChars="200"/>
        <w:jc w:val="both"/>
        <w:textAlignment w:val="auto"/>
        <w:rPr>
          <w:rFonts w:hint="eastAsia" w:ascii="仿宋" w:hAnsi="仿宋" w:eastAsia="仿宋" w:cs="仿宋"/>
          <w:snapToGrid/>
          <w:color w:val="000000"/>
          <w:kern w:val="2"/>
          <w:sz w:val="24"/>
          <w:szCs w:val="24"/>
          <w:lang w:eastAsia="zh-CN"/>
        </w:rPr>
      </w:pPr>
      <w:bookmarkStart w:id="165" w:name="_Ref467378840"/>
      <w:r>
        <w:rPr>
          <w:rFonts w:hint="eastAsia" w:ascii="仿宋" w:hAnsi="仿宋" w:eastAsia="仿宋" w:cs="仿宋"/>
          <w:snapToGrid/>
          <w:color w:val="000000"/>
          <w:kern w:val="2"/>
          <w:sz w:val="24"/>
          <w:szCs w:val="24"/>
          <w:lang w:eastAsia="zh-CN"/>
        </w:rPr>
        <w:t>2.1.4 “甲方”系指与中标（成交）供应商签署合同的采购人</w:t>
      </w:r>
      <w:bookmarkEnd w:id="165"/>
      <w:r>
        <w:rPr>
          <w:rFonts w:hint="eastAsia" w:ascii="仿宋" w:hAnsi="仿宋" w:eastAsia="仿宋" w:cs="仿宋"/>
          <w:snapToGrid/>
          <w:color w:val="000000"/>
          <w:kern w:val="2"/>
          <w:sz w:val="24"/>
          <w:szCs w:val="24"/>
          <w:lang w:eastAsia="zh-CN"/>
        </w:rPr>
        <w:t>；采购人委托采购代理机构代表其与乙方签订合同的，采购人的授权委托书作为合同附件。</w:t>
      </w:r>
    </w:p>
    <w:p w14:paraId="7CF2EA9A">
      <w:pPr>
        <w:widowControl w:val="0"/>
        <w:kinsoku/>
        <w:autoSpaceDE/>
        <w:autoSpaceDN/>
        <w:adjustRightInd/>
        <w:snapToGrid/>
        <w:spacing w:line="560" w:lineRule="exact"/>
        <w:ind w:firstLine="486" w:firstLineChars="200"/>
        <w:jc w:val="both"/>
        <w:textAlignment w:val="auto"/>
        <w:rPr>
          <w:rFonts w:hint="eastAsia" w:ascii="仿宋" w:hAnsi="仿宋" w:eastAsia="仿宋" w:cs="仿宋"/>
          <w:snapToGrid/>
          <w:color w:val="000000"/>
          <w:kern w:val="2"/>
          <w:sz w:val="24"/>
          <w:szCs w:val="24"/>
          <w:lang w:eastAsia="zh-CN"/>
        </w:rPr>
      </w:pPr>
      <w:bookmarkStart w:id="166" w:name="_Ref467379400"/>
      <w:r>
        <w:rPr>
          <w:rFonts w:hint="eastAsia" w:ascii="仿宋" w:hAnsi="仿宋" w:eastAsia="仿宋" w:cs="仿宋"/>
          <w:snapToGrid/>
          <w:color w:val="000000"/>
          <w:kern w:val="2"/>
          <w:sz w:val="24"/>
          <w:szCs w:val="24"/>
          <w:lang w:eastAsia="zh-CN"/>
        </w:rPr>
        <w:t>2.1.5 “乙方”系指根据合同约定提供服务的</w:t>
      </w:r>
      <w:bookmarkEnd w:id="166"/>
      <w:r>
        <w:rPr>
          <w:rFonts w:hint="eastAsia" w:ascii="仿宋" w:hAnsi="仿宋" w:eastAsia="仿宋" w:cs="仿宋"/>
          <w:snapToGrid/>
          <w:color w:val="000000"/>
          <w:kern w:val="2"/>
          <w:sz w:val="24"/>
          <w:szCs w:val="24"/>
          <w:lang w:eastAsia="zh-CN"/>
        </w:rPr>
        <w:t>中标（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0459E3C1">
      <w:pPr>
        <w:widowControl w:val="0"/>
        <w:kinsoku/>
        <w:autoSpaceDE/>
        <w:autoSpaceDN/>
        <w:adjustRightInd/>
        <w:snapToGrid/>
        <w:spacing w:line="560" w:lineRule="exact"/>
        <w:ind w:firstLine="486" w:firstLineChars="200"/>
        <w:jc w:val="both"/>
        <w:textAlignment w:val="auto"/>
        <w:rPr>
          <w:rFonts w:hint="eastAsia" w:ascii="仿宋" w:hAnsi="仿宋" w:eastAsia="仿宋" w:cs="仿宋"/>
          <w:snapToGrid/>
          <w:color w:val="000000"/>
          <w:kern w:val="2"/>
          <w:sz w:val="24"/>
          <w:szCs w:val="24"/>
          <w:lang w:eastAsia="zh-CN"/>
        </w:rPr>
      </w:pPr>
      <w:bookmarkStart w:id="167" w:name="_Ref467379436"/>
      <w:r>
        <w:rPr>
          <w:rFonts w:hint="eastAsia" w:ascii="仿宋" w:hAnsi="仿宋" w:eastAsia="仿宋" w:cs="仿宋"/>
          <w:snapToGrid/>
          <w:color w:val="000000"/>
          <w:kern w:val="2"/>
          <w:sz w:val="24"/>
          <w:szCs w:val="24"/>
          <w:lang w:eastAsia="zh-CN"/>
        </w:rPr>
        <w:t>2.1.6 “现场”系指合同约定提供服务的地点。</w:t>
      </w:r>
      <w:bookmarkEnd w:id="167"/>
    </w:p>
    <w:p w14:paraId="48112E61">
      <w:pPr>
        <w:widowControl w:val="0"/>
        <w:kinsoku/>
        <w:autoSpaceDE/>
        <w:autoSpaceDN/>
        <w:adjustRightInd/>
        <w:snapToGrid/>
        <w:spacing w:line="560" w:lineRule="exact"/>
        <w:ind w:firstLine="486" w:firstLineChars="200"/>
        <w:jc w:val="both"/>
        <w:textAlignment w:val="auto"/>
        <w:outlineLvl w:val="0"/>
        <w:rPr>
          <w:rFonts w:hint="eastAsia" w:ascii="仿宋" w:hAnsi="仿宋" w:eastAsia="仿宋" w:cs="仿宋"/>
          <w:b/>
          <w:snapToGrid/>
          <w:color w:val="000000"/>
          <w:kern w:val="2"/>
          <w:sz w:val="24"/>
          <w:szCs w:val="24"/>
          <w:lang w:eastAsia="zh-CN"/>
        </w:rPr>
      </w:pPr>
      <w:bookmarkStart w:id="168" w:name="_Toc15319"/>
      <w:bookmarkStart w:id="169" w:name="_Toc22405"/>
      <w:bookmarkStart w:id="170" w:name="_Toc279701241"/>
      <w:bookmarkStart w:id="171" w:name="_Toc23289"/>
      <w:bookmarkStart w:id="172" w:name="_Toc2832"/>
      <w:bookmarkStart w:id="173" w:name="_Toc26091"/>
      <w:bookmarkStart w:id="174" w:name="_Toc3769"/>
      <w:bookmarkStart w:id="175" w:name="_Toc259093670"/>
      <w:bookmarkStart w:id="176" w:name="_Toc16752"/>
      <w:bookmarkStart w:id="177" w:name="_Toc31402"/>
      <w:bookmarkStart w:id="178" w:name="_Toc19539"/>
      <w:bookmarkStart w:id="179" w:name="_Toc487900350"/>
      <w:bookmarkStart w:id="180" w:name="_Toc13053"/>
      <w:r>
        <w:rPr>
          <w:rFonts w:hint="eastAsia" w:ascii="仿宋" w:hAnsi="仿宋" w:eastAsia="仿宋" w:cs="仿宋"/>
          <w:b/>
          <w:snapToGrid/>
          <w:color w:val="000000"/>
          <w:kern w:val="2"/>
          <w:sz w:val="24"/>
          <w:szCs w:val="24"/>
          <w:lang w:eastAsia="zh-CN"/>
        </w:rPr>
        <w:t>2.2 技术规范</w:t>
      </w:r>
      <w:bookmarkEnd w:id="168"/>
      <w:bookmarkEnd w:id="169"/>
      <w:bookmarkEnd w:id="170"/>
      <w:bookmarkEnd w:id="171"/>
      <w:bookmarkEnd w:id="172"/>
      <w:bookmarkEnd w:id="173"/>
      <w:bookmarkEnd w:id="174"/>
      <w:bookmarkEnd w:id="175"/>
      <w:bookmarkEnd w:id="176"/>
      <w:bookmarkEnd w:id="177"/>
      <w:bookmarkEnd w:id="178"/>
      <w:bookmarkEnd w:id="179"/>
      <w:bookmarkEnd w:id="180"/>
    </w:p>
    <w:p w14:paraId="44BF36AA">
      <w:pPr>
        <w:widowControl w:val="0"/>
        <w:kinsoku/>
        <w:autoSpaceDE/>
        <w:autoSpaceDN/>
        <w:adjustRightInd/>
        <w:snapToGrid/>
        <w:spacing w:line="560" w:lineRule="exact"/>
        <w:ind w:firstLine="486" w:firstLineChars="200"/>
        <w:jc w:val="both"/>
        <w:textAlignment w:val="auto"/>
        <w:rPr>
          <w:rFonts w:hint="eastAsia" w:ascii="仿宋" w:hAnsi="仿宋" w:eastAsia="仿宋" w:cs="仿宋"/>
          <w:snapToGrid/>
          <w:color w:val="000000"/>
          <w:kern w:val="2"/>
          <w:sz w:val="24"/>
          <w:szCs w:val="24"/>
          <w:lang w:eastAsia="zh-CN"/>
        </w:rPr>
      </w:pPr>
      <w:r>
        <w:rPr>
          <w:rFonts w:hint="eastAsia" w:ascii="仿宋" w:hAnsi="仿宋" w:eastAsia="仿宋" w:cs="仿宋"/>
          <w:snapToGrid/>
          <w:color w:val="000000"/>
          <w:kern w:val="2"/>
          <w:sz w:val="24"/>
          <w:szCs w:val="24"/>
          <w:lang w:eastAsia="zh-CN"/>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EE81FF1">
      <w:pPr>
        <w:widowControl w:val="0"/>
        <w:kinsoku/>
        <w:autoSpaceDE/>
        <w:autoSpaceDN/>
        <w:adjustRightInd/>
        <w:snapToGrid/>
        <w:spacing w:line="560" w:lineRule="exact"/>
        <w:ind w:firstLine="486" w:firstLineChars="200"/>
        <w:jc w:val="both"/>
        <w:textAlignment w:val="auto"/>
        <w:outlineLvl w:val="0"/>
        <w:rPr>
          <w:rFonts w:hint="eastAsia" w:ascii="仿宋" w:hAnsi="仿宋" w:eastAsia="仿宋" w:cs="仿宋"/>
          <w:b/>
          <w:snapToGrid/>
          <w:color w:val="000000"/>
          <w:kern w:val="2"/>
          <w:sz w:val="24"/>
          <w:szCs w:val="24"/>
          <w:lang w:eastAsia="zh-CN"/>
        </w:rPr>
      </w:pPr>
      <w:bookmarkStart w:id="181" w:name="_Toc27945"/>
      <w:bookmarkStart w:id="182" w:name="_Toc487900351"/>
      <w:bookmarkStart w:id="183" w:name="_Toc4133"/>
      <w:bookmarkStart w:id="184" w:name="_Toc15995"/>
      <w:bookmarkStart w:id="185" w:name="_Toc13673"/>
      <w:bookmarkStart w:id="186" w:name="_Toc279701242"/>
      <w:bookmarkStart w:id="187" w:name="_Toc16839"/>
      <w:bookmarkStart w:id="188" w:name="_Toc9161"/>
      <w:bookmarkStart w:id="189" w:name="_Toc3583"/>
      <w:bookmarkStart w:id="190" w:name="_Toc12412"/>
      <w:bookmarkStart w:id="191" w:name="_Toc5185"/>
      <w:bookmarkStart w:id="192" w:name="_Toc259093671"/>
      <w:bookmarkStart w:id="193" w:name="_Toc16347"/>
      <w:r>
        <w:rPr>
          <w:rFonts w:hint="eastAsia" w:ascii="仿宋" w:hAnsi="仿宋" w:eastAsia="仿宋" w:cs="仿宋"/>
          <w:b/>
          <w:snapToGrid/>
          <w:color w:val="000000"/>
          <w:kern w:val="2"/>
          <w:sz w:val="24"/>
          <w:szCs w:val="24"/>
          <w:lang w:eastAsia="zh-CN"/>
        </w:rPr>
        <w:t>2.3 知识产权</w:t>
      </w:r>
      <w:bookmarkEnd w:id="181"/>
      <w:bookmarkEnd w:id="182"/>
      <w:bookmarkEnd w:id="183"/>
      <w:bookmarkEnd w:id="184"/>
      <w:bookmarkEnd w:id="185"/>
      <w:bookmarkEnd w:id="186"/>
      <w:bookmarkEnd w:id="187"/>
      <w:bookmarkEnd w:id="188"/>
      <w:bookmarkEnd w:id="189"/>
      <w:bookmarkEnd w:id="190"/>
      <w:bookmarkEnd w:id="191"/>
      <w:bookmarkEnd w:id="192"/>
      <w:bookmarkEnd w:id="193"/>
    </w:p>
    <w:p w14:paraId="1FF1087F">
      <w:pPr>
        <w:widowControl w:val="0"/>
        <w:kinsoku/>
        <w:autoSpaceDE/>
        <w:autoSpaceDN/>
        <w:adjustRightInd/>
        <w:snapToGrid/>
        <w:spacing w:line="560" w:lineRule="exact"/>
        <w:ind w:firstLine="486" w:firstLineChars="200"/>
        <w:jc w:val="both"/>
        <w:textAlignment w:val="auto"/>
        <w:rPr>
          <w:rFonts w:hint="eastAsia" w:ascii="仿宋" w:hAnsi="仿宋" w:eastAsia="仿宋" w:cs="仿宋"/>
          <w:snapToGrid/>
          <w:color w:val="000000"/>
          <w:kern w:val="2"/>
          <w:sz w:val="24"/>
          <w:szCs w:val="24"/>
          <w:lang w:eastAsia="zh-CN"/>
        </w:rPr>
      </w:pPr>
      <w:r>
        <w:rPr>
          <w:rFonts w:hint="eastAsia" w:ascii="仿宋" w:hAnsi="仿宋" w:eastAsia="仿宋" w:cs="仿宋"/>
          <w:snapToGrid/>
          <w:color w:val="000000"/>
          <w:kern w:val="2"/>
          <w:sz w:val="24"/>
          <w:szCs w:val="24"/>
          <w:lang w:eastAsia="zh-CN"/>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7FE8988B">
      <w:pPr>
        <w:widowControl w:val="0"/>
        <w:kinsoku/>
        <w:autoSpaceDE/>
        <w:autoSpaceDN/>
        <w:adjustRightInd/>
        <w:snapToGrid/>
        <w:spacing w:line="560" w:lineRule="exact"/>
        <w:ind w:firstLine="486" w:firstLineChars="200"/>
        <w:jc w:val="both"/>
        <w:textAlignment w:val="auto"/>
        <w:rPr>
          <w:rFonts w:hint="eastAsia" w:ascii="仿宋" w:hAnsi="仿宋" w:eastAsia="仿宋" w:cs="仿宋"/>
          <w:snapToGrid/>
          <w:color w:val="000000"/>
          <w:kern w:val="2"/>
          <w:sz w:val="24"/>
          <w:szCs w:val="24"/>
          <w:lang w:eastAsia="zh-CN"/>
        </w:rPr>
      </w:pPr>
      <w:r>
        <w:rPr>
          <w:rFonts w:hint="eastAsia" w:ascii="仿宋" w:hAnsi="仿宋" w:eastAsia="仿宋" w:cs="仿宋"/>
          <w:snapToGrid/>
          <w:color w:val="000000"/>
          <w:kern w:val="2"/>
          <w:sz w:val="24"/>
          <w:szCs w:val="24"/>
          <w:lang w:eastAsia="zh-CN"/>
        </w:rPr>
        <w:t>2.3.2 合同涉及技术成果的归属和收益的分成办法的，详见</w:t>
      </w:r>
      <w:r>
        <w:rPr>
          <w:rFonts w:hint="eastAsia" w:ascii="仿宋" w:hAnsi="仿宋" w:eastAsia="仿宋" w:cs="仿宋"/>
          <w:b/>
          <w:snapToGrid/>
          <w:color w:val="000000"/>
          <w:kern w:val="2"/>
          <w:sz w:val="24"/>
          <w:szCs w:val="24"/>
          <w:u w:val="single"/>
          <w:lang w:eastAsia="zh-CN"/>
        </w:rPr>
        <w:t>合同专用条款</w:t>
      </w:r>
      <w:r>
        <w:rPr>
          <w:rFonts w:hint="eastAsia" w:ascii="仿宋" w:hAnsi="仿宋" w:eastAsia="仿宋" w:cs="仿宋"/>
          <w:snapToGrid/>
          <w:color w:val="000000"/>
          <w:kern w:val="2"/>
          <w:sz w:val="24"/>
          <w:szCs w:val="24"/>
          <w:lang w:eastAsia="zh-CN"/>
        </w:rPr>
        <w:t>。</w:t>
      </w:r>
    </w:p>
    <w:p w14:paraId="2129FFDA">
      <w:pPr>
        <w:widowControl w:val="0"/>
        <w:kinsoku/>
        <w:autoSpaceDE/>
        <w:autoSpaceDN/>
        <w:adjustRightInd/>
        <w:snapToGrid/>
        <w:spacing w:line="560" w:lineRule="exact"/>
        <w:ind w:firstLine="486" w:firstLineChars="200"/>
        <w:jc w:val="both"/>
        <w:textAlignment w:val="auto"/>
        <w:rPr>
          <w:rFonts w:hint="eastAsia" w:ascii="仿宋" w:hAnsi="仿宋" w:eastAsia="仿宋" w:cs="仿宋"/>
          <w:b/>
          <w:snapToGrid/>
          <w:color w:val="000000"/>
          <w:kern w:val="2"/>
          <w:sz w:val="24"/>
          <w:szCs w:val="24"/>
          <w:lang w:eastAsia="zh-CN"/>
        </w:rPr>
      </w:pPr>
      <w:r>
        <w:rPr>
          <w:rFonts w:hint="eastAsia" w:ascii="仿宋" w:hAnsi="仿宋" w:eastAsia="仿宋" w:cs="仿宋"/>
          <w:b/>
          <w:snapToGrid/>
          <w:color w:val="000000"/>
          <w:kern w:val="2"/>
          <w:sz w:val="24"/>
          <w:szCs w:val="24"/>
          <w:lang w:eastAsia="zh-CN"/>
        </w:rPr>
        <w:t>2.4 履约检查和问题反馈</w:t>
      </w:r>
    </w:p>
    <w:p w14:paraId="061A0AFB">
      <w:pPr>
        <w:widowControl w:val="0"/>
        <w:kinsoku/>
        <w:autoSpaceDE/>
        <w:autoSpaceDN/>
        <w:adjustRightInd/>
        <w:snapToGrid/>
        <w:spacing w:line="560" w:lineRule="exact"/>
        <w:ind w:firstLine="486" w:firstLineChars="200"/>
        <w:jc w:val="both"/>
        <w:textAlignment w:val="auto"/>
        <w:rPr>
          <w:rFonts w:hint="eastAsia" w:ascii="仿宋" w:hAnsi="仿宋" w:eastAsia="仿宋" w:cs="仿宋"/>
          <w:snapToGrid/>
          <w:color w:val="000000"/>
          <w:kern w:val="2"/>
          <w:sz w:val="24"/>
          <w:szCs w:val="24"/>
          <w:lang w:eastAsia="zh-CN"/>
        </w:rPr>
      </w:pPr>
      <w:bookmarkStart w:id="194" w:name="_Ref467379657"/>
      <w:r>
        <w:rPr>
          <w:rFonts w:hint="eastAsia" w:ascii="仿宋" w:hAnsi="仿宋" w:eastAsia="仿宋" w:cs="仿宋"/>
          <w:snapToGrid/>
          <w:color w:val="000000"/>
          <w:kern w:val="2"/>
          <w:sz w:val="24"/>
          <w:szCs w:val="24"/>
          <w:lang w:eastAsia="zh-CN"/>
        </w:rPr>
        <w:t>2.4.1</w:t>
      </w:r>
      <w:bookmarkEnd w:id="194"/>
      <w:bookmarkStart w:id="195" w:name="_Toc186431854"/>
      <w:bookmarkStart w:id="196" w:name="_Ref467379793"/>
      <w:bookmarkStart w:id="197" w:name="_Toc487900357"/>
      <w:bookmarkStart w:id="198" w:name="_Ref467379807"/>
      <w:bookmarkStart w:id="199" w:name="_Toc259093676"/>
      <w:bookmarkStart w:id="200" w:name="_Toc279701247"/>
      <w:r>
        <w:rPr>
          <w:rFonts w:hint="eastAsia" w:ascii="仿宋" w:hAnsi="仿宋" w:eastAsia="仿宋" w:cs="仿宋"/>
          <w:snapToGrid/>
          <w:color w:val="000000"/>
          <w:kern w:val="2"/>
          <w:sz w:val="24"/>
          <w:szCs w:val="24"/>
          <w:lang w:eastAsia="zh-CN"/>
        </w:rPr>
        <w:t>甲方有权在其认为必要时，对乙方是否能够按照合同约定提供服务进行履约检查，以确保乙方所提供的服务能够依约满足甲方之项目需求，但不得因履约检查妨碍乙方的正常工作，乙方应予积极配合；</w:t>
      </w:r>
    </w:p>
    <w:p w14:paraId="351FE5B2">
      <w:pPr>
        <w:widowControl w:val="0"/>
        <w:kinsoku/>
        <w:autoSpaceDE/>
        <w:autoSpaceDN/>
        <w:adjustRightInd/>
        <w:snapToGrid/>
        <w:spacing w:line="560" w:lineRule="exact"/>
        <w:ind w:firstLine="486" w:firstLineChars="200"/>
        <w:jc w:val="both"/>
        <w:textAlignment w:val="auto"/>
        <w:rPr>
          <w:rFonts w:hint="eastAsia" w:ascii="仿宋" w:hAnsi="仿宋" w:eastAsia="仿宋" w:cs="仿宋"/>
          <w:snapToGrid/>
          <w:color w:val="000000"/>
          <w:kern w:val="2"/>
          <w:sz w:val="24"/>
          <w:szCs w:val="24"/>
          <w:lang w:eastAsia="zh-CN"/>
        </w:rPr>
      </w:pPr>
      <w:r>
        <w:rPr>
          <w:rFonts w:hint="eastAsia" w:ascii="仿宋" w:hAnsi="仿宋" w:eastAsia="仿宋" w:cs="仿宋"/>
          <w:snapToGrid/>
          <w:color w:val="000000"/>
          <w:kern w:val="2"/>
          <w:sz w:val="24"/>
          <w:szCs w:val="24"/>
          <w:lang w:eastAsia="zh-CN"/>
        </w:rPr>
        <w:t>2.4.2 合同履行期间，甲方有权将履行过程中出现的问题反馈给乙方，双方当事人应以书面形式约定需要完善和改进的内容</w:t>
      </w:r>
      <w:bookmarkEnd w:id="195"/>
      <w:bookmarkStart w:id="201" w:name="_Toc186431855"/>
      <w:r>
        <w:rPr>
          <w:rFonts w:hint="eastAsia" w:ascii="仿宋" w:hAnsi="仿宋" w:eastAsia="仿宋" w:cs="仿宋"/>
          <w:snapToGrid/>
          <w:color w:val="000000"/>
          <w:kern w:val="2"/>
          <w:sz w:val="24"/>
          <w:szCs w:val="24"/>
          <w:lang w:eastAsia="zh-CN"/>
        </w:rPr>
        <w:t>。</w:t>
      </w:r>
    </w:p>
    <w:bookmarkEnd w:id="201"/>
    <w:p w14:paraId="65B19B1F">
      <w:pPr>
        <w:widowControl w:val="0"/>
        <w:kinsoku/>
        <w:autoSpaceDE/>
        <w:autoSpaceDN/>
        <w:adjustRightInd/>
        <w:snapToGrid/>
        <w:spacing w:line="560" w:lineRule="exact"/>
        <w:ind w:firstLine="486" w:firstLineChars="200"/>
        <w:jc w:val="both"/>
        <w:textAlignment w:val="auto"/>
        <w:outlineLvl w:val="0"/>
        <w:rPr>
          <w:rFonts w:hint="eastAsia" w:ascii="仿宋" w:hAnsi="仿宋" w:eastAsia="仿宋" w:cs="仿宋"/>
          <w:b/>
          <w:snapToGrid/>
          <w:color w:val="000000"/>
          <w:kern w:val="2"/>
          <w:sz w:val="24"/>
          <w:szCs w:val="24"/>
          <w:lang w:eastAsia="zh-CN"/>
        </w:rPr>
      </w:pPr>
      <w:bookmarkStart w:id="202" w:name="_Toc16677"/>
      <w:bookmarkStart w:id="203" w:name="_Toc2382"/>
      <w:bookmarkStart w:id="204" w:name="_Toc32670"/>
      <w:bookmarkStart w:id="205" w:name="_Toc31233"/>
      <w:bookmarkStart w:id="206" w:name="_Toc26555"/>
      <w:bookmarkStart w:id="207" w:name="_Toc15447"/>
      <w:bookmarkStart w:id="208" w:name="_Toc12697"/>
      <w:bookmarkStart w:id="209" w:name="_Toc11793"/>
      <w:bookmarkStart w:id="210" w:name="_Toc22011"/>
      <w:bookmarkStart w:id="211" w:name="_Toc31957"/>
      <w:r>
        <w:rPr>
          <w:rFonts w:hint="eastAsia" w:ascii="仿宋" w:hAnsi="仿宋" w:eastAsia="仿宋" w:cs="仿宋"/>
          <w:b/>
          <w:snapToGrid/>
          <w:color w:val="000000"/>
          <w:kern w:val="2"/>
          <w:sz w:val="24"/>
          <w:szCs w:val="24"/>
          <w:lang w:eastAsia="zh-CN"/>
        </w:rPr>
        <w:t>2.5 结算方式和付款条件</w:t>
      </w:r>
      <w:bookmarkEnd w:id="196"/>
      <w:bookmarkEnd w:id="197"/>
      <w:bookmarkEnd w:id="198"/>
      <w:bookmarkEnd w:id="199"/>
      <w:bookmarkEnd w:id="200"/>
      <w:bookmarkEnd w:id="202"/>
      <w:bookmarkEnd w:id="203"/>
      <w:bookmarkEnd w:id="204"/>
      <w:bookmarkEnd w:id="205"/>
      <w:bookmarkEnd w:id="206"/>
      <w:bookmarkEnd w:id="207"/>
      <w:bookmarkEnd w:id="208"/>
      <w:bookmarkEnd w:id="209"/>
      <w:bookmarkEnd w:id="210"/>
      <w:bookmarkEnd w:id="211"/>
    </w:p>
    <w:p w14:paraId="4966FA0A">
      <w:pPr>
        <w:widowControl w:val="0"/>
        <w:kinsoku/>
        <w:autoSpaceDE/>
        <w:autoSpaceDN/>
        <w:adjustRightInd/>
        <w:snapToGrid/>
        <w:spacing w:line="560" w:lineRule="exact"/>
        <w:ind w:firstLine="486" w:firstLineChars="200"/>
        <w:jc w:val="both"/>
        <w:textAlignment w:val="auto"/>
        <w:rPr>
          <w:rFonts w:hint="eastAsia" w:ascii="仿宋" w:hAnsi="仿宋" w:eastAsia="仿宋" w:cs="仿宋"/>
          <w:snapToGrid/>
          <w:color w:val="000000"/>
          <w:kern w:val="2"/>
          <w:sz w:val="24"/>
          <w:szCs w:val="24"/>
          <w:lang w:eastAsia="zh-CN"/>
        </w:rPr>
      </w:pPr>
      <w:r>
        <w:rPr>
          <w:rFonts w:hint="eastAsia" w:ascii="仿宋" w:hAnsi="仿宋" w:eastAsia="仿宋" w:cs="仿宋"/>
          <w:snapToGrid/>
          <w:color w:val="000000"/>
          <w:kern w:val="2"/>
          <w:sz w:val="24"/>
          <w:szCs w:val="24"/>
          <w:lang w:eastAsia="zh-CN"/>
        </w:rPr>
        <w:t>详见</w:t>
      </w:r>
      <w:r>
        <w:rPr>
          <w:rFonts w:hint="eastAsia" w:ascii="仿宋" w:hAnsi="仿宋" w:eastAsia="仿宋" w:cs="仿宋"/>
          <w:b/>
          <w:snapToGrid/>
          <w:color w:val="000000"/>
          <w:kern w:val="2"/>
          <w:sz w:val="24"/>
          <w:szCs w:val="24"/>
          <w:u w:val="single"/>
          <w:lang w:eastAsia="zh-CN"/>
        </w:rPr>
        <w:t>合同专用条款</w:t>
      </w:r>
      <w:r>
        <w:rPr>
          <w:rFonts w:hint="eastAsia" w:ascii="仿宋" w:hAnsi="仿宋" w:eastAsia="仿宋" w:cs="仿宋"/>
          <w:snapToGrid/>
          <w:color w:val="000000"/>
          <w:kern w:val="2"/>
          <w:sz w:val="24"/>
          <w:szCs w:val="24"/>
          <w:lang w:eastAsia="zh-CN"/>
        </w:rPr>
        <w:t>。</w:t>
      </w:r>
    </w:p>
    <w:p w14:paraId="6B1E6274">
      <w:pPr>
        <w:widowControl w:val="0"/>
        <w:kinsoku/>
        <w:autoSpaceDE/>
        <w:autoSpaceDN/>
        <w:adjustRightInd/>
        <w:snapToGrid/>
        <w:spacing w:line="560" w:lineRule="exact"/>
        <w:ind w:firstLine="486" w:firstLineChars="200"/>
        <w:jc w:val="both"/>
        <w:textAlignment w:val="auto"/>
        <w:outlineLvl w:val="0"/>
        <w:rPr>
          <w:rFonts w:hint="eastAsia" w:ascii="仿宋" w:hAnsi="仿宋" w:eastAsia="仿宋" w:cs="仿宋"/>
          <w:b/>
          <w:snapToGrid/>
          <w:color w:val="000000"/>
          <w:kern w:val="2"/>
          <w:sz w:val="24"/>
          <w:szCs w:val="24"/>
          <w:lang w:eastAsia="zh-CN"/>
        </w:rPr>
      </w:pPr>
      <w:bookmarkStart w:id="212" w:name="_Ref467379863"/>
      <w:bookmarkStart w:id="213" w:name="_Ref467379852"/>
      <w:bookmarkStart w:id="214" w:name="_Toc259093677"/>
      <w:bookmarkStart w:id="215" w:name="_Ref467379923"/>
      <w:bookmarkStart w:id="216" w:name="_Toc279701248"/>
      <w:bookmarkStart w:id="217" w:name="_Toc487900358"/>
      <w:bookmarkStart w:id="218" w:name="_Toc21996"/>
      <w:bookmarkStart w:id="219" w:name="_Toc13154"/>
      <w:bookmarkStart w:id="220" w:name="_Toc16163"/>
      <w:bookmarkStart w:id="221" w:name="_Toc31272"/>
      <w:bookmarkStart w:id="222" w:name="_Toc13467"/>
      <w:bookmarkStart w:id="223" w:name="_Toc30507"/>
      <w:bookmarkStart w:id="224" w:name="_Toc18168"/>
      <w:bookmarkStart w:id="225" w:name="_Toc2888"/>
      <w:bookmarkStart w:id="226" w:name="_Toc2306"/>
      <w:bookmarkStart w:id="227" w:name="_Toc18990"/>
      <w:r>
        <w:rPr>
          <w:rFonts w:hint="eastAsia" w:ascii="仿宋" w:hAnsi="仿宋" w:eastAsia="仿宋" w:cs="仿宋"/>
          <w:b/>
          <w:snapToGrid/>
          <w:color w:val="000000"/>
          <w:kern w:val="2"/>
          <w:sz w:val="24"/>
          <w:szCs w:val="24"/>
          <w:lang w:eastAsia="zh-CN"/>
        </w:rPr>
        <w:t>2.6 技术资料</w:t>
      </w:r>
      <w:bookmarkEnd w:id="212"/>
      <w:bookmarkEnd w:id="213"/>
      <w:bookmarkEnd w:id="214"/>
      <w:bookmarkEnd w:id="215"/>
      <w:bookmarkEnd w:id="216"/>
      <w:bookmarkEnd w:id="217"/>
      <w:r>
        <w:rPr>
          <w:rFonts w:hint="eastAsia" w:ascii="仿宋" w:hAnsi="仿宋" w:eastAsia="仿宋" w:cs="仿宋"/>
          <w:b/>
          <w:snapToGrid/>
          <w:color w:val="000000"/>
          <w:kern w:val="2"/>
          <w:sz w:val="24"/>
          <w:szCs w:val="24"/>
          <w:lang w:eastAsia="zh-CN"/>
        </w:rPr>
        <w:t>和保密义务</w:t>
      </w:r>
      <w:bookmarkEnd w:id="218"/>
      <w:bookmarkEnd w:id="219"/>
      <w:bookmarkEnd w:id="220"/>
      <w:bookmarkEnd w:id="221"/>
      <w:bookmarkEnd w:id="222"/>
      <w:bookmarkEnd w:id="223"/>
      <w:bookmarkEnd w:id="224"/>
      <w:bookmarkEnd w:id="225"/>
      <w:bookmarkEnd w:id="226"/>
      <w:bookmarkEnd w:id="227"/>
    </w:p>
    <w:p w14:paraId="2858A38F">
      <w:pPr>
        <w:widowControl w:val="0"/>
        <w:kinsoku/>
        <w:autoSpaceDE/>
        <w:autoSpaceDN/>
        <w:adjustRightInd/>
        <w:snapToGrid/>
        <w:spacing w:line="560" w:lineRule="exact"/>
        <w:ind w:firstLine="486" w:firstLineChars="200"/>
        <w:jc w:val="both"/>
        <w:textAlignment w:val="auto"/>
        <w:rPr>
          <w:rFonts w:hint="eastAsia" w:ascii="仿宋" w:hAnsi="仿宋" w:eastAsia="仿宋" w:cs="仿宋"/>
          <w:snapToGrid/>
          <w:color w:val="000000"/>
          <w:kern w:val="2"/>
          <w:sz w:val="24"/>
          <w:szCs w:val="24"/>
          <w:lang w:eastAsia="zh-CN"/>
        </w:rPr>
      </w:pPr>
      <w:r>
        <w:rPr>
          <w:rFonts w:hint="eastAsia" w:ascii="仿宋" w:hAnsi="仿宋" w:eastAsia="仿宋" w:cs="仿宋"/>
          <w:snapToGrid/>
          <w:color w:val="000000"/>
          <w:kern w:val="2"/>
          <w:sz w:val="24"/>
          <w:szCs w:val="24"/>
          <w:lang w:eastAsia="zh-CN"/>
        </w:rPr>
        <w:t>2.6.1 乙方有权依据合同约定和项目需要，向甲方了解有关情况，调阅有关资料等，甲方应予积极配合；</w:t>
      </w:r>
    </w:p>
    <w:p w14:paraId="50C0EBD9">
      <w:pPr>
        <w:widowControl w:val="0"/>
        <w:kinsoku/>
        <w:autoSpaceDE/>
        <w:autoSpaceDN/>
        <w:adjustRightInd/>
        <w:snapToGrid/>
        <w:spacing w:line="560" w:lineRule="exact"/>
        <w:ind w:firstLine="486" w:firstLineChars="200"/>
        <w:jc w:val="both"/>
        <w:textAlignment w:val="auto"/>
        <w:rPr>
          <w:rFonts w:hint="eastAsia" w:ascii="仿宋" w:hAnsi="仿宋" w:eastAsia="仿宋" w:cs="仿宋"/>
          <w:snapToGrid/>
          <w:color w:val="000000"/>
          <w:kern w:val="2"/>
          <w:sz w:val="24"/>
          <w:szCs w:val="24"/>
          <w:lang w:eastAsia="zh-CN"/>
        </w:rPr>
      </w:pPr>
      <w:r>
        <w:rPr>
          <w:rFonts w:hint="eastAsia" w:ascii="仿宋" w:hAnsi="仿宋" w:eastAsia="仿宋" w:cs="仿宋"/>
          <w:snapToGrid/>
          <w:color w:val="000000"/>
          <w:kern w:val="2"/>
          <w:sz w:val="24"/>
          <w:szCs w:val="24"/>
          <w:lang w:eastAsia="zh-CN"/>
        </w:rPr>
        <w:t>2.6.2 乙方有义务妥善保管和保护由甲方提供的前款信息和资料等；</w:t>
      </w:r>
    </w:p>
    <w:p w14:paraId="6E60FA7F">
      <w:pPr>
        <w:widowControl w:val="0"/>
        <w:kinsoku/>
        <w:autoSpaceDE/>
        <w:autoSpaceDN/>
        <w:adjustRightInd/>
        <w:snapToGrid/>
        <w:spacing w:line="560" w:lineRule="exact"/>
        <w:ind w:firstLine="486" w:firstLineChars="200"/>
        <w:jc w:val="both"/>
        <w:textAlignment w:val="auto"/>
        <w:rPr>
          <w:rFonts w:hint="eastAsia" w:ascii="仿宋" w:hAnsi="仿宋" w:eastAsia="仿宋" w:cs="仿宋"/>
          <w:snapToGrid/>
          <w:color w:val="000000"/>
          <w:kern w:val="2"/>
          <w:sz w:val="24"/>
          <w:szCs w:val="24"/>
          <w:lang w:eastAsia="zh-CN"/>
        </w:rPr>
      </w:pPr>
      <w:r>
        <w:rPr>
          <w:rFonts w:hint="eastAsia" w:ascii="仿宋" w:hAnsi="仿宋" w:eastAsia="仿宋" w:cs="仿宋"/>
          <w:snapToGrid/>
          <w:color w:val="000000"/>
          <w:kern w:val="2"/>
          <w:sz w:val="24"/>
          <w:szCs w:val="24"/>
          <w:lang w:eastAsia="zh-CN"/>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06D616D">
      <w:pPr>
        <w:widowControl w:val="0"/>
        <w:kinsoku/>
        <w:autoSpaceDE/>
        <w:autoSpaceDN/>
        <w:adjustRightInd/>
        <w:snapToGrid/>
        <w:spacing w:line="560" w:lineRule="exact"/>
        <w:ind w:firstLine="486" w:firstLineChars="200"/>
        <w:jc w:val="both"/>
        <w:textAlignment w:val="auto"/>
        <w:outlineLvl w:val="0"/>
        <w:rPr>
          <w:rFonts w:hint="eastAsia" w:ascii="仿宋" w:hAnsi="仿宋" w:eastAsia="仿宋" w:cs="仿宋"/>
          <w:b/>
          <w:snapToGrid/>
          <w:color w:val="000000"/>
          <w:kern w:val="2"/>
          <w:sz w:val="24"/>
          <w:szCs w:val="24"/>
          <w:lang w:eastAsia="zh-CN"/>
        </w:rPr>
      </w:pPr>
      <w:bookmarkStart w:id="228" w:name="_Toc19069"/>
      <w:bookmarkStart w:id="229" w:name="_Toc23612"/>
      <w:bookmarkStart w:id="230" w:name="_Toc12764"/>
      <w:bookmarkStart w:id="231" w:name="_Toc263"/>
      <w:bookmarkStart w:id="232" w:name="_Toc20192"/>
      <w:bookmarkStart w:id="233" w:name="_Toc8242"/>
      <w:bookmarkStart w:id="234" w:name="_Toc259093681"/>
      <w:bookmarkStart w:id="235" w:name="_Toc279701252"/>
      <w:bookmarkStart w:id="236" w:name="_Toc487900362"/>
      <w:r>
        <w:rPr>
          <w:rFonts w:hint="eastAsia" w:ascii="仿宋" w:hAnsi="仿宋" w:eastAsia="仿宋" w:cs="仿宋"/>
          <w:b/>
          <w:snapToGrid/>
          <w:color w:val="000000"/>
          <w:kern w:val="2"/>
          <w:sz w:val="24"/>
          <w:szCs w:val="24"/>
          <w:lang w:eastAsia="zh-CN"/>
        </w:rPr>
        <w:t>2.7 质量保证</w:t>
      </w:r>
      <w:bookmarkEnd w:id="228"/>
      <w:bookmarkEnd w:id="229"/>
      <w:bookmarkEnd w:id="230"/>
      <w:bookmarkEnd w:id="231"/>
      <w:bookmarkEnd w:id="232"/>
      <w:bookmarkEnd w:id="233"/>
    </w:p>
    <w:p w14:paraId="7F2C2468">
      <w:pPr>
        <w:widowControl w:val="0"/>
        <w:kinsoku/>
        <w:autoSpaceDE/>
        <w:autoSpaceDN/>
        <w:adjustRightInd/>
        <w:snapToGrid/>
        <w:spacing w:line="560" w:lineRule="exact"/>
        <w:ind w:firstLine="486" w:firstLineChars="200"/>
        <w:jc w:val="both"/>
        <w:textAlignment w:val="auto"/>
        <w:rPr>
          <w:rFonts w:hint="eastAsia" w:ascii="仿宋" w:hAnsi="仿宋" w:eastAsia="仿宋" w:cs="仿宋"/>
          <w:snapToGrid/>
          <w:color w:val="000000"/>
          <w:kern w:val="2"/>
          <w:sz w:val="24"/>
          <w:szCs w:val="24"/>
          <w:lang w:eastAsia="zh-CN"/>
        </w:rPr>
      </w:pPr>
      <w:r>
        <w:rPr>
          <w:rFonts w:hint="eastAsia" w:ascii="仿宋" w:hAnsi="仿宋" w:eastAsia="仿宋" w:cs="仿宋"/>
          <w:snapToGrid/>
          <w:color w:val="000000"/>
          <w:kern w:val="2"/>
          <w:sz w:val="24"/>
          <w:szCs w:val="24"/>
          <w:lang w:eastAsia="zh-CN"/>
        </w:rPr>
        <w:t>2.7.1 乙方应建立和完善履行合同的内部质量保证体系，并提供相关内部规章制度给甲方，以便甲方进行监督检查；</w:t>
      </w:r>
    </w:p>
    <w:p w14:paraId="4786CE1C">
      <w:pPr>
        <w:widowControl w:val="0"/>
        <w:kinsoku/>
        <w:autoSpaceDE/>
        <w:autoSpaceDN/>
        <w:adjustRightInd/>
        <w:snapToGrid/>
        <w:spacing w:line="560" w:lineRule="exact"/>
        <w:ind w:firstLine="486" w:firstLineChars="200"/>
        <w:jc w:val="both"/>
        <w:textAlignment w:val="auto"/>
        <w:rPr>
          <w:rFonts w:hint="eastAsia" w:ascii="仿宋" w:hAnsi="仿宋" w:eastAsia="仿宋" w:cs="仿宋"/>
          <w:snapToGrid/>
          <w:color w:val="000000"/>
          <w:kern w:val="2"/>
          <w:sz w:val="24"/>
          <w:szCs w:val="24"/>
          <w:lang w:eastAsia="zh-CN"/>
        </w:rPr>
      </w:pPr>
      <w:r>
        <w:rPr>
          <w:rFonts w:hint="eastAsia" w:ascii="仿宋" w:hAnsi="仿宋" w:eastAsia="仿宋" w:cs="仿宋"/>
          <w:snapToGrid/>
          <w:color w:val="000000"/>
          <w:kern w:val="2"/>
          <w:sz w:val="24"/>
          <w:szCs w:val="24"/>
          <w:lang w:eastAsia="zh-CN"/>
        </w:rPr>
        <w:t>2.7.2 乙方应保证履行合同的人员数量和素质、软件和硬件设备的配置、场地、环境和设施等满足全面履行合同的要求，并应接受甲方的监督检查。</w:t>
      </w:r>
    </w:p>
    <w:p w14:paraId="563F75BC">
      <w:pPr>
        <w:widowControl w:val="0"/>
        <w:kinsoku/>
        <w:autoSpaceDE/>
        <w:autoSpaceDN/>
        <w:adjustRightInd/>
        <w:snapToGrid/>
        <w:spacing w:line="560" w:lineRule="exact"/>
        <w:ind w:firstLine="486" w:firstLineChars="200"/>
        <w:jc w:val="both"/>
        <w:textAlignment w:val="auto"/>
        <w:outlineLvl w:val="0"/>
        <w:rPr>
          <w:rFonts w:hint="eastAsia" w:ascii="仿宋" w:hAnsi="仿宋" w:eastAsia="仿宋" w:cs="仿宋"/>
          <w:b/>
          <w:snapToGrid/>
          <w:color w:val="000000"/>
          <w:kern w:val="2"/>
          <w:sz w:val="24"/>
          <w:szCs w:val="24"/>
          <w:lang w:eastAsia="zh-CN"/>
        </w:rPr>
      </w:pPr>
      <w:bookmarkStart w:id="237" w:name="_Toc21863"/>
      <w:bookmarkStart w:id="238" w:name="_Toc22267"/>
      <w:bookmarkStart w:id="239" w:name="_Toc22039"/>
      <w:bookmarkStart w:id="240" w:name="_Toc5674"/>
      <w:bookmarkStart w:id="241" w:name="_Toc27176"/>
      <w:bookmarkStart w:id="242" w:name="_Toc30309"/>
      <w:r>
        <w:rPr>
          <w:rFonts w:hint="eastAsia" w:ascii="仿宋" w:hAnsi="仿宋" w:eastAsia="仿宋" w:cs="仿宋"/>
          <w:b/>
          <w:snapToGrid/>
          <w:color w:val="000000"/>
          <w:kern w:val="2"/>
          <w:sz w:val="24"/>
          <w:szCs w:val="24"/>
          <w:lang w:eastAsia="zh-CN"/>
        </w:rPr>
        <w:t>2.8 延迟</w:t>
      </w:r>
      <w:bookmarkEnd w:id="234"/>
      <w:bookmarkEnd w:id="235"/>
      <w:bookmarkEnd w:id="236"/>
      <w:r>
        <w:rPr>
          <w:rFonts w:hint="eastAsia" w:ascii="仿宋" w:hAnsi="仿宋" w:eastAsia="仿宋" w:cs="仿宋"/>
          <w:b/>
          <w:snapToGrid/>
          <w:color w:val="000000"/>
          <w:kern w:val="2"/>
          <w:sz w:val="24"/>
          <w:szCs w:val="24"/>
          <w:lang w:eastAsia="zh-CN"/>
        </w:rPr>
        <w:t>履行</w:t>
      </w:r>
      <w:bookmarkEnd w:id="237"/>
      <w:bookmarkEnd w:id="238"/>
      <w:bookmarkEnd w:id="239"/>
      <w:bookmarkEnd w:id="240"/>
      <w:bookmarkEnd w:id="241"/>
      <w:bookmarkEnd w:id="242"/>
    </w:p>
    <w:p w14:paraId="55847269">
      <w:pPr>
        <w:widowControl w:val="0"/>
        <w:kinsoku/>
        <w:autoSpaceDE/>
        <w:autoSpaceDN/>
        <w:adjustRightInd/>
        <w:snapToGrid/>
        <w:spacing w:line="560" w:lineRule="exact"/>
        <w:ind w:firstLine="486" w:firstLineChars="200"/>
        <w:jc w:val="both"/>
        <w:textAlignment w:val="auto"/>
        <w:rPr>
          <w:rFonts w:hint="eastAsia" w:ascii="仿宋" w:hAnsi="仿宋" w:eastAsia="仿宋" w:cs="仿宋"/>
          <w:snapToGrid/>
          <w:color w:val="000000"/>
          <w:kern w:val="2"/>
          <w:sz w:val="24"/>
          <w:szCs w:val="24"/>
          <w:lang w:eastAsia="zh-CN"/>
        </w:rPr>
      </w:pPr>
      <w:r>
        <w:rPr>
          <w:rFonts w:hint="eastAsia" w:ascii="仿宋" w:hAnsi="仿宋" w:eastAsia="仿宋" w:cs="仿宋"/>
          <w:snapToGrid/>
          <w:color w:val="000000"/>
          <w:kern w:val="2"/>
          <w:sz w:val="24"/>
          <w:szCs w:val="24"/>
          <w:lang w:eastAsia="zh-CN"/>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08D87E42">
      <w:pPr>
        <w:widowControl w:val="0"/>
        <w:kinsoku/>
        <w:autoSpaceDE/>
        <w:autoSpaceDN/>
        <w:adjustRightInd/>
        <w:snapToGrid/>
        <w:spacing w:line="560" w:lineRule="exact"/>
        <w:ind w:firstLine="486" w:firstLineChars="200"/>
        <w:jc w:val="both"/>
        <w:textAlignment w:val="auto"/>
        <w:outlineLvl w:val="0"/>
        <w:rPr>
          <w:rFonts w:hint="eastAsia" w:ascii="仿宋" w:hAnsi="仿宋" w:eastAsia="仿宋" w:cs="仿宋"/>
          <w:b/>
          <w:snapToGrid/>
          <w:color w:val="000000"/>
          <w:kern w:val="2"/>
          <w:sz w:val="24"/>
          <w:szCs w:val="24"/>
          <w:lang w:eastAsia="zh-CN"/>
        </w:rPr>
      </w:pPr>
      <w:bookmarkStart w:id="243" w:name="_Toc27819"/>
      <w:bookmarkStart w:id="244" w:name="_Toc10611"/>
      <w:bookmarkStart w:id="245" w:name="_Toc20059"/>
      <w:bookmarkStart w:id="246" w:name="_Toc17433"/>
      <w:bookmarkStart w:id="247" w:name="_Toc18007"/>
      <w:bookmarkStart w:id="248" w:name="_Toc9430"/>
      <w:bookmarkStart w:id="249" w:name="_Toc279701254"/>
      <w:bookmarkStart w:id="250" w:name="_Ref467378121"/>
      <w:bookmarkStart w:id="251" w:name="_Toc487900364"/>
      <w:bookmarkStart w:id="252" w:name="_Toc259093683"/>
      <w:r>
        <w:rPr>
          <w:rFonts w:hint="eastAsia" w:ascii="仿宋" w:hAnsi="仿宋" w:eastAsia="仿宋" w:cs="仿宋"/>
          <w:b/>
          <w:snapToGrid/>
          <w:color w:val="000000"/>
          <w:kern w:val="2"/>
          <w:sz w:val="24"/>
          <w:szCs w:val="24"/>
          <w:lang w:eastAsia="zh-CN"/>
        </w:rPr>
        <w:t>2.9 合同变更</w:t>
      </w:r>
      <w:bookmarkEnd w:id="243"/>
      <w:bookmarkEnd w:id="244"/>
      <w:bookmarkEnd w:id="245"/>
      <w:bookmarkEnd w:id="246"/>
      <w:bookmarkEnd w:id="247"/>
      <w:bookmarkEnd w:id="248"/>
    </w:p>
    <w:p w14:paraId="1A571E24">
      <w:pPr>
        <w:widowControl w:val="0"/>
        <w:kinsoku/>
        <w:autoSpaceDE/>
        <w:autoSpaceDN/>
        <w:adjustRightInd/>
        <w:snapToGrid/>
        <w:spacing w:line="560" w:lineRule="exact"/>
        <w:ind w:firstLine="486" w:firstLineChars="200"/>
        <w:jc w:val="both"/>
        <w:textAlignment w:val="auto"/>
        <w:rPr>
          <w:rFonts w:hint="eastAsia" w:ascii="仿宋" w:hAnsi="仿宋" w:eastAsia="仿宋" w:cs="仿宋"/>
          <w:snapToGrid/>
          <w:color w:val="000000"/>
          <w:kern w:val="2"/>
          <w:sz w:val="24"/>
          <w:szCs w:val="24"/>
          <w:lang w:eastAsia="zh-CN"/>
        </w:rPr>
      </w:pPr>
      <w:r>
        <w:rPr>
          <w:rFonts w:hint="eastAsia" w:ascii="仿宋" w:hAnsi="仿宋" w:eastAsia="仿宋" w:cs="仿宋"/>
          <w:snapToGrid/>
          <w:color w:val="000000"/>
          <w:kern w:val="2"/>
          <w:sz w:val="24"/>
          <w:szCs w:val="24"/>
          <w:lang w:eastAsia="zh-CN"/>
        </w:rPr>
        <w:t>2.9.1 双方当事人协商一致，可以签订书面补充合同的形式变更合同，但不得违背采购文件确定的事项，且如果系追加与合同标的相同的服务的，那么所有补充合同的采购金额不得超过原合同价的10%；</w:t>
      </w:r>
    </w:p>
    <w:p w14:paraId="79F16413">
      <w:pPr>
        <w:widowControl w:val="0"/>
        <w:kinsoku/>
        <w:autoSpaceDE/>
        <w:autoSpaceDN/>
        <w:adjustRightInd/>
        <w:snapToGrid/>
        <w:spacing w:line="560" w:lineRule="exact"/>
        <w:ind w:firstLine="486" w:firstLineChars="200"/>
        <w:jc w:val="both"/>
        <w:textAlignment w:val="auto"/>
        <w:rPr>
          <w:rFonts w:hint="eastAsia" w:ascii="仿宋" w:hAnsi="仿宋" w:eastAsia="仿宋" w:cs="仿宋"/>
          <w:snapToGrid/>
          <w:color w:val="000000"/>
          <w:kern w:val="2"/>
          <w:sz w:val="24"/>
          <w:szCs w:val="24"/>
          <w:lang w:eastAsia="zh-CN"/>
        </w:rPr>
      </w:pPr>
      <w:r>
        <w:rPr>
          <w:rFonts w:hint="eastAsia" w:ascii="仿宋" w:hAnsi="仿宋" w:eastAsia="仿宋" w:cs="仿宋"/>
          <w:snapToGrid/>
          <w:color w:val="000000"/>
          <w:kern w:val="2"/>
          <w:sz w:val="24"/>
          <w:szCs w:val="24"/>
          <w:lang w:eastAsia="zh-CN"/>
        </w:rPr>
        <w:t>2.9.2 合同继续履行将损害国家利益和社会公共利益的，双方当事人应当以书面形式变更合同。有过错的一方应当承担赔偿责任，双方当事人都有过错的，各自承担相应的责任。</w:t>
      </w:r>
      <w:bookmarkStart w:id="253" w:name="_Toc487900369"/>
      <w:bookmarkStart w:id="254" w:name="_Toc259093688"/>
      <w:bookmarkStart w:id="255" w:name="_Toc279701259"/>
    </w:p>
    <w:p w14:paraId="6AA589C9">
      <w:pPr>
        <w:widowControl w:val="0"/>
        <w:kinsoku/>
        <w:autoSpaceDE/>
        <w:autoSpaceDN/>
        <w:adjustRightInd/>
        <w:snapToGrid/>
        <w:spacing w:line="560" w:lineRule="exact"/>
        <w:ind w:firstLine="486" w:firstLineChars="200"/>
        <w:jc w:val="both"/>
        <w:textAlignment w:val="auto"/>
        <w:outlineLvl w:val="0"/>
        <w:rPr>
          <w:rFonts w:hint="eastAsia" w:ascii="仿宋" w:hAnsi="仿宋" w:eastAsia="仿宋" w:cs="仿宋"/>
          <w:b/>
          <w:snapToGrid/>
          <w:color w:val="000000"/>
          <w:kern w:val="2"/>
          <w:sz w:val="24"/>
          <w:szCs w:val="24"/>
          <w:lang w:eastAsia="zh-CN"/>
        </w:rPr>
      </w:pPr>
      <w:bookmarkStart w:id="256" w:name="_Toc26689"/>
      <w:bookmarkStart w:id="257" w:name="_Toc14473"/>
      <w:bookmarkStart w:id="258" w:name="_Toc10663"/>
      <w:bookmarkStart w:id="259" w:name="_Toc32145"/>
      <w:bookmarkStart w:id="260" w:name="_Toc29061"/>
      <w:bookmarkStart w:id="261" w:name="_Toc42"/>
      <w:bookmarkStart w:id="262" w:name="_Toc21830"/>
      <w:bookmarkStart w:id="263" w:name="_Toc23368"/>
      <w:bookmarkStart w:id="264" w:name="_Toc11741"/>
      <w:bookmarkStart w:id="265" w:name="_Toc16982"/>
      <w:r>
        <w:rPr>
          <w:rFonts w:hint="eastAsia" w:ascii="仿宋" w:hAnsi="仿宋" w:eastAsia="仿宋" w:cs="仿宋"/>
          <w:b/>
          <w:snapToGrid/>
          <w:color w:val="000000"/>
          <w:kern w:val="2"/>
          <w:sz w:val="24"/>
          <w:szCs w:val="24"/>
          <w:lang w:eastAsia="zh-CN"/>
        </w:rPr>
        <w:t>2.10 合同转让</w:t>
      </w:r>
      <w:bookmarkEnd w:id="253"/>
      <w:bookmarkEnd w:id="254"/>
      <w:bookmarkEnd w:id="255"/>
      <w:r>
        <w:rPr>
          <w:rFonts w:hint="eastAsia" w:ascii="仿宋" w:hAnsi="仿宋" w:eastAsia="仿宋" w:cs="仿宋"/>
          <w:b/>
          <w:snapToGrid/>
          <w:color w:val="000000"/>
          <w:kern w:val="2"/>
          <w:sz w:val="24"/>
          <w:szCs w:val="24"/>
          <w:lang w:eastAsia="zh-CN"/>
        </w:rPr>
        <w:t>和分包</w:t>
      </w:r>
      <w:bookmarkEnd w:id="256"/>
      <w:bookmarkEnd w:id="257"/>
      <w:bookmarkEnd w:id="258"/>
      <w:bookmarkEnd w:id="259"/>
      <w:bookmarkEnd w:id="260"/>
      <w:bookmarkEnd w:id="261"/>
      <w:bookmarkEnd w:id="262"/>
      <w:bookmarkEnd w:id="263"/>
      <w:bookmarkEnd w:id="264"/>
      <w:bookmarkEnd w:id="265"/>
    </w:p>
    <w:p w14:paraId="6010905A">
      <w:pPr>
        <w:widowControl w:val="0"/>
        <w:kinsoku/>
        <w:autoSpaceDE/>
        <w:autoSpaceDN/>
        <w:adjustRightInd/>
        <w:snapToGrid/>
        <w:spacing w:line="560" w:lineRule="exact"/>
        <w:ind w:firstLine="486" w:firstLineChars="200"/>
        <w:jc w:val="both"/>
        <w:textAlignment w:val="auto"/>
        <w:rPr>
          <w:rFonts w:hint="eastAsia" w:ascii="仿宋" w:hAnsi="仿宋" w:eastAsia="仿宋" w:cs="仿宋"/>
          <w:snapToGrid/>
          <w:color w:val="000000"/>
          <w:kern w:val="2"/>
          <w:sz w:val="24"/>
          <w:szCs w:val="24"/>
          <w:lang w:eastAsia="zh-CN"/>
        </w:rPr>
      </w:pPr>
      <w:r>
        <w:rPr>
          <w:rFonts w:hint="eastAsia" w:ascii="仿宋" w:hAnsi="仿宋" w:eastAsia="仿宋" w:cs="仿宋"/>
          <w:snapToGrid/>
          <w:color w:val="000000"/>
          <w:kern w:val="2"/>
          <w:sz w:val="24"/>
          <w:szCs w:val="24"/>
          <w:lang w:eastAsia="zh-CN"/>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D14A27D">
      <w:pPr>
        <w:widowControl w:val="0"/>
        <w:kinsoku/>
        <w:autoSpaceDE/>
        <w:autoSpaceDN/>
        <w:adjustRightInd/>
        <w:snapToGrid/>
        <w:spacing w:line="560" w:lineRule="exact"/>
        <w:ind w:firstLine="486" w:firstLineChars="200"/>
        <w:jc w:val="both"/>
        <w:textAlignment w:val="auto"/>
        <w:rPr>
          <w:rFonts w:hint="eastAsia" w:ascii="仿宋" w:hAnsi="仿宋" w:eastAsia="仿宋" w:cs="仿宋"/>
          <w:snapToGrid/>
          <w:color w:val="000000"/>
          <w:kern w:val="2"/>
          <w:sz w:val="24"/>
          <w:szCs w:val="24"/>
          <w:lang w:eastAsia="zh-CN"/>
        </w:rPr>
      </w:pPr>
      <w:r>
        <w:rPr>
          <w:rFonts w:hint="eastAsia" w:ascii="仿宋" w:hAnsi="仿宋" w:eastAsia="仿宋" w:cs="仿宋"/>
          <w:snapToGrid/>
          <w:color w:val="000000"/>
          <w:kern w:val="2"/>
          <w:sz w:val="24"/>
          <w:szCs w:val="24"/>
          <w:lang w:eastAsia="zh-CN"/>
        </w:rPr>
        <w:t xml:space="preserve">联合体成交的，联合体各方应当共同与采购人签订合同，就成交项目向采购人承担连带责任。 </w:t>
      </w:r>
    </w:p>
    <w:p w14:paraId="744CB8B2">
      <w:pPr>
        <w:widowControl w:val="0"/>
        <w:kinsoku/>
        <w:autoSpaceDE/>
        <w:autoSpaceDN/>
        <w:adjustRightInd/>
        <w:snapToGrid/>
        <w:spacing w:line="560" w:lineRule="exact"/>
        <w:ind w:firstLine="486" w:firstLineChars="200"/>
        <w:jc w:val="both"/>
        <w:textAlignment w:val="auto"/>
        <w:outlineLvl w:val="0"/>
        <w:rPr>
          <w:rFonts w:hint="eastAsia" w:ascii="仿宋" w:hAnsi="仿宋" w:eastAsia="仿宋" w:cs="仿宋"/>
          <w:b/>
          <w:snapToGrid/>
          <w:color w:val="000000"/>
          <w:kern w:val="2"/>
          <w:sz w:val="24"/>
          <w:szCs w:val="24"/>
          <w:lang w:eastAsia="zh-CN"/>
        </w:rPr>
      </w:pPr>
      <w:bookmarkStart w:id="266" w:name="_Toc29100"/>
      <w:bookmarkStart w:id="267" w:name="_Toc9996"/>
      <w:bookmarkStart w:id="268" w:name="_Toc13213"/>
      <w:bookmarkStart w:id="269" w:name="_Toc22771"/>
      <w:bookmarkStart w:id="270" w:name="_Toc26633"/>
      <w:bookmarkStart w:id="271" w:name="_Toc32494"/>
      <w:bookmarkStart w:id="272" w:name="_Toc14371"/>
      <w:bookmarkStart w:id="273" w:name="_Toc12819"/>
      <w:bookmarkStart w:id="274" w:name="_Toc4720"/>
      <w:bookmarkStart w:id="275" w:name="_Toc25571"/>
      <w:r>
        <w:rPr>
          <w:rFonts w:hint="eastAsia" w:ascii="仿宋" w:hAnsi="仿宋" w:eastAsia="仿宋" w:cs="仿宋"/>
          <w:b/>
          <w:snapToGrid/>
          <w:color w:val="000000"/>
          <w:kern w:val="2"/>
          <w:sz w:val="24"/>
          <w:szCs w:val="24"/>
          <w:lang w:eastAsia="zh-CN"/>
        </w:rPr>
        <w:t>2.11 不可抗力</w:t>
      </w:r>
      <w:bookmarkEnd w:id="266"/>
      <w:bookmarkEnd w:id="267"/>
      <w:bookmarkEnd w:id="268"/>
      <w:bookmarkEnd w:id="269"/>
      <w:bookmarkEnd w:id="270"/>
      <w:bookmarkEnd w:id="271"/>
      <w:bookmarkEnd w:id="272"/>
      <w:bookmarkEnd w:id="273"/>
      <w:bookmarkEnd w:id="274"/>
      <w:bookmarkEnd w:id="275"/>
    </w:p>
    <w:p w14:paraId="46C5B874">
      <w:pPr>
        <w:widowControl w:val="0"/>
        <w:kinsoku/>
        <w:autoSpaceDE/>
        <w:autoSpaceDN/>
        <w:adjustRightInd/>
        <w:snapToGrid/>
        <w:spacing w:line="560" w:lineRule="exact"/>
        <w:ind w:firstLine="486" w:firstLineChars="200"/>
        <w:jc w:val="both"/>
        <w:textAlignment w:val="auto"/>
        <w:rPr>
          <w:rFonts w:hint="eastAsia" w:ascii="仿宋" w:hAnsi="仿宋" w:eastAsia="仿宋" w:cs="仿宋"/>
          <w:snapToGrid/>
          <w:color w:val="000000"/>
          <w:kern w:val="2"/>
          <w:sz w:val="24"/>
          <w:szCs w:val="24"/>
          <w:lang w:eastAsia="zh-CN"/>
        </w:rPr>
      </w:pPr>
      <w:r>
        <w:rPr>
          <w:rFonts w:hint="eastAsia" w:ascii="仿宋" w:hAnsi="仿宋" w:eastAsia="仿宋" w:cs="仿宋"/>
          <w:snapToGrid/>
          <w:color w:val="000000"/>
          <w:kern w:val="2"/>
          <w:sz w:val="24"/>
          <w:szCs w:val="24"/>
          <w:lang w:eastAsia="zh-CN"/>
        </w:rPr>
        <w:t>2.11.1如果任何一方遭遇法律规定的不可抗力，致使合同履行受阻时，履行合同的期限应予延长，延长的期限应相当于不可抗力所影响的时间；</w:t>
      </w:r>
    </w:p>
    <w:p w14:paraId="2D252F5B">
      <w:pPr>
        <w:widowControl w:val="0"/>
        <w:kinsoku/>
        <w:autoSpaceDE/>
        <w:autoSpaceDN/>
        <w:adjustRightInd/>
        <w:snapToGrid/>
        <w:spacing w:line="560" w:lineRule="exact"/>
        <w:ind w:firstLine="486" w:firstLineChars="200"/>
        <w:jc w:val="both"/>
        <w:textAlignment w:val="auto"/>
        <w:rPr>
          <w:rFonts w:hint="eastAsia" w:ascii="仿宋" w:hAnsi="仿宋" w:eastAsia="仿宋" w:cs="仿宋"/>
          <w:snapToGrid/>
          <w:color w:val="000000"/>
          <w:kern w:val="2"/>
          <w:sz w:val="24"/>
          <w:szCs w:val="24"/>
          <w:lang w:eastAsia="zh-CN"/>
        </w:rPr>
      </w:pPr>
      <w:r>
        <w:rPr>
          <w:rFonts w:hint="eastAsia" w:ascii="仿宋" w:hAnsi="仿宋" w:eastAsia="仿宋" w:cs="仿宋"/>
          <w:snapToGrid/>
          <w:color w:val="000000"/>
          <w:kern w:val="2"/>
          <w:sz w:val="24"/>
          <w:szCs w:val="24"/>
          <w:lang w:eastAsia="zh-CN"/>
        </w:rPr>
        <w:t>2.11.2 因不可抗力致使不能实现合同目的的，当事人可以解除合同；</w:t>
      </w:r>
    </w:p>
    <w:p w14:paraId="65E81559">
      <w:pPr>
        <w:widowControl w:val="0"/>
        <w:kinsoku/>
        <w:autoSpaceDE/>
        <w:autoSpaceDN/>
        <w:adjustRightInd/>
        <w:snapToGrid/>
        <w:spacing w:line="560" w:lineRule="exact"/>
        <w:ind w:firstLine="486" w:firstLineChars="200"/>
        <w:jc w:val="both"/>
        <w:textAlignment w:val="auto"/>
        <w:rPr>
          <w:rFonts w:hint="eastAsia" w:ascii="仿宋" w:hAnsi="仿宋" w:eastAsia="仿宋" w:cs="仿宋"/>
          <w:snapToGrid/>
          <w:color w:val="000000"/>
          <w:kern w:val="2"/>
          <w:sz w:val="24"/>
          <w:szCs w:val="24"/>
          <w:lang w:eastAsia="zh-CN"/>
        </w:rPr>
      </w:pPr>
      <w:r>
        <w:rPr>
          <w:rFonts w:hint="eastAsia" w:ascii="仿宋" w:hAnsi="仿宋" w:eastAsia="仿宋" w:cs="仿宋"/>
          <w:snapToGrid/>
          <w:color w:val="000000"/>
          <w:kern w:val="2"/>
          <w:sz w:val="24"/>
          <w:szCs w:val="24"/>
          <w:lang w:eastAsia="zh-CN"/>
        </w:rPr>
        <w:t>2.11.3 因不可抗力致使合同有变更必要的，双方当事人应在</w:t>
      </w:r>
      <w:r>
        <w:rPr>
          <w:rFonts w:hint="eastAsia" w:ascii="仿宋" w:hAnsi="仿宋" w:eastAsia="仿宋" w:cs="仿宋"/>
          <w:b/>
          <w:snapToGrid/>
          <w:color w:val="000000"/>
          <w:kern w:val="2"/>
          <w:sz w:val="24"/>
          <w:szCs w:val="24"/>
          <w:u w:val="single"/>
          <w:lang w:eastAsia="zh-CN"/>
        </w:rPr>
        <w:t>合同专用条款</w:t>
      </w:r>
      <w:r>
        <w:rPr>
          <w:rFonts w:hint="eastAsia" w:ascii="仿宋" w:hAnsi="仿宋" w:eastAsia="仿宋" w:cs="仿宋"/>
          <w:snapToGrid/>
          <w:color w:val="000000"/>
          <w:kern w:val="2"/>
          <w:sz w:val="24"/>
          <w:szCs w:val="24"/>
          <w:lang w:eastAsia="zh-CN"/>
        </w:rPr>
        <w:t>约定时间内以书面形式变更合同；</w:t>
      </w:r>
    </w:p>
    <w:p w14:paraId="4BE60F23">
      <w:pPr>
        <w:widowControl w:val="0"/>
        <w:kinsoku/>
        <w:autoSpaceDE/>
        <w:autoSpaceDN/>
        <w:adjustRightInd/>
        <w:snapToGrid/>
        <w:spacing w:line="560" w:lineRule="exact"/>
        <w:ind w:firstLine="486" w:firstLineChars="200"/>
        <w:jc w:val="both"/>
        <w:textAlignment w:val="auto"/>
        <w:rPr>
          <w:rFonts w:hint="eastAsia" w:ascii="仿宋" w:hAnsi="仿宋" w:eastAsia="仿宋" w:cs="仿宋"/>
          <w:snapToGrid/>
          <w:color w:val="000000"/>
          <w:kern w:val="2"/>
          <w:sz w:val="24"/>
          <w:szCs w:val="24"/>
          <w:lang w:eastAsia="zh-CN"/>
        </w:rPr>
      </w:pPr>
      <w:r>
        <w:rPr>
          <w:rFonts w:hint="eastAsia" w:ascii="仿宋" w:hAnsi="仿宋" w:eastAsia="仿宋" w:cs="仿宋"/>
          <w:snapToGrid/>
          <w:color w:val="000000"/>
          <w:kern w:val="2"/>
          <w:sz w:val="24"/>
          <w:szCs w:val="24"/>
          <w:lang w:eastAsia="zh-CN"/>
        </w:rPr>
        <w:t>2.11.4受不可抗力影响的一方在不可抗力发生后，应在</w:t>
      </w:r>
      <w:r>
        <w:rPr>
          <w:rFonts w:hint="eastAsia" w:ascii="仿宋" w:hAnsi="仿宋" w:eastAsia="仿宋" w:cs="仿宋"/>
          <w:b/>
          <w:snapToGrid/>
          <w:color w:val="000000"/>
          <w:kern w:val="2"/>
          <w:sz w:val="24"/>
          <w:szCs w:val="24"/>
          <w:u w:val="single"/>
          <w:lang w:eastAsia="zh-CN"/>
        </w:rPr>
        <w:t>合同专用条款</w:t>
      </w:r>
      <w:r>
        <w:rPr>
          <w:rFonts w:hint="eastAsia" w:ascii="仿宋" w:hAnsi="仿宋" w:eastAsia="仿宋" w:cs="仿宋"/>
          <w:snapToGrid/>
          <w:color w:val="000000"/>
          <w:kern w:val="2"/>
          <w:sz w:val="24"/>
          <w:szCs w:val="24"/>
          <w:lang w:eastAsia="zh-CN"/>
        </w:rPr>
        <w:t>约定时间内以书面形式通知对方当事人，并在</w:t>
      </w:r>
      <w:r>
        <w:rPr>
          <w:rFonts w:hint="eastAsia" w:ascii="仿宋" w:hAnsi="仿宋" w:eastAsia="仿宋" w:cs="仿宋"/>
          <w:b/>
          <w:snapToGrid/>
          <w:color w:val="000000"/>
          <w:kern w:val="2"/>
          <w:sz w:val="24"/>
          <w:szCs w:val="24"/>
          <w:u w:val="single"/>
          <w:lang w:eastAsia="zh-CN"/>
        </w:rPr>
        <w:t>合同专用条款</w:t>
      </w:r>
      <w:r>
        <w:rPr>
          <w:rFonts w:hint="eastAsia" w:ascii="仿宋" w:hAnsi="仿宋" w:eastAsia="仿宋" w:cs="仿宋"/>
          <w:snapToGrid/>
          <w:color w:val="000000"/>
          <w:kern w:val="2"/>
          <w:sz w:val="24"/>
          <w:szCs w:val="24"/>
          <w:lang w:eastAsia="zh-CN"/>
        </w:rPr>
        <w:t>约定时间内，将有关部门出具的证明文件送达对方当事人。</w:t>
      </w:r>
    </w:p>
    <w:p w14:paraId="69E8DDA9">
      <w:pPr>
        <w:widowControl w:val="0"/>
        <w:kinsoku/>
        <w:autoSpaceDE/>
        <w:autoSpaceDN/>
        <w:adjustRightInd/>
        <w:snapToGrid/>
        <w:spacing w:line="560" w:lineRule="exact"/>
        <w:ind w:firstLine="486" w:firstLineChars="200"/>
        <w:jc w:val="both"/>
        <w:textAlignment w:val="auto"/>
        <w:outlineLvl w:val="0"/>
        <w:rPr>
          <w:rFonts w:hint="eastAsia" w:ascii="仿宋" w:hAnsi="仿宋" w:eastAsia="仿宋" w:cs="仿宋"/>
          <w:b/>
          <w:snapToGrid/>
          <w:color w:val="000000"/>
          <w:kern w:val="2"/>
          <w:sz w:val="24"/>
          <w:szCs w:val="24"/>
          <w:lang w:eastAsia="zh-CN"/>
        </w:rPr>
      </w:pPr>
      <w:bookmarkStart w:id="276" w:name="_Toc29415"/>
      <w:bookmarkStart w:id="277" w:name="_Toc25265"/>
      <w:bookmarkStart w:id="278" w:name="_Toc532"/>
      <w:bookmarkStart w:id="279" w:name="_Toc24465"/>
      <w:bookmarkStart w:id="280" w:name="_Toc23485"/>
      <w:bookmarkStart w:id="281" w:name="_Toc259093684"/>
      <w:bookmarkStart w:id="282" w:name="_Toc279701255"/>
      <w:bookmarkStart w:id="283" w:name="_Toc487900365"/>
      <w:bookmarkStart w:id="284" w:name="_Toc3638"/>
      <w:bookmarkStart w:id="285" w:name="_Toc23854"/>
      <w:bookmarkStart w:id="286" w:name="_Toc14115"/>
      <w:bookmarkStart w:id="287" w:name="_Toc25783"/>
      <w:bookmarkStart w:id="288" w:name="_Toc16569"/>
      <w:r>
        <w:rPr>
          <w:rFonts w:hint="eastAsia" w:ascii="仿宋" w:hAnsi="仿宋" w:eastAsia="仿宋" w:cs="仿宋"/>
          <w:b/>
          <w:snapToGrid/>
          <w:color w:val="000000"/>
          <w:kern w:val="2"/>
          <w:sz w:val="24"/>
          <w:szCs w:val="24"/>
          <w:lang w:eastAsia="zh-CN"/>
        </w:rPr>
        <w:t>2.12 税费</w:t>
      </w:r>
      <w:bookmarkEnd w:id="276"/>
      <w:bookmarkEnd w:id="277"/>
      <w:bookmarkEnd w:id="278"/>
      <w:bookmarkEnd w:id="279"/>
      <w:bookmarkEnd w:id="280"/>
      <w:bookmarkEnd w:id="281"/>
      <w:bookmarkEnd w:id="282"/>
      <w:bookmarkEnd w:id="283"/>
      <w:bookmarkEnd w:id="284"/>
      <w:bookmarkEnd w:id="285"/>
      <w:bookmarkEnd w:id="286"/>
      <w:bookmarkEnd w:id="287"/>
      <w:bookmarkEnd w:id="288"/>
    </w:p>
    <w:p w14:paraId="2CB294F3">
      <w:pPr>
        <w:widowControl w:val="0"/>
        <w:kinsoku/>
        <w:autoSpaceDE/>
        <w:autoSpaceDN/>
        <w:adjustRightInd/>
        <w:snapToGrid/>
        <w:spacing w:line="560" w:lineRule="exact"/>
        <w:ind w:firstLine="486" w:firstLineChars="200"/>
        <w:jc w:val="both"/>
        <w:textAlignment w:val="auto"/>
        <w:rPr>
          <w:rFonts w:hint="eastAsia" w:ascii="仿宋" w:hAnsi="仿宋" w:eastAsia="仿宋" w:cs="仿宋"/>
          <w:snapToGrid/>
          <w:color w:val="000000"/>
          <w:kern w:val="2"/>
          <w:sz w:val="24"/>
          <w:szCs w:val="24"/>
          <w:lang w:eastAsia="zh-CN"/>
        </w:rPr>
      </w:pPr>
      <w:r>
        <w:rPr>
          <w:rFonts w:hint="eastAsia" w:ascii="仿宋" w:hAnsi="仿宋" w:eastAsia="仿宋" w:cs="仿宋"/>
          <w:snapToGrid/>
          <w:color w:val="000000"/>
          <w:kern w:val="2"/>
          <w:sz w:val="24"/>
          <w:szCs w:val="24"/>
          <w:lang w:eastAsia="zh-CN"/>
        </w:rPr>
        <w:t>与合同有关的一切税费，均按照中华人民共和国法律的相关规定缴纳。</w:t>
      </w:r>
    </w:p>
    <w:p w14:paraId="12F19BBD">
      <w:pPr>
        <w:widowControl w:val="0"/>
        <w:kinsoku/>
        <w:autoSpaceDE/>
        <w:autoSpaceDN/>
        <w:adjustRightInd/>
        <w:snapToGrid/>
        <w:spacing w:line="560" w:lineRule="exact"/>
        <w:ind w:firstLine="486" w:firstLineChars="200"/>
        <w:jc w:val="both"/>
        <w:textAlignment w:val="auto"/>
        <w:outlineLvl w:val="0"/>
        <w:rPr>
          <w:rFonts w:hint="eastAsia" w:ascii="仿宋" w:hAnsi="仿宋" w:eastAsia="仿宋" w:cs="仿宋"/>
          <w:b/>
          <w:snapToGrid/>
          <w:color w:val="000000"/>
          <w:kern w:val="2"/>
          <w:sz w:val="24"/>
          <w:szCs w:val="24"/>
          <w:lang w:eastAsia="zh-CN"/>
        </w:rPr>
      </w:pPr>
      <w:bookmarkStart w:id="289" w:name="_Toc26883"/>
      <w:bookmarkStart w:id="290" w:name="_Toc487900368"/>
      <w:bookmarkStart w:id="291" w:name="_Toc25525"/>
      <w:bookmarkStart w:id="292" w:name="_Toc1206"/>
      <w:bookmarkStart w:id="293" w:name="_Toc22210"/>
      <w:bookmarkStart w:id="294" w:name="_Toc14814"/>
      <w:bookmarkStart w:id="295" w:name="_Toc279701258"/>
      <w:bookmarkStart w:id="296" w:name="_Toc30105"/>
      <w:bookmarkStart w:id="297" w:name="_Toc3223"/>
      <w:bookmarkStart w:id="298" w:name="_Toc259093687"/>
      <w:bookmarkStart w:id="299" w:name="_Toc7315"/>
      <w:bookmarkStart w:id="300" w:name="_Toc8385"/>
      <w:bookmarkStart w:id="301" w:name="_Toc10178"/>
      <w:r>
        <w:rPr>
          <w:rFonts w:hint="eastAsia" w:ascii="仿宋" w:hAnsi="仿宋" w:eastAsia="仿宋" w:cs="仿宋"/>
          <w:b/>
          <w:snapToGrid/>
          <w:color w:val="000000"/>
          <w:kern w:val="2"/>
          <w:sz w:val="24"/>
          <w:szCs w:val="24"/>
          <w:lang w:eastAsia="zh-CN"/>
        </w:rPr>
        <w:t>2.13 乙方破产</w:t>
      </w:r>
      <w:bookmarkEnd w:id="289"/>
      <w:bookmarkEnd w:id="290"/>
      <w:bookmarkEnd w:id="291"/>
      <w:bookmarkEnd w:id="292"/>
      <w:bookmarkEnd w:id="293"/>
      <w:bookmarkEnd w:id="294"/>
      <w:bookmarkEnd w:id="295"/>
      <w:bookmarkEnd w:id="296"/>
      <w:bookmarkEnd w:id="297"/>
      <w:bookmarkEnd w:id="298"/>
      <w:bookmarkEnd w:id="299"/>
      <w:bookmarkEnd w:id="300"/>
      <w:bookmarkEnd w:id="301"/>
    </w:p>
    <w:p w14:paraId="55B9E9AE">
      <w:pPr>
        <w:widowControl w:val="0"/>
        <w:kinsoku/>
        <w:autoSpaceDE/>
        <w:autoSpaceDN/>
        <w:adjustRightInd/>
        <w:snapToGrid/>
        <w:spacing w:line="560" w:lineRule="exact"/>
        <w:ind w:firstLine="486" w:firstLineChars="200"/>
        <w:jc w:val="both"/>
        <w:textAlignment w:val="auto"/>
        <w:rPr>
          <w:rFonts w:hint="eastAsia" w:ascii="仿宋" w:hAnsi="仿宋" w:eastAsia="仿宋" w:cs="仿宋"/>
          <w:snapToGrid/>
          <w:color w:val="000000"/>
          <w:kern w:val="2"/>
          <w:sz w:val="24"/>
          <w:szCs w:val="24"/>
          <w:lang w:eastAsia="zh-CN"/>
        </w:rPr>
      </w:pPr>
      <w:r>
        <w:rPr>
          <w:rFonts w:hint="eastAsia" w:ascii="仿宋" w:hAnsi="仿宋" w:eastAsia="仿宋" w:cs="仿宋"/>
          <w:snapToGrid/>
          <w:color w:val="000000"/>
          <w:kern w:val="2"/>
          <w:sz w:val="24"/>
          <w:szCs w:val="24"/>
          <w:lang w:eastAsia="zh-CN"/>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3ECE1E7">
      <w:pPr>
        <w:widowControl w:val="0"/>
        <w:kinsoku/>
        <w:autoSpaceDE/>
        <w:autoSpaceDN/>
        <w:adjustRightInd/>
        <w:snapToGrid/>
        <w:spacing w:line="560" w:lineRule="exact"/>
        <w:ind w:firstLine="486" w:firstLineChars="200"/>
        <w:jc w:val="both"/>
        <w:textAlignment w:val="auto"/>
        <w:outlineLvl w:val="0"/>
        <w:rPr>
          <w:rFonts w:hint="eastAsia" w:ascii="仿宋" w:hAnsi="仿宋" w:eastAsia="仿宋" w:cs="仿宋"/>
          <w:b/>
          <w:snapToGrid/>
          <w:color w:val="000000"/>
          <w:kern w:val="2"/>
          <w:sz w:val="24"/>
          <w:szCs w:val="24"/>
          <w:lang w:eastAsia="zh-CN"/>
        </w:rPr>
      </w:pPr>
      <w:bookmarkStart w:id="302" w:name="_Toc2016"/>
      <w:bookmarkStart w:id="303" w:name="_Toc4738"/>
      <w:bookmarkStart w:id="304" w:name="_Toc19276"/>
      <w:bookmarkStart w:id="305" w:name="_Toc25604"/>
      <w:bookmarkStart w:id="306" w:name="_Toc23323"/>
      <w:bookmarkStart w:id="307" w:name="_Toc1123"/>
      <w:bookmarkStart w:id="308" w:name="_Toc13545"/>
      <w:r>
        <w:rPr>
          <w:rFonts w:hint="eastAsia" w:ascii="仿宋" w:hAnsi="仿宋" w:eastAsia="仿宋" w:cs="仿宋"/>
          <w:b/>
          <w:snapToGrid/>
          <w:color w:val="000000"/>
          <w:kern w:val="2"/>
          <w:sz w:val="24"/>
          <w:szCs w:val="24"/>
          <w:lang w:eastAsia="zh-CN"/>
        </w:rPr>
        <w:t>2.14 合同中止、终止</w:t>
      </w:r>
      <w:bookmarkEnd w:id="302"/>
      <w:bookmarkEnd w:id="303"/>
      <w:bookmarkEnd w:id="304"/>
      <w:bookmarkEnd w:id="305"/>
      <w:bookmarkEnd w:id="306"/>
      <w:bookmarkEnd w:id="307"/>
      <w:bookmarkEnd w:id="308"/>
    </w:p>
    <w:p w14:paraId="48381C95">
      <w:pPr>
        <w:widowControl w:val="0"/>
        <w:kinsoku/>
        <w:autoSpaceDE/>
        <w:autoSpaceDN/>
        <w:adjustRightInd/>
        <w:snapToGrid/>
        <w:spacing w:line="560" w:lineRule="exact"/>
        <w:ind w:firstLine="486" w:firstLineChars="200"/>
        <w:jc w:val="both"/>
        <w:textAlignment w:val="auto"/>
        <w:rPr>
          <w:rFonts w:hint="eastAsia" w:ascii="仿宋" w:hAnsi="仿宋" w:eastAsia="仿宋" w:cs="仿宋"/>
          <w:snapToGrid/>
          <w:color w:val="000000"/>
          <w:kern w:val="2"/>
          <w:sz w:val="24"/>
          <w:szCs w:val="24"/>
          <w:lang w:eastAsia="zh-CN"/>
        </w:rPr>
      </w:pPr>
      <w:r>
        <w:rPr>
          <w:rFonts w:hint="eastAsia" w:ascii="仿宋" w:hAnsi="仿宋" w:eastAsia="仿宋" w:cs="仿宋"/>
          <w:snapToGrid/>
          <w:color w:val="000000"/>
          <w:kern w:val="2"/>
          <w:sz w:val="24"/>
          <w:szCs w:val="24"/>
          <w:lang w:eastAsia="zh-CN"/>
        </w:rPr>
        <w:t>2.14.1 双方当事人不得擅自中止或者终止合同；</w:t>
      </w:r>
    </w:p>
    <w:p w14:paraId="0EA3E452">
      <w:pPr>
        <w:widowControl w:val="0"/>
        <w:kinsoku/>
        <w:autoSpaceDE/>
        <w:autoSpaceDN/>
        <w:adjustRightInd/>
        <w:snapToGrid/>
        <w:spacing w:line="560" w:lineRule="exact"/>
        <w:ind w:firstLine="486" w:firstLineChars="200"/>
        <w:jc w:val="both"/>
        <w:textAlignment w:val="auto"/>
        <w:rPr>
          <w:rFonts w:hint="eastAsia" w:ascii="仿宋" w:hAnsi="仿宋" w:eastAsia="仿宋" w:cs="仿宋"/>
          <w:snapToGrid/>
          <w:color w:val="000000"/>
          <w:kern w:val="2"/>
          <w:sz w:val="24"/>
          <w:szCs w:val="24"/>
          <w:lang w:eastAsia="zh-CN"/>
        </w:rPr>
      </w:pPr>
      <w:r>
        <w:rPr>
          <w:rFonts w:hint="eastAsia" w:ascii="仿宋" w:hAnsi="仿宋" w:eastAsia="仿宋" w:cs="仿宋"/>
          <w:snapToGrid/>
          <w:color w:val="000000"/>
          <w:kern w:val="2"/>
          <w:sz w:val="24"/>
          <w:szCs w:val="24"/>
          <w:lang w:eastAsia="zh-CN"/>
        </w:rPr>
        <w:t>2.14.2合同继续履行将损害国家利益和社会公共利益的，双方当事人应当中止或者终止合同。有过错的一方应当承担赔偿责任，双方当事人都有过错的，各自承担相应的责任。</w:t>
      </w:r>
    </w:p>
    <w:p w14:paraId="550EF906">
      <w:pPr>
        <w:widowControl w:val="0"/>
        <w:kinsoku/>
        <w:autoSpaceDE/>
        <w:autoSpaceDN/>
        <w:adjustRightInd/>
        <w:snapToGrid/>
        <w:spacing w:line="560" w:lineRule="exact"/>
        <w:ind w:firstLine="486" w:firstLineChars="200"/>
        <w:jc w:val="both"/>
        <w:textAlignment w:val="auto"/>
        <w:outlineLvl w:val="0"/>
        <w:rPr>
          <w:rFonts w:hint="eastAsia" w:ascii="仿宋" w:hAnsi="仿宋" w:eastAsia="仿宋" w:cs="仿宋"/>
          <w:b/>
          <w:snapToGrid/>
          <w:color w:val="000000"/>
          <w:kern w:val="2"/>
          <w:sz w:val="24"/>
          <w:szCs w:val="24"/>
          <w:lang w:eastAsia="zh-CN"/>
        </w:rPr>
      </w:pPr>
      <w:bookmarkStart w:id="309" w:name="_Toc29014"/>
      <w:bookmarkStart w:id="310" w:name="_Toc32276"/>
      <w:bookmarkStart w:id="311" w:name="_Toc20339"/>
      <w:bookmarkStart w:id="312" w:name="_Toc17363"/>
      <w:bookmarkStart w:id="313" w:name="_Toc14525"/>
      <w:bookmarkStart w:id="314" w:name="_Toc1969"/>
      <w:bookmarkStart w:id="315" w:name="_Toc31662"/>
      <w:bookmarkStart w:id="316" w:name="_Toc12436"/>
      <w:r>
        <w:rPr>
          <w:rFonts w:hint="eastAsia" w:ascii="仿宋" w:hAnsi="仿宋" w:eastAsia="仿宋" w:cs="仿宋"/>
          <w:b/>
          <w:snapToGrid/>
          <w:color w:val="000000"/>
          <w:kern w:val="2"/>
          <w:sz w:val="24"/>
          <w:szCs w:val="24"/>
          <w:lang w:eastAsia="zh-CN"/>
        </w:rPr>
        <w:t>2.15 检验和验收</w:t>
      </w:r>
      <w:bookmarkEnd w:id="309"/>
      <w:bookmarkEnd w:id="310"/>
      <w:bookmarkEnd w:id="311"/>
      <w:bookmarkEnd w:id="312"/>
      <w:bookmarkEnd w:id="313"/>
      <w:bookmarkEnd w:id="314"/>
      <w:bookmarkEnd w:id="315"/>
      <w:bookmarkEnd w:id="316"/>
    </w:p>
    <w:p w14:paraId="7FDB88B9">
      <w:pPr>
        <w:widowControl w:val="0"/>
        <w:tabs>
          <w:tab w:val="left" w:pos="360"/>
          <w:tab w:val="left" w:pos="540"/>
          <w:tab w:val="left" w:pos="1080"/>
        </w:tabs>
        <w:kinsoku/>
        <w:autoSpaceDE/>
        <w:autoSpaceDN/>
        <w:adjustRightInd/>
        <w:snapToGrid/>
        <w:spacing w:line="560" w:lineRule="exact"/>
        <w:ind w:firstLine="486" w:firstLineChars="200"/>
        <w:jc w:val="both"/>
        <w:textAlignment w:val="auto"/>
        <w:rPr>
          <w:rFonts w:hint="eastAsia" w:ascii="仿宋" w:hAnsi="仿宋" w:eastAsia="仿宋" w:cs="仿宋"/>
          <w:snapToGrid/>
          <w:color w:val="000000"/>
          <w:kern w:val="2"/>
          <w:sz w:val="24"/>
          <w:szCs w:val="24"/>
          <w:lang w:eastAsia="zh-CN"/>
        </w:rPr>
      </w:pPr>
      <w:r>
        <w:rPr>
          <w:rFonts w:hint="eastAsia" w:ascii="仿宋" w:hAnsi="仿宋" w:eastAsia="仿宋" w:cs="仿宋"/>
          <w:snapToGrid/>
          <w:color w:val="000000"/>
          <w:kern w:val="2"/>
          <w:sz w:val="24"/>
          <w:szCs w:val="24"/>
          <w:lang w:eastAsia="zh-CN"/>
        </w:rPr>
        <w:t>2.15.1 乙方按照</w:t>
      </w:r>
      <w:r>
        <w:rPr>
          <w:rFonts w:hint="eastAsia" w:ascii="仿宋" w:hAnsi="仿宋" w:eastAsia="仿宋" w:cs="仿宋"/>
          <w:b/>
          <w:snapToGrid/>
          <w:color w:val="000000"/>
          <w:kern w:val="2"/>
          <w:sz w:val="24"/>
          <w:szCs w:val="24"/>
          <w:u w:val="single"/>
          <w:lang w:eastAsia="zh-CN"/>
        </w:rPr>
        <w:t>合同专用条款</w:t>
      </w:r>
      <w:r>
        <w:rPr>
          <w:rFonts w:hint="eastAsia" w:ascii="仿宋" w:hAnsi="仿宋" w:eastAsia="仿宋" w:cs="仿宋"/>
          <w:snapToGrid/>
          <w:color w:val="000000"/>
          <w:kern w:val="2"/>
          <w:sz w:val="24"/>
          <w:szCs w:val="24"/>
          <w:lang w:eastAsia="zh-CN"/>
        </w:rPr>
        <w:t>的约定，定期提交服务报告，甲方按照</w:t>
      </w:r>
      <w:r>
        <w:rPr>
          <w:rFonts w:hint="eastAsia" w:ascii="仿宋" w:hAnsi="仿宋" w:eastAsia="仿宋" w:cs="仿宋"/>
          <w:b/>
          <w:snapToGrid/>
          <w:color w:val="000000"/>
          <w:kern w:val="2"/>
          <w:sz w:val="24"/>
          <w:szCs w:val="24"/>
          <w:u w:val="single"/>
          <w:lang w:eastAsia="zh-CN"/>
        </w:rPr>
        <w:t>合同专用条款</w:t>
      </w:r>
      <w:r>
        <w:rPr>
          <w:rFonts w:hint="eastAsia" w:ascii="仿宋" w:hAnsi="仿宋" w:eastAsia="仿宋" w:cs="仿宋"/>
          <w:snapToGrid/>
          <w:color w:val="000000"/>
          <w:kern w:val="2"/>
          <w:sz w:val="24"/>
          <w:szCs w:val="24"/>
          <w:lang w:eastAsia="zh-CN"/>
        </w:rPr>
        <w:t>的约定进行定期验收；</w:t>
      </w:r>
    </w:p>
    <w:p w14:paraId="42E79BA3">
      <w:pPr>
        <w:widowControl w:val="0"/>
        <w:tabs>
          <w:tab w:val="left" w:pos="360"/>
          <w:tab w:val="left" w:pos="540"/>
          <w:tab w:val="left" w:pos="1080"/>
        </w:tabs>
        <w:kinsoku/>
        <w:autoSpaceDE/>
        <w:autoSpaceDN/>
        <w:adjustRightInd/>
        <w:snapToGrid/>
        <w:spacing w:line="560" w:lineRule="exact"/>
        <w:ind w:firstLine="486" w:firstLineChars="200"/>
        <w:jc w:val="both"/>
        <w:textAlignment w:val="auto"/>
        <w:rPr>
          <w:rFonts w:hint="eastAsia" w:ascii="仿宋" w:hAnsi="仿宋" w:eastAsia="仿宋" w:cs="仿宋"/>
          <w:snapToGrid/>
          <w:color w:val="000000"/>
          <w:kern w:val="2"/>
          <w:sz w:val="24"/>
          <w:szCs w:val="24"/>
          <w:lang w:eastAsia="zh-CN"/>
        </w:rPr>
      </w:pPr>
      <w:r>
        <w:rPr>
          <w:rFonts w:hint="eastAsia" w:ascii="仿宋" w:hAnsi="仿宋" w:eastAsia="仿宋" w:cs="仿宋"/>
          <w:snapToGrid/>
          <w:color w:val="000000"/>
          <w:kern w:val="2"/>
          <w:sz w:val="24"/>
          <w:szCs w:val="24"/>
          <w:lang w:eastAsia="zh-CN"/>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BB62B19">
      <w:pPr>
        <w:widowControl w:val="0"/>
        <w:tabs>
          <w:tab w:val="left" w:pos="360"/>
          <w:tab w:val="left" w:pos="540"/>
          <w:tab w:val="left" w:pos="1080"/>
        </w:tabs>
        <w:kinsoku/>
        <w:autoSpaceDE/>
        <w:autoSpaceDN/>
        <w:adjustRightInd/>
        <w:snapToGrid/>
        <w:spacing w:line="560" w:lineRule="exact"/>
        <w:ind w:firstLine="486" w:firstLineChars="200"/>
        <w:jc w:val="both"/>
        <w:textAlignment w:val="auto"/>
        <w:rPr>
          <w:rFonts w:hint="eastAsia" w:ascii="仿宋" w:hAnsi="仿宋" w:eastAsia="仿宋" w:cs="仿宋"/>
          <w:snapToGrid/>
          <w:color w:val="000000"/>
          <w:kern w:val="2"/>
          <w:sz w:val="24"/>
          <w:szCs w:val="24"/>
          <w:lang w:eastAsia="zh-CN"/>
        </w:rPr>
      </w:pPr>
      <w:r>
        <w:rPr>
          <w:rFonts w:hint="eastAsia" w:ascii="仿宋" w:hAnsi="仿宋" w:eastAsia="仿宋" w:cs="仿宋"/>
          <w:snapToGrid/>
          <w:color w:val="000000"/>
          <w:kern w:val="2"/>
          <w:sz w:val="24"/>
          <w:szCs w:val="24"/>
          <w:lang w:eastAsia="zh-CN"/>
        </w:rPr>
        <w:t>2.15.3 检验和验收标准、程序等具体内容以及前述验收书的效力详见</w:t>
      </w:r>
      <w:r>
        <w:rPr>
          <w:rFonts w:hint="eastAsia" w:ascii="仿宋" w:hAnsi="仿宋" w:eastAsia="仿宋" w:cs="仿宋"/>
          <w:b/>
          <w:snapToGrid/>
          <w:color w:val="000000"/>
          <w:kern w:val="2"/>
          <w:sz w:val="24"/>
          <w:szCs w:val="24"/>
          <w:u w:val="single"/>
          <w:lang w:eastAsia="zh-CN"/>
        </w:rPr>
        <w:t>合同专用条款</w:t>
      </w:r>
      <w:r>
        <w:rPr>
          <w:rFonts w:hint="eastAsia" w:ascii="仿宋" w:hAnsi="仿宋" w:eastAsia="仿宋" w:cs="仿宋"/>
          <w:snapToGrid/>
          <w:color w:val="000000"/>
          <w:kern w:val="2"/>
          <w:sz w:val="24"/>
          <w:szCs w:val="24"/>
          <w:lang w:eastAsia="zh-CN"/>
        </w:rPr>
        <w:t>。</w:t>
      </w:r>
    </w:p>
    <w:bookmarkEnd w:id="249"/>
    <w:bookmarkEnd w:id="250"/>
    <w:bookmarkEnd w:id="251"/>
    <w:bookmarkEnd w:id="252"/>
    <w:p w14:paraId="698C92F7">
      <w:pPr>
        <w:widowControl w:val="0"/>
        <w:kinsoku/>
        <w:autoSpaceDE/>
        <w:autoSpaceDN/>
        <w:adjustRightInd/>
        <w:snapToGrid/>
        <w:spacing w:line="560" w:lineRule="exact"/>
        <w:ind w:firstLine="486" w:firstLineChars="200"/>
        <w:jc w:val="both"/>
        <w:textAlignment w:val="auto"/>
        <w:outlineLvl w:val="0"/>
        <w:rPr>
          <w:rFonts w:hint="eastAsia" w:ascii="仿宋" w:hAnsi="仿宋" w:eastAsia="仿宋" w:cs="仿宋"/>
          <w:b/>
          <w:snapToGrid/>
          <w:color w:val="000000"/>
          <w:kern w:val="2"/>
          <w:sz w:val="24"/>
          <w:szCs w:val="24"/>
          <w:lang w:eastAsia="zh-CN"/>
        </w:rPr>
      </w:pPr>
      <w:bookmarkStart w:id="317" w:name="_Toc279701261"/>
      <w:bookmarkStart w:id="318" w:name="_Toc487900371"/>
      <w:bookmarkStart w:id="319" w:name="_Toc259093690"/>
      <w:bookmarkStart w:id="320" w:name="_Toc31892"/>
      <w:bookmarkStart w:id="321" w:name="_Toc12666"/>
      <w:bookmarkStart w:id="322" w:name="_Toc22231"/>
      <w:bookmarkStart w:id="323" w:name="_Toc25198"/>
      <w:bookmarkStart w:id="324" w:name="_Toc2308"/>
      <w:bookmarkStart w:id="325" w:name="_Toc23155"/>
      <w:bookmarkStart w:id="326" w:name="_Toc27313"/>
      <w:bookmarkStart w:id="327" w:name="_Toc20647"/>
      <w:bookmarkStart w:id="328" w:name="_Toc20259"/>
      <w:bookmarkStart w:id="329" w:name="_Toc9808"/>
      <w:r>
        <w:rPr>
          <w:rFonts w:hint="eastAsia" w:ascii="仿宋" w:hAnsi="仿宋" w:eastAsia="仿宋" w:cs="仿宋"/>
          <w:b/>
          <w:snapToGrid/>
          <w:color w:val="000000"/>
          <w:kern w:val="2"/>
          <w:sz w:val="24"/>
          <w:szCs w:val="24"/>
          <w:lang w:eastAsia="zh-CN"/>
        </w:rPr>
        <w:t>2.16 通知</w:t>
      </w:r>
      <w:bookmarkEnd w:id="317"/>
      <w:bookmarkEnd w:id="318"/>
      <w:bookmarkEnd w:id="319"/>
      <w:r>
        <w:rPr>
          <w:rFonts w:hint="eastAsia" w:ascii="仿宋" w:hAnsi="仿宋" w:eastAsia="仿宋" w:cs="仿宋"/>
          <w:b/>
          <w:snapToGrid/>
          <w:color w:val="000000"/>
          <w:kern w:val="2"/>
          <w:sz w:val="24"/>
          <w:szCs w:val="24"/>
          <w:lang w:eastAsia="zh-CN"/>
        </w:rPr>
        <w:t>和送达</w:t>
      </w:r>
      <w:bookmarkEnd w:id="320"/>
      <w:bookmarkEnd w:id="321"/>
      <w:bookmarkEnd w:id="322"/>
      <w:bookmarkEnd w:id="323"/>
      <w:bookmarkEnd w:id="324"/>
      <w:bookmarkEnd w:id="325"/>
      <w:bookmarkEnd w:id="326"/>
      <w:bookmarkEnd w:id="327"/>
      <w:bookmarkEnd w:id="328"/>
      <w:bookmarkEnd w:id="329"/>
    </w:p>
    <w:p w14:paraId="256BA71E">
      <w:pPr>
        <w:widowControl w:val="0"/>
        <w:kinsoku/>
        <w:autoSpaceDE/>
        <w:autoSpaceDN/>
        <w:adjustRightInd/>
        <w:snapToGrid/>
        <w:spacing w:line="560" w:lineRule="exact"/>
        <w:ind w:firstLine="486" w:firstLineChars="200"/>
        <w:jc w:val="both"/>
        <w:textAlignment w:val="auto"/>
        <w:rPr>
          <w:rFonts w:hint="eastAsia" w:ascii="仿宋" w:hAnsi="仿宋" w:eastAsia="仿宋" w:cs="仿宋"/>
          <w:snapToGrid/>
          <w:color w:val="000000"/>
          <w:kern w:val="2"/>
          <w:sz w:val="24"/>
          <w:szCs w:val="24"/>
          <w:lang w:eastAsia="zh-CN"/>
        </w:rPr>
      </w:pPr>
      <w:bookmarkStart w:id="330" w:name="_Toc29220"/>
      <w:bookmarkStart w:id="331" w:name="_Toc7073"/>
      <w:bookmarkStart w:id="332" w:name="_Toc259093691"/>
      <w:bookmarkStart w:id="333" w:name="_Toc279701262"/>
      <w:bookmarkStart w:id="334" w:name="_Toc487900372"/>
      <w:r>
        <w:rPr>
          <w:rFonts w:hint="eastAsia" w:ascii="仿宋" w:hAnsi="仿宋" w:eastAsia="仿宋" w:cs="仿宋"/>
          <w:snapToGrid/>
          <w:color w:val="000000"/>
          <w:kern w:val="2"/>
          <w:sz w:val="24"/>
          <w:szCs w:val="24"/>
          <w:lang w:eastAsia="zh-CN"/>
        </w:rPr>
        <w:t>2.16.1 任何一方因履行合同而以合同第一部分尾部所列明的</w:t>
      </w:r>
      <w:r>
        <w:rPr>
          <w:rFonts w:hint="eastAsia" w:ascii="仿宋" w:hAnsi="仿宋" w:eastAsia="仿宋" w:cs="仿宋"/>
          <w:snapToGrid/>
          <w:color w:val="000000"/>
          <w:kern w:val="2"/>
          <w:sz w:val="24"/>
          <w:szCs w:val="24"/>
          <w:u w:val="single"/>
          <w:lang w:eastAsia="zh-CN"/>
        </w:rPr>
        <w:t xml:space="preserve">          </w:t>
      </w:r>
      <w:r>
        <w:rPr>
          <w:rFonts w:hint="eastAsia" w:ascii="仿宋" w:hAnsi="仿宋" w:eastAsia="仿宋" w:cs="仿宋"/>
          <w:snapToGrid/>
          <w:color w:val="000000"/>
          <w:kern w:val="2"/>
          <w:sz w:val="24"/>
          <w:szCs w:val="24"/>
          <w:lang w:eastAsia="zh-CN"/>
        </w:rPr>
        <w:t>发出的所有通知、文件、材料，均视为已向对方当事人送达；任何一方变更上述送达方式或者地址的，应于</w:t>
      </w:r>
      <w:r>
        <w:rPr>
          <w:rFonts w:hint="eastAsia" w:ascii="仿宋" w:hAnsi="仿宋" w:eastAsia="仿宋" w:cs="仿宋"/>
          <w:snapToGrid/>
          <w:color w:val="000000"/>
          <w:kern w:val="2"/>
          <w:sz w:val="24"/>
          <w:szCs w:val="24"/>
          <w:u w:val="single"/>
          <w:lang w:eastAsia="zh-CN"/>
        </w:rPr>
        <w:t xml:space="preserve">   </w:t>
      </w:r>
      <w:r>
        <w:rPr>
          <w:rFonts w:hint="eastAsia" w:ascii="仿宋" w:hAnsi="仿宋" w:eastAsia="仿宋" w:cs="仿宋"/>
          <w:snapToGrid/>
          <w:color w:val="000000"/>
          <w:kern w:val="2"/>
          <w:sz w:val="24"/>
          <w:szCs w:val="24"/>
          <w:lang w:eastAsia="zh-CN"/>
        </w:rPr>
        <w:t>个工作日内书面通知对方当事人，在对方当事人收到有关变更通知之前，变更前的约定送达方式或者地址仍视为有效。</w:t>
      </w:r>
      <w:bookmarkEnd w:id="330"/>
      <w:bookmarkEnd w:id="331"/>
    </w:p>
    <w:p w14:paraId="2D3C01AA">
      <w:pPr>
        <w:widowControl w:val="0"/>
        <w:kinsoku/>
        <w:autoSpaceDE/>
        <w:autoSpaceDN/>
        <w:adjustRightInd/>
        <w:snapToGrid/>
        <w:spacing w:line="560" w:lineRule="exact"/>
        <w:ind w:firstLine="486" w:firstLineChars="200"/>
        <w:jc w:val="both"/>
        <w:textAlignment w:val="auto"/>
        <w:rPr>
          <w:rFonts w:hint="eastAsia" w:ascii="仿宋" w:hAnsi="仿宋" w:eastAsia="仿宋" w:cs="仿宋"/>
          <w:snapToGrid/>
          <w:color w:val="000000"/>
          <w:kern w:val="2"/>
          <w:sz w:val="24"/>
          <w:szCs w:val="24"/>
          <w:lang w:eastAsia="zh-CN"/>
        </w:rPr>
      </w:pPr>
      <w:bookmarkStart w:id="335" w:name="_Toc27674"/>
      <w:bookmarkStart w:id="336" w:name="_Toc18401"/>
      <w:r>
        <w:rPr>
          <w:rFonts w:hint="eastAsia" w:ascii="仿宋" w:hAnsi="仿宋" w:eastAsia="仿宋" w:cs="仿宋"/>
          <w:snapToGrid/>
          <w:color w:val="000000"/>
          <w:kern w:val="2"/>
          <w:sz w:val="24"/>
          <w:szCs w:val="24"/>
          <w:lang w:eastAsia="zh-CN"/>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335"/>
      <w:bookmarkEnd w:id="336"/>
    </w:p>
    <w:bookmarkEnd w:id="332"/>
    <w:bookmarkEnd w:id="333"/>
    <w:bookmarkEnd w:id="334"/>
    <w:p w14:paraId="1388319D">
      <w:pPr>
        <w:widowControl w:val="0"/>
        <w:kinsoku/>
        <w:autoSpaceDE/>
        <w:autoSpaceDN/>
        <w:adjustRightInd/>
        <w:snapToGrid/>
        <w:spacing w:line="560" w:lineRule="exact"/>
        <w:ind w:firstLine="486" w:firstLineChars="200"/>
        <w:jc w:val="both"/>
        <w:textAlignment w:val="auto"/>
        <w:outlineLvl w:val="0"/>
        <w:rPr>
          <w:rFonts w:hint="eastAsia" w:ascii="仿宋" w:hAnsi="仿宋" w:eastAsia="仿宋" w:cs="仿宋"/>
          <w:b/>
          <w:snapToGrid/>
          <w:color w:val="000000"/>
          <w:kern w:val="2"/>
          <w:sz w:val="24"/>
          <w:szCs w:val="24"/>
          <w:lang w:eastAsia="zh-CN"/>
        </w:rPr>
      </w:pPr>
      <w:bookmarkStart w:id="337" w:name="_Toc16891"/>
      <w:bookmarkStart w:id="338" w:name="_Toc20808"/>
      <w:bookmarkStart w:id="339" w:name="_Toc28906"/>
      <w:bookmarkStart w:id="340" w:name="_Toc15733"/>
      <w:bookmarkStart w:id="341" w:name="_Toc279701263"/>
      <w:bookmarkStart w:id="342" w:name="_Toc12254"/>
      <w:bookmarkStart w:id="343" w:name="_Toc19134"/>
      <w:bookmarkStart w:id="344" w:name="_Toc27040"/>
      <w:bookmarkStart w:id="345" w:name="_Toc17748"/>
      <w:bookmarkStart w:id="346" w:name="_Toc259093692"/>
      <w:bookmarkStart w:id="347" w:name="_Toc5063"/>
      <w:bookmarkStart w:id="348" w:name="_Toc27644"/>
      <w:bookmarkStart w:id="349" w:name="_Toc487900373"/>
      <w:r>
        <w:rPr>
          <w:rFonts w:hint="eastAsia" w:ascii="仿宋" w:hAnsi="仿宋" w:eastAsia="仿宋" w:cs="仿宋"/>
          <w:b/>
          <w:snapToGrid/>
          <w:color w:val="000000"/>
          <w:kern w:val="2"/>
          <w:sz w:val="24"/>
          <w:szCs w:val="24"/>
          <w:lang w:eastAsia="zh-CN"/>
        </w:rPr>
        <w:t>2.17 合同使用的文字和适用的法律</w:t>
      </w:r>
      <w:bookmarkEnd w:id="337"/>
      <w:bookmarkEnd w:id="338"/>
      <w:bookmarkEnd w:id="339"/>
      <w:bookmarkEnd w:id="340"/>
      <w:bookmarkEnd w:id="341"/>
      <w:bookmarkEnd w:id="342"/>
      <w:bookmarkEnd w:id="343"/>
      <w:bookmarkEnd w:id="344"/>
      <w:bookmarkEnd w:id="345"/>
      <w:bookmarkEnd w:id="346"/>
      <w:bookmarkEnd w:id="347"/>
      <w:bookmarkEnd w:id="348"/>
      <w:bookmarkEnd w:id="349"/>
    </w:p>
    <w:p w14:paraId="7C0053B6">
      <w:pPr>
        <w:widowControl w:val="0"/>
        <w:kinsoku/>
        <w:autoSpaceDE/>
        <w:autoSpaceDN/>
        <w:adjustRightInd/>
        <w:snapToGrid/>
        <w:spacing w:line="560" w:lineRule="exact"/>
        <w:ind w:firstLine="486" w:firstLineChars="200"/>
        <w:jc w:val="both"/>
        <w:textAlignment w:val="auto"/>
        <w:rPr>
          <w:rFonts w:hint="eastAsia" w:ascii="仿宋" w:hAnsi="仿宋" w:eastAsia="仿宋" w:cs="仿宋"/>
          <w:snapToGrid/>
          <w:color w:val="000000"/>
          <w:kern w:val="2"/>
          <w:sz w:val="24"/>
          <w:szCs w:val="24"/>
          <w:lang w:eastAsia="zh-CN"/>
        </w:rPr>
      </w:pPr>
      <w:r>
        <w:rPr>
          <w:rFonts w:hint="eastAsia" w:ascii="仿宋" w:hAnsi="仿宋" w:eastAsia="仿宋" w:cs="仿宋"/>
          <w:snapToGrid/>
          <w:color w:val="000000"/>
          <w:kern w:val="2"/>
          <w:sz w:val="24"/>
          <w:szCs w:val="24"/>
          <w:lang w:eastAsia="zh-CN"/>
        </w:rPr>
        <w:t>2.17.1 合同使用汉语书就、变更和解释；</w:t>
      </w:r>
    </w:p>
    <w:p w14:paraId="522EEB09">
      <w:pPr>
        <w:widowControl w:val="0"/>
        <w:kinsoku/>
        <w:autoSpaceDE/>
        <w:autoSpaceDN/>
        <w:adjustRightInd/>
        <w:snapToGrid/>
        <w:spacing w:line="560" w:lineRule="exact"/>
        <w:ind w:firstLine="486" w:firstLineChars="200"/>
        <w:jc w:val="both"/>
        <w:textAlignment w:val="auto"/>
        <w:rPr>
          <w:rFonts w:hint="eastAsia" w:ascii="仿宋" w:hAnsi="仿宋" w:eastAsia="仿宋" w:cs="仿宋"/>
          <w:snapToGrid/>
          <w:color w:val="000000"/>
          <w:kern w:val="2"/>
          <w:sz w:val="24"/>
          <w:szCs w:val="24"/>
          <w:lang w:eastAsia="zh-CN"/>
        </w:rPr>
      </w:pPr>
      <w:r>
        <w:rPr>
          <w:rFonts w:hint="eastAsia" w:ascii="仿宋" w:hAnsi="仿宋" w:eastAsia="仿宋" w:cs="仿宋"/>
          <w:snapToGrid/>
          <w:color w:val="000000"/>
          <w:kern w:val="2"/>
          <w:sz w:val="24"/>
          <w:szCs w:val="24"/>
          <w:lang w:eastAsia="zh-CN"/>
        </w:rPr>
        <w:t>2.17.2 合同适用中华人民共和国法律。</w:t>
      </w:r>
    </w:p>
    <w:p w14:paraId="399CC3AF">
      <w:pPr>
        <w:widowControl w:val="0"/>
        <w:kinsoku/>
        <w:autoSpaceDE/>
        <w:autoSpaceDN/>
        <w:adjustRightInd/>
        <w:snapToGrid/>
        <w:spacing w:line="560" w:lineRule="exact"/>
        <w:ind w:firstLine="486" w:firstLineChars="200"/>
        <w:jc w:val="both"/>
        <w:textAlignment w:val="auto"/>
        <w:outlineLvl w:val="0"/>
        <w:rPr>
          <w:rFonts w:hint="eastAsia" w:ascii="仿宋" w:hAnsi="仿宋" w:eastAsia="仿宋" w:cs="仿宋"/>
          <w:b/>
          <w:snapToGrid/>
          <w:color w:val="000000"/>
          <w:kern w:val="2"/>
          <w:sz w:val="24"/>
          <w:szCs w:val="24"/>
          <w:lang w:eastAsia="zh-CN"/>
        </w:rPr>
      </w:pPr>
      <w:bookmarkStart w:id="350" w:name="_Toc30096"/>
      <w:bookmarkStart w:id="351" w:name="_Toc27403"/>
      <w:bookmarkStart w:id="352" w:name="_Toc7896"/>
      <w:bookmarkStart w:id="353" w:name="_Toc279701264"/>
      <w:bookmarkStart w:id="354" w:name="_Toc25504"/>
      <w:bookmarkStart w:id="355" w:name="_Toc259093693"/>
      <w:bookmarkStart w:id="356" w:name="_Toc6765"/>
      <w:bookmarkStart w:id="357" w:name="_Toc22639"/>
      <w:bookmarkStart w:id="358" w:name="_Toc1492"/>
      <w:bookmarkStart w:id="359" w:name="_Toc28157"/>
      <w:bookmarkStart w:id="360" w:name="_Toc27127"/>
      <w:bookmarkStart w:id="361" w:name="_Toc22266"/>
      <w:bookmarkStart w:id="362" w:name="_Toc487900374"/>
      <w:r>
        <w:rPr>
          <w:rFonts w:hint="eastAsia" w:ascii="仿宋" w:hAnsi="仿宋" w:eastAsia="仿宋" w:cs="仿宋"/>
          <w:b/>
          <w:snapToGrid/>
          <w:color w:val="000000"/>
          <w:kern w:val="2"/>
          <w:sz w:val="24"/>
          <w:szCs w:val="24"/>
          <w:lang w:eastAsia="zh-CN"/>
        </w:rPr>
        <w:t>2.18 履约保证金</w:t>
      </w:r>
      <w:bookmarkEnd w:id="350"/>
      <w:bookmarkEnd w:id="351"/>
      <w:bookmarkEnd w:id="352"/>
      <w:bookmarkEnd w:id="353"/>
      <w:bookmarkEnd w:id="354"/>
      <w:bookmarkEnd w:id="355"/>
      <w:bookmarkEnd w:id="356"/>
      <w:bookmarkEnd w:id="357"/>
      <w:bookmarkEnd w:id="358"/>
      <w:bookmarkEnd w:id="359"/>
      <w:bookmarkEnd w:id="360"/>
      <w:bookmarkEnd w:id="361"/>
    </w:p>
    <w:p w14:paraId="42B3610E">
      <w:pPr>
        <w:widowControl w:val="0"/>
        <w:kinsoku/>
        <w:autoSpaceDE/>
        <w:autoSpaceDN/>
        <w:adjustRightInd/>
        <w:snapToGrid/>
        <w:spacing w:line="560" w:lineRule="exact"/>
        <w:ind w:firstLine="486" w:firstLineChars="200"/>
        <w:jc w:val="both"/>
        <w:textAlignment w:val="auto"/>
        <w:rPr>
          <w:rFonts w:hint="eastAsia" w:ascii="仿宋" w:hAnsi="仿宋" w:eastAsia="仿宋" w:cs="仿宋"/>
          <w:snapToGrid/>
          <w:color w:val="000000"/>
          <w:kern w:val="2"/>
          <w:sz w:val="24"/>
          <w:szCs w:val="24"/>
          <w:lang w:eastAsia="zh-CN"/>
        </w:rPr>
      </w:pPr>
      <w:r>
        <w:rPr>
          <w:rFonts w:hint="eastAsia" w:ascii="仿宋" w:hAnsi="仿宋" w:eastAsia="仿宋" w:cs="仿宋"/>
          <w:snapToGrid/>
          <w:color w:val="000000"/>
          <w:kern w:val="2"/>
          <w:sz w:val="24"/>
          <w:szCs w:val="24"/>
          <w:lang w:eastAsia="zh-CN"/>
        </w:rPr>
        <w:t>2.18.1 采购文件要求乙方提交履约保证金的，乙方应按</w:t>
      </w:r>
      <w:r>
        <w:rPr>
          <w:rFonts w:hint="eastAsia" w:ascii="仿宋" w:hAnsi="仿宋" w:eastAsia="仿宋" w:cs="仿宋"/>
          <w:b/>
          <w:snapToGrid/>
          <w:color w:val="000000"/>
          <w:kern w:val="2"/>
          <w:sz w:val="24"/>
          <w:szCs w:val="24"/>
          <w:u w:val="single"/>
          <w:lang w:eastAsia="zh-CN"/>
        </w:rPr>
        <w:t>合同专用条款</w:t>
      </w:r>
      <w:r>
        <w:rPr>
          <w:rFonts w:hint="eastAsia" w:ascii="仿宋" w:hAnsi="仿宋" w:eastAsia="仿宋" w:cs="仿宋"/>
          <w:snapToGrid/>
          <w:color w:val="000000"/>
          <w:kern w:val="2"/>
          <w:sz w:val="24"/>
          <w:szCs w:val="24"/>
          <w:lang w:eastAsia="zh-CN"/>
        </w:rPr>
        <w:t>约定的方式，以支票、汇票、本票或者金融机构、担保机构出具的保函等非现金形式，提交不超过合同价10%的履约保证金；</w:t>
      </w:r>
    </w:p>
    <w:p w14:paraId="0153F159">
      <w:pPr>
        <w:widowControl w:val="0"/>
        <w:kinsoku/>
        <w:autoSpaceDE/>
        <w:autoSpaceDN/>
        <w:adjustRightInd/>
        <w:snapToGrid/>
        <w:spacing w:line="560" w:lineRule="exact"/>
        <w:ind w:firstLine="486" w:firstLineChars="200"/>
        <w:jc w:val="both"/>
        <w:textAlignment w:val="auto"/>
        <w:rPr>
          <w:rFonts w:hint="eastAsia" w:ascii="仿宋" w:hAnsi="仿宋" w:eastAsia="仿宋" w:cs="仿宋"/>
          <w:snapToGrid/>
          <w:color w:val="000000"/>
          <w:kern w:val="2"/>
          <w:sz w:val="24"/>
          <w:szCs w:val="24"/>
          <w:lang w:eastAsia="zh-CN"/>
        </w:rPr>
      </w:pPr>
      <w:r>
        <w:rPr>
          <w:rFonts w:hint="eastAsia" w:ascii="仿宋" w:hAnsi="仿宋" w:eastAsia="仿宋" w:cs="仿宋"/>
          <w:snapToGrid/>
          <w:color w:val="000000"/>
          <w:kern w:val="2"/>
          <w:sz w:val="24"/>
          <w:szCs w:val="24"/>
          <w:lang w:eastAsia="zh-CN"/>
        </w:rPr>
        <w:t>2.18.2 履约保证金在</w:t>
      </w:r>
      <w:r>
        <w:rPr>
          <w:rFonts w:hint="eastAsia" w:ascii="仿宋" w:hAnsi="仿宋" w:eastAsia="仿宋" w:cs="仿宋"/>
          <w:b/>
          <w:snapToGrid/>
          <w:color w:val="000000"/>
          <w:kern w:val="2"/>
          <w:sz w:val="24"/>
          <w:szCs w:val="24"/>
          <w:u w:val="single"/>
          <w:lang w:eastAsia="zh-CN"/>
        </w:rPr>
        <w:t>合同专用条款</w:t>
      </w:r>
      <w:r>
        <w:rPr>
          <w:rFonts w:hint="eastAsia" w:ascii="仿宋" w:hAnsi="仿宋" w:eastAsia="仿宋" w:cs="仿宋"/>
          <w:snapToGrid/>
          <w:color w:val="000000"/>
          <w:kern w:val="2"/>
          <w:sz w:val="24"/>
          <w:szCs w:val="24"/>
          <w:lang w:eastAsia="zh-CN"/>
        </w:rPr>
        <w:t>约定期间内不予退还或者应完全有效，前述约定期间届满之日起</w:t>
      </w:r>
      <w:r>
        <w:rPr>
          <w:rFonts w:hint="eastAsia" w:ascii="仿宋" w:hAnsi="仿宋" w:eastAsia="仿宋" w:cs="仿宋"/>
          <w:snapToGrid/>
          <w:color w:val="000000"/>
          <w:kern w:val="2"/>
          <w:sz w:val="24"/>
          <w:szCs w:val="24"/>
          <w:u w:val="single"/>
          <w:lang w:eastAsia="zh-CN"/>
        </w:rPr>
        <w:t xml:space="preserve">    </w:t>
      </w:r>
      <w:r>
        <w:rPr>
          <w:rFonts w:hint="eastAsia" w:ascii="仿宋" w:hAnsi="仿宋" w:eastAsia="仿宋" w:cs="仿宋"/>
          <w:snapToGrid/>
          <w:color w:val="000000"/>
          <w:kern w:val="2"/>
          <w:sz w:val="24"/>
          <w:szCs w:val="24"/>
          <w:lang w:eastAsia="zh-CN"/>
        </w:rPr>
        <w:t>个工作日内，甲方应将履约保证金退还乙方；</w:t>
      </w:r>
    </w:p>
    <w:p w14:paraId="3ABA7977">
      <w:pPr>
        <w:widowControl w:val="0"/>
        <w:kinsoku/>
        <w:autoSpaceDE/>
        <w:autoSpaceDN/>
        <w:adjustRightInd/>
        <w:snapToGrid/>
        <w:spacing w:line="560" w:lineRule="exact"/>
        <w:ind w:firstLine="486" w:firstLineChars="200"/>
        <w:jc w:val="both"/>
        <w:textAlignment w:val="auto"/>
        <w:rPr>
          <w:rFonts w:hint="eastAsia" w:ascii="仿宋" w:hAnsi="仿宋" w:eastAsia="仿宋" w:cs="仿宋"/>
          <w:snapToGrid/>
          <w:color w:val="000000"/>
          <w:kern w:val="2"/>
          <w:sz w:val="24"/>
          <w:szCs w:val="24"/>
          <w:lang w:eastAsia="zh-CN"/>
        </w:rPr>
      </w:pPr>
      <w:r>
        <w:rPr>
          <w:rFonts w:hint="eastAsia" w:ascii="仿宋" w:hAnsi="仿宋" w:eastAsia="仿宋" w:cs="仿宋"/>
          <w:snapToGrid/>
          <w:color w:val="000000"/>
          <w:kern w:val="2"/>
          <w:sz w:val="24"/>
          <w:szCs w:val="24"/>
          <w:lang w:eastAsia="zh-CN"/>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62"/>
    <w:p w14:paraId="4EB8DE4B">
      <w:pPr>
        <w:widowControl w:val="0"/>
        <w:kinsoku/>
        <w:autoSpaceDE/>
        <w:autoSpaceDN/>
        <w:adjustRightInd/>
        <w:snapToGrid/>
        <w:spacing w:line="560" w:lineRule="exact"/>
        <w:ind w:firstLine="486" w:firstLineChars="200"/>
        <w:jc w:val="both"/>
        <w:textAlignment w:val="auto"/>
        <w:rPr>
          <w:rFonts w:hint="eastAsia" w:ascii="仿宋" w:hAnsi="仿宋" w:eastAsia="仿宋" w:cs="仿宋"/>
          <w:b/>
          <w:snapToGrid/>
          <w:color w:val="000000"/>
          <w:kern w:val="2"/>
          <w:sz w:val="24"/>
          <w:szCs w:val="24"/>
          <w:lang w:eastAsia="zh-CN"/>
        </w:rPr>
      </w:pPr>
      <w:r>
        <w:rPr>
          <w:rFonts w:hint="eastAsia" w:ascii="仿宋" w:hAnsi="仿宋" w:eastAsia="仿宋" w:cs="仿宋"/>
          <w:b/>
          <w:snapToGrid/>
          <w:color w:val="000000"/>
          <w:kern w:val="2"/>
          <w:sz w:val="24"/>
          <w:szCs w:val="24"/>
          <w:lang w:eastAsia="zh-CN"/>
        </w:rPr>
        <w:t>2.19 合同份数</w:t>
      </w:r>
    </w:p>
    <w:p w14:paraId="13C626F6">
      <w:pPr>
        <w:widowControl w:val="0"/>
        <w:kinsoku/>
        <w:autoSpaceDE/>
        <w:autoSpaceDN/>
        <w:adjustRightInd/>
        <w:snapToGrid/>
        <w:spacing w:line="560" w:lineRule="exact"/>
        <w:ind w:firstLine="486" w:firstLineChars="200"/>
        <w:jc w:val="both"/>
        <w:textAlignment w:val="auto"/>
        <w:rPr>
          <w:rFonts w:hint="eastAsia" w:ascii="仿宋" w:hAnsi="仿宋" w:eastAsia="仿宋" w:cs="仿宋"/>
          <w:snapToGrid/>
          <w:color w:val="000000"/>
          <w:kern w:val="2"/>
          <w:sz w:val="24"/>
          <w:szCs w:val="24"/>
          <w:lang w:eastAsia="zh-CN"/>
        </w:rPr>
      </w:pPr>
      <w:r>
        <w:rPr>
          <w:rFonts w:hint="eastAsia" w:ascii="仿宋" w:hAnsi="仿宋" w:eastAsia="仿宋" w:cs="仿宋"/>
          <w:snapToGrid/>
          <w:color w:val="000000"/>
          <w:kern w:val="2"/>
          <w:sz w:val="24"/>
          <w:szCs w:val="24"/>
          <w:lang w:eastAsia="zh-CN"/>
        </w:rPr>
        <w:t>合同份数按</w:t>
      </w:r>
      <w:r>
        <w:rPr>
          <w:rFonts w:hint="eastAsia" w:ascii="仿宋" w:hAnsi="仿宋" w:eastAsia="仿宋" w:cs="仿宋"/>
          <w:b/>
          <w:snapToGrid/>
          <w:color w:val="000000"/>
          <w:kern w:val="2"/>
          <w:sz w:val="24"/>
          <w:szCs w:val="24"/>
          <w:u w:val="single"/>
          <w:lang w:eastAsia="zh-CN"/>
        </w:rPr>
        <w:t>合同专用条款</w:t>
      </w:r>
      <w:r>
        <w:rPr>
          <w:rFonts w:hint="eastAsia" w:ascii="仿宋" w:hAnsi="仿宋" w:eastAsia="仿宋" w:cs="仿宋"/>
          <w:snapToGrid/>
          <w:color w:val="000000"/>
          <w:kern w:val="2"/>
          <w:sz w:val="24"/>
          <w:szCs w:val="24"/>
          <w:lang w:eastAsia="zh-CN"/>
        </w:rPr>
        <w:t>规定，每份均具有同等法律效力。</w:t>
      </w:r>
    </w:p>
    <w:p w14:paraId="3F74F5F9">
      <w:pPr>
        <w:widowControl w:val="0"/>
        <w:kinsoku/>
        <w:autoSpaceDE w:val="0"/>
        <w:autoSpaceDN w:val="0"/>
        <w:adjustRightInd w:val="0"/>
        <w:snapToGrid/>
        <w:spacing w:line="560" w:lineRule="exact"/>
        <w:jc w:val="center"/>
        <w:textAlignment w:val="auto"/>
        <w:rPr>
          <w:rFonts w:hint="eastAsia" w:ascii="仿宋" w:hAnsi="仿宋" w:eastAsia="仿宋" w:cs="仿宋"/>
          <w:b/>
          <w:snapToGrid/>
          <w:color w:val="000000"/>
          <w:kern w:val="2"/>
          <w:sz w:val="24"/>
          <w:szCs w:val="24"/>
          <w:lang w:eastAsia="zh-CN"/>
        </w:rPr>
      </w:pPr>
      <w:r>
        <w:rPr>
          <w:rFonts w:hint="eastAsia" w:ascii="仿宋" w:hAnsi="仿宋" w:eastAsia="仿宋" w:cs="仿宋"/>
          <w:snapToGrid/>
          <w:color w:val="000000"/>
          <w:kern w:val="2"/>
          <w:sz w:val="24"/>
          <w:szCs w:val="24"/>
          <w:lang w:eastAsia="zh-CN"/>
        </w:rPr>
        <w:br w:type="page"/>
      </w:r>
      <w:bookmarkStart w:id="363" w:name="_Toc331685784"/>
      <w:r>
        <w:rPr>
          <w:rFonts w:hint="eastAsia" w:ascii="仿宋" w:hAnsi="仿宋" w:eastAsia="仿宋" w:cs="仿宋"/>
          <w:b/>
          <w:snapToGrid/>
          <w:color w:val="000000"/>
          <w:kern w:val="2"/>
          <w:sz w:val="24"/>
          <w:szCs w:val="24"/>
          <w:lang w:eastAsia="zh-CN"/>
        </w:rPr>
        <w:t>第三部分  合同专用条款</w:t>
      </w:r>
      <w:bookmarkEnd w:id="363"/>
    </w:p>
    <w:p w14:paraId="3D6519C2">
      <w:pPr>
        <w:widowControl w:val="0"/>
        <w:kinsoku/>
        <w:autoSpaceDE/>
        <w:autoSpaceDN/>
        <w:adjustRightInd/>
        <w:snapToGrid/>
        <w:spacing w:line="560" w:lineRule="exact"/>
        <w:ind w:firstLine="486" w:firstLineChars="200"/>
        <w:jc w:val="both"/>
        <w:textAlignment w:val="auto"/>
        <w:rPr>
          <w:rFonts w:hint="eastAsia" w:ascii="仿宋" w:hAnsi="仿宋" w:eastAsia="仿宋" w:cs="仿宋"/>
          <w:snapToGrid/>
          <w:color w:val="000000"/>
          <w:kern w:val="2"/>
          <w:sz w:val="24"/>
          <w:szCs w:val="24"/>
          <w:lang w:eastAsia="zh-CN"/>
        </w:rPr>
      </w:pPr>
      <w:r>
        <w:rPr>
          <w:rFonts w:hint="eastAsia" w:ascii="仿宋" w:hAnsi="仿宋" w:eastAsia="仿宋" w:cs="仿宋"/>
          <w:snapToGrid/>
          <w:color w:val="000000"/>
          <w:kern w:val="2"/>
          <w:sz w:val="24"/>
          <w:szCs w:val="24"/>
          <w:lang w:eastAsia="zh-CN"/>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5"/>
        <w:tblW w:w="8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20E2FE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noWrap w:val="0"/>
            <w:vAlign w:val="center"/>
          </w:tcPr>
          <w:p w14:paraId="487D4DF1">
            <w:pPr>
              <w:widowControl w:val="0"/>
              <w:kinsoku/>
              <w:autoSpaceDE/>
              <w:autoSpaceDN/>
              <w:adjustRightInd/>
              <w:snapToGrid/>
              <w:spacing w:line="560" w:lineRule="exact"/>
              <w:jc w:val="both"/>
              <w:textAlignment w:val="auto"/>
              <w:rPr>
                <w:rFonts w:hint="eastAsia" w:ascii="仿宋" w:hAnsi="仿宋" w:eastAsia="仿宋" w:cs="仿宋"/>
                <w:b/>
                <w:snapToGrid/>
                <w:color w:val="000000"/>
                <w:kern w:val="2"/>
                <w:sz w:val="24"/>
                <w:szCs w:val="24"/>
                <w:lang w:eastAsia="zh-CN"/>
              </w:rPr>
            </w:pPr>
            <w:r>
              <w:rPr>
                <w:rFonts w:hint="eastAsia" w:ascii="仿宋" w:hAnsi="仿宋" w:eastAsia="仿宋" w:cs="仿宋"/>
                <w:b/>
                <w:snapToGrid/>
                <w:color w:val="000000"/>
                <w:kern w:val="2"/>
                <w:sz w:val="24"/>
                <w:szCs w:val="24"/>
                <w:lang w:eastAsia="zh-CN"/>
              </w:rPr>
              <w:t>条款号</w:t>
            </w:r>
          </w:p>
        </w:tc>
        <w:tc>
          <w:tcPr>
            <w:tcW w:w="7633" w:type="dxa"/>
            <w:noWrap w:val="0"/>
            <w:vAlign w:val="center"/>
          </w:tcPr>
          <w:p w14:paraId="16F57524">
            <w:pPr>
              <w:widowControl w:val="0"/>
              <w:kinsoku/>
              <w:autoSpaceDE/>
              <w:autoSpaceDN/>
              <w:adjustRightInd/>
              <w:snapToGrid/>
              <w:spacing w:line="560" w:lineRule="exact"/>
              <w:ind w:firstLine="482"/>
              <w:jc w:val="center"/>
              <w:textAlignment w:val="auto"/>
              <w:rPr>
                <w:rFonts w:hint="eastAsia" w:ascii="仿宋" w:hAnsi="仿宋" w:eastAsia="仿宋" w:cs="仿宋"/>
                <w:b/>
                <w:snapToGrid/>
                <w:color w:val="000000"/>
                <w:kern w:val="2"/>
                <w:sz w:val="24"/>
                <w:szCs w:val="24"/>
                <w:lang w:eastAsia="zh-CN"/>
              </w:rPr>
            </w:pPr>
            <w:r>
              <w:rPr>
                <w:rFonts w:hint="eastAsia" w:ascii="仿宋" w:hAnsi="仿宋" w:eastAsia="仿宋" w:cs="仿宋"/>
                <w:b/>
                <w:snapToGrid/>
                <w:color w:val="000000"/>
                <w:kern w:val="2"/>
                <w:sz w:val="24"/>
                <w:szCs w:val="24"/>
                <w:lang w:eastAsia="zh-CN"/>
              </w:rPr>
              <w:t>约定内容</w:t>
            </w:r>
          </w:p>
        </w:tc>
      </w:tr>
      <w:tr w14:paraId="53A66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noWrap w:val="0"/>
            <w:vAlign w:val="center"/>
          </w:tcPr>
          <w:p w14:paraId="2063FB5D">
            <w:pPr>
              <w:widowControl w:val="0"/>
              <w:kinsoku/>
              <w:autoSpaceDE/>
              <w:autoSpaceDN/>
              <w:adjustRightInd/>
              <w:snapToGrid/>
              <w:spacing w:line="560" w:lineRule="exact"/>
              <w:jc w:val="both"/>
              <w:textAlignment w:val="auto"/>
              <w:rPr>
                <w:rFonts w:hint="eastAsia" w:ascii="仿宋" w:hAnsi="仿宋" w:eastAsia="仿宋" w:cs="仿宋"/>
                <w:snapToGrid/>
                <w:color w:val="000000"/>
                <w:kern w:val="2"/>
                <w:sz w:val="24"/>
                <w:szCs w:val="24"/>
                <w:lang w:eastAsia="zh-CN"/>
              </w:rPr>
            </w:pPr>
          </w:p>
        </w:tc>
        <w:tc>
          <w:tcPr>
            <w:tcW w:w="7633" w:type="dxa"/>
            <w:noWrap w:val="0"/>
            <w:vAlign w:val="center"/>
          </w:tcPr>
          <w:p w14:paraId="2AD4A10A">
            <w:pPr>
              <w:widowControl w:val="0"/>
              <w:kinsoku/>
              <w:autoSpaceDE/>
              <w:autoSpaceDN/>
              <w:adjustRightInd/>
              <w:snapToGrid/>
              <w:spacing w:line="560" w:lineRule="exact"/>
              <w:jc w:val="both"/>
              <w:textAlignment w:val="auto"/>
              <w:rPr>
                <w:rFonts w:hint="eastAsia" w:ascii="仿宋" w:hAnsi="仿宋" w:eastAsia="仿宋" w:cs="仿宋"/>
                <w:snapToGrid/>
                <w:color w:val="000000"/>
                <w:kern w:val="2"/>
                <w:sz w:val="24"/>
                <w:szCs w:val="24"/>
                <w:lang w:eastAsia="zh-CN"/>
              </w:rPr>
            </w:pPr>
          </w:p>
        </w:tc>
      </w:tr>
      <w:tr w14:paraId="41AA6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14:paraId="586213BC">
            <w:pPr>
              <w:widowControl w:val="0"/>
              <w:kinsoku/>
              <w:autoSpaceDE/>
              <w:autoSpaceDN/>
              <w:adjustRightInd/>
              <w:snapToGrid/>
              <w:spacing w:line="560" w:lineRule="exact"/>
              <w:jc w:val="both"/>
              <w:textAlignment w:val="auto"/>
              <w:rPr>
                <w:rFonts w:hint="eastAsia" w:ascii="仿宋" w:hAnsi="仿宋" w:eastAsia="仿宋" w:cs="仿宋"/>
                <w:snapToGrid/>
                <w:color w:val="000000"/>
                <w:kern w:val="2"/>
                <w:sz w:val="24"/>
                <w:szCs w:val="24"/>
                <w:lang w:eastAsia="zh-CN"/>
              </w:rPr>
            </w:pPr>
          </w:p>
        </w:tc>
        <w:tc>
          <w:tcPr>
            <w:tcW w:w="7633" w:type="dxa"/>
            <w:noWrap w:val="0"/>
            <w:vAlign w:val="center"/>
          </w:tcPr>
          <w:p w14:paraId="355FA06B">
            <w:pPr>
              <w:widowControl w:val="0"/>
              <w:kinsoku/>
              <w:autoSpaceDE/>
              <w:autoSpaceDN/>
              <w:adjustRightInd/>
              <w:snapToGrid/>
              <w:spacing w:line="560" w:lineRule="exact"/>
              <w:jc w:val="both"/>
              <w:textAlignment w:val="auto"/>
              <w:rPr>
                <w:rFonts w:hint="eastAsia" w:ascii="仿宋" w:hAnsi="仿宋" w:eastAsia="仿宋" w:cs="仿宋"/>
                <w:snapToGrid/>
                <w:color w:val="000000"/>
                <w:kern w:val="2"/>
                <w:sz w:val="24"/>
                <w:szCs w:val="24"/>
                <w:lang w:eastAsia="zh-CN"/>
              </w:rPr>
            </w:pPr>
          </w:p>
        </w:tc>
      </w:tr>
      <w:tr w14:paraId="3840D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14:paraId="039E3166">
            <w:pPr>
              <w:widowControl w:val="0"/>
              <w:kinsoku/>
              <w:autoSpaceDE/>
              <w:autoSpaceDN/>
              <w:adjustRightInd/>
              <w:snapToGrid/>
              <w:spacing w:line="560" w:lineRule="exact"/>
              <w:jc w:val="both"/>
              <w:textAlignment w:val="auto"/>
              <w:rPr>
                <w:rFonts w:hint="eastAsia" w:ascii="仿宋" w:hAnsi="仿宋" w:eastAsia="仿宋" w:cs="仿宋"/>
                <w:snapToGrid/>
                <w:color w:val="000000"/>
                <w:kern w:val="2"/>
                <w:sz w:val="24"/>
                <w:szCs w:val="24"/>
                <w:lang w:eastAsia="zh-CN"/>
              </w:rPr>
            </w:pPr>
          </w:p>
        </w:tc>
        <w:tc>
          <w:tcPr>
            <w:tcW w:w="7633" w:type="dxa"/>
            <w:noWrap w:val="0"/>
            <w:vAlign w:val="center"/>
          </w:tcPr>
          <w:p w14:paraId="640AB4D2">
            <w:pPr>
              <w:widowControl w:val="0"/>
              <w:kinsoku/>
              <w:autoSpaceDE/>
              <w:autoSpaceDN/>
              <w:adjustRightInd/>
              <w:snapToGrid/>
              <w:spacing w:line="560" w:lineRule="exact"/>
              <w:jc w:val="both"/>
              <w:textAlignment w:val="auto"/>
              <w:rPr>
                <w:rFonts w:hint="eastAsia" w:ascii="仿宋" w:hAnsi="仿宋" w:eastAsia="仿宋" w:cs="仿宋"/>
                <w:snapToGrid/>
                <w:color w:val="000000"/>
                <w:kern w:val="2"/>
                <w:sz w:val="24"/>
                <w:szCs w:val="24"/>
                <w:lang w:eastAsia="zh-CN"/>
              </w:rPr>
            </w:pPr>
          </w:p>
        </w:tc>
      </w:tr>
      <w:tr w14:paraId="2C5229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14:paraId="752BE75B">
            <w:pPr>
              <w:widowControl w:val="0"/>
              <w:kinsoku/>
              <w:autoSpaceDE/>
              <w:autoSpaceDN/>
              <w:adjustRightInd/>
              <w:snapToGrid/>
              <w:spacing w:line="560" w:lineRule="exact"/>
              <w:jc w:val="both"/>
              <w:textAlignment w:val="auto"/>
              <w:rPr>
                <w:rFonts w:hint="eastAsia" w:ascii="仿宋" w:hAnsi="仿宋" w:eastAsia="仿宋" w:cs="仿宋"/>
                <w:snapToGrid/>
                <w:color w:val="000000"/>
                <w:kern w:val="2"/>
                <w:sz w:val="24"/>
                <w:szCs w:val="24"/>
                <w:lang w:eastAsia="zh-CN"/>
              </w:rPr>
            </w:pPr>
          </w:p>
        </w:tc>
        <w:tc>
          <w:tcPr>
            <w:tcW w:w="7633" w:type="dxa"/>
            <w:noWrap w:val="0"/>
            <w:vAlign w:val="center"/>
          </w:tcPr>
          <w:p w14:paraId="18185998">
            <w:pPr>
              <w:widowControl w:val="0"/>
              <w:kinsoku/>
              <w:autoSpaceDE/>
              <w:autoSpaceDN/>
              <w:adjustRightInd/>
              <w:snapToGrid/>
              <w:spacing w:line="560" w:lineRule="exact"/>
              <w:jc w:val="both"/>
              <w:textAlignment w:val="auto"/>
              <w:rPr>
                <w:rFonts w:hint="eastAsia" w:ascii="仿宋" w:hAnsi="仿宋" w:eastAsia="仿宋" w:cs="仿宋"/>
                <w:snapToGrid/>
                <w:color w:val="000000"/>
                <w:kern w:val="2"/>
                <w:sz w:val="24"/>
                <w:szCs w:val="24"/>
                <w:lang w:eastAsia="zh-CN"/>
              </w:rPr>
            </w:pPr>
          </w:p>
        </w:tc>
      </w:tr>
      <w:tr w14:paraId="776D17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14:paraId="307436A2">
            <w:pPr>
              <w:widowControl w:val="0"/>
              <w:kinsoku/>
              <w:autoSpaceDE/>
              <w:autoSpaceDN/>
              <w:adjustRightInd/>
              <w:snapToGrid/>
              <w:spacing w:line="560" w:lineRule="exact"/>
              <w:jc w:val="both"/>
              <w:textAlignment w:val="auto"/>
              <w:rPr>
                <w:rFonts w:hint="eastAsia" w:ascii="仿宋" w:hAnsi="仿宋" w:eastAsia="仿宋" w:cs="仿宋"/>
                <w:snapToGrid/>
                <w:color w:val="000000"/>
                <w:kern w:val="2"/>
                <w:sz w:val="24"/>
                <w:szCs w:val="24"/>
                <w:lang w:eastAsia="zh-CN"/>
              </w:rPr>
            </w:pPr>
          </w:p>
        </w:tc>
        <w:tc>
          <w:tcPr>
            <w:tcW w:w="7633" w:type="dxa"/>
            <w:noWrap w:val="0"/>
            <w:vAlign w:val="center"/>
          </w:tcPr>
          <w:p w14:paraId="6D9421AB">
            <w:pPr>
              <w:widowControl w:val="0"/>
              <w:kinsoku/>
              <w:autoSpaceDE/>
              <w:autoSpaceDN/>
              <w:adjustRightInd/>
              <w:snapToGrid/>
              <w:spacing w:line="560" w:lineRule="exact"/>
              <w:jc w:val="both"/>
              <w:textAlignment w:val="auto"/>
              <w:rPr>
                <w:rFonts w:hint="eastAsia" w:ascii="仿宋" w:hAnsi="仿宋" w:eastAsia="仿宋" w:cs="仿宋"/>
                <w:snapToGrid/>
                <w:color w:val="000000"/>
                <w:kern w:val="2"/>
                <w:sz w:val="24"/>
                <w:szCs w:val="24"/>
                <w:u w:val="single"/>
                <w:lang w:eastAsia="zh-CN"/>
              </w:rPr>
            </w:pPr>
          </w:p>
        </w:tc>
      </w:tr>
      <w:tr w14:paraId="6E9E7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14:paraId="3115BAC6">
            <w:pPr>
              <w:widowControl w:val="0"/>
              <w:kinsoku/>
              <w:autoSpaceDE/>
              <w:autoSpaceDN/>
              <w:adjustRightInd/>
              <w:snapToGrid/>
              <w:spacing w:line="560" w:lineRule="exact"/>
              <w:jc w:val="both"/>
              <w:textAlignment w:val="auto"/>
              <w:rPr>
                <w:rFonts w:hint="eastAsia" w:ascii="仿宋" w:hAnsi="仿宋" w:eastAsia="仿宋" w:cs="仿宋"/>
                <w:snapToGrid/>
                <w:color w:val="000000"/>
                <w:kern w:val="2"/>
                <w:sz w:val="24"/>
                <w:szCs w:val="24"/>
                <w:lang w:eastAsia="zh-CN"/>
              </w:rPr>
            </w:pPr>
          </w:p>
        </w:tc>
        <w:tc>
          <w:tcPr>
            <w:tcW w:w="7633" w:type="dxa"/>
            <w:noWrap w:val="0"/>
            <w:vAlign w:val="center"/>
          </w:tcPr>
          <w:p w14:paraId="0396D2E1">
            <w:pPr>
              <w:widowControl w:val="0"/>
              <w:kinsoku/>
              <w:autoSpaceDE/>
              <w:autoSpaceDN/>
              <w:adjustRightInd/>
              <w:snapToGrid/>
              <w:spacing w:line="560" w:lineRule="exact"/>
              <w:jc w:val="both"/>
              <w:textAlignment w:val="auto"/>
              <w:rPr>
                <w:rFonts w:hint="eastAsia" w:ascii="仿宋" w:hAnsi="仿宋" w:eastAsia="仿宋" w:cs="仿宋"/>
                <w:snapToGrid/>
                <w:color w:val="000000"/>
                <w:kern w:val="2"/>
                <w:sz w:val="24"/>
                <w:szCs w:val="24"/>
                <w:lang w:eastAsia="zh-CN"/>
              </w:rPr>
            </w:pPr>
          </w:p>
        </w:tc>
      </w:tr>
      <w:tr w14:paraId="0073A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14:paraId="019DEDD6">
            <w:pPr>
              <w:widowControl w:val="0"/>
              <w:kinsoku/>
              <w:autoSpaceDE/>
              <w:autoSpaceDN/>
              <w:adjustRightInd/>
              <w:snapToGrid/>
              <w:spacing w:line="560" w:lineRule="exact"/>
              <w:jc w:val="both"/>
              <w:textAlignment w:val="auto"/>
              <w:rPr>
                <w:rFonts w:hint="eastAsia" w:ascii="仿宋" w:hAnsi="仿宋" w:eastAsia="仿宋" w:cs="仿宋"/>
                <w:snapToGrid/>
                <w:color w:val="000000"/>
                <w:kern w:val="2"/>
                <w:sz w:val="24"/>
                <w:szCs w:val="24"/>
                <w:lang w:eastAsia="zh-CN"/>
              </w:rPr>
            </w:pPr>
          </w:p>
        </w:tc>
        <w:tc>
          <w:tcPr>
            <w:tcW w:w="7633" w:type="dxa"/>
            <w:noWrap w:val="0"/>
            <w:vAlign w:val="center"/>
          </w:tcPr>
          <w:p w14:paraId="3C4C2C3C">
            <w:pPr>
              <w:widowControl w:val="0"/>
              <w:kinsoku/>
              <w:autoSpaceDE/>
              <w:autoSpaceDN/>
              <w:adjustRightInd/>
              <w:snapToGrid/>
              <w:spacing w:line="560" w:lineRule="exact"/>
              <w:jc w:val="both"/>
              <w:textAlignment w:val="auto"/>
              <w:rPr>
                <w:rFonts w:hint="eastAsia" w:ascii="仿宋" w:hAnsi="仿宋" w:eastAsia="仿宋" w:cs="仿宋"/>
                <w:snapToGrid/>
                <w:color w:val="000000"/>
                <w:kern w:val="2"/>
                <w:sz w:val="24"/>
                <w:szCs w:val="24"/>
                <w:u w:val="single"/>
                <w:lang w:eastAsia="zh-CN"/>
              </w:rPr>
            </w:pPr>
          </w:p>
        </w:tc>
      </w:tr>
      <w:tr w14:paraId="6802A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14:paraId="64C65E91">
            <w:pPr>
              <w:widowControl w:val="0"/>
              <w:kinsoku/>
              <w:autoSpaceDE/>
              <w:autoSpaceDN/>
              <w:adjustRightInd/>
              <w:snapToGrid/>
              <w:spacing w:line="560" w:lineRule="exact"/>
              <w:jc w:val="both"/>
              <w:textAlignment w:val="auto"/>
              <w:rPr>
                <w:rFonts w:hint="eastAsia" w:ascii="仿宋" w:hAnsi="仿宋" w:eastAsia="仿宋" w:cs="仿宋"/>
                <w:snapToGrid/>
                <w:color w:val="000000"/>
                <w:kern w:val="2"/>
                <w:sz w:val="24"/>
                <w:szCs w:val="24"/>
                <w:lang w:eastAsia="zh-CN"/>
              </w:rPr>
            </w:pPr>
          </w:p>
        </w:tc>
        <w:tc>
          <w:tcPr>
            <w:tcW w:w="7633" w:type="dxa"/>
            <w:noWrap w:val="0"/>
            <w:vAlign w:val="center"/>
          </w:tcPr>
          <w:p w14:paraId="31FC908D">
            <w:pPr>
              <w:widowControl w:val="0"/>
              <w:kinsoku/>
              <w:autoSpaceDE/>
              <w:autoSpaceDN/>
              <w:adjustRightInd/>
              <w:snapToGrid/>
              <w:spacing w:line="560" w:lineRule="exact"/>
              <w:jc w:val="both"/>
              <w:textAlignment w:val="auto"/>
              <w:rPr>
                <w:rFonts w:hint="eastAsia" w:ascii="仿宋" w:hAnsi="仿宋" w:eastAsia="仿宋" w:cs="仿宋"/>
                <w:snapToGrid/>
                <w:color w:val="000000"/>
                <w:kern w:val="2"/>
                <w:sz w:val="24"/>
                <w:szCs w:val="24"/>
                <w:lang w:eastAsia="zh-CN"/>
              </w:rPr>
            </w:pPr>
          </w:p>
        </w:tc>
      </w:tr>
      <w:tr w14:paraId="1A07C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14:paraId="2D66B33B">
            <w:pPr>
              <w:widowControl w:val="0"/>
              <w:kinsoku/>
              <w:autoSpaceDE/>
              <w:autoSpaceDN/>
              <w:adjustRightInd/>
              <w:snapToGrid/>
              <w:spacing w:line="560" w:lineRule="exact"/>
              <w:jc w:val="both"/>
              <w:textAlignment w:val="auto"/>
              <w:rPr>
                <w:rFonts w:hint="eastAsia" w:ascii="仿宋" w:hAnsi="仿宋" w:eastAsia="仿宋" w:cs="仿宋"/>
                <w:snapToGrid/>
                <w:color w:val="000000"/>
                <w:kern w:val="2"/>
                <w:sz w:val="24"/>
                <w:szCs w:val="24"/>
                <w:lang w:eastAsia="zh-CN"/>
              </w:rPr>
            </w:pPr>
          </w:p>
        </w:tc>
        <w:tc>
          <w:tcPr>
            <w:tcW w:w="7633" w:type="dxa"/>
            <w:noWrap w:val="0"/>
            <w:vAlign w:val="center"/>
          </w:tcPr>
          <w:p w14:paraId="201C4233">
            <w:pPr>
              <w:widowControl w:val="0"/>
              <w:kinsoku/>
              <w:autoSpaceDE/>
              <w:autoSpaceDN/>
              <w:adjustRightInd/>
              <w:snapToGrid/>
              <w:spacing w:line="560" w:lineRule="exact"/>
              <w:jc w:val="both"/>
              <w:textAlignment w:val="auto"/>
              <w:rPr>
                <w:rFonts w:hint="eastAsia" w:ascii="仿宋" w:hAnsi="仿宋" w:eastAsia="仿宋" w:cs="仿宋"/>
                <w:snapToGrid/>
                <w:color w:val="000000"/>
                <w:kern w:val="2"/>
                <w:sz w:val="24"/>
                <w:szCs w:val="24"/>
                <w:lang w:eastAsia="zh-CN"/>
              </w:rPr>
            </w:pPr>
          </w:p>
        </w:tc>
      </w:tr>
      <w:tr w14:paraId="33C7C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14:paraId="2D310765">
            <w:pPr>
              <w:widowControl w:val="0"/>
              <w:kinsoku/>
              <w:autoSpaceDE/>
              <w:autoSpaceDN/>
              <w:adjustRightInd/>
              <w:snapToGrid/>
              <w:spacing w:line="560" w:lineRule="exact"/>
              <w:jc w:val="both"/>
              <w:textAlignment w:val="auto"/>
              <w:rPr>
                <w:rFonts w:hint="eastAsia" w:ascii="仿宋" w:hAnsi="仿宋" w:eastAsia="仿宋" w:cs="仿宋"/>
                <w:snapToGrid/>
                <w:color w:val="000000"/>
                <w:kern w:val="2"/>
                <w:sz w:val="24"/>
                <w:szCs w:val="24"/>
                <w:lang w:eastAsia="zh-CN"/>
              </w:rPr>
            </w:pPr>
          </w:p>
        </w:tc>
        <w:tc>
          <w:tcPr>
            <w:tcW w:w="7633" w:type="dxa"/>
            <w:noWrap w:val="0"/>
            <w:vAlign w:val="center"/>
          </w:tcPr>
          <w:p w14:paraId="5994ED72">
            <w:pPr>
              <w:widowControl w:val="0"/>
              <w:kinsoku/>
              <w:autoSpaceDE/>
              <w:autoSpaceDN/>
              <w:adjustRightInd/>
              <w:snapToGrid/>
              <w:spacing w:line="560" w:lineRule="exact"/>
              <w:jc w:val="both"/>
              <w:textAlignment w:val="auto"/>
              <w:rPr>
                <w:rFonts w:hint="eastAsia" w:ascii="仿宋" w:hAnsi="仿宋" w:eastAsia="仿宋" w:cs="仿宋"/>
                <w:snapToGrid/>
                <w:color w:val="000000"/>
                <w:kern w:val="2"/>
                <w:sz w:val="24"/>
                <w:szCs w:val="24"/>
                <w:lang w:eastAsia="zh-CN"/>
              </w:rPr>
            </w:pPr>
          </w:p>
        </w:tc>
      </w:tr>
      <w:tr w14:paraId="4FAAF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0"/>
            <w:vAlign w:val="center"/>
          </w:tcPr>
          <w:p w14:paraId="26F0037A">
            <w:pPr>
              <w:widowControl w:val="0"/>
              <w:kinsoku/>
              <w:autoSpaceDE/>
              <w:autoSpaceDN/>
              <w:adjustRightInd/>
              <w:snapToGrid/>
              <w:spacing w:line="560" w:lineRule="exact"/>
              <w:jc w:val="both"/>
              <w:textAlignment w:val="auto"/>
              <w:rPr>
                <w:rFonts w:hint="eastAsia" w:ascii="仿宋" w:hAnsi="仿宋" w:eastAsia="仿宋" w:cs="仿宋"/>
                <w:snapToGrid/>
                <w:color w:val="000000"/>
                <w:kern w:val="2"/>
                <w:sz w:val="24"/>
                <w:szCs w:val="24"/>
                <w:lang w:eastAsia="zh-CN"/>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14:paraId="4F3E1561">
            <w:pPr>
              <w:widowControl w:val="0"/>
              <w:kinsoku/>
              <w:autoSpaceDE/>
              <w:autoSpaceDN/>
              <w:adjustRightInd/>
              <w:snapToGrid/>
              <w:spacing w:line="560" w:lineRule="exact"/>
              <w:jc w:val="both"/>
              <w:textAlignment w:val="auto"/>
              <w:rPr>
                <w:rFonts w:hint="eastAsia" w:ascii="仿宋" w:hAnsi="仿宋" w:eastAsia="仿宋" w:cs="仿宋"/>
                <w:snapToGrid/>
                <w:color w:val="000000"/>
                <w:kern w:val="2"/>
                <w:sz w:val="24"/>
                <w:szCs w:val="24"/>
                <w:lang w:eastAsia="zh-CN"/>
              </w:rPr>
            </w:pPr>
          </w:p>
        </w:tc>
      </w:tr>
      <w:tr w14:paraId="7640C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0"/>
            <w:vAlign w:val="center"/>
          </w:tcPr>
          <w:p w14:paraId="32482FCC">
            <w:pPr>
              <w:widowControl w:val="0"/>
              <w:kinsoku/>
              <w:autoSpaceDE/>
              <w:autoSpaceDN/>
              <w:adjustRightInd/>
              <w:snapToGrid/>
              <w:spacing w:line="560" w:lineRule="exact"/>
              <w:jc w:val="both"/>
              <w:textAlignment w:val="auto"/>
              <w:rPr>
                <w:rFonts w:hint="eastAsia" w:ascii="仿宋" w:hAnsi="仿宋" w:eastAsia="仿宋" w:cs="仿宋"/>
                <w:snapToGrid/>
                <w:color w:val="000000"/>
                <w:kern w:val="2"/>
                <w:sz w:val="24"/>
                <w:szCs w:val="24"/>
                <w:lang w:eastAsia="zh-CN"/>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14:paraId="3A6A53EB">
            <w:pPr>
              <w:widowControl w:val="0"/>
              <w:kinsoku/>
              <w:autoSpaceDE/>
              <w:autoSpaceDN/>
              <w:adjustRightInd/>
              <w:snapToGrid/>
              <w:spacing w:line="560" w:lineRule="exact"/>
              <w:jc w:val="both"/>
              <w:textAlignment w:val="auto"/>
              <w:rPr>
                <w:rFonts w:hint="eastAsia" w:ascii="仿宋" w:hAnsi="仿宋" w:eastAsia="仿宋" w:cs="仿宋"/>
                <w:snapToGrid/>
                <w:color w:val="000000"/>
                <w:kern w:val="2"/>
                <w:sz w:val="24"/>
                <w:szCs w:val="24"/>
                <w:lang w:eastAsia="zh-CN"/>
              </w:rPr>
            </w:pPr>
          </w:p>
        </w:tc>
      </w:tr>
    </w:tbl>
    <w:p w14:paraId="625C4CD2">
      <w:pPr>
        <w:kinsoku w:val="0"/>
        <w:autoSpaceDE w:val="0"/>
        <w:autoSpaceDN w:val="0"/>
        <w:adjustRightInd w:val="0"/>
        <w:snapToGrid w:val="0"/>
        <w:spacing w:line="263" w:lineRule="auto"/>
        <w:jc w:val="left"/>
        <w:textAlignment w:val="baseline"/>
        <w:rPr>
          <w:rFonts w:hint="eastAsia" w:ascii="仿宋" w:hAnsi="仿宋" w:eastAsia="仿宋" w:cs="仿宋"/>
          <w:snapToGrid w:val="0"/>
          <w:color w:val="000000"/>
          <w:kern w:val="0"/>
          <w:sz w:val="21"/>
          <w:szCs w:val="21"/>
          <w:lang w:val="en-US" w:eastAsia="en-US" w:bidi="ar-SA"/>
        </w:rPr>
      </w:pPr>
    </w:p>
    <w:p w14:paraId="569B563C">
      <w:pPr>
        <w:kinsoku w:val="0"/>
        <w:autoSpaceDE w:val="0"/>
        <w:autoSpaceDN w:val="0"/>
        <w:adjustRightInd w:val="0"/>
        <w:snapToGrid w:val="0"/>
        <w:spacing w:line="263" w:lineRule="auto"/>
        <w:jc w:val="left"/>
        <w:textAlignment w:val="baseline"/>
        <w:rPr>
          <w:rFonts w:hint="eastAsia" w:ascii="仿宋" w:hAnsi="仿宋" w:eastAsia="仿宋" w:cs="仿宋"/>
          <w:snapToGrid w:val="0"/>
          <w:color w:val="000000"/>
          <w:kern w:val="0"/>
          <w:sz w:val="21"/>
          <w:szCs w:val="21"/>
          <w:lang w:val="en-US" w:eastAsia="en-US" w:bidi="ar-SA"/>
        </w:rPr>
      </w:pPr>
    </w:p>
    <w:p w14:paraId="397A4A0B">
      <w:pPr>
        <w:widowControl/>
        <w:kinsoku w:val="0"/>
        <w:autoSpaceDE w:val="0"/>
        <w:autoSpaceDN w:val="0"/>
        <w:adjustRightInd w:val="0"/>
        <w:snapToGrid w:val="0"/>
        <w:spacing w:before="49" w:line="295" w:lineRule="auto"/>
        <w:ind w:right="20"/>
        <w:jc w:val="right"/>
        <w:textAlignment w:val="baseline"/>
        <w:rPr>
          <w:rFonts w:hint="default" w:ascii="仿宋" w:hAnsi="仿宋" w:eastAsia="仿宋" w:cs="仿宋"/>
          <w:snapToGrid w:val="0"/>
          <w:color w:val="000000"/>
          <w:spacing w:val="-5"/>
          <w:kern w:val="0"/>
          <w:sz w:val="30"/>
          <w:szCs w:val="30"/>
          <w:lang w:val="en-US" w:eastAsia="zh-CN" w:bidi="ar-SA"/>
        </w:rPr>
      </w:pPr>
    </w:p>
    <w:p w14:paraId="792D88E6">
      <w:pPr>
        <w:pStyle w:val="74"/>
        <w:widowControl/>
        <w:numPr>
          <w:ilvl w:val="0"/>
          <w:numId w:val="0"/>
        </w:numPr>
        <w:rPr>
          <w:rFonts w:hint="eastAsia" w:ascii="仿宋" w:hAnsi="仿宋" w:eastAsia="仿宋" w:cs="仿宋"/>
        </w:rPr>
      </w:pPr>
    </w:p>
    <w:p w14:paraId="104DE191">
      <w:pPr>
        <w:pStyle w:val="74"/>
        <w:widowControl/>
        <w:numPr>
          <w:ilvl w:val="0"/>
          <w:numId w:val="0"/>
        </w:numPr>
        <w:rPr>
          <w:rFonts w:hint="eastAsia" w:ascii="仿宋" w:hAnsi="仿宋" w:eastAsia="仿宋" w:cs="仿宋"/>
        </w:rPr>
      </w:pPr>
    </w:p>
    <w:p w14:paraId="4CEA56E3">
      <w:pPr>
        <w:pStyle w:val="66"/>
        <w:keepNext/>
        <w:keepLines/>
        <w:widowControl w:val="0"/>
        <w:shd w:val="clear" w:color="auto" w:fill="auto"/>
        <w:bidi w:val="0"/>
        <w:spacing w:before="0" w:after="1160" w:line="240" w:lineRule="auto"/>
        <w:ind w:left="0" w:right="0" w:firstLine="0"/>
        <w:jc w:val="center"/>
        <w:outlineLvl w:val="0"/>
        <w:rPr>
          <w:rFonts w:hint="eastAsia" w:ascii="仿宋" w:hAnsi="仿宋" w:eastAsia="仿宋" w:cs="仿宋"/>
          <w:b/>
          <w:bCs/>
          <w:color w:val="auto"/>
          <w:spacing w:val="0"/>
          <w:w w:val="100"/>
          <w:position w:val="0"/>
          <w:sz w:val="32"/>
          <w:szCs w:val="32"/>
        </w:rPr>
        <w:sectPr>
          <w:headerReference r:id="rId8" w:type="default"/>
          <w:footerReference r:id="rId9" w:type="default"/>
          <w:pgSz w:w="11905" w:h="16838"/>
          <w:pgMar w:top="1440" w:right="1080" w:bottom="1440" w:left="1080" w:header="850" w:footer="992" w:gutter="0"/>
          <w:pgNumType w:fmt="decimal"/>
          <w:cols w:space="720" w:num="1"/>
          <w:docGrid w:type="linesAndChars" w:linePitch="325" w:charSpace="635"/>
        </w:sectPr>
      </w:pPr>
    </w:p>
    <w:p w14:paraId="3EEBF18A">
      <w:pPr>
        <w:pStyle w:val="66"/>
        <w:keepNext/>
        <w:keepLines/>
        <w:widowControl w:val="0"/>
        <w:shd w:val="clear" w:color="auto" w:fill="auto"/>
        <w:bidi w:val="0"/>
        <w:spacing w:before="0" w:after="1160" w:line="240" w:lineRule="auto"/>
        <w:ind w:left="0" w:right="0" w:firstLine="0"/>
        <w:jc w:val="center"/>
        <w:outlineLvl w:val="0"/>
        <w:rPr>
          <w:rFonts w:hint="eastAsia" w:ascii="仿宋" w:hAnsi="仿宋" w:eastAsia="仿宋" w:cs="仿宋"/>
          <w:b/>
          <w:bCs/>
          <w:color w:val="auto"/>
          <w:sz w:val="44"/>
          <w:szCs w:val="44"/>
        </w:rPr>
      </w:pPr>
      <w:bookmarkStart w:id="364" w:name="_Toc4049"/>
      <w:r>
        <w:rPr>
          <w:rFonts w:hint="eastAsia" w:ascii="仿宋" w:hAnsi="仿宋" w:eastAsia="仿宋" w:cs="仿宋"/>
          <w:b/>
          <w:bCs/>
          <w:color w:val="auto"/>
          <w:spacing w:val="0"/>
          <w:w w:val="100"/>
          <w:position w:val="0"/>
          <w:sz w:val="32"/>
          <w:szCs w:val="32"/>
        </w:rPr>
        <w:t>第</w:t>
      </w:r>
      <w:r>
        <w:rPr>
          <w:rFonts w:hint="eastAsia" w:ascii="仿宋" w:hAnsi="仿宋" w:eastAsia="仿宋" w:cs="仿宋"/>
          <w:b/>
          <w:bCs/>
          <w:color w:val="auto"/>
          <w:spacing w:val="0"/>
          <w:w w:val="100"/>
          <w:position w:val="0"/>
          <w:sz w:val="32"/>
          <w:szCs w:val="32"/>
          <w:lang w:eastAsia="zh-CN"/>
        </w:rPr>
        <w:t>六章</w:t>
      </w:r>
      <w:r>
        <w:rPr>
          <w:rFonts w:hint="eastAsia" w:ascii="仿宋" w:hAnsi="仿宋" w:eastAsia="仿宋" w:cs="仿宋"/>
          <w:b/>
          <w:bCs/>
          <w:color w:val="auto"/>
          <w:spacing w:val="0"/>
          <w:w w:val="100"/>
          <w:position w:val="0"/>
          <w:sz w:val="32"/>
          <w:szCs w:val="32"/>
          <w:lang w:val="en-US" w:eastAsia="zh-CN"/>
        </w:rPr>
        <w:t xml:space="preserve">   </w:t>
      </w:r>
      <w:r>
        <w:rPr>
          <w:rFonts w:hint="eastAsia" w:ascii="仿宋" w:hAnsi="仿宋" w:eastAsia="仿宋" w:cs="仿宋"/>
          <w:b/>
          <w:bCs/>
          <w:color w:val="auto"/>
          <w:spacing w:val="0"/>
          <w:w w:val="100"/>
          <w:position w:val="0"/>
          <w:sz w:val="32"/>
          <w:szCs w:val="32"/>
        </w:rPr>
        <w:t>投标文件格式</w:t>
      </w:r>
      <w:bookmarkEnd w:id="136"/>
      <w:bookmarkEnd w:id="137"/>
      <w:bookmarkEnd w:id="138"/>
      <w:bookmarkEnd w:id="139"/>
      <w:bookmarkEnd w:id="140"/>
      <w:bookmarkEnd w:id="364"/>
    </w:p>
    <w:p w14:paraId="09EC3CF8">
      <w:pPr>
        <w:adjustRightInd w:val="0"/>
        <w:snapToGrid w:val="0"/>
        <w:spacing w:line="360" w:lineRule="auto"/>
        <w:jc w:val="center"/>
        <w:rPr>
          <w:rFonts w:hint="eastAsia" w:ascii="仿宋" w:hAnsi="仿宋" w:eastAsia="仿宋" w:cs="仿宋"/>
          <w:b/>
          <w:caps/>
          <w:color w:val="auto"/>
          <w:sz w:val="24"/>
          <w:szCs w:val="24"/>
        </w:rPr>
      </w:pPr>
      <w:bookmarkStart w:id="365" w:name="bookmark196"/>
    </w:p>
    <w:p w14:paraId="1FED2959">
      <w:pPr>
        <w:adjustRightInd w:val="0"/>
        <w:snapToGrid w:val="0"/>
        <w:spacing w:line="360" w:lineRule="auto"/>
        <w:jc w:val="center"/>
        <w:outlineLvl w:val="9"/>
        <w:rPr>
          <w:rFonts w:hint="eastAsia" w:ascii="仿宋" w:hAnsi="仿宋" w:eastAsia="仿宋" w:cs="仿宋"/>
          <w:bCs/>
          <w:color w:val="auto"/>
          <w:sz w:val="32"/>
          <w:szCs w:val="32"/>
        </w:rPr>
      </w:pPr>
      <w:r>
        <w:rPr>
          <w:rFonts w:hint="eastAsia" w:ascii="仿宋" w:hAnsi="仿宋" w:eastAsia="仿宋" w:cs="仿宋"/>
          <w:b/>
          <w:caps/>
          <w:color w:val="auto"/>
          <w:sz w:val="32"/>
          <w:szCs w:val="32"/>
        </w:rPr>
        <w:t>（项目名称）</w:t>
      </w:r>
    </w:p>
    <w:p w14:paraId="62CC60D6">
      <w:pPr>
        <w:adjustRightInd w:val="0"/>
        <w:snapToGrid w:val="0"/>
        <w:spacing w:line="360" w:lineRule="auto"/>
        <w:jc w:val="center"/>
        <w:outlineLvl w:val="9"/>
        <w:rPr>
          <w:rFonts w:hint="default" w:ascii="仿宋" w:hAnsi="仿宋" w:eastAsia="仿宋" w:cs="仿宋"/>
          <w:b/>
          <w:caps/>
          <w:color w:val="auto"/>
          <w:sz w:val="32"/>
          <w:szCs w:val="32"/>
          <w:lang w:val="en-US" w:eastAsia="zh-CN"/>
        </w:rPr>
      </w:pPr>
      <w:r>
        <w:rPr>
          <w:rFonts w:hint="eastAsia" w:ascii="仿宋" w:hAnsi="仿宋" w:eastAsia="仿宋" w:cs="仿宋"/>
          <w:b/>
          <w:caps/>
          <w:color w:val="auto"/>
          <w:sz w:val="32"/>
          <w:szCs w:val="32"/>
          <w:lang w:val="en-US" w:eastAsia="zh-CN"/>
        </w:rPr>
        <w:t>项目编号</w:t>
      </w:r>
    </w:p>
    <w:p w14:paraId="6E35CDFD">
      <w:pPr>
        <w:adjustRightInd w:val="0"/>
        <w:snapToGrid w:val="0"/>
        <w:spacing w:line="360" w:lineRule="auto"/>
        <w:jc w:val="center"/>
        <w:rPr>
          <w:rFonts w:hint="eastAsia" w:ascii="仿宋" w:hAnsi="仿宋" w:eastAsia="仿宋" w:cs="仿宋"/>
          <w:bCs/>
          <w:color w:val="auto"/>
          <w:sz w:val="32"/>
          <w:szCs w:val="32"/>
          <w:lang w:eastAsia="zh-CN"/>
        </w:rPr>
      </w:pPr>
      <w:r>
        <w:rPr>
          <w:rFonts w:hint="eastAsia" w:ascii="仿宋" w:hAnsi="仿宋" w:eastAsia="仿宋" w:cs="仿宋"/>
          <w:b/>
          <w:bCs/>
          <w:color w:val="auto"/>
          <w:sz w:val="44"/>
          <w:szCs w:val="44"/>
          <w:lang w:val="en-US" w:eastAsia="zh-CN"/>
        </w:rPr>
        <w:t>投标</w:t>
      </w:r>
      <w:r>
        <w:rPr>
          <w:rFonts w:hint="eastAsia" w:ascii="仿宋" w:hAnsi="仿宋" w:eastAsia="仿宋" w:cs="仿宋"/>
          <w:b/>
          <w:bCs/>
          <w:color w:val="auto"/>
          <w:sz w:val="44"/>
          <w:szCs w:val="44"/>
          <w:lang w:eastAsia="zh-CN"/>
        </w:rPr>
        <w:t>文件</w:t>
      </w:r>
    </w:p>
    <w:p w14:paraId="12D354F6">
      <w:pPr>
        <w:adjustRightInd w:val="0"/>
        <w:snapToGrid w:val="0"/>
        <w:spacing w:line="360" w:lineRule="auto"/>
        <w:jc w:val="center"/>
        <w:rPr>
          <w:rFonts w:hint="eastAsia" w:ascii="仿宋" w:hAnsi="仿宋" w:eastAsia="仿宋" w:cs="仿宋"/>
          <w:bCs/>
          <w:color w:val="auto"/>
          <w:sz w:val="32"/>
          <w:szCs w:val="32"/>
        </w:rPr>
      </w:pPr>
    </w:p>
    <w:p w14:paraId="09BE4131">
      <w:pPr>
        <w:pStyle w:val="4"/>
        <w:outlineLvl w:val="9"/>
        <w:rPr>
          <w:rFonts w:hint="eastAsia" w:ascii="仿宋" w:hAnsi="仿宋" w:eastAsia="仿宋" w:cs="仿宋"/>
        </w:rPr>
      </w:pPr>
    </w:p>
    <w:p w14:paraId="35445603">
      <w:pPr>
        <w:adjustRightInd w:val="0"/>
        <w:snapToGrid w:val="0"/>
        <w:spacing w:line="360" w:lineRule="auto"/>
        <w:jc w:val="both"/>
        <w:rPr>
          <w:rFonts w:hint="eastAsia" w:ascii="仿宋" w:hAnsi="仿宋" w:eastAsia="仿宋" w:cs="仿宋"/>
          <w:bCs/>
          <w:color w:val="auto"/>
          <w:sz w:val="32"/>
          <w:szCs w:val="32"/>
        </w:rPr>
      </w:pPr>
    </w:p>
    <w:p w14:paraId="564C672F">
      <w:pPr>
        <w:adjustRightInd w:val="0"/>
        <w:snapToGrid w:val="0"/>
        <w:spacing w:line="240" w:lineRule="auto"/>
        <w:jc w:val="left"/>
        <w:outlineLvl w:val="9"/>
        <w:rPr>
          <w:rFonts w:hint="eastAsia" w:ascii="仿宋" w:hAnsi="仿宋" w:eastAsia="仿宋" w:cs="仿宋"/>
          <w:b/>
          <w:caps/>
          <w:color w:val="auto"/>
          <w:sz w:val="32"/>
          <w:szCs w:val="32"/>
        </w:rPr>
      </w:pPr>
      <w:r>
        <w:rPr>
          <w:rFonts w:hint="eastAsia" w:ascii="仿宋" w:hAnsi="仿宋" w:eastAsia="仿宋" w:cs="仿宋"/>
          <w:b/>
          <w:caps/>
          <w:color w:val="auto"/>
          <w:sz w:val="32"/>
          <w:szCs w:val="32"/>
        </w:rPr>
        <w:t>供应商名称（公章）：</w:t>
      </w:r>
    </w:p>
    <w:p w14:paraId="30805DCC">
      <w:pPr>
        <w:adjustRightInd w:val="0"/>
        <w:snapToGrid w:val="0"/>
        <w:spacing w:line="240" w:lineRule="auto"/>
        <w:jc w:val="left"/>
        <w:outlineLvl w:val="9"/>
        <w:rPr>
          <w:rFonts w:hint="eastAsia" w:ascii="仿宋" w:hAnsi="仿宋" w:eastAsia="仿宋" w:cs="仿宋"/>
          <w:b/>
          <w:caps/>
          <w:color w:val="auto"/>
          <w:sz w:val="32"/>
          <w:szCs w:val="32"/>
        </w:rPr>
      </w:pPr>
    </w:p>
    <w:p w14:paraId="5E246B2A">
      <w:pPr>
        <w:adjustRightInd w:val="0"/>
        <w:snapToGrid w:val="0"/>
        <w:spacing w:line="240" w:lineRule="auto"/>
        <w:jc w:val="left"/>
        <w:outlineLvl w:val="9"/>
        <w:rPr>
          <w:rFonts w:hint="eastAsia" w:ascii="仿宋" w:hAnsi="仿宋" w:eastAsia="仿宋" w:cs="仿宋"/>
          <w:b/>
          <w:caps/>
          <w:color w:val="auto"/>
          <w:sz w:val="32"/>
          <w:szCs w:val="32"/>
        </w:rPr>
      </w:pPr>
      <w:r>
        <w:rPr>
          <w:rFonts w:hint="eastAsia" w:ascii="仿宋" w:hAnsi="仿宋" w:eastAsia="仿宋" w:cs="仿宋"/>
          <w:b/>
          <w:caps/>
          <w:color w:val="auto"/>
          <w:sz w:val="32"/>
          <w:szCs w:val="32"/>
        </w:rPr>
        <w:t>法定代表人（</w:t>
      </w:r>
      <w:r>
        <w:rPr>
          <w:rFonts w:hint="eastAsia" w:ascii="仿宋" w:hAnsi="仿宋" w:eastAsia="仿宋" w:cs="仿宋"/>
          <w:b/>
          <w:caps/>
          <w:color w:val="auto"/>
          <w:sz w:val="32"/>
          <w:szCs w:val="32"/>
          <w:lang w:eastAsia="zh-CN"/>
        </w:rPr>
        <w:t>签字</w:t>
      </w:r>
      <w:r>
        <w:rPr>
          <w:rFonts w:hint="eastAsia" w:ascii="仿宋" w:hAnsi="仿宋" w:eastAsia="仿宋" w:cs="仿宋"/>
          <w:b/>
          <w:caps/>
          <w:color w:val="auto"/>
          <w:sz w:val="32"/>
          <w:szCs w:val="32"/>
        </w:rPr>
        <w:t>或盖章）：</w:t>
      </w:r>
    </w:p>
    <w:p w14:paraId="34E7CEAF">
      <w:pPr>
        <w:adjustRightInd w:val="0"/>
        <w:snapToGrid w:val="0"/>
        <w:spacing w:line="240" w:lineRule="auto"/>
        <w:jc w:val="left"/>
        <w:outlineLvl w:val="9"/>
        <w:rPr>
          <w:rFonts w:hint="eastAsia" w:ascii="仿宋" w:hAnsi="仿宋" w:eastAsia="仿宋" w:cs="仿宋"/>
          <w:b/>
          <w:caps/>
          <w:color w:val="auto"/>
          <w:sz w:val="32"/>
          <w:szCs w:val="32"/>
        </w:rPr>
      </w:pPr>
    </w:p>
    <w:p w14:paraId="5FB8471D">
      <w:pPr>
        <w:adjustRightInd w:val="0"/>
        <w:snapToGrid w:val="0"/>
        <w:spacing w:line="240" w:lineRule="auto"/>
        <w:jc w:val="left"/>
        <w:outlineLvl w:val="9"/>
        <w:rPr>
          <w:rFonts w:hint="eastAsia" w:ascii="仿宋" w:hAnsi="仿宋" w:eastAsia="仿宋" w:cs="仿宋"/>
          <w:b/>
          <w:caps/>
          <w:color w:val="auto"/>
          <w:sz w:val="32"/>
          <w:szCs w:val="32"/>
        </w:rPr>
      </w:pPr>
      <w:r>
        <w:rPr>
          <w:rFonts w:hint="eastAsia" w:ascii="仿宋" w:hAnsi="仿宋" w:eastAsia="仿宋" w:cs="仿宋"/>
          <w:b/>
          <w:caps/>
          <w:color w:val="auto"/>
          <w:sz w:val="32"/>
          <w:szCs w:val="32"/>
        </w:rPr>
        <w:t>供应商地址：</w:t>
      </w:r>
    </w:p>
    <w:p w14:paraId="101E2312">
      <w:pPr>
        <w:adjustRightInd w:val="0"/>
        <w:snapToGrid w:val="0"/>
        <w:spacing w:line="240" w:lineRule="auto"/>
        <w:jc w:val="left"/>
        <w:outlineLvl w:val="9"/>
        <w:rPr>
          <w:rFonts w:hint="eastAsia" w:ascii="仿宋" w:hAnsi="仿宋" w:eastAsia="仿宋" w:cs="仿宋"/>
          <w:b/>
          <w:caps/>
          <w:color w:val="auto"/>
          <w:sz w:val="32"/>
          <w:szCs w:val="32"/>
        </w:rPr>
      </w:pPr>
    </w:p>
    <w:p w14:paraId="76C55D9E">
      <w:pPr>
        <w:adjustRightInd w:val="0"/>
        <w:snapToGrid w:val="0"/>
        <w:spacing w:line="240" w:lineRule="auto"/>
        <w:jc w:val="left"/>
        <w:outlineLvl w:val="9"/>
        <w:rPr>
          <w:rFonts w:hint="eastAsia" w:ascii="仿宋" w:hAnsi="仿宋" w:eastAsia="仿宋" w:cs="仿宋"/>
          <w:b/>
          <w:caps/>
          <w:color w:val="auto"/>
          <w:sz w:val="32"/>
          <w:szCs w:val="32"/>
        </w:rPr>
      </w:pPr>
      <w:r>
        <w:rPr>
          <w:rFonts w:hint="eastAsia" w:ascii="仿宋" w:hAnsi="仿宋" w:eastAsia="仿宋" w:cs="仿宋"/>
          <w:b/>
          <w:caps/>
          <w:color w:val="auto"/>
          <w:sz w:val="32"/>
          <w:szCs w:val="32"/>
        </w:rPr>
        <w:t>联系人：</w:t>
      </w:r>
    </w:p>
    <w:p w14:paraId="23F24861">
      <w:pPr>
        <w:adjustRightInd w:val="0"/>
        <w:snapToGrid w:val="0"/>
        <w:spacing w:line="240" w:lineRule="auto"/>
        <w:jc w:val="left"/>
        <w:outlineLvl w:val="9"/>
        <w:rPr>
          <w:rFonts w:hint="eastAsia" w:ascii="仿宋" w:hAnsi="仿宋" w:eastAsia="仿宋" w:cs="仿宋"/>
          <w:b/>
          <w:caps/>
          <w:color w:val="auto"/>
          <w:sz w:val="32"/>
          <w:szCs w:val="32"/>
        </w:rPr>
      </w:pPr>
    </w:p>
    <w:p w14:paraId="28BAB069">
      <w:pPr>
        <w:adjustRightInd w:val="0"/>
        <w:snapToGrid w:val="0"/>
        <w:spacing w:line="240" w:lineRule="auto"/>
        <w:jc w:val="left"/>
        <w:outlineLvl w:val="9"/>
        <w:rPr>
          <w:rFonts w:hint="eastAsia" w:ascii="仿宋" w:hAnsi="仿宋" w:eastAsia="仿宋" w:cs="仿宋"/>
          <w:b/>
          <w:caps/>
          <w:color w:val="auto"/>
          <w:sz w:val="32"/>
          <w:szCs w:val="32"/>
        </w:rPr>
      </w:pPr>
      <w:r>
        <w:rPr>
          <w:rFonts w:hint="eastAsia" w:ascii="仿宋" w:hAnsi="仿宋" w:eastAsia="仿宋" w:cs="仿宋"/>
          <w:b/>
          <w:caps/>
          <w:color w:val="auto"/>
          <w:sz w:val="32"/>
          <w:szCs w:val="32"/>
        </w:rPr>
        <w:t>联系电话：</w:t>
      </w:r>
    </w:p>
    <w:p w14:paraId="053199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caps/>
          <w:color w:val="auto"/>
          <w:sz w:val="32"/>
          <w:szCs w:val="32"/>
        </w:rPr>
      </w:pPr>
    </w:p>
    <w:p w14:paraId="7FF9537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_</w:t>
      </w:r>
      <w:r>
        <w:rPr>
          <w:rFonts w:hint="eastAsia" w:ascii="仿宋" w:hAnsi="仿宋" w:eastAsia="仿宋" w:cs="仿宋"/>
          <w:b/>
          <w:color w:val="auto"/>
          <w:sz w:val="32"/>
          <w:szCs w:val="32"/>
          <w:u w:val="single"/>
        </w:rPr>
        <w:t xml:space="preserve">    </w:t>
      </w:r>
      <w:r>
        <w:rPr>
          <w:rFonts w:hint="eastAsia" w:ascii="仿宋" w:hAnsi="仿宋" w:eastAsia="仿宋" w:cs="仿宋"/>
          <w:b/>
          <w:color w:val="auto"/>
          <w:sz w:val="32"/>
          <w:szCs w:val="32"/>
        </w:rPr>
        <w:t>_年__</w:t>
      </w:r>
      <w:r>
        <w:rPr>
          <w:rFonts w:hint="eastAsia" w:ascii="仿宋" w:hAnsi="仿宋" w:eastAsia="仿宋" w:cs="仿宋"/>
          <w:b/>
          <w:color w:val="auto"/>
          <w:sz w:val="32"/>
          <w:szCs w:val="32"/>
          <w:u w:val="single"/>
        </w:rPr>
        <w:t xml:space="preserve">   </w:t>
      </w:r>
      <w:r>
        <w:rPr>
          <w:rFonts w:hint="eastAsia" w:ascii="仿宋" w:hAnsi="仿宋" w:eastAsia="仿宋" w:cs="仿宋"/>
          <w:b/>
          <w:color w:val="auto"/>
          <w:sz w:val="32"/>
          <w:szCs w:val="32"/>
        </w:rPr>
        <w:t>_月__</w:t>
      </w:r>
      <w:r>
        <w:rPr>
          <w:rFonts w:hint="eastAsia" w:ascii="仿宋" w:hAnsi="仿宋" w:eastAsia="仿宋" w:cs="仿宋"/>
          <w:b/>
          <w:color w:val="auto"/>
          <w:sz w:val="32"/>
          <w:szCs w:val="32"/>
          <w:u w:val="single"/>
        </w:rPr>
        <w:t xml:space="preserve">   </w:t>
      </w:r>
      <w:r>
        <w:rPr>
          <w:rFonts w:hint="eastAsia" w:ascii="仿宋" w:hAnsi="仿宋" w:eastAsia="仿宋" w:cs="仿宋"/>
          <w:b/>
          <w:color w:val="auto"/>
          <w:sz w:val="32"/>
          <w:szCs w:val="32"/>
        </w:rPr>
        <w:t>_日</w:t>
      </w:r>
      <w:bookmarkEnd w:id="365"/>
      <w:bookmarkStart w:id="366" w:name="_Toc22369"/>
      <w:bookmarkStart w:id="367" w:name="_Toc22112"/>
    </w:p>
    <w:p w14:paraId="52154387">
      <w:pPr>
        <w:pStyle w:val="24"/>
        <w:rPr>
          <w:rFonts w:hint="eastAsia" w:ascii="仿宋" w:hAnsi="仿宋" w:eastAsia="仿宋" w:cs="仿宋"/>
        </w:rPr>
      </w:pPr>
    </w:p>
    <w:p w14:paraId="2A817A1F">
      <w:pPr>
        <w:pStyle w:val="3"/>
        <w:numPr>
          <w:ilvl w:val="0"/>
          <w:numId w:val="0"/>
        </w:numPr>
        <w:shd w:val="clear" w:color="auto" w:fill="auto"/>
        <w:tabs>
          <w:tab w:val="left" w:pos="540"/>
        </w:tabs>
        <w:spacing w:before="0" w:line="240" w:lineRule="atLeast"/>
        <w:rPr>
          <w:rFonts w:hint="eastAsia" w:ascii="仿宋" w:hAnsi="仿宋" w:eastAsia="仿宋" w:cs="仿宋"/>
          <w:b/>
          <w:bCs/>
          <w:color w:val="auto"/>
          <w:sz w:val="36"/>
          <w:szCs w:val="36"/>
          <w:highlight w:val="none"/>
        </w:rPr>
        <w:sectPr>
          <w:pgSz w:w="11905" w:h="16838"/>
          <w:pgMar w:top="1440" w:right="1080" w:bottom="1440" w:left="1080" w:header="850" w:footer="992" w:gutter="0"/>
          <w:pgNumType w:fmt="decimal"/>
          <w:cols w:space="720" w:num="1"/>
          <w:docGrid w:type="linesAndChars" w:linePitch="325" w:charSpace="635"/>
        </w:sectPr>
      </w:pPr>
      <w:bookmarkStart w:id="368" w:name="_Toc30627"/>
    </w:p>
    <w:p w14:paraId="35806934">
      <w:pPr>
        <w:pStyle w:val="3"/>
        <w:numPr>
          <w:ilvl w:val="0"/>
          <w:numId w:val="0"/>
        </w:numPr>
        <w:shd w:val="clear" w:color="auto" w:fill="auto"/>
        <w:tabs>
          <w:tab w:val="left" w:pos="540"/>
        </w:tabs>
        <w:spacing w:before="0" w:line="240" w:lineRule="atLeast"/>
        <w:jc w:val="center"/>
        <w:rPr>
          <w:rFonts w:hint="eastAsia" w:ascii="仿宋" w:hAnsi="仿宋" w:eastAsia="仿宋" w:cs="仿宋"/>
          <w:color w:val="auto"/>
          <w:sz w:val="30"/>
          <w:szCs w:val="30"/>
          <w:highlight w:val="none"/>
          <w:lang w:val="en-US" w:eastAsia="zh-CN"/>
        </w:rPr>
      </w:pPr>
      <w:bookmarkStart w:id="369" w:name="_Toc11864"/>
      <w:r>
        <w:rPr>
          <w:rFonts w:hint="eastAsia" w:ascii="仿宋" w:hAnsi="仿宋" w:eastAsia="仿宋" w:cs="仿宋"/>
          <w:b/>
          <w:bCs/>
          <w:color w:val="auto"/>
          <w:sz w:val="36"/>
          <w:szCs w:val="36"/>
          <w:highlight w:val="none"/>
        </w:rPr>
        <w:t xml:space="preserve">第一部分 </w:t>
      </w:r>
      <w:r>
        <w:rPr>
          <w:rFonts w:hint="eastAsia" w:ascii="仿宋" w:hAnsi="仿宋" w:eastAsia="仿宋" w:cs="仿宋"/>
          <w:b/>
          <w:bCs/>
          <w:color w:val="auto"/>
          <w:sz w:val="36"/>
          <w:szCs w:val="36"/>
          <w:highlight w:val="none"/>
          <w:lang w:val="en-US" w:eastAsia="zh-CN"/>
        </w:rPr>
        <w:t>开标一览表及</w:t>
      </w:r>
      <w:r>
        <w:rPr>
          <w:rFonts w:hint="eastAsia" w:ascii="仿宋" w:hAnsi="仿宋" w:eastAsia="仿宋" w:cs="仿宋"/>
          <w:b/>
          <w:bCs/>
          <w:color w:val="auto"/>
          <w:sz w:val="36"/>
          <w:szCs w:val="36"/>
          <w:highlight w:val="none"/>
        </w:rPr>
        <w:t>资格证明文件</w:t>
      </w:r>
      <w:bookmarkEnd w:id="366"/>
      <w:bookmarkEnd w:id="367"/>
      <w:bookmarkEnd w:id="368"/>
      <w:bookmarkEnd w:id="369"/>
    </w:p>
    <w:p w14:paraId="1092AC10">
      <w:pPr>
        <w:shd w:val="clear" w:color="auto" w:fill="auto"/>
        <w:spacing w:line="240" w:lineRule="atLeast"/>
        <w:ind w:left="708" w:hanging="716" w:hangingChars="295"/>
        <w:jc w:val="center"/>
        <w:rPr>
          <w:rFonts w:hint="eastAsia" w:ascii="仿宋" w:hAnsi="仿宋" w:eastAsia="仿宋" w:cs="仿宋"/>
          <w:color w:val="auto"/>
          <w:sz w:val="24"/>
          <w:highlight w:val="none"/>
        </w:rPr>
      </w:pPr>
    </w:p>
    <w:p w14:paraId="57A232B8">
      <w:pPr>
        <w:spacing w:line="360" w:lineRule="auto"/>
        <w:ind w:firstLine="446" w:firstLineChars="200"/>
        <w:rPr>
          <w:rFonts w:hint="eastAsia" w:ascii="仿宋" w:hAnsi="仿宋" w:eastAsia="仿宋" w:cs="仿宋"/>
          <w:b/>
          <w:bCs/>
          <w:kern w:val="0"/>
          <w:sz w:val="22"/>
          <w:szCs w:val="22"/>
          <w:lang w:val="en-US" w:eastAsia="zh-CN"/>
        </w:rPr>
      </w:pPr>
      <w:r>
        <w:rPr>
          <w:rFonts w:hint="eastAsia" w:ascii="仿宋" w:hAnsi="仿宋" w:eastAsia="仿宋" w:cs="仿宋"/>
          <w:b/>
          <w:bCs/>
          <w:kern w:val="0"/>
          <w:sz w:val="22"/>
          <w:szCs w:val="22"/>
          <w:lang w:val="en-US" w:eastAsia="zh-CN"/>
        </w:rPr>
        <w:t>1、开标一览表;</w:t>
      </w:r>
    </w:p>
    <w:p w14:paraId="1ABE44CA">
      <w:pPr>
        <w:spacing w:line="360" w:lineRule="auto"/>
        <w:ind w:firstLine="446" w:firstLineChars="200"/>
        <w:rPr>
          <w:rFonts w:hint="eastAsia" w:ascii="仿宋" w:hAnsi="仿宋" w:eastAsia="仿宋" w:cs="仿宋"/>
          <w:b/>
          <w:bCs/>
          <w:kern w:val="0"/>
          <w:sz w:val="22"/>
          <w:szCs w:val="22"/>
          <w:lang w:val="en-US" w:eastAsia="zh-CN"/>
        </w:rPr>
      </w:pPr>
      <w:r>
        <w:rPr>
          <w:rFonts w:hint="eastAsia" w:ascii="仿宋" w:hAnsi="仿宋" w:eastAsia="仿宋" w:cs="仿宋"/>
          <w:b/>
          <w:bCs/>
          <w:kern w:val="0"/>
          <w:sz w:val="22"/>
          <w:szCs w:val="22"/>
          <w:lang w:val="en-US" w:eastAsia="zh-CN"/>
        </w:rPr>
        <w:t>2、具有合格有效的营业执照（三证合一）</w:t>
      </w:r>
      <w:r>
        <w:rPr>
          <w:rFonts w:hint="eastAsia" w:ascii="仿宋" w:hAnsi="仿宋" w:eastAsia="仿宋" w:cs="仿宋"/>
          <w:i w:val="0"/>
          <w:iCs w:val="0"/>
          <w:caps w:val="0"/>
          <w:color w:val="000000"/>
          <w:spacing w:val="0"/>
          <w:sz w:val="22"/>
          <w:szCs w:val="22"/>
          <w:lang w:eastAsia="zh-CN"/>
        </w:rPr>
        <w:t>【</w:t>
      </w:r>
      <w:r>
        <w:rPr>
          <w:rFonts w:hint="eastAsia" w:ascii="仿宋" w:hAnsi="仿宋" w:eastAsia="仿宋" w:cs="仿宋"/>
          <w:b/>
          <w:bCs/>
          <w:kern w:val="0"/>
          <w:sz w:val="22"/>
          <w:szCs w:val="22"/>
          <w:lang w:val="en-US" w:eastAsia="zh-CN"/>
        </w:rPr>
        <w:t>法人或者非法人组织的营业执照等证明文件复印件（须加盖本单位公章）或自然人的身份证明复印件</w:t>
      </w:r>
      <w:r>
        <w:rPr>
          <w:rFonts w:hint="eastAsia" w:ascii="仿宋" w:hAnsi="仿宋" w:eastAsia="仿宋" w:cs="仿宋"/>
          <w:i w:val="0"/>
          <w:iCs w:val="0"/>
          <w:caps w:val="0"/>
          <w:color w:val="000000"/>
          <w:spacing w:val="0"/>
          <w:sz w:val="22"/>
          <w:szCs w:val="22"/>
          <w:lang w:eastAsia="zh-CN"/>
        </w:rPr>
        <w:t>】</w:t>
      </w:r>
      <w:r>
        <w:rPr>
          <w:rFonts w:hint="eastAsia" w:ascii="仿宋" w:hAnsi="仿宋" w:eastAsia="仿宋" w:cs="仿宋"/>
          <w:b/>
          <w:bCs/>
          <w:kern w:val="0"/>
          <w:sz w:val="22"/>
          <w:szCs w:val="22"/>
          <w:lang w:val="en-US" w:eastAsia="zh-CN"/>
        </w:rPr>
        <w:t>;</w:t>
      </w:r>
    </w:p>
    <w:p w14:paraId="2AAD774A">
      <w:pPr>
        <w:spacing w:line="360" w:lineRule="auto"/>
        <w:ind w:firstLine="446" w:firstLineChars="200"/>
        <w:rPr>
          <w:rFonts w:hint="eastAsia" w:ascii="仿宋" w:hAnsi="仿宋" w:eastAsia="仿宋" w:cs="仿宋"/>
          <w:b/>
          <w:bCs/>
          <w:kern w:val="0"/>
          <w:sz w:val="22"/>
          <w:szCs w:val="22"/>
          <w:lang w:val="en-US" w:eastAsia="zh-CN"/>
        </w:rPr>
      </w:pPr>
      <w:r>
        <w:rPr>
          <w:rFonts w:hint="eastAsia" w:ascii="仿宋" w:hAnsi="仿宋" w:eastAsia="仿宋" w:cs="仿宋"/>
          <w:b/>
          <w:bCs/>
          <w:kern w:val="0"/>
          <w:sz w:val="22"/>
          <w:szCs w:val="22"/>
          <w:lang w:val="en-US" w:eastAsia="zh-CN"/>
        </w:rPr>
        <w:t>3、法定代表人资格证明书（自然人投标的无需提供）;</w:t>
      </w:r>
    </w:p>
    <w:p w14:paraId="2A448C1A">
      <w:pPr>
        <w:spacing w:line="360" w:lineRule="auto"/>
        <w:ind w:firstLine="892" w:firstLineChars="400"/>
        <w:rPr>
          <w:rFonts w:hint="eastAsia" w:ascii="仿宋" w:hAnsi="仿宋" w:eastAsia="仿宋" w:cs="仿宋"/>
          <w:b/>
          <w:bCs/>
          <w:kern w:val="0"/>
          <w:sz w:val="22"/>
          <w:szCs w:val="22"/>
          <w:lang w:val="en-US" w:eastAsia="zh-CN"/>
        </w:rPr>
      </w:pPr>
      <w:r>
        <w:rPr>
          <w:rFonts w:hint="eastAsia" w:ascii="仿宋" w:hAnsi="仿宋" w:eastAsia="仿宋" w:cs="仿宋"/>
          <w:b/>
          <w:bCs/>
          <w:kern w:val="0"/>
          <w:sz w:val="22"/>
          <w:szCs w:val="22"/>
          <w:lang w:val="en-US" w:eastAsia="zh-CN"/>
        </w:rPr>
        <w:t>法定代表人授权书（自然人投标的无需提供）;</w:t>
      </w:r>
    </w:p>
    <w:p w14:paraId="71035B4B">
      <w:pPr>
        <w:spacing w:line="360" w:lineRule="auto"/>
        <w:ind w:firstLine="446" w:firstLineChars="200"/>
        <w:rPr>
          <w:rFonts w:hint="eastAsia" w:ascii="仿宋" w:hAnsi="仿宋" w:eastAsia="仿宋" w:cs="仿宋"/>
          <w:b/>
          <w:bCs/>
          <w:kern w:val="0"/>
          <w:sz w:val="22"/>
          <w:szCs w:val="22"/>
          <w:lang w:val="en-US" w:eastAsia="zh-CN"/>
        </w:rPr>
      </w:pPr>
      <w:r>
        <w:rPr>
          <w:rFonts w:hint="eastAsia" w:ascii="仿宋" w:hAnsi="仿宋" w:eastAsia="仿宋" w:cs="仿宋"/>
          <w:b/>
          <w:bCs/>
          <w:kern w:val="0"/>
          <w:sz w:val="22"/>
          <w:szCs w:val="22"/>
          <w:lang w:val="en-US" w:eastAsia="zh-CN"/>
        </w:rPr>
        <w:t>4、投标企业须提供投标人（被授权在职人员）近6个月任意一个月有效的社保证明和完税证明；</w:t>
      </w:r>
    </w:p>
    <w:p w14:paraId="6FF18C7D">
      <w:pPr>
        <w:spacing w:line="360" w:lineRule="auto"/>
        <w:ind w:firstLine="446" w:firstLineChars="200"/>
        <w:rPr>
          <w:rFonts w:hint="default" w:ascii="仿宋" w:hAnsi="仿宋" w:eastAsia="仿宋" w:cs="仿宋"/>
          <w:b/>
          <w:bCs/>
          <w:kern w:val="0"/>
          <w:sz w:val="22"/>
          <w:szCs w:val="22"/>
          <w:lang w:val="en-US" w:eastAsia="zh-CN"/>
        </w:rPr>
      </w:pPr>
      <w:r>
        <w:rPr>
          <w:rFonts w:hint="eastAsia" w:ascii="仿宋" w:hAnsi="仿宋" w:eastAsia="仿宋" w:cs="仿宋"/>
          <w:b/>
          <w:bCs/>
          <w:kern w:val="0"/>
          <w:sz w:val="22"/>
          <w:szCs w:val="22"/>
          <w:lang w:val="en-US" w:eastAsia="zh-CN"/>
        </w:rPr>
        <w:t>5、投标保证金汇款凭证或保函；（本项目不做要求）</w:t>
      </w:r>
    </w:p>
    <w:p w14:paraId="2A7F10CD">
      <w:pPr>
        <w:spacing w:line="360" w:lineRule="auto"/>
        <w:ind w:firstLine="446" w:firstLineChars="200"/>
        <w:rPr>
          <w:rFonts w:hint="eastAsia" w:ascii="仿宋" w:hAnsi="仿宋" w:eastAsia="仿宋" w:cs="仿宋"/>
          <w:b/>
          <w:bCs/>
          <w:kern w:val="0"/>
          <w:sz w:val="22"/>
          <w:szCs w:val="22"/>
          <w:lang w:val="en-US" w:eastAsia="zh-CN"/>
        </w:rPr>
      </w:pPr>
      <w:r>
        <w:rPr>
          <w:rFonts w:hint="eastAsia" w:ascii="仿宋" w:hAnsi="仿宋" w:eastAsia="仿宋" w:cs="仿宋"/>
          <w:b/>
          <w:bCs/>
          <w:kern w:val="0"/>
          <w:sz w:val="22"/>
          <w:szCs w:val="22"/>
          <w:lang w:val="en-US" w:eastAsia="zh-CN"/>
        </w:rPr>
        <w:t>6、参加采购活动前三年内，投标人在“信用中国”（www.creditchina.gov.cn）和“中国政府采购网”（www.ccgp.gov.cn）网站上未被列入失信被执行人、重大税收违法案件当事人名单以及政府采购严重违法失信行为记录名单（投标文件中的查询截图不做强制性要求，最终以代理机构开标现场在政采云系统中查询结果为准）;</w:t>
      </w:r>
    </w:p>
    <w:p w14:paraId="7705F037">
      <w:pPr>
        <w:spacing w:line="360" w:lineRule="auto"/>
        <w:ind w:firstLine="446" w:firstLineChars="200"/>
        <w:rPr>
          <w:rFonts w:hint="eastAsia" w:ascii="仿宋" w:hAnsi="仿宋" w:eastAsia="仿宋" w:cs="仿宋"/>
          <w:b/>
          <w:bCs/>
          <w:kern w:val="0"/>
          <w:sz w:val="22"/>
          <w:szCs w:val="22"/>
          <w:lang w:val="en-US" w:eastAsia="zh-CN"/>
        </w:rPr>
      </w:pPr>
      <w:r>
        <w:rPr>
          <w:rFonts w:hint="eastAsia" w:ascii="仿宋" w:hAnsi="仿宋" w:eastAsia="仿宋" w:cs="仿宋"/>
          <w:b/>
          <w:bCs/>
          <w:kern w:val="0"/>
          <w:sz w:val="22"/>
          <w:szCs w:val="22"/>
          <w:lang w:val="en-US" w:eastAsia="zh-CN"/>
        </w:rPr>
        <w:t>7、反商业贿赂承诺书（格式自拟）；</w:t>
      </w:r>
    </w:p>
    <w:p w14:paraId="183AEBC0">
      <w:pPr>
        <w:spacing w:line="360" w:lineRule="auto"/>
        <w:ind w:firstLine="446" w:firstLineChars="200"/>
        <w:rPr>
          <w:rFonts w:hint="eastAsia" w:ascii="仿宋" w:hAnsi="仿宋" w:eastAsia="仿宋" w:cs="仿宋"/>
          <w:sz w:val="22"/>
          <w:szCs w:val="22"/>
          <w:highlight w:val="none"/>
          <w:lang w:eastAsia="zh-CN"/>
        </w:rPr>
      </w:pPr>
      <w:r>
        <w:rPr>
          <w:rFonts w:hint="eastAsia" w:ascii="仿宋" w:hAnsi="仿宋" w:eastAsia="仿宋" w:cs="仿宋"/>
          <w:b/>
          <w:bCs/>
          <w:kern w:val="0"/>
          <w:sz w:val="22"/>
          <w:szCs w:val="22"/>
          <w:lang w:val="en-US" w:eastAsia="zh-CN"/>
        </w:rPr>
        <w:t>8、具有良好的商业信誉和健全的财务会计制度：提供近三年任意一年的审计报告扫描件(成立不足一年提供成立至今财务报表，至少包含资产负债表）或提供其基本开户银行在投标截止日前、六个月内出具的资信证明扫描件（银行出具的存款证明不能替代银行资信证明）；</w:t>
      </w:r>
    </w:p>
    <w:p w14:paraId="4A5ADB8F">
      <w:pPr>
        <w:pStyle w:val="8"/>
        <w:numPr>
          <w:ilvl w:val="0"/>
          <w:numId w:val="0"/>
        </w:numPr>
        <w:kinsoku w:val="0"/>
        <w:overflowPunct w:val="0"/>
        <w:spacing w:before="34" w:line="360" w:lineRule="auto"/>
        <w:ind w:right="126" w:firstLine="446" w:firstLineChars="200"/>
        <w:jc w:val="both"/>
        <w:outlineLvl w:val="9"/>
        <w:rPr>
          <w:rFonts w:hint="eastAsia" w:ascii="仿宋" w:hAnsi="仿宋" w:eastAsia="仿宋" w:cs="仿宋"/>
          <w:b/>
          <w:bCs/>
          <w:color w:val="auto"/>
          <w:sz w:val="36"/>
          <w:szCs w:val="36"/>
          <w:lang w:val="en-US" w:eastAsia="zh-CN"/>
        </w:rPr>
      </w:pPr>
      <w:r>
        <w:rPr>
          <w:rFonts w:hint="eastAsia" w:ascii="仿宋" w:hAnsi="仿宋" w:eastAsia="仿宋" w:cs="仿宋"/>
          <w:b/>
          <w:bCs/>
          <w:kern w:val="0"/>
          <w:sz w:val="22"/>
          <w:szCs w:val="22"/>
          <w:lang w:val="en-US" w:eastAsia="zh-CN" w:bidi="ar-SA"/>
        </w:rPr>
        <w:t>9、投标人须知资料表要求的其他资格证明文件；</w:t>
      </w:r>
      <w:r>
        <w:rPr>
          <w:rFonts w:hint="eastAsia" w:ascii="仿宋" w:hAnsi="仿宋" w:eastAsia="仿宋" w:cs="仿宋"/>
          <w:color w:val="auto"/>
          <w:highlight w:val="none"/>
        </w:rPr>
        <w:br w:type="page"/>
      </w:r>
      <w:bookmarkStart w:id="370" w:name="_Toc515647805"/>
      <w:bookmarkStart w:id="371" w:name="_Toc4844"/>
      <w:bookmarkStart w:id="372" w:name="_Toc17577"/>
      <w:bookmarkStart w:id="373" w:name="_Toc29899"/>
    </w:p>
    <w:p w14:paraId="5D95C560">
      <w:pPr>
        <w:pStyle w:val="5"/>
        <w:shd w:val="clear" w:color="auto" w:fill="auto"/>
        <w:tabs>
          <w:tab w:val="left" w:pos="5580"/>
        </w:tabs>
        <w:spacing w:line="240" w:lineRule="atLeast"/>
        <w:ind w:left="0" w:leftChars="0" w:firstLine="0" w:firstLineChars="0"/>
        <w:jc w:val="center"/>
        <w:outlineLvl w:val="9"/>
        <w:rPr>
          <w:rFonts w:hint="eastAsia" w:ascii="仿宋" w:hAnsi="仿宋" w:eastAsia="仿宋" w:cs="仿宋"/>
          <w:b/>
          <w:bCs/>
          <w:color w:val="auto"/>
          <w:kern w:val="2"/>
          <w:sz w:val="36"/>
          <w:szCs w:val="36"/>
          <w:lang w:val="en-US" w:eastAsia="zh-CN" w:bidi="ar-SA"/>
        </w:rPr>
        <w:sectPr>
          <w:pgSz w:w="11905" w:h="16838"/>
          <w:pgMar w:top="1440" w:right="1080" w:bottom="1440" w:left="1080" w:header="850" w:footer="992" w:gutter="0"/>
          <w:pgNumType w:fmt="decimal"/>
          <w:cols w:space="720" w:num="1"/>
          <w:docGrid w:type="linesAndChars" w:linePitch="325" w:charSpace="635"/>
        </w:sectPr>
      </w:pPr>
    </w:p>
    <w:p w14:paraId="1FC22CBC">
      <w:pPr>
        <w:pStyle w:val="5"/>
        <w:shd w:val="clear" w:color="auto" w:fill="auto"/>
        <w:tabs>
          <w:tab w:val="left" w:pos="5580"/>
        </w:tabs>
        <w:spacing w:line="240" w:lineRule="atLeast"/>
        <w:ind w:left="0" w:leftChars="0" w:firstLine="0" w:firstLineChars="0"/>
        <w:jc w:val="center"/>
        <w:outlineLvl w:val="2"/>
        <w:rPr>
          <w:rFonts w:hint="eastAsia" w:ascii="仿宋" w:hAnsi="仿宋" w:eastAsia="仿宋" w:cs="仿宋"/>
          <w:b/>
          <w:bCs/>
          <w:color w:val="auto"/>
          <w:kern w:val="2"/>
          <w:sz w:val="36"/>
          <w:szCs w:val="36"/>
          <w:lang w:val="en-US" w:eastAsia="zh-CN" w:bidi="ar-SA"/>
        </w:rPr>
      </w:pPr>
      <w:bookmarkStart w:id="374" w:name="_Toc600"/>
      <w:r>
        <w:rPr>
          <w:rFonts w:hint="eastAsia" w:ascii="仿宋" w:hAnsi="仿宋" w:eastAsia="仿宋" w:cs="仿宋"/>
          <w:b/>
          <w:bCs/>
          <w:color w:val="auto"/>
          <w:kern w:val="2"/>
          <w:sz w:val="36"/>
          <w:szCs w:val="36"/>
          <w:lang w:val="en-US" w:eastAsia="zh-CN" w:bidi="ar-SA"/>
        </w:rPr>
        <w:t>1、开标一览表</w:t>
      </w:r>
      <w:bookmarkEnd w:id="374"/>
    </w:p>
    <w:p w14:paraId="309714D0">
      <w:pPr>
        <w:pStyle w:val="5"/>
        <w:shd w:val="clear" w:color="auto" w:fill="auto"/>
        <w:tabs>
          <w:tab w:val="left" w:pos="5580"/>
        </w:tabs>
        <w:spacing w:line="240" w:lineRule="auto"/>
        <w:ind w:left="0" w:leftChars="0" w:firstLine="0" w:firstLineChars="0"/>
        <w:jc w:val="both"/>
        <w:outlineLvl w:val="9"/>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招标项目名称： </w:t>
      </w:r>
      <w:r>
        <w:rPr>
          <w:rFonts w:hint="eastAsia" w:ascii="仿宋" w:hAnsi="仿宋" w:eastAsia="仿宋" w:cs="仿宋"/>
          <w:color w:val="auto"/>
          <w:szCs w:val="21"/>
          <w:highlight w:val="none"/>
          <w:u w:val="single"/>
        </w:rPr>
        <w:t xml:space="preserve">                      </w:t>
      </w:r>
    </w:p>
    <w:p w14:paraId="62244CC9">
      <w:pPr>
        <w:shd w:val="clear" w:color="auto" w:fill="auto"/>
        <w:adjustRightInd w:val="0"/>
        <w:snapToGrid w:val="0"/>
        <w:spacing w:line="500" w:lineRule="exact"/>
        <w:rPr>
          <w:rFonts w:hint="eastAsia" w:ascii="仿宋" w:hAnsi="仿宋" w:eastAsia="仿宋" w:cs="仿宋"/>
          <w:i/>
          <w:iCs/>
          <w:color w:val="auto"/>
          <w:szCs w:val="21"/>
          <w:highlight w:val="none"/>
        </w:rPr>
      </w:pPr>
      <w:r>
        <w:rPr>
          <w:rFonts w:hint="eastAsia" w:ascii="仿宋" w:hAnsi="仿宋" w:eastAsia="仿宋" w:cs="仿宋"/>
          <w:color w:val="auto"/>
          <w:kern w:val="0"/>
          <w:sz w:val="24"/>
          <w:szCs w:val="21"/>
          <w:highlight w:val="none"/>
          <w:lang w:val="en-US" w:eastAsia="zh-CN" w:bidi="ar-SA"/>
        </w:rPr>
        <w:t xml:space="preserve">招标项目编号：  </w:t>
      </w:r>
      <w:r>
        <w:rPr>
          <w:rFonts w:hint="eastAsia" w:ascii="仿宋" w:hAnsi="仿宋" w:eastAsia="仿宋" w:cs="仿宋"/>
          <w:color w:val="auto"/>
          <w:szCs w:val="21"/>
          <w:highlight w:val="none"/>
          <w:u w:val="single"/>
        </w:rPr>
        <w:t xml:space="preserve">                        </w:t>
      </w:r>
    </w:p>
    <w:p w14:paraId="72683A5A">
      <w:pPr>
        <w:shd w:val="clear" w:color="auto" w:fill="auto"/>
        <w:spacing w:line="5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单位：元（人民币）</w:t>
      </w:r>
    </w:p>
    <w:tbl>
      <w:tblPr>
        <w:tblStyle w:val="25"/>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14:paraId="7188D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noWrap w:val="0"/>
            <w:vAlign w:val="center"/>
          </w:tcPr>
          <w:p w14:paraId="60C3A11E">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投标项目名称</w:t>
            </w:r>
          </w:p>
        </w:tc>
        <w:tc>
          <w:tcPr>
            <w:tcW w:w="6185" w:type="dxa"/>
            <w:noWrap w:val="0"/>
            <w:vAlign w:val="center"/>
          </w:tcPr>
          <w:p w14:paraId="0C29A871">
            <w:pPr>
              <w:shd w:val="clear" w:color="auto" w:fill="auto"/>
              <w:rPr>
                <w:rFonts w:hint="eastAsia" w:ascii="仿宋" w:hAnsi="仿宋" w:eastAsia="仿宋" w:cs="仿宋"/>
                <w:color w:val="auto"/>
                <w:szCs w:val="21"/>
                <w:highlight w:val="none"/>
              </w:rPr>
            </w:pPr>
          </w:p>
        </w:tc>
      </w:tr>
      <w:tr w14:paraId="2DCDC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14:paraId="63B9A0DA">
            <w:pPr>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服务限</w:t>
            </w:r>
            <w:r>
              <w:rPr>
                <w:rFonts w:hint="eastAsia" w:ascii="仿宋" w:hAnsi="仿宋" w:eastAsia="仿宋" w:cs="仿宋"/>
                <w:color w:val="auto"/>
                <w:szCs w:val="21"/>
                <w:highlight w:val="none"/>
              </w:rPr>
              <w:t>期</w:t>
            </w:r>
          </w:p>
        </w:tc>
        <w:tc>
          <w:tcPr>
            <w:tcW w:w="6185" w:type="dxa"/>
            <w:noWrap w:val="0"/>
            <w:vAlign w:val="center"/>
          </w:tcPr>
          <w:p w14:paraId="3D44346E">
            <w:pPr>
              <w:shd w:val="clear" w:color="auto" w:fill="auto"/>
              <w:jc w:val="center"/>
              <w:rPr>
                <w:rFonts w:hint="eastAsia" w:ascii="仿宋" w:hAnsi="仿宋" w:eastAsia="仿宋" w:cs="仿宋"/>
                <w:color w:val="auto"/>
                <w:szCs w:val="21"/>
                <w:highlight w:val="none"/>
              </w:rPr>
            </w:pPr>
          </w:p>
        </w:tc>
      </w:tr>
      <w:tr w14:paraId="42F5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noWrap w:val="0"/>
            <w:vAlign w:val="center"/>
          </w:tcPr>
          <w:p w14:paraId="5EFDE6C7">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投标有效期</w:t>
            </w:r>
          </w:p>
        </w:tc>
        <w:tc>
          <w:tcPr>
            <w:tcW w:w="6185" w:type="dxa"/>
            <w:noWrap w:val="0"/>
            <w:vAlign w:val="center"/>
          </w:tcPr>
          <w:p w14:paraId="3E7CCDF1">
            <w:pPr>
              <w:shd w:val="clear" w:color="auto" w:fill="auto"/>
              <w:jc w:val="center"/>
              <w:rPr>
                <w:rFonts w:hint="eastAsia" w:ascii="仿宋" w:hAnsi="仿宋" w:eastAsia="仿宋" w:cs="仿宋"/>
                <w:color w:val="auto"/>
                <w:szCs w:val="21"/>
                <w:highlight w:val="none"/>
                <w:lang w:val="en-US" w:eastAsia="zh-CN"/>
              </w:rPr>
            </w:pPr>
          </w:p>
        </w:tc>
      </w:tr>
      <w:tr w14:paraId="1837E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noWrap w:val="0"/>
            <w:vAlign w:val="center"/>
          </w:tcPr>
          <w:p w14:paraId="68238524">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投标报价</w:t>
            </w:r>
          </w:p>
          <w:p w14:paraId="3E797672">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（人民币）</w:t>
            </w:r>
          </w:p>
        </w:tc>
        <w:tc>
          <w:tcPr>
            <w:tcW w:w="974" w:type="dxa"/>
            <w:tcBorders>
              <w:top w:val="single" w:color="auto" w:sz="4" w:space="0"/>
              <w:bottom w:val="single" w:color="auto" w:sz="4" w:space="0"/>
            </w:tcBorders>
            <w:noWrap w:val="0"/>
            <w:vAlign w:val="center"/>
          </w:tcPr>
          <w:p w14:paraId="58F2D2E4">
            <w:pPr>
              <w:widowControl/>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小写</w:t>
            </w:r>
          </w:p>
        </w:tc>
        <w:tc>
          <w:tcPr>
            <w:tcW w:w="6185" w:type="dxa"/>
            <w:noWrap w:val="0"/>
            <w:vAlign w:val="center"/>
          </w:tcPr>
          <w:p w14:paraId="79C12356">
            <w:pPr>
              <w:shd w:val="clear" w:color="auto" w:fill="auto"/>
              <w:jc w:val="center"/>
              <w:rPr>
                <w:rFonts w:hint="eastAsia" w:ascii="仿宋" w:hAnsi="仿宋" w:eastAsia="仿宋" w:cs="仿宋"/>
                <w:color w:val="auto"/>
                <w:szCs w:val="21"/>
                <w:highlight w:val="none"/>
              </w:rPr>
            </w:pPr>
          </w:p>
        </w:tc>
      </w:tr>
      <w:tr w14:paraId="3C285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noWrap w:val="0"/>
            <w:vAlign w:val="center"/>
          </w:tcPr>
          <w:p w14:paraId="5034A1D8">
            <w:pPr>
              <w:shd w:val="clear" w:color="auto" w:fill="auto"/>
              <w:jc w:val="center"/>
              <w:rPr>
                <w:rFonts w:hint="eastAsia" w:ascii="仿宋" w:hAnsi="仿宋" w:eastAsia="仿宋" w:cs="仿宋"/>
                <w:color w:val="auto"/>
                <w:szCs w:val="21"/>
                <w:highlight w:val="none"/>
              </w:rPr>
            </w:pPr>
          </w:p>
        </w:tc>
        <w:tc>
          <w:tcPr>
            <w:tcW w:w="974" w:type="dxa"/>
            <w:tcBorders>
              <w:top w:val="single" w:color="auto" w:sz="4" w:space="0"/>
              <w:bottom w:val="single" w:color="auto" w:sz="4" w:space="0"/>
            </w:tcBorders>
            <w:noWrap w:val="0"/>
            <w:vAlign w:val="center"/>
          </w:tcPr>
          <w:p w14:paraId="776ED239">
            <w:pPr>
              <w:widowControl/>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大写</w:t>
            </w:r>
          </w:p>
        </w:tc>
        <w:tc>
          <w:tcPr>
            <w:tcW w:w="6185" w:type="dxa"/>
            <w:noWrap w:val="0"/>
            <w:vAlign w:val="center"/>
          </w:tcPr>
          <w:p w14:paraId="0A8921C2">
            <w:pPr>
              <w:shd w:val="clear" w:color="auto" w:fill="auto"/>
              <w:jc w:val="center"/>
              <w:rPr>
                <w:rFonts w:hint="eastAsia" w:ascii="仿宋" w:hAnsi="仿宋" w:eastAsia="仿宋" w:cs="仿宋"/>
                <w:color w:val="auto"/>
                <w:szCs w:val="21"/>
                <w:highlight w:val="none"/>
              </w:rPr>
            </w:pPr>
          </w:p>
        </w:tc>
      </w:tr>
    </w:tbl>
    <w:p w14:paraId="0ACE300F">
      <w:pPr>
        <w:shd w:val="clear" w:color="auto" w:fill="auto"/>
        <w:spacing w:line="500" w:lineRule="exact"/>
        <w:ind w:firstLine="416"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填写说明：</w:t>
      </w:r>
    </w:p>
    <w:p w14:paraId="495FA7D9">
      <w:pPr>
        <w:shd w:val="clear" w:color="auto" w:fill="auto"/>
        <w:spacing w:line="500" w:lineRule="exact"/>
        <w:ind w:firstLine="42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.开标时，本表中的内容与投标文件中的投标函、</w:t>
      </w:r>
      <w:r>
        <w:rPr>
          <w:rFonts w:hint="eastAsia" w:ascii="仿宋" w:hAnsi="仿宋" w:eastAsia="仿宋" w:cs="仿宋"/>
          <w:color w:val="auto"/>
          <w:szCs w:val="21"/>
          <w:highlight w:val="none"/>
          <w:lang w:val="en-US" w:eastAsia="zh-CN"/>
        </w:rPr>
        <w:t>开标一览表</w:t>
      </w:r>
      <w:r>
        <w:rPr>
          <w:rFonts w:hint="eastAsia" w:ascii="仿宋" w:hAnsi="仿宋" w:eastAsia="仿宋" w:cs="仿宋"/>
          <w:color w:val="auto"/>
          <w:szCs w:val="21"/>
          <w:highlight w:val="none"/>
        </w:rPr>
        <w:t>及服务报价表的内容不一致的，以本表为准；大写金额与小写金额不一致的，以大写金额为准；总价金额与按单价汇总金额不一致的，以单价金额计算结果为准；单价金额小数点有明显错位的，应以总价为准，并修改单价。</w:t>
      </w:r>
    </w:p>
    <w:p w14:paraId="3F6D19EC">
      <w:pPr>
        <w:shd w:val="clear" w:color="auto" w:fill="auto"/>
        <w:spacing w:line="500" w:lineRule="exact"/>
        <w:ind w:firstLine="42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.投标总价为招标范围所列全部招标项目的报价总和，并应与服务报价表保持一致。</w:t>
      </w:r>
    </w:p>
    <w:p w14:paraId="7852D2A0">
      <w:pPr>
        <w:shd w:val="clear" w:color="auto" w:fill="auto"/>
        <w:spacing w:line="500" w:lineRule="exact"/>
        <w:ind w:firstLine="42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.必须在投标文件中装订。</w:t>
      </w:r>
    </w:p>
    <w:p w14:paraId="670D5062">
      <w:pPr>
        <w:shd w:val="clear" w:color="auto" w:fill="auto"/>
        <w:spacing w:line="500" w:lineRule="exact"/>
        <w:ind w:firstLine="42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.投标报价不得填报选择性报价。</w:t>
      </w:r>
    </w:p>
    <w:p w14:paraId="5BCD65A7">
      <w:pPr>
        <w:shd w:val="clear" w:color="auto" w:fill="auto"/>
        <w:spacing w:line="500" w:lineRule="exact"/>
        <w:ind w:firstLine="42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投标人名称：</w:t>
      </w:r>
      <w:r>
        <w:rPr>
          <w:rFonts w:hint="eastAsia" w:ascii="仿宋" w:hAnsi="仿宋" w:eastAsia="仿宋" w:cs="仿宋"/>
          <w:color w:val="auto"/>
          <w:szCs w:val="21"/>
          <w:highlight w:val="none"/>
          <w:u w:val="single"/>
        </w:rPr>
        <w:t xml:space="preserve">    （加盖公章）     </w:t>
      </w:r>
      <w:r>
        <w:rPr>
          <w:rFonts w:hint="eastAsia" w:ascii="仿宋" w:hAnsi="仿宋" w:eastAsia="仿宋" w:cs="仿宋"/>
          <w:color w:val="auto"/>
          <w:szCs w:val="21"/>
          <w:highlight w:val="none"/>
        </w:rPr>
        <w:t xml:space="preserve">       </w:t>
      </w:r>
    </w:p>
    <w:p w14:paraId="54FCAFB2">
      <w:pPr>
        <w:shd w:val="clear" w:color="auto" w:fill="auto"/>
        <w:spacing w:line="500" w:lineRule="exact"/>
        <w:ind w:firstLine="42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法定代表人签字或盖章：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0351AC07">
      <w:pPr>
        <w:shd w:val="clear" w:color="auto" w:fill="auto"/>
        <w:spacing w:line="500" w:lineRule="exact"/>
        <w:ind w:firstLine="42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授权代表签字或盖章：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4A948BA4">
      <w:pPr>
        <w:shd w:val="clear" w:color="auto" w:fill="auto"/>
        <w:spacing w:line="500" w:lineRule="exact"/>
        <w:ind w:firstLine="42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签署日期：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月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3F3661C4">
      <w:pPr>
        <w:pStyle w:val="8"/>
        <w:keepNext w:val="0"/>
        <w:keepLines w:val="0"/>
        <w:pageBreakBefore w:val="0"/>
        <w:widowControl w:val="0"/>
        <w:numPr>
          <w:ilvl w:val="0"/>
          <w:numId w:val="0"/>
        </w:numPr>
        <w:shd w:val="clear" w:color="auto" w:fill="auto"/>
        <w:tabs>
          <w:tab w:val="left" w:pos="1859"/>
          <w:tab w:val="center" w:pos="4574"/>
        </w:tabs>
        <w:kinsoku w:val="0"/>
        <w:wordWrap/>
        <w:overflowPunct w:val="0"/>
        <w:topLinePunct w:val="0"/>
        <w:autoSpaceDE/>
        <w:autoSpaceDN/>
        <w:bidi w:val="0"/>
        <w:adjustRightInd/>
        <w:snapToGrid/>
        <w:spacing w:before="34" w:line="440" w:lineRule="exact"/>
        <w:ind w:left="-3" w:leftChars="0" w:right="125" w:rightChars="0" w:firstLine="3" w:firstLineChars="0"/>
        <w:jc w:val="left"/>
        <w:textAlignment w:val="auto"/>
        <w:rPr>
          <w:rFonts w:hint="eastAsia" w:ascii="仿宋" w:hAnsi="仿宋" w:eastAsia="仿宋" w:cs="仿宋"/>
          <w:b/>
          <w:bCs/>
          <w:color w:val="auto"/>
          <w:sz w:val="36"/>
          <w:szCs w:val="36"/>
          <w:lang w:val="en-US" w:eastAsia="zh-CN"/>
        </w:rPr>
      </w:pPr>
    </w:p>
    <w:p w14:paraId="7AC5C960">
      <w:pPr>
        <w:pStyle w:val="8"/>
        <w:keepNext w:val="0"/>
        <w:keepLines w:val="0"/>
        <w:pageBreakBefore w:val="0"/>
        <w:widowControl w:val="0"/>
        <w:numPr>
          <w:ilvl w:val="0"/>
          <w:numId w:val="0"/>
        </w:numPr>
        <w:shd w:val="clear" w:color="auto" w:fill="auto"/>
        <w:tabs>
          <w:tab w:val="left" w:pos="1859"/>
          <w:tab w:val="center" w:pos="4574"/>
        </w:tabs>
        <w:kinsoku w:val="0"/>
        <w:wordWrap/>
        <w:overflowPunct w:val="0"/>
        <w:topLinePunct w:val="0"/>
        <w:autoSpaceDE/>
        <w:autoSpaceDN/>
        <w:bidi w:val="0"/>
        <w:adjustRightInd/>
        <w:snapToGrid/>
        <w:spacing w:before="34" w:line="440" w:lineRule="exact"/>
        <w:ind w:right="125" w:rightChars="0"/>
        <w:jc w:val="center"/>
        <w:textAlignment w:val="auto"/>
        <w:outlineLvl w:val="2"/>
        <w:rPr>
          <w:rFonts w:hint="eastAsia" w:ascii="仿宋" w:hAnsi="仿宋" w:eastAsia="仿宋" w:cs="仿宋"/>
          <w:b/>
          <w:bCs/>
          <w:color w:val="auto"/>
          <w:sz w:val="36"/>
          <w:szCs w:val="36"/>
          <w:lang w:val="en-US" w:eastAsia="zh-CN"/>
        </w:rPr>
        <w:sectPr>
          <w:pgSz w:w="11905" w:h="16838"/>
          <w:pgMar w:top="1440" w:right="1080" w:bottom="1440" w:left="1080" w:header="850" w:footer="992" w:gutter="0"/>
          <w:pgNumType w:fmt="decimal"/>
          <w:cols w:space="720" w:num="1"/>
          <w:docGrid w:type="linesAndChars" w:linePitch="325" w:charSpace="635"/>
        </w:sectPr>
      </w:pPr>
    </w:p>
    <w:p w14:paraId="2E50A62C">
      <w:pPr>
        <w:pStyle w:val="8"/>
        <w:keepNext w:val="0"/>
        <w:keepLines w:val="0"/>
        <w:pageBreakBefore w:val="0"/>
        <w:widowControl w:val="0"/>
        <w:numPr>
          <w:ilvl w:val="0"/>
          <w:numId w:val="0"/>
        </w:numPr>
        <w:shd w:val="clear" w:color="auto" w:fill="auto"/>
        <w:tabs>
          <w:tab w:val="left" w:pos="2416"/>
          <w:tab w:val="center" w:pos="4575"/>
        </w:tabs>
        <w:kinsoku w:val="0"/>
        <w:overflowPunct w:val="0"/>
        <w:topLinePunct w:val="0"/>
        <w:autoSpaceDE/>
        <w:autoSpaceDN/>
        <w:bidi w:val="0"/>
        <w:adjustRightInd/>
        <w:snapToGrid/>
        <w:spacing w:before="34" w:line="440" w:lineRule="exact"/>
        <w:ind w:right="126" w:rightChars="0"/>
        <w:jc w:val="left"/>
        <w:textAlignment w:val="auto"/>
        <w:outlineLvl w:val="2"/>
        <w:rPr>
          <w:rFonts w:hint="eastAsia" w:ascii="仿宋" w:hAnsi="仿宋" w:eastAsia="仿宋" w:cs="仿宋"/>
          <w:b/>
          <w:bCs/>
          <w:color w:val="auto"/>
          <w:sz w:val="28"/>
          <w:szCs w:val="28"/>
          <w:lang w:val="en-US" w:eastAsia="zh-CN"/>
        </w:rPr>
      </w:pPr>
      <w:bookmarkStart w:id="375" w:name="_Toc30207"/>
      <w:r>
        <w:rPr>
          <w:rFonts w:hint="eastAsia" w:ascii="仿宋" w:hAnsi="仿宋" w:eastAsia="仿宋" w:cs="仿宋"/>
          <w:b/>
          <w:bCs/>
          <w:color w:val="auto"/>
          <w:sz w:val="28"/>
          <w:szCs w:val="28"/>
          <w:lang w:val="en-US" w:eastAsia="zh-CN"/>
        </w:rPr>
        <w:t>2、</w:t>
      </w:r>
      <w:bookmarkEnd w:id="370"/>
      <w:bookmarkEnd w:id="371"/>
      <w:bookmarkEnd w:id="372"/>
      <w:bookmarkEnd w:id="373"/>
      <w:bookmarkEnd w:id="375"/>
      <w:r>
        <w:rPr>
          <w:rFonts w:hint="eastAsia" w:ascii="仿宋" w:hAnsi="仿宋" w:eastAsia="仿宋" w:cs="仿宋"/>
          <w:b/>
          <w:bCs/>
          <w:kern w:val="0"/>
          <w:sz w:val="22"/>
          <w:szCs w:val="22"/>
          <w:lang w:val="en-US" w:eastAsia="zh-CN"/>
        </w:rPr>
        <w:t>具有合格有效的营业执照（三证合一）</w:t>
      </w:r>
      <w:r>
        <w:rPr>
          <w:rFonts w:hint="eastAsia" w:ascii="仿宋" w:hAnsi="仿宋" w:eastAsia="仿宋" w:cs="仿宋"/>
          <w:i w:val="0"/>
          <w:iCs w:val="0"/>
          <w:caps w:val="0"/>
          <w:color w:val="000000"/>
          <w:spacing w:val="0"/>
          <w:sz w:val="22"/>
          <w:szCs w:val="22"/>
          <w:lang w:eastAsia="zh-CN"/>
        </w:rPr>
        <w:t>【</w:t>
      </w:r>
      <w:r>
        <w:rPr>
          <w:rFonts w:hint="eastAsia" w:ascii="仿宋" w:hAnsi="仿宋" w:eastAsia="仿宋" w:cs="仿宋"/>
          <w:b/>
          <w:bCs/>
          <w:kern w:val="0"/>
          <w:sz w:val="22"/>
          <w:szCs w:val="22"/>
          <w:lang w:val="en-US" w:eastAsia="zh-CN"/>
        </w:rPr>
        <w:t>法人或者非法人组织的营业执照等证明文件复印件（须加盖本单位公章）或自然人的身份证明复印件</w:t>
      </w:r>
      <w:r>
        <w:rPr>
          <w:rFonts w:hint="eastAsia" w:ascii="仿宋" w:hAnsi="仿宋" w:eastAsia="仿宋" w:cs="仿宋"/>
          <w:i w:val="0"/>
          <w:iCs w:val="0"/>
          <w:caps w:val="0"/>
          <w:color w:val="000000"/>
          <w:spacing w:val="0"/>
          <w:sz w:val="22"/>
          <w:szCs w:val="22"/>
          <w:lang w:eastAsia="zh-CN"/>
        </w:rPr>
        <w:t>】</w:t>
      </w:r>
      <w:r>
        <w:rPr>
          <w:rFonts w:hint="eastAsia" w:ascii="仿宋" w:hAnsi="仿宋" w:eastAsia="仿宋" w:cs="仿宋"/>
          <w:b/>
          <w:bCs/>
          <w:kern w:val="0"/>
          <w:sz w:val="22"/>
          <w:szCs w:val="22"/>
          <w:lang w:val="en-US" w:eastAsia="zh-CN"/>
        </w:rPr>
        <w:t>;</w:t>
      </w:r>
    </w:p>
    <w:p w14:paraId="4BF9636C">
      <w:pPr>
        <w:rPr>
          <w:rFonts w:hint="eastAsia" w:ascii="仿宋" w:hAnsi="仿宋" w:eastAsia="仿宋" w:cs="仿宋"/>
        </w:rPr>
      </w:pPr>
    </w:p>
    <w:p w14:paraId="3045AB11">
      <w:pPr>
        <w:pStyle w:val="8"/>
        <w:numPr>
          <w:ilvl w:val="0"/>
          <w:numId w:val="0"/>
        </w:numPr>
        <w:kinsoku w:val="0"/>
        <w:overflowPunct w:val="0"/>
        <w:spacing w:before="34" w:line="440" w:lineRule="exact"/>
        <w:ind w:right="126"/>
        <w:jc w:val="both"/>
        <w:rPr>
          <w:rFonts w:hint="eastAsia" w:ascii="仿宋" w:hAnsi="仿宋" w:eastAsia="仿宋" w:cs="仿宋"/>
          <w:color w:val="auto"/>
          <w:highlight w:val="none"/>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说明：提供有效的营业执照等证明文件复印件，复印件上应加盖本单位章。</w:t>
      </w:r>
    </w:p>
    <w:p w14:paraId="1BACCD35">
      <w:pPr>
        <w:pStyle w:val="8"/>
        <w:numPr>
          <w:ilvl w:val="0"/>
          <w:numId w:val="0"/>
        </w:numPr>
        <w:kinsoku w:val="0"/>
        <w:overflowPunct w:val="0"/>
        <w:spacing w:before="34" w:line="440" w:lineRule="exact"/>
        <w:ind w:left="480" w:right="126"/>
        <w:jc w:val="center"/>
        <w:rPr>
          <w:rFonts w:hint="eastAsia" w:ascii="仿宋" w:hAnsi="仿宋" w:eastAsia="仿宋" w:cs="仿宋"/>
          <w:color w:val="auto"/>
          <w:highlight w:val="none"/>
        </w:rPr>
      </w:pPr>
    </w:p>
    <w:p w14:paraId="628D35D8">
      <w:pPr>
        <w:pStyle w:val="8"/>
        <w:numPr>
          <w:ilvl w:val="0"/>
          <w:numId w:val="0"/>
        </w:numPr>
        <w:kinsoku w:val="0"/>
        <w:overflowPunct w:val="0"/>
        <w:spacing w:before="34" w:line="440" w:lineRule="exact"/>
        <w:ind w:left="480" w:right="126"/>
        <w:jc w:val="center"/>
        <w:rPr>
          <w:rFonts w:hint="eastAsia" w:ascii="仿宋" w:hAnsi="仿宋" w:eastAsia="仿宋" w:cs="仿宋"/>
          <w:color w:val="auto"/>
          <w:highlight w:val="none"/>
        </w:rPr>
      </w:pPr>
    </w:p>
    <w:p w14:paraId="29080B21">
      <w:pPr>
        <w:pStyle w:val="8"/>
        <w:numPr>
          <w:ilvl w:val="0"/>
          <w:numId w:val="0"/>
        </w:numPr>
        <w:kinsoku w:val="0"/>
        <w:overflowPunct w:val="0"/>
        <w:spacing w:before="34" w:line="440" w:lineRule="exact"/>
        <w:ind w:left="480" w:right="126"/>
        <w:jc w:val="center"/>
        <w:rPr>
          <w:rFonts w:hint="eastAsia" w:ascii="仿宋" w:hAnsi="仿宋" w:eastAsia="仿宋" w:cs="仿宋"/>
          <w:color w:val="auto"/>
          <w:highlight w:val="none"/>
        </w:rPr>
      </w:pPr>
    </w:p>
    <w:p w14:paraId="7AEA1319">
      <w:pPr>
        <w:pStyle w:val="8"/>
        <w:numPr>
          <w:ilvl w:val="0"/>
          <w:numId w:val="0"/>
        </w:numPr>
        <w:kinsoku w:val="0"/>
        <w:overflowPunct w:val="0"/>
        <w:spacing w:before="34" w:line="440" w:lineRule="exact"/>
        <w:ind w:left="480" w:right="126"/>
        <w:jc w:val="center"/>
        <w:rPr>
          <w:rFonts w:hint="eastAsia" w:ascii="仿宋" w:hAnsi="仿宋" w:eastAsia="仿宋" w:cs="仿宋"/>
          <w:color w:val="auto"/>
          <w:highlight w:val="none"/>
        </w:rPr>
      </w:pPr>
    </w:p>
    <w:p w14:paraId="6E51EE26">
      <w:pPr>
        <w:pStyle w:val="8"/>
        <w:numPr>
          <w:ilvl w:val="0"/>
          <w:numId w:val="0"/>
        </w:numPr>
        <w:kinsoku w:val="0"/>
        <w:overflowPunct w:val="0"/>
        <w:spacing w:before="34" w:line="440" w:lineRule="exact"/>
        <w:ind w:left="480" w:right="126"/>
        <w:jc w:val="center"/>
        <w:rPr>
          <w:rFonts w:hint="eastAsia" w:ascii="仿宋" w:hAnsi="仿宋" w:eastAsia="仿宋" w:cs="仿宋"/>
          <w:color w:val="auto"/>
          <w:highlight w:val="none"/>
        </w:rPr>
      </w:pPr>
    </w:p>
    <w:p w14:paraId="76F8DAEF">
      <w:pPr>
        <w:pStyle w:val="8"/>
        <w:numPr>
          <w:ilvl w:val="0"/>
          <w:numId w:val="0"/>
        </w:numPr>
        <w:kinsoku w:val="0"/>
        <w:overflowPunct w:val="0"/>
        <w:spacing w:before="34" w:line="440" w:lineRule="exact"/>
        <w:ind w:left="480" w:right="126"/>
        <w:jc w:val="center"/>
        <w:rPr>
          <w:rFonts w:hint="eastAsia" w:ascii="仿宋" w:hAnsi="仿宋" w:eastAsia="仿宋" w:cs="仿宋"/>
          <w:color w:val="auto"/>
          <w:highlight w:val="none"/>
        </w:rPr>
      </w:pPr>
    </w:p>
    <w:p w14:paraId="765E8982">
      <w:pPr>
        <w:pStyle w:val="8"/>
        <w:numPr>
          <w:ilvl w:val="0"/>
          <w:numId w:val="0"/>
        </w:numPr>
        <w:kinsoku w:val="0"/>
        <w:overflowPunct w:val="0"/>
        <w:spacing w:before="34" w:line="440" w:lineRule="exact"/>
        <w:ind w:left="480" w:right="126"/>
        <w:jc w:val="center"/>
        <w:rPr>
          <w:rFonts w:hint="eastAsia" w:ascii="仿宋" w:hAnsi="仿宋" w:eastAsia="仿宋" w:cs="仿宋"/>
          <w:color w:val="auto"/>
          <w:highlight w:val="none"/>
        </w:rPr>
      </w:pPr>
    </w:p>
    <w:p w14:paraId="72A5ABEE">
      <w:pPr>
        <w:pStyle w:val="8"/>
        <w:numPr>
          <w:ilvl w:val="0"/>
          <w:numId w:val="0"/>
        </w:numPr>
        <w:kinsoku w:val="0"/>
        <w:overflowPunct w:val="0"/>
        <w:spacing w:before="34" w:line="440" w:lineRule="exact"/>
        <w:ind w:left="480" w:right="126"/>
        <w:jc w:val="center"/>
        <w:rPr>
          <w:rFonts w:hint="eastAsia" w:ascii="仿宋" w:hAnsi="仿宋" w:eastAsia="仿宋" w:cs="仿宋"/>
          <w:color w:val="auto"/>
          <w:highlight w:val="none"/>
        </w:rPr>
      </w:pPr>
    </w:p>
    <w:p w14:paraId="250C6795">
      <w:pPr>
        <w:pStyle w:val="8"/>
        <w:numPr>
          <w:ilvl w:val="0"/>
          <w:numId w:val="0"/>
        </w:numPr>
        <w:kinsoku w:val="0"/>
        <w:overflowPunct w:val="0"/>
        <w:spacing w:before="34" w:line="440" w:lineRule="exact"/>
        <w:ind w:left="480" w:right="126"/>
        <w:jc w:val="center"/>
        <w:rPr>
          <w:rFonts w:hint="eastAsia" w:ascii="仿宋" w:hAnsi="仿宋" w:eastAsia="仿宋" w:cs="仿宋"/>
          <w:color w:val="auto"/>
          <w:highlight w:val="none"/>
        </w:rPr>
      </w:pPr>
    </w:p>
    <w:p w14:paraId="2E6F9230">
      <w:pPr>
        <w:pStyle w:val="8"/>
        <w:numPr>
          <w:ilvl w:val="0"/>
          <w:numId w:val="0"/>
        </w:numPr>
        <w:kinsoku w:val="0"/>
        <w:overflowPunct w:val="0"/>
        <w:spacing w:before="34" w:line="440" w:lineRule="exact"/>
        <w:ind w:left="480" w:right="126"/>
        <w:jc w:val="center"/>
        <w:rPr>
          <w:rFonts w:hint="eastAsia" w:ascii="仿宋" w:hAnsi="仿宋" w:eastAsia="仿宋" w:cs="仿宋"/>
          <w:color w:val="auto"/>
          <w:highlight w:val="none"/>
        </w:rPr>
      </w:pPr>
    </w:p>
    <w:p w14:paraId="511BCBC2">
      <w:pPr>
        <w:pStyle w:val="8"/>
        <w:numPr>
          <w:ilvl w:val="0"/>
          <w:numId w:val="0"/>
        </w:numPr>
        <w:kinsoku w:val="0"/>
        <w:overflowPunct w:val="0"/>
        <w:spacing w:before="34" w:line="440" w:lineRule="exact"/>
        <w:ind w:left="480" w:right="126"/>
        <w:jc w:val="center"/>
        <w:rPr>
          <w:rFonts w:hint="eastAsia" w:ascii="仿宋" w:hAnsi="仿宋" w:eastAsia="仿宋" w:cs="仿宋"/>
          <w:color w:val="auto"/>
          <w:highlight w:val="none"/>
        </w:rPr>
      </w:pPr>
    </w:p>
    <w:p w14:paraId="0176EAF7">
      <w:pPr>
        <w:pStyle w:val="8"/>
        <w:numPr>
          <w:ilvl w:val="0"/>
          <w:numId w:val="0"/>
        </w:numPr>
        <w:kinsoku w:val="0"/>
        <w:overflowPunct w:val="0"/>
        <w:spacing w:before="34" w:line="440" w:lineRule="exact"/>
        <w:ind w:left="0" w:leftChars="0" w:right="126" w:firstLine="478" w:firstLineChars="225"/>
        <w:jc w:val="center"/>
        <w:rPr>
          <w:rFonts w:hint="eastAsia" w:ascii="仿宋" w:hAnsi="仿宋" w:eastAsia="仿宋" w:cs="仿宋"/>
          <w:color w:val="auto"/>
          <w:highlight w:val="none"/>
        </w:rPr>
      </w:pPr>
    </w:p>
    <w:p w14:paraId="58F426AF">
      <w:pPr>
        <w:pStyle w:val="8"/>
        <w:numPr>
          <w:ilvl w:val="0"/>
          <w:numId w:val="0"/>
        </w:numPr>
        <w:kinsoku w:val="0"/>
        <w:overflowPunct w:val="0"/>
        <w:spacing w:before="34" w:line="440" w:lineRule="exact"/>
        <w:ind w:left="480" w:right="126"/>
        <w:jc w:val="center"/>
        <w:rPr>
          <w:rFonts w:hint="eastAsia" w:ascii="仿宋" w:hAnsi="仿宋" w:eastAsia="仿宋" w:cs="仿宋"/>
          <w:color w:val="auto"/>
          <w:highlight w:val="none"/>
        </w:rPr>
      </w:pPr>
    </w:p>
    <w:p w14:paraId="00E11C27">
      <w:pPr>
        <w:pStyle w:val="8"/>
        <w:numPr>
          <w:ilvl w:val="0"/>
          <w:numId w:val="0"/>
        </w:numPr>
        <w:kinsoku w:val="0"/>
        <w:overflowPunct w:val="0"/>
        <w:spacing w:before="34" w:line="440" w:lineRule="exact"/>
        <w:ind w:left="480" w:right="126"/>
        <w:jc w:val="center"/>
        <w:rPr>
          <w:rFonts w:hint="eastAsia" w:ascii="仿宋" w:hAnsi="仿宋" w:eastAsia="仿宋" w:cs="仿宋"/>
          <w:color w:val="auto"/>
          <w:highlight w:val="none"/>
        </w:rPr>
      </w:pPr>
    </w:p>
    <w:p w14:paraId="73B432AA">
      <w:pPr>
        <w:pStyle w:val="8"/>
        <w:numPr>
          <w:ilvl w:val="0"/>
          <w:numId w:val="0"/>
        </w:numPr>
        <w:kinsoku w:val="0"/>
        <w:overflowPunct w:val="0"/>
        <w:spacing w:before="34" w:line="440" w:lineRule="exact"/>
        <w:ind w:left="480" w:right="126"/>
        <w:jc w:val="center"/>
        <w:rPr>
          <w:rFonts w:hint="eastAsia" w:ascii="仿宋" w:hAnsi="仿宋" w:eastAsia="仿宋" w:cs="仿宋"/>
          <w:color w:val="auto"/>
          <w:highlight w:val="none"/>
        </w:rPr>
      </w:pPr>
    </w:p>
    <w:p w14:paraId="64F6D44D">
      <w:pPr>
        <w:pStyle w:val="8"/>
        <w:numPr>
          <w:ilvl w:val="0"/>
          <w:numId w:val="0"/>
        </w:numPr>
        <w:kinsoku w:val="0"/>
        <w:overflowPunct w:val="0"/>
        <w:spacing w:before="34" w:line="440" w:lineRule="exact"/>
        <w:ind w:left="480" w:right="126"/>
        <w:jc w:val="center"/>
        <w:rPr>
          <w:rFonts w:hint="eastAsia" w:ascii="仿宋" w:hAnsi="仿宋" w:eastAsia="仿宋" w:cs="仿宋"/>
          <w:color w:val="auto"/>
          <w:highlight w:val="none"/>
        </w:rPr>
      </w:pPr>
    </w:p>
    <w:p w14:paraId="12D9D9BB">
      <w:pPr>
        <w:pStyle w:val="8"/>
        <w:numPr>
          <w:ilvl w:val="0"/>
          <w:numId w:val="0"/>
        </w:numPr>
        <w:kinsoku w:val="0"/>
        <w:overflowPunct w:val="0"/>
        <w:spacing w:before="34" w:line="440" w:lineRule="exact"/>
        <w:ind w:left="480" w:right="126"/>
        <w:jc w:val="center"/>
        <w:rPr>
          <w:rFonts w:hint="eastAsia" w:ascii="仿宋" w:hAnsi="仿宋" w:eastAsia="仿宋" w:cs="仿宋"/>
          <w:color w:val="auto"/>
          <w:highlight w:val="none"/>
        </w:rPr>
      </w:pPr>
    </w:p>
    <w:p w14:paraId="3E51F233">
      <w:pPr>
        <w:pStyle w:val="8"/>
        <w:numPr>
          <w:ilvl w:val="0"/>
          <w:numId w:val="0"/>
        </w:numPr>
        <w:kinsoku w:val="0"/>
        <w:overflowPunct w:val="0"/>
        <w:spacing w:before="34" w:line="440" w:lineRule="exact"/>
        <w:ind w:right="126"/>
        <w:jc w:val="both"/>
        <w:rPr>
          <w:rFonts w:hint="eastAsia" w:ascii="仿宋" w:hAnsi="仿宋" w:eastAsia="仿宋" w:cs="仿宋"/>
          <w:color w:val="auto"/>
          <w:highlight w:val="none"/>
        </w:rPr>
      </w:pPr>
    </w:p>
    <w:p w14:paraId="747C1BBD">
      <w:pPr>
        <w:pStyle w:val="35"/>
        <w:rPr>
          <w:rFonts w:hint="eastAsia" w:ascii="仿宋" w:hAnsi="仿宋" w:eastAsia="仿宋" w:cs="仿宋"/>
          <w:color w:val="auto"/>
          <w:highlight w:val="none"/>
        </w:rPr>
      </w:pPr>
    </w:p>
    <w:p w14:paraId="00A78437">
      <w:pPr>
        <w:pStyle w:val="35"/>
        <w:rPr>
          <w:rFonts w:hint="eastAsia" w:ascii="仿宋" w:hAnsi="仿宋" w:eastAsia="仿宋" w:cs="仿宋"/>
          <w:color w:val="auto"/>
          <w:highlight w:val="none"/>
        </w:rPr>
      </w:pPr>
    </w:p>
    <w:p w14:paraId="409AAFA9">
      <w:pPr>
        <w:pStyle w:val="35"/>
        <w:rPr>
          <w:rFonts w:hint="eastAsia" w:ascii="仿宋" w:hAnsi="仿宋" w:eastAsia="仿宋" w:cs="仿宋"/>
          <w:color w:val="auto"/>
          <w:highlight w:val="none"/>
        </w:rPr>
      </w:pPr>
    </w:p>
    <w:p w14:paraId="6B49039F">
      <w:pPr>
        <w:pStyle w:val="35"/>
        <w:rPr>
          <w:rFonts w:hint="eastAsia" w:ascii="仿宋" w:hAnsi="仿宋" w:eastAsia="仿宋" w:cs="仿宋"/>
          <w:color w:val="auto"/>
          <w:highlight w:val="none"/>
        </w:rPr>
      </w:pPr>
    </w:p>
    <w:p w14:paraId="557C1C95">
      <w:pPr>
        <w:pStyle w:val="35"/>
        <w:rPr>
          <w:rFonts w:hint="eastAsia" w:ascii="仿宋" w:hAnsi="仿宋" w:eastAsia="仿宋" w:cs="仿宋"/>
          <w:color w:val="auto"/>
          <w:sz w:val="21"/>
          <w:szCs w:val="21"/>
          <w:highlight w:val="none"/>
        </w:rPr>
      </w:pPr>
    </w:p>
    <w:p w14:paraId="36B6249F">
      <w:pPr>
        <w:pStyle w:val="8"/>
        <w:keepNext w:val="0"/>
        <w:keepLines w:val="0"/>
        <w:pageBreakBefore w:val="0"/>
        <w:widowControl w:val="0"/>
        <w:numPr>
          <w:ilvl w:val="0"/>
          <w:numId w:val="0"/>
        </w:numPr>
        <w:shd w:val="clear" w:color="auto" w:fill="auto"/>
        <w:tabs>
          <w:tab w:val="left" w:pos="2416"/>
          <w:tab w:val="center" w:pos="4575"/>
        </w:tabs>
        <w:kinsoku w:val="0"/>
        <w:overflowPunct w:val="0"/>
        <w:topLinePunct w:val="0"/>
        <w:autoSpaceDE/>
        <w:autoSpaceDN/>
        <w:bidi w:val="0"/>
        <w:adjustRightInd/>
        <w:snapToGrid/>
        <w:spacing w:before="34" w:line="440" w:lineRule="exact"/>
        <w:ind w:left="0" w:leftChars="0" w:right="126" w:rightChars="0" w:hanging="18" w:firstLineChars="0"/>
        <w:jc w:val="center"/>
        <w:textAlignment w:val="auto"/>
        <w:outlineLvl w:val="2"/>
        <w:rPr>
          <w:rFonts w:hint="eastAsia" w:ascii="仿宋" w:hAnsi="仿宋" w:eastAsia="仿宋" w:cs="仿宋"/>
          <w:b/>
          <w:bCs/>
          <w:color w:val="auto"/>
          <w:sz w:val="28"/>
          <w:szCs w:val="28"/>
          <w:lang w:val="en-US" w:eastAsia="zh-CN"/>
        </w:rPr>
      </w:pPr>
      <w:bookmarkStart w:id="376" w:name="_Toc25317"/>
      <w:r>
        <w:rPr>
          <w:rFonts w:hint="eastAsia" w:ascii="仿宋" w:hAnsi="仿宋" w:eastAsia="仿宋" w:cs="仿宋"/>
          <w:b/>
          <w:bCs/>
          <w:color w:val="auto"/>
          <w:sz w:val="28"/>
          <w:szCs w:val="28"/>
          <w:lang w:val="en-US" w:eastAsia="zh-CN"/>
        </w:rPr>
        <w:t>3、法定代表人资格证明书（格式二，自然人投标的无需提供）</w:t>
      </w:r>
      <w:bookmarkEnd w:id="376"/>
    </w:p>
    <w:p w14:paraId="33462709">
      <w:pPr>
        <w:adjustRightInd w:val="0"/>
        <w:snapToGrid w:val="0"/>
        <w:spacing w:before="325" w:beforeLines="100" w:after="325" w:afterLines="100" w:line="500" w:lineRule="exact"/>
        <w:rPr>
          <w:rFonts w:hint="eastAsia" w:ascii="仿宋" w:hAnsi="仿宋" w:eastAsia="仿宋" w:cs="仿宋"/>
          <w:sz w:val="21"/>
          <w:szCs w:val="21"/>
        </w:rPr>
      </w:pPr>
      <w:r>
        <w:rPr>
          <w:rFonts w:hint="eastAsia" w:ascii="仿宋" w:hAnsi="仿宋" w:eastAsia="仿宋" w:cs="仿宋"/>
          <w:sz w:val="21"/>
          <w:szCs w:val="21"/>
        </w:rPr>
        <w:t>致：</w:t>
      </w:r>
    </w:p>
    <w:p w14:paraId="0145D03C">
      <w:pPr>
        <w:spacing w:line="500" w:lineRule="exact"/>
        <w:rPr>
          <w:rFonts w:hint="eastAsia" w:ascii="仿宋" w:hAnsi="仿宋" w:eastAsia="仿宋" w:cs="仿宋"/>
          <w:sz w:val="21"/>
          <w:szCs w:val="21"/>
        </w:rPr>
      </w:pPr>
      <w:r>
        <w:rPr>
          <w:rFonts w:hint="eastAsia" w:ascii="仿宋" w:hAnsi="仿宋" w:eastAsia="仿宋" w:cs="仿宋"/>
          <w:sz w:val="21"/>
          <w:szCs w:val="21"/>
        </w:rPr>
        <w:t xml:space="preserve">     </w:t>
      </w:r>
      <w:r>
        <w:rPr>
          <w:rFonts w:hint="eastAsia" w:ascii="仿宋" w:hAnsi="仿宋" w:eastAsia="仿宋" w:cs="仿宋"/>
          <w:sz w:val="21"/>
          <w:szCs w:val="21"/>
          <w:u w:val="single"/>
        </w:rPr>
        <w:t xml:space="preserve">          </w:t>
      </w:r>
      <w:r>
        <w:rPr>
          <w:rFonts w:hint="eastAsia" w:ascii="仿宋" w:hAnsi="仿宋" w:eastAsia="仿宋" w:cs="仿宋"/>
          <w:sz w:val="21"/>
          <w:szCs w:val="21"/>
        </w:rPr>
        <w:t>同志，现任我单位</w:t>
      </w:r>
      <w:r>
        <w:rPr>
          <w:rFonts w:hint="eastAsia" w:ascii="仿宋" w:hAnsi="仿宋" w:eastAsia="仿宋" w:cs="仿宋"/>
          <w:sz w:val="21"/>
          <w:szCs w:val="21"/>
          <w:u w:val="single"/>
        </w:rPr>
        <w:t xml:space="preserve">          </w:t>
      </w:r>
      <w:r>
        <w:rPr>
          <w:rFonts w:hint="eastAsia" w:ascii="仿宋" w:hAnsi="仿宋" w:eastAsia="仿宋" w:cs="仿宋"/>
          <w:sz w:val="21"/>
          <w:szCs w:val="21"/>
        </w:rPr>
        <w:t>职务，为法定代表人，特此证明。</w:t>
      </w:r>
    </w:p>
    <w:p w14:paraId="73E24436">
      <w:pPr>
        <w:spacing w:line="500" w:lineRule="exact"/>
        <w:ind w:firstLine="213" w:firstLineChars="100"/>
        <w:rPr>
          <w:rFonts w:hint="eastAsia" w:ascii="仿宋" w:hAnsi="仿宋" w:eastAsia="仿宋" w:cs="仿宋"/>
          <w:sz w:val="21"/>
          <w:szCs w:val="21"/>
        </w:rPr>
      </w:pPr>
      <w:r>
        <w:rPr>
          <w:rFonts w:hint="eastAsia" w:ascii="仿宋" w:hAnsi="仿宋" w:eastAsia="仿宋" w:cs="仿宋"/>
          <w:sz w:val="21"/>
          <w:szCs w:val="21"/>
        </w:rPr>
        <w:t xml:space="preserve">签发日期：                  单位：           </w:t>
      </w:r>
    </w:p>
    <w:p w14:paraId="36B73326">
      <w:pPr>
        <w:spacing w:line="500" w:lineRule="exact"/>
        <w:ind w:firstLine="426" w:firstLineChars="200"/>
        <w:rPr>
          <w:rFonts w:hint="eastAsia" w:ascii="仿宋" w:hAnsi="仿宋" w:eastAsia="仿宋" w:cs="仿宋"/>
          <w:sz w:val="21"/>
          <w:szCs w:val="21"/>
        </w:rPr>
      </w:pPr>
      <w:r>
        <w:rPr>
          <w:rFonts w:hint="eastAsia" w:ascii="仿宋" w:hAnsi="仿宋" w:eastAsia="仿宋" w:cs="仿宋"/>
          <w:sz w:val="21"/>
          <w:szCs w:val="21"/>
        </w:rPr>
        <w:t>附：代表人性别：            年龄：           身份证号码：</w:t>
      </w:r>
    </w:p>
    <w:p w14:paraId="73F85018">
      <w:pPr>
        <w:spacing w:line="500" w:lineRule="exact"/>
        <w:ind w:firstLine="213" w:firstLineChars="100"/>
        <w:rPr>
          <w:rFonts w:hint="eastAsia" w:ascii="仿宋" w:hAnsi="仿宋" w:eastAsia="仿宋" w:cs="仿宋"/>
          <w:sz w:val="21"/>
          <w:szCs w:val="21"/>
        </w:rPr>
      </w:pPr>
      <w:r>
        <w:rPr>
          <w:rFonts w:hint="eastAsia" w:ascii="仿宋" w:hAnsi="仿宋" w:eastAsia="仿宋" w:cs="仿宋"/>
          <w:sz w:val="21"/>
          <w:szCs w:val="21"/>
        </w:rPr>
        <w:t>联系电话：</w:t>
      </w:r>
    </w:p>
    <w:p w14:paraId="457CDF39">
      <w:pPr>
        <w:spacing w:line="500" w:lineRule="exact"/>
        <w:ind w:firstLine="213" w:firstLineChars="100"/>
        <w:rPr>
          <w:rFonts w:hint="eastAsia" w:ascii="仿宋" w:hAnsi="仿宋" w:eastAsia="仿宋" w:cs="仿宋"/>
          <w:sz w:val="21"/>
          <w:szCs w:val="21"/>
        </w:rPr>
      </w:pPr>
      <w:r>
        <w:rPr>
          <w:rFonts w:hint="eastAsia" w:ascii="仿宋" w:hAnsi="仿宋" w:eastAsia="仿宋" w:cs="仿宋"/>
          <w:sz w:val="21"/>
          <w:szCs w:val="21"/>
        </w:rPr>
        <w:t>营业执照号码：              经济性质：</w:t>
      </w:r>
    </w:p>
    <w:p w14:paraId="2635FB31">
      <w:pPr>
        <w:spacing w:line="500" w:lineRule="exact"/>
        <w:rPr>
          <w:rFonts w:hint="eastAsia" w:ascii="仿宋" w:hAnsi="仿宋" w:eastAsia="仿宋" w:cs="仿宋"/>
          <w:sz w:val="21"/>
          <w:szCs w:val="21"/>
        </w:rPr>
      </w:pPr>
      <w:r>
        <w:rPr>
          <w:rFonts w:hint="eastAsia" w:ascii="仿宋" w:hAnsi="仿宋" w:eastAsia="仿宋" w:cs="仿宋"/>
          <w:sz w:val="21"/>
          <w:szCs w:val="21"/>
        </w:rPr>
        <w:t>说明：</w:t>
      </w:r>
    </w:p>
    <w:p w14:paraId="3F8CA5DF">
      <w:pPr>
        <w:spacing w:line="500" w:lineRule="exact"/>
        <w:ind w:firstLine="213" w:firstLineChars="100"/>
        <w:rPr>
          <w:rFonts w:hint="eastAsia" w:ascii="仿宋" w:hAnsi="仿宋" w:eastAsia="仿宋" w:cs="仿宋"/>
          <w:sz w:val="21"/>
          <w:szCs w:val="21"/>
        </w:rPr>
      </w:pPr>
      <w:r>
        <w:rPr>
          <w:rFonts w:hint="eastAsia" w:ascii="仿宋" w:hAnsi="仿宋" w:eastAsia="仿宋" w:cs="仿宋"/>
          <w:sz w:val="21"/>
          <w:szCs w:val="21"/>
        </w:rPr>
        <w:t>1、法定代表人为企业事业单位、国家机关、社会团体的主要行政负责人。</w:t>
      </w:r>
    </w:p>
    <w:p w14:paraId="6994776A">
      <w:pPr>
        <w:spacing w:line="500" w:lineRule="exact"/>
        <w:rPr>
          <w:rFonts w:hint="eastAsia" w:ascii="仿宋" w:hAnsi="仿宋" w:eastAsia="仿宋" w:cs="仿宋"/>
          <w:sz w:val="21"/>
          <w:szCs w:val="21"/>
        </w:rPr>
      </w:pPr>
      <w:r>
        <w:rPr>
          <w:rFonts w:hint="eastAsia" w:ascii="仿宋" w:hAnsi="仿宋" w:eastAsia="仿宋" w:cs="仿宋"/>
          <w:sz w:val="21"/>
          <w:szCs w:val="21"/>
        </w:rPr>
        <w:t xml:space="preserve">  2、内容必须填写真实、清楚、涂改无效，不得转让。</w:t>
      </w:r>
    </w:p>
    <w:p w14:paraId="339C62FA">
      <w:pPr>
        <w:spacing w:line="500" w:lineRule="exact"/>
        <w:ind w:firstLine="213" w:firstLineChars="100"/>
        <w:rPr>
          <w:rFonts w:hint="eastAsia" w:ascii="仿宋" w:hAnsi="仿宋" w:eastAsia="仿宋" w:cs="仿宋"/>
          <w:sz w:val="21"/>
          <w:szCs w:val="21"/>
        </w:rPr>
      </w:pPr>
      <w:r>
        <w:rPr>
          <w:rFonts w:hint="eastAsia" w:ascii="仿宋" w:hAnsi="仿宋" w:eastAsia="仿宋" w:cs="仿宋"/>
          <w:sz w:val="21"/>
          <w:szCs w:val="21"/>
        </w:rPr>
        <w:t>3、将此证明书原件提交采购代理机构作为投标文件附件。</w:t>
      </w:r>
    </w:p>
    <w:p w14:paraId="48C2C677">
      <w:pPr>
        <w:spacing w:line="500" w:lineRule="exact"/>
        <w:rPr>
          <w:rFonts w:hint="eastAsia" w:ascii="仿宋" w:hAnsi="仿宋" w:eastAsia="仿宋" w:cs="仿宋"/>
          <w:sz w:val="21"/>
          <w:szCs w:val="21"/>
        </w:rPr>
      </w:pPr>
      <w:r>
        <w:rPr>
          <w:rFonts w:hint="eastAsia" w:ascii="仿宋" w:hAnsi="仿宋" w:eastAsia="仿宋" w:cs="仿宋"/>
          <w:sz w:val="21"/>
          <w:szCs w:val="21"/>
        </w:rPr>
        <w:t xml:space="preserve">  (为避免废标，请投标人务必提供本附件)</w:t>
      </w:r>
    </w:p>
    <w:p w14:paraId="66A3869B">
      <w:pPr>
        <w:spacing w:line="500" w:lineRule="exact"/>
        <w:rPr>
          <w:rFonts w:hint="eastAsia" w:ascii="仿宋" w:hAnsi="仿宋" w:eastAsia="仿宋" w:cs="仿宋"/>
          <w:sz w:val="21"/>
          <w:szCs w:val="21"/>
        </w:rPr>
      </w:pPr>
    </w:p>
    <w:p w14:paraId="7C0C2AC4">
      <w:pPr>
        <w:spacing w:line="500" w:lineRule="exact"/>
        <w:rPr>
          <w:rFonts w:hint="eastAsia" w:ascii="仿宋" w:hAnsi="仿宋" w:eastAsia="仿宋" w:cs="仿宋"/>
          <w:sz w:val="21"/>
          <w:szCs w:val="21"/>
        </w:rPr>
      </w:pPr>
      <w:r>
        <w:rPr>
          <w:rFonts w:hint="eastAsia" w:ascii="仿宋" w:hAnsi="仿宋" w:eastAsia="仿宋" w:cs="仿宋"/>
          <w:sz w:val="21"/>
          <w:szCs w:val="21"/>
        </w:rPr>
        <mc:AlternateContent>
          <mc:Choice Requires="wps">
            <w:drawing>
              <wp:anchor distT="0" distB="0" distL="114300" distR="114300" simplePos="0" relativeHeight="251660288" behindDoc="0" locked="0" layoutInCell="1" allowOverlap="1">
                <wp:simplePos x="0" y="0"/>
                <wp:positionH relativeFrom="column">
                  <wp:posOffset>398780</wp:posOffset>
                </wp:positionH>
                <wp:positionV relativeFrom="paragraph">
                  <wp:posOffset>38100</wp:posOffset>
                </wp:positionV>
                <wp:extent cx="2333625" cy="1584325"/>
                <wp:effectExtent l="4445" t="4445" r="508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522D88F">
                            <w:pPr>
                              <w:jc w:val="center"/>
                              <w:rPr>
                                <w:rFonts w:hint="eastAsia" w:hAnsi="宋体"/>
                                <w:szCs w:val="21"/>
                              </w:rPr>
                            </w:pPr>
                          </w:p>
                          <w:p w14:paraId="7C98374D">
                            <w:pPr>
                              <w:jc w:val="center"/>
                              <w:rPr>
                                <w:rFonts w:hint="eastAsia" w:hAnsi="宋体"/>
                                <w:szCs w:val="21"/>
                              </w:rPr>
                            </w:pPr>
                          </w:p>
                          <w:p w14:paraId="3680D1DB">
                            <w:pPr>
                              <w:jc w:val="center"/>
                              <w:rPr>
                                <w:rFonts w:hint="eastAsia" w:hAnsi="宋体"/>
                                <w:szCs w:val="21"/>
                              </w:rPr>
                            </w:pPr>
                          </w:p>
                          <w:p w14:paraId="1FA49A19">
                            <w:pPr>
                              <w:jc w:val="center"/>
                              <w:rPr>
                                <w:rFonts w:hint="eastAsia"/>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31.4pt;margin-top:3pt;height:124.75pt;width:183.75pt;z-index:251660288;mso-width-relative:page;mso-height-relative:page;" fillcolor="#FFFFFF" filled="t" stroked="t" coordsize="21600,21600" o:gfxdata="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XBfHjWAAAACAEAAA8AAAAAAAAAAQAgAAAAIgAAAGRycy9kb3ducmV2LnhtbFBLAQIUABQAAAAI&#10;AIdO4kDB1PsgKAIAAFAEAAAOAAAAAAAAAAEAIAAAACUBAABkcnMvZTJvRG9jLnhtbFBLBQYAAAAA&#10;BgAGAFkBAAC/BQAAAAA=&#10;">
                <v:fill on="t" focussize="0,0"/>
                <v:stroke color="#000000" joinstyle="miter"/>
                <v:imagedata o:title=""/>
                <o:lock v:ext="edit" aspectratio="f"/>
                <v:textbox>
                  <w:txbxContent>
                    <w:p w14:paraId="6522D88F">
                      <w:pPr>
                        <w:jc w:val="center"/>
                        <w:rPr>
                          <w:rFonts w:hint="eastAsia" w:hAnsi="宋体"/>
                          <w:szCs w:val="21"/>
                        </w:rPr>
                      </w:pPr>
                    </w:p>
                    <w:p w14:paraId="7C98374D">
                      <w:pPr>
                        <w:jc w:val="center"/>
                        <w:rPr>
                          <w:rFonts w:hint="eastAsia" w:hAnsi="宋体"/>
                          <w:szCs w:val="21"/>
                        </w:rPr>
                      </w:pPr>
                    </w:p>
                    <w:p w14:paraId="3680D1DB">
                      <w:pPr>
                        <w:jc w:val="center"/>
                        <w:rPr>
                          <w:rFonts w:hint="eastAsia" w:hAnsi="宋体"/>
                          <w:szCs w:val="21"/>
                        </w:rPr>
                      </w:pPr>
                    </w:p>
                    <w:p w14:paraId="1FA49A19">
                      <w:pPr>
                        <w:jc w:val="center"/>
                        <w:rPr>
                          <w:rFonts w:hint="eastAsia"/>
                          <w:szCs w:val="21"/>
                        </w:rPr>
                      </w:pPr>
                      <w:r>
                        <w:rPr>
                          <w:rFonts w:hint="eastAsia" w:hAnsi="宋体"/>
                          <w:szCs w:val="21"/>
                        </w:rPr>
                        <w:t>法定代表人身份证复印件</w:t>
                      </w:r>
                    </w:p>
                  </w:txbxContent>
                </v:textbox>
              </v:shape>
            </w:pict>
          </mc:Fallback>
        </mc:AlternateContent>
      </w:r>
      <w:r>
        <w:rPr>
          <w:rFonts w:hint="eastAsia" w:ascii="仿宋" w:hAnsi="仿宋" w:eastAsia="仿宋" w:cs="仿宋"/>
          <w:sz w:val="21"/>
          <w:szCs w:val="21"/>
        </w:rPr>
        <mc:AlternateContent>
          <mc:Choice Requires="wps">
            <w:drawing>
              <wp:anchor distT="0" distB="0" distL="114300" distR="114300" simplePos="0" relativeHeight="251661312" behindDoc="0" locked="0" layoutInCell="1" allowOverlap="1">
                <wp:simplePos x="0" y="0"/>
                <wp:positionH relativeFrom="column">
                  <wp:posOffset>3226435</wp:posOffset>
                </wp:positionH>
                <wp:positionV relativeFrom="paragraph">
                  <wp:posOffset>34290</wp:posOffset>
                </wp:positionV>
                <wp:extent cx="2333625" cy="1584325"/>
                <wp:effectExtent l="4445" t="4445" r="508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D5556B1">
                            <w:pPr>
                              <w:jc w:val="center"/>
                              <w:rPr>
                                <w:rFonts w:hint="eastAsia" w:hAnsi="宋体"/>
                                <w:szCs w:val="21"/>
                              </w:rPr>
                            </w:pPr>
                          </w:p>
                          <w:p w14:paraId="375CD750">
                            <w:pPr>
                              <w:jc w:val="center"/>
                              <w:rPr>
                                <w:rFonts w:hint="eastAsia" w:hAnsi="宋体"/>
                                <w:szCs w:val="21"/>
                              </w:rPr>
                            </w:pPr>
                          </w:p>
                          <w:p w14:paraId="23D21C48">
                            <w:pPr>
                              <w:jc w:val="center"/>
                              <w:rPr>
                                <w:rFonts w:hint="eastAsia" w:hAnsi="宋体"/>
                                <w:szCs w:val="21"/>
                              </w:rPr>
                            </w:pPr>
                          </w:p>
                          <w:p w14:paraId="6C991CF1">
                            <w:pPr>
                              <w:jc w:val="center"/>
                              <w:rPr>
                                <w:rFonts w:hint="eastAsia"/>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254.05pt;margin-top:2.7pt;height:124.75pt;width:183.75pt;z-index:251661312;mso-width-relative:page;mso-height-relative:page;" fillcolor="#FFFFFF" filled="t" stroked="t" coordsize="21600,21600" o:gfxdata="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hPEYdgAAAAJAQAADwAAAAAAAAABACAAAAAiAAAAZHJzL2Rvd25yZXYueG1sUEsBAhQAFAAA&#10;AAgAh07iQCZas8UoAgAAUAQAAA4AAAAAAAAAAQAgAAAAJwEAAGRycy9lMm9Eb2MueG1sUEsFBgAA&#10;AAAGAAYAWQEAAMEFAAAAAA==&#10;">
                <v:fill on="t" focussize="0,0"/>
                <v:stroke color="#000000" joinstyle="miter"/>
                <v:imagedata o:title=""/>
                <o:lock v:ext="edit" aspectratio="f"/>
                <v:textbox>
                  <w:txbxContent>
                    <w:p w14:paraId="3D5556B1">
                      <w:pPr>
                        <w:jc w:val="center"/>
                        <w:rPr>
                          <w:rFonts w:hint="eastAsia" w:hAnsi="宋体"/>
                          <w:szCs w:val="21"/>
                        </w:rPr>
                      </w:pPr>
                    </w:p>
                    <w:p w14:paraId="375CD750">
                      <w:pPr>
                        <w:jc w:val="center"/>
                        <w:rPr>
                          <w:rFonts w:hint="eastAsia" w:hAnsi="宋体"/>
                          <w:szCs w:val="21"/>
                        </w:rPr>
                      </w:pPr>
                    </w:p>
                    <w:p w14:paraId="23D21C48">
                      <w:pPr>
                        <w:jc w:val="center"/>
                        <w:rPr>
                          <w:rFonts w:hint="eastAsia" w:hAnsi="宋体"/>
                          <w:szCs w:val="21"/>
                        </w:rPr>
                      </w:pPr>
                    </w:p>
                    <w:p w14:paraId="6C991CF1">
                      <w:pPr>
                        <w:jc w:val="center"/>
                        <w:rPr>
                          <w:rFonts w:hint="eastAsia"/>
                          <w:szCs w:val="21"/>
                        </w:rPr>
                      </w:pPr>
                      <w:r>
                        <w:rPr>
                          <w:rFonts w:hint="eastAsia" w:hAnsi="宋体"/>
                          <w:szCs w:val="21"/>
                        </w:rPr>
                        <w:t>法定代表人身份证复印件</w:t>
                      </w:r>
                    </w:p>
                  </w:txbxContent>
                </v:textbox>
              </v:shape>
            </w:pict>
          </mc:Fallback>
        </mc:AlternateContent>
      </w:r>
    </w:p>
    <w:p w14:paraId="063F57E1">
      <w:pPr>
        <w:spacing w:line="500" w:lineRule="exact"/>
        <w:rPr>
          <w:rFonts w:hint="eastAsia" w:ascii="仿宋" w:hAnsi="仿宋" w:eastAsia="仿宋" w:cs="仿宋"/>
          <w:sz w:val="21"/>
          <w:szCs w:val="21"/>
        </w:rPr>
      </w:pPr>
    </w:p>
    <w:p w14:paraId="4AC41A33">
      <w:pPr>
        <w:spacing w:line="500" w:lineRule="exact"/>
        <w:rPr>
          <w:rFonts w:hint="eastAsia" w:ascii="仿宋" w:hAnsi="仿宋" w:eastAsia="仿宋" w:cs="仿宋"/>
          <w:sz w:val="21"/>
          <w:szCs w:val="21"/>
        </w:rPr>
      </w:pPr>
    </w:p>
    <w:p w14:paraId="5B22E205">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仿宋" w:hAnsi="仿宋" w:eastAsia="仿宋" w:cs="仿宋"/>
          <w:sz w:val="21"/>
          <w:szCs w:val="21"/>
        </w:rPr>
      </w:pPr>
    </w:p>
    <w:p w14:paraId="2EB36C5B">
      <w:pPr>
        <w:spacing w:line="500" w:lineRule="exact"/>
        <w:jc w:val="center"/>
        <w:rPr>
          <w:rFonts w:hint="eastAsia" w:ascii="仿宋" w:hAnsi="仿宋" w:eastAsia="仿宋" w:cs="仿宋"/>
          <w:sz w:val="21"/>
          <w:szCs w:val="21"/>
        </w:rPr>
      </w:pPr>
    </w:p>
    <w:p w14:paraId="10E270B2">
      <w:pPr>
        <w:autoSpaceDE w:val="0"/>
        <w:autoSpaceDN w:val="0"/>
        <w:adjustRightInd w:val="0"/>
        <w:spacing w:line="500" w:lineRule="exact"/>
        <w:ind w:right="246" w:firstLine="695" w:firstLineChars="327"/>
        <w:rPr>
          <w:rFonts w:hint="eastAsia" w:ascii="仿宋" w:hAnsi="仿宋" w:eastAsia="仿宋" w:cs="仿宋"/>
          <w:kern w:val="0"/>
          <w:sz w:val="21"/>
          <w:szCs w:val="21"/>
        </w:rPr>
      </w:pPr>
    </w:p>
    <w:p w14:paraId="1AECF016">
      <w:pPr>
        <w:pStyle w:val="11"/>
        <w:tabs>
          <w:tab w:val="left" w:pos="5580"/>
        </w:tabs>
        <w:spacing w:line="240" w:lineRule="atLeast"/>
        <w:ind w:firstLine="426" w:firstLineChars="200"/>
        <w:rPr>
          <w:rFonts w:hint="eastAsia" w:ascii="仿宋" w:hAnsi="仿宋" w:eastAsia="仿宋" w:cs="仿宋"/>
          <w:color w:val="auto"/>
          <w:sz w:val="21"/>
          <w:szCs w:val="21"/>
          <w:u w:val="single"/>
        </w:rPr>
      </w:pPr>
      <w:r>
        <w:rPr>
          <w:rFonts w:hint="eastAsia" w:ascii="仿宋" w:hAnsi="仿宋" w:eastAsia="仿宋" w:cs="仿宋"/>
          <w:color w:val="auto"/>
          <w:sz w:val="21"/>
          <w:szCs w:val="21"/>
        </w:rPr>
        <w:t>投标人（盖单位章）;</w:t>
      </w:r>
      <w:r>
        <w:rPr>
          <w:rFonts w:hint="eastAsia" w:ascii="仿宋" w:hAnsi="仿宋" w:eastAsia="仿宋" w:cs="仿宋"/>
          <w:color w:val="auto"/>
          <w:sz w:val="21"/>
          <w:szCs w:val="21"/>
          <w:u w:val="single"/>
        </w:rPr>
        <w:t xml:space="preserve">                           </w:t>
      </w:r>
    </w:p>
    <w:p w14:paraId="446A02F3">
      <w:pPr>
        <w:pStyle w:val="11"/>
        <w:tabs>
          <w:tab w:val="left" w:pos="5580"/>
        </w:tabs>
        <w:spacing w:line="240" w:lineRule="atLeast"/>
        <w:ind w:firstLine="426" w:firstLineChars="200"/>
        <w:rPr>
          <w:rFonts w:hint="eastAsia" w:ascii="仿宋" w:hAnsi="仿宋" w:eastAsia="仿宋" w:cs="仿宋"/>
          <w:color w:val="auto"/>
          <w:sz w:val="21"/>
          <w:szCs w:val="21"/>
        </w:rPr>
      </w:pPr>
      <w:r>
        <w:rPr>
          <w:rFonts w:hint="eastAsia" w:ascii="仿宋" w:hAnsi="仿宋" w:eastAsia="仿宋" w:cs="仿宋"/>
          <w:color w:val="auto"/>
          <w:sz w:val="21"/>
          <w:szCs w:val="21"/>
        </w:rPr>
        <w:t>法定代表人</w:t>
      </w:r>
      <w:r>
        <w:rPr>
          <w:rFonts w:hint="eastAsia" w:ascii="仿宋" w:hAnsi="仿宋" w:eastAsia="仿宋" w:cs="仿宋"/>
          <w:sz w:val="21"/>
          <w:szCs w:val="21"/>
          <w:lang w:eastAsia="zh-CN"/>
        </w:rPr>
        <w:t>（</w:t>
      </w:r>
      <w:r>
        <w:rPr>
          <w:rFonts w:hint="eastAsia" w:ascii="仿宋" w:hAnsi="仿宋" w:eastAsia="仿宋" w:cs="仿宋"/>
          <w:sz w:val="21"/>
          <w:szCs w:val="21"/>
        </w:rPr>
        <w:t>签字</w:t>
      </w:r>
      <w:r>
        <w:rPr>
          <w:rFonts w:hint="eastAsia" w:ascii="仿宋" w:hAnsi="仿宋" w:eastAsia="仿宋" w:cs="仿宋"/>
          <w:sz w:val="21"/>
          <w:szCs w:val="21"/>
          <w:lang w:eastAsia="zh-CN"/>
        </w:rPr>
        <w:t>或盖章）</w:t>
      </w:r>
      <w:r>
        <w:rPr>
          <w:rFonts w:hint="eastAsia" w:ascii="仿宋" w:hAnsi="仿宋" w:eastAsia="仿宋" w:cs="仿宋"/>
          <w:color w:val="auto"/>
          <w:sz w:val="21"/>
          <w:szCs w:val="21"/>
        </w:rPr>
        <w:t>：</w:t>
      </w:r>
      <w:r>
        <w:rPr>
          <w:rFonts w:hint="eastAsia" w:ascii="仿宋" w:hAnsi="仿宋" w:eastAsia="仿宋" w:cs="仿宋"/>
          <w:color w:val="auto"/>
          <w:sz w:val="21"/>
          <w:szCs w:val="21"/>
          <w:u w:val="single"/>
        </w:rPr>
        <w:t xml:space="preserve">                     </w:t>
      </w:r>
    </w:p>
    <w:p w14:paraId="3F5261BB">
      <w:pPr>
        <w:spacing w:line="360" w:lineRule="auto"/>
        <w:ind w:firstLine="426" w:firstLineChars="200"/>
        <w:jc w:val="left"/>
        <w:rPr>
          <w:rFonts w:hint="eastAsia" w:ascii="仿宋" w:hAnsi="仿宋" w:eastAsia="仿宋" w:cs="仿宋"/>
          <w:sz w:val="21"/>
          <w:szCs w:val="21"/>
          <w:u w:val="none" w:color="000000"/>
        </w:rPr>
      </w:pPr>
      <w:r>
        <w:rPr>
          <w:rFonts w:hint="eastAsia" w:ascii="仿宋" w:hAnsi="仿宋" w:eastAsia="仿宋" w:cs="仿宋"/>
          <w:sz w:val="21"/>
          <w:szCs w:val="21"/>
          <w:u w:val="none" w:color="000000"/>
        </w:rPr>
        <w:t xml:space="preserve">年   月   日 </w:t>
      </w:r>
    </w:p>
    <w:p w14:paraId="4F4D3B82">
      <w:pPr>
        <w:pStyle w:val="8"/>
        <w:numPr>
          <w:ilvl w:val="0"/>
          <w:numId w:val="0"/>
        </w:numPr>
        <w:kinsoku w:val="0"/>
        <w:overflowPunct w:val="0"/>
        <w:spacing w:before="34" w:line="357" w:lineRule="auto"/>
        <w:ind w:left="636" w:leftChars="0" w:right="126" w:hanging="636" w:hangingChars="225"/>
        <w:jc w:val="center"/>
        <w:outlineLvl w:val="4"/>
        <w:rPr>
          <w:rFonts w:hint="eastAsia" w:ascii="仿宋" w:hAnsi="仿宋" w:eastAsia="仿宋" w:cs="仿宋"/>
          <w:b/>
          <w:bCs/>
          <w:color w:val="auto"/>
          <w:sz w:val="28"/>
          <w:szCs w:val="28"/>
          <w:lang w:val="en-US" w:eastAsia="zh-CN"/>
        </w:rPr>
        <w:sectPr>
          <w:pgSz w:w="11905" w:h="16838"/>
          <w:pgMar w:top="1440" w:right="1080" w:bottom="1440" w:left="1080" w:header="850" w:footer="992" w:gutter="0"/>
          <w:pgNumType w:fmt="decimal"/>
          <w:cols w:space="720" w:num="1"/>
          <w:docGrid w:type="linesAndChars" w:linePitch="325" w:charSpace="635"/>
        </w:sectPr>
      </w:pPr>
    </w:p>
    <w:p w14:paraId="316840C6">
      <w:pPr>
        <w:pStyle w:val="8"/>
        <w:numPr>
          <w:ilvl w:val="0"/>
          <w:numId w:val="0"/>
        </w:numPr>
        <w:kinsoku w:val="0"/>
        <w:overflowPunct w:val="0"/>
        <w:spacing w:before="34" w:line="357" w:lineRule="auto"/>
        <w:ind w:left="636" w:leftChars="0" w:right="126" w:hanging="636" w:hangingChars="225"/>
        <w:jc w:val="center"/>
        <w:outlineLvl w:val="4"/>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法定代表人授权委托书(格式三，自然人投标的无需提供)</w:t>
      </w:r>
    </w:p>
    <w:p w14:paraId="089AE3A8">
      <w:pPr>
        <w:pStyle w:val="11"/>
        <w:tabs>
          <w:tab w:val="left" w:pos="5580"/>
        </w:tabs>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 xml:space="preserve"> 本授权书声明：注册于</w:t>
      </w:r>
      <w:r>
        <w:rPr>
          <w:rFonts w:hint="eastAsia" w:ascii="仿宋" w:hAnsi="仿宋" w:eastAsia="仿宋" w:cs="仿宋"/>
          <w:color w:val="auto"/>
          <w:sz w:val="21"/>
          <w:szCs w:val="21"/>
          <w:u w:val="single"/>
        </w:rPr>
        <w:t>（国家或地区的名称）</w:t>
      </w:r>
      <w:r>
        <w:rPr>
          <w:rFonts w:hint="eastAsia" w:ascii="仿宋" w:hAnsi="仿宋" w:eastAsia="仿宋" w:cs="仿宋"/>
          <w:color w:val="auto"/>
          <w:sz w:val="21"/>
          <w:szCs w:val="21"/>
        </w:rPr>
        <w:t>的（</w:t>
      </w:r>
      <w:r>
        <w:rPr>
          <w:rFonts w:hint="eastAsia" w:ascii="仿宋" w:hAnsi="仿宋" w:eastAsia="仿宋" w:cs="仿宋"/>
          <w:i/>
          <w:color w:val="auto"/>
          <w:sz w:val="21"/>
          <w:szCs w:val="21"/>
          <w:u w:val="single"/>
        </w:rPr>
        <w:t>投标人</w:t>
      </w:r>
      <w:r>
        <w:rPr>
          <w:rFonts w:hint="eastAsia" w:ascii="仿宋" w:hAnsi="仿宋" w:eastAsia="仿宋" w:cs="仿宋"/>
          <w:color w:val="auto"/>
          <w:sz w:val="21"/>
          <w:szCs w:val="21"/>
        </w:rPr>
        <w:t>）的在下面签字的</w:t>
      </w:r>
      <w:r>
        <w:rPr>
          <w:rFonts w:hint="eastAsia" w:ascii="仿宋" w:hAnsi="仿宋" w:eastAsia="仿宋" w:cs="仿宋"/>
          <w:color w:val="auto"/>
          <w:sz w:val="21"/>
          <w:szCs w:val="21"/>
          <w:u w:val="single"/>
        </w:rPr>
        <w:t>（法人代表姓名、职务）</w:t>
      </w:r>
      <w:r>
        <w:rPr>
          <w:rFonts w:hint="eastAsia" w:ascii="仿宋" w:hAnsi="仿宋" w:eastAsia="仿宋" w:cs="仿宋"/>
          <w:color w:val="auto"/>
          <w:sz w:val="21"/>
          <w:szCs w:val="21"/>
        </w:rPr>
        <w:t>代表我单位授权（</w:t>
      </w:r>
      <w:r>
        <w:rPr>
          <w:rFonts w:hint="eastAsia" w:ascii="仿宋" w:hAnsi="仿宋" w:eastAsia="仿宋" w:cs="仿宋"/>
          <w:color w:val="auto"/>
          <w:sz w:val="21"/>
          <w:szCs w:val="21"/>
          <w:u w:val="single"/>
        </w:rPr>
        <w:t>单位名称）</w:t>
      </w:r>
      <w:r>
        <w:rPr>
          <w:rFonts w:hint="eastAsia" w:ascii="仿宋" w:hAnsi="仿宋" w:eastAsia="仿宋" w:cs="仿宋"/>
          <w:color w:val="auto"/>
          <w:sz w:val="21"/>
          <w:szCs w:val="21"/>
        </w:rPr>
        <w:t>的在下面签字的（</w:t>
      </w:r>
      <w:r>
        <w:rPr>
          <w:rFonts w:hint="eastAsia" w:ascii="仿宋" w:hAnsi="仿宋" w:eastAsia="仿宋" w:cs="仿宋"/>
          <w:color w:val="auto"/>
          <w:sz w:val="21"/>
          <w:szCs w:val="21"/>
          <w:u w:val="single"/>
        </w:rPr>
        <w:t>被授权人的姓名、职务</w:t>
      </w:r>
      <w:r>
        <w:rPr>
          <w:rFonts w:hint="eastAsia" w:ascii="仿宋" w:hAnsi="仿宋" w:eastAsia="仿宋" w:cs="仿宋"/>
          <w:color w:val="auto"/>
          <w:sz w:val="21"/>
          <w:szCs w:val="21"/>
        </w:rPr>
        <w:t>）为我单位的合法代理人，就（</w:t>
      </w:r>
      <w:r>
        <w:rPr>
          <w:rFonts w:hint="eastAsia" w:ascii="仿宋" w:hAnsi="仿宋" w:eastAsia="仿宋" w:cs="仿宋"/>
          <w:color w:val="auto"/>
          <w:sz w:val="21"/>
          <w:szCs w:val="21"/>
          <w:u w:val="single"/>
        </w:rPr>
        <w:t>项目名称</w:t>
      </w:r>
      <w:r>
        <w:rPr>
          <w:rFonts w:hint="eastAsia" w:ascii="仿宋" w:hAnsi="仿宋" w:eastAsia="仿宋" w:cs="仿宋"/>
          <w:color w:val="auto"/>
          <w:sz w:val="21"/>
          <w:szCs w:val="21"/>
        </w:rPr>
        <w:t>）投标，以我单位名义处理一切与之有关的事务。</w:t>
      </w:r>
      <w:r>
        <w:rPr>
          <w:rFonts w:hint="eastAsia" w:ascii="仿宋" w:hAnsi="仿宋" w:eastAsia="仿宋" w:cs="仿宋"/>
          <w:color w:val="auto"/>
          <w:sz w:val="21"/>
          <w:szCs w:val="21"/>
        </w:rPr>
        <w:cr/>
      </w:r>
      <w:r>
        <w:rPr>
          <w:rFonts w:hint="eastAsia" w:ascii="仿宋" w:hAnsi="仿宋" w:eastAsia="仿宋" w:cs="仿宋"/>
          <w:color w:val="auto"/>
          <w:sz w:val="21"/>
          <w:szCs w:val="21"/>
        </w:rPr>
        <w:t>　　本授权书于</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年</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月</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日签字生效,特此声明。</w:t>
      </w:r>
      <w:r>
        <w:rPr>
          <w:rFonts w:hint="eastAsia" w:ascii="仿宋" w:hAnsi="仿宋" w:eastAsia="仿宋" w:cs="仿宋"/>
          <w:color w:val="auto"/>
          <w:sz w:val="21"/>
          <w:szCs w:val="21"/>
        </w:rPr>
        <w:cr/>
      </w:r>
    </w:p>
    <w:p w14:paraId="2EB0247F">
      <w:pPr>
        <w:pStyle w:val="11"/>
        <w:tabs>
          <w:tab w:val="left" w:pos="5580"/>
        </w:tabs>
        <w:spacing w:line="240" w:lineRule="atLeast"/>
        <w:ind w:left="-547" w:leftChars="-257" w:firstLine="798" w:firstLineChars="375"/>
        <w:rPr>
          <w:rFonts w:hint="eastAsia" w:ascii="仿宋" w:hAnsi="仿宋" w:eastAsia="仿宋" w:cs="仿宋"/>
          <w:color w:val="auto"/>
          <w:sz w:val="21"/>
          <w:szCs w:val="21"/>
        </w:rPr>
      </w:pPr>
      <w:r>
        <w:rPr>
          <w:rFonts w:hint="eastAsia" w:ascii="仿宋" w:hAnsi="仿宋" w:eastAsia="仿宋" w:cs="仿宋"/>
          <w:color w:val="auto"/>
          <w:sz w:val="21"/>
          <w:szCs w:val="21"/>
        </w:rPr>
        <mc:AlternateContent>
          <mc:Choice Requires="wps">
            <w:drawing>
              <wp:anchor distT="0" distB="0" distL="114300" distR="114300" simplePos="0" relativeHeight="251663360" behindDoc="0" locked="0" layoutInCell="1" allowOverlap="1">
                <wp:simplePos x="0" y="0"/>
                <wp:positionH relativeFrom="column">
                  <wp:posOffset>3039110</wp:posOffset>
                </wp:positionH>
                <wp:positionV relativeFrom="paragraph">
                  <wp:posOffset>167640</wp:posOffset>
                </wp:positionV>
                <wp:extent cx="2478405" cy="1125220"/>
                <wp:effectExtent l="7620" t="7620" r="9525" b="10160"/>
                <wp:wrapNone/>
                <wp:docPr id="4" name="圆角矩形 4"/>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06688773">
                            <w:pPr>
                              <w:rPr>
                                <w:rFonts w:hint="eastAsia" w:hAnsi="宋体"/>
                              </w:rPr>
                            </w:pPr>
                          </w:p>
                          <w:p w14:paraId="0230E862">
                            <w:pPr>
                              <w:rPr>
                                <w:rFonts w:hint="eastAsia" w:hAnsi="宋体"/>
                              </w:rPr>
                            </w:pPr>
                          </w:p>
                          <w:p w14:paraId="3D9C9671">
                            <w:pPr>
                              <w:ind w:firstLine="630" w:firstLineChars="300"/>
                            </w:pPr>
                            <w:r>
                              <w:rPr>
                                <w:rFonts w:hint="eastAsia" w:hAnsi="宋体"/>
                              </w:rPr>
                              <w:t>授权委托人身份证复印件</w:t>
                            </w:r>
                          </w:p>
                          <w:p w14:paraId="32CCA7BA"/>
                        </w:txbxContent>
                      </wps:txbx>
                      <wps:bodyPr upright="1"/>
                    </wps:wsp>
                  </a:graphicData>
                </a:graphic>
              </wp:anchor>
            </w:drawing>
          </mc:Choice>
          <mc:Fallback>
            <w:pict>
              <v:roundrect id="_x0000_s1026" o:spid="_x0000_s1026" o:spt="2" style="position:absolute;left:0pt;margin-left:239.3pt;margin-top:13.2pt;height:88.6pt;width:195.15pt;z-index:251663360;mso-width-relative:page;mso-height-relative:page;" fillcolor="#FFFFFF" filled="t"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oXJItsAAAAKAQAADwAAAAAAAAABACAAAAAiAAAAZHJzL2Rvd25yZXYueG1sUEsB&#10;AhQAFAAAAAgAh07iQKUw96QrAgAAZgQAAA4AAAAAAAAAAQAgAAAAKgEAAGRycy9lMm9Eb2MueG1s&#10;UEsFBgAAAAAGAAYAWQEAAMcFAAAAAA==&#10;">
                <v:fill on="t" focussize="0,0"/>
                <v:stroke weight="1.25pt" color="#808080" joinstyle="round"/>
                <v:imagedata o:title=""/>
                <o:lock v:ext="edit" aspectratio="f"/>
                <v:textbox>
                  <w:txbxContent>
                    <w:p w14:paraId="06688773">
                      <w:pPr>
                        <w:rPr>
                          <w:rFonts w:hint="eastAsia" w:hAnsi="宋体"/>
                        </w:rPr>
                      </w:pPr>
                    </w:p>
                    <w:p w14:paraId="0230E862">
                      <w:pPr>
                        <w:rPr>
                          <w:rFonts w:hint="eastAsia" w:hAnsi="宋体"/>
                        </w:rPr>
                      </w:pPr>
                    </w:p>
                    <w:p w14:paraId="3D9C9671">
                      <w:pPr>
                        <w:ind w:firstLine="630" w:firstLineChars="300"/>
                      </w:pPr>
                      <w:r>
                        <w:rPr>
                          <w:rFonts w:hint="eastAsia" w:hAnsi="宋体"/>
                        </w:rPr>
                        <w:t>授权委托人身份证复印件</w:t>
                      </w:r>
                    </w:p>
                    <w:p w14:paraId="32CCA7BA"/>
                  </w:txbxContent>
                </v:textbox>
              </v:roundrect>
            </w:pict>
          </mc:Fallback>
        </mc:AlternateContent>
      </w:r>
      <w:r>
        <w:rPr>
          <w:rFonts w:hint="eastAsia" w:ascii="仿宋" w:hAnsi="仿宋" w:eastAsia="仿宋" w:cs="仿宋"/>
          <w:color w:val="auto"/>
          <w:sz w:val="21"/>
          <w:szCs w:val="21"/>
        </w:rPr>
        <mc:AlternateContent>
          <mc:Choice Requires="wps">
            <w:drawing>
              <wp:anchor distT="0" distB="0" distL="114300" distR="114300" simplePos="0" relativeHeight="251662336" behindDoc="0" locked="0" layoutInCell="1" allowOverlap="1">
                <wp:simplePos x="0" y="0"/>
                <wp:positionH relativeFrom="column">
                  <wp:posOffset>20955</wp:posOffset>
                </wp:positionH>
                <wp:positionV relativeFrom="paragraph">
                  <wp:posOffset>135890</wp:posOffset>
                </wp:positionV>
                <wp:extent cx="2507615" cy="1143000"/>
                <wp:effectExtent l="4445" t="4445" r="21590" b="14605"/>
                <wp:wrapNone/>
                <wp:docPr id="6" name="流程图: 可选过程 6"/>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CE0B46">
                            <w:pPr>
                              <w:jc w:val="center"/>
                              <w:rPr>
                                <w:rFonts w:hint="eastAsia" w:hAnsi="宋体"/>
                              </w:rPr>
                            </w:pPr>
                          </w:p>
                          <w:p w14:paraId="64FA3ADB">
                            <w:pPr>
                              <w:jc w:val="center"/>
                              <w:rPr>
                                <w:rFonts w:hint="eastAsia" w:hAnsi="宋体"/>
                              </w:rPr>
                            </w:pPr>
                          </w:p>
                          <w:p w14:paraId="3D051EFD">
                            <w:pPr>
                              <w:ind w:firstLine="630" w:firstLineChars="300"/>
                              <w:jc w:val="both"/>
                            </w:pPr>
                            <w:r>
                              <w:rPr>
                                <w:rFonts w:hint="eastAsia" w:hAnsi="宋体"/>
                              </w:rPr>
                              <w:t>授权委托人身份证复印件</w:t>
                            </w:r>
                          </w:p>
                        </w:txbxContent>
                      </wps:txbx>
                      <wps:bodyPr upright="1"/>
                    </wps:wsp>
                  </a:graphicData>
                </a:graphic>
              </wp:anchor>
            </w:drawing>
          </mc:Choice>
          <mc:Fallback>
            <w:pict>
              <v:shape id="_x0000_s1026" o:spid="_x0000_s1026" o:spt="176" type="#_x0000_t176" style="position:absolute;left:0pt;margin-left:1.65pt;margin-top:10.7pt;height:90pt;width:197.45pt;z-index:251662336;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gSMjDWAAAACAEAAA8AAAAAAAAAAQAgAAAAIgAAAGRycy9kb3ducmV2LnhtbFBL&#10;AQIUABQAAAAIAIdO4kDJH0QGMQIAAF4EAAAOAAAAAAAAAAEAIAAAACUBAABkcnMvZTJvRG9jLnht&#10;bFBLBQYAAAAABgAGAFkBAADIBQAAAAA=&#10;">
                <v:fill on="t" focussize="0,0"/>
                <v:stroke color="#000000" joinstyle="miter"/>
                <v:imagedata o:title=""/>
                <o:lock v:ext="edit" aspectratio="f"/>
                <v:textbox>
                  <w:txbxContent>
                    <w:p w14:paraId="31CE0B46">
                      <w:pPr>
                        <w:jc w:val="center"/>
                        <w:rPr>
                          <w:rFonts w:hint="eastAsia" w:hAnsi="宋体"/>
                        </w:rPr>
                      </w:pPr>
                    </w:p>
                    <w:p w14:paraId="64FA3ADB">
                      <w:pPr>
                        <w:jc w:val="center"/>
                        <w:rPr>
                          <w:rFonts w:hint="eastAsia" w:hAnsi="宋体"/>
                        </w:rPr>
                      </w:pPr>
                    </w:p>
                    <w:p w14:paraId="3D051EFD">
                      <w:pPr>
                        <w:ind w:firstLine="630" w:firstLineChars="300"/>
                        <w:jc w:val="both"/>
                      </w:pPr>
                      <w:r>
                        <w:rPr>
                          <w:rFonts w:hint="eastAsia" w:hAnsi="宋体"/>
                        </w:rPr>
                        <w:t>授权委托人身份证复印件</w:t>
                      </w:r>
                    </w:p>
                  </w:txbxContent>
                </v:textbox>
              </v:shape>
            </w:pict>
          </mc:Fallback>
        </mc:AlternateContent>
      </w:r>
    </w:p>
    <w:p w14:paraId="6D90C544">
      <w:pPr>
        <w:spacing w:line="360" w:lineRule="auto"/>
        <w:ind w:firstLine="213" w:firstLineChars="100"/>
        <w:rPr>
          <w:rFonts w:hint="eastAsia" w:ascii="仿宋" w:hAnsi="仿宋" w:eastAsia="仿宋" w:cs="仿宋"/>
          <w:sz w:val="21"/>
          <w:szCs w:val="21"/>
        </w:rPr>
      </w:pPr>
    </w:p>
    <w:p w14:paraId="0077B781">
      <w:pPr>
        <w:spacing w:line="360" w:lineRule="auto"/>
        <w:ind w:firstLine="213" w:firstLineChars="100"/>
        <w:rPr>
          <w:rFonts w:hint="eastAsia" w:ascii="仿宋" w:hAnsi="仿宋" w:eastAsia="仿宋" w:cs="仿宋"/>
          <w:sz w:val="21"/>
          <w:szCs w:val="21"/>
        </w:rPr>
      </w:pPr>
    </w:p>
    <w:p w14:paraId="4BEED729">
      <w:pPr>
        <w:spacing w:line="360" w:lineRule="auto"/>
        <w:ind w:firstLine="213" w:firstLineChars="100"/>
        <w:rPr>
          <w:rFonts w:hint="eastAsia" w:ascii="仿宋" w:hAnsi="仿宋" w:eastAsia="仿宋" w:cs="仿宋"/>
          <w:sz w:val="21"/>
          <w:szCs w:val="21"/>
        </w:rPr>
      </w:pPr>
    </w:p>
    <w:p w14:paraId="60380B4C">
      <w:pPr>
        <w:spacing w:line="360" w:lineRule="auto"/>
        <w:ind w:firstLine="213" w:firstLineChars="100"/>
        <w:rPr>
          <w:rFonts w:hint="eastAsia" w:ascii="仿宋" w:hAnsi="仿宋" w:eastAsia="仿宋" w:cs="仿宋"/>
          <w:sz w:val="21"/>
          <w:szCs w:val="21"/>
        </w:rPr>
      </w:pPr>
    </w:p>
    <w:p w14:paraId="510CDA6F">
      <w:pPr>
        <w:spacing w:line="360" w:lineRule="auto"/>
        <w:ind w:firstLine="213" w:firstLineChars="100"/>
        <w:rPr>
          <w:rFonts w:hint="eastAsia" w:ascii="仿宋" w:hAnsi="仿宋" w:eastAsia="仿宋" w:cs="仿宋"/>
          <w:sz w:val="21"/>
          <w:szCs w:val="21"/>
        </w:rPr>
      </w:pPr>
      <w:r>
        <w:rPr>
          <w:rFonts w:hint="eastAsia" w:ascii="仿宋" w:hAnsi="仿宋" w:eastAsia="仿宋" w:cs="仿宋"/>
          <w:sz w:val="21"/>
          <w:szCs w:val="21"/>
        </w:rPr>
        <mc:AlternateContent>
          <mc:Choice Requires="wps">
            <w:drawing>
              <wp:anchor distT="0" distB="0" distL="114300" distR="114300" simplePos="0" relativeHeight="251665408" behindDoc="0" locked="0" layoutInCell="1" allowOverlap="1">
                <wp:simplePos x="0" y="0"/>
                <wp:positionH relativeFrom="column">
                  <wp:posOffset>3018155</wp:posOffset>
                </wp:positionH>
                <wp:positionV relativeFrom="paragraph">
                  <wp:posOffset>53975</wp:posOffset>
                </wp:positionV>
                <wp:extent cx="2535555" cy="1029335"/>
                <wp:effectExtent l="7620" t="7620" r="9525" b="10795"/>
                <wp:wrapNone/>
                <wp:docPr id="5" name="圆角矩形 5"/>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3EF9FF72">
                            <w:pPr>
                              <w:jc w:val="center"/>
                              <w:rPr>
                                <w:rFonts w:hint="eastAsia" w:hAnsi="宋体"/>
                              </w:rPr>
                            </w:pPr>
                            <w:r>
                              <w:rPr>
                                <w:rFonts w:hint="eastAsia" w:hAnsi="宋体"/>
                              </w:rPr>
                              <w:t xml:space="preserve">  </w:t>
                            </w:r>
                          </w:p>
                          <w:p w14:paraId="7E5007ED">
                            <w:pPr>
                              <w:jc w:val="center"/>
                              <w:rPr>
                                <w:rFonts w:hint="eastAsia" w:hAnsi="宋体"/>
                              </w:rPr>
                            </w:pPr>
                          </w:p>
                          <w:p w14:paraId="431F9931">
                            <w:pPr>
                              <w:ind w:firstLine="840" w:firstLineChars="400"/>
                              <w:jc w:val="both"/>
                            </w:pPr>
                            <w:r>
                              <w:rPr>
                                <w:rFonts w:hint="eastAsia" w:hAnsi="宋体"/>
                              </w:rPr>
                              <w:t>法人身份证复印件</w:t>
                            </w:r>
                          </w:p>
                          <w:p w14:paraId="3CB6CE87"/>
                        </w:txbxContent>
                      </wps:txbx>
                      <wps:bodyPr upright="1"/>
                    </wps:wsp>
                  </a:graphicData>
                </a:graphic>
              </wp:anchor>
            </w:drawing>
          </mc:Choice>
          <mc:Fallback>
            <w:pict>
              <v:roundrect id="_x0000_s1026" o:spid="_x0000_s1026" o:spt="2" style="position:absolute;left:0pt;margin-left:237.65pt;margin-top:4.25pt;height:81.05pt;width:199.65pt;z-index:251665408;mso-width-relative:page;mso-height-relative:page;" fillcolor="#FFFFFF" filled="t"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UHNIL2gAAAAkBAAAPAAAAAAAAAAEAIAAAACIAAABkcnMvZG93bnJldi54bWxQSwEC&#10;FAAUAAAACACHTuJAq/jkISsCAABmBAAADgAAAAAAAAABACAAAAApAQAAZHJzL2Uyb0RvYy54bWxQ&#10;SwUGAAAAAAYABgBZAQAAxgUAAAAA&#10;">
                <v:fill on="t" focussize="0,0"/>
                <v:stroke weight="1.25pt" color="#808080" joinstyle="round"/>
                <v:imagedata o:title=""/>
                <o:lock v:ext="edit" aspectratio="f"/>
                <v:textbox>
                  <w:txbxContent>
                    <w:p w14:paraId="3EF9FF72">
                      <w:pPr>
                        <w:jc w:val="center"/>
                        <w:rPr>
                          <w:rFonts w:hint="eastAsia" w:hAnsi="宋体"/>
                        </w:rPr>
                      </w:pPr>
                      <w:r>
                        <w:rPr>
                          <w:rFonts w:hint="eastAsia" w:hAnsi="宋体"/>
                        </w:rPr>
                        <w:t xml:space="preserve">  </w:t>
                      </w:r>
                    </w:p>
                    <w:p w14:paraId="7E5007ED">
                      <w:pPr>
                        <w:jc w:val="center"/>
                        <w:rPr>
                          <w:rFonts w:hint="eastAsia" w:hAnsi="宋体"/>
                        </w:rPr>
                      </w:pPr>
                    </w:p>
                    <w:p w14:paraId="431F9931">
                      <w:pPr>
                        <w:ind w:firstLine="840" w:firstLineChars="400"/>
                        <w:jc w:val="both"/>
                      </w:pPr>
                      <w:r>
                        <w:rPr>
                          <w:rFonts w:hint="eastAsia" w:hAnsi="宋体"/>
                        </w:rPr>
                        <w:t>法人身份证复印件</w:t>
                      </w:r>
                    </w:p>
                    <w:p w14:paraId="3CB6CE87"/>
                  </w:txbxContent>
                </v:textbox>
              </v:roundrect>
            </w:pict>
          </mc:Fallback>
        </mc:AlternateContent>
      </w:r>
      <w:r>
        <w:rPr>
          <w:rFonts w:hint="eastAsia" w:ascii="仿宋" w:hAnsi="仿宋" w:eastAsia="仿宋" w:cs="仿宋"/>
          <w:sz w:val="21"/>
          <w:szCs w:val="21"/>
        </w:rPr>
        <mc:AlternateContent>
          <mc:Choice Requires="wps">
            <w:drawing>
              <wp:anchor distT="0" distB="0" distL="114300" distR="114300" simplePos="0" relativeHeight="251664384"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3" name="圆角矩形 3"/>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5ACCFBBE">
                            <w:pPr>
                              <w:jc w:val="center"/>
                              <w:rPr>
                                <w:rFonts w:hint="eastAsia" w:hAnsi="宋体"/>
                              </w:rPr>
                            </w:pPr>
                          </w:p>
                          <w:p w14:paraId="4F523663">
                            <w:pPr>
                              <w:jc w:val="center"/>
                              <w:rPr>
                                <w:rFonts w:hint="eastAsia" w:hAnsi="宋体"/>
                              </w:rPr>
                            </w:pPr>
                          </w:p>
                          <w:p w14:paraId="7027C558">
                            <w:pPr>
                              <w:ind w:firstLine="840" w:firstLineChars="400"/>
                              <w:jc w:val="both"/>
                            </w:pPr>
                            <w:r>
                              <w:rPr>
                                <w:rFonts w:hint="eastAsia" w:hAnsi="宋体"/>
                              </w:rPr>
                              <w:t>法人身份证复印件</w:t>
                            </w:r>
                          </w:p>
                          <w:p w14:paraId="5ECBC854"/>
                        </w:txbxContent>
                      </wps:txbx>
                      <wps:bodyPr upright="1"/>
                    </wps:wsp>
                  </a:graphicData>
                </a:graphic>
              </wp:anchor>
            </w:drawing>
          </mc:Choice>
          <mc:Fallback>
            <w:pict>
              <v:roundrect id="_x0000_s1026" o:spid="_x0000_s1026" o:spt="2" style="position:absolute;left:0pt;margin-left:-0.85pt;margin-top:2.35pt;height:80.7pt;width:201.2pt;z-index:251664384;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74Le9gAAAAIAQAADwAAAAAAAAABACAAAAAiAAAAZHJzL2Rvd25yZXYueG1sUEsB&#10;AhQAFAAAAAgAh07iQPP4MUouAgAAZgQAAA4AAAAAAAAAAQAgAAAAJwEAAGRycy9lMm9Eb2MueG1s&#10;UEsFBgAAAAAGAAYAWQEAAMcFAAAAAA==&#10;">
                <v:fill on="t" focussize="0,0"/>
                <v:stroke weight="1.25pt" color="#808080" joinstyle="round"/>
                <v:imagedata o:title=""/>
                <o:lock v:ext="edit" aspectratio="f"/>
                <v:textbox>
                  <w:txbxContent>
                    <w:p w14:paraId="5ACCFBBE">
                      <w:pPr>
                        <w:jc w:val="center"/>
                        <w:rPr>
                          <w:rFonts w:hint="eastAsia" w:hAnsi="宋体"/>
                        </w:rPr>
                      </w:pPr>
                    </w:p>
                    <w:p w14:paraId="4F523663">
                      <w:pPr>
                        <w:jc w:val="center"/>
                        <w:rPr>
                          <w:rFonts w:hint="eastAsia" w:hAnsi="宋体"/>
                        </w:rPr>
                      </w:pPr>
                    </w:p>
                    <w:p w14:paraId="7027C558">
                      <w:pPr>
                        <w:ind w:firstLine="840" w:firstLineChars="400"/>
                        <w:jc w:val="both"/>
                      </w:pPr>
                      <w:r>
                        <w:rPr>
                          <w:rFonts w:hint="eastAsia" w:hAnsi="宋体"/>
                        </w:rPr>
                        <w:t>法人身份证复印件</w:t>
                      </w:r>
                    </w:p>
                    <w:p w14:paraId="5ECBC854"/>
                  </w:txbxContent>
                </v:textbox>
              </v:roundrect>
            </w:pict>
          </mc:Fallback>
        </mc:AlternateContent>
      </w:r>
    </w:p>
    <w:p w14:paraId="057483FE">
      <w:pPr>
        <w:spacing w:line="360" w:lineRule="auto"/>
        <w:ind w:firstLine="213" w:firstLineChars="100"/>
        <w:rPr>
          <w:rFonts w:hint="eastAsia" w:ascii="仿宋" w:hAnsi="仿宋" w:eastAsia="仿宋" w:cs="仿宋"/>
          <w:sz w:val="21"/>
          <w:szCs w:val="21"/>
        </w:rPr>
      </w:pPr>
    </w:p>
    <w:p w14:paraId="68261D13">
      <w:pPr>
        <w:spacing w:line="360" w:lineRule="auto"/>
        <w:ind w:firstLine="213" w:firstLineChars="100"/>
        <w:rPr>
          <w:rFonts w:hint="eastAsia" w:ascii="仿宋" w:hAnsi="仿宋" w:eastAsia="仿宋" w:cs="仿宋"/>
          <w:sz w:val="21"/>
          <w:szCs w:val="21"/>
        </w:rPr>
      </w:pPr>
    </w:p>
    <w:p w14:paraId="226DC1C4">
      <w:pPr>
        <w:spacing w:line="360" w:lineRule="auto"/>
        <w:ind w:firstLine="213" w:firstLineChars="100"/>
        <w:rPr>
          <w:rFonts w:hint="eastAsia" w:ascii="仿宋" w:hAnsi="仿宋" w:eastAsia="仿宋" w:cs="仿宋"/>
          <w:sz w:val="21"/>
          <w:szCs w:val="21"/>
        </w:rPr>
      </w:pPr>
    </w:p>
    <w:p w14:paraId="49080111">
      <w:pPr>
        <w:spacing w:line="360" w:lineRule="auto"/>
        <w:ind w:firstLine="213" w:firstLineChars="100"/>
        <w:rPr>
          <w:rFonts w:hint="eastAsia" w:ascii="仿宋" w:hAnsi="仿宋" w:eastAsia="仿宋" w:cs="仿宋"/>
          <w:sz w:val="21"/>
          <w:szCs w:val="21"/>
        </w:rPr>
      </w:pPr>
    </w:p>
    <w:p w14:paraId="79949662">
      <w:pPr>
        <w:pStyle w:val="11"/>
        <w:tabs>
          <w:tab w:val="left" w:pos="5580"/>
        </w:tabs>
        <w:spacing w:line="240" w:lineRule="atLeast"/>
        <w:ind w:left="-547" w:leftChars="-257" w:firstLine="798" w:firstLineChars="375"/>
        <w:rPr>
          <w:rFonts w:hint="eastAsia" w:ascii="仿宋" w:hAnsi="仿宋" w:eastAsia="仿宋" w:cs="仿宋"/>
          <w:color w:val="auto"/>
          <w:sz w:val="21"/>
          <w:szCs w:val="21"/>
        </w:rPr>
      </w:pPr>
    </w:p>
    <w:p w14:paraId="5169B8DD">
      <w:pPr>
        <w:pStyle w:val="11"/>
        <w:tabs>
          <w:tab w:val="left" w:pos="5580"/>
        </w:tabs>
        <w:spacing w:line="600" w:lineRule="exact"/>
        <w:ind w:left="-547" w:leftChars="-257" w:firstLine="798" w:firstLineChars="375"/>
        <w:rPr>
          <w:rFonts w:hint="eastAsia" w:ascii="仿宋" w:hAnsi="仿宋" w:eastAsia="仿宋" w:cs="仿宋"/>
          <w:color w:val="auto"/>
          <w:sz w:val="21"/>
          <w:szCs w:val="21"/>
        </w:rPr>
      </w:pPr>
    </w:p>
    <w:p w14:paraId="566B78CB">
      <w:pPr>
        <w:pStyle w:val="11"/>
        <w:tabs>
          <w:tab w:val="left" w:pos="5580"/>
        </w:tabs>
        <w:spacing w:line="600" w:lineRule="exact"/>
        <w:ind w:firstLine="426" w:firstLineChars="200"/>
        <w:rPr>
          <w:rFonts w:hint="eastAsia" w:ascii="仿宋" w:hAnsi="仿宋" w:eastAsia="仿宋" w:cs="仿宋"/>
          <w:color w:val="auto"/>
          <w:sz w:val="21"/>
          <w:szCs w:val="21"/>
          <w:u w:val="single"/>
        </w:rPr>
      </w:pPr>
      <w:r>
        <w:rPr>
          <w:rFonts w:hint="eastAsia" w:ascii="仿宋" w:hAnsi="仿宋" w:eastAsia="仿宋" w:cs="仿宋"/>
          <w:color w:val="auto"/>
          <w:sz w:val="21"/>
          <w:szCs w:val="21"/>
        </w:rPr>
        <w:t>投标人（盖单位章）;</w:t>
      </w:r>
      <w:r>
        <w:rPr>
          <w:rFonts w:hint="eastAsia" w:ascii="仿宋" w:hAnsi="仿宋" w:eastAsia="仿宋" w:cs="仿宋"/>
          <w:color w:val="auto"/>
          <w:sz w:val="21"/>
          <w:szCs w:val="21"/>
          <w:u w:val="single"/>
        </w:rPr>
        <w:t xml:space="preserve">                           </w:t>
      </w:r>
    </w:p>
    <w:p w14:paraId="2B7EE07A">
      <w:pPr>
        <w:pStyle w:val="11"/>
        <w:tabs>
          <w:tab w:val="left" w:pos="5580"/>
        </w:tabs>
        <w:spacing w:line="600" w:lineRule="exact"/>
        <w:ind w:firstLine="426" w:firstLineChars="200"/>
        <w:rPr>
          <w:rFonts w:hint="eastAsia" w:ascii="仿宋" w:hAnsi="仿宋" w:eastAsia="仿宋" w:cs="仿宋"/>
          <w:color w:val="auto"/>
          <w:sz w:val="21"/>
          <w:szCs w:val="21"/>
        </w:rPr>
      </w:pPr>
      <w:r>
        <w:rPr>
          <w:rFonts w:hint="eastAsia" w:ascii="仿宋" w:hAnsi="仿宋" w:eastAsia="仿宋" w:cs="仿宋"/>
          <w:color w:val="auto"/>
          <w:sz w:val="21"/>
          <w:szCs w:val="21"/>
        </w:rPr>
        <w:t>法定代表人</w:t>
      </w:r>
      <w:r>
        <w:rPr>
          <w:rFonts w:hint="eastAsia" w:ascii="仿宋" w:hAnsi="仿宋" w:eastAsia="仿宋" w:cs="仿宋"/>
          <w:sz w:val="21"/>
          <w:szCs w:val="21"/>
          <w:lang w:eastAsia="zh-CN"/>
        </w:rPr>
        <w:t>（</w:t>
      </w:r>
      <w:r>
        <w:rPr>
          <w:rFonts w:hint="eastAsia" w:ascii="仿宋" w:hAnsi="仿宋" w:eastAsia="仿宋" w:cs="仿宋"/>
          <w:sz w:val="21"/>
          <w:szCs w:val="21"/>
        </w:rPr>
        <w:t>签字</w:t>
      </w:r>
      <w:r>
        <w:rPr>
          <w:rFonts w:hint="eastAsia" w:ascii="仿宋" w:hAnsi="仿宋" w:eastAsia="仿宋" w:cs="仿宋"/>
          <w:sz w:val="21"/>
          <w:szCs w:val="21"/>
          <w:lang w:eastAsia="zh-CN"/>
        </w:rPr>
        <w:t>或盖章）</w:t>
      </w:r>
      <w:r>
        <w:rPr>
          <w:rFonts w:hint="eastAsia" w:ascii="仿宋" w:hAnsi="仿宋" w:eastAsia="仿宋" w:cs="仿宋"/>
          <w:color w:val="auto"/>
          <w:sz w:val="21"/>
          <w:szCs w:val="21"/>
        </w:rPr>
        <w:t>：</w:t>
      </w:r>
      <w:r>
        <w:rPr>
          <w:rFonts w:hint="eastAsia" w:ascii="仿宋" w:hAnsi="仿宋" w:eastAsia="仿宋" w:cs="仿宋"/>
          <w:color w:val="auto"/>
          <w:sz w:val="21"/>
          <w:szCs w:val="21"/>
          <w:u w:val="single"/>
        </w:rPr>
        <w:t xml:space="preserve">                     </w:t>
      </w:r>
    </w:p>
    <w:p w14:paraId="4A25B4A2">
      <w:pPr>
        <w:pStyle w:val="11"/>
        <w:tabs>
          <w:tab w:val="left" w:pos="5580"/>
        </w:tabs>
        <w:spacing w:line="600" w:lineRule="exact"/>
        <w:ind w:firstLine="426" w:firstLineChars="200"/>
        <w:rPr>
          <w:rFonts w:hint="eastAsia" w:ascii="仿宋" w:hAnsi="仿宋" w:eastAsia="仿宋" w:cs="仿宋"/>
          <w:color w:val="auto"/>
          <w:sz w:val="21"/>
          <w:szCs w:val="21"/>
          <w:u w:val="single"/>
        </w:rPr>
      </w:pPr>
      <w:r>
        <w:rPr>
          <w:rFonts w:hint="eastAsia" w:ascii="仿宋" w:hAnsi="仿宋" w:eastAsia="仿宋" w:cs="仿宋"/>
          <w:color w:val="auto"/>
          <w:sz w:val="21"/>
          <w:szCs w:val="21"/>
        </w:rPr>
        <w:t>委托代理人：</w:t>
      </w:r>
      <w:r>
        <w:rPr>
          <w:rFonts w:hint="eastAsia" w:ascii="仿宋" w:hAnsi="仿宋" w:eastAsia="仿宋" w:cs="仿宋"/>
          <w:color w:val="auto"/>
          <w:sz w:val="21"/>
          <w:szCs w:val="21"/>
          <w:u w:val="single"/>
        </w:rPr>
        <w:t xml:space="preserve">                                   </w:t>
      </w:r>
    </w:p>
    <w:p w14:paraId="09387347">
      <w:pPr>
        <w:spacing w:line="600" w:lineRule="exact"/>
        <w:ind w:firstLine="426" w:firstLineChars="200"/>
        <w:jc w:val="left"/>
        <w:rPr>
          <w:rFonts w:hint="eastAsia" w:ascii="仿宋" w:hAnsi="仿宋" w:eastAsia="仿宋" w:cs="仿宋"/>
          <w:sz w:val="21"/>
          <w:szCs w:val="21"/>
          <w:u w:val="none" w:color="000000"/>
        </w:rPr>
      </w:pPr>
      <w:r>
        <w:rPr>
          <w:rFonts w:hint="eastAsia" w:ascii="仿宋" w:hAnsi="仿宋" w:eastAsia="仿宋" w:cs="仿宋"/>
          <w:sz w:val="21"/>
          <w:szCs w:val="21"/>
          <w:u w:val="none" w:color="000000"/>
        </w:rPr>
        <w:t xml:space="preserve">年   月   日 </w:t>
      </w:r>
    </w:p>
    <w:p w14:paraId="7A5C24CA">
      <w:pPr>
        <w:pStyle w:val="8"/>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106" w:leftChars="50" w:right="238" w:firstLine="2436" w:firstLineChars="1200"/>
        <w:jc w:val="both"/>
        <w:rPr>
          <w:rFonts w:hint="eastAsia" w:ascii="仿宋" w:hAnsi="仿宋" w:eastAsia="仿宋" w:cs="仿宋"/>
          <w:color w:val="auto"/>
          <w:sz w:val="20"/>
          <w:highlight w:val="none"/>
        </w:rPr>
      </w:pPr>
      <w:r>
        <w:rPr>
          <w:rFonts w:hint="eastAsia" w:ascii="仿宋" w:hAnsi="仿宋" w:eastAsia="仿宋" w:cs="仿宋"/>
          <w:color w:val="auto"/>
          <w:sz w:val="20"/>
          <w:highlight w:val="none"/>
        </w:rPr>
        <w:t xml:space="preserve">     </w:t>
      </w:r>
    </w:p>
    <w:p w14:paraId="02E50FF1">
      <w:pPr>
        <w:rPr>
          <w:rFonts w:hint="eastAsia" w:ascii="仿宋" w:hAnsi="仿宋" w:eastAsia="仿宋" w:cs="仿宋"/>
          <w:color w:val="auto"/>
          <w:sz w:val="20"/>
          <w:highlight w:val="none"/>
        </w:rPr>
      </w:pPr>
    </w:p>
    <w:p w14:paraId="7AD7D073">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78" w:leftChars="0" w:right="126" w:rightChars="0" w:hanging="478" w:hangingChars="132"/>
        <w:jc w:val="center"/>
        <w:textAlignment w:val="auto"/>
        <w:outlineLvl w:val="2"/>
        <w:rPr>
          <w:rFonts w:hint="eastAsia" w:ascii="仿宋" w:hAnsi="仿宋" w:eastAsia="仿宋" w:cs="仿宋"/>
          <w:b/>
          <w:bCs/>
          <w:color w:val="auto"/>
          <w:sz w:val="36"/>
          <w:szCs w:val="36"/>
          <w:lang w:val="en-US" w:eastAsia="zh-CN"/>
        </w:rPr>
        <w:sectPr>
          <w:pgSz w:w="11905" w:h="16838"/>
          <w:pgMar w:top="1440" w:right="1080" w:bottom="1440" w:left="1080" w:header="850" w:footer="992" w:gutter="0"/>
          <w:pgNumType w:fmt="decimal"/>
          <w:cols w:space="720" w:num="1"/>
          <w:docGrid w:type="linesAndChars" w:linePitch="325" w:charSpace="635"/>
        </w:sectPr>
      </w:pPr>
    </w:p>
    <w:p w14:paraId="3F4B060B">
      <w:pPr>
        <w:pStyle w:val="8"/>
        <w:keepNext w:val="0"/>
        <w:keepLines w:val="0"/>
        <w:pageBreakBefore w:val="0"/>
        <w:widowControl w:val="0"/>
        <w:numPr>
          <w:ilvl w:val="0"/>
          <w:numId w:val="4"/>
        </w:numPr>
        <w:shd w:val="clear" w:color="auto" w:fill="auto"/>
        <w:kinsoku w:val="0"/>
        <w:overflowPunct w:val="0"/>
        <w:topLinePunct w:val="0"/>
        <w:autoSpaceDE/>
        <w:autoSpaceDN/>
        <w:bidi w:val="0"/>
        <w:adjustRightInd/>
        <w:snapToGrid/>
        <w:spacing w:before="34" w:line="440" w:lineRule="exact"/>
        <w:ind w:left="372" w:leftChars="0" w:right="126" w:rightChars="0" w:hanging="372" w:hangingChars="132"/>
        <w:jc w:val="left"/>
        <w:textAlignment w:val="auto"/>
        <w:outlineLvl w:val="2"/>
        <w:rPr>
          <w:rFonts w:hint="eastAsia" w:ascii="仿宋" w:hAnsi="仿宋" w:eastAsia="仿宋" w:cs="仿宋"/>
          <w:b/>
          <w:bCs/>
          <w:color w:val="auto"/>
          <w:sz w:val="28"/>
          <w:szCs w:val="28"/>
          <w:lang w:val="en-US" w:eastAsia="zh-CN"/>
        </w:rPr>
        <w:sectPr>
          <w:headerReference r:id="rId10" w:type="default"/>
          <w:footerReference r:id="rId11" w:type="default"/>
          <w:pgSz w:w="11905" w:h="16838"/>
          <w:pgMar w:top="1440" w:right="1080" w:bottom="1440" w:left="1080" w:header="850" w:footer="992" w:gutter="0"/>
          <w:pgNumType w:fmt="decimal"/>
          <w:cols w:space="720" w:num="1"/>
          <w:docGrid w:type="linesAndChars" w:linePitch="325" w:charSpace="635"/>
        </w:sectPr>
      </w:pPr>
      <w:bookmarkStart w:id="377" w:name="_Toc31508"/>
      <w:r>
        <w:rPr>
          <w:rFonts w:hint="eastAsia" w:ascii="仿宋" w:hAnsi="仿宋" w:eastAsia="仿宋" w:cs="仿宋"/>
          <w:b/>
          <w:bCs/>
          <w:color w:val="auto"/>
          <w:sz w:val="28"/>
          <w:szCs w:val="28"/>
          <w:lang w:val="en-US" w:eastAsia="zh-CN"/>
        </w:rPr>
        <w:t>投标企业须提供投标人（被授权在职人员）近6个月任意一个月有效的社保证明和完税证明；</w:t>
      </w:r>
      <w:bookmarkEnd w:id="377"/>
    </w:p>
    <w:p w14:paraId="114F7840">
      <w:pPr>
        <w:pStyle w:val="8"/>
        <w:keepNext w:val="0"/>
        <w:keepLines w:val="0"/>
        <w:pageBreakBefore w:val="0"/>
        <w:widowControl w:val="0"/>
        <w:numPr>
          <w:ilvl w:val="0"/>
          <w:numId w:val="4"/>
        </w:numPr>
        <w:shd w:val="clear" w:color="auto" w:fill="auto"/>
        <w:kinsoku w:val="0"/>
        <w:overflowPunct w:val="0"/>
        <w:topLinePunct w:val="0"/>
        <w:autoSpaceDE/>
        <w:autoSpaceDN/>
        <w:bidi w:val="0"/>
        <w:adjustRightInd/>
        <w:snapToGrid/>
        <w:spacing w:before="34" w:line="440" w:lineRule="exact"/>
        <w:ind w:left="372" w:leftChars="0" w:right="126" w:rightChars="0" w:hanging="372" w:hangingChars="132"/>
        <w:jc w:val="center"/>
        <w:textAlignment w:val="auto"/>
        <w:outlineLvl w:val="2"/>
        <w:rPr>
          <w:rFonts w:hint="eastAsia" w:ascii="仿宋" w:hAnsi="仿宋" w:eastAsia="仿宋" w:cs="仿宋"/>
          <w:b/>
          <w:bCs/>
          <w:color w:val="auto"/>
          <w:sz w:val="28"/>
          <w:szCs w:val="28"/>
          <w:lang w:val="en-US" w:eastAsia="zh-CN"/>
        </w:rPr>
      </w:pPr>
      <w:bookmarkStart w:id="378" w:name="_Toc12952"/>
      <w:r>
        <w:rPr>
          <w:rFonts w:hint="eastAsia" w:ascii="仿宋" w:hAnsi="仿宋" w:eastAsia="仿宋" w:cs="仿宋"/>
          <w:b/>
          <w:bCs/>
          <w:color w:val="auto"/>
          <w:sz w:val="28"/>
          <w:szCs w:val="28"/>
          <w:lang w:val="en-US" w:eastAsia="zh-CN"/>
        </w:rPr>
        <w:t>投标保证金汇款凭证或保函</w:t>
      </w:r>
      <w:bookmarkEnd w:id="378"/>
    </w:p>
    <w:p w14:paraId="1AF2D7A2">
      <w:pPr>
        <w:ind w:firstLine="426" w:firstLineChars="200"/>
        <w:rPr>
          <w:rFonts w:hint="eastAsia" w:ascii="仿宋" w:hAnsi="仿宋" w:eastAsia="仿宋" w:cs="仿宋"/>
          <w:sz w:val="21"/>
          <w:szCs w:val="21"/>
        </w:rPr>
      </w:pPr>
      <w:r>
        <w:rPr>
          <w:rFonts w:hint="eastAsia" w:ascii="仿宋" w:hAnsi="仿宋" w:eastAsia="仿宋" w:cs="仿宋"/>
          <w:sz w:val="21"/>
          <w:szCs w:val="21"/>
        </w:rPr>
        <w:t>投标人可将本项目投标保证金支付的汇款凭证、支票、汇票或保证金收据（如有）的复印件作为缴纳凭证，</w:t>
      </w:r>
      <w:r>
        <w:rPr>
          <w:rFonts w:hint="eastAsia" w:ascii="仿宋" w:hAnsi="仿宋" w:eastAsia="仿宋" w:cs="仿宋"/>
          <w:sz w:val="21"/>
          <w:szCs w:val="21"/>
          <w:lang w:val="en-US" w:eastAsia="zh-CN"/>
        </w:rPr>
        <w:t>扫描件</w:t>
      </w:r>
      <w:r>
        <w:rPr>
          <w:rFonts w:hint="eastAsia" w:ascii="仿宋" w:hAnsi="仿宋" w:eastAsia="仿宋" w:cs="仿宋"/>
          <w:sz w:val="21"/>
          <w:szCs w:val="21"/>
        </w:rPr>
        <w:t>上应加盖本单位章；使用银行保函等其他投标担保函的，应将担保函正本</w:t>
      </w:r>
      <w:r>
        <w:rPr>
          <w:rFonts w:hint="eastAsia" w:ascii="仿宋" w:hAnsi="仿宋" w:eastAsia="仿宋" w:cs="仿宋"/>
          <w:sz w:val="21"/>
          <w:szCs w:val="21"/>
          <w:lang w:val="en-US" w:eastAsia="zh-CN"/>
        </w:rPr>
        <w:t>上传</w:t>
      </w:r>
      <w:r>
        <w:rPr>
          <w:rFonts w:hint="eastAsia" w:ascii="仿宋" w:hAnsi="仿宋" w:eastAsia="仿宋" w:cs="仿宋"/>
          <w:sz w:val="21"/>
          <w:szCs w:val="21"/>
        </w:rPr>
        <w:t>；如采用政府采购信用担保形式的,将原件</w:t>
      </w:r>
      <w:r>
        <w:rPr>
          <w:rFonts w:hint="eastAsia" w:ascii="仿宋" w:hAnsi="仿宋" w:eastAsia="仿宋" w:cs="仿宋"/>
          <w:sz w:val="21"/>
          <w:szCs w:val="21"/>
          <w:lang w:val="en-US" w:eastAsia="zh-CN"/>
        </w:rPr>
        <w:t>上传</w:t>
      </w:r>
      <w:r>
        <w:rPr>
          <w:rFonts w:hint="eastAsia" w:ascii="仿宋" w:hAnsi="仿宋" w:eastAsia="仿宋" w:cs="仿宋"/>
          <w:sz w:val="21"/>
          <w:szCs w:val="21"/>
        </w:rPr>
        <w:t>。</w:t>
      </w:r>
    </w:p>
    <w:tbl>
      <w:tblPr>
        <w:tblStyle w:val="25"/>
        <w:tblpPr w:leftFromText="180" w:rightFromText="180" w:vertAnchor="text" w:horzAnchor="page" w:tblpX="2298" w:tblpY="551"/>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2688C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2" w:hRule="atLeast"/>
        </w:trPr>
        <w:tc>
          <w:tcPr>
            <w:tcW w:w="7879" w:type="dxa"/>
            <w:noWrap w:val="0"/>
            <w:vAlign w:val="top"/>
          </w:tcPr>
          <w:p w14:paraId="010BDAE9">
            <w:pPr>
              <w:shd w:val="clear" w:color="auto" w:fill="auto"/>
              <w:rPr>
                <w:rFonts w:hint="eastAsia" w:ascii="仿宋" w:hAnsi="仿宋" w:eastAsia="仿宋" w:cs="仿宋"/>
                <w:b/>
                <w:bCs/>
                <w:color w:val="auto"/>
                <w:sz w:val="30"/>
                <w:szCs w:val="30"/>
                <w:highlight w:val="none"/>
              </w:rPr>
            </w:pPr>
          </w:p>
          <w:p w14:paraId="0AE79881">
            <w:pPr>
              <w:shd w:val="clear" w:color="auto" w:fill="auto"/>
              <w:jc w:val="center"/>
              <w:rPr>
                <w:rFonts w:hint="eastAsia" w:ascii="仿宋" w:hAnsi="仿宋" w:eastAsia="仿宋" w:cs="仿宋"/>
                <w:b/>
                <w:bCs/>
                <w:color w:val="auto"/>
                <w:sz w:val="30"/>
                <w:szCs w:val="30"/>
                <w:highlight w:val="none"/>
              </w:rPr>
            </w:pPr>
          </w:p>
          <w:p w14:paraId="6B4C6230">
            <w:pPr>
              <w:shd w:val="clear" w:color="auto" w:fill="auto"/>
              <w:rPr>
                <w:rFonts w:hint="eastAsia" w:ascii="仿宋" w:hAnsi="仿宋" w:eastAsia="仿宋" w:cs="仿宋"/>
                <w:b/>
                <w:bCs/>
                <w:color w:val="auto"/>
                <w:sz w:val="30"/>
                <w:szCs w:val="30"/>
                <w:highlight w:val="none"/>
              </w:rPr>
            </w:pPr>
          </w:p>
          <w:p w14:paraId="6CB67389">
            <w:pPr>
              <w:shd w:val="clear" w:color="auto" w:fill="auto"/>
              <w:jc w:val="center"/>
              <w:rPr>
                <w:rFonts w:hint="eastAsia" w:ascii="仿宋" w:hAnsi="仿宋" w:eastAsia="仿宋" w:cs="仿宋"/>
                <w:b/>
                <w:bCs/>
                <w:color w:val="auto"/>
                <w:sz w:val="30"/>
                <w:szCs w:val="30"/>
                <w:highlight w:val="none"/>
              </w:rPr>
            </w:pPr>
          </w:p>
          <w:p w14:paraId="70ECBDA6">
            <w:pPr>
              <w:shd w:val="clear" w:color="auto" w:fill="auto"/>
              <w:jc w:val="center"/>
              <w:rPr>
                <w:rFonts w:hint="eastAsia" w:ascii="仿宋" w:hAnsi="仿宋" w:eastAsia="仿宋" w:cs="仿宋"/>
                <w:b/>
                <w:bCs/>
                <w:color w:val="auto"/>
                <w:sz w:val="30"/>
                <w:szCs w:val="30"/>
                <w:highlight w:val="none"/>
              </w:rPr>
            </w:pPr>
          </w:p>
          <w:p w14:paraId="25D901CD">
            <w:pPr>
              <w:shd w:val="clear" w:color="auto" w:fill="auto"/>
              <w:jc w:val="center"/>
              <w:rPr>
                <w:rFonts w:hint="eastAsia" w:ascii="仿宋" w:hAnsi="仿宋" w:eastAsia="仿宋" w:cs="仿宋"/>
                <w:b/>
                <w:bCs/>
                <w:color w:val="auto"/>
                <w:sz w:val="30"/>
                <w:szCs w:val="30"/>
                <w:highlight w:val="none"/>
              </w:rPr>
            </w:pPr>
          </w:p>
          <w:p w14:paraId="5FCF73E0">
            <w:pPr>
              <w:shd w:val="clear" w:color="auto" w:fill="auto"/>
              <w:jc w:val="center"/>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打款凭证</w:t>
            </w:r>
          </w:p>
        </w:tc>
      </w:tr>
    </w:tbl>
    <w:p w14:paraId="4EF26D62">
      <w:pPr>
        <w:pStyle w:val="65"/>
        <w:spacing w:line="600" w:lineRule="auto"/>
        <w:rPr>
          <w:rFonts w:hint="eastAsia" w:ascii="仿宋" w:hAnsi="仿宋" w:eastAsia="仿宋" w:cs="仿宋"/>
          <w:b/>
          <w:bCs/>
          <w:color w:val="auto"/>
          <w:spacing w:val="0"/>
          <w:w w:val="100"/>
          <w:kern w:val="0"/>
          <w:position w:val="0"/>
          <w:sz w:val="36"/>
          <w:szCs w:val="36"/>
          <w:shd w:val="clear" w:color="auto" w:fill="auto"/>
          <w:lang w:val="en-US" w:eastAsia="zh-CN" w:bidi="en-US"/>
        </w:rPr>
      </w:pPr>
    </w:p>
    <w:p w14:paraId="5BD609C3">
      <w:pPr>
        <w:pStyle w:val="3"/>
        <w:numPr>
          <w:ilvl w:val="0"/>
          <w:numId w:val="0"/>
        </w:numPr>
        <w:shd w:val="clear" w:color="auto" w:fill="auto"/>
        <w:tabs>
          <w:tab w:val="left" w:pos="540"/>
        </w:tabs>
        <w:spacing w:before="0" w:line="240" w:lineRule="atLeast"/>
        <w:outlineLvl w:val="9"/>
        <w:rPr>
          <w:rFonts w:hint="eastAsia" w:ascii="仿宋" w:hAnsi="仿宋" w:eastAsia="仿宋" w:cs="仿宋"/>
          <w:color w:val="auto"/>
          <w:sz w:val="36"/>
          <w:szCs w:val="24"/>
          <w:highlight w:val="none"/>
          <w:lang w:val="en-US" w:eastAsia="zh-CN"/>
        </w:rPr>
      </w:pPr>
    </w:p>
    <w:p w14:paraId="2DFC1537">
      <w:pPr>
        <w:pStyle w:val="3"/>
        <w:numPr>
          <w:ilvl w:val="0"/>
          <w:numId w:val="0"/>
        </w:numPr>
        <w:shd w:val="clear" w:color="auto" w:fill="auto"/>
        <w:tabs>
          <w:tab w:val="left" w:pos="540"/>
        </w:tabs>
        <w:spacing w:before="0" w:line="240" w:lineRule="atLeast"/>
        <w:outlineLvl w:val="9"/>
        <w:rPr>
          <w:rFonts w:hint="eastAsia" w:ascii="仿宋" w:hAnsi="仿宋" w:eastAsia="仿宋" w:cs="仿宋"/>
          <w:color w:val="auto"/>
          <w:sz w:val="36"/>
          <w:szCs w:val="24"/>
          <w:highlight w:val="none"/>
          <w:lang w:val="en-US" w:eastAsia="zh-CN"/>
        </w:rPr>
      </w:pPr>
    </w:p>
    <w:p w14:paraId="52931B98">
      <w:pPr>
        <w:pStyle w:val="3"/>
        <w:numPr>
          <w:ilvl w:val="0"/>
          <w:numId w:val="0"/>
        </w:numPr>
        <w:shd w:val="clear" w:color="auto" w:fill="auto"/>
        <w:tabs>
          <w:tab w:val="left" w:pos="540"/>
        </w:tabs>
        <w:spacing w:before="0" w:line="240" w:lineRule="atLeast"/>
        <w:outlineLvl w:val="9"/>
        <w:rPr>
          <w:rFonts w:hint="eastAsia" w:ascii="仿宋" w:hAnsi="仿宋" w:eastAsia="仿宋" w:cs="仿宋"/>
          <w:color w:val="auto"/>
          <w:sz w:val="36"/>
          <w:szCs w:val="24"/>
          <w:highlight w:val="none"/>
          <w:lang w:val="en-US" w:eastAsia="zh-CN"/>
        </w:rPr>
      </w:pPr>
    </w:p>
    <w:p w14:paraId="0480ABEA">
      <w:pPr>
        <w:pStyle w:val="3"/>
        <w:numPr>
          <w:ilvl w:val="0"/>
          <w:numId w:val="0"/>
        </w:numPr>
        <w:shd w:val="clear" w:color="auto" w:fill="auto"/>
        <w:tabs>
          <w:tab w:val="left" w:pos="540"/>
        </w:tabs>
        <w:spacing w:before="0" w:line="240" w:lineRule="atLeast"/>
        <w:outlineLvl w:val="9"/>
        <w:rPr>
          <w:rFonts w:hint="eastAsia" w:ascii="仿宋" w:hAnsi="仿宋" w:eastAsia="仿宋" w:cs="仿宋"/>
          <w:color w:val="auto"/>
          <w:sz w:val="36"/>
          <w:szCs w:val="24"/>
          <w:highlight w:val="none"/>
          <w:lang w:val="en-US" w:eastAsia="zh-CN"/>
        </w:rPr>
      </w:pPr>
    </w:p>
    <w:p w14:paraId="1E7CB768">
      <w:pPr>
        <w:rPr>
          <w:rFonts w:hint="eastAsia" w:ascii="仿宋" w:hAnsi="仿宋" w:eastAsia="仿宋" w:cs="仿宋"/>
          <w:color w:val="auto"/>
          <w:sz w:val="36"/>
          <w:szCs w:val="24"/>
          <w:highlight w:val="none"/>
          <w:lang w:val="en-US" w:eastAsia="zh-CN"/>
        </w:rPr>
      </w:pPr>
    </w:p>
    <w:p w14:paraId="2EBA0E9F">
      <w:pPr>
        <w:pStyle w:val="8"/>
        <w:rPr>
          <w:rFonts w:hint="eastAsia" w:ascii="仿宋" w:hAnsi="仿宋" w:eastAsia="仿宋" w:cs="仿宋"/>
          <w:lang w:val="en-US" w:eastAsia="zh-CN"/>
        </w:rPr>
      </w:pPr>
    </w:p>
    <w:p w14:paraId="6AAEC5E5">
      <w:pPr>
        <w:spacing w:line="300" w:lineRule="exact"/>
        <w:jc w:val="center"/>
        <w:rPr>
          <w:rFonts w:hint="eastAsia" w:ascii="仿宋" w:hAnsi="仿宋" w:eastAsia="仿宋" w:cs="仿宋"/>
          <w:b/>
          <w:bCs/>
          <w:sz w:val="21"/>
          <w:szCs w:val="21"/>
        </w:rPr>
      </w:pPr>
    </w:p>
    <w:p w14:paraId="3D56A884">
      <w:pPr>
        <w:spacing w:line="300" w:lineRule="exact"/>
        <w:jc w:val="center"/>
        <w:rPr>
          <w:rFonts w:hint="eastAsia" w:ascii="仿宋" w:hAnsi="仿宋" w:eastAsia="仿宋" w:cs="仿宋"/>
          <w:b/>
          <w:bCs/>
          <w:sz w:val="21"/>
          <w:szCs w:val="21"/>
        </w:rPr>
      </w:pPr>
    </w:p>
    <w:p w14:paraId="3467C671">
      <w:pPr>
        <w:spacing w:line="300" w:lineRule="exact"/>
        <w:jc w:val="center"/>
        <w:rPr>
          <w:rFonts w:hint="eastAsia" w:ascii="仿宋" w:hAnsi="仿宋" w:eastAsia="仿宋" w:cs="仿宋"/>
          <w:b/>
          <w:bCs/>
          <w:sz w:val="21"/>
          <w:szCs w:val="21"/>
        </w:rPr>
      </w:pPr>
    </w:p>
    <w:p w14:paraId="6148BE5A">
      <w:pPr>
        <w:spacing w:line="300" w:lineRule="exact"/>
        <w:jc w:val="center"/>
        <w:rPr>
          <w:rFonts w:hint="eastAsia" w:ascii="仿宋" w:hAnsi="仿宋" w:eastAsia="仿宋" w:cs="仿宋"/>
          <w:b/>
          <w:bCs/>
          <w:sz w:val="21"/>
          <w:szCs w:val="21"/>
        </w:rPr>
      </w:pPr>
    </w:p>
    <w:p w14:paraId="6D312B9D">
      <w:pPr>
        <w:spacing w:line="300" w:lineRule="exact"/>
        <w:jc w:val="center"/>
        <w:rPr>
          <w:rFonts w:hint="eastAsia" w:ascii="仿宋" w:hAnsi="仿宋" w:eastAsia="仿宋" w:cs="仿宋"/>
          <w:b/>
          <w:bCs/>
          <w:sz w:val="21"/>
          <w:szCs w:val="21"/>
        </w:rPr>
      </w:pPr>
    </w:p>
    <w:p w14:paraId="18B7E11B">
      <w:pPr>
        <w:spacing w:line="300" w:lineRule="exact"/>
        <w:jc w:val="center"/>
        <w:rPr>
          <w:rFonts w:hint="eastAsia" w:ascii="仿宋" w:hAnsi="仿宋" w:eastAsia="仿宋" w:cs="仿宋"/>
          <w:b/>
          <w:bCs/>
          <w:sz w:val="21"/>
          <w:szCs w:val="21"/>
        </w:rPr>
      </w:pPr>
    </w:p>
    <w:p w14:paraId="4CAA1BC8">
      <w:pPr>
        <w:spacing w:line="300" w:lineRule="exact"/>
        <w:jc w:val="center"/>
        <w:rPr>
          <w:rFonts w:hint="eastAsia" w:ascii="仿宋" w:hAnsi="仿宋" w:eastAsia="仿宋" w:cs="仿宋"/>
          <w:b/>
          <w:bCs/>
          <w:sz w:val="21"/>
          <w:szCs w:val="21"/>
        </w:rPr>
      </w:pPr>
    </w:p>
    <w:p w14:paraId="35381EF1">
      <w:pPr>
        <w:spacing w:line="300" w:lineRule="exact"/>
        <w:jc w:val="center"/>
        <w:rPr>
          <w:rFonts w:hint="eastAsia" w:ascii="仿宋" w:hAnsi="仿宋" w:eastAsia="仿宋" w:cs="仿宋"/>
          <w:b/>
          <w:bCs/>
          <w:sz w:val="21"/>
          <w:szCs w:val="21"/>
        </w:rPr>
      </w:pPr>
    </w:p>
    <w:p w14:paraId="5DC4C825">
      <w:pPr>
        <w:spacing w:line="300" w:lineRule="exact"/>
        <w:jc w:val="center"/>
        <w:rPr>
          <w:rFonts w:hint="eastAsia" w:ascii="仿宋" w:hAnsi="仿宋" w:eastAsia="仿宋" w:cs="仿宋"/>
          <w:b/>
          <w:bCs/>
          <w:sz w:val="21"/>
          <w:szCs w:val="21"/>
        </w:rPr>
      </w:pPr>
    </w:p>
    <w:p w14:paraId="31EEFC07">
      <w:pPr>
        <w:spacing w:line="300" w:lineRule="exact"/>
        <w:jc w:val="center"/>
        <w:rPr>
          <w:rFonts w:hint="eastAsia" w:ascii="仿宋" w:hAnsi="仿宋" w:eastAsia="仿宋" w:cs="仿宋"/>
          <w:b/>
          <w:bCs/>
          <w:sz w:val="21"/>
          <w:szCs w:val="21"/>
        </w:rPr>
      </w:pPr>
    </w:p>
    <w:p w14:paraId="19D00A74">
      <w:pPr>
        <w:spacing w:line="300" w:lineRule="exact"/>
        <w:jc w:val="center"/>
        <w:rPr>
          <w:rFonts w:hint="eastAsia" w:ascii="仿宋" w:hAnsi="仿宋" w:eastAsia="仿宋" w:cs="仿宋"/>
          <w:b/>
          <w:bCs/>
          <w:sz w:val="21"/>
          <w:szCs w:val="21"/>
        </w:rPr>
        <w:sectPr>
          <w:pgSz w:w="11905" w:h="16838"/>
          <w:pgMar w:top="1440" w:right="1080" w:bottom="1440" w:left="1080" w:header="850" w:footer="992" w:gutter="0"/>
          <w:pgNumType w:fmt="decimal"/>
          <w:cols w:space="720" w:num="1"/>
          <w:docGrid w:type="linesAndChars" w:linePitch="325" w:charSpace="635"/>
        </w:sectPr>
      </w:pPr>
    </w:p>
    <w:p w14:paraId="08EBD4A5">
      <w:pPr>
        <w:spacing w:line="300" w:lineRule="exact"/>
        <w:jc w:val="center"/>
        <w:rPr>
          <w:rFonts w:hint="eastAsia" w:ascii="仿宋" w:hAnsi="仿宋" w:eastAsia="仿宋" w:cs="仿宋"/>
          <w:b/>
          <w:bCs/>
          <w:sz w:val="21"/>
          <w:szCs w:val="21"/>
          <w:lang w:eastAsia="zh-CN"/>
        </w:rPr>
      </w:pPr>
      <w:r>
        <w:rPr>
          <w:rFonts w:hint="eastAsia" w:ascii="仿宋" w:hAnsi="仿宋" w:eastAsia="仿宋" w:cs="仿宋"/>
          <w:b/>
          <w:bCs/>
          <w:sz w:val="21"/>
          <w:szCs w:val="21"/>
        </w:rPr>
        <w:t xml:space="preserve">政府采购投标担保函 </w:t>
      </w:r>
      <w:r>
        <w:rPr>
          <w:rFonts w:hint="eastAsia" w:ascii="仿宋" w:hAnsi="仿宋" w:eastAsia="仿宋" w:cs="仿宋"/>
          <w:b/>
          <w:bCs/>
          <w:sz w:val="21"/>
          <w:szCs w:val="21"/>
          <w:lang w:eastAsia="zh-CN"/>
        </w:rPr>
        <w:t>（项目用）（参考）</w:t>
      </w:r>
    </w:p>
    <w:p w14:paraId="1DE3021A">
      <w:pPr>
        <w:spacing w:line="300" w:lineRule="exact"/>
        <w:rPr>
          <w:rFonts w:hint="eastAsia" w:ascii="仿宋" w:hAnsi="仿宋" w:eastAsia="仿宋" w:cs="仿宋"/>
          <w:sz w:val="21"/>
          <w:szCs w:val="21"/>
        </w:rPr>
      </w:pPr>
      <w:r>
        <w:rPr>
          <w:rFonts w:hint="eastAsia" w:ascii="仿宋" w:hAnsi="仿宋" w:eastAsia="仿宋" w:cs="仿宋"/>
          <w:sz w:val="21"/>
          <w:szCs w:val="21"/>
        </w:rPr>
        <w:t>编号：</w:t>
      </w:r>
    </w:p>
    <w:p w14:paraId="3797E97B">
      <w:pPr>
        <w:spacing w:line="300" w:lineRule="exact"/>
        <w:rPr>
          <w:rFonts w:hint="eastAsia" w:ascii="仿宋" w:hAnsi="仿宋" w:eastAsia="仿宋" w:cs="仿宋"/>
          <w:sz w:val="21"/>
          <w:szCs w:val="21"/>
        </w:rPr>
      </w:pPr>
      <w:r>
        <w:rPr>
          <w:rFonts w:hint="eastAsia" w:ascii="仿宋" w:hAnsi="仿宋" w:eastAsia="仿宋" w:cs="仿宋"/>
          <w:sz w:val="21"/>
          <w:szCs w:val="21"/>
        </w:rPr>
        <w:t xml:space="preserve"> </w:t>
      </w:r>
      <w:r>
        <w:rPr>
          <w:rFonts w:hint="eastAsia" w:ascii="仿宋" w:hAnsi="仿宋" w:eastAsia="仿宋" w:cs="仿宋"/>
          <w:sz w:val="21"/>
          <w:szCs w:val="21"/>
          <w:u w:val="single"/>
        </w:rPr>
        <w:t xml:space="preserve">                  </w:t>
      </w:r>
      <w:r>
        <w:rPr>
          <w:rFonts w:hint="eastAsia" w:ascii="仿宋" w:hAnsi="仿宋" w:eastAsia="仿宋" w:cs="仿宋"/>
          <w:sz w:val="21"/>
          <w:szCs w:val="21"/>
        </w:rPr>
        <w:t>（采购人或采购代理机构）：</w:t>
      </w:r>
    </w:p>
    <w:p w14:paraId="6E22D81C">
      <w:pPr>
        <w:spacing w:line="300" w:lineRule="exact"/>
        <w:ind w:firstLine="426" w:firstLineChars="200"/>
        <w:rPr>
          <w:rFonts w:hint="eastAsia" w:ascii="仿宋" w:hAnsi="仿宋" w:eastAsia="仿宋" w:cs="仿宋"/>
          <w:sz w:val="21"/>
          <w:szCs w:val="21"/>
        </w:rPr>
      </w:pPr>
      <w:r>
        <w:rPr>
          <w:rFonts w:hint="eastAsia" w:ascii="仿宋" w:hAnsi="仿宋" w:eastAsia="仿宋" w:cs="仿宋"/>
          <w:sz w:val="21"/>
          <w:szCs w:val="21"/>
        </w:rPr>
        <w:t>鉴于</w:t>
      </w:r>
      <w:r>
        <w:rPr>
          <w:rFonts w:hint="eastAsia" w:ascii="仿宋" w:hAnsi="仿宋" w:eastAsia="仿宋" w:cs="仿宋"/>
          <w:sz w:val="21"/>
          <w:szCs w:val="21"/>
          <w:u w:val="single"/>
        </w:rPr>
        <w:t xml:space="preserve">               </w:t>
      </w:r>
      <w:r>
        <w:rPr>
          <w:rFonts w:hint="eastAsia" w:ascii="仿宋" w:hAnsi="仿宋" w:eastAsia="仿宋" w:cs="仿宋"/>
          <w:sz w:val="21"/>
          <w:szCs w:val="21"/>
        </w:rPr>
        <w:t>（以下简称“投标人”）拟参加编号为</w:t>
      </w:r>
      <w:r>
        <w:rPr>
          <w:rFonts w:hint="eastAsia" w:ascii="仿宋" w:hAnsi="仿宋" w:eastAsia="仿宋" w:cs="仿宋"/>
          <w:sz w:val="21"/>
          <w:szCs w:val="21"/>
          <w:u w:val="single"/>
        </w:rPr>
        <w:t xml:space="preserve">            </w:t>
      </w:r>
      <w:r>
        <w:rPr>
          <w:rFonts w:hint="eastAsia" w:ascii="仿宋" w:hAnsi="仿宋" w:eastAsia="仿宋" w:cs="仿宋"/>
          <w:sz w:val="21"/>
          <w:szCs w:val="21"/>
        </w:rPr>
        <w:t>的</w:t>
      </w:r>
      <w:r>
        <w:rPr>
          <w:rFonts w:hint="eastAsia" w:ascii="仿宋" w:hAnsi="仿宋" w:eastAsia="仿宋" w:cs="仿宋"/>
          <w:sz w:val="21"/>
          <w:szCs w:val="21"/>
          <w:u w:val="single"/>
        </w:rPr>
        <w:t xml:space="preserve">           </w:t>
      </w:r>
      <w:r>
        <w:rPr>
          <w:rFonts w:hint="eastAsia" w:ascii="仿宋" w:hAnsi="仿宋" w:eastAsia="仿宋" w:cs="仿宋"/>
          <w:sz w:val="21"/>
          <w:szCs w:val="21"/>
        </w:rPr>
        <w:t xml:space="preserve">                            </w:t>
      </w:r>
    </w:p>
    <w:p w14:paraId="67650575">
      <w:pPr>
        <w:spacing w:line="300" w:lineRule="exact"/>
        <w:rPr>
          <w:rFonts w:hint="eastAsia" w:ascii="仿宋" w:hAnsi="仿宋" w:eastAsia="仿宋" w:cs="仿宋"/>
          <w:sz w:val="21"/>
          <w:szCs w:val="21"/>
        </w:rPr>
      </w:pPr>
      <w:r>
        <w:rPr>
          <w:rFonts w:hint="eastAsia" w:ascii="仿宋" w:hAnsi="仿宋" w:eastAsia="仿宋" w:cs="仿宋"/>
          <w:sz w:val="21"/>
          <w:szCs w:val="21"/>
        </w:rPr>
        <w:t>项目（以下简称“本项目”）投标，根据本项目磋商文件，供应商参加投标时应向你方交纳投标保证金，且可以投标担保函的形式交纳投标保证金。应供应商的申请，我方以保证的方式向你方提供如下投标保证金担保：</w:t>
      </w:r>
    </w:p>
    <w:p w14:paraId="5ECD9A54">
      <w:pPr>
        <w:spacing w:line="300" w:lineRule="exact"/>
        <w:ind w:firstLine="426" w:firstLineChars="200"/>
        <w:rPr>
          <w:rFonts w:hint="eastAsia" w:ascii="仿宋" w:hAnsi="仿宋" w:eastAsia="仿宋" w:cs="仿宋"/>
          <w:sz w:val="21"/>
          <w:szCs w:val="21"/>
        </w:rPr>
      </w:pPr>
      <w:r>
        <w:rPr>
          <w:rFonts w:hint="eastAsia" w:ascii="仿宋" w:hAnsi="仿宋" w:eastAsia="仿宋" w:cs="仿宋"/>
          <w:sz w:val="21"/>
          <w:szCs w:val="21"/>
        </w:rPr>
        <w:t>一、保证责任的情形及保证金额</w:t>
      </w:r>
    </w:p>
    <w:p w14:paraId="781E9A2E">
      <w:pPr>
        <w:spacing w:line="300" w:lineRule="exact"/>
        <w:ind w:firstLine="213" w:firstLineChars="100"/>
        <w:rPr>
          <w:rFonts w:hint="eastAsia" w:ascii="仿宋" w:hAnsi="仿宋" w:eastAsia="仿宋" w:cs="仿宋"/>
          <w:sz w:val="21"/>
          <w:szCs w:val="21"/>
        </w:rPr>
      </w:pPr>
      <w:r>
        <w:rPr>
          <w:rFonts w:hint="eastAsia" w:ascii="仿宋" w:hAnsi="仿宋" w:eastAsia="仿宋" w:cs="仿宋"/>
          <w:sz w:val="21"/>
          <w:szCs w:val="21"/>
        </w:rPr>
        <w:t>（一）在投标人出现下列情形之一时，我方承担保证责任：</w:t>
      </w:r>
    </w:p>
    <w:p w14:paraId="37E0D0DD">
      <w:pPr>
        <w:spacing w:line="300" w:lineRule="exact"/>
        <w:ind w:firstLine="426" w:firstLineChars="200"/>
        <w:rPr>
          <w:rFonts w:hint="eastAsia" w:ascii="仿宋" w:hAnsi="仿宋" w:eastAsia="仿宋" w:cs="仿宋"/>
          <w:sz w:val="21"/>
          <w:szCs w:val="21"/>
        </w:rPr>
      </w:pPr>
      <w:r>
        <w:rPr>
          <w:rFonts w:hint="eastAsia" w:ascii="仿宋" w:hAnsi="仿宋" w:eastAsia="仿宋" w:cs="仿宋"/>
          <w:sz w:val="21"/>
          <w:szCs w:val="21"/>
        </w:rPr>
        <w:t>1．中标后投标人无正当理由不与采购人或者采购代理机构签订《政府采购合同》；</w:t>
      </w:r>
    </w:p>
    <w:p w14:paraId="11423CA1">
      <w:pPr>
        <w:spacing w:line="300" w:lineRule="exact"/>
        <w:ind w:firstLine="426" w:firstLineChars="200"/>
        <w:rPr>
          <w:rFonts w:hint="eastAsia" w:ascii="仿宋" w:hAnsi="仿宋" w:eastAsia="仿宋" w:cs="仿宋"/>
          <w:sz w:val="21"/>
          <w:szCs w:val="21"/>
        </w:rPr>
      </w:pPr>
      <w:r>
        <w:rPr>
          <w:rFonts w:hint="eastAsia" w:ascii="仿宋" w:hAnsi="仿宋" w:eastAsia="仿宋" w:cs="仿宋"/>
          <w:sz w:val="21"/>
          <w:szCs w:val="21"/>
        </w:rPr>
        <w:t>2．磋商文件规定的投标人应当缴纳保证金的其他情形。</w:t>
      </w:r>
    </w:p>
    <w:p w14:paraId="51D0B3E6">
      <w:pPr>
        <w:spacing w:line="300" w:lineRule="exact"/>
        <w:ind w:firstLine="213" w:firstLineChars="100"/>
        <w:rPr>
          <w:rFonts w:hint="eastAsia" w:ascii="仿宋" w:hAnsi="仿宋" w:eastAsia="仿宋" w:cs="仿宋"/>
          <w:sz w:val="21"/>
          <w:szCs w:val="21"/>
        </w:rPr>
      </w:pPr>
      <w:r>
        <w:rPr>
          <w:rFonts w:hint="eastAsia" w:ascii="仿宋" w:hAnsi="仿宋" w:eastAsia="仿宋" w:cs="仿宋"/>
          <w:sz w:val="21"/>
          <w:szCs w:val="21"/>
        </w:rPr>
        <w:t>（二）我方承担保证责任的最高金额为人民币</w:t>
      </w:r>
      <w:r>
        <w:rPr>
          <w:rFonts w:hint="eastAsia" w:ascii="仿宋" w:hAnsi="仿宋" w:eastAsia="仿宋" w:cs="仿宋"/>
          <w:sz w:val="21"/>
          <w:szCs w:val="21"/>
          <w:u w:val="single"/>
        </w:rPr>
        <w:t xml:space="preserve">      </w:t>
      </w:r>
      <w:r>
        <w:rPr>
          <w:rFonts w:hint="eastAsia" w:ascii="仿宋" w:hAnsi="仿宋" w:eastAsia="仿宋" w:cs="仿宋"/>
          <w:sz w:val="21"/>
          <w:szCs w:val="21"/>
        </w:rPr>
        <w:t>元（大写</w:t>
      </w:r>
      <w:r>
        <w:rPr>
          <w:rFonts w:hint="eastAsia" w:ascii="仿宋" w:hAnsi="仿宋" w:eastAsia="仿宋" w:cs="仿宋"/>
          <w:sz w:val="21"/>
          <w:szCs w:val="21"/>
          <w:u w:val="single"/>
        </w:rPr>
        <w:t xml:space="preserve">            </w:t>
      </w:r>
      <w:r>
        <w:rPr>
          <w:rFonts w:hint="eastAsia" w:ascii="仿宋" w:hAnsi="仿宋" w:eastAsia="仿宋" w:cs="仿宋"/>
          <w:sz w:val="21"/>
          <w:szCs w:val="21"/>
        </w:rPr>
        <w:t>），即本项目的投标保证金金额。</w:t>
      </w:r>
    </w:p>
    <w:p w14:paraId="00BC010F">
      <w:pPr>
        <w:spacing w:line="300" w:lineRule="exact"/>
        <w:ind w:firstLine="426" w:firstLineChars="200"/>
        <w:rPr>
          <w:rFonts w:hint="eastAsia" w:ascii="仿宋" w:hAnsi="仿宋" w:eastAsia="仿宋" w:cs="仿宋"/>
          <w:sz w:val="21"/>
          <w:szCs w:val="21"/>
        </w:rPr>
      </w:pPr>
      <w:r>
        <w:rPr>
          <w:rFonts w:hint="eastAsia" w:ascii="仿宋" w:hAnsi="仿宋" w:eastAsia="仿宋" w:cs="仿宋"/>
          <w:sz w:val="21"/>
          <w:szCs w:val="21"/>
        </w:rPr>
        <w:t>二、保证的方式及保证期间</w:t>
      </w:r>
    </w:p>
    <w:p w14:paraId="7CD251A2">
      <w:pPr>
        <w:spacing w:line="300" w:lineRule="exact"/>
        <w:ind w:firstLine="426" w:firstLineChars="200"/>
        <w:rPr>
          <w:rFonts w:hint="eastAsia" w:ascii="仿宋" w:hAnsi="仿宋" w:eastAsia="仿宋" w:cs="仿宋"/>
          <w:sz w:val="21"/>
          <w:szCs w:val="21"/>
        </w:rPr>
      </w:pPr>
      <w:r>
        <w:rPr>
          <w:rFonts w:hint="eastAsia" w:ascii="仿宋" w:hAnsi="仿宋" w:eastAsia="仿宋" w:cs="仿宋"/>
          <w:sz w:val="21"/>
          <w:szCs w:val="21"/>
        </w:rPr>
        <w:t>我方保证的方式为：连带责任保证。</w:t>
      </w:r>
    </w:p>
    <w:p w14:paraId="7FC3D2E4">
      <w:pPr>
        <w:spacing w:line="300" w:lineRule="exact"/>
        <w:ind w:firstLine="426" w:firstLineChars="200"/>
        <w:rPr>
          <w:rFonts w:hint="eastAsia" w:ascii="仿宋" w:hAnsi="仿宋" w:eastAsia="仿宋" w:cs="仿宋"/>
          <w:sz w:val="21"/>
          <w:szCs w:val="21"/>
        </w:rPr>
      </w:pPr>
      <w:r>
        <w:rPr>
          <w:rFonts w:hint="eastAsia" w:ascii="仿宋" w:hAnsi="仿宋" w:eastAsia="仿宋" w:cs="仿宋"/>
          <w:sz w:val="21"/>
          <w:szCs w:val="21"/>
        </w:rPr>
        <w:t>我方的保证期间为：自本保函生效之日起</w:t>
      </w:r>
      <w:r>
        <w:rPr>
          <w:rFonts w:hint="eastAsia" w:ascii="仿宋" w:hAnsi="仿宋" w:eastAsia="仿宋" w:cs="仿宋"/>
          <w:sz w:val="21"/>
          <w:szCs w:val="21"/>
          <w:u w:val="single"/>
        </w:rPr>
        <w:t xml:space="preserve">    </w:t>
      </w:r>
      <w:r>
        <w:rPr>
          <w:rFonts w:hint="eastAsia" w:ascii="仿宋" w:hAnsi="仿宋" w:eastAsia="仿宋" w:cs="仿宋"/>
          <w:sz w:val="21"/>
          <w:szCs w:val="21"/>
        </w:rPr>
        <w:t>个月止。</w:t>
      </w:r>
    </w:p>
    <w:p w14:paraId="5C3CFD31">
      <w:pPr>
        <w:spacing w:line="300" w:lineRule="exact"/>
        <w:ind w:firstLine="426" w:firstLineChars="200"/>
        <w:rPr>
          <w:rFonts w:hint="eastAsia" w:ascii="仿宋" w:hAnsi="仿宋" w:eastAsia="仿宋" w:cs="仿宋"/>
          <w:sz w:val="21"/>
          <w:szCs w:val="21"/>
        </w:rPr>
      </w:pPr>
      <w:r>
        <w:rPr>
          <w:rFonts w:hint="eastAsia" w:ascii="仿宋" w:hAnsi="仿宋" w:eastAsia="仿宋" w:cs="仿宋"/>
          <w:sz w:val="21"/>
          <w:szCs w:val="21"/>
        </w:rPr>
        <w:t>三、承担保证责任的程序</w:t>
      </w:r>
    </w:p>
    <w:p w14:paraId="6D2AD29C">
      <w:pPr>
        <w:spacing w:line="300" w:lineRule="exact"/>
        <w:ind w:firstLine="426" w:firstLineChars="200"/>
        <w:rPr>
          <w:rFonts w:hint="eastAsia" w:ascii="仿宋" w:hAnsi="仿宋" w:eastAsia="仿宋" w:cs="仿宋"/>
          <w:sz w:val="21"/>
          <w:szCs w:val="21"/>
        </w:rPr>
      </w:pPr>
      <w:r>
        <w:rPr>
          <w:rFonts w:hint="eastAsia" w:ascii="仿宋" w:hAnsi="仿宋" w:eastAsia="仿宋" w:cs="仿宋"/>
          <w:sz w:val="21"/>
          <w:szCs w:val="21"/>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0777C0BA">
      <w:pPr>
        <w:spacing w:line="300" w:lineRule="exact"/>
        <w:ind w:firstLine="426" w:firstLineChars="200"/>
        <w:rPr>
          <w:rFonts w:hint="eastAsia" w:ascii="仿宋" w:hAnsi="仿宋" w:eastAsia="仿宋" w:cs="仿宋"/>
          <w:sz w:val="21"/>
          <w:szCs w:val="21"/>
        </w:rPr>
      </w:pPr>
      <w:r>
        <w:rPr>
          <w:rFonts w:hint="eastAsia" w:ascii="仿宋" w:hAnsi="仿宋" w:eastAsia="仿宋" w:cs="仿宋"/>
          <w:sz w:val="21"/>
          <w:szCs w:val="21"/>
        </w:rPr>
        <w:t>2．我方在收到索赔通知及相关证明材料后，在</w:t>
      </w:r>
      <w:r>
        <w:rPr>
          <w:rFonts w:hint="eastAsia" w:ascii="仿宋" w:hAnsi="仿宋" w:eastAsia="仿宋" w:cs="仿宋"/>
          <w:sz w:val="21"/>
          <w:szCs w:val="21"/>
          <w:u w:val="single"/>
        </w:rPr>
        <w:t>　　　</w:t>
      </w:r>
      <w:r>
        <w:rPr>
          <w:rFonts w:hint="eastAsia" w:ascii="仿宋" w:hAnsi="仿宋" w:eastAsia="仿宋" w:cs="仿宋"/>
          <w:sz w:val="21"/>
          <w:szCs w:val="21"/>
        </w:rPr>
        <w:t>个工作日内进行审查，符合应承担保证责任情形的，我方应按照你方的要求代投标人向你方支付投标保证金。</w:t>
      </w:r>
    </w:p>
    <w:p w14:paraId="1A647620">
      <w:pPr>
        <w:spacing w:line="300" w:lineRule="exact"/>
        <w:ind w:firstLine="426" w:firstLineChars="200"/>
        <w:rPr>
          <w:rFonts w:hint="eastAsia" w:ascii="仿宋" w:hAnsi="仿宋" w:eastAsia="仿宋" w:cs="仿宋"/>
          <w:sz w:val="21"/>
          <w:szCs w:val="21"/>
        </w:rPr>
      </w:pPr>
      <w:r>
        <w:rPr>
          <w:rFonts w:hint="eastAsia" w:ascii="仿宋" w:hAnsi="仿宋" w:eastAsia="仿宋" w:cs="仿宋"/>
          <w:sz w:val="21"/>
          <w:szCs w:val="21"/>
        </w:rPr>
        <w:t>四、保证责任的终止</w:t>
      </w:r>
    </w:p>
    <w:p w14:paraId="3C894FDE">
      <w:pPr>
        <w:spacing w:line="300" w:lineRule="exact"/>
        <w:ind w:firstLine="426" w:firstLineChars="200"/>
        <w:rPr>
          <w:rFonts w:hint="eastAsia" w:ascii="仿宋" w:hAnsi="仿宋" w:eastAsia="仿宋" w:cs="仿宋"/>
          <w:sz w:val="21"/>
          <w:szCs w:val="21"/>
        </w:rPr>
      </w:pPr>
      <w:r>
        <w:rPr>
          <w:rFonts w:hint="eastAsia" w:ascii="仿宋" w:hAnsi="仿宋" w:eastAsia="仿宋" w:cs="仿宋"/>
          <w:sz w:val="21"/>
          <w:szCs w:val="21"/>
        </w:rPr>
        <w:t>1．保证期间届满你方未向我方书面主张保证责任的，自保证期间届满次日起，我方保证责任自动终止。</w:t>
      </w:r>
    </w:p>
    <w:p w14:paraId="75C236B3">
      <w:pPr>
        <w:spacing w:line="300" w:lineRule="exact"/>
        <w:ind w:firstLine="426" w:firstLineChars="200"/>
        <w:rPr>
          <w:rFonts w:hint="eastAsia" w:ascii="仿宋" w:hAnsi="仿宋" w:eastAsia="仿宋" w:cs="仿宋"/>
          <w:sz w:val="21"/>
          <w:szCs w:val="21"/>
        </w:rPr>
      </w:pPr>
      <w:r>
        <w:rPr>
          <w:rFonts w:hint="eastAsia" w:ascii="仿宋" w:hAnsi="仿宋" w:eastAsia="仿宋" w:cs="仿宋"/>
          <w:sz w:val="21"/>
          <w:szCs w:val="21"/>
        </w:rPr>
        <w:t>2．我方按照本保函向你贵方履行了保证责任后，自我方向你贵方支付款项（支付款项从我方账户划出）之日起，保证责任终止。</w:t>
      </w:r>
    </w:p>
    <w:p w14:paraId="1AC35DDD">
      <w:pPr>
        <w:spacing w:line="300" w:lineRule="exact"/>
        <w:ind w:firstLine="426" w:firstLineChars="200"/>
        <w:rPr>
          <w:rFonts w:hint="eastAsia" w:ascii="仿宋" w:hAnsi="仿宋" w:eastAsia="仿宋" w:cs="仿宋"/>
          <w:sz w:val="21"/>
          <w:szCs w:val="21"/>
        </w:rPr>
      </w:pPr>
      <w:r>
        <w:rPr>
          <w:rFonts w:hint="eastAsia" w:ascii="仿宋" w:hAnsi="仿宋" w:eastAsia="仿宋" w:cs="仿宋"/>
          <w:sz w:val="21"/>
          <w:szCs w:val="21"/>
        </w:rPr>
        <w:t>3．按照法律法规的规定或出现我方保证责任终止的其它情形的，我方在本保函项下的保证责任亦终止。</w:t>
      </w:r>
    </w:p>
    <w:p w14:paraId="5F90536E">
      <w:pPr>
        <w:spacing w:line="300" w:lineRule="exact"/>
        <w:ind w:firstLine="426" w:firstLineChars="200"/>
        <w:rPr>
          <w:rFonts w:hint="eastAsia" w:ascii="仿宋" w:hAnsi="仿宋" w:eastAsia="仿宋" w:cs="仿宋"/>
          <w:sz w:val="21"/>
          <w:szCs w:val="21"/>
        </w:rPr>
      </w:pPr>
      <w:r>
        <w:rPr>
          <w:rFonts w:hint="eastAsia" w:ascii="仿宋" w:hAnsi="仿宋" w:eastAsia="仿宋" w:cs="仿宋"/>
          <w:sz w:val="21"/>
          <w:szCs w:val="21"/>
        </w:rPr>
        <w:t>五、免责条款</w:t>
      </w:r>
    </w:p>
    <w:p w14:paraId="25BE8761">
      <w:pPr>
        <w:spacing w:line="300" w:lineRule="exact"/>
        <w:ind w:firstLine="426" w:firstLineChars="200"/>
        <w:rPr>
          <w:rFonts w:hint="eastAsia" w:ascii="仿宋" w:hAnsi="仿宋" w:eastAsia="仿宋" w:cs="仿宋"/>
          <w:sz w:val="21"/>
          <w:szCs w:val="21"/>
        </w:rPr>
      </w:pPr>
      <w:r>
        <w:rPr>
          <w:rFonts w:hint="eastAsia" w:ascii="仿宋" w:hAnsi="仿宋" w:eastAsia="仿宋" w:cs="仿宋"/>
          <w:sz w:val="21"/>
          <w:szCs w:val="21"/>
        </w:rPr>
        <w:t>1．依照法律规定或你方与投标人的另行约定，全部或者部分免除投标人投标保证金义务时，我方亦免除相应的保证责任。</w:t>
      </w:r>
    </w:p>
    <w:p w14:paraId="10D48D60">
      <w:pPr>
        <w:spacing w:line="300" w:lineRule="exact"/>
        <w:ind w:firstLine="426" w:firstLineChars="200"/>
        <w:rPr>
          <w:rFonts w:hint="eastAsia" w:ascii="仿宋" w:hAnsi="仿宋" w:eastAsia="仿宋" w:cs="仿宋"/>
          <w:sz w:val="21"/>
          <w:szCs w:val="21"/>
        </w:rPr>
      </w:pPr>
      <w:r>
        <w:rPr>
          <w:rFonts w:hint="eastAsia" w:ascii="仿宋" w:hAnsi="仿宋" w:eastAsia="仿宋" w:cs="仿宋"/>
          <w:sz w:val="21"/>
          <w:szCs w:val="21"/>
        </w:rPr>
        <w:t>2．因你方原因致使投标人发生本保函第一条第（一）款约定情形的，我方不承担保证责任。</w:t>
      </w:r>
    </w:p>
    <w:p w14:paraId="6C2E3CCA">
      <w:pPr>
        <w:spacing w:line="300" w:lineRule="exact"/>
        <w:ind w:firstLine="426" w:firstLineChars="200"/>
        <w:rPr>
          <w:rFonts w:hint="eastAsia" w:ascii="仿宋" w:hAnsi="仿宋" w:eastAsia="仿宋" w:cs="仿宋"/>
          <w:sz w:val="21"/>
          <w:szCs w:val="21"/>
        </w:rPr>
      </w:pPr>
      <w:r>
        <w:rPr>
          <w:rFonts w:hint="eastAsia" w:ascii="仿宋" w:hAnsi="仿宋" w:eastAsia="仿宋" w:cs="仿宋"/>
          <w:sz w:val="21"/>
          <w:szCs w:val="21"/>
        </w:rPr>
        <w:t>3．因不可抗力造成投标人发生本保函第一条约定情形的，我方不承担保证责任。</w:t>
      </w:r>
    </w:p>
    <w:p w14:paraId="0EE8E5D9">
      <w:pPr>
        <w:spacing w:line="300" w:lineRule="exact"/>
        <w:ind w:firstLine="426" w:firstLineChars="200"/>
        <w:rPr>
          <w:rFonts w:hint="eastAsia" w:ascii="仿宋" w:hAnsi="仿宋" w:eastAsia="仿宋" w:cs="仿宋"/>
          <w:sz w:val="21"/>
          <w:szCs w:val="21"/>
        </w:rPr>
      </w:pPr>
      <w:r>
        <w:rPr>
          <w:rFonts w:hint="eastAsia" w:ascii="仿宋" w:hAnsi="仿宋" w:eastAsia="仿宋" w:cs="仿宋"/>
          <w:sz w:val="21"/>
          <w:szCs w:val="21"/>
        </w:rPr>
        <w:t>4．你方或其他有权机关对磋商文件进行任何澄清或修改，加重我方保证责任的，我方对加重部分不承担保证责任，但该澄清或修改经我方事先书面同意的除外。</w:t>
      </w:r>
    </w:p>
    <w:p w14:paraId="1CB99061">
      <w:pPr>
        <w:spacing w:line="300" w:lineRule="exact"/>
        <w:ind w:firstLine="426" w:firstLineChars="200"/>
        <w:rPr>
          <w:rFonts w:hint="eastAsia" w:ascii="仿宋" w:hAnsi="仿宋" w:eastAsia="仿宋" w:cs="仿宋"/>
          <w:sz w:val="21"/>
          <w:szCs w:val="21"/>
        </w:rPr>
      </w:pPr>
      <w:r>
        <w:rPr>
          <w:rFonts w:hint="eastAsia" w:ascii="仿宋" w:hAnsi="仿宋" w:eastAsia="仿宋" w:cs="仿宋"/>
          <w:sz w:val="21"/>
          <w:szCs w:val="21"/>
        </w:rPr>
        <w:t>六、争议的解决</w:t>
      </w:r>
    </w:p>
    <w:p w14:paraId="69ABF917">
      <w:pPr>
        <w:spacing w:line="300" w:lineRule="exact"/>
        <w:ind w:firstLine="426" w:firstLineChars="200"/>
        <w:rPr>
          <w:rFonts w:hint="eastAsia" w:ascii="仿宋" w:hAnsi="仿宋" w:eastAsia="仿宋" w:cs="仿宋"/>
          <w:sz w:val="21"/>
          <w:szCs w:val="21"/>
        </w:rPr>
      </w:pPr>
      <w:r>
        <w:rPr>
          <w:rFonts w:hint="eastAsia" w:ascii="仿宋" w:hAnsi="仿宋" w:eastAsia="仿宋" w:cs="仿宋"/>
          <w:sz w:val="21"/>
          <w:szCs w:val="21"/>
        </w:rPr>
        <w:t>因本保函发生的纠纷，由你我双方协商解决，协商不成的，通过诉讼程序解决，诉讼管辖地法院为</w:t>
      </w:r>
      <w:r>
        <w:rPr>
          <w:rFonts w:hint="eastAsia" w:ascii="仿宋" w:hAnsi="仿宋" w:eastAsia="仿宋" w:cs="仿宋"/>
          <w:sz w:val="21"/>
          <w:szCs w:val="21"/>
          <w:u w:val="single"/>
        </w:rPr>
        <w:t xml:space="preserve">          </w:t>
      </w:r>
      <w:r>
        <w:rPr>
          <w:rFonts w:hint="eastAsia" w:ascii="仿宋" w:hAnsi="仿宋" w:eastAsia="仿宋" w:cs="仿宋"/>
          <w:sz w:val="21"/>
          <w:szCs w:val="21"/>
        </w:rPr>
        <w:t>法院。</w:t>
      </w:r>
    </w:p>
    <w:p w14:paraId="7DE045D0">
      <w:pPr>
        <w:spacing w:line="300" w:lineRule="exact"/>
        <w:ind w:firstLine="426" w:firstLineChars="200"/>
        <w:rPr>
          <w:rFonts w:hint="eastAsia" w:ascii="仿宋" w:hAnsi="仿宋" w:eastAsia="仿宋" w:cs="仿宋"/>
          <w:sz w:val="21"/>
          <w:szCs w:val="21"/>
        </w:rPr>
      </w:pPr>
      <w:r>
        <w:rPr>
          <w:rFonts w:hint="eastAsia" w:ascii="仿宋" w:hAnsi="仿宋" w:eastAsia="仿宋" w:cs="仿宋"/>
          <w:sz w:val="21"/>
          <w:szCs w:val="21"/>
        </w:rPr>
        <w:t>七、保函的生效</w:t>
      </w:r>
    </w:p>
    <w:p w14:paraId="75DBD508">
      <w:pPr>
        <w:spacing w:line="300" w:lineRule="exact"/>
        <w:ind w:firstLine="426" w:firstLineChars="200"/>
        <w:rPr>
          <w:rFonts w:hint="eastAsia" w:ascii="仿宋" w:hAnsi="仿宋" w:eastAsia="仿宋" w:cs="仿宋"/>
          <w:sz w:val="21"/>
          <w:szCs w:val="21"/>
        </w:rPr>
      </w:pPr>
      <w:r>
        <w:rPr>
          <w:rFonts w:hint="eastAsia" w:ascii="仿宋" w:hAnsi="仿宋" w:eastAsia="仿宋" w:cs="仿宋"/>
          <w:sz w:val="21"/>
          <w:szCs w:val="21"/>
        </w:rPr>
        <w:t>本保函自我方加盖公章之日起生效。</w:t>
      </w:r>
    </w:p>
    <w:p w14:paraId="7BC3EFE2">
      <w:pPr>
        <w:spacing w:line="300" w:lineRule="exact"/>
        <w:jc w:val="right"/>
        <w:rPr>
          <w:rFonts w:hint="eastAsia" w:ascii="仿宋" w:hAnsi="仿宋" w:eastAsia="仿宋" w:cs="仿宋"/>
          <w:sz w:val="21"/>
          <w:szCs w:val="21"/>
        </w:rPr>
      </w:pPr>
      <w:r>
        <w:rPr>
          <w:rFonts w:hint="eastAsia" w:ascii="仿宋" w:hAnsi="仿宋" w:eastAsia="仿宋" w:cs="仿宋"/>
          <w:sz w:val="21"/>
          <w:szCs w:val="21"/>
        </w:rPr>
        <w:t>保证人：（公章）</w:t>
      </w:r>
    </w:p>
    <w:p w14:paraId="0AA43384">
      <w:pPr>
        <w:spacing w:line="300" w:lineRule="exact"/>
        <w:jc w:val="right"/>
        <w:rPr>
          <w:rFonts w:hint="eastAsia" w:ascii="仿宋" w:hAnsi="仿宋" w:eastAsia="仿宋" w:cs="仿宋"/>
          <w:sz w:val="21"/>
          <w:szCs w:val="21"/>
        </w:rPr>
      </w:pPr>
      <w:r>
        <w:rPr>
          <w:rFonts w:hint="eastAsia" w:ascii="仿宋" w:hAnsi="仿宋" w:eastAsia="仿宋" w:cs="仿宋"/>
          <w:sz w:val="21"/>
          <w:szCs w:val="21"/>
        </w:rPr>
        <w:t xml:space="preserve">                            </w:t>
      </w:r>
    </w:p>
    <w:p w14:paraId="0097EE54">
      <w:pPr>
        <w:spacing w:line="300" w:lineRule="exact"/>
        <w:jc w:val="right"/>
        <w:rPr>
          <w:rFonts w:hint="eastAsia" w:ascii="仿宋" w:hAnsi="仿宋" w:eastAsia="仿宋" w:cs="仿宋"/>
          <w:sz w:val="21"/>
          <w:szCs w:val="21"/>
        </w:rPr>
        <w:sectPr>
          <w:pgSz w:w="11905" w:h="16838"/>
          <w:pgMar w:top="1440" w:right="1080" w:bottom="1440" w:left="1080" w:header="850" w:footer="992" w:gutter="0"/>
          <w:pgNumType w:fmt="decimal"/>
          <w:cols w:space="720" w:num="1"/>
          <w:docGrid w:type="linesAndChars" w:linePitch="325" w:charSpace="635"/>
        </w:sectPr>
      </w:pPr>
      <w:r>
        <w:rPr>
          <w:rFonts w:hint="eastAsia" w:ascii="仿宋" w:hAnsi="仿宋" w:eastAsia="仿宋" w:cs="仿宋"/>
          <w:sz w:val="21"/>
          <w:szCs w:val="21"/>
        </w:rPr>
        <w:t>年     月      日</w:t>
      </w:r>
    </w:p>
    <w:p w14:paraId="013C7D23">
      <w:pPr>
        <w:spacing w:line="240" w:lineRule="auto"/>
        <w:outlineLvl w:val="2"/>
        <w:rPr>
          <w:rFonts w:hint="eastAsia" w:ascii="仿宋" w:hAnsi="仿宋" w:eastAsia="仿宋" w:cs="仿宋"/>
          <w:b/>
          <w:bCs/>
          <w:color w:val="auto"/>
          <w:kern w:val="2"/>
          <w:sz w:val="28"/>
          <w:szCs w:val="28"/>
          <w:lang w:val="en-US" w:eastAsia="zh-CN" w:bidi="ar-SA"/>
        </w:rPr>
      </w:pPr>
      <w:bookmarkStart w:id="379" w:name="_Toc30149"/>
      <w:r>
        <w:rPr>
          <w:rFonts w:hint="eastAsia" w:ascii="仿宋" w:hAnsi="仿宋" w:eastAsia="仿宋" w:cs="仿宋"/>
          <w:b/>
          <w:bCs/>
          <w:color w:val="auto"/>
          <w:kern w:val="2"/>
          <w:sz w:val="28"/>
          <w:szCs w:val="28"/>
          <w:lang w:val="en-US" w:eastAsia="zh-CN" w:bidi="ar-SA"/>
        </w:rPr>
        <w:t>6、参加采购活动前三年内，投标人在“信用中国”（www.creditchina.gov.cn）和“中国政府采购网”（www.ccgp.gov.cn）网站上未被列入失信被执行人、重大税收违法案件当事人名单以及政府采购严重违法失信行为记录名单（投标文件中的查询截图不做强制性要求，最终以代理机构开标现场在政采云系统中查询结果为准）;</w:t>
      </w:r>
      <w:bookmarkEnd w:id="379"/>
    </w:p>
    <w:p w14:paraId="76C2B6E7">
      <w:pPr>
        <w:pStyle w:val="65"/>
        <w:jc w:val="left"/>
        <w:rPr>
          <w:rFonts w:hint="eastAsia" w:ascii="仿宋" w:hAnsi="仿宋" w:eastAsia="仿宋" w:cs="仿宋"/>
          <w:b/>
          <w:bCs/>
          <w:color w:val="auto"/>
          <w:kern w:val="2"/>
          <w:sz w:val="28"/>
          <w:szCs w:val="28"/>
          <w:lang w:val="en-US" w:eastAsia="zh-CN" w:bidi="ar-SA"/>
        </w:rPr>
      </w:pPr>
    </w:p>
    <w:p w14:paraId="382E4ACE">
      <w:pPr>
        <w:rPr>
          <w:rFonts w:hint="eastAsia" w:ascii="仿宋" w:hAnsi="仿宋" w:eastAsia="仿宋" w:cs="仿宋"/>
          <w:color w:val="auto"/>
          <w:sz w:val="20"/>
          <w:highlight w:val="none"/>
        </w:rPr>
      </w:pPr>
    </w:p>
    <w:p w14:paraId="6C83677D">
      <w:pPr>
        <w:pStyle w:val="65"/>
        <w:rPr>
          <w:rFonts w:hint="eastAsia" w:ascii="仿宋" w:hAnsi="仿宋" w:eastAsia="仿宋" w:cs="仿宋"/>
          <w:color w:val="auto"/>
          <w:sz w:val="20"/>
          <w:highlight w:val="none"/>
        </w:rPr>
      </w:pPr>
    </w:p>
    <w:p w14:paraId="1B18FA8C">
      <w:pPr>
        <w:rPr>
          <w:rFonts w:hint="eastAsia" w:ascii="仿宋" w:hAnsi="仿宋" w:eastAsia="仿宋" w:cs="仿宋"/>
          <w:color w:val="auto"/>
          <w:sz w:val="20"/>
          <w:highlight w:val="none"/>
        </w:rPr>
      </w:pPr>
    </w:p>
    <w:p w14:paraId="57275475">
      <w:pPr>
        <w:pStyle w:val="37"/>
        <w:rPr>
          <w:rFonts w:hint="eastAsia" w:ascii="仿宋" w:hAnsi="仿宋" w:eastAsia="仿宋" w:cs="仿宋"/>
          <w:color w:val="auto"/>
          <w:sz w:val="20"/>
          <w:highlight w:val="none"/>
        </w:rPr>
      </w:pPr>
    </w:p>
    <w:p w14:paraId="58C26F31">
      <w:pPr>
        <w:pStyle w:val="37"/>
        <w:rPr>
          <w:rFonts w:hint="eastAsia" w:ascii="仿宋" w:hAnsi="仿宋" w:eastAsia="仿宋" w:cs="仿宋"/>
          <w:color w:val="auto"/>
          <w:sz w:val="20"/>
          <w:highlight w:val="none"/>
        </w:rPr>
      </w:pPr>
    </w:p>
    <w:p w14:paraId="7AD8EC76">
      <w:pPr>
        <w:pStyle w:val="37"/>
        <w:rPr>
          <w:rFonts w:hint="eastAsia" w:ascii="仿宋" w:hAnsi="仿宋" w:eastAsia="仿宋" w:cs="仿宋"/>
          <w:color w:val="auto"/>
          <w:sz w:val="20"/>
          <w:highlight w:val="none"/>
        </w:rPr>
      </w:pPr>
    </w:p>
    <w:p w14:paraId="7BD4886C">
      <w:pPr>
        <w:pStyle w:val="37"/>
        <w:rPr>
          <w:rFonts w:hint="eastAsia" w:ascii="仿宋" w:hAnsi="仿宋" w:eastAsia="仿宋" w:cs="仿宋"/>
          <w:color w:val="auto"/>
          <w:sz w:val="20"/>
          <w:highlight w:val="none"/>
        </w:rPr>
      </w:pPr>
    </w:p>
    <w:p w14:paraId="6E1FEA78">
      <w:pPr>
        <w:pStyle w:val="37"/>
        <w:rPr>
          <w:rFonts w:hint="eastAsia" w:ascii="仿宋" w:hAnsi="仿宋" w:eastAsia="仿宋" w:cs="仿宋"/>
          <w:color w:val="auto"/>
          <w:sz w:val="20"/>
          <w:highlight w:val="none"/>
        </w:rPr>
      </w:pPr>
    </w:p>
    <w:p w14:paraId="29E52A86">
      <w:pPr>
        <w:pStyle w:val="37"/>
        <w:rPr>
          <w:rFonts w:hint="eastAsia" w:ascii="仿宋" w:hAnsi="仿宋" w:eastAsia="仿宋" w:cs="仿宋"/>
          <w:color w:val="auto"/>
          <w:sz w:val="20"/>
          <w:highlight w:val="none"/>
        </w:rPr>
      </w:pPr>
    </w:p>
    <w:p w14:paraId="675485C6">
      <w:pPr>
        <w:rPr>
          <w:rFonts w:hint="eastAsia" w:ascii="仿宋" w:hAnsi="仿宋" w:eastAsia="仿宋" w:cs="仿宋"/>
          <w:b/>
          <w:bCs/>
          <w:kern w:val="0"/>
          <w:sz w:val="28"/>
          <w:szCs w:val="28"/>
          <w:lang w:val="en-US" w:eastAsia="zh-CN"/>
        </w:rPr>
      </w:pPr>
    </w:p>
    <w:p w14:paraId="0DFCAF4D">
      <w:pPr>
        <w:rPr>
          <w:rFonts w:hint="eastAsia" w:ascii="仿宋" w:hAnsi="仿宋" w:eastAsia="仿宋" w:cs="仿宋"/>
          <w:b/>
          <w:bCs/>
          <w:kern w:val="0"/>
          <w:sz w:val="28"/>
          <w:szCs w:val="28"/>
          <w:lang w:val="en-US" w:eastAsia="zh-CN"/>
        </w:rPr>
      </w:pPr>
    </w:p>
    <w:p w14:paraId="3BE2605F">
      <w:pPr>
        <w:rPr>
          <w:rFonts w:hint="eastAsia" w:ascii="仿宋" w:hAnsi="仿宋" w:eastAsia="仿宋" w:cs="仿宋"/>
          <w:b/>
          <w:bCs/>
          <w:kern w:val="0"/>
          <w:sz w:val="28"/>
          <w:szCs w:val="28"/>
          <w:lang w:val="en-US" w:eastAsia="zh-CN"/>
        </w:rPr>
      </w:pPr>
    </w:p>
    <w:p w14:paraId="4DDF728A">
      <w:pPr>
        <w:jc w:val="center"/>
        <w:outlineLvl w:val="2"/>
        <w:rPr>
          <w:rFonts w:hint="eastAsia" w:ascii="仿宋" w:hAnsi="仿宋" w:eastAsia="仿宋" w:cs="仿宋"/>
          <w:b/>
          <w:bCs/>
          <w:color w:val="auto"/>
          <w:kern w:val="2"/>
          <w:sz w:val="36"/>
          <w:szCs w:val="36"/>
          <w:lang w:val="en-US" w:eastAsia="zh-CN" w:bidi="ar-SA"/>
        </w:rPr>
        <w:sectPr>
          <w:pgSz w:w="11905" w:h="16838"/>
          <w:pgMar w:top="1440" w:right="1080" w:bottom="1440" w:left="1080" w:header="850" w:footer="992" w:gutter="0"/>
          <w:pgNumType w:fmt="decimal"/>
          <w:cols w:space="720" w:num="1"/>
          <w:docGrid w:type="linesAndChars" w:linePitch="325" w:charSpace="635"/>
        </w:sectPr>
      </w:pPr>
    </w:p>
    <w:p w14:paraId="385F3EFE">
      <w:pPr>
        <w:spacing w:line="240" w:lineRule="auto"/>
        <w:outlineLvl w:val="2"/>
        <w:rPr>
          <w:rFonts w:hint="eastAsia" w:ascii="仿宋" w:hAnsi="仿宋" w:eastAsia="仿宋" w:cs="仿宋"/>
          <w:b/>
          <w:bCs/>
          <w:color w:val="auto"/>
          <w:kern w:val="2"/>
          <w:sz w:val="28"/>
          <w:szCs w:val="28"/>
          <w:lang w:val="en-US" w:eastAsia="zh-CN" w:bidi="ar-SA"/>
        </w:rPr>
      </w:pPr>
      <w:bookmarkStart w:id="380" w:name="_Toc28991"/>
      <w:r>
        <w:rPr>
          <w:rFonts w:hint="eastAsia" w:ascii="仿宋" w:hAnsi="仿宋" w:eastAsia="仿宋" w:cs="仿宋"/>
          <w:b/>
          <w:bCs/>
          <w:color w:val="auto"/>
          <w:kern w:val="2"/>
          <w:sz w:val="28"/>
          <w:szCs w:val="28"/>
          <w:lang w:val="en-US" w:eastAsia="zh-CN" w:bidi="ar-SA"/>
        </w:rPr>
        <w:t>7、反商业贿赂承诺书（格式自拟）；</w:t>
      </w:r>
      <w:bookmarkEnd w:id="380"/>
    </w:p>
    <w:p w14:paraId="7E38B9D9">
      <w:pPr>
        <w:keepNext w:val="0"/>
        <w:keepLines w:val="0"/>
        <w:widowControl/>
        <w:suppressLineNumbers w:val="0"/>
        <w:ind w:firstLine="1815" w:firstLineChars="500"/>
        <w:jc w:val="both"/>
        <w:rPr>
          <w:rFonts w:hint="eastAsia" w:ascii="仿宋" w:hAnsi="仿宋" w:eastAsia="仿宋" w:cs="仿宋"/>
          <w:b/>
          <w:bCs/>
          <w:color w:val="000000"/>
          <w:kern w:val="0"/>
          <w:sz w:val="36"/>
          <w:szCs w:val="36"/>
          <w:lang w:val="en-US" w:eastAsia="zh-CN" w:bidi="ar"/>
        </w:rPr>
      </w:pPr>
    </w:p>
    <w:p w14:paraId="0D0EE054">
      <w:pPr>
        <w:pStyle w:val="8"/>
        <w:rPr>
          <w:rFonts w:hint="eastAsia" w:ascii="仿宋" w:hAnsi="仿宋" w:eastAsia="仿宋" w:cs="仿宋"/>
          <w:b/>
          <w:bCs/>
          <w:color w:val="auto"/>
          <w:kern w:val="2"/>
          <w:sz w:val="24"/>
          <w:szCs w:val="24"/>
          <w:u w:color="000000"/>
          <w:lang w:val="en-US" w:eastAsia="zh-CN" w:bidi="ar-SA"/>
        </w:rPr>
      </w:pPr>
    </w:p>
    <w:p w14:paraId="19EE1B81">
      <w:pPr>
        <w:pStyle w:val="36"/>
        <w:rPr>
          <w:rFonts w:hint="eastAsia" w:ascii="仿宋" w:hAnsi="仿宋" w:eastAsia="仿宋" w:cs="仿宋"/>
          <w:b/>
          <w:bCs/>
          <w:color w:val="auto"/>
          <w:kern w:val="2"/>
          <w:sz w:val="24"/>
          <w:szCs w:val="24"/>
          <w:u w:color="000000"/>
          <w:lang w:val="en-US" w:eastAsia="zh-CN" w:bidi="ar-SA"/>
        </w:rPr>
      </w:pPr>
    </w:p>
    <w:p w14:paraId="33B470DC">
      <w:pPr>
        <w:rPr>
          <w:rFonts w:hint="eastAsia" w:ascii="仿宋" w:hAnsi="仿宋" w:eastAsia="仿宋" w:cs="仿宋"/>
          <w:lang w:val="en-US" w:eastAsia="zh-CN"/>
        </w:rPr>
      </w:pPr>
    </w:p>
    <w:p w14:paraId="3D79200B">
      <w:pPr>
        <w:pStyle w:val="3"/>
        <w:numPr>
          <w:ilvl w:val="0"/>
          <w:numId w:val="0"/>
        </w:numPr>
        <w:shd w:val="clear" w:color="auto" w:fill="auto"/>
        <w:tabs>
          <w:tab w:val="left" w:pos="540"/>
        </w:tabs>
        <w:spacing w:before="0" w:line="240" w:lineRule="atLeast"/>
        <w:jc w:val="both"/>
        <w:outlineLvl w:val="9"/>
        <w:rPr>
          <w:rFonts w:hint="eastAsia" w:ascii="仿宋" w:hAnsi="仿宋" w:eastAsia="仿宋" w:cs="仿宋"/>
          <w:b/>
          <w:bCs/>
          <w:color w:val="auto"/>
          <w:spacing w:val="0"/>
          <w:w w:val="100"/>
          <w:kern w:val="0"/>
          <w:position w:val="0"/>
          <w:sz w:val="36"/>
          <w:szCs w:val="36"/>
          <w:shd w:val="clear" w:color="auto" w:fill="auto"/>
          <w:lang w:val="en-US" w:eastAsia="zh-CN" w:bidi="en-US"/>
        </w:rPr>
      </w:pPr>
    </w:p>
    <w:p w14:paraId="2307057A">
      <w:pPr>
        <w:rPr>
          <w:rFonts w:hint="eastAsia" w:ascii="仿宋" w:hAnsi="仿宋" w:eastAsia="仿宋" w:cs="仿宋"/>
          <w:b/>
          <w:bCs/>
          <w:color w:val="auto"/>
          <w:spacing w:val="0"/>
          <w:w w:val="100"/>
          <w:kern w:val="0"/>
          <w:position w:val="0"/>
          <w:sz w:val="36"/>
          <w:szCs w:val="36"/>
          <w:shd w:val="clear" w:color="auto" w:fill="auto"/>
          <w:lang w:val="en-US" w:eastAsia="zh-CN" w:bidi="en-US"/>
        </w:rPr>
      </w:pPr>
    </w:p>
    <w:p w14:paraId="7CC12C35">
      <w:pPr>
        <w:pStyle w:val="24"/>
        <w:rPr>
          <w:rFonts w:hint="eastAsia" w:ascii="仿宋" w:hAnsi="仿宋" w:eastAsia="仿宋" w:cs="仿宋"/>
          <w:b/>
          <w:bCs/>
          <w:color w:val="auto"/>
          <w:spacing w:val="0"/>
          <w:w w:val="100"/>
          <w:kern w:val="0"/>
          <w:position w:val="0"/>
          <w:sz w:val="36"/>
          <w:szCs w:val="36"/>
          <w:shd w:val="clear" w:color="auto" w:fill="auto"/>
          <w:lang w:val="en-US" w:eastAsia="zh-CN" w:bidi="en-US"/>
        </w:rPr>
      </w:pPr>
    </w:p>
    <w:p w14:paraId="5EAE8639">
      <w:pPr>
        <w:pStyle w:val="8"/>
        <w:rPr>
          <w:rFonts w:hint="eastAsia" w:ascii="仿宋" w:hAnsi="仿宋" w:eastAsia="仿宋" w:cs="仿宋"/>
          <w:b/>
          <w:bCs/>
          <w:color w:val="auto"/>
          <w:spacing w:val="0"/>
          <w:w w:val="100"/>
          <w:kern w:val="0"/>
          <w:position w:val="0"/>
          <w:sz w:val="36"/>
          <w:szCs w:val="36"/>
          <w:shd w:val="clear" w:color="auto" w:fill="auto"/>
          <w:lang w:val="en-US" w:eastAsia="zh-CN" w:bidi="en-US"/>
        </w:rPr>
      </w:pPr>
    </w:p>
    <w:p w14:paraId="5F6F541B">
      <w:pPr>
        <w:pStyle w:val="35"/>
        <w:rPr>
          <w:rFonts w:hint="eastAsia" w:ascii="仿宋" w:hAnsi="仿宋" w:eastAsia="仿宋" w:cs="仿宋"/>
          <w:b/>
          <w:bCs/>
          <w:color w:val="auto"/>
          <w:spacing w:val="0"/>
          <w:w w:val="100"/>
          <w:kern w:val="0"/>
          <w:position w:val="0"/>
          <w:sz w:val="36"/>
          <w:szCs w:val="36"/>
          <w:shd w:val="clear" w:color="auto" w:fill="auto"/>
          <w:lang w:val="en-US" w:eastAsia="zh-CN" w:bidi="en-US"/>
        </w:rPr>
      </w:pPr>
    </w:p>
    <w:p w14:paraId="78C73D7F">
      <w:pPr>
        <w:pStyle w:val="35"/>
        <w:rPr>
          <w:rFonts w:hint="eastAsia" w:ascii="仿宋" w:hAnsi="仿宋" w:eastAsia="仿宋" w:cs="仿宋"/>
          <w:b/>
          <w:bCs/>
          <w:color w:val="auto"/>
          <w:spacing w:val="0"/>
          <w:w w:val="100"/>
          <w:kern w:val="0"/>
          <w:position w:val="0"/>
          <w:sz w:val="36"/>
          <w:szCs w:val="36"/>
          <w:shd w:val="clear" w:color="auto" w:fill="auto"/>
          <w:lang w:val="en-US" w:eastAsia="zh-CN" w:bidi="en-US"/>
        </w:rPr>
      </w:pPr>
    </w:p>
    <w:p w14:paraId="79CE6B97">
      <w:pPr>
        <w:pStyle w:val="35"/>
        <w:rPr>
          <w:rFonts w:hint="eastAsia" w:ascii="仿宋" w:hAnsi="仿宋" w:eastAsia="仿宋" w:cs="仿宋"/>
          <w:b/>
          <w:bCs/>
          <w:color w:val="auto"/>
          <w:spacing w:val="0"/>
          <w:w w:val="100"/>
          <w:kern w:val="0"/>
          <w:position w:val="0"/>
          <w:sz w:val="36"/>
          <w:szCs w:val="36"/>
          <w:shd w:val="clear" w:color="auto" w:fill="auto"/>
          <w:lang w:val="en-US" w:eastAsia="zh-CN" w:bidi="en-US"/>
        </w:rPr>
      </w:pPr>
    </w:p>
    <w:p w14:paraId="4BE5FDE3">
      <w:pPr>
        <w:pStyle w:val="35"/>
        <w:rPr>
          <w:rFonts w:hint="eastAsia" w:ascii="仿宋" w:hAnsi="仿宋" w:eastAsia="仿宋" w:cs="仿宋"/>
          <w:b/>
          <w:bCs/>
          <w:color w:val="auto"/>
          <w:spacing w:val="0"/>
          <w:w w:val="100"/>
          <w:kern w:val="0"/>
          <w:position w:val="0"/>
          <w:sz w:val="36"/>
          <w:szCs w:val="36"/>
          <w:shd w:val="clear" w:color="auto" w:fill="auto"/>
          <w:lang w:val="en-US" w:eastAsia="zh-CN" w:bidi="en-US"/>
        </w:rPr>
      </w:pPr>
    </w:p>
    <w:p w14:paraId="7E255455">
      <w:pPr>
        <w:pStyle w:val="35"/>
        <w:rPr>
          <w:rFonts w:hint="eastAsia" w:ascii="仿宋" w:hAnsi="仿宋" w:eastAsia="仿宋" w:cs="仿宋"/>
          <w:b/>
          <w:bCs/>
          <w:color w:val="auto"/>
          <w:spacing w:val="0"/>
          <w:w w:val="100"/>
          <w:kern w:val="0"/>
          <w:position w:val="0"/>
          <w:sz w:val="36"/>
          <w:szCs w:val="36"/>
          <w:shd w:val="clear" w:color="auto" w:fill="auto"/>
          <w:lang w:val="en-US" w:eastAsia="zh-CN" w:bidi="en-US"/>
        </w:rPr>
      </w:pPr>
    </w:p>
    <w:p w14:paraId="13C85C6C">
      <w:pPr>
        <w:pStyle w:val="35"/>
        <w:rPr>
          <w:rFonts w:hint="eastAsia" w:ascii="仿宋" w:hAnsi="仿宋" w:eastAsia="仿宋" w:cs="仿宋"/>
          <w:b/>
          <w:bCs/>
          <w:color w:val="auto"/>
          <w:spacing w:val="0"/>
          <w:w w:val="100"/>
          <w:kern w:val="0"/>
          <w:position w:val="0"/>
          <w:sz w:val="36"/>
          <w:szCs w:val="36"/>
          <w:shd w:val="clear" w:color="auto" w:fill="auto"/>
          <w:lang w:val="en-US" w:eastAsia="zh-CN" w:bidi="en-US"/>
        </w:rPr>
      </w:pPr>
    </w:p>
    <w:p w14:paraId="049BB9E9">
      <w:pPr>
        <w:pStyle w:val="35"/>
        <w:rPr>
          <w:rFonts w:hint="eastAsia" w:ascii="仿宋" w:hAnsi="仿宋" w:eastAsia="仿宋" w:cs="仿宋"/>
          <w:b/>
          <w:bCs/>
          <w:color w:val="auto"/>
          <w:spacing w:val="0"/>
          <w:w w:val="100"/>
          <w:kern w:val="0"/>
          <w:position w:val="0"/>
          <w:sz w:val="36"/>
          <w:szCs w:val="36"/>
          <w:shd w:val="clear" w:color="auto" w:fill="auto"/>
          <w:lang w:val="en-US" w:eastAsia="zh-CN" w:bidi="en-US"/>
        </w:rPr>
      </w:pPr>
    </w:p>
    <w:p w14:paraId="74B2A486">
      <w:pPr>
        <w:pStyle w:val="35"/>
        <w:rPr>
          <w:rFonts w:hint="eastAsia" w:ascii="仿宋" w:hAnsi="仿宋" w:eastAsia="仿宋" w:cs="仿宋"/>
          <w:b/>
          <w:bCs/>
          <w:color w:val="auto"/>
          <w:spacing w:val="0"/>
          <w:w w:val="100"/>
          <w:kern w:val="0"/>
          <w:position w:val="0"/>
          <w:sz w:val="36"/>
          <w:szCs w:val="36"/>
          <w:shd w:val="clear" w:color="auto" w:fill="auto"/>
          <w:lang w:val="en-US" w:eastAsia="zh-CN" w:bidi="en-US"/>
        </w:rPr>
      </w:pPr>
    </w:p>
    <w:p w14:paraId="1D9E8DC7">
      <w:pPr>
        <w:pStyle w:val="35"/>
        <w:rPr>
          <w:rFonts w:hint="eastAsia" w:ascii="仿宋" w:hAnsi="仿宋" w:eastAsia="仿宋" w:cs="仿宋"/>
          <w:b/>
          <w:bCs/>
          <w:color w:val="auto"/>
          <w:spacing w:val="0"/>
          <w:w w:val="100"/>
          <w:kern w:val="0"/>
          <w:position w:val="0"/>
          <w:sz w:val="36"/>
          <w:szCs w:val="36"/>
          <w:shd w:val="clear" w:color="auto" w:fill="auto"/>
          <w:lang w:val="en-US" w:eastAsia="zh-CN" w:bidi="en-US"/>
        </w:rPr>
      </w:pPr>
    </w:p>
    <w:p w14:paraId="2038D55D">
      <w:pPr>
        <w:pStyle w:val="35"/>
        <w:rPr>
          <w:rFonts w:hint="eastAsia" w:ascii="仿宋" w:hAnsi="仿宋" w:eastAsia="仿宋" w:cs="仿宋"/>
          <w:b/>
          <w:bCs/>
          <w:color w:val="auto"/>
          <w:spacing w:val="0"/>
          <w:w w:val="100"/>
          <w:kern w:val="0"/>
          <w:position w:val="0"/>
          <w:sz w:val="36"/>
          <w:szCs w:val="36"/>
          <w:shd w:val="clear" w:color="auto" w:fill="auto"/>
          <w:lang w:val="en-US" w:eastAsia="zh-CN" w:bidi="en-US"/>
        </w:rPr>
      </w:pPr>
    </w:p>
    <w:p w14:paraId="12AE7CFB">
      <w:pPr>
        <w:pStyle w:val="35"/>
        <w:rPr>
          <w:rFonts w:hint="eastAsia" w:ascii="仿宋" w:hAnsi="仿宋" w:eastAsia="仿宋" w:cs="仿宋"/>
          <w:b/>
          <w:bCs/>
          <w:color w:val="auto"/>
          <w:spacing w:val="0"/>
          <w:w w:val="100"/>
          <w:kern w:val="0"/>
          <w:position w:val="0"/>
          <w:sz w:val="36"/>
          <w:szCs w:val="36"/>
          <w:shd w:val="clear" w:color="auto" w:fill="auto"/>
          <w:lang w:val="en-US" w:eastAsia="zh-CN" w:bidi="en-US"/>
        </w:rPr>
      </w:pPr>
    </w:p>
    <w:p w14:paraId="441601B7">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25" w:leftChars="0" w:right="126" w:rightChars="0" w:hanging="425" w:hangingChars="132"/>
        <w:jc w:val="center"/>
        <w:textAlignment w:val="auto"/>
        <w:outlineLvl w:val="2"/>
        <w:rPr>
          <w:rFonts w:hint="eastAsia" w:ascii="仿宋" w:hAnsi="仿宋" w:eastAsia="仿宋" w:cs="仿宋"/>
          <w:b/>
          <w:bCs/>
          <w:color w:val="auto"/>
          <w:sz w:val="32"/>
          <w:szCs w:val="32"/>
          <w:lang w:val="en-US" w:eastAsia="zh-CN"/>
        </w:rPr>
        <w:sectPr>
          <w:pgSz w:w="11905" w:h="16838"/>
          <w:pgMar w:top="1440" w:right="1080" w:bottom="1440" w:left="1080" w:header="850" w:footer="992" w:gutter="0"/>
          <w:pgNumType w:fmt="decimal"/>
          <w:cols w:space="720" w:num="1"/>
          <w:docGrid w:type="linesAndChars" w:linePitch="325" w:charSpace="635"/>
        </w:sectPr>
      </w:pPr>
    </w:p>
    <w:p w14:paraId="08B7BD50">
      <w:pPr>
        <w:pStyle w:val="4"/>
        <w:outlineLvl w:val="2"/>
        <w:rPr>
          <w:rFonts w:hint="eastAsia" w:ascii="仿宋" w:hAnsi="仿宋" w:eastAsia="仿宋" w:cs="仿宋"/>
          <w:b/>
          <w:bCs/>
          <w:color w:val="auto"/>
          <w:kern w:val="2"/>
          <w:sz w:val="28"/>
          <w:szCs w:val="28"/>
          <w:lang w:val="en-US" w:eastAsia="zh-CN" w:bidi="ar-SA"/>
        </w:rPr>
      </w:pPr>
      <w:bookmarkStart w:id="381" w:name="_Toc21907"/>
      <w:r>
        <w:rPr>
          <w:rFonts w:hint="eastAsia" w:ascii="仿宋" w:hAnsi="仿宋" w:eastAsia="仿宋" w:cs="仿宋"/>
          <w:b/>
          <w:bCs/>
          <w:color w:val="auto"/>
          <w:kern w:val="2"/>
          <w:sz w:val="28"/>
          <w:szCs w:val="28"/>
          <w:lang w:val="en-US" w:eastAsia="zh-CN" w:bidi="ar-SA"/>
        </w:rPr>
        <w:t>8、具有良好的商业信誉和健全的财务会计制度：提供近三年任意一年的审计报告扫描件(成立不足一年提供成立至今财务报表，至少包含资产负债表）或提供其基本开户银行在投标截止日前、六个月内出具的资信证明扫描件（银行出具的存款证明不能替代银行资信证明）；</w:t>
      </w:r>
      <w:bookmarkEnd w:id="381"/>
    </w:p>
    <w:p w14:paraId="5A09881F">
      <w:pPr>
        <w:pStyle w:val="37"/>
        <w:ind w:left="0" w:leftChars="0" w:firstLine="0" w:firstLineChars="0"/>
        <w:rPr>
          <w:rFonts w:hint="eastAsia" w:ascii="仿宋" w:hAnsi="仿宋" w:eastAsia="仿宋" w:cs="仿宋"/>
          <w:b/>
          <w:bCs/>
          <w:color w:val="auto"/>
          <w:sz w:val="24"/>
          <w:szCs w:val="24"/>
          <w:lang w:val="en-US" w:eastAsia="zh-CN"/>
        </w:rPr>
      </w:pPr>
    </w:p>
    <w:p w14:paraId="40C61DAF">
      <w:pPr>
        <w:pStyle w:val="37"/>
        <w:rPr>
          <w:rFonts w:hint="eastAsia" w:ascii="仿宋" w:hAnsi="仿宋" w:eastAsia="仿宋" w:cs="仿宋"/>
          <w:b/>
          <w:bCs/>
          <w:color w:val="auto"/>
          <w:sz w:val="24"/>
          <w:szCs w:val="24"/>
          <w:lang w:val="en-US" w:eastAsia="zh-CN"/>
        </w:rPr>
      </w:pPr>
    </w:p>
    <w:p w14:paraId="6425BE1F">
      <w:pPr>
        <w:pStyle w:val="37"/>
        <w:jc w:val="center"/>
        <w:rPr>
          <w:rFonts w:hint="eastAsia" w:ascii="仿宋" w:hAnsi="仿宋" w:eastAsia="仿宋" w:cs="仿宋"/>
          <w:b/>
          <w:bCs/>
          <w:color w:val="auto"/>
          <w:spacing w:val="0"/>
          <w:w w:val="100"/>
          <w:kern w:val="0"/>
          <w:position w:val="0"/>
          <w:sz w:val="36"/>
          <w:szCs w:val="36"/>
          <w:shd w:val="clear" w:color="auto" w:fill="auto"/>
          <w:lang w:val="en-US" w:eastAsia="zh-CN" w:bidi="en-US"/>
        </w:rPr>
      </w:pPr>
    </w:p>
    <w:p w14:paraId="160721F8">
      <w:pPr>
        <w:pStyle w:val="37"/>
        <w:jc w:val="center"/>
        <w:rPr>
          <w:rFonts w:hint="eastAsia" w:ascii="仿宋" w:hAnsi="仿宋" w:eastAsia="仿宋" w:cs="仿宋"/>
          <w:b/>
          <w:bCs/>
          <w:color w:val="auto"/>
          <w:spacing w:val="0"/>
          <w:w w:val="100"/>
          <w:kern w:val="0"/>
          <w:position w:val="0"/>
          <w:sz w:val="36"/>
          <w:szCs w:val="36"/>
          <w:shd w:val="clear" w:color="auto" w:fill="auto"/>
          <w:lang w:val="en-US" w:eastAsia="zh-CN" w:bidi="en-US"/>
        </w:rPr>
      </w:pPr>
    </w:p>
    <w:p w14:paraId="138B4C78">
      <w:pPr>
        <w:pStyle w:val="37"/>
        <w:jc w:val="center"/>
        <w:rPr>
          <w:rFonts w:hint="eastAsia" w:ascii="仿宋" w:hAnsi="仿宋" w:eastAsia="仿宋" w:cs="仿宋"/>
          <w:b/>
          <w:bCs/>
          <w:color w:val="auto"/>
          <w:spacing w:val="0"/>
          <w:w w:val="100"/>
          <w:kern w:val="0"/>
          <w:position w:val="0"/>
          <w:sz w:val="36"/>
          <w:szCs w:val="36"/>
          <w:shd w:val="clear" w:color="auto" w:fill="auto"/>
          <w:lang w:val="en-US" w:eastAsia="zh-CN" w:bidi="en-US"/>
        </w:rPr>
      </w:pPr>
    </w:p>
    <w:p w14:paraId="735B6551">
      <w:pPr>
        <w:pStyle w:val="37"/>
        <w:jc w:val="center"/>
        <w:rPr>
          <w:rFonts w:hint="eastAsia" w:ascii="仿宋" w:hAnsi="仿宋" w:eastAsia="仿宋" w:cs="仿宋"/>
          <w:b/>
          <w:bCs/>
          <w:color w:val="auto"/>
          <w:spacing w:val="0"/>
          <w:w w:val="100"/>
          <w:kern w:val="0"/>
          <w:position w:val="0"/>
          <w:sz w:val="36"/>
          <w:szCs w:val="36"/>
          <w:shd w:val="clear" w:color="auto" w:fill="auto"/>
          <w:lang w:val="en-US" w:eastAsia="zh-CN" w:bidi="en-US"/>
        </w:rPr>
      </w:pPr>
    </w:p>
    <w:p w14:paraId="2D19C59A">
      <w:pPr>
        <w:pStyle w:val="37"/>
        <w:jc w:val="center"/>
        <w:rPr>
          <w:rFonts w:hint="eastAsia" w:ascii="仿宋" w:hAnsi="仿宋" w:eastAsia="仿宋" w:cs="仿宋"/>
          <w:b/>
          <w:bCs/>
          <w:color w:val="auto"/>
          <w:spacing w:val="0"/>
          <w:w w:val="100"/>
          <w:kern w:val="0"/>
          <w:position w:val="0"/>
          <w:sz w:val="36"/>
          <w:szCs w:val="36"/>
          <w:shd w:val="clear" w:color="auto" w:fill="auto"/>
          <w:lang w:val="en-US" w:eastAsia="zh-CN" w:bidi="en-US"/>
        </w:rPr>
      </w:pPr>
    </w:p>
    <w:p w14:paraId="6A713BDA">
      <w:pPr>
        <w:pStyle w:val="37"/>
        <w:jc w:val="center"/>
        <w:rPr>
          <w:rFonts w:hint="eastAsia" w:ascii="仿宋" w:hAnsi="仿宋" w:eastAsia="仿宋" w:cs="仿宋"/>
          <w:b/>
          <w:bCs/>
          <w:color w:val="auto"/>
          <w:spacing w:val="0"/>
          <w:w w:val="100"/>
          <w:kern w:val="0"/>
          <w:position w:val="0"/>
          <w:sz w:val="36"/>
          <w:szCs w:val="36"/>
          <w:shd w:val="clear" w:color="auto" w:fill="auto"/>
          <w:lang w:val="en-US" w:eastAsia="zh-CN" w:bidi="en-US"/>
        </w:rPr>
      </w:pPr>
    </w:p>
    <w:p w14:paraId="1684EED6">
      <w:pPr>
        <w:pStyle w:val="37"/>
        <w:jc w:val="center"/>
        <w:rPr>
          <w:rFonts w:hint="eastAsia" w:ascii="仿宋" w:hAnsi="仿宋" w:eastAsia="仿宋" w:cs="仿宋"/>
          <w:b/>
          <w:bCs/>
          <w:color w:val="auto"/>
          <w:spacing w:val="0"/>
          <w:w w:val="100"/>
          <w:kern w:val="0"/>
          <w:position w:val="0"/>
          <w:sz w:val="36"/>
          <w:szCs w:val="36"/>
          <w:shd w:val="clear" w:color="auto" w:fill="auto"/>
          <w:lang w:val="en-US" w:eastAsia="zh-CN" w:bidi="en-US"/>
        </w:rPr>
      </w:pPr>
    </w:p>
    <w:p w14:paraId="1DDB89C2">
      <w:pPr>
        <w:pStyle w:val="37"/>
        <w:jc w:val="center"/>
        <w:rPr>
          <w:rFonts w:hint="eastAsia" w:ascii="仿宋" w:hAnsi="仿宋" w:eastAsia="仿宋" w:cs="仿宋"/>
          <w:b/>
          <w:bCs/>
          <w:color w:val="auto"/>
          <w:spacing w:val="0"/>
          <w:w w:val="100"/>
          <w:kern w:val="0"/>
          <w:position w:val="0"/>
          <w:sz w:val="36"/>
          <w:szCs w:val="36"/>
          <w:shd w:val="clear" w:color="auto" w:fill="auto"/>
          <w:lang w:val="en-US" w:eastAsia="zh-CN" w:bidi="en-US"/>
        </w:rPr>
      </w:pPr>
    </w:p>
    <w:p w14:paraId="4F915194">
      <w:pPr>
        <w:pStyle w:val="37"/>
        <w:jc w:val="center"/>
        <w:rPr>
          <w:rFonts w:hint="eastAsia" w:ascii="仿宋" w:hAnsi="仿宋" w:eastAsia="仿宋" w:cs="仿宋"/>
          <w:b/>
          <w:bCs/>
          <w:color w:val="auto"/>
          <w:spacing w:val="0"/>
          <w:w w:val="100"/>
          <w:kern w:val="0"/>
          <w:position w:val="0"/>
          <w:sz w:val="36"/>
          <w:szCs w:val="36"/>
          <w:shd w:val="clear" w:color="auto" w:fill="auto"/>
          <w:lang w:val="en-US" w:eastAsia="zh-CN" w:bidi="en-US"/>
        </w:rPr>
      </w:pPr>
    </w:p>
    <w:p w14:paraId="325EB4A1">
      <w:pPr>
        <w:pStyle w:val="37"/>
        <w:jc w:val="center"/>
        <w:rPr>
          <w:rFonts w:hint="eastAsia" w:ascii="仿宋" w:hAnsi="仿宋" w:eastAsia="仿宋" w:cs="仿宋"/>
          <w:b/>
          <w:bCs/>
          <w:color w:val="auto"/>
          <w:spacing w:val="0"/>
          <w:w w:val="100"/>
          <w:kern w:val="0"/>
          <w:position w:val="0"/>
          <w:sz w:val="36"/>
          <w:szCs w:val="36"/>
          <w:shd w:val="clear" w:color="auto" w:fill="auto"/>
          <w:lang w:val="en-US" w:eastAsia="zh-CN" w:bidi="en-US"/>
        </w:rPr>
      </w:pPr>
    </w:p>
    <w:p w14:paraId="1363DCCD">
      <w:pPr>
        <w:pStyle w:val="37"/>
        <w:jc w:val="center"/>
        <w:rPr>
          <w:rFonts w:hint="eastAsia" w:ascii="仿宋" w:hAnsi="仿宋" w:eastAsia="仿宋" w:cs="仿宋"/>
          <w:b/>
          <w:bCs/>
          <w:color w:val="auto"/>
          <w:spacing w:val="0"/>
          <w:w w:val="100"/>
          <w:kern w:val="0"/>
          <w:position w:val="0"/>
          <w:sz w:val="36"/>
          <w:szCs w:val="36"/>
          <w:shd w:val="clear" w:color="auto" w:fill="auto"/>
          <w:lang w:val="en-US" w:eastAsia="zh-CN" w:bidi="en-US"/>
        </w:rPr>
      </w:pPr>
    </w:p>
    <w:p w14:paraId="140F418A">
      <w:pPr>
        <w:pStyle w:val="37"/>
        <w:jc w:val="center"/>
        <w:rPr>
          <w:rFonts w:hint="eastAsia" w:ascii="仿宋" w:hAnsi="仿宋" w:eastAsia="仿宋" w:cs="仿宋"/>
          <w:b/>
          <w:bCs/>
          <w:color w:val="auto"/>
          <w:spacing w:val="0"/>
          <w:w w:val="100"/>
          <w:kern w:val="0"/>
          <w:position w:val="0"/>
          <w:sz w:val="36"/>
          <w:szCs w:val="36"/>
          <w:shd w:val="clear" w:color="auto" w:fill="auto"/>
          <w:lang w:val="en-US" w:eastAsia="zh-CN" w:bidi="en-US"/>
        </w:rPr>
      </w:pPr>
    </w:p>
    <w:p w14:paraId="2CA15D6C">
      <w:pPr>
        <w:pStyle w:val="37"/>
        <w:jc w:val="center"/>
        <w:rPr>
          <w:rFonts w:hint="eastAsia" w:ascii="仿宋" w:hAnsi="仿宋" w:eastAsia="仿宋" w:cs="仿宋"/>
          <w:b/>
          <w:bCs/>
          <w:color w:val="auto"/>
          <w:spacing w:val="0"/>
          <w:w w:val="100"/>
          <w:kern w:val="0"/>
          <w:position w:val="0"/>
          <w:sz w:val="36"/>
          <w:szCs w:val="36"/>
          <w:shd w:val="clear" w:color="auto" w:fill="auto"/>
          <w:lang w:val="en-US" w:eastAsia="zh-CN" w:bidi="en-US"/>
        </w:rPr>
      </w:pPr>
    </w:p>
    <w:p w14:paraId="65B0ED05">
      <w:pPr>
        <w:pStyle w:val="37"/>
        <w:jc w:val="center"/>
        <w:rPr>
          <w:rFonts w:hint="eastAsia" w:ascii="仿宋" w:hAnsi="仿宋" w:eastAsia="仿宋" w:cs="仿宋"/>
          <w:b/>
          <w:bCs/>
          <w:color w:val="auto"/>
          <w:spacing w:val="0"/>
          <w:w w:val="100"/>
          <w:kern w:val="0"/>
          <w:position w:val="0"/>
          <w:sz w:val="36"/>
          <w:szCs w:val="36"/>
          <w:shd w:val="clear" w:color="auto" w:fill="auto"/>
          <w:lang w:val="en-US" w:eastAsia="zh-CN" w:bidi="en-US"/>
        </w:rPr>
      </w:pPr>
    </w:p>
    <w:p w14:paraId="588059EA">
      <w:pPr>
        <w:pStyle w:val="37"/>
        <w:jc w:val="center"/>
        <w:rPr>
          <w:rFonts w:hint="eastAsia" w:ascii="仿宋" w:hAnsi="仿宋" w:eastAsia="仿宋" w:cs="仿宋"/>
          <w:b/>
          <w:bCs/>
          <w:color w:val="auto"/>
          <w:spacing w:val="0"/>
          <w:w w:val="100"/>
          <w:kern w:val="0"/>
          <w:position w:val="0"/>
          <w:sz w:val="36"/>
          <w:szCs w:val="36"/>
          <w:shd w:val="clear" w:color="auto" w:fill="auto"/>
          <w:lang w:val="en-US" w:eastAsia="zh-CN" w:bidi="en-US"/>
        </w:rPr>
      </w:pPr>
    </w:p>
    <w:p w14:paraId="68729302">
      <w:pPr>
        <w:pStyle w:val="37"/>
        <w:jc w:val="center"/>
        <w:rPr>
          <w:rFonts w:hint="eastAsia" w:ascii="仿宋" w:hAnsi="仿宋" w:eastAsia="仿宋" w:cs="仿宋"/>
          <w:b/>
          <w:bCs/>
          <w:color w:val="auto"/>
          <w:spacing w:val="0"/>
          <w:w w:val="100"/>
          <w:kern w:val="0"/>
          <w:position w:val="0"/>
          <w:sz w:val="36"/>
          <w:szCs w:val="36"/>
          <w:shd w:val="clear" w:color="auto" w:fill="auto"/>
          <w:lang w:val="en-US" w:eastAsia="zh-CN" w:bidi="en-US"/>
        </w:rPr>
      </w:pPr>
    </w:p>
    <w:p w14:paraId="5FB04072">
      <w:pPr>
        <w:pStyle w:val="37"/>
        <w:jc w:val="center"/>
        <w:rPr>
          <w:rFonts w:hint="eastAsia" w:ascii="仿宋" w:hAnsi="仿宋" w:eastAsia="仿宋" w:cs="仿宋"/>
          <w:b/>
          <w:bCs/>
          <w:color w:val="auto"/>
          <w:spacing w:val="0"/>
          <w:w w:val="100"/>
          <w:kern w:val="0"/>
          <w:position w:val="0"/>
          <w:sz w:val="36"/>
          <w:szCs w:val="36"/>
          <w:shd w:val="clear" w:color="auto" w:fill="auto"/>
          <w:lang w:val="en-US" w:eastAsia="zh-CN" w:bidi="en-US"/>
        </w:rPr>
      </w:pPr>
    </w:p>
    <w:p w14:paraId="621B6F42">
      <w:pPr>
        <w:pStyle w:val="37"/>
        <w:jc w:val="center"/>
        <w:rPr>
          <w:rFonts w:hint="eastAsia" w:ascii="仿宋" w:hAnsi="仿宋" w:eastAsia="仿宋" w:cs="仿宋"/>
          <w:b/>
          <w:bCs/>
          <w:color w:val="auto"/>
          <w:spacing w:val="0"/>
          <w:w w:val="100"/>
          <w:kern w:val="0"/>
          <w:position w:val="0"/>
          <w:sz w:val="36"/>
          <w:szCs w:val="36"/>
          <w:shd w:val="clear" w:color="auto" w:fill="auto"/>
          <w:lang w:val="en-US" w:eastAsia="zh-CN" w:bidi="en-US"/>
        </w:rPr>
      </w:pPr>
    </w:p>
    <w:p w14:paraId="0CA95177">
      <w:pPr>
        <w:pStyle w:val="37"/>
        <w:jc w:val="center"/>
        <w:rPr>
          <w:rFonts w:hint="eastAsia" w:ascii="仿宋" w:hAnsi="仿宋" w:eastAsia="仿宋" w:cs="仿宋"/>
          <w:b/>
          <w:bCs/>
          <w:color w:val="auto"/>
          <w:spacing w:val="0"/>
          <w:w w:val="100"/>
          <w:kern w:val="0"/>
          <w:position w:val="0"/>
          <w:sz w:val="36"/>
          <w:szCs w:val="36"/>
          <w:shd w:val="clear" w:color="auto" w:fill="auto"/>
          <w:lang w:val="en-US" w:eastAsia="zh-CN" w:bidi="en-US"/>
        </w:rPr>
      </w:pPr>
    </w:p>
    <w:p w14:paraId="0BB0F16E">
      <w:pPr>
        <w:pStyle w:val="37"/>
        <w:jc w:val="center"/>
        <w:rPr>
          <w:rFonts w:hint="eastAsia" w:ascii="仿宋" w:hAnsi="仿宋" w:eastAsia="仿宋" w:cs="仿宋"/>
          <w:b/>
          <w:bCs/>
          <w:color w:val="auto"/>
          <w:spacing w:val="0"/>
          <w:w w:val="100"/>
          <w:kern w:val="0"/>
          <w:position w:val="0"/>
          <w:sz w:val="36"/>
          <w:szCs w:val="36"/>
          <w:shd w:val="clear" w:color="auto" w:fill="auto"/>
          <w:lang w:val="en-US" w:eastAsia="zh-CN" w:bidi="en-US"/>
        </w:rPr>
      </w:pPr>
    </w:p>
    <w:p w14:paraId="4D09A6BB">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3" w:leftChars="0" w:right="126" w:rightChars="0" w:firstLine="3" w:firstLineChars="0"/>
        <w:jc w:val="center"/>
        <w:textAlignment w:val="auto"/>
        <w:rPr>
          <w:rFonts w:hint="eastAsia" w:ascii="仿宋" w:hAnsi="仿宋" w:eastAsia="仿宋" w:cs="仿宋"/>
          <w:b/>
          <w:bCs/>
          <w:color w:val="auto"/>
          <w:sz w:val="36"/>
          <w:szCs w:val="36"/>
          <w:lang w:val="en-US" w:eastAsia="zh-CN"/>
        </w:rPr>
      </w:pPr>
    </w:p>
    <w:p w14:paraId="61552F90">
      <w:pPr>
        <w:pStyle w:val="37"/>
        <w:outlineLvl w:val="2"/>
        <w:rPr>
          <w:rFonts w:hint="eastAsia" w:ascii="仿宋" w:hAnsi="仿宋" w:eastAsia="仿宋" w:cs="仿宋"/>
          <w:b/>
          <w:bCs/>
          <w:color w:val="auto"/>
          <w:sz w:val="32"/>
          <w:szCs w:val="32"/>
          <w:lang w:val="en-US" w:eastAsia="zh-CN"/>
        </w:rPr>
        <w:sectPr>
          <w:pgSz w:w="11905" w:h="16838"/>
          <w:pgMar w:top="1440" w:right="1080" w:bottom="1440" w:left="1080" w:header="850" w:footer="992" w:gutter="0"/>
          <w:pgNumType w:fmt="decimal"/>
          <w:cols w:space="720" w:num="1"/>
          <w:docGrid w:type="linesAndChars" w:linePitch="325" w:charSpace="635"/>
        </w:sectPr>
      </w:pPr>
      <w:bookmarkStart w:id="382" w:name="_Toc6269"/>
      <w:r>
        <w:rPr>
          <w:rFonts w:hint="eastAsia" w:ascii="仿宋" w:hAnsi="仿宋" w:eastAsia="仿宋" w:cs="仿宋"/>
          <w:b/>
          <w:bCs/>
          <w:color w:val="auto"/>
          <w:kern w:val="2"/>
          <w:sz w:val="28"/>
          <w:szCs w:val="28"/>
          <w:u w:color="000000"/>
          <w:lang w:val="en-US" w:eastAsia="zh-CN" w:bidi="ar-SA"/>
        </w:rPr>
        <w:t>9、投标人须知资料表要求的其他资格证明文件；</w:t>
      </w:r>
      <w:bookmarkEnd w:id="382"/>
      <w:bookmarkStart w:id="383" w:name="bookmark226"/>
      <w:bookmarkStart w:id="384" w:name="bookmark228"/>
      <w:bookmarkStart w:id="385" w:name="bookmark225"/>
      <w:bookmarkStart w:id="386" w:name="bookmark236"/>
      <w:bookmarkStart w:id="387" w:name="bookmark235"/>
      <w:bookmarkStart w:id="388" w:name="bookmark233"/>
      <w:bookmarkStart w:id="389" w:name="bookmark234"/>
    </w:p>
    <w:p w14:paraId="509D80FD">
      <w:pPr>
        <w:keepNext w:val="0"/>
        <w:keepLines w:val="0"/>
        <w:pageBreakBefore w:val="0"/>
        <w:widowControl w:val="0"/>
        <w:numPr>
          <w:ilvl w:val="0"/>
          <w:numId w:val="0"/>
        </w:numPr>
        <w:shd w:val="clear" w:color="auto" w:fill="auto"/>
        <w:tabs>
          <w:tab w:val="left" w:pos="5580"/>
        </w:tabs>
        <w:kinsoku/>
        <w:wordWrap/>
        <w:overflowPunct/>
        <w:topLinePunct w:val="0"/>
        <w:autoSpaceDE/>
        <w:autoSpaceDN/>
        <w:bidi w:val="0"/>
        <w:adjustRightInd/>
        <w:snapToGrid/>
        <w:spacing w:line="500" w:lineRule="atLeast"/>
        <w:jc w:val="center"/>
        <w:textAlignment w:val="auto"/>
        <w:outlineLvl w:val="1"/>
        <w:rPr>
          <w:rFonts w:hint="eastAsia" w:ascii="仿宋" w:hAnsi="仿宋" w:eastAsia="仿宋" w:cs="仿宋"/>
          <w:b/>
          <w:bCs/>
          <w:color w:val="auto"/>
          <w:sz w:val="36"/>
          <w:szCs w:val="36"/>
          <w:highlight w:val="none"/>
        </w:rPr>
      </w:pPr>
      <w:bookmarkStart w:id="390" w:name="_Toc26976"/>
      <w:bookmarkStart w:id="391" w:name="_Toc107"/>
      <w:r>
        <w:rPr>
          <w:rFonts w:hint="eastAsia" w:ascii="仿宋" w:hAnsi="仿宋" w:eastAsia="仿宋" w:cs="仿宋"/>
          <w:b/>
          <w:bCs/>
          <w:color w:val="auto"/>
          <w:sz w:val="36"/>
          <w:szCs w:val="36"/>
          <w:highlight w:val="none"/>
          <w:lang w:val="en-US" w:eastAsia="zh-CN"/>
        </w:rPr>
        <w:t>第二部分</w:t>
      </w:r>
      <w:r>
        <w:rPr>
          <w:rFonts w:hint="eastAsia" w:ascii="仿宋" w:hAnsi="仿宋" w:eastAsia="仿宋" w:cs="仿宋"/>
          <w:b/>
          <w:bCs/>
          <w:color w:val="auto"/>
          <w:sz w:val="36"/>
          <w:szCs w:val="36"/>
          <w:highlight w:val="none"/>
        </w:rPr>
        <w:t xml:space="preserve"> 商务及技术文件</w:t>
      </w:r>
      <w:bookmarkEnd w:id="390"/>
      <w:bookmarkEnd w:id="391"/>
    </w:p>
    <w:p w14:paraId="7BFB30FE">
      <w:pPr>
        <w:pStyle w:val="8"/>
        <w:keepNext w:val="0"/>
        <w:keepLines w:val="0"/>
        <w:pageBreakBefore w:val="0"/>
        <w:widowControl w:val="0"/>
        <w:numPr>
          <w:ilvl w:val="0"/>
          <w:numId w:val="0"/>
        </w:numPr>
        <w:shd w:val="clear" w:color="auto" w:fill="auto"/>
        <w:tabs>
          <w:tab w:val="left" w:pos="2230"/>
          <w:tab w:val="center" w:pos="4152"/>
        </w:tabs>
        <w:kinsoku w:val="0"/>
        <w:wordWrap/>
        <w:overflowPunct w:val="0"/>
        <w:topLinePunct w:val="0"/>
        <w:autoSpaceDE/>
        <w:autoSpaceDN/>
        <w:bidi w:val="0"/>
        <w:adjustRightInd/>
        <w:snapToGrid/>
        <w:spacing w:before="34" w:line="440" w:lineRule="exact"/>
        <w:ind w:left="-3" w:leftChars="0" w:right="125" w:rightChars="0" w:firstLine="3" w:firstLineChars="0"/>
        <w:jc w:val="both"/>
        <w:textAlignment w:val="auto"/>
        <w:outlineLvl w:val="9"/>
        <w:rPr>
          <w:rFonts w:hint="eastAsia" w:ascii="仿宋" w:hAnsi="仿宋" w:eastAsia="仿宋" w:cs="仿宋"/>
          <w:b/>
          <w:bCs/>
          <w:color w:val="auto"/>
          <w:sz w:val="22"/>
          <w:szCs w:val="22"/>
          <w:lang w:val="en-US" w:eastAsia="zh-CN"/>
        </w:rPr>
      </w:pPr>
      <w:bookmarkStart w:id="392" w:name="_Toc22086"/>
      <w:r>
        <w:rPr>
          <w:rFonts w:hint="eastAsia" w:ascii="仿宋" w:hAnsi="仿宋" w:eastAsia="仿宋" w:cs="仿宋"/>
          <w:b/>
          <w:bCs/>
          <w:color w:val="auto"/>
          <w:sz w:val="22"/>
          <w:szCs w:val="22"/>
          <w:lang w:val="en-US" w:eastAsia="zh-CN"/>
        </w:rPr>
        <w:t>1、投标函</w:t>
      </w:r>
      <w:bookmarkEnd w:id="392"/>
    </w:p>
    <w:p w14:paraId="1728A082">
      <w:pPr>
        <w:outlineLvl w:val="9"/>
        <w:rPr>
          <w:rFonts w:hint="eastAsia" w:ascii="仿宋" w:hAnsi="仿宋" w:eastAsia="仿宋" w:cs="仿宋"/>
          <w:b/>
          <w:bCs/>
          <w:color w:val="auto"/>
          <w:sz w:val="22"/>
          <w:szCs w:val="22"/>
          <w:lang w:val="en-US" w:eastAsia="zh-CN"/>
        </w:rPr>
      </w:pPr>
      <w:r>
        <w:rPr>
          <w:rFonts w:hint="eastAsia" w:ascii="仿宋" w:hAnsi="仿宋" w:eastAsia="仿宋" w:cs="仿宋"/>
          <w:b/>
          <w:bCs/>
          <w:color w:val="auto"/>
          <w:sz w:val="22"/>
          <w:szCs w:val="22"/>
          <w:lang w:val="en-US" w:eastAsia="zh-CN"/>
        </w:rPr>
        <w:t>2、服务报价表</w:t>
      </w:r>
    </w:p>
    <w:p w14:paraId="7260BE85">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0" w:leftChars="0" w:right="126" w:rightChars="0" w:hanging="18" w:firstLineChars="0"/>
        <w:jc w:val="both"/>
        <w:textAlignment w:val="auto"/>
        <w:outlineLvl w:val="9"/>
        <w:rPr>
          <w:rFonts w:hint="eastAsia" w:ascii="仿宋" w:hAnsi="仿宋" w:eastAsia="仿宋" w:cs="仿宋"/>
          <w:b/>
          <w:bCs/>
          <w:color w:val="auto"/>
          <w:sz w:val="22"/>
          <w:szCs w:val="22"/>
          <w:lang w:val="en-US" w:eastAsia="zh-CN"/>
        </w:rPr>
      </w:pPr>
      <w:bookmarkStart w:id="393" w:name="_Toc11158"/>
      <w:r>
        <w:rPr>
          <w:rFonts w:hint="eastAsia" w:ascii="仿宋" w:hAnsi="仿宋" w:eastAsia="仿宋" w:cs="仿宋"/>
          <w:b/>
          <w:bCs/>
          <w:color w:val="auto"/>
          <w:sz w:val="22"/>
          <w:szCs w:val="22"/>
          <w:lang w:val="en-US" w:eastAsia="zh-CN"/>
        </w:rPr>
        <w:t>3、商务条款偏离表</w:t>
      </w:r>
      <w:bookmarkEnd w:id="393"/>
    </w:p>
    <w:p w14:paraId="2728C377">
      <w:pPr>
        <w:rPr>
          <w:rFonts w:hint="default"/>
          <w:lang w:val="en-US" w:eastAsia="zh-CN"/>
        </w:rPr>
      </w:pPr>
      <w:r>
        <w:rPr>
          <w:rFonts w:hint="eastAsia" w:ascii="仿宋" w:hAnsi="仿宋" w:eastAsia="仿宋" w:cs="仿宋"/>
          <w:b/>
          <w:bCs/>
          <w:color w:val="auto"/>
          <w:sz w:val="22"/>
          <w:szCs w:val="22"/>
          <w:lang w:val="en-US" w:eastAsia="zh-CN"/>
        </w:rPr>
        <w:t>4、技术规格偏离表</w:t>
      </w:r>
    </w:p>
    <w:p w14:paraId="6E7AB467">
      <w:pPr>
        <w:pStyle w:val="11"/>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b/>
          <w:bCs/>
          <w:color w:val="auto"/>
          <w:kern w:val="2"/>
          <w:sz w:val="22"/>
          <w:szCs w:val="22"/>
          <w:highlight w:val="none"/>
          <w:lang w:val="en-US" w:eastAsia="zh-CN" w:bidi="ar-SA"/>
        </w:rPr>
      </w:pPr>
      <w:bookmarkStart w:id="394" w:name="_Toc4137"/>
      <w:r>
        <w:rPr>
          <w:rFonts w:hint="eastAsia" w:ascii="仿宋" w:hAnsi="仿宋" w:eastAsia="仿宋" w:cs="仿宋"/>
          <w:b/>
          <w:bCs/>
          <w:color w:val="auto"/>
          <w:kern w:val="2"/>
          <w:sz w:val="22"/>
          <w:szCs w:val="22"/>
          <w:highlight w:val="none"/>
          <w:lang w:val="en-US" w:eastAsia="zh-CN" w:bidi="ar-SA"/>
        </w:rPr>
        <w:t>5、符合《政府采购促进中小企业发展暂行办法》、《关于政府采购支持监狱企业发展有关问题的通知》和《三部门联合发布关于促进残疾人就业政府采购政策的通知》条件的投标人提交）</w:t>
      </w:r>
      <w:bookmarkEnd w:id="394"/>
    </w:p>
    <w:p w14:paraId="7F10BBDC">
      <w:pPr>
        <w:shd w:val="clear" w:color="auto" w:fill="auto"/>
        <w:bidi w:val="0"/>
        <w:spacing w:line="360" w:lineRule="auto"/>
        <w:outlineLvl w:val="9"/>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5</w:t>
      </w:r>
      <w:r>
        <w:rPr>
          <w:rFonts w:hint="eastAsia" w:ascii="仿宋" w:hAnsi="仿宋" w:eastAsia="仿宋" w:cs="仿宋"/>
          <w:b/>
          <w:bCs/>
          <w:color w:val="auto"/>
          <w:sz w:val="22"/>
          <w:szCs w:val="22"/>
          <w:highlight w:val="none"/>
        </w:rPr>
        <w:t>-</w:t>
      </w:r>
      <w:r>
        <w:rPr>
          <w:rFonts w:hint="eastAsia" w:ascii="仿宋" w:hAnsi="仿宋" w:eastAsia="仿宋" w:cs="仿宋"/>
          <w:b/>
          <w:bCs/>
          <w:color w:val="auto"/>
          <w:sz w:val="22"/>
          <w:szCs w:val="22"/>
          <w:highlight w:val="none"/>
          <w:lang w:val="en-US" w:eastAsia="zh-CN"/>
        </w:rPr>
        <w:t>1</w:t>
      </w:r>
      <w:r>
        <w:rPr>
          <w:rFonts w:hint="eastAsia" w:ascii="仿宋" w:hAnsi="仿宋" w:eastAsia="仿宋" w:cs="仿宋"/>
          <w:b/>
          <w:bCs/>
          <w:color w:val="auto"/>
          <w:sz w:val="22"/>
          <w:szCs w:val="22"/>
          <w:highlight w:val="none"/>
        </w:rPr>
        <w:t xml:space="preserve"> </w:t>
      </w:r>
      <w:r>
        <w:rPr>
          <w:rFonts w:hint="eastAsia" w:ascii="仿宋" w:hAnsi="仿宋" w:eastAsia="仿宋" w:cs="仿宋"/>
          <w:b/>
          <w:bCs/>
          <w:color w:val="auto"/>
          <w:sz w:val="22"/>
          <w:szCs w:val="22"/>
          <w:highlight w:val="none"/>
          <w:lang w:val="en-US" w:eastAsia="zh-CN"/>
        </w:rPr>
        <w:t>中小企业声明函（服务）</w:t>
      </w:r>
    </w:p>
    <w:p w14:paraId="0E70B415">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0" w:leftChars="0" w:right="126" w:rightChars="0" w:firstLine="0" w:firstLineChars="0"/>
        <w:jc w:val="both"/>
        <w:textAlignment w:val="auto"/>
        <w:outlineLvl w:val="9"/>
        <w:rPr>
          <w:rFonts w:hint="eastAsia" w:ascii="仿宋" w:hAnsi="仿宋" w:eastAsia="仿宋" w:cs="仿宋"/>
          <w:b/>
          <w:bCs/>
          <w:color w:val="auto"/>
          <w:kern w:val="2"/>
          <w:sz w:val="22"/>
          <w:szCs w:val="22"/>
          <w:highlight w:val="none"/>
          <w:lang w:val="en-US" w:eastAsia="zh-CN" w:bidi="ar-SA"/>
        </w:rPr>
      </w:pPr>
      <w:r>
        <w:rPr>
          <w:rFonts w:hint="eastAsia" w:ascii="仿宋" w:hAnsi="仿宋" w:eastAsia="仿宋" w:cs="仿宋"/>
          <w:b/>
          <w:bCs/>
          <w:color w:val="auto"/>
          <w:kern w:val="2"/>
          <w:sz w:val="22"/>
          <w:szCs w:val="22"/>
          <w:highlight w:val="none"/>
          <w:lang w:val="en-US" w:eastAsia="zh-CN" w:bidi="ar-SA"/>
        </w:rPr>
        <w:t>5-2残疾人福利性单位声明函</w:t>
      </w:r>
    </w:p>
    <w:p w14:paraId="45734C94">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Chars="0" w:right="126" w:rightChars="0"/>
        <w:jc w:val="both"/>
        <w:textAlignment w:val="auto"/>
        <w:outlineLvl w:val="9"/>
        <w:rPr>
          <w:rFonts w:hint="eastAsia" w:ascii="仿宋" w:hAnsi="仿宋" w:eastAsia="仿宋" w:cs="仿宋"/>
          <w:b/>
          <w:bCs/>
          <w:color w:val="auto"/>
          <w:sz w:val="22"/>
          <w:szCs w:val="22"/>
          <w:lang w:val="en-US" w:eastAsia="zh-CN"/>
        </w:rPr>
      </w:pPr>
      <w:bookmarkStart w:id="395" w:name="_Toc4170"/>
      <w:r>
        <w:rPr>
          <w:rFonts w:hint="eastAsia" w:ascii="仿宋" w:hAnsi="仿宋" w:eastAsia="仿宋" w:cs="仿宋"/>
          <w:b/>
          <w:bCs/>
          <w:color w:val="auto"/>
          <w:sz w:val="22"/>
          <w:szCs w:val="22"/>
          <w:lang w:val="en-US" w:eastAsia="zh-CN"/>
        </w:rPr>
        <w:t>5、投标人关联单位的说明（格式自拟）</w:t>
      </w:r>
      <w:bookmarkEnd w:id="395"/>
    </w:p>
    <w:p w14:paraId="4A922974">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0" w:leftChars="0" w:right="126" w:rightChars="0" w:firstLine="0" w:firstLineChars="0"/>
        <w:jc w:val="both"/>
        <w:textAlignment w:val="auto"/>
        <w:outlineLvl w:val="9"/>
        <w:rPr>
          <w:rFonts w:hint="eastAsia" w:ascii="仿宋" w:hAnsi="仿宋" w:eastAsia="仿宋" w:cs="仿宋"/>
          <w:b/>
          <w:bCs/>
          <w:color w:val="auto"/>
          <w:sz w:val="22"/>
          <w:szCs w:val="22"/>
          <w:lang w:val="en-US" w:eastAsia="zh-CN"/>
        </w:rPr>
      </w:pPr>
      <w:bookmarkStart w:id="396" w:name="_Toc13227"/>
      <w:r>
        <w:rPr>
          <w:rFonts w:hint="eastAsia" w:ascii="仿宋" w:hAnsi="仿宋" w:eastAsia="仿宋" w:cs="仿宋"/>
          <w:b/>
          <w:bCs/>
          <w:color w:val="auto"/>
          <w:sz w:val="22"/>
          <w:szCs w:val="22"/>
          <w:lang w:val="en-US" w:eastAsia="zh-CN"/>
        </w:rPr>
        <w:t>7、评分标准和细则中商务部分证明材料（格式自拟）</w:t>
      </w:r>
      <w:bookmarkEnd w:id="396"/>
    </w:p>
    <w:p w14:paraId="65EC4707">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0" w:leftChars="0" w:right="126" w:rightChars="0" w:firstLine="0" w:firstLineChars="0"/>
        <w:jc w:val="both"/>
        <w:textAlignment w:val="auto"/>
        <w:outlineLvl w:val="9"/>
        <w:rPr>
          <w:rFonts w:hint="eastAsia" w:ascii="仿宋" w:hAnsi="仿宋" w:eastAsia="仿宋" w:cs="仿宋"/>
          <w:b/>
          <w:bCs/>
          <w:color w:val="auto"/>
          <w:sz w:val="22"/>
          <w:szCs w:val="22"/>
          <w:lang w:val="en-US" w:eastAsia="zh-CN"/>
        </w:rPr>
      </w:pPr>
      <w:bookmarkStart w:id="397" w:name="_Toc26920"/>
      <w:r>
        <w:rPr>
          <w:rFonts w:hint="eastAsia" w:ascii="仿宋" w:hAnsi="仿宋" w:eastAsia="仿宋" w:cs="仿宋"/>
          <w:b/>
          <w:bCs/>
          <w:color w:val="auto"/>
          <w:sz w:val="22"/>
          <w:szCs w:val="22"/>
          <w:lang w:val="en-US" w:eastAsia="zh-CN"/>
        </w:rPr>
        <w:t>8、评分标准和细则中技术部分证明材料（格式自拟）</w:t>
      </w:r>
      <w:bookmarkEnd w:id="397"/>
    </w:p>
    <w:p w14:paraId="5AB4CB6B">
      <w:pPr>
        <w:keepNext w:val="0"/>
        <w:keepLines w:val="0"/>
        <w:widowControl w:val="0"/>
        <w:suppressLineNumbers w:val="0"/>
        <w:spacing w:before="0" w:beforeAutospacing="0" w:after="0" w:afterAutospacing="0"/>
        <w:ind w:left="0" w:right="0"/>
        <w:jc w:val="both"/>
        <w:outlineLvl w:val="9"/>
        <w:rPr>
          <w:rFonts w:hint="eastAsia" w:ascii="仿宋" w:hAnsi="仿宋" w:eastAsia="仿宋" w:cs="仿宋"/>
          <w:b/>
          <w:bCs/>
          <w:color w:val="auto"/>
          <w:sz w:val="22"/>
          <w:szCs w:val="22"/>
          <w:lang w:val="en-US" w:eastAsia="zh-CN"/>
        </w:rPr>
      </w:pPr>
      <w:bookmarkStart w:id="398" w:name="_Toc2311"/>
      <w:r>
        <w:rPr>
          <w:rFonts w:hint="eastAsia" w:ascii="仿宋" w:hAnsi="仿宋" w:eastAsia="仿宋" w:cs="仿宋"/>
          <w:b/>
          <w:bCs/>
          <w:color w:val="auto"/>
          <w:kern w:val="2"/>
          <w:sz w:val="22"/>
          <w:szCs w:val="22"/>
          <w:lang w:val="en-US" w:eastAsia="zh-CN" w:bidi="ar-SA"/>
        </w:rPr>
        <w:t>9、投标人认为有必要提供的其他证明材料（格式自拟）</w:t>
      </w:r>
      <w:bookmarkEnd w:id="398"/>
    </w:p>
    <w:p w14:paraId="393F4210">
      <w:pPr>
        <w:pStyle w:val="66"/>
        <w:keepNext/>
        <w:keepLines/>
        <w:spacing w:before="0" w:after="660"/>
        <w:ind w:firstLine="420"/>
        <w:outlineLvl w:val="9"/>
        <w:rPr>
          <w:rFonts w:hint="eastAsia" w:ascii="仿宋" w:hAnsi="仿宋" w:eastAsia="仿宋" w:cs="仿宋"/>
          <w:color w:val="auto"/>
          <w:highlight w:val="none"/>
          <w:lang w:val="en-US" w:eastAsia="zh-CN"/>
        </w:rPr>
      </w:pPr>
    </w:p>
    <w:p w14:paraId="3A183B38">
      <w:pPr>
        <w:pStyle w:val="66"/>
        <w:keepNext/>
        <w:keepLines/>
        <w:spacing w:before="0" w:after="660"/>
        <w:jc w:val="both"/>
        <w:outlineLvl w:val="9"/>
        <w:rPr>
          <w:rFonts w:hint="eastAsia" w:ascii="仿宋" w:hAnsi="仿宋" w:eastAsia="仿宋" w:cs="仿宋"/>
          <w:color w:val="auto"/>
          <w:highlight w:val="none"/>
          <w:lang w:eastAsia="zh-CN"/>
        </w:rPr>
      </w:pPr>
    </w:p>
    <w:p w14:paraId="535DE221">
      <w:pPr>
        <w:pStyle w:val="66"/>
        <w:keepNext/>
        <w:keepLines/>
        <w:spacing w:before="0" w:after="660"/>
        <w:jc w:val="both"/>
        <w:outlineLvl w:val="9"/>
        <w:rPr>
          <w:rFonts w:hint="eastAsia" w:ascii="仿宋" w:hAnsi="仿宋" w:eastAsia="仿宋" w:cs="仿宋"/>
          <w:color w:val="auto"/>
          <w:highlight w:val="none"/>
          <w:lang w:eastAsia="zh-CN"/>
        </w:rPr>
      </w:pPr>
    </w:p>
    <w:bookmarkEnd w:id="383"/>
    <w:bookmarkEnd w:id="384"/>
    <w:bookmarkEnd w:id="385"/>
    <w:p w14:paraId="4ACBCF2B">
      <w:pPr>
        <w:pStyle w:val="8"/>
        <w:numPr>
          <w:ilvl w:val="0"/>
          <w:numId w:val="0"/>
        </w:numPr>
        <w:kinsoku w:val="0"/>
        <w:overflowPunct w:val="0"/>
        <w:spacing w:before="34" w:line="357" w:lineRule="auto"/>
        <w:ind w:right="126"/>
        <w:jc w:val="center"/>
        <w:rPr>
          <w:rFonts w:hint="eastAsia" w:ascii="仿宋" w:hAnsi="仿宋" w:eastAsia="仿宋" w:cs="仿宋"/>
          <w:b/>
          <w:bCs/>
          <w:color w:val="auto"/>
          <w:sz w:val="36"/>
          <w:szCs w:val="36"/>
          <w:highlight w:val="none"/>
          <w:lang w:eastAsia="zh-CN"/>
        </w:rPr>
      </w:pPr>
    </w:p>
    <w:p w14:paraId="47BE40EE">
      <w:pPr>
        <w:pStyle w:val="8"/>
        <w:numPr>
          <w:ilvl w:val="0"/>
          <w:numId w:val="0"/>
        </w:numPr>
        <w:kinsoku w:val="0"/>
        <w:overflowPunct w:val="0"/>
        <w:spacing w:before="34" w:line="357" w:lineRule="auto"/>
        <w:ind w:right="126"/>
        <w:jc w:val="center"/>
        <w:rPr>
          <w:rFonts w:hint="eastAsia" w:ascii="仿宋" w:hAnsi="仿宋" w:eastAsia="仿宋" w:cs="仿宋"/>
          <w:b/>
          <w:bCs/>
          <w:color w:val="auto"/>
          <w:sz w:val="36"/>
          <w:szCs w:val="36"/>
          <w:highlight w:val="none"/>
          <w:lang w:eastAsia="zh-CN"/>
        </w:rPr>
      </w:pPr>
    </w:p>
    <w:p w14:paraId="28F8170A">
      <w:pPr>
        <w:pStyle w:val="8"/>
        <w:numPr>
          <w:ilvl w:val="0"/>
          <w:numId w:val="0"/>
        </w:numPr>
        <w:kinsoku w:val="0"/>
        <w:overflowPunct w:val="0"/>
        <w:spacing w:before="34" w:line="357" w:lineRule="auto"/>
        <w:ind w:right="126"/>
        <w:jc w:val="center"/>
        <w:rPr>
          <w:rFonts w:hint="eastAsia" w:ascii="仿宋" w:hAnsi="仿宋" w:eastAsia="仿宋" w:cs="仿宋"/>
          <w:b/>
          <w:bCs/>
          <w:color w:val="auto"/>
          <w:sz w:val="36"/>
          <w:szCs w:val="36"/>
          <w:highlight w:val="none"/>
          <w:lang w:eastAsia="zh-CN"/>
        </w:rPr>
      </w:pPr>
    </w:p>
    <w:p w14:paraId="0891BB83">
      <w:pPr>
        <w:pStyle w:val="35"/>
        <w:rPr>
          <w:rFonts w:hint="eastAsia" w:ascii="仿宋" w:hAnsi="仿宋" w:eastAsia="仿宋" w:cs="仿宋"/>
          <w:b/>
          <w:bCs/>
          <w:color w:val="auto"/>
          <w:sz w:val="36"/>
          <w:szCs w:val="36"/>
          <w:highlight w:val="none"/>
          <w:lang w:eastAsia="zh-CN"/>
        </w:rPr>
      </w:pPr>
    </w:p>
    <w:p w14:paraId="549490CE">
      <w:pPr>
        <w:pStyle w:val="8"/>
        <w:keepNext w:val="0"/>
        <w:keepLines w:val="0"/>
        <w:pageBreakBefore w:val="0"/>
        <w:widowControl w:val="0"/>
        <w:numPr>
          <w:ilvl w:val="0"/>
          <w:numId w:val="0"/>
        </w:numPr>
        <w:shd w:val="clear" w:color="auto" w:fill="auto"/>
        <w:tabs>
          <w:tab w:val="left" w:pos="2230"/>
          <w:tab w:val="center" w:pos="4152"/>
        </w:tabs>
        <w:kinsoku w:val="0"/>
        <w:wordWrap/>
        <w:overflowPunct w:val="0"/>
        <w:topLinePunct w:val="0"/>
        <w:autoSpaceDE/>
        <w:autoSpaceDN/>
        <w:bidi w:val="0"/>
        <w:adjustRightInd/>
        <w:snapToGrid/>
        <w:spacing w:before="34" w:line="440" w:lineRule="exact"/>
        <w:ind w:left="-3" w:leftChars="0" w:right="125" w:rightChars="0" w:firstLine="3" w:firstLineChars="0"/>
        <w:jc w:val="left"/>
        <w:textAlignment w:val="auto"/>
        <w:outlineLvl w:val="2"/>
        <w:rPr>
          <w:rFonts w:hint="eastAsia" w:ascii="仿宋" w:hAnsi="仿宋" w:eastAsia="仿宋" w:cs="仿宋"/>
          <w:b/>
          <w:bCs/>
          <w:color w:val="auto"/>
          <w:sz w:val="36"/>
          <w:szCs w:val="36"/>
          <w:lang w:val="en-US" w:eastAsia="zh-CN"/>
        </w:rPr>
        <w:sectPr>
          <w:pgSz w:w="11905" w:h="16838"/>
          <w:pgMar w:top="1440" w:right="1080" w:bottom="1440" w:left="1080" w:header="850" w:footer="992" w:gutter="0"/>
          <w:pgNumType w:fmt="decimal"/>
          <w:cols w:space="720" w:num="1"/>
          <w:docGrid w:type="linesAndChars" w:linePitch="325" w:charSpace="635"/>
        </w:sectPr>
      </w:pPr>
    </w:p>
    <w:p w14:paraId="3F44FD0F">
      <w:pPr>
        <w:pStyle w:val="8"/>
        <w:keepNext w:val="0"/>
        <w:keepLines w:val="0"/>
        <w:pageBreakBefore w:val="0"/>
        <w:widowControl w:val="0"/>
        <w:numPr>
          <w:ilvl w:val="0"/>
          <w:numId w:val="0"/>
        </w:numPr>
        <w:shd w:val="clear" w:color="auto" w:fill="auto"/>
        <w:tabs>
          <w:tab w:val="left" w:pos="2230"/>
          <w:tab w:val="center" w:pos="4152"/>
        </w:tabs>
        <w:kinsoku w:val="0"/>
        <w:wordWrap/>
        <w:overflowPunct w:val="0"/>
        <w:topLinePunct w:val="0"/>
        <w:autoSpaceDE/>
        <w:autoSpaceDN/>
        <w:bidi w:val="0"/>
        <w:adjustRightInd/>
        <w:snapToGrid/>
        <w:spacing w:before="34" w:line="440" w:lineRule="exact"/>
        <w:ind w:left="-3" w:leftChars="0" w:right="125" w:rightChars="0" w:firstLine="3" w:firstLineChars="0"/>
        <w:jc w:val="center"/>
        <w:textAlignment w:val="auto"/>
        <w:outlineLvl w:val="2"/>
        <w:rPr>
          <w:rFonts w:hint="eastAsia" w:ascii="仿宋" w:hAnsi="仿宋" w:eastAsia="仿宋" w:cs="仿宋"/>
          <w:b/>
          <w:bCs/>
          <w:color w:val="auto"/>
          <w:sz w:val="36"/>
          <w:szCs w:val="36"/>
          <w:lang w:val="en-US" w:eastAsia="zh-CN"/>
        </w:rPr>
      </w:pPr>
      <w:bookmarkStart w:id="399" w:name="_Toc19161"/>
      <w:r>
        <w:rPr>
          <w:rFonts w:hint="eastAsia" w:ascii="仿宋" w:hAnsi="仿宋" w:eastAsia="仿宋" w:cs="仿宋"/>
          <w:b/>
          <w:bCs/>
          <w:color w:val="auto"/>
          <w:sz w:val="36"/>
          <w:szCs w:val="36"/>
          <w:lang w:val="en-US" w:eastAsia="zh-CN"/>
        </w:rPr>
        <w:t>1、投标函</w:t>
      </w:r>
      <w:bookmarkEnd w:id="399"/>
    </w:p>
    <w:p w14:paraId="7133ECEA">
      <w:pPr>
        <w:tabs>
          <w:tab w:val="left" w:pos="5580"/>
        </w:tabs>
        <w:spacing w:line="240" w:lineRule="auto"/>
        <w:ind w:left="1080" w:hanging="1080"/>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采购代理机构</w:t>
      </w:r>
    </w:p>
    <w:p w14:paraId="46658F39">
      <w:pPr>
        <w:pStyle w:val="11"/>
        <w:tabs>
          <w:tab w:val="left" w:pos="5580"/>
        </w:tabs>
        <w:spacing w:line="240" w:lineRule="auto"/>
        <w:ind w:left="2" w:leftChars="1" w:firstLine="486" w:firstLineChars="200"/>
        <w:rPr>
          <w:rFonts w:hint="eastAsia" w:ascii="仿宋" w:hAnsi="仿宋" w:eastAsia="仿宋" w:cs="仿宋"/>
          <w:color w:val="auto"/>
          <w:sz w:val="24"/>
          <w:szCs w:val="24"/>
        </w:rPr>
      </w:pPr>
      <w:r>
        <w:rPr>
          <w:rFonts w:hint="eastAsia" w:ascii="仿宋" w:hAnsi="仿宋" w:eastAsia="仿宋" w:cs="仿宋"/>
          <w:color w:val="auto"/>
          <w:sz w:val="24"/>
          <w:szCs w:val="24"/>
        </w:rPr>
        <w:t>根据贵方（采购项目名称)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项目的投标邀请(</w:t>
      </w:r>
      <w:r>
        <w:rPr>
          <w:rFonts w:hint="eastAsia" w:ascii="仿宋" w:hAnsi="仿宋" w:eastAsia="仿宋" w:cs="仿宋"/>
          <w:color w:val="auto"/>
          <w:sz w:val="24"/>
          <w:szCs w:val="24"/>
          <w:u w:val="single"/>
        </w:rPr>
        <w:t>招标编号</w:t>
      </w:r>
      <w:r>
        <w:rPr>
          <w:rFonts w:hint="eastAsia" w:ascii="仿宋" w:hAnsi="仿宋" w:eastAsia="仿宋" w:cs="仿宋"/>
          <w:color w:val="auto"/>
          <w:sz w:val="24"/>
          <w:szCs w:val="24"/>
        </w:rPr>
        <w:t>),签字代表(</w:t>
      </w:r>
      <w:r>
        <w:rPr>
          <w:rFonts w:hint="eastAsia" w:ascii="仿宋" w:hAnsi="仿宋" w:eastAsia="仿宋" w:cs="仿宋"/>
          <w:color w:val="auto"/>
          <w:sz w:val="24"/>
          <w:szCs w:val="24"/>
          <w:u w:val="single"/>
        </w:rPr>
        <w:t>姓名、职务)</w:t>
      </w:r>
      <w:r>
        <w:rPr>
          <w:rFonts w:hint="eastAsia" w:ascii="仿宋" w:hAnsi="仿宋" w:eastAsia="仿宋" w:cs="仿宋"/>
          <w:color w:val="auto"/>
          <w:sz w:val="24"/>
          <w:szCs w:val="24"/>
        </w:rPr>
        <w:t>经正式授权并代表投标人（</w:t>
      </w:r>
      <w:r>
        <w:rPr>
          <w:rFonts w:hint="eastAsia" w:ascii="仿宋" w:hAnsi="仿宋" w:eastAsia="仿宋" w:cs="仿宋"/>
          <w:color w:val="auto"/>
          <w:sz w:val="24"/>
          <w:szCs w:val="24"/>
          <w:u w:val="single"/>
        </w:rPr>
        <w:t>名称、地址</w:t>
      </w:r>
      <w:r>
        <w:rPr>
          <w:rFonts w:hint="eastAsia" w:ascii="仿宋" w:hAnsi="仿宋" w:eastAsia="仿宋" w:cs="仿宋"/>
          <w:color w:val="auto"/>
          <w:sz w:val="24"/>
          <w:szCs w:val="24"/>
        </w:rPr>
        <w:t>）</w:t>
      </w:r>
      <w:r>
        <w:rPr>
          <w:rFonts w:hint="eastAsia" w:ascii="仿宋" w:hAnsi="仿宋" w:eastAsia="仿宋" w:cs="仿宋"/>
          <w:color w:val="000000"/>
          <w:sz w:val="24"/>
          <w:szCs w:val="24"/>
          <w:highlight w:val="none"/>
        </w:rPr>
        <w:t>提交</w:t>
      </w:r>
      <w:r>
        <w:rPr>
          <w:rFonts w:hint="eastAsia" w:ascii="仿宋" w:hAnsi="仿宋" w:eastAsia="仿宋" w:cs="仿宋"/>
          <w:color w:val="000000"/>
          <w:sz w:val="24"/>
          <w:szCs w:val="24"/>
          <w:highlight w:val="none"/>
          <w:lang w:val="en-US" w:eastAsia="zh-CN"/>
        </w:rPr>
        <w:t>加密电子投标文件</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份</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w:t>
      </w:r>
      <w:r>
        <w:rPr>
          <w:rFonts w:hint="eastAsia" w:ascii="仿宋" w:hAnsi="仿宋" w:eastAsia="仿宋" w:cs="仿宋"/>
          <w:color w:val="000000"/>
          <w:sz w:val="24"/>
          <w:szCs w:val="24"/>
          <w:highlight w:val="none"/>
          <w:lang w:val="en-US" w:eastAsia="zh-CN"/>
        </w:rPr>
        <w:t>以</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lang w:val="en-US" w:eastAsia="zh-CN"/>
        </w:rPr>
        <w:t>形式</w:t>
      </w:r>
      <w:r>
        <w:rPr>
          <w:rFonts w:hint="eastAsia" w:ascii="仿宋" w:hAnsi="仿宋" w:eastAsia="仿宋" w:cs="仿宋"/>
          <w:color w:val="000000"/>
          <w:sz w:val="24"/>
          <w:szCs w:val="24"/>
          <w:highlight w:val="none"/>
        </w:rPr>
        <w:t>出具的金额为人民币</w:t>
      </w:r>
      <w:r>
        <w:rPr>
          <w:rFonts w:hint="eastAsia" w:ascii="仿宋" w:hAnsi="仿宋" w:eastAsia="仿宋" w:cs="仿宋"/>
          <w:color w:val="000000"/>
          <w:sz w:val="24"/>
          <w:szCs w:val="24"/>
          <w:highlight w:val="none"/>
          <w:u w:val="single"/>
        </w:rPr>
        <w:t>　　　　</w:t>
      </w:r>
      <w:r>
        <w:rPr>
          <w:rFonts w:hint="eastAsia" w:ascii="仿宋" w:hAnsi="仿宋" w:eastAsia="仿宋" w:cs="仿宋"/>
          <w:color w:val="000000"/>
          <w:sz w:val="24"/>
          <w:szCs w:val="24"/>
          <w:highlight w:val="none"/>
        </w:rPr>
        <w:t>元的投标保证金</w:t>
      </w:r>
      <w:r>
        <w:rPr>
          <w:rFonts w:hint="eastAsia" w:ascii="仿宋" w:hAnsi="仿宋" w:eastAsia="仿宋" w:cs="仿宋"/>
          <w:color w:val="auto"/>
          <w:sz w:val="24"/>
          <w:szCs w:val="24"/>
        </w:rPr>
        <w:t>。</w:t>
      </w:r>
    </w:p>
    <w:p w14:paraId="769708BD">
      <w:pPr>
        <w:pStyle w:val="11"/>
        <w:tabs>
          <w:tab w:val="left" w:pos="5580"/>
        </w:tabs>
        <w:spacing w:line="240" w:lineRule="auto"/>
        <w:ind w:left="1087" w:leftChars="257" w:hanging="540"/>
        <w:rPr>
          <w:rFonts w:hint="eastAsia" w:ascii="仿宋" w:hAnsi="仿宋" w:eastAsia="仿宋" w:cs="仿宋"/>
          <w:color w:val="auto"/>
          <w:sz w:val="24"/>
          <w:szCs w:val="24"/>
        </w:rPr>
      </w:pPr>
      <w:r>
        <w:rPr>
          <w:rFonts w:hint="eastAsia" w:ascii="仿宋" w:hAnsi="仿宋" w:eastAsia="仿宋" w:cs="仿宋"/>
          <w:color w:val="auto"/>
          <w:sz w:val="24"/>
          <w:szCs w:val="24"/>
        </w:rPr>
        <w:t>据此，签字代表宣布如下：</w:t>
      </w:r>
    </w:p>
    <w:p w14:paraId="5801E3D0">
      <w:pPr>
        <w:pStyle w:val="11"/>
        <w:tabs>
          <w:tab w:val="left" w:pos="720"/>
          <w:tab w:val="left" w:pos="900"/>
        </w:tabs>
        <w:spacing w:line="240" w:lineRule="auto"/>
        <w:ind w:left="776" w:leftChars="257" w:hanging="229"/>
        <w:rPr>
          <w:rFonts w:hint="eastAsia" w:ascii="仿宋" w:hAnsi="仿宋" w:eastAsia="仿宋" w:cs="仿宋"/>
          <w:color w:val="auto"/>
          <w:sz w:val="24"/>
          <w:szCs w:val="24"/>
        </w:rPr>
      </w:pPr>
      <w:r>
        <w:rPr>
          <w:rFonts w:hint="eastAsia" w:ascii="仿宋" w:hAnsi="仿宋" w:eastAsia="仿宋" w:cs="仿宋"/>
          <w:color w:val="auto"/>
          <w:sz w:val="24"/>
          <w:szCs w:val="24"/>
        </w:rPr>
        <w:t>（1）附投标书报价中规定的投标总价详见开标一览表，</w:t>
      </w:r>
      <w:r>
        <w:rPr>
          <w:rFonts w:hint="eastAsia" w:ascii="仿宋" w:hAnsi="仿宋" w:eastAsia="仿宋" w:cs="仿宋"/>
          <w:color w:val="auto"/>
          <w:sz w:val="24"/>
          <w:szCs w:val="24"/>
          <w:u w:val="single"/>
        </w:rPr>
        <w:t>其中由</w:t>
      </w:r>
      <w:r>
        <w:rPr>
          <w:rFonts w:hint="eastAsia" w:ascii="仿宋" w:hAnsi="仿宋" w:eastAsia="仿宋" w:cs="仿宋"/>
          <w:color w:val="auto"/>
          <w:sz w:val="24"/>
          <w:szCs w:val="24"/>
          <w:u w:val="single"/>
          <w:lang w:val="en-US" w:eastAsia="zh-CN"/>
        </w:rPr>
        <w:t>中</w:t>
      </w:r>
      <w:r>
        <w:rPr>
          <w:rFonts w:hint="eastAsia" w:ascii="仿宋" w:hAnsi="仿宋" w:eastAsia="仿宋" w:cs="仿宋"/>
          <w:color w:val="auto"/>
          <w:sz w:val="24"/>
          <w:szCs w:val="24"/>
          <w:u w:val="single"/>
        </w:rPr>
        <w:t>小型和</w:t>
      </w:r>
      <w:r>
        <w:rPr>
          <w:rFonts w:hint="eastAsia" w:ascii="仿宋" w:hAnsi="仿宋" w:eastAsia="仿宋" w:cs="仿宋"/>
          <w:color w:val="auto"/>
          <w:sz w:val="24"/>
          <w:szCs w:val="24"/>
          <w:u w:val="single" w:color="auto"/>
        </w:rPr>
        <w:t>微型企业</w:t>
      </w:r>
      <w:r>
        <w:rPr>
          <w:rFonts w:hint="eastAsia" w:ascii="仿宋" w:hAnsi="仿宋" w:eastAsia="仿宋" w:cs="仿宋"/>
          <w:color w:val="auto"/>
          <w:sz w:val="24"/>
          <w:szCs w:val="24"/>
          <w:lang w:val="en-US" w:eastAsia="zh-CN"/>
        </w:rPr>
        <w:t>提供服务</w:t>
      </w:r>
      <w:r>
        <w:rPr>
          <w:rFonts w:hint="eastAsia" w:ascii="仿宋" w:hAnsi="仿宋" w:eastAsia="仿宋" w:cs="仿宋"/>
          <w:color w:val="auto"/>
          <w:sz w:val="24"/>
          <w:szCs w:val="24"/>
        </w:rPr>
        <w:t>的价格为</w:t>
      </w:r>
      <w:r>
        <w:rPr>
          <w:rFonts w:hint="eastAsia" w:ascii="仿宋" w:hAnsi="仿宋" w:eastAsia="仿宋" w:cs="仿宋"/>
          <w:color w:val="auto"/>
          <w:sz w:val="24"/>
          <w:szCs w:val="24"/>
          <w:u w:val="single"/>
        </w:rPr>
        <w:t>　　  （用文字和数字表示），占投标价的‥</w:t>
      </w:r>
      <w:r>
        <w:rPr>
          <w:rFonts w:hint="eastAsia" w:ascii="仿宋" w:hAnsi="仿宋" w:eastAsia="仿宋" w:cs="仿宋"/>
          <w:color w:val="auto"/>
          <w:sz w:val="24"/>
          <w:szCs w:val="24"/>
        </w:rPr>
        <w:t>%</w:t>
      </w:r>
    </w:p>
    <w:p w14:paraId="018DF406">
      <w:pPr>
        <w:pStyle w:val="11"/>
        <w:tabs>
          <w:tab w:val="left" w:pos="720"/>
          <w:tab w:val="left" w:pos="900"/>
        </w:tabs>
        <w:spacing w:line="240" w:lineRule="auto"/>
        <w:ind w:left="776" w:leftChars="257" w:hanging="229"/>
        <w:rPr>
          <w:rFonts w:hint="eastAsia" w:ascii="仿宋" w:hAnsi="仿宋" w:eastAsia="仿宋" w:cs="仿宋"/>
          <w:color w:val="auto"/>
          <w:sz w:val="24"/>
          <w:szCs w:val="24"/>
          <w:u w:val="single"/>
        </w:rPr>
      </w:pPr>
      <w:r>
        <w:rPr>
          <w:rFonts w:hint="eastAsia" w:ascii="仿宋" w:hAnsi="仿宋" w:eastAsia="仿宋" w:cs="仿宋"/>
          <w:color w:val="auto"/>
          <w:sz w:val="24"/>
          <w:szCs w:val="24"/>
        </w:rPr>
        <w:t>（2）本投标有效期为投标标截止之日起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个日历日。</w:t>
      </w:r>
    </w:p>
    <w:p w14:paraId="74EC07A4">
      <w:pPr>
        <w:pStyle w:val="11"/>
        <w:tabs>
          <w:tab w:val="left" w:pos="5580"/>
        </w:tabs>
        <w:spacing w:line="240" w:lineRule="auto"/>
        <w:ind w:left="1087" w:leftChars="257" w:hanging="540"/>
        <w:rPr>
          <w:rFonts w:hint="eastAsia" w:ascii="仿宋" w:hAnsi="仿宋" w:eastAsia="仿宋" w:cs="仿宋"/>
          <w:color w:val="auto"/>
          <w:sz w:val="24"/>
          <w:szCs w:val="24"/>
        </w:rPr>
      </w:pPr>
      <w:r>
        <w:rPr>
          <w:rFonts w:hint="eastAsia" w:ascii="仿宋" w:hAnsi="仿宋" w:eastAsia="仿宋" w:cs="仿宋"/>
          <w:color w:val="auto"/>
          <w:sz w:val="24"/>
          <w:szCs w:val="24"/>
        </w:rPr>
        <w:t>（3）联合体中的大中型企业、法人或者非法人组织，与联合体中的小型、微型企业之间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存在、不存在）投资关系（如果是联合体的话）。</w:t>
      </w:r>
    </w:p>
    <w:p w14:paraId="03B0CA0E">
      <w:pPr>
        <w:pStyle w:val="11"/>
        <w:tabs>
          <w:tab w:val="left" w:pos="5580"/>
        </w:tabs>
        <w:spacing w:line="240" w:lineRule="auto"/>
        <w:ind w:left="1087" w:leftChars="257" w:hanging="540"/>
        <w:rPr>
          <w:rFonts w:hint="eastAsia" w:ascii="仿宋" w:hAnsi="仿宋" w:eastAsia="仿宋" w:cs="仿宋"/>
          <w:color w:val="auto"/>
          <w:sz w:val="24"/>
          <w:szCs w:val="24"/>
        </w:rPr>
      </w:pPr>
      <w:r>
        <w:rPr>
          <w:rFonts w:hint="eastAsia" w:ascii="仿宋" w:hAnsi="仿宋" w:eastAsia="仿宋" w:cs="仿宋"/>
          <w:color w:val="auto"/>
          <w:sz w:val="24"/>
          <w:szCs w:val="24"/>
        </w:rPr>
        <w:t>（4）已详细审查全部</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，包括所有补充通知（如果有的话），完全理解并同意放弃对这方面有不明、误解和质疑的权力。</w:t>
      </w:r>
    </w:p>
    <w:p w14:paraId="6415656E">
      <w:pPr>
        <w:pStyle w:val="11"/>
        <w:tabs>
          <w:tab w:val="left" w:pos="5580"/>
        </w:tabs>
        <w:spacing w:line="240" w:lineRule="auto"/>
        <w:ind w:left="1087" w:leftChars="257" w:hanging="540"/>
        <w:rPr>
          <w:rFonts w:hint="eastAsia" w:ascii="仿宋" w:hAnsi="仿宋" w:eastAsia="仿宋" w:cs="仿宋"/>
          <w:color w:val="auto"/>
          <w:sz w:val="24"/>
          <w:szCs w:val="24"/>
        </w:rPr>
      </w:pPr>
      <w:r>
        <w:rPr>
          <w:rFonts w:hint="eastAsia" w:ascii="仿宋" w:hAnsi="仿宋" w:eastAsia="仿宋" w:cs="仿宋"/>
          <w:color w:val="auto"/>
          <w:sz w:val="24"/>
          <w:szCs w:val="24"/>
        </w:rPr>
        <w:t>（5）在规定的开标时间后，遵守</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中有关保证金的规定。</w:t>
      </w:r>
    </w:p>
    <w:p w14:paraId="2171F2E8">
      <w:pPr>
        <w:pStyle w:val="11"/>
        <w:tabs>
          <w:tab w:val="left" w:pos="5580"/>
        </w:tabs>
        <w:spacing w:line="240" w:lineRule="auto"/>
        <w:ind w:left="1087" w:leftChars="257" w:hanging="540"/>
        <w:rPr>
          <w:rFonts w:hint="eastAsia" w:ascii="仿宋" w:hAnsi="仿宋" w:eastAsia="仿宋" w:cs="仿宋"/>
          <w:color w:val="auto"/>
          <w:sz w:val="24"/>
          <w:szCs w:val="24"/>
        </w:rPr>
      </w:pPr>
      <w:r>
        <w:rPr>
          <w:rFonts w:hint="eastAsia" w:ascii="仿宋" w:hAnsi="仿宋" w:eastAsia="仿宋" w:cs="仿宋"/>
          <w:color w:val="auto"/>
          <w:sz w:val="24"/>
          <w:szCs w:val="24"/>
        </w:rPr>
        <w:t>（6）我方不是为本项目提供整体设计、规范编制或者项目管理、监理、检测等服务的供应商，我方不是采购代理机构的附属机构。</w:t>
      </w:r>
    </w:p>
    <w:p w14:paraId="5EE8E370">
      <w:pPr>
        <w:pStyle w:val="11"/>
        <w:tabs>
          <w:tab w:val="left" w:pos="5580"/>
        </w:tabs>
        <w:spacing w:line="240" w:lineRule="auto"/>
        <w:ind w:left="1087" w:leftChars="257" w:hanging="540"/>
        <w:rPr>
          <w:rFonts w:hint="eastAsia" w:ascii="仿宋" w:hAnsi="仿宋" w:eastAsia="仿宋" w:cs="仿宋"/>
          <w:color w:val="auto"/>
          <w:sz w:val="24"/>
          <w:szCs w:val="24"/>
        </w:rPr>
      </w:pPr>
      <w:r>
        <w:rPr>
          <w:rFonts w:hint="eastAsia" w:ascii="仿宋" w:hAnsi="仿宋" w:eastAsia="仿宋" w:cs="仿宋"/>
          <w:color w:val="auto"/>
          <w:sz w:val="24"/>
          <w:szCs w:val="24"/>
        </w:rPr>
        <w:t>（7）在领取中标通知书的同时按</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规定的形式，向贵方一次性支付中标服务费。</w:t>
      </w:r>
    </w:p>
    <w:p w14:paraId="5F4F8E5C">
      <w:pPr>
        <w:pStyle w:val="11"/>
        <w:tabs>
          <w:tab w:val="left" w:pos="5580"/>
        </w:tabs>
        <w:spacing w:line="240" w:lineRule="auto"/>
        <w:ind w:left="1087" w:leftChars="257" w:hanging="540"/>
        <w:rPr>
          <w:rFonts w:hint="eastAsia" w:ascii="仿宋" w:hAnsi="仿宋" w:eastAsia="仿宋" w:cs="仿宋"/>
          <w:color w:val="auto"/>
          <w:sz w:val="24"/>
          <w:szCs w:val="24"/>
        </w:rPr>
      </w:pPr>
      <w:r>
        <w:rPr>
          <w:rFonts w:hint="eastAsia" w:ascii="仿宋" w:hAnsi="仿宋" w:eastAsia="仿宋" w:cs="仿宋"/>
          <w:color w:val="auto"/>
          <w:sz w:val="24"/>
          <w:szCs w:val="24"/>
        </w:rPr>
        <w:t>（8）按照贵方可能要求，提供与其投标有关的一切数据或资料，完全理解贵方不一定接受最低价的投标或收到的任何投标。</w:t>
      </w:r>
    </w:p>
    <w:p w14:paraId="3EF9F793">
      <w:pPr>
        <w:pStyle w:val="11"/>
        <w:tabs>
          <w:tab w:val="left" w:pos="5580"/>
        </w:tabs>
        <w:spacing w:line="240" w:lineRule="auto"/>
        <w:ind w:left="1087" w:leftChars="257" w:hanging="540"/>
        <w:rPr>
          <w:rFonts w:hint="eastAsia" w:ascii="仿宋" w:hAnsi="仿宋" w:eastAsia="仿宋" w:cs="仿宋"/>
          <w:color w:val="auto"/>
          <w:sz w:val="24"/>
          <w:szCs w:val="24"/>
        </w:rPr>
      </w:pPr>
      <w:r>
        <w:rPr>
          <w:rFonts w:hint="eastAsia" w:ascii="仿宋" w:hAnsi="仿宋" w:eastAsia="仿宋" w:cs="仿宋"/>
          <w:color w:val="auto"/>
          <w:sz w:val="24"/>
          <w:szCs w:val="24"/>
        </w:rPr>
        <w:t>（9）按照</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的规定履行合同责任和义务。</w:t>
      </w:r>
    </w:p>
    <w:p w14:paraId="5D748FB5">
      <w:pPr>
        <w:pStyle w:val="11"/>
        <w:tabs>
          <w:tab w:val="left" w:pos="5580"/>
        </w:tabs>
        <w:spacing w:line="240" w:lineRule="auto"/>
        <w:ind w:left="362" w:leftChars="68" w:hanging="218" w:hangingChars="90"/>
        <w:rPr>
          <w:rFonts w:hint="eastAsia" w:ascii="仿宋" w:hAnsi="仿宋" w:eastAsia="仿宋" w:cs="仿宋"/>
          <w:color w:val="auto"/>
          <w:sz w:val="24"/>
          <w:szCs w:val="24"/>
        </w:rPr>
      </w:pPr>
      <w:r>
        <w:rPr>
          <w:rFonts w:hint="eastAsia" w:ascii="仿宋" w:hAnsi="仿宋" w:eastAsia="仿宋" w:cs="仿宋"/>
          <w:color w:val="auto"/>
          <w:sz w:val="24"/>
          <w:szCs w:val="24"/>
        </w:rPr>
        <w:t xml:space="preserve">  与本投标有关的一切正式往来信函请寄：</w:t>
      </w:r>
    </w:p>
    <w:p w14:paraId="1E21F4A6">
      <w:pPr>
        <w:pStyle w:val="11"/>
        <w:tabs>
          <w:tab w:val="left" w:pos="5580"/>
        </w:tabs>
        <w:spacing w:line="240" w:lineRule="auto"/>
        <w:ind w:left="1087" w:leftChars="257" w:hanging="540"/>
        <w:rPr>
          <w:rFonts w:hint="eastAsia" w:ascii="仿宋" w:hAnsi="仿宋" w:eastAsia="仿宋" w:cs="仿宋"/>
          <w:color w:val="auto"/>
          <w:sz w:val="24"/>
          <w:szCs w:val="24"/>
        </w:rPr>
      </w:pPr>
      <w:r>
        <w:rPr>
          <w:rFonts w:hint="eastAsia" w:ascii="仿宋" w:hAnsi="仿宋" w:eastAsia="仿宋" w:cs="仿宋"/>
          <w:color w:val="auto"/>
          <w:sz w:val="24"/>
          <w:szCs w:val="24"/>
        </w:rPr>
        <w:t>地址</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传真</w:t>
      </w:r>
      <w:r>
        <w:rPr>
          <w:rFonts w:hint="eastAsia" w:ascii="仿宋" w:hAnsi="仿宋" w:eastAsia="仿宋" w:cs="仿宋"/>
          <w:color w:val="auto"/>
          <w:sz w:val="24"/>
          <w:szCs w:val="24"/>
          <w:u w:val="single"/>
        </w:rPr>
        <w:t xml:space="preserve">                             </w:t>
      </w:r>
    </w:p>
    <w:p w14:paraId="67D6DADE">
      <w:pPr>
        <w:pStyle w:val="11"/>
        <w:tabs>
          <w:tab w:val="left" w:pos="5580"/>
        </w:tabs>
        <w:spacing w:line="240" w:lineRule="auto"/>
        <w:ind w:left="1087" w:leftChars="257" w:hanging="540"/>
        <w:rPr>
          <w:rFonts w:hint="eastAsia" w:ascii="仿宋" w:hAnsi="仿宋" w:eastAsia="仿宋" w:cs="仿宋"/>
          <w:b/>
          <w:color w:val="auto"/>
          <w:sz w:val="24"/>
          <w:szCs w:val="24"/>
        </w:rPr>
      </w:pPr>
      <w:r>
        <w:rPr>
          <w:rFonts w:hint="eastAsia" w:ascii="仿宋" w:hAnsi="仿宋" w:eastAsia="仿宋" w:cs="仿宋"/>
          <w:color w:val="auto"/>
          <w:sz w:val="24"/>
          <w:szCs w:val="24"/>
        </w:rPr>
        <w:t>电话</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电子函件</w:t>
      </w:r>
      <w:r>
        <w:rPr>
          <w:rFonts w:hint="eastAsia" w:ascii="仿宋" w:hAnsi="仿宋" w:eastAsia="仿宋" w:cs="仿宋"/>
          <w:color w:val="auto"/>
          <w:sz w:val="24"/>
          <w:szCs w:val="24"/>
          <w:u w:val="single"/>
        </w:rPr>
        <w:t xml:space="preserve">                         </w:t>
      </w:r>
    </w:p>
    <w:p w14:paraId="341F99E8">
      <w:pPr>
        <w:pStyle w:val="11"/>
        <w:tabs>
          <w:tab w:val="left" w:pos="5580"/>
        </w:tabs>
        <w:spacing w:line="240" w:lineRule="auto"/>
        <w:ind w:left="1087" w:leftChars="257" w:hanging="540"/>
        <w:rPr>
          <w:rFonts w:hint="eastAsia" w:ascii="仿宋" w:hAnsi="仿宋" w:eastAsia="仿宋" w:cs="仿宋"/>
          <w:color w:val="auto"/>
          <w:sz w:val="24"/>
          <w:szCs w:val="24"/>
        </w:rPr>
      </w:pPr>
      <w:r>
        <w:rPr>
          <w:rFonts w:hint="eastAsia" w:ascii="仿宋" w:hAnsi="仿宋" w:eastAsia="仿宋" w:cs="仿宋"/>
          <w:color w:val="auto"/>
          <w:sz w:val="24"/>
          <w:szCs w:val="24"/>
        </w:rPr>
        <w:t>法定代表人或其委托代理人</w:t>
      </w:r>
      <w:r>
        <w:rPr>
          <w:rFonts w:hint="eastAsia" w:ascii="仿宋" w:hAnsi="仿宋" w:eastAsia="仿宋" w:cs="仿宋"/>
          <w:sz w:val="24"/>
          <w:szCs w:val="24"/>
          <w:lang w:eastAsia="zh-CN"/>
        </w:rPr>
        <w:t>（</w:t>
      </w:r>
      <w:r>
        <w:rPr>
          <w:rFonts w:hint="eastAsia" w:ascii="仿宋" w:hAnsi="仿宋" w:eastAsia="仿宋" w:cs="仿宋"/>
          <w:sz w:val="24"/>
          <w:szCs w:val="24"/>
        </w:rPr>
        <w:t>签字</w:t>
      </w:r>
      <w:r>
        <w:rPr>
          <w:rFonts w:hint="eastAsia" w:ascii="仿宋" w:hAnsi="仿宋" w:eastAsia="仿宋" w:cs="仿宋"/>
          <w:sz w:val="24"/>
          <w:szCs w:val="24"/>
          <w:lang w:eastAsia="zh-CN"/>
        </w:rPr>
        <w:t>或盖章）</w:t>
      </w:r>
      <w:r>
        <w:rPr>
          <w:rFonts w:hint="eastAsia" w:ascii="仿宋" w:hAnsi="仿宋" w:eastAsia="仿宋" w:cs="仿宋"/>
          <w:color w:val="auto"/>
          <w:sz w:val="24"/>
          <w:szCs w:val="24"/>
        </w:rPr>
        <w:t>-----------------</w:t>
      </w:r>
    </w:p>
    <w:p w14:paraId="64B9E434">
      <w:pPr>
        <w:pStyle w:val="11"/>
        <w:tabs>
          <w:tab w:val="left" w:pos="5580"/>
        </w:tabs>
        <w:spacing w:line="240" w:lineRule="auto"/>
        <w:ind w:left="1087" w:leftChars="257" w:hanging="540"/>
        <w:rPr>
          <w:rFonts w:hint="eastAsia" w:ascii="仿宋" w:hAnsi="仿宋" w:eastAsia="仿宋" w:cs="仿宋"/>
          <w:color w:val="auto"/>
          <w:sz w:val="24"/>
          <w:szCs w:val="24"/>
        </w:rPr>
      </w:pPr>
      <w:r>
        <w:rPr>
          <w:rFonts w:hint="eastAsia" w:ascii="仿宋" w:hAnsi="仿宋" w:eastAsia="仿宋" w:cs="仿宋"/>
          <w:color w:val="auto"/>
          <w:sz w:val="24"/>
          <w:szCs w:val="24"/>
        </w:rPr>
        <w:t>投标人名称（全称）-----------------</w:t>
      </w:r>
    </w:p>
    <w:p w14:paraId="4F37B67D">
      <w:pPr>
        <w:pStyle w:val="11"/>
        <w:tabs>
          <w:tab w:val="left" w:pos="5580"/>
        </w:tabs>
        <w:spacing w:line="240" w:lineRule="auto"/>
        <w:ind w:left="1087" w:leftChars="257" w:hanging="540"/>
        <w:rPr>
          <w:rFonts w:hint="eastAsia" w:ascii="仿宋" w:hAnsi="仿宋" w:eastAsia="仿宋" w:cs="仿宋"/>
          <w:color w:val="auto"/>
          <w:sz w:val="24"/>
          <w:szCs w:val="24"/>
        </w:rPr>
      </w:pPr>
      <w:r>
        <w:rPr>
          <w:rFonts w:hint="eastAsia" w:ascii="仿宋" w:hAnsi="仿宋" w:eastAsia="仿宋" w:cs="仿宋"/>
          <w:color w:val="auto"/>
          <w:sz w:val="24"/>
          <w:szCs w:val="24"/>
        </w:rPr>
        <w:t>投标人开户银行（全称）</w:t>
      </w:r>
      <w:r>
        <w:rPr>
          <w:rFonts w:hint="eastAsia" w:ascii="仿宋" w:hAnsi="仿宋" w:eastAsia="仿宋" w:cs="仿宋"/>
          <w:color w:val="auto"/>
          <w:sz w:val="24"/>
          <w:szCs w:val="24"/>
          <w:u w:val="single"/>
        </w:rPr>
        <w:t xml:space="preserve">　　　　　　 </w:t>
      </w:r>
    </w:p>
    <w:p w14:paraId="4ADF7E30">
      <w:pPr>
        <w:pStyle w:val="11"/>
        <w:tabs>
          <w:tab w:val="left" w:pos="5580"/>
        </w:tabs>
        <w:spacing w:line="240" w:lineRule="auto"/>
        <w:ind w:left="1087" w:leftChars="257" w:hanging="540"/>
        <w:rPr>
          <w:rFonts w:hint="eastAsia" w:ascii="仿宋" w:hAnsi="仿宋" w:eastAsia="仿宋" w:cs="仿宋"/>
          <w:color w:val="auto"/>
          <w:sz w:val="24"/>
          <w:szCs w:val="24"/>
        </w:rPr>
      </w:pPr>
      <w:r>
        <w:rPr>
          <w:rFonts w:hint="eastAsia" w:ascii="仿宋" w:hAnsi="仿宋" w:eastAsia="仿宋" w:cs="仿宋"/>
          <w:color w:val="auto"/>
          <w:sz w:val="24"/>
          <w:szCs w:val="24"/>
        </w:rPr>
        <w:t>投标人银行帐号</w:t>
      </w:r>
      <w:r>
        <w:rPr>
          <w:rFonts w:hint="eastAsia" w:ascii="仿宋" w:hAnsi="仿宋" w:eastAsia="仿宋" w:cs="仿宋"/>
          <w:color w:val="auto"/>
          <w:sz w:val="24"/>
          <w:szCs w:val="24"/>
          <w:u w:val="single"/>
        </w:rPr>
        <w:t>　　　　　　　　 　　</w:t>
      </w:r>
    </w:p>
    <w:p w14:paraId="7A1A976F">
      <w:pPr>
        <w:pStyle w:val="11"/>
        <w:tabs>
          <w:tab w:val="left" w:pos="5580"/>
        </w:tabs>
        <w:spacing w:line="240" w:lineRule="auto"/>
        <w:ind w:left="1087" w:leftChars="257" w:hanging="540"/>
        <w:rPr>
          <w:rFonts w:hint="eastAsia" w:ascii="仿宋" w:hAnsi="仿宋" w:eastAsia="仿宋" w:cs="仿宋"/>
          <w:color w:val="auto"/>
          <w:sz w:val="24"/>
          <w:szCs w:val="24"/>
        </w:rPr>
      </w:pPr>
      <w:r>
        <w:rPr>
          <w:rFonts w:hint="eastAsia" w:ascii="仿宋" w:hAnsi="仿宋" w:eastAsia="仿宋" w:cs="仿宋"/>
          <w:color w:val="auto"/>
          <w:sz w:val="24"/>
          <w:szCs w:val="24"/>
        </w:rPr>
        <w:t>投标人单位章-------------------------</w:t>
      </w:r>
    </w:p>
    <w:p w14:paraId="7F13148D">
      <w:pPr>
        <w:pStyle w:val="11"/>
        <w:tabs>
          <w:tab w:val="left" w:pos="5580"/>
        </w:tabs>
        <w:spacing w:line="240" w:lineRule="auto"/>
        <w:ind w:left="1087" w:leftChars="257" w:hanging="540"/>
        <w:rPr>
          <w:rFonts w:hint="eastAsia" w:ascii="仿宋" w:hAnsi="仿宋" w:eastAsia="仿宋" w:cs="仿宋"/>
          <w:color w:val="auto"/>
          <w:sz w:val="24"/>
          <w:szCs w:val="24"/>
        </w:rPr>
      </w:pPr>
      <w:r>
        <w:rPr>
          <w:rFonts w:hint="eastAsia" w:ascii="仿宋" w:hAnsi="仿宋" w:eastAsia="仿宋" w:cs="仿宋"/>
          <w:color w:val="auto"/>
          <w:sz w:val="24"/>
          <w:szCs w:val="24"/>
        </w:rPr>
        <w:t>日期-------------------------------</w:t>
      </w:r>
    </w:p>
    <w:p w14:paraId="18F30551">
      <w:pPr>
        <w:pStyle w:val="4"/>
        <w:numPr>
          <w:ilvl w:val="0"/>
          <w:numId w:val="0"/>
        </w:numPr>
        <w:spacing w:line="240" w:lineRule="atLeast"/>
        <w:ind w:left="431"/>
        <w:jc w:val="center"/>
        <w:outlineLvl w:val="2"/>
        <w:rPr>
          <w:rFonts w:hint="eastAsia" w:ascii="仿宋" w:hAnsi="仿宋" w:eastAsia="仿宋" w:cs="仿宋"/>
          <w:b/>
          <w:bCs/>
          <w:color w:val="auto"/>
          <w:sz w:val="36"/>
          <w:szCs w:val="36"/>
          <w:lang w:val="en-US" w:eastAsia="zh-CN"/>
        </w:rPr>
      </w:pPr>
      <w:r>
        <w:rPr>
          <w:rFonts w:hint="eastAsia" w:ascii="仿宋" w:hAnsi="仿宋" w:eastAsia="仿宋" w:cs="仿宋"/>
          <w:sz w:val="21"/>
          <w:szCs w:val="21"/>
        </w:rPr>
        <w:br w:type="page"/>
      </w:r>
      <w:bookmarkStart w:id="400" w:name="_Toc14791"/>
      <w:r>
        <w:rPr>
          <w:rFonts w:hint="eastAsia" w:ascii="仿宋" w:hAnsi="仿宋" w:eastAsia="仿宋" w:cs="仿宋"/>
          <w:b/>
          <w:bCs/>
          <w:color w:val="auto"/>
          <w:sz w:val="36"/>
          <w:szCs w:val="36"/>
          <w:lang w:val="en-US" w:eastAsia="zh-CN"/>
        </w:rPr>
        <w:t>2、服务报价表</w:t>
      </w:r>
      <w:bookmarkEnd w:id="400"/>
    </w:p>
    <w:p w14:paraId="2EB9F799">
      <w:pPr>
        <w:pStyle w:val="11"/>
        <w:shd w:val="clear" w:color="auto" w:fill="auto"/>
        <w:spacing w:line="240" w:lineRule="atLeast"/>
        <w:ind w:left="1087" w:leftChars="257" w:hanging="540"/>
        <w:rPr>
          <w:rFonts w:hint="eastAsia" w:ascii="仿宋" w:hAnsi="仿宋" w:eastAsia="仿宋" w:cs="仿宋"/>
          <w:color w:val="auto"/>
          <w:sz w:val="24"/>
          <w:highlight w:val="none"/>
        </w:rPr>
      </w:pPr>
    </w:p>
    <w:p w14:paraId="23634301">
      <w:pPr>
        <w:pStyle w:val="11"/>
        <w:shd w:val="clear" w:color="auto" w:fill="auto"/>
        <w:spacing w:line="240" w:lineRule="atLeast"/>
        <w:ind w:left="108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14:paraId="4A9B09CC">
      <w:pPr>
        <w:pStyle w:val="11"/>
        <w:shd w:val="clear" w:color="auto" w:fill="auto"/>
        <w:spacing w:line="240" w:lineRule="atLeast"/>
        <w:ind w:left="108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招标编号:                                           </w:t>
      </w:r>
    </w:p>
    <w:p w14:paraId="6DB73D36">
      <w:pPr>
        <w:pStyle w:val="11"/>
        <w:shd w:val="clear" w:color="auto" w:fill="auto"/>
        <w:spacing w:line="240" w:lineRule="auto"/>
        <w:ind w:left="0" w:leftChars="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 xml:space="preserve">                                                                                                                                     </w:t>
      </w:r>
    </w:p>
    <w:tbl>
      <w:tblPr>
        <w:tblStyle w:val="25"/>
        <w:tblW w:w="8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1086"/>
        <w:gridCol w:w="1314"/>
        <w:gridCol w:w="1128"/>
        <w:gridCol w:w="1429"/>
        <w:gridCol w:w="1278"/>
        <w:gridCol w:w="688"/>
      </w:tblGrid>
      <w:tr w14:paraId="7DF11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518" w:type="dxa"/>
            <w:noWrap w:val="0"/>
            <w:vAlign w:val="center"/>
          </w:tcPr>
          <w:p w14:paraId="014F3AD1">
            <w:pPr>
              <w:pStyle w:val="11"/>
              <w:shd w:val="clear" w:color="auto" w:fill="auto"/>
              <w:spacing w:line="240" w:lineRule="atLeast"/>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序号</w:t>
            </w:r>
          </w:p>
        </w:tc>
        <w:tc>
          <w:tcPr>
            <w:tcW w:w="1086" w:type="dxa"/>
            <w:noWrap w:val="0"/>
            <w:vAlign w:val="center"/>
          </w:tcPr>
          <w:p w14:paraId="391B7164">
            <w:pPr>
              <w:pStyle w:val="11"/>
              <w:shd w:val="clear" w:color="auto" w:fill="auto"/>
              <w:spacing w:line="240" w:lineRule="atLeast"/>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项目名称</w:t>
            </w:r>
          </w:p>
        </w:tc>
        <w:tc>
          <w:tcPr>
            <w:tcW w:w="1314" w:type="dxa"/>
            <w:noWrap w:val="0"/>
            <w:vAlign w:val="center"/>
          </w:tcPr>
          <w:p w14:paraId="06918C8C">
            <w:pPr>
              <w:pStyle w:val="11"/>
              <w:shd w:val="clear" w:color="auto" w:fill="auto"/>
              <w:spacing w:line="240" w:lineRule="atLeast"/>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服务地点</w:t>
            </w:r>
          </w:p>
        </w:tc>
        <w:tc>
          <w:tcPr>
            <w:tcW w:w="1128" w:type="dxa"/>
            <w:noWrap w:val="0"/>
            <w:vAlign w:val="center"/>
          </w:tcPr>
          <w:p w14:paraId="64A6FB01">
            <w:pPr>
              <w:pStyle w:val="11"/>
              <w:shd w:val="clear" w:color="auto" w:fill="auto"/>
              <w:spacing w:line="240" w:lineRule="atLeast"/>
              <w:jc w:val="center"/>
              <w:rPr>
                <w:rFonts w:hint="default" w:ascii="仿宋" w:hAnsi="仿宋" w:eastAsia="仿宋" w:cs="仿宋"/>
                <w:color w:val="000000"/>
                <w:kern w:val="2"/>
                <w:sz w:val="21"/>
                <w:szCs w:val="21"/>
                <w:highlight w:val="none"/>
                <w:u w:color="000000"/>
                <w:lang w:val="en-US" w:eastAsia="zh-CN" w:bidi="ar-SA"/>
              </w:rPr>
            </w:pPr>
            <w:r>
              <w:rPr>
                <w:rFonts w:hint="eastAsia" w:ascii="仿宋" w:hAnsi="仿宋" w:eastAsia="仿宋" w:cs="仿宋"/>
                <w:color w:val="000000"/>
                <w:kern w:val="2"/>
                <w:sz w:val="21"/>
                <w:szCs w:val="21"/>
                <w:highlight w:val="none"/>
                <w:u w:color="000000"/>
                <w:lang w:val="en-US" w:eastAsia="zh-CN" w:bidi="ar-SA"/>
              </w:rPr>
              <w:t>服务期限</w:t>
            </w:r>
          </w:p>
        </w:tc>
        <w:tc>
          <w:tcPr>
            <w:tcW w:w="1429" w:type="dxa"/>
            <w:noWrap w:val="0"/>
            <w:vAlign w:val="center"/>
          </w:tcPr>
          <w:p w14:paraId="4A032BFE">
            <w:pPr>
              <w:pStyle w:val="11"/>
              <w:shd w:val="clear" w:color="auto" w:fill="auto"/>
              <w:spacing w:line="240" w:lineRule="atLeast"/>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服务内容</w:t>
            </w:r>
          </w:p>
        </w:tc>
        <w:tc>
          <w:tcPr>
            <w:tcW w:w="1278" w:type="dxa"/>
            <w:noWrap w:val="0"/>
            <w:vAlign w:val="center"/>
          </w:tcPr>
          <w:p w14:paraId="194E5D8D">
            <w:pPr>
              <w:pStyle w:val="11"/>
              <w:shd w:val="clear" w:color="auto" w:fill="auto"/>
              <w:spacing w:line="240" w:lineRule="atLeast"/>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总价（元）</w:t>
            </w:r>
          </w:p>
        </w:tc>
        <w:tc>
          <w:tcPr>
            <w:tcW w:w="688" w:type="dxa"/>
            <w:noWrap w:val="0"/>
            <w:vAlign w:val="center"/>
          </w:tcPr>
          <w:p w14:paraId="60DE3756">
            <w:pPr>
              <w:pStyle w:val="11"/>
              <w:shd w:val="clear" w:color="auto" w:fill="auto"/>
              <w:spacing w:line="240" w:lineRule="atLeast"/>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备注</w:t>
            </w:r>
          </w:p>
        </w:tc>
      </w:tr>
      <w:tr w14:paraId="011F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518" w:type="dxa"/>
            <w:noWrap w:val="0"/>
            <w:vAlign w:val="center"/>
          </w:tcPr>
          <w:p w14:paraId="00259B0B">
            <w:pPr>
              <w:pStyle w:val="11"/>
              <w:shd w:val="clear" w:color="auto" w:fill="auto"/>
              <w:spacing w:line="240" w:lineRule="atLeast"/>
              <w:jc w:val="both"/>
              <w:rPr>
                <w:rFonts w:hint="eastAsia" w:ascii="仿宋" w:hAnsi="仿宋" w:eastAsia="仿宋" w:cs="仿宋"/>
                <w:color w:val="000000"/>
                <w:sz w:val="21"/>
                <w:szCs w:val="21"/>
                <w:highlight w:val="none"/>
                <w:lang w:val="en-US" w:eastAsia="zh-CN"/>
              </w:rPr>
            </w:pPr>
          </w:p>
        </w:tc>
        <w:tc>
          <w:tcPr>
            <w:tcW w:w="1086" w:type="dxa"/>
            <w:noWrap w:val="0"/>
            <w:vAlign w:val="center"/>
          </w:tcPr>
          <w:p w14:paraId="5FC2AFDB">
            <w:pPr>
              <w:pStyle w:val="11"/>
              <w:shd w:val="clear" w:color="auto" w:fill="auto"/>
              <w:spacing w:line="240" w:lineRule="atLeast"/>
              <w:jc w:val="center"/>
              <w:rPr>
                <w:rFonts w:hint="eastAsia" w:ascii="仿宋" w:hAnsi="仿宋" w:eastAsia="仿宋" w:cs="仿宋"/>
                <w:color w:val="000000"/>
                <w:sz w:val="21"/>
                <w:szCs w:val="21"/>
                <w:highlight w:val="none"/>
                <w:lang w:val="en-US" w:eastAsia="zh-CN"/>
              </w:rPr>
            </w:pPr>
          </w:p>
        </w:tc>
        <w:tc>
          <w:tcPr>
            <w:tcW w:w="1314" w:type="dxa"/>
            <w:noWrap w:val="0"/>
            <w:vAlign w:val="center"/>
          </w:tcPr>
          <w:p w14:paraId="6748DA3B">
            <w:pPr>
              <w:pStyle w:val="11"/>
              <w:shd w:val="clear" w:color="auto" w:fill="auto"/>
              <w:spacing w:line="240" w:lineRule="atLeast"/>
              <w:jc w:val="center"/>
              <w:rPr>
                <w:rFonts w:hint="default" w:ascii="仿宋" w:hAnsi="仿宋" w:eastAsia="仿宋" w:cs="仿宋"/>
                <w:color w:val="000000"/>
                <w:sz w:val="21"/>
                <w:szCs w:val="21"/>
                <w:highlight w:val="none"/>
                <w:lang w:val="en-US" w:eastAsia="zh-CN"/>
              </w:rPr>
            </w:pPr>
          </w:p>
        </w:tc>
        <w:tc>
          <w:tcPr>
            <w:tcW w:w="1128" w:type="dxa"/>
            <w:noWrap w:val="0"/>
            <w:vAlign w:val="center"/>
          </w:tcPr>
          <w:p w14:paraId="73598C95">
            <w:pPr>
              <w:pStyle w:val="11"/>
              <w:shd w:val="clear" w:color="auto" w:fill="auto"/>
              <w:spacing w:line="240" w:lineRule="atLeast"/>
              <w:ind w:left="1087" w:leftChars="257" w:hanging="540"/>
              <w:jc w:val="both"/>
              <w:rPr>
                <w:rFonts w:hint="eastAsia" w:ascii="仿宋" w:hAnsi="仿宋" w:eastAsia="仿宋" w:cs="仿宋"/>
                <w:color w:val="000000"/>
                <w:sz w:val="21"/>
                <w:szCs w:val="21"/>
                <w:highlight w:val="none"/>
                <w:lang w:val="en-US" w:eastAsia="zh-CN"/>
              </w:rPr>
            </w:pPr>
          </w:p>
        </w:tc>
        <w:tc>
          <w:tcPr>
            <w:tcW w:w="1429" w:type="dxa"/>
            <w:noWrap w:val="0"/>
            <w:vAlign w:val="center"/>
          </w:tcPr>
          <w:p w14:paraId="6595067F">
            <w:pPr>
              <w:pStyle w:val="11"/>
              <w:shd w:val="clear" w:color="auto" w:fill="auto"/>
              <w:spacing w:line="240" w:lineRule="atLeast"/>
              <w:ind w:left="1087" w:leftChars="257" w:hanging="540"/>
              <w:jc w:val="both"/>
              <w:rPr>
                <w:rFonts w:hint="eastAsia" w:ascii="仿宋" w:hAnsi="仿宋" w:eastAsia="仿宋" w:cs="仿宋"/>
                <w:color w:val="000000"/>
                <w:sz w:val="21"/>
                <w:szCs w:val="21"/>
                <w:highlight w:val="none"/>
                <w:lang w:val="en-US" w:eastAsia="zh-CN"/>
              </w:rPr>
            </w:pPr>
          </w:p>
        </w:tc>
        <w:tc>
          <w:tcPr>
            <w:tcW w:w="1278" w:type="dxa"/>
            <w:noWrap w:val="0"/>
            <w:vAlign w:val="center"/>
          </w:tcPr>
          <w:p w14:paraId="29E7052B">
            <w:pPr>
              <w:pStyle w:val="11"/>
              <w:shd w:val="clear" w:color="auto" w:fill="auto"/>
              <w:spacing w:line="240" w:lineRule="atLeast"/>
              <w:ind w:left="1087" w:leftChars="257" w:hanging="540"/>
              <w:jc w:val="both"/>
              <w:rPr>
                <w:rFonts w:hint="eastAsia" w:ascii="仿宋" w:hAnsi="仿宋" w:eastAsia="仿宋" w:cs="仿宋"/>
                <w:color w:val="000000"/>
                <w:sz w:val="21"/>
                <w:szCs w:val="21"/>
                <w:highlight w:val="none"/>
                <w:lang w:val="en-US" w:eastAsia="zh-CN"/>
              </w:rPr>
            </w:pPr>
          </w:p>
        </w:tc>
        <w:tc>
          <w:tcPr>
            <w:tcW w:w="688" w:type="dxa"/>
            <w:noWrap w:val="0"/>
            <w:vAlign w:val="center"/>
          </w:tcPr>
          <w:p w14:paraId="1250570D">
            <w:pPr>
              <w:pStyle w:val="11"/>
              <w:shd w:val="clear" w:color="auto" w:fill="auto"/>
              <w:spacing w:line="240" w:lineRule="atLeast"/>
              <w:ind w:left="1087" w:leftChars="257" w:hanging="540"/>
              <w:jc w:val="both"/>
              <w:rPr>
                <w:rFonts w:hint="eastAsia" w:ascii="仿宋" w:hAnsi="仿宋" w:eastAsia="仿宋" w:cs="仿宋"/>
                <w:color w:val="000000"/>
                <w:sz w:val="21"/>
                <w:szCs w:val="21"/>
                <w:highlight w:val="none"/>
                <w:lang w:val="en-US" w:eastAsia="zh-CN"/>
              </w:rPr>
            </w:pPr>
          </w:p>
        </w:tc>
      </w:tr>
    </w:tbl>
    <w:p w14:paraId="18B21D00">
      <w:pPr>
        <w:pStyle w:val="67"/>
        <w:keepNext w:val="0"/>
        <w:keepLines w:val="0"/>
        <w:pageBreakBefore w:val="0"/>
        <w:widowControl w:val="0"/>
        <w:shd w:val="clear" w:color="auto" w:fill="auto"/>
        <w:kinsoku/>
        <w:wordWrap/>
        <w:overflowPunct/>
        <w:topLinePunct w:val="0"/>
        <w:autoSpaceDE/>
        <w:autoSpaceDN/>
        <w:bidi w:val="0"/>
        <w:adjustRightInd/>
        <w:snapToGrid/>
        <w:spacing w:before="0" w:after="0" w:line="357" w:lineRule="exact"/>
        <w:ind w:left="176" w:right="0" w:firstLine="0"/>
        <w:jc w:val="left"/>
        <w:textAlignment w:val="auto"/>
        <w:rPr>
          <w:rFonts w:hint="eastAsia" w:ascii="仿宋" w:hAnsi="仿宋" w:eastAsia="仿宋" w:cs="仿宋"/>
          <w:color w:val="auto"/>
          <w:spacing w:val="0"/>
          <w:w w:val="100"/>
          <w:position w:val="0"/>
          <w:sz w:val="24"/>
          <w:szCs w:val="24"/>
        </w:rPr>
      </w:pPr>
    </w:p>
    <w:p w14:paraId="1BB1123A">
      <w:pPr>
        <w:pStyle w:val="67"/>
        <w:keepNext w:val="0"/>
        <w:keepLines w:val="0"/>
        <w:pageBreakBefore w:val="0"/>
        <w:widowControl w:val="0"/>
        <w:shd w:val="clear" w:color="auto" w:fill="auto"/>
        <w:kinsoku/>
        <w:wordWrap/>
        <w:overflowPunct/>
        <w:topLinePunct w:val="0"/>
        <w:autoSpaceDE/>
        <w:autoSpaceDN/>
        <w:bidi w:val="0"/>
        <w:adjustRightInd/>
        <w:snapToGrid/>
        <w:spacing w:before="0" w:after="0" w:line="357" w:lineRule="exact"/>
        <w:ind w:left="176" w:right="0" w:firstLine="0"/>
        <w:jc w:val="left"/>
        <w:textAlignment w:val="auto"/>
        <w:rPr>
          <w:rFonts w:hint="eastAsia" w:ascii="仿宋" w:hAnsi="仿宋" w:eastAsia="仿宋" w:cs="仿宋"/>
          <w:color w:val="auto"/>
          <w:spacing w:val="0"/>
          <w:w w:val="100"/>
          <w:position w:val="0"/>
          <w:sz w:val="24"/>
          <w:szCs w:val="24"/>
        </w:rPr>
      </w:pPr>
    </w:p>
    <w:p w14:paraId="0FDD02E7">
      <w:pPr>
        <w:pStyle w:val="67"/>
        <w:keepNext w:val="0"/>
        <w:keepLines w:val="0"/>
        <w:pageBreakBefore w:val="0"/>
        <w:widowControl w:val="0"/>
        <w:shd w:val="clear" w:color="auto" w:fill="auto"/>
        <w:kinsoku/>
        <w:wordWrap/>
        <w:overflowPunct/>
        <w:topLinePunct w:val="0"/>
        <w:autoSpaceDE/>
        <w:autoSpaceDN/>
        <w:bidi w:val="0"/>
        <w:adjustRightInd/>
        <w:snapToGrid/>
        <w:spacing w:before="0" w:after="0" w:line="357" w:lineRule="exact"/>
        <w:ind w:left="176" w:righ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说明：</w:t>
      </w:r>
      <w:r>
        <w:rPr>
          <w:rFonts w:hint="eastAsia" w:ascii="仿宋" w:hAnsi="仿宋" w:eastAsia="仿宋" w:cs="仿宋"/>
          <w:color w:val="auto"/>
          <w:spacing w:val="0"/>
          <w:w w:val="100"/>
          <w:position w:val="0"/>
          <w:sz w:val="24"/>
          <w:szCs w:val="24"/>
          <w:lang w:val="en-US" w:eastAsia="en-US" w:bidi="en-US"/>
        </w:rPr>
        <w:t>1.</w:t>
      </w:r>
      <w:r>
        <w:rPr>
          <w:rFonts w:hint="eastAsia" w:ascii="仿宋" w:hAnsi="仿宋" w:eastAsia="仿宋" w:cs="仿宋"/>
          <w:color w:val="auto"/>
          <w:spacing w:val="0"/>
          <w:w w:val="100"/>
          <w:position w:val="0"/>
          <w:sz w:val="24"/>
          <w:szCs w:val="24"/>
        </w:rPr>
        <w:t>所有价格均用人民币表示，单位为元。</w:t>
      </w:r>
    </w:p>
    <w:p w14:paraId="2EDD6483">
      <w:pPr>
        <w:pStyle w:val="67"/>
        <w:keepNext w:val="0"/>
        <w:keepLines w:val="0"/>
        <w:pageBreakBefore w:val="0"/>
        <w:widowControl w:val="0"/>
        <w:numPr>
          <w:ilvl w:val="0"/>
          <w:numId w:val="0"/>
        </w:numPr>
        <w:shd w:val="clear" w:color="auto" w:fill="auto"/>
        <w:tabs>
          <w:tab w:val="left" w:pos="378"/>
        </w:tabs>
        <w:kinsoku/>
        <w:wordWrap/>
        <w:overflowPunct/>
        <w:topLinePunct w:val="0"/>
        <w:autoSpaceDE/>
        <w:autoSpaceDN/>
        <w:bidi w:val="0"/>
        <w:adjustRightInd/>
        <w:snapToGrid/>
        <w:spacing w:before="0" w:after="0" w:line="357" w:lineRule="exact"/>
        <w:ind w:left="176" w:leftChars="0" w:right="0" w:rightChars="0" w:firstLine="729" w:firstLineChars="300"/>
        <w:jc w:val="left"/>
        <w:textAlignment w:val="auto"/>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lang w:val="en-US" w:eastAsia="zh-CN"/>
        </w:rPr>
        <w:t>2.</w:t>
      </w:r>
      <w:r>
        <w:rPr>
          <w:rFonts w:hint="eastAsia" w:ascii="仿宋" w:hAnsi="仿宋" w:eastAsia="仿宋" w:cs="仿宋"/>
          <w:color w:val="auto"/>
          <w:spacing w:val="0"/>
          <w:w w:val="100"/>
          <w:position w:val="0"/>
          <w:sz w:val="24"/>
          <w:szCs w:val="24"/>
        </w:rPr>
        <w:t>报价总计价格必须与《</w:t>
      </w:r>
      <w:r>
        <w:rPr>
          <w:rFonts w:hint="eastAsia" w:ascii="仿宋" w:hAnsi="仿宋" w:eastAsia="仿宋" w:cs="仿宋"/>
          <w:color w:val="auto"/>
          <w:spacing w:val="0"/>
          <w:w w:val="100"/>
          <w:position w:val="0"/>
          <w:sz w:val="24"/>
          <w:szCs w:val="24"/>
          <w:lang w:val="en-US" w:eastAsia="zh-CN"/>
        </w:rPr>
        <w:t>开标一览表</w:t>
      </w:r>
      <w:r>
        <w:rPr>
          <w:rFonts w:hint="eastAsia" w:ascii="仿宋" w:hAnsi="仿宋" w:eastAsia="仿宋" w:cs="仿宋"/>
          <w:color w:val="auto"/>
          <w:spacing w:val="0"/>
          <w:w w:val="100"/>
          <w:position w:val="0"/>
          <w:sz w:val="24"/>
          <w:szCs w:val="24"/>
        </w:rPr>
        <w:t>》报价一致。</w:t>
      </w:r>
    </w:p>
    <w:p w14:paraId="68099F1F">
      <w:pPr>
        <w:pStyle w:val="8"/>
        <w:numPr>
          <w:ilvl w:val="0"/>
          <w:numId w:val="0"/>
        </w:numPr>
        <w:kinsoku w:val="0"/>
        <w:overflowPunct w:val="0"/>
        <w:spacing w:before="34" w:line="357" w:lineRule="auto"/>
        <w:ind w:right="126"/>
        <w:jc w:val="center"/>
        <w:rPr>
          <w:rFonts w:hint="eastAsia" w:ascii="仿宋" w:hAnsi="仿宋" w:eastAsia="仿宋" w:cs="仿宋"/>
          <w:b/>
          <w:bCs/>
          <w:color w:val="auto"/>
          <w:sz w:val="36"/>
          <w:szCs w:val="36"/>
          <w:highlight w:val="none"/>
          <w:lang w:eastAsia="zh-CN"/>
        </w:rPr>
      </w:pPr>
    </w:p>
    <w:p w14:paraId="5A08F307">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w w:val="95"/>
          <w:sz w:val="24"/>
          <w:szCs w:val="24"/>
        </w:rPr>
      </w:pPr>
      <w:r>
        <w:rPr>
          <w:rFonts w:hint="eastAsia" w:ascii="仿宋" w:hAnsi="仿宋" w:eastAsia="仿宋" w:cs="仿宋"/>
          <w:color w:val="auto"/>
          <w:sz w:val="24"/>
          <w:szCs w:val="24"/>
        </w:rPr>
        <w:t>投标人：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w w:val="95"/>
          <w:sz w:val="24"/>
          <w:szCs w:val="24"/>
        </w:rPr>
        <w:t>（盖章）</w:t>
      </w:r>
    </w:p>
    <w:p w14:paraId="3E6E8504">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w w:val="95"/>
          <w:sz w:val="24"/>
          <w:szCs w:val="24"/>
        </w:rPr>
      </w:pPr>
      <w:r>
        <w:rPr>
          <w:rFonts w:hint="eastAsia" w:ascii="仿宋" w:hAnsi="仿宋" w:eastAsia="仿宋" w:cs="仿宋"/>
          <w:color w:val="auto"/>
          <w:sz w:val="24"/>
          <w:szCs w:val="24"/>
        </w:rPr>
        <w:t>法定代表人或被授权人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w w:val="95"/>
          <w:sz w:val="24"/>
          <w:szCs w:val="24"/>
        </w:rPr>
        <w:t>（</w:t>
      </w:r>
      <w:r>
        <w:rPr>
          <w:rFonts w:hint="eastAsia" w:ascii="仿宋" w:hAnsi="仿宋" w:eastAsia="仿宋" w:cs="仿宋"/>
          <w:color w:val="auto"/>
          <w:w w:val="95"/>
          <w:sz w:val="24"/>
          <w:szCs w:val="24"/>
          <w:lang w:eastAsia="zh-CN"/>
        </w:rPr>
        <w:t>签字或盖章</w:t>
      </w:r>
      <w:r>
        <w:rPr>
          <w:rFonts w:hint="eastAsia" w:ascii="仿宋" w:hAnsi="仿宋" w:eastAsia="仿宋" w:cs="仿宋"/>
          <w:color w:val="auto"/>
          <w:w w:val="95"/>
          <w:sz w:val="24"/>
          <w:szCs w:val="24"/>
        </w:rPr>
        <w:t>）</w:t>
      </w:r>
    </w:p>
    <w:p w14:paraId="6F3A1B30">
      <w:pPr>
        <w:pStyle w:val="8"/>
        <w:numPr>
          <w:ilvl w:val="0"/>
          <w:numId w:val="0"/>
        </w:numPr>
        <w:kinsoku w:val="0"/>
        <w:overflowPunct w:val="0"/>
        <w:spacing w:before="26" w:line="320" w:lineRule="auto"/>
        <w:ind w:left="1680"/>
        <w:rPr>
          <w:rFonts w:hint="eastAsia" w:ascii="仿宋" w:hAnsi="仿宋" w:eastAsia="仿宋" w:cs="仿宋"/>
          <w:b/>
          <w:bCs/>
          <w:color w:val="auto"/>
          <w:w w:val="95"/>
          <w:highlight w:val="none"/>
        </w:rPr>
      </w:pPr>
    </w:p>
    <w:p w14:paraId="212DE68D">
      <w:pPr>
        <w:pStyle w:val="69"/>
        <w:spacing w:line="440" w:lineRule="exact"/>
        <w:ind w:firstLine="0"/>
        <w:jc w:val="both"/>
        <w:rPr>
          <w:rFonts w:hint="eastAsia" w:ascii="仿宋" w:hAnsi="仿宋" w:eastAsia="仿宋" w:cs="仿宋"/>
          <w:b/>
          <w:bCs/>
          <w:color w:val="auto"/>
          <w:sz w:val="24"/>
          <w:szCs w:val="24"/>
          <w:highlight w:val="none"/>
          <w:lang w:eastAsia="zh-CN"/>
        </w:rPr>
      </w:pPr>
    </w:p>
    <w:p w14:paraId="5C961417">
      <w:pPr>
        <w:pStyle w:val="69"/>
        <w:spacing w:line="440" w:lineRule="exact"/>
        <w:ind w:firstLine="0"/>
        <w:jc w:val="both"/>
        <w:rPr>
          <w:rFonts w:hint="eastAsia" w:ascii="仿宋" w:hAnsi="仿宋" w:eastAsia="仿宋" w:cs="仿宋"/>
          <w:b/>
          <w:bCs/>
          <w:color w:val="auto"/>
          <w:sz w:val="24"/>
          <w:szCs w:val="24"/>
          <w:highlight w:val="none"/>
          <w:lang w:eastAsia="zh-CN"/>
        </w:rPr>
      </w:pPr>
    </w:p>
    <w:p w14:paraId="16E8F923">
      <w:pPr>
        <w:pStyle w:val="69"/>
        <w:spacing w:line="440" w:lineRule="exact"/>
        <w:ind w:firstLine="0"/>
        <w:jc w:val="both"/>
        <w:rPr>
          <w:rFonts w:hint="eastAsia" w:ascii="仿宋" w:hAnsi="仿宋" w:eastAsia="仿宋" w:cs="仿宋"/>
          <w:b/>
          <w:bCs/>
          <w:color w:val="auto"/>
          <w:sz w:val="24"/>
          <w:szCs w:val="24"/>
          <w:highlight w:val="none"/>
          <w:lang w:eastAsia="zh-CN"/>
        </w:rPr>
      </w:pPr>
    </w:p>
    <w:p w14:paraId="6DE33FEB">
      <w:pPr>
        <w:pStyle w:val="24"/>
        <w:rPr>
          <w:rFonts w:hint="eastAsia" w:ascii="仿宋" w:hAnsi="仿宋" w:eastAsia="仿宋" w:cs="仿宋"/>
          <w:lang w:val="en-US" w:eastAsia="zh-CN"/>
        </w:rPr>
      </w:pPr>
      <w:bookmarkStart w:id="401" w:name="_Toc17555"/>
      <w:bookmarkStart w:id="402" w:name="_Toc31719"/>
    </w:p>
    <w:bookmarkEnd w:id="401"/>
    <w:bookmarkEnd w:id="402"/>
    <w:p w14:paraId="0A2F6667">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0" w:leftChars="0" w:right="126" w:rightChars="0" w:hanging="18" w:firstLineChars="0"/>
        <w:jc w:val="center"/>
        <w:textAlignment w:val="auto"/>
        <w:outlineLvl w:val="2"/>
        <w:rPr>
          <w:rFonts w:hint="eastAsia" w:ascii="仿宋" w:hAnsi="仿宋" w:eastAsia="仿宋" w:cs="仿宋"/>
          <w:b/>
          <w:bCs/>
          <w:color w:val="auto"/>
          <w:sz w:val="36"/>
          <w:szCs w:val="36"/>
          <w:lang w:val="en-US" w:eastAsia="zh-CN"/>
        </w:rPr>
      </w:pPr>
      <w:bookmarkStart w:id="403" w:name="_Toc17853"/>
    </w:p>
    <w:p w14:paraId="3AAB70A9">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0" w:leftChars="0" w:right="126" w:rightChars="0" w:hanging="18" w:firstLineChars="0"/>
        <w:jc w:val="center"/>
        <w:textAlignment w:val="auto"/>
        <w:outlineLvl w:val="2"/>
        <w:rPr>
          <w:rFonts w:hint="eastAsia" w:ascii="仿宋" w:hAnsi="仿宋" w:eastAsia="仿宋" w:cs="仿宋"/>
          <w:b/>
          <w:bCs/>
          <w:color w:val="auto"/>
          <w:sz w:val="36"/>
          <w:szCs w:val="36"/>
          <w:lang w:val="en-US" w:eastAsia="zh-CN"/>
        </w:rPr>
      </w:pPr>
    </w:p>
    <w:p w14:paraId="62D207FB">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0" w:leftChars="0" w:right="126" w:rightChars="0" w:hanging="18" w:firstLineChars="0"/>
        <w:jc w:val="center"/>
        <w:textAlignment w:val="auto"/>
        <w:outlineLvl w:val="2"/>
        <w:rPr>
          <w:rFonts w:hint="eastAsia" w:ascii="仿宋" w:hAnsi="仿宋" w:eastAsia="仿宋" w:cs="仿宋"/>
          <w:b/>
          <w:bCs/>
          <w:color w:val="auto"/>
          <w:sz w:val="36"/>
          <w:szCs w:val="36"/>
          <w:lang w:val="en-US" w:eastAsia="zh-CN"/>
        </w:rPr>
      </w:pPr>
    </w:p>
    <w:p w14:paraId="037FEE2E">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0" w:leftChars="0" w:right="126" w:rightChars="0" w:hanging="18" w:firstLineChars="0"/>
        <w:jc w:val="center"/>
        <w:textAlignment w:val="auto"/>
        <w:outlineLvl w:val="2"/>
        <w:rPr>
          <w:rFonts w:hint="eastAsia" w:ascii="仿宋" w:hAnsi="仿宋" w:eastAsia="仿宋" w:cs="仿宋"/>
          <w:b/>
          <w:bCs/>
          <w:color w:val="auto"/>
          <w:sz w:val="36"/>
          <w:szCs w:val="36"/>
          <w:lang w:val="en-US" w:eastAsia="zh-CN"/>
        </w:rPr>
      </w:pPr>
    </w:p>
    <w:p w14:paraId="38A5A0CE">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0" w:leftChars="0" w:right="126" w:rightChars="0" w:hanging="18" w:firstLineChars="0"/>
        <w:jc w:val="center"/>
        <w:textAlignment w:val="auto"/>
        <w:outlineLvl w:val="2"/>
        <w:rPr>
          <w:rFonts w:hint="eastAsia" w:ascii="仿宋" w:hAnsi="仿宋" w:eastAsia="仿宋" w:cs="仿宋"/>
          <w:b/>
          <w:bCs/>
          <w:color w:val="auto"/>
          <w:sz w:val="36"/>
          <w:szCs w:val="36"/>
          <w:lang w:val="en-US" w:eastAsia="zh-CN"/>
        </w:rPr>
      </w:pPr>
    </w:p>
    <w:p w14:paraId="40B5D56C">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0" w:leftChars="0" w:right="126" w:rightChars="0" w:hanging="18" w:firstLineChars="0"/>
        <w:jc w:val="center"/>
        <w:textAlignment w:val="auto"/>
        <w:outlineLvl w:val="2"/>
        <w:rPr>
          <w:rFonts w:hint="eastAsia" w:ascii="仿宋" w:hAnsi="仿宋" w:eastAsia="仿宋" w:cs="仿宋"/>
          <w:b/>
          <w:bCs/>
          <w:color w:val="auto"/>
          <w:sz w:val="36"/>
          <w:szCs w:val="36"/>
          <w:lang w:val="en-US" w:eastAsia="zh-CN"/>
        </w:rPr>
      </w:pPr>
    </w:p>
    <w:p w14:paraId="5010A8E0">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0" w:leftChars="0" w:right="126" w:rightChars="0" w:hanging="18" w:firstLineChars="0"/>
        <w:jc w:val="center"/>
        <w:textAlignment w:val="auto"/>
        <w:outlineLvl w:val="2"/>
        <w:rPr>
          <w:rFonts w:hint="eastAsia" w:ascii="仿宋" w:hAnsi="仿宋" w:eastAsia="仿宋" w:cs="仿宋"/>
          <w:b/>
          <w:bCs/>
          <w:color w:val="auto"/>
          <w:sz w:val="36"/>
          <w:szCs w:val="36"/>
          <w:lang w:val="en-US" w:eastAsia="zh-CN"/>
        </w:rPr>
      </w:pPr>
    </w:p>
    <w:p w14:paraId="4EDCC9BC">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0" w:leftChars="0" w:right="126" w:rightChars="0" w:hanging="18" w:firstLineChars="0"/>
        <w:jc w:val="center"/>
        <w:textAlignment w:val="auto"/>
        <w:outlineLvl w:val="2"/>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3、商务条款偏离表</w:t>
      </w:r>
      <w:bookmarkEnd w:id="403"/>
    </w:p>
    <w:tbl>
      <w:tblPr>
        <w:tblStyle w:val="25"/>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477"/>
        <w:gridCol w:w="2454"/>
        <w:gridCol w:w="1422"/>
      </w:tblGrid>
      <w:tr w14:paraId="6B16E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14:paraId="7CF0EECD">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序号</w:t>
            </w:r>
          </w:p>
        </w:tc>
        <w:tc>
          <w:tcPr>
            <w:tcW w:w="2154" w:type="dxa"/>
            <w:noWrap w:val="0"/>
            <w:vAlign w:val="top"/>
          </w:tcPr>
          <w:p w14:paraId="00E1829E">
            <w:pPr>
              <w:pStyle w:val="11"/>
              <w:shd w:val="clear" w:color="auto" w:fill="auto"/>
              <w:spacing w:line="240" w:lineRule="atLeast"/>
              <w:ind w:left="0" w:leftChars="0" w:right="0" w:rightChars="0" w:firstLine="0" w:firstLineChars="0"/>
              <w:jc w:val="center"/>
              <w:rPr>
                <w:rFonts w:hint="eastAsia" w:ascii="仿宋" w:hAnsi="仿宋" w:eastAsia="仿宋" w:cs="仿宋"/>
                <w:color w:val="auto"/>
                <w:spacing w:val="-1"/>
                <w:kern w:val="0"/>
                <w:sz w:val="24"/>
              </w:rPr>
            </w:pPr>
            <w:r>
              <w:rPr>
                <w:rFonts w:hint="eastAsia" w:ascii="仿宋" w:hAnsi="仿宋" w:eastAsia="仿宋" w:cs="仿宋"/>
                <w:color w:val="auto"/>
                <w:sz w:val="24"/>
                <w:highlight w:val="none"/>
                <w:lang w:val="en-US" w:eastAsia="zh-CN"/>
              </w:rPr>
              <w:t>招标文件条款号</w:t>
            </w:r>
          </w:p>
        </w:tc>
        <w:tc>
          <w:tcPr>
            <w:tcW w:w="2477" w:type="dxa"/>
            <w:noWrap w:val="0"/>
            <w:vAlign w:val="top"/>
          </w:tcPr>
          <w:p w14:paraId="111F567A">
            <w:pPr>
              <w:pStyle w:val="11"/>
              <w:shd w:val="clear" w:color="auto" w:fill="auto"/>
              <w:spacing w:line="240" w:lineRule="atLeast"/>
              <w:ind w:left="0" w:leftChars="0" w:right="0" w:rightChars="0" w:firstLine="0" w:firstLineChars="0"/>
              <w:jc w:val="center"/>
              <w:rPr>
                <w:rFonts w:hint="eastAsia" w:ascii="仿宋" w:hAnsi="仿宋" w:eastAsia="仿宋" w:cs="仿宋"/>
                <w:color w:val="auto"/>
                <w:spacing w:val="-1"/>
                <w:kern w:val="0"/>
                <w:sz w:val="24"/>
              </w:rPr>
            </w:pPr>
            <w:r>
              <w:rPr>
                <w:rFonts w:hint="eastAsia" w:ascii="仿宋" w:hAnsi="仿宋" w:eastAsia="仿宋" w:cs="仿宋"/>
                <w:color w:val="auto"/>
                <w:sz w:val="24"/>
                <w:highlight w:val="none"/>
                <w:lang w:val="en-US" w:eastAsia="zh-CN"/>
              </w:rPr>
              <w:t>招标文件的商务条款</w:t>
            </w:r>
          </w:p>
        </w:tc>
        <w:tc>
          <w:tcPr>
            <w:tcW w:w="2454" w:type="dxa"/>
            <w:noWrap w:val="0"/>
            <w:vAlign w:val="top"/>
          </w:tcPr>
          <w:p w14:paraId="58A20B59">
            <w:pPr>
              <w:pStyle w:val="11"/>
              <w:shd w:val="clear" w:color="auto" w:fill="auto"/>
              <w:spacing w:line="240" w:lineRule="atLeast"/>
              <w:ind w:left="0" w:leftChars="0" w:right="0" w:rightChars="0" w:firstLine="0" w:firstLineChars="0"/>
              <w:jc w:val="center"/>
              <w:rPr>
                <w:rFonts w:hint="eastAsia" w:ascii="仿宋" w:hAnsi="仿宋" w:eastAsia="仿宋" w:cs="仿宋"/>
                <w:color w:val="auto"/>
                <w:spacing w:val="-1"/>
                <w:kern w:val="0"/>
                <w:sz w:val="24"/>
              </w:rPr>
            </w:pPr>
            <w:r>
              <w:rPr>
                <w:rFonts w:hint="eastAsia" w:ascii="仿宋" w:hAnsi="仿宋" w:eastAsia="仿宋" w:cs="仿宋"/>
                <w:color w:val="auto"/>
                <w:sz w:val="24"/>
                <w:highlight w:val="none"/>
                <w:lang w:val="en-US" w:eastAsia="zh-CN"/>
              </w:rPr>
              <w:t>投标文件的商务条款</w:t>
            </w:r>
          </w:p>
        </w:tc>
        <w:tc>
          <w:tcPr>
            <w:tcW w:w="1422" w:type="dxa"/>
            <w:noWrap w:val="0"/>
            <w:vAlign w:val="top"/>
          </w:tcPr>
          <w:p w14:paraId="55903DBB">
            <w:pPr>
              <w:pStyle w:val="11"/>
              <w:shd w:val="clear" w:color="auto" w:fill="auto"/>
              <w:spacing w:line="240" w:lineRule="atLeast"/>
              <w:ind w:left="0" w:leftChars="0" w:right="0" w:rightChars="0" w:firstLine="0" w:firstLineChars="0"/>
              <w:jc w:val="center"/>
              <w:rPr>
                <w:rFonts w:hint="eastAsia" w:ascii="仿宋" w:hAnsi="仿宋" w:eastAsia="仿宋" w:cs="仿宋"/>
                <w:color w:val="auto"/>
                <w:spacing w:val="-1"/>
                <w:kern w:val="0"/>
                <w:sz w:val="24"/>
              </w:rPr>
            </w:pPr>
            <w:r>
              <w:rPr>
                <w:rFonts w:hint="eastAsia" w:ascii="仿宋" w:hAnsi="仿宋" w:eastAsia="仿宋" w:cs="仿宋"/>
                <w:color w:val="auto"/>
                <w:sz w:val="24"/>
                <w:highlight w:val="none"/>
                <w:lang w:val="en-US" w:eastAsia="zh-CN"/>
              </w:rPr>
              <w:t>偏离说明</w:t>
            </w:r>
          </w:p>
        </w:tc>
      </w:tr>
      <w:tr w14:paraId="14D99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14:paraId="162FB803">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w:t>
            </w:r>
          </w:p>
        </w:tc>
        <w:tc>
          <w:tcPr>
            <w:tcW w:w="2154" w:type="dxa"/>
            <w:noWrap w:val="0"/>
            <w:vAlign w:val="center"/>
          </w:tcPr>
          <w:p w14:paraId="3CFD5A4F">
            <w:pPr>
              <w:rPr>
                <w:rFonts w:hint="eastAsia" w:ascii="仿宋" w:hAnsi="仿宋" w:eastAsia="仿宋" w:cs="仿宋"/>
                <w:color w:val="auto"/>
                <w:spacing w:val="-1"/>
                <w:kern w:val="0"/>
                <w:sz w:val="24"/>
              </w:rPr>
            </w:pPr>
          </w:p>
        </w:tc>
        <w:tc>
          <w:tcPr>
            <w:tcW w:w="2477" w:type="dxa"/>
            <w:noWrap w:val="0"/>
            <w:vAlign w:val="center"/>
          </w:tcPr>
          <w:p w14:paraId="15AD3FE1">
            <w:pPr>
              <w:rPr>
                <w:rFonts w:hint="eastAsia" w:ascii="仿宋" w:hAnsi="仿宋" w:eastAsia="仿宋" w:cs="仿宋"/>
                <w:color w:val="auto"/>
                <w:spacing w:val="-1"/>
                <w:kern w:val="0"/>
                <w:sz w:val="24"/>
              </w:rPr>
            </w:pPr>
          </w:p>
        </w:tc>
        <w:tc>
          <w:tcPr>
            <w:tcW w:w="2454" w:type="dxa"/>
            <w:noWrap w:val="0"/>
            <w:vAlign w:val="center"/>
          </w:tcPr>
          <w:p w14:paraId="56558F5F">
            <w:pPr>
              <w:rPr>
                <w:rFonts w:hint="eastAsia" w:ascii="仿宋" w:hAnsi="仿宋" w:eastAsia="仿宋" w:cs="仿宋"/>
                <w:color w:val="auto"/>
                <w:spacing w:val="-1"/>
                <w:kern w:val="0"/>
                <w:sz w:val="24"/>
              </w:rPr>
            </w:pPr>
          </w:p>
        </w:tc>
        <w:tc>
          <w:tcPr>
            <w:tcW w:w="1422" w:type="dxa"/>
            <w:noWrap w:val="0"/>
            <w:vAlign w:val="center"/>
          </w:tcPr>
          <w:p w14:paraId="67EC9324">
            <w:pPr>
              <w:rPr>
                <w:rFonts w:hint="eastAsia" w:ascii="仿宋" w:hAnsi="仿宋" w:eastAsia="仿宋" w:cs="仿宋"/>
                <w:color w:val="auto"/>
                <w:spacing w:val="-1"/>
                <w:kern w:val="0"/>
                <w:sz w:val="24"/>
              </w:rPr>
            </w:pPr>
          </w:p>
        </w:tc>
      </w:tr>
      <w:tr w14:paraId="6A06E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14:paraId="7F3E6D2B">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2</w:t>
            </w:r>
          </w:p>
        </w:tc>
        <w:tc>
          <w:tcPr>
            <w:tcW w:w="2154" w:type="dxa"/>
            <w:noWrap w:val="0"/>
            <w:vAlign w:val="center"/>
          </w:tcPr>
          <w:p w14:paraId="33A9289A">
            <w:pPr>
              <w:rPr>
                <w:rFonts w:hint="eastAsia" w:ascii="仿宋" w:hAnsi="仿宋" w:eastAsia="仿宋" w:cs="仿宋"/>
                <w:color w:val="auto"/>
                <w:spacing w:val="-1"/>
                <w:kern w:val="0"/>
                <w:sz w:val="24"/>
              </w:rPr>
            </w:pPr>
          </w:p>
        </w:tc>
        <w:tc>
          <w:tcPr>
            <w:tcW w:w="2477" w:type="dxa"/>
            <w:noWrap w:val="0"/>
            <w:vAlign w:val="center"/>
          </w:tcPr>
          <w:p w14:paraId="51645FC9">
            <w:pPr>
              <w:rPr>
                <w:rFonts w:hint="eastAsia" w:ascii="仿宋" w:hAnsi="仿宋" w:eastAsia="仿宋" w:cs="仿宋"/>
                <w:color w:val="auto"/>
                <w:spacing w:val="-1"/>
                <w:kern w:val="0"/>
                <w:sz w:val="24"/>
              </w:rPr>
            </w:pPr>
          </w:p>
        </w:tc>
        <w:tc>
          <w:tcPr>
            <w:tcW w:w="2454" w:type="dxa"/>
            <w:noWrap w:val="0"/>
            <w:vAlign w:val="center"/>
          </w:tcPr>
          <w:p w14:paraId="3891CB57">
            <w:pPr>
              <w:rPr>
                <w:rFonts w:hint="eastAsia" w:ascii="仿宋" w:hAnsi="仿宋" w:eastAsia="仿宋" w:cs="仿宋"/>
                <w:color w:val="auto"/>
                <w:spacing w:val="-1"/>
                <w:kern w:val="0"/>
                <w:sz w:val="24"/>
              </w:rPr>
            </w:pPr>
          </w:p>
        </w:tc>
        <w:tc>
          <w:tcPr>
            <w:tcW w:w="1422" w:type="dxa"/>
            <w:noWrap w:val="0"/>
            <w:vAlign w:val="center"/>
          </w:tcPr>
          <w:p w14:paraId="25CFAF1C">
            <w:pPr>
              <w:rPr>
                <w:rFonts w:hint="eastAsia" w:ascii="仿宋" w:hAnsi="仿宋" w:eastAsia="仿宋" w:cs="仿宋"/>
                <w:color w:val="auto"/>
                <w:spacing w:val="-1"/>
                <w:kern w:val="0"/>
                <w:sz w:val="24"/>
              </w:rPr>
            </w:pPr>
          </w:p>
        </w:tc>
      </w:tr>
      <w:tr w14:paraId="2C5CF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14:paraId="75FC9B92">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3</w:t>
            </w:r>
          </w:p>
        </w:tc>
        <w:tc>
          <w:tcPr>
            <w:tcW w:w="2154" w:type="dxa"/>
            <w:noWrap w:val="0"/>
            <w:vAlign w:val="center"/>
          </w:tcPr>
          <w:p w14:paraId="4D5FA0DE">
            <w:pPr>
              <w:rPr>
                <w:rFonts w:hint="eastAsia" w:ascii="仿宋" w:hAnsi="仿宋" w:eastAsia="仿宋" w:cs="仿宋"/>
                <w:color w:val="auto"/>
                <w:spacing w:val="-1"/>
                <w:kern w:val="0"/>
                <w:sz w:val="24"/>
              </w:rPr>
            </w:pPr>
          </w:p>
        </w:tc>
        <w:tc>
          <w:tcPr>
            <w:tcW w:w="2477" w:type="dxa"/>
            <w:noWrap w:val="0"/>
            <w:vAlign w:val="center"/>
          </w:tcPr>
          <w:p w14:paraId="5F5FAF2F">
            <w:pPr>
              <w:rPr>
                <w:rFonts w:hint="eastAsia" w:ascii="仿宋" w:hAnsi="仿宋" w:eastAsia="仿宋" w:cs="仿宋"/>
                <w:color w:val="auto"/>
                <w:spacing w:val="-1"/>
                <w:kern w:val="0"/>
                <w:sz w:val="24"/>
              </w:rPr>
            </w:pPr>
          </w:p>
        </w:tc>
        <w:tc>
          <w:tcPr>
            <w:tcW w:w="2454" w:type="dxa"/>
            <w:noWrap w:val="0"/>
            <w:vAlign w:val="center"/>
          </w:tcPr>
          <w:p w14:paraId="4F49B47E">
            <w:pPr>
              <w:rPr>
                <w:rFonts w:hint="eastAsia" w:ascii="仿宋" w:hAnsi="仿宋" w:eastAsia="仿宋" w:cs="仿宋"/>
                <w:color w:val="auto"/>
                <w:spacing w:val="-1"/>
                <w:kern w:val="0"/>
                <w:sz w:val="24"/>
              </w:rPr>
            </w:pPr>
          </w:p>
        </w:tc>
        <w:tc>
          <w:tcPr>
            <w:tcW w:w="1422" w:type="dxa"/>
            <w:noWrap w:val="0"/>
            <w:vAlign w:val="center"/>
          </w:tcPr>
          <w:p w14:paraId="1AC8B323">
            <w:pPr>
              <w:rPr>
                <w:rFonts w:hint="eastAsia" w:ascii="仿宋" w:hAnsi="仿宋" w:eastAsia="仿宋" w:cs="仿宋"/>
                <w:color w:val="auto"/>
                <w:spacing w:val="-1"/>
                <w:kern w:val="0"/>
                <w:sz w:val="24"/>
              </w:rPr>
            </w:pPr>
          </w:p>
        </w:tc>
      </w:tr>
      <w:tr w14:paraId="19FB9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14:paraId="203B9C71">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4</w:t>
            </w:r>
          </w:p>
        </w:tc>
        <w:tc>
          <w:tcPr>
            <w:tcW w:w="2154" w:type="dxa"/>
            <w:noWrap w:val="0"/>
            <w:vAlign w:val="center"/>
          </w:tcPr>
          <w:p w14:paraId="417F40C7">
            <w:pPr>
              <w:rPr>
                <w:rFonts w:hint="eastAsia" w:ascii="仿宋" w:hAnsi="仿宋" w:eastAsia="仿宋" w:cs="仿宋"/>
                <w:color w:val="auto"/>
                <w:spacing w:val="-1"/>
                <w:kern w:val="0"/>
                <w:sz w:val="24"/>
              </w:rPr>
            </w:pPr>
          </w:p>
        </w:tc>
        <w:tc>
          <w:tcPr>
            <w:tcW w:w="2477" w:type="dxa"/>
            <w:noWrap w:val="0"/>
            <w:vAlign w:val="center"/>
          </w:tcPr>
          <w:p w14:paraId="58FB1181">
            <w:pPr>
              <w:rPr>
                <w:rFonts w:hint="eastAsia" w:ascii="仿宋" w:hAnsi="仿宋" w:eastAsia="仿宋" w:cs="仿宋"/>
                <w:color w:val="auto"/>
                <w:spacing w:val="-1"/>
                <w:kern w:val="0"/>
                <w:sz w:val="24"/>
              </w:rPr>
            </w:pPr>
          </w:p>
        </w:tc>
        <w:tc>
          <w:tcPr>
            <w:tcW w:w="2454" w:type="dxa"/>
            <w:noWrap w:val="0"/>
            <w:vAlign w:val="center"/>
          </w:tcPr>
          <w:p w14:paraId="10528ACE">
            <w:pPr>
              <w:rPr>
                <w:rFonts w:hint="eastAsia" w:ascii="仿宋" w:hAnsi="仿宋" w:eastAsia="仿宋" w:cs="仿宋"/>
                <w:color w:val="auto"/>
                <w:spacing w:val="-1"/>
                <w:kern w:val="0"/>
                <w:sz w:val="24"/>
              </w:rPr>
            </w:pPr>
          </w:p>
        </w:tc>
        <w:tc>
          <w:tcPr>
            <w:tcW w:w="1422" w:type="dxa"/>
            <w:noWrap w:val="0"/>
            <w:vAlign w:val="center"/>
          </w:tcPr>
          <w:p w14:paraId="3A86973C">
            <w:pPr>
              <w:rPr>
                <w:rFonts w:hint="eastAsia" w:ascii="仿宋" w:hAnsi="仿宋" w:eastAsia="仿宋" w:cs="仿宋"/>
                <w:color w:val="auto"/>
                <w:spacing w:val="-1"/>
                <w:kern w:val="0"/>
                <w:sz w:val="24"/>
              </w:rPr>
            </w:pPr>
          </w:p>
        </w:tc>
      </w:tr>
      <w:tr w14:paraId="70E05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14:paraId="563FD8B4">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5</w:t>
            </w:r>
          </w:p>
        </w:tc>
        <w:tc>
          <w:tcPr>
            <w:tcW w:w="2154" w:type="dxa"/>
            <w:noWrap w:val="0"/>
            <w:vAlign w:val="center"/>
          </w:tcPr>
          <w:p w14:paraId="6B3EC63B">
            <w:pPr>
              <w:rPr>
                <w:rFonts w:hint="eastAsia" w:ascii="仿宋" w:hAnsi="仿宋" w:eastAsia="仿宋" w:cs="仿宋"/>
                <w:color w:val="auto"/>
                <w:spacing w:val="-1"/>
                <w:kern w:val="0"/>
                <w:sz w:val="24"/>
              </w:rPr>
            </w:pPr>
          </w:p>
        </w:tc>
        <w:tc>
          <w:tcPr>
            <w:tcW w:w="2477" w:type="dxa"/>
            <w:noWrap w:val="0"/>
            <w:vAlign w:val="center"/>
          </w:tcPr>
          <w:p w14:paraId="2BCFE8E6">
            <w:pPr>
              <w:rPr>
                <w:rFonts w:hint="eastAsia" w:ascii="仿宋" w:hAnsi="仿宋" w:eastAsia="仿宋" w:cs="仿宋"/>
                <w:color w:val="auto"/>
                <w:spacing w:val="-1"/>
                <w:kern w:val="0"/>
                <w:sz w:val="24"/>
              </w:rPr>
            </w:pPr>
          </w:p>
        </w:tc>
        <w:tc>
          <w:tcPr>
            <w:tcW w:w="2454" w:type="dxa"/>
            <w:noWrap w:val="0"/>
            <w:vAlign w:val="center"/>
          </w:tcPr>
          <w:p w14:paraId="30A3AE4F">
            <w:pPr>
              <w:rPr>
                <w:rFonts w:hint="eastAsia" w:ascii="仿宋" w:hAnsi="仿宋" w:eastAsia="仿宋" w:cs="仿宋"/>
                <w:color w:val="auto"/>
                <w:spacing w:val="-1"/>
                <w:kern w:val="0"/>
                <w:sz w:val="24"/>
              </w:rPr>
            </w:pPr>
          </w:p>
        </w:tc>
        <w:tc>
          <w:tcPr>
            <w:tcW w:w="1422" w:type="dxa"/>
            <w:noWrap w:val="0"/>
            <w:vAlign w:val="center"/>
          </w:tcPr>
          <w:p w14:paraId="65A8FDD7">
            <w:pPr>
              <w:rPr>
                <w:rFonts w:hint="eastAsia" w:ascii="仿宋" w:hAnsi="仿宋" w:eastAsia="仿宋" w:cs="仿宋"/>
                <w:color w:val="auto"/>
                <w:spacing w:val="-1"/>
                <w:kern w:val="0"/>
                <w:sz w:val="24"/>
              </w:rPr>
            </w:pPr>
          </w:p>
        </w:tc>
      </w:tr>
      <w:tr w14:paraId="40A5C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14:paraId="7077668F">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6</w:t>
            </w:r>
          </w:p>
        </w:tc>
        <w:tc>
          <w:tcPr>
            <w:tcW w:w="2154" w:type="dxa"/>
            <w:noWrap w:val="0"/>
            <w:vAlign w:val="center"/>
          </w:tcPr>
          <w:p w14:paraId="4B95BAFF">
            <w:pPr>
              <w:rPr>
                <w:rFonts w:hint="eastAsia" w:ascii="仿宋" w:hAnsi="仿宋" w:eastAsia="仿宋" w:cs="仿宋"/>
                <w:color w:val="auto"/>
                <w:spacing w:val="-1"/>
                <w:kern w:val="0"/>
                <w:sz w:val="24"/>
              </w:rPr>
            </w:pPr>
          </w:p>
        </w:tc>
        <w:tc>
          <w:tcPr>
            <w:tcW w:w="2477" w:type="dxa"/>
            <w:noWrap w:val="0"/>
            <w:vAlign w:val="center"/>
          </w:tcPr>
          <w:p w14:paraId="264AB83B">
            <w:pPr>
              <w:rPr>
                <w:rFonts w:hint="eastAsia" w:ascii="仿宋" w:hAnsi="仿宋" w:eastAsia="仿宋" w:cs="仿宋"/>
                <w:color w:val="auto"/>
                <w:spacing w:val="-1"/>
                <w:kern w:val="0"/>
                <w:sz w:val="24"/>
              </w:rPr>
            </w:pPr>
          </w:p>
        </w:tc>
        <w:tc>
          <w:tcPr>
            <w:tcW w:w="2454" w:type="dxa"/>
            <w:noWrap w:val="0"/>
            <w:vAlign w:val="center"/>
          </w:tcPr>
          <w:p w14:paraId="2D40BEDB">
            <w:pPr>
              <w:rPr>
                <w:rFonts w:hint="eastAsia" w:ascii="仿宋" w:hAnsi="仿宋" w:eastAsia="仿宋" w:cs="仿宋"/>
                <w:color w:val="auto"/>
                <w:spacing w:val="-1"/>
                <w:kern w:val="0"/>
                <w:sz w:val="24"/>
              </w:rPr>
            </w:pPr>
          </w:p>
        </w:tc>
        <w:tc>
          <w:tcPr>
            <w:tcW w:w="1422" w:type="dxa"/>
            <w:noWrap w:val="0"/>
            <w:vAlign w:val="center"/>
          </w:tcPr>
          <w:p w14:paraId="6E2F8C47">
            <w:pPr>
              <w:rPr>
                <w:rFonts w:hint="eastAsia" w:ascii="仿宋" w:hAnsi="仿宋" w:eastAsia="仿宋" w:cs="仿宋"/>
                <w:color w:val="auto"/>
                <w:spacing w:val="-1"/>
                <w:kern w:val="0"/>
                <w:sz w:val="24"/>
              </w:rPr>
            </w:pPr>
          </w:p>
        </w:tc>
      </w:tr>
      <w:tr w14:paraId="54486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14:paraId="45148B98">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7</w:t>
            </w:r>
          </w:p>
        </w:tc>
        <w:tc>
          <w:tcPr>
            <w:tcW w:w="2154" w:type="dxa"/>
            <w:noWrap w:val="0"/>
            <w:vAlign w:val="center"/>
          </w:tcPr>
          <w:p w14:paraId="272B6105">
            <w:pPr>
              <w:rPr>
                <w:rFonts w:hint="eastAsia" w:ascii="仿宋" w:hAnsi="仿宋" w:eastAsia="仿宋" w:cs="仿宋"/>
                <w:color w:val="auto"/>
                <w:spacing w:val="-1"/>
                <w:kern w:val="0"/>
                <w:sz w:val="24"/>
              </w:rPr>
            </w:pPr>
          </w:p>
        </w:tc>
        <w:tc>
          <w:tcPr>
            <w:tcW w:w="2477" w:type="dxa"/>
            <w:noWrap w:val="0"/>
            <w:vAlign w:val="center"/>
          </w:tcPr>
          <w:p w14:paraId="2F0A75DA">
            <w:pPr>
              <w:rPr>
                <w:rFonts w:hint="eastAsia" w:ascii="仿宋" w:hAnsi="仿宋" w:eastAsia="仿宋" w:cs="仿宋"/>
                <w:color w:val="auto"/>
                <w:spacing w:val="-1"/>
                <w:kern w:val="0"/>
                <w:sz w:val="24"/>
              </w:rPr>
            </w:pPr>
          </w:p>
        </w:tc>
        <w:tc>
          <w:tcPr>
            <w:tcW w:w="2454" w:type="dxa"/>
            <w:noWrap w:val="0"/>
            <w:vAlign w:val="center"/>
          </w:tcPr>
          <w:p w14:paraId="606908C6">
            <w:pPr>
              <w:rPr>
                <w:rFonts w:hint="eastAsia" w:ascii="仿宋" w:hAnsi="仿宋" w:eastAsia="仿宋" w:cs="仿宋"/>
                <w:color w:val="auto"/>
                <w:spacing w:val="-1"/>
                <w:kern w:val="0"/>
                <w:sz w:val="24"/>
              </w:rPr>
            </w:pPr>
          </w:p>
        </w:tc>
        <w:tc>
          <w:tcPr>
            <w:tcW w:w="1422" w:type="dxa"/>
            <w:noWrap w:val="0"/>
            <w:vAlign w:val="center"/>
          </w:tcPr>
          <w:p w14:paraId="6B5DADFA">
            <w:pPr>
              <w:rPr>
                <w:rFonts w:hint="eastAsia" w:ascii="仿宋" w:hAnsi="仿宋" w:eastAsia="仿宋" w:cs="仿宋"/>
                <w:color w:val="auto"/>
                <w:spacing w:val="-1"/>
                <w:kern w:val="0"/>
                <w:sz w:val="24"/>
              </w:rPr>
            </w:pPr>
          </w:p>
        </w:tc>
      </w:tr>
      <w:tr w14:paraId="5792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14:paraId="68779AE5">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8</w:t>
            </w:r>
          </w:p>
        </w:tc>
        <w:tc>
          <w:tcPr>
            <w:tcW w:w="2154" w:type="dxa"/>
            <w:noWrap w:val="0"/>
            <w:vAlign w:val="center"/>
          </w:tcPr>
          <w:p w14:paraId="51092D9E">
            <w:pPr>
              <w:rPr>
                <w:rFonts w:hint="eastAsia" w:ascii="仿宋" w:hAnsi="仿宋" w:eastAsia="仿宋" w:cs="仿宋"/>
                <w:color w:val="auto"/>
                <w:spacing w:val="-1"/>
                <w:kern w:val="0"/>
                <w:sz w:val="24"/>
              </w:rPr>
            </w:pPr>
          </w:p>
        </w:tc>
        <w:tc>
          <w:tcPr>
            <w:tcW w:w="2477" w:type="dxa"/>
            <w:noWrap w:val="0"/>
            <w:vAlign w:val="center"/>
          </w:tcPr>
          <w:p w14:paraId="39B29FF3">
            <w:pPr>
              <w:rPr>
                <w:rFonts w:hint="eastAsia" w:ascii="仿宋" w:hAnsi="仿宋" w:eastAsia="仿宋" w:cs="仿宋"/>
                <w:color w:val="auto"/>
                <w:spacing w:val="-1"/>
                <w:kern w:val="0"/>
                <w:sz w:val="24"/>
              </w:rPr>
            </w:pPr>
          </w:p>
        </w:tc>
        <w:tc>
          <w:tcPr>
            <w:tcW w:w="2454" w:type="dxa"/>
            <w:noWrap w:val="0"/>
            <w:vAlign w:val="center"/>
          </w:tcPr>
          <w:p w14:paraId="25C7409E">
            <w:pPr>
              <w:rPr>
                <w:rFonts w:hint="eastAsia" w:ascii="仿宋" w:hAnsi="仿宋" w:eastAsia="仿宋" w:cs="仿宋"/>
                <w:color w:val="auto"/>
                <w:spacing w:val="-1"/>
                <w:kern w:val="0"/>
                <w:sz w:val="24"/>
              </w:rPr>
            </w:pPr>
          </w:p>
        </w:tc>
        <w:tc>
          <w:tcPr>
            <w:tcW w:w="1422" w:type="dxa"/>
            <w:noWrap w:val="0"/>
            <w:vAlign w:val="center"/>
          </w:tcPr>
          <w:p w14:paraId="27B80A1E">
            <w:pPr>
              <w:rPr>
                <w:rFonts w:hint="eastAsia" w:ascii="仿宋" w:hAnsi="仿宋" w:eastAsia="仿宋" w:cs="仿宋"/>
                <w:color w:val="auto"/>
                <w:spacing w:val="-1"/>
                <w:kern w:val="0"/>
                <w:sz w:val="24"/>
              </w:rPr>
            </w:pPr>
          </w:p>
        </w:tc>
      </w:tr>
      <w:tr w14:paraId="406C1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14:paraId="14ED5763">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9</w:t>
            </w:r>
          </w:p>
        </w:tc>
        <w:tc>
          <w:tcPr>
            <w:tcW w:w="2154" w:type="dxa"/>
            <w:noWrap w:val="0"/>
            <w:vAlign w:val="center"/>
          </w:tcPr>
          <w:p w14:paraId="7805855E">
            <w:pPr>
              <w:rPr>
                <w:rFonts w:hint="eastAsia" w:ascii="仿宋" w:hAnsi="仿宋" w:eastAsia="仿宋" w:cs="仿宋"/>
                <w:color w:val="auto"/>
                <w:spacing w:val="-1"/>
                <w:kern w:val="0"/>
                <w:sz w:val="24"/>
              </w:rPr>
            </w:pPr>
          </w:p>
        </w:tc>
        <w:tc>
          <w:tcPr>
            <w:tcW w:w="2477" w:type="dxa"/>
            <w:noWrap w:val="0"/>
            <w:vAlign w:val="center"/>
          </w:tcPr>
          <w:p w14:paraId="26BD895E">
            <w:pPr>
              <w:rPr>
                <w:rFonts w:hint="eastAsia" w:ascii="仿宋" w:hAnsi="仿宋" w:eastAsia="仿宋" w:cs="仿宋"/>
                <w:color w:val="auto"/>
                <w:spacing w:val="-1"/>
                <w:kern w:val="0"/>
                <w:sz w:val="24"/>
              </w:rPr>
            </w:pPr>
          </w:p>
        </w:tc>
        <w:tc>
          <w:tcPr>
            <w:tcW w:w="2454" w:type="dxa"/>
            <w:noWrap w:val="0"/>
            <w:vAlign w:val="center"/>
          </w:tcPr>
          <w:p w14:paraId="37BB5312">
            <w:pPr>
              <w:rPr>
                <w:rFonts w:hint="eastAsia" w:ascii="仿宋" w:hAnsi="仿宋" w:eastAsia="仿宋" w:cs="仿宋"/>
                <w:color w:val="auto"/>
                <w:spacing w:val="-1"/>
                <w:kern w:val="0"/>
                <w:sz w:val="24"/>
              </w:rPr>
            </w:pPr>
          </w:p>
        </w:tc>
        <w:tc>
          <w:tcPr>
            <w:tcW w:w="1422" w:type="dxa"/>
            <w:noWrap w:val="0"/>
            <w:vAlign w:val="center"/>
          </w:tcPr>
          <w:p w14:paraId="448589E6">
            <w:pPr>
              <w:rPr>
                <w:rFonts w:hint="eastAsia" w:ascii="仿宋" w:hAnsi="仿宋" w:eastAsia="仿宋" w:cs="仿宋"/>
                <w:color w:val="auto"/>
                <w:spacing w:val="-1"/>
                <w:kern w:val="0"/>
                <w:sz w:val="24"/>
              </w:rPr>
            </w:pPr>
          </w:p>
        </w:tc>
      </w:tr>
      <w:tr w14:paraId="4691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14:paraId="10574A13">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10</w:t>
            </w:r>
          </w:p>
        </w:tc>
        <w:tc>
          <w:tcPr>
            <w:tcW w:w="2154" w:type="dxa"/>
            <w:noWrap w:val="0"/>
            <w:vAlign w:val="center"/>
          </w:tcPr>
          <w:p w14:paraId="12471CA8">
            <w:pPr>
              <w:rPr>
                <w:rFonts w:hint="eastAsia" w:ascii="仿宋" w:hAnsi="仿宋" w:eastAsia="仿宋" w:cs="仿宋"/>
                <w:color w:val="auto"/>
                <w:spacing w:val="-1"/>
                <w:kern w:val="0"/>
                <w:sz w:val="24"/>
              </w:rPr>
            </w:pPr>
          </w:p>
        </w:tc>
        <w:tc>
          <w:tcPr>
            <w:tcW w:w="2477" w:type="dxa"/>
            <w:noWrap w:val="0"/>
            <w:vAlign w:val="center"/>
          </w:tcPr>
          <w:p w14:paraId="3A1B663A">
            <w:pPr>
              <w:rPr>
                <w:rFonts w:hint="eastAsia" w:ascii="仿宋" w:hAnsi="仿宋" w:eastAsia="仿宋" w:cs="仿宋"/>
                <w:color w:val="auto"/>
                <w:spacing w:val="-1"/>
                <w:kern w:val="0"/>
                <w:sz w:val="24"/>
              </w:rPr>
            </w:pPr>
          </w:p>
        </w:tc>
        <w:tc>
          <w:tcPr>
            <w:tcW w:w="2454" w:type="dxa"/>
            <w:noWrap w:val="0"/>
            <w:vAlign w:val="center"/>
          </w:tcPr>
          <w:p w14:paraId="0B1772CC">
            <w:pPr>
              <w:rPr>
                <w:rFonts w:hint="eastAsia" w:ascii="仿宋" w:hAnsi="仿宋" w:eastAsia="仿宋" w:cs="仿宋"/>
                <w:color w:val="auto"/>
                <w:spacing w:val="-1"/>
                <w:kern w:val="0"/>
                <w:sz w:val="24"/>
              </w:rPr>
            </w:pPr>
          </w:p>
        </w:tc>
        <w:tc>
          <w:tcPr>
            <w:tcW w:w="1422" w:type="dxa"/>
            <w:noWrap w:val="0"/>
            <w:vAlign w:val="center"/>
          </w:tcPr>
          <w:p w14:paraId="0A170F89">
            <w:pPr>
              <w:rPr>
                <w:rFonts w:hint="eastAsia" w:ascii="仿宋" w:hAnsi="仿宋" w:eastAsia="仿宋" w:cs="仿宋"/>
                <w:color w:val="auto"/>
                <w:spacing w:val="-1"/>
                <w:kern w:val="0"/>
                <w:sz w:val="24"/>
              </w:rPr>
            </w:pPr>
          </w:p>
        </w:tc>
      </w:tr>
      <w:tr w14:paraId="6416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14:paraId="08F725C0">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11</w:t>
            </w:r>
          </w:p>
        </w:tc>
        <w:tc>
          <w:tcPr>
            <w:tcW w:w="2154" w:type="dxa"/>
            <w:noWrap w:val="0"/>
            <w:vAlign w:val="center"/>
          </w:tcPr>
          <w:p w14:paraId="473346F2">
            <w:pPr>
              <w:rPr>
                <w:rFonts w:hint="eastAsia" w:ascii="仿宋" w:hAnsi="仿宋" w:eastAsia="仿宋" w:cs="仿宋"/>
                <w:color w:val="auto"/>
                <w:spacing w:val="-1"/>
                <w:kern w:val="0"/>
                <w:sz w:val="24"/>
              </w:rPr>
            </w:pPr>
          </w:p>
        </w:tc>
        <w:tc>
          <w:tcPr>
            <w:tcW w:w="2477" w:type="dxa"/>
            <w:noWrap w:val="0"/>
            <w:vAlign w:val="center"/>
          </w:tcPr>
          <w:p w14:paraId="42FACBB3">
            <w:pPr>
              <w:rPr>
                <w:rFonts w:hint="eastAsia" w:ascii="仿宋" w:hAnsi="仿宋" w:eastAsia="仿宋" w:cs="仿宋"/>
                <w:color w:val="auto"/>
                <w:spacing w:val="-1"/>
                <w:kern w:val="0"/>
                <w:sz w:val="24"/>
              </w:rPr>
            </w:pPr>
          </w:p>
        </w:tc>
        <w:tc>
          <w:tcPr>
            <w:tcW w:w="2454" w:type="dxa"/>
            <w:noWrap w:val="0"/>
            <w:vAlign w:val="center"/>
          </w:tcPr>
          <w:p w14:paraId="028A8CCB">
            <w:pPr>
              <w:rPr>
                <w:rFonts w:hint="eastAsia" w:ascii="仿宋" w:hAnsi="仿宋" w:eastAsia="仿宋" w:cs="仿宋"/>
                <w:color w:val="auto"/>
                <w:spacing w:val="-1"/>
                <w:kern w:val="0"/>
                <w:sz w:val="24"/>
              </w:rPr>
            </w:pPr>
          </w:p>
        </w:tc>
        <w:tc>
          <w:tcPr>
            <w:tcW w:w="1422" w:type="dxa"/>
            <w:noWrap w:val="0"/>
            <w:vAlign w:val="center"/>
          </w:tcPr>
          <w:p w14:paraId="15D703C6">
            <w:pPr>
              <w:rPr>
                <w:rFonts w:hint="eastAsia" w:ascii="仿宋" w:hAnsi="仿宋" w:eastAsia="仿宋" w:cs="仿宋"/>
                <w:color w:val="auto"/>
                <w:spacing w:val="-1"/>
                <w:kern w:val="0"/>
                <w:sz w:val="24"/>
              </w:rPr>
            </w:pPr>
          </w:p>
        </w:tc>
      </w:tr>
      <w:tr w14:paraId="483C6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14:paraId="380593D1">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12</w:t>
            </w:r>
          </w:p>
        </w:tc>
        <w:tc>
          <w:tcPr>
            <w:tcW w:w="2154" w:type="dxa"/>
            <w:noWrap w:val="0"/>
            <w:vAlign w:val="center"/>
          </w:tcPr>
          <w:p w14:paraId="66BB02E0">
            <w:pPr>
              <w:rPr>
                <w:rFonts w:hint="eastAsia" w:ascii="仿宋" w:hAnsi="仿宋" w:eastAsia="仿宋" w:cs="仿宋"/>
                <w:color w:val="auto"/>
                <w:spacing w:val="-1"/>
                <w:kern w:val="0"/>
                <w:sz w:val="24"/>
              </w:rPr>
            </w:pPr>
          </w:p>
        </w:tc>
        <w:tc>
          <w:tcPr>
            <w:tcW w:w="2477" w:type="dxa"/>
            <w:noWrap w:val="0"/>
            <w:vAlign w:val="center"/>
          </w:tcPr>
          <w:p w14:paraId="75F4A697">
            <w:pPr>
              <w:rPr>
                <w:rFonts w:hint="eastAsia" w:ascii="仿宋" w:hAnsi="仿宋" w:eastAsia="仿宋" w:cs="仿宋"/>
                <w:color w:val="auto"/>
                <w:spacing w:val="-1"/>
                <w:kern w:val="0"/>
                <w:sz w:val="24"/>
              </w:rPr>
            </w:pPr>
          </w:p>
        </w:tc>
        <w:tc>
          <w:tcPr>
            <w:tcW w:w="2454" w:type="dxa"/>
            <w:noWrap w:val="0"/>
            <w:vAlign w:val="center"/>
          </w:tcPr>
          <w:p w14:paraId="0C419A2B">
            <w:pPr>
              <w:rPr>
                <w:rFonts w:hint="eastAsia" w:ascii="仿宋" w:hAnsi="仿宋" w:eastAsia="仿宋" w:cs="仿宋"/>
                <w:color w:val="auto"/>
                <w:spacing w:val="-1"/>
                <w:kern w:val="0"/>
                <w:sz w:val="24"/>
              </w:rPr>
            </w:pPr>
          </w:p>
        </w:tc>
        <w:tc>
          <w:tcPr>
            <w:tcW w:w="1422" w:type="dxa"/>
            <w:noWrap w:val="0"/>
            <w:vAlign w:val="center"/>
          </w:tcPr>
          <w:p w14:paraId="65781558">
            <w:pPr>
              <w:rPr>
                <w:rFonts w:hint="eastAsia" w:ascii="仿宋" w:hAnsi="仿宋" w:eastAsia="仿宋" w:cs="仿宋"/>
                <w:color w:val="auto"/>
                <w:spacing w:val="-1"/>
                <w:kern w:val="0"/>
                <w:sz w:val="24"/>
              </w:rPr>
            </w:pPr>
          </w:p>
        </w:tc>
      </w:tr>
      <w:tr w14:paraId="12DFA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14:paraId="01A92317">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13</w:t>
            </w:r>
          </w:p>
        </w:tc>
        <w:tc>
          <w:tcPr>
            <w:tcW w:w="2154" w:type="dxa"/>
            <w:noWrap w:val="0"/>
            <w:vAlign w:val="center"/>
          </w:tcPr>
          <w:p w14:paraId="08FE06E9">
            <w:pPr>
              <w:rPr>
                <w:rFonts w:hint="eastAsia" w:ascii="仿宋" w:hAnsi="仿宋" w:eastAsia="仿宋" w:cs="仿宋"/>
                <w:color w:val="auto"/>
                <w:spacing w:val="-1"/>
                <w:kern w:val="0"/>
                <w:sz w:val="24"/>
              </w:rPr>
            </w:pPr>
          </w:p>
        </w:tc>
        <w:tc>
          <w:tcPr>
            <w:tcW w:w="2477" w:type="dxa"/>
            <w:noWrap w:val="0"/>
            <w:vAlign w:val="center"/>
          </w:tcPr>
          <w:p w14:paraId="424446A0">
            <w:pPr>
              <w:rPr>
                <w:rFonts w:hint="eastAsia" w:ascii="仿宋" w:hAnsi="仿宋" w:eastAsia="仿宋" w:cs="仿宋"/>
                <w:color w:val="auto"/>
                <w:spacing w:val="-1"/>
                <w:kern w:val="0"/>
                <w:sz w:val="24"/>
              </w:rPr>
            </w:pPr>
          </w:p>
        </w:tc>
        <w:tc>
          <w:tcPr>
            <w:tcW w:w="2454" w:type="dxa"/>
            <w:noWrap w:val="0"/>
            <w:vAlign w:val="center"/>
          </w:tcPr>
          <w:p w14:paraId="065B5AC0">
            <w:pPr>
              <w:rPr>
                <w:rFonts w:hint="eastAsia" w:ascii="仿宋" w:hAnsi="仿宋" w:eastAsia="仿宋" w:cs="仿宋"/>
                <w:color w:val="auto"/>
                <w:spacing w:val="-1"/>
                <w:kern w:val="0"/>
                <w:sz w:val="24"/>
              </w:rPr>
            </w:pPr>
          </w:p>
        </w:tc>
        <w:tc>
          <w:tcPr>
            <w:tcW w:w="1422" w:type="dxa"/>
            <w:noWrap w:val="0"/>
            <w:vAlign w:val="center"/>
          </w:tcPr>
          <w:p w14:paraId="7BFFF7AF">
            <w:pPr>
              <w:rPr>
                <w:rFonts w:hint="eastAsia" w:ascii="仿宋" w:hAnsi="仿宋" w:eastAsia="仿宋" w:cs="仿宋"/>
                <w:color w:val="auto"/>
                <w:spacing w:val="-1"/>
                <w:kern w:val="0"/>
                <w:sz w:val="24"/>
              </w:rPr>
            </w:pPr>
          </w:p>
        </w:tc>
      </w:tr>
      <w:tr w14:paraId="6A0D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14:paraId="73218856">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14</w:t>
            </w:r>
          </w:p>
        </w:tc>
        <w:tc>
          <w:tcPr>
            <w:tcW w:w="2154" w:type="dxa"/>
            <w:noWrap w:val="0"/>
            <w:vAlign w:val="center"/>
          </w:tcPr>
          <w:p w14:paraId="6EEB6D13">
            <w:pPr>
              <w:rPr>
                <w:rFonts w:hint="eastAsia" w:ascii="仿宋" w:hAnsi="仿宋" w:eastAsia="仿宋" w:cs="仿宋"/>
                <w:color w:val="auto"/>
                <w:spacing w:val="-1"/>
                <w:kern w:val="0"/>
                <w:sz w:val="24"/>
              </w:rPr>
            </w:pPr>
          </w:p>
        </w:tc>
        <w:tc>
          <w:tcPr>
            <w:tcW w:w="2477" w:type="dxa"/>
            <w:noWrap w:val="0"/>
            <w:vAlign w:val="center"/>
          </w:tcPr>
          <w:p w14:paraId="302E4579">
            <w:pPr>
              <w:rPr>
                <w:rFonts w:hint="eastAsia" w:ascii="仿宋" w:hAnsi="仿宋" w:eastAsia="仿宋" w:cs="仿宋"/>
                <w:color w:val="auto"/>
                <w:spacing w:val="-1"/>
                <w:kern w:val="0"/>
                <w:sz w:val="24"/>
              </w:rPr>
            </w:pPr>
          </w:p>
        </w:tc>
        <w:tc>
          <w:tcPr>
            <w:tcW w:w="2454" w:type="dxa"/>
            <w:noWrap w:val="0"/>
            <w:vAlign w:val="center"/>
          </w:tcPr>
          <w:p w14:paraId="4A5BCB73">
            <w:pPr>
              <w:rPr>
                <w:rFonts w:hint="eastAsia" w:ascii="仿宋" w:hAnsi="仿宋" w:eastAsia="仿宋" w:cs="仿宋"/>
                <w:color w:val="auto"/>
                <w:spacing w:val="-1"/>
                <w:kern w:val="0"/>
                <w:sz w:val="24"/>
              </w:rPr>
            </w:pPr>
          </w:p>
        </w:tc>
        <w:tc>
          <w:tcPr>
            <w:tcW w:w="1422" w:type="dxa"/>
            <w:noWrap w:val="0"/>
            <w:vAlign w:val="center"/>
          </w:tcPr>
          <w:p w14:paraId="34F0742C">
            <w:pPr>
              <w:rPr>
                <w:rFonts w:hint="eastAsia" w:ascii="仿宋" w:hAnsi="仿宋" w:eastAsia="仿宋" w:cs="仿宋"/>
                <w:color w:val="auto"/>
                <w:spacing w:val="-1"/>
                <w:kern w:val="0"/>
                <w:sz w:val="24"/>
              </w:rPr>
            </w:pPr>
          </w:p>
        </w:tc>
      </w:tr>
      <w:tr w14:paraId="52EEA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14:paraId="3B164E19">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15</w:t>
            </w:r>
          </w:p>
        </w:tc>
        <w:tc>
          <w:tcPr>
            <w:tcW w:w="2154" w:type="dxa"/>
            <w:noWrap w:val="0"/>
            <w:vAlign w:val="center"/>
          </w:tcPr>
          <w:p w14:paraId="03DC08CB">
            <w:pPr>
              <w:rPr>
                <w:rFonts w:hint="eastAsia" w:ascii="仿宋" w:hAnsi="仿宋" w:eastAsia="仿宋" w:cs="仿宋"/>
                <w:color w:val="auto"/>
                <w:spacing w:val="-1"/>
                <w:kern w:val="0"/>
                <w:sz w:val="24"/>
              </w:rPr>
            </w:pPr>
          </w:p>
        </w:tc>
        <w:tc>
          <w:tcPr>
            <w:tcW w:w="2477" w:type="dxa"/>
            <w:noWrap w:val="0"/>
            <w:vAlign w:val="center"/>
          </w:tcPr>
          <w:p w14:paraId="391655C5">
            <w:pPr>
              <w:rPr>
                <w:rFonts w:hint="eastAsia" w:ascii="仿宋" w:hAnsi="仿宋" w:eastAsia="仿宋" w:cs="仿宋"/>
                <w:color w:val="auto"/>
                <w:spacing w:val="-1"/>
                <w:kern w:val="0"/>
                <w:sz w:val="24"/>
              </w:rPr>
            </w:pPr>
          </w:p>
        </w:tc>
        <w:tc>
          <w:tcPr>
            <w:tcW w:w="2454" w:type="dxa"/>
            <w:noWrap w:val="0"/>
            <w:vAlign w:val="center"/>
          </w:tcPr>
          <w:p w14:paraId="0AC4A94D">
            <w:pPr>
              <w:rPr>
                <w:rFonts w:hint="eastAsia" w:ascii="仿宋" w:hAnsi="仿宋" w:eastAsia="仿宋" w:cs="仿宋"/>
                <w:color w:val="auto"/>
                <w:spacing w:val="-1"/>
                <w:kern w:val="0"/>
                <w:sz w:val="24"/>
              </w:rPr>
            </w:pPr>
          </w:p>
        </w:tc>
        <w:tc>
          <w:tcPr>
            <w:tcW w:w="1422" w:type="dxa"/>
            <w:noWrap w:val="0"/>
            <w:vAlign w:val="center"/>
          </w:tcPr>
          <w:p w14:paraId="0356932B">
            <w:pPr>
              <w:rPr>
                <w:rFonts w:hint="eastAsia" w:ascii="仿宋" w:hAnsi="仿宋" w:eastAsia="仿宋" w:cs="仿宋"/>
                <w:color w:val="auto"/>
                <w:spacing w:val="-1"/>
                <w:kern w:val="0"/>
                <w:sz w:val="24"/>
              </w:rPr>
            </w:pPr>
          </w:p>
        </w:tc>
      </w:tr>
    </w:tbl>
    <w:p w14:paraId="0322A97E">
      <w:pPr>
        <w:rPr>
          <w:rFonts w:hint="eastAsia" w:ascii="仿宋" w:hAnsi="仿宋" w:eastAsia="仿宋" w:cs="仿宋"/>
          <w:color w:val="auto"/>
          <w:spacing w:val="-1"/>
          <w:kern w:val="0"/>
          <w:sz w:val="24"/>
        </w:rPr>
      </w:pPr>
    </w:p>
    <w:p w14:paraId="76AC97A7">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注：请在“偏离说明”栏内扼要说明偏离情况，如无偏离则不需列明。</w:t>
      </w:r>
    </w:p>
    <w:p w14:paraId="712F90E4">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rPr>
      </w:pPr>
    </w:p>
    <w:p w14:paraId="1E9CF7F6">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p>
    <w:p w14:paraId="3AB65FF6">
      <w:pPr>
        <w:pStyle w:val="35"/>
        <w:rPr>
          <w:rFonts w:hint="eastAsia" w:ascii="仿宋" w:hAnsi="仿宋" w:eastAsia="仿宋" w:cs="仿宋"/>
        </w:rPr>
      </w:pPr>
    </w:p>
    <w:p w14:paraId="78A36A53">
      <w:pPr>
        <w:pStyle w:val="35"/>
        <w:rPr>
          <w:rFonts w:hint="eastAsia" w:ascii="仿宋" w:hAnsi="仿宋" w:eastAsia="仿宋" w:cs="仿宋"/>
        </w:rPr>
      </w:pPr>
    </w:p>
    <w:p w14:paraId="68FBBF41">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w w:val="95"/>
          <w:sz w:val="24"/>
          <w:szCs w:val="24"/>
        </w:rPr>
      </w:pPr>
      <w:r>
        <w:rPr>
          <w:rFonts w:hint="eastAsia" w:ascii="仿宋" w:hAnsi="仿宋" w:eastAsia="仿宋" w:cs="仿宋"/>
          <w:color w:val="auto"/>
          <w:sz w:val="24"/>
          <w:szCs w:val="24"/>
        </w:rPr>
        <w:t>投标人：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w w:val="95"/>
          <w:sz w:val="24"/>
          <w:szCs w:val="24"/>
        </w:rPr>
        <w:t>（盖章）</w:t>
      </w:r>
    </w:p>
    <w:p w14:paraId="6B5B0612">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w w:val="95"/>
          <w:sz w:val="24"/>
          <w:szCs w:val="24"/>
        </w:rPr>
      </w:pPr>
      <w:r>
        <w:rPr>
          <w:rFonts w:hint="eastAsia" w:ascii="仿宋" w:hAnsi="仿宋" w:eastAsia="仿宋" w:cs="仿宋"/>
          <w:color w:val="auto"/>
          <w:sz w:val="24"/>
          <w:szCs w:val="24"/>
        </w:rPr>
        <w:t>法定代表人或被授权人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w w:val="95"/>
          <w:sz w:val="24"/>
          <w:szCs w:val="24"/>
        </w:rPr>
        <w:t>（</w:t>
      </w:r>
      <w:r>
        <w:rPr>
          <w:rFonts w:hint="eastAsia" w:ascii="仿宋" w:hAnsi="仿宋" w:eastAsia="仿宋" w:cs="仿宋"/>
          <w:color w:val="auto"/>
          <w:w w:val="95"/>
          <w:sz w:val="24"/>
          <w:szCs w:val="24"/>
          <w:lang w:eastAsia="zh-CN"/>
        </w:rPr>
        <w:t>签字或盖章</w:t>
      </w:r>
      <w:r>
        <w:rPr>
          <w:rFonts w:hint="eastAsia" w:ascii="仿宋" w:hAnsi="仿宋" w:eastAsia="仿宋" w:cs="仿宋"/>
          <w:color w:val="auto"/>
          <w:w w:val="95"/>
          <w:sz w:val="24"/>
          <w:szCs w:val="24"/>
        </w:rPr>
        <w:t>）</w:t>
      </w:r>
    </w:p>
    <w:p w14:paraId="6F410766">
      <w:pPr>
        <w:pStyle w:val="70"/>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z w:val="24"/>
          <w:szCs w:val="24"/>
        </w:rPr>
      </w:pPr>
    </w:p>
    <w:p w14:paraId="59973242">
      <w:pPr>
        <w:pStyle w:val="70"/>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bookmarkEnd w:id="386"/>
    <w:bookmarkEnd w:id="387"/>
    <w:bookmarkEnd w:id="388"/>
    <w:bookmarkEnd w:id="389"/>
    <w:p w14:paraId="0832169C">
      <w:pPr>
        <w:pStyle w:val="70"/>
        <w:keepNext w:val="0"/>
        <w:keepLines w:val="0"/>
        <w:widowControl w:val="0"/>
        <w:shd w:val="clear" w:color="auto" w:fill="auto"/>
        <w:bidi w:val="0"/>
        <w:spacing w:before="0" w:after="0" w:line="240" w:lineRule="auto"/>
        <w:ind w:left="0" w:leftChars="0" w:right="0" w:firstLine="0" w:firstLineChars="0"/>
        <w:jc w:val="both"/>
        <w:rPr>
          <w:rFonts w:hint="eastAsia" w:ascii="仿宋" w:hAnsi="仿宋" w:eastAsia="仿宋" w:cs="仿宋"/>
          <w:b/>
          <w:bCs/>
          <w:color w:val="auto"/>
          <w:spacing w:val="0"/>
          <w:w w:val="100"/>
          <w:position w:val="0"/>
          <w:sz w:val="36"/>
          <w:szCs w:val="36"/>
          <w:lang w:val="en-US" w:eastAsia="zh-CN"/>
        </w:rPr>
      </w:pPr>
    </w:p>
    <w:p w14:paraId="2E3AF371">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80" w:leftChars="0" w:right="126" w:rightChars="0" w:firstLine="363" w:firstLineChars="100"/>
        <w:jc w:val="center"/>
        <w:textAlignment w:val="auto"/>
        <w:outlineLvl w:val="2"/>
        <w:rPr>
          <w:rFonts w:hint="eastAsia" w:ascii="仿宋" w:hAnsi="仿宋" w:eastAsia="仿宋" w:cs="仿宋"/>
          <w:b/>
          <w:bCs/>
          <w:color w:val="auto"/>
          <w:sz w:val="36"/>
          <w:szCs w:val="36"/>
          <w:lang w:val="en-US" w:eastAsia="zh-CN"/>
        </w:rPr>
        <w:sectPr>
          <w:pgSz w:w="11905" w:h="16838"/>
          <w:pgMar w:top="1440" w:right="1080" w:bottom="1440" w:left="1080" w:header="850" w:footer="992" w:gutter="0"/>
          <w:pgNumType w:fmt="decimal"/>
          <w:cols w:space="720" w:num="1"/>
          <w:docGrid w:type="linesAndChars" w:linePitch="325" w:charSpace="635"/>
        </w:sectPr>
      </w:pPr>
    </w:p>
    <w:p w14:paraId="2B2171FF">
      <w:pPr>
        <w:numPr>
          <w:ilvl w:val="0"/>
          <w:numId w:val="0"/>
        </w:numPr>
        <w:jc w:val="center"/>
        <w:rPr>
          <w:rFonts w:hint="eastAsia" w:ascii="仿宋" w:hAnsi="仿宋" w:eastAsia="仿宋" w:cs="仿宋"/>
          <w:b/>
          <w:bCs/>
          <w:color w:val="auto"/>
          <w:kern w:val="2"/>
          <w:sz w:val="24"/>
          <w:szCs w:val="24"/>
          <w:highlight w:val="none"/>
          <w:lang w:val="en-US" w:eastAsia="zh-CN" w:bidi="ar-SA"/>
        </w:rPr>
      </w:pPr>
      <w:bookmarkStart w:id="404" w:name="_Toc3928"/>
      <w:r>
        <w:rPr>
          <w:rFonts w:hint="eastAsia" w:ascii="仿宋" w:hAnsi="仿宋" w:eastAsia="仿宋" w:cs="仿宋"/>
          <w:b/>
          <w:bCs/>
          <w:color w:val="auto"/>
          <w:sz w:val="36"/>
          <w:szCs w:val="36"/>
          <w:lang w:val="en-US" w:eastAsia="zh-CN"/>
        </w:rPr>
        <w:t>4、技术规格偏离表</w:t>
      </w:r>
    </w:p>
    <w:p w14:paraId="76638BD7">
      <w:pPr>
        <w:numPr>
          <w:ilvl w:val="0"/>
          <w:numId w:val="0"/>
        </w:numPr>
        <w:rPr>
          <w:rFonts w:hint="default"/>
          <w:lang w:val="en-US" w:eastAsia="zh-CN"/>
        </w:rPr>
      </w:pPr>
      <w:r>
        <w:rPr>
          <w:rFonts w:hint="eastAsia"/>
          <w:lang w:val="en-US" w:eastAsia="zh-CN"/>
        </w:rPr>
        <w:t>项目名称：                          项目编号：</w:t>
      </w:r>
    </w:p>
    <w:tbl>
      <w:tblPr>
        <w:tblStyle w:val="25"/>
        <w:tblW w:w="10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2154"/>
        <w:gridCol w:w="2154"/>
        <w:gridCol w:w="2477"/>
        <w:gridCol w:w="2454"/>
        <w:gridCol w:w="1130"/>
      </w:tblGrid>
      <w:tr w14:paraId="6F09E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7" w:type="dxa"/>
            <w:noWrap w:val="0"/>
            <w:vAlign w:val="center"/>
          </w:tcPr>
          <w:p w14:paraId="1744F2D3">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序号</w:t>
            </w:r>
          </w:p>
        </w:tc>
        <w:tc>
          <w:tcPr>
            <w:tcW w:w="2154" w:type="dxa"/>
            <w:noWrap w:val="0"/>
            <w:vAlign w:val="top"/>
          </w:tcPr>
          <w:p w14:paraId="129E9C59">
            <w:pPr>
              <w:pStyle w:val="11"/>
              <w:shd w:val="clear" w:color="auto" w:fill="auto"/>
              <w:spacing w:line="240" w:lineRule="atLeast"/>
              <w:ind w:left="0" w:leftChars="0" w:right="0" w:rightChars="0" w:firstLine="0" w:firstLineChars="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服务名称</w:t>
            </w:r>
          </w:p>
        </w:tc>
        <w:tc>
          <w:tcPr>
            <w:tcW w:w="2154" w:type="dxa"/>
            <w:noWrap w:val="0"/>
            <w:vAlign w:val="top"/>
          </w:tcPr>
          <w:p w14:paraId="11F80144">
            <w:pPr>
              <w:pStyle w:val="11"/>
              <w:shd w:val="clear" w:color="auto" w:fill="auto"/>
              <w:spacing w:line="240" w:lineRule="atLeast"/>
              <w:ind w:left="0" w:leftChars="0" w:right="0" w:rightChars="0" w:firstLine="0" w:firstLineChars="0"/>
              <w:jc w:val="center"/>
              <w:rPr>
                <w:rFonts w:hint="default" w:ascii="仿宋" w:hAnsi="仿宋" w:eastAsia="仿宋" w:cs="仿宋"/>
                <w:color w:val="auto"/>
                <w:spacing w:val="-1"/>
                <w:kern w:val="0"/>
                <w:sz w:val="24"/>
                <w:lang w:val="en-US"/>
              </w:rPr>
            </w:pPr>
            <w:r>
              <w:rPr>
                <w:rFonts w:hint="eastAsia" w:ascii="仿宋" w:hAnsi="仿宋" w:eastAsia="仿宋" w:cs="仿宋"/>
                <w:color w:val="auto"/>
                <w:sz w:val="24"/>
                <w:highlight w:val="none"/>
                <w:lang w:val="en-US" w:eastAsia="zh-CN"/>
              </w:rPr>
              <w:t>磋商文件规格</w:t>
            </w:r>
          </w:p>
        </w:tc>
        <w:tc>
          <w:tcPr>
            <w:tcW w:w="2477" w:type="dxa"/>
            <w:noWrap w:val="0"/>
            <w:vAlign w:val="top"/>
          </w:tcPr>
          <w:p w14:paraId="52D94213">
            <w:pPr>
              <w:pStyle w:val="11"/>
              <w:shd w:val="clear" w:color="auto" w:fill="auto"/>
              <w:spacing w:line="240" w:lineRule="atLeast"/>
              <w:ind w:left="0" w:leftChars="0" w:right="0" w:rightChars="0" w:firstLine="0" w:firstLineChars="0"/>
              <w:jc w:val="center"/>
              <w:rPr>
                <w:rFonts w:hint="default" w:ascii="仿宋" w:hAnsi="仿宋" w:eastAsia="仿宋" w:cs="仿宋"/>
                <w:color w:val="auto"/>
                <w:spacing w:val="-1"/>
                <w:kern w:val="0"/>
                <w:sz w:val="24"/>
                <w:lang w:val="en-US"/>
              </w:rPr>
            </w:pPr>
            <w:r>
              <w:rPr>
                <w:rFonts w:hint="eastAsia" w:ascii="仿宋" w:hAnsi="仿宋" w:eastAsia="仿宋" w:cs="仿宋"/>
                <w:color w:val="auto"/>
                <w:sz w:val="24"/>
                <w:highlight w:val="none"/>
                <w:lang w:val="en-US" w:eastAsia="zh-CN"/>
              </w:rPr>
              <w:t>响应文件规格</w:t>
            </w:r>
          </w:p>
        </w:tc>
        <w:tc>
          <w:tcPr>
            <w:tcW w:w="2454" w:type="dxa"/>
            <w:noWrap w:val="0"/>
            <w:vAlign w:val="top"/>
          </w:tcPr>
          <w:p w14:paraId="44C73EBB">
            <w:pPr>
              <w:pStyle w:val="11"/>
              <w:shd w:val="clear" w:color="auto" w:fill="auto"/>
              <w:spacing w:line="240" w:lineRule="atLeast"/>
              <w:ind w:left="0" w:leftChars="0" w:right="0" w:rightChars="0" w:firstLine="0" w:firstLineChars="0"/>
              <w:jc w:val="center"/>
              <w:rPr>
                <w:rFonts w:hint="eastAsia" w:ascii="仿宋" w:hAnsi="仿宋" w:eastAsia="仿宋" w:cs="仿宋"/>
                <w:color w:val="auto"/>
                <w:spacing w:val="-1"/>
                <w:kern w:val="0"/>
                <w:sz w:val="24"/>
                <w:lang w:val="en-US" w:eastAsia="zh-CN"/>
              </w:rPr>
            </w:pPr>
            <w:r>
              <w:rPr>
                <w:rFonts w:hint="eastAsia" w:ascii="仿宋" w:hAnsi="仿宋" w:eastAsia="仿宋" w:cs="仿宋"/>
                <w:color w:val="auto"/>
                <w:spacing w:val="-1"/>
                <w:kern w:val="0"/>
                <w:sz w:val="24"/>
                <w:lang w:val="en-US" w:eastAsia="zh-CN"/>
              </w:rPr>
              <w:t>偏离</w:t>
            </w:r>
          </w:p>
        </w:tc>
        <w:tc>
          <w:tcPr>
            <w:tcW w:w="1130" w:type="dxa"/>
            <w:noWrap w:val="0"/>
            <w:vAlign w:val="top"/>
          </w:tcPr>
          <w:p w14:paraId="43584922">
            <w:pPr>
              <w:pStyle w:val="11"/>
              <w:shd w:val="clear" w:color="auto" w:fill="auto"/>
              <w:spacing w:line="240" w:lineRule="atLeast"/>
              <w:ind w:left="0" w:leftChars="0" w:right="0" w:rightChars="0" w:firstLine="0" w:firstLineChars="0"/>
              <w:jc w:val="center"/>
              <w:rPr>
                <w:rFonts w:hint="eastAsia" w:ascii="仿宋" w:hAnsi="仿宋" w:eastAsia="仿宋" w:cs="仿宋"/>
                <w:color w:val="auto"/>
                <w:spacing w:val="-1"/>
                <w:kern w:val="0"/>
                <w:sz w:val="24"/>
              </w:rPr>
            </w:pPr>
            <w:r>
              <w:rPr>
                <w:rFonts w:hint="eastAsia" w:ascii="仿宋" w:hAnsi="仿宋" w:eastAsia="仿宋" w:cs="仿宋"/>
                <w:color w:val="auto"/>
                <w:sz w:val="24"/>
                <w:highlight w:val="none"/>
                <w:lang w:val="en-US" w:eastAsia="zh-CN"/>
              </w:rPr>
              <w:t>说明</w:t>
            </w:r>
          </w:p>
        </w:tc>
      </w:tr>
      <w:tr w14:paraId="5AD5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7" w:type="dxa"/>
            <w:noWrap w:val="0"/>
            <w:vAlign w:val="center"/>
          </w:tcPr>
          <w:p w14:paraId="63323C48">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w:t>
            </w:r>
          </w:p>
        </w:tc>
        <w:tc>
          <w:tcPr>
            <w:tcW w:w="2154" w:type="dxa"/>
            <w:noWrap w:val="0"/>
            <w:vAlign w:val="center"/>
          </w:tcPr>
          <w:p w14:paraId="56A17076">
            <w:pPr>
              <w:rPr>
                <w:rFonts w:hint="eastAsia" w:ascii="仿宋" w:hAnsi="仿宋" w:eastAsia="仿宋" w:cs="仿宋"/>
                <w:color w:val="auto"/>
                <w:spacing w:val="-1"/>
                <w:kern w:val="0"/>
                <w:sz w:val="24"/>
              </w:rPr>
            </w:pPr>
          </w:p>
        </w:tc>
        <w:tc>
          <w:tcPr>
            <w:tcW w:w="2154" w:type="dxa"/>
            <w:noWrap w:val="0"/>
            <w:vAlign w:val="center"/>
          </w:tcPr>
          <w:p w14:paraId="5462F9FE">
            <w:pPr>
              <w:rPr>
                <w:rFonts w:hint="eastAsia" w:ascii="仿宋" w:hAnsi="仿宋" w:eastAsia="仿宋" w:cs="仿宋"/>
                <w:color w:val="auto"/>
                <w:spacing w:val="-1"/>
                <w:kern w:val="0"/>
                <w:sz w:val="24"/>
              </w:rPr>
            </w:pPr>
          </w:p>
        </w:tc>
        <w:tc>
          <w:tcPr>
            <w:tcW w:w="2477" w:type="dxa"/>
            <w:noWrap w:val="0"/>
            <w:vAlign w:val="center"/>
          </w:tcPr>
          <w:p w14:paraId="1150A843">
            <w:pPr>
              <w:rPr>
                <w:rFonts w:hint="eastAsia" w:ascii="仿宋" w:hAnsi="仿宋" w:eastAsia="仿宋" w:cs="仿宋"/>
                <w:color w:val="auto"/>
                <w:spacing w:val="-1"/>
                <w:kern w:val="0"/>
                <w:sz w:val="24"/>
              </w:rPr>
            </w:pPr>
          </w:p>
        </w:tc>
        <w:tc>
          <w:tcPr>
            <w:tcW w:w="2454" w:type="dxa"/>
            <w:noWrap w:val="0"/>
            <w:vAlign w:val="center"/>
          </w:tcPr>
          <w:p w14:paraId="26C08B66">
            <w:pPr>
              <w:rPr>
                <w:rFonts w:hint="eastAsia" w:ascii="仿宋" w:hAnsi="仿宋" w:eastAsia="仿宋" w:cs="仿宋"/>
                <w:color w:val="auto"/>
                <w:spacing w:val="-1"/>
                <w:kern w:val="0"/>
                <w:sz w:val="24"/>
              </w:rPr>
            </w:pPr>
            <w:r>
              <w:rPr>
                <w:rFonts w:hint="eastAsia" w:hAnsi="宋体"/>
                <w:b/>
                <w:bCs/>
                <w:sz w:val="18"/>
                <w:szCs w:val="18"/>
                <w:u w:val="single"/>
              </w:rPr>
              <w:t>如有正偏离需提供证明材料，证明材料附后(并注明页码)</w:t>
            </w:r>
          </w:p>
        </w:tc>
        <w:tc>
          <w:tcPr>
            <w:tcW w:w="1130" w:type="dxa"/>
            <w:noWrap w:val="0"/>
            <w:vAlign w:val="center"/>
          </w:tcPr>
          <w:p w14:paraId="1DC70738">
            <w:pPr>
              <w:rPr>
                <w:rFonts w:hint="eastAsia" w:ascii="仿宋" w:hAnsi="仿宋" w:eastAsia="仿宋" w:cs="仿宋"/>
                <w:color w:val="auto"/>
                <w:spacing w:val="-1"/>
                <w:kern w:val="0"/>
                <w:sz w:val="24"/>
              </w:rPr>
            </w:pPr>
          </w:p>
        </w:tc>
      </w:tr>
      <w:tr w14:paraId="390B5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7" w:type="dxa"/>
            <w:noWrap w:val="0"/>
            <w:vAlign w:val="center"/>
          </w:tcPr>
          <w:p w14:paraId="71DA2FA2">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2</w:t>
            </w:r>
          </w:p>
        </w:tc>
        <w:tc>
          <w:tcPr>
            <w:tcW w:w="2154" w:type="dxa"/>
            <w:noWrap w:val="0"/>
            <w:vAlign w:val="center"/>
          </w:tcPr>
          <w:p w14:paraId="25D8BF30">
            <w:pPr>
              <w:rPr>
                <w:rFonts w:hint="eastAsia" w:ascii="仿宋" w:hAnsi="仿宋" w:eastAsia="仿宋" w:cs="仿宋"/>
                <w:color w:val="auto"/>
                <w:spacing w:val="-1"/>
                <w:kern w:val="0"/>
                <w:sz w:val="24"/>
              </w:rPr>
            </w:pPr>
          </w:p>
        </w:tc>
        <w:tc>
          <w:tcPr>
            <w:tcW w:w="2154" w:type="dxa"/>
            <w:noWrap w:val="0"/>
            <w:vAlign w:val="center"/>
          </w:tcPr>
          <w:p w14:paraId="11A72E9E">
            <w:pPr>
              <w:rPr>
                <w:rFonts w:hint="eastAsia" w:ascii="仿宋" w:hAnsi="仿宋" w:eastAsia="仿宋" w:cs="仿宋"/>
                <w:color w:val="auto"/>
                <w:spacing w:val="-1"/>
                <w:kern w:val="0"/>
                <w:sz w:val="24"/>
              </w:rPr>
            </w:pPr>
          </w:p>
        </w:tc>
        <w:tc>
          <w:tcPr>
            <w:tcW w:w="2477" w:type="dxa"/>
            <w:noWrap w:val="0"/>
            <w:vAlign w:val="center"/>
          </w:tcPr>
          <w:p w14:paraId="5CE3FA94">
            <w:pPr>
              <w:rPr>
                <w:rFonts w:hint="eastAsia" w:ascii="仿宋" w:hAnsi="仿宋" w:eastAsia="仿宋" w:cs="仿宋"/>
                <w:color w:val="auto"/>
                <w:spacing w:val="-1"/>
                <w:kern w:val="0"/>
                <w:sz w:val="24"/>
              </w:rPr>
            </w:pPr>
          </w:p>
        </w:tc>
        <w:tc>
          <w:tcPr>
            <w:tcW w:w="2454" w:type="dxa"/>
            <w:noWrap w:val="0"/>
            <w:vAlign w:val="center"/>
          </w:tcPr>
          <w:p w14:paraId="346FD695">
            <w:pPr>
              <w:rPr>
                <w:rFonts w:hint="eastAsia" w:ascii="仿宋" w:hAnsi="仿宋" w:eastAsia="仿宋" w:cs="仿宋"/>
                <w:color w:val="auto"/>
                <w:spacing w:val="-1"/>
                <w:kern w:val="0"/>
                <w:sz w:val="24"/>
              </w:rPr>
            </w:pPr>
          </w:p>
        </w:tc>
        <w:tc>
          <w:tcPr>
            <w:tcW w:w="1130" w:type="dxa"/>
            <w:noWrap w:val="0"/>
            <w:vAlign w:val="center"/>
          </w:tcPr>
          <w:p w14:paraId="63353A83">
            <w:pPr>
              <w:rPr>
                <w:rFonts w:hint="eastAsia" w:ascii="仿宋" w:hAnsi="仿宋" w:eastAsia="仿宋" w:cs="仿宋"/>
                <w:color w:val="auto"/>
                <w:spacing w:val="-1"/>
                <w:kern w:val="0"/>
                <w:sz w:val="24"/>
              </w:rPr>
            </w:pPr>
          </w:p>
        </w:tc>
      </w:tr>
      <w:tr w14:paraId="76F6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7" w:type="dxa"/>
            <w:noWrap w:val="0"/>
            <w:vAlign w:val="center"/>
          </w:tcPr>
          <w:p w14:paraId="3041422E">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3</w:t>
            </w:r>
          </w:p>
        </w:tc>
        <w:tc>
          <w:tcPr>
            <w:tcW w:w="2154" w:type="dxa"/>
            <w:noWrap w:val="0"/>
            <w:vAlign w:val="center"/>
          </w:tcPr>
          <w:p w14:paraId="5E4BE4F9">
            <w:pPr>
              <w:rPr>
                <w:rFonts w:hint="eastAsia" w:ascii="仿宋" w:hAnsi="仿宋" w:eastAsia="仿宋" w:cs="仿宋"/>
                <w:color w:val="auto"/>
                <w:spacing w:val="-1"/>
                <w:kern w:val="0"/>
                <w:sz w:val="24"/>
              </w:rPr>
            </w:pPr>
          </w:p>
        </w:tc>
        <w:tc>
          <w:tcPr>
            <w:tcW w:w="2154" w:type="dxa"/>
            <w:noWrap w:val="0"/>
            <w:vAlign w:val="center"/>
          </w:tcPr>
          <w:p w14:paraId="7ACE3DCA">
            <w:pPr>
              <w:rPr>
                <w:rFonts w:hint="eastAsia" w:ascii="仿宋" w:hAnsi="仿宋" w:eastAsia="仿宋" w:cs="仿宋"/>
                <w:color w:val="auto"/>
                <w:spacing w:val="-1"/>
                <w:kern w:val="0"/>
                <w:sz w:val="24"/>
              </w:rPr>
            </w:pPr>
          </w:p>
        </w:tc>
        <w:tc>
          <w:tcPr>
            <w:tcW w:w="2477" w:type="dxa"/>
            <w:noWrap w:val="0"/>
            <w:vAlign w:val="center"/>
          </w:tcPr>
          <w:p w14:paraId="3BE31271">
            <w:pPr>
              <w:rPr>
                <w:rFonts w:hint="eastAsia" w:ascii="仿宋" w:hAnsi="仿宋" w:eastAsia="仿宋" w:cs="仿宋"/>
                <w:color w:val="auto"/>
                <w:spacing w:val="-1"/>
                <w:kern w:val="0"/>
                <w:sz w:val="24"/>
              </w:rPr>
            </w:pPr>
          </w:p>
        </w:tc>
        <w:tc>
          <w:tcPr>
            <w:tcW w:w="2454" w:type="dxa"/>
            <w:noWrap w:val="0"/>
            <w:vAlign w:val="center"/>
          </w:tcPr>
          <w:p w14:paraId="495E1B16">
            <w:pPr>
              <w:rPr>
                <w:rFonts w:hint="eastAsia" w:ascii="仿宋" w:hAnsi="仿宋" w:eastAsia="仿宋" w:cs="仿宋"/>
                <w:color w:val="auto"/>
                <w:spacing w:val="-1"/>
                <w:kern w:val="0"/>
                <w:sz w:val="24"/>
              </w:rPr>
            </w:pPr>
          </w:p>
        </w:tc>
        <w:tc>
          <w:tcPr>
            <w:tcW w:w="1130" w:type="dxa"/>
            <w:noWrap w:val="0"/>
            <w:vAlign w:val="center"/>
          </w:tcPr>
          <w:p w14:paraId="04FE10BD">
            <w:pPr>
              <w:rPr>
                <w:rFonts w:hint="eastAsia" w:ascii="仿宋" w:hAnsi="仿宋" w:eastAsia="仿宋" w:cs="仿宋"/>
                <w:color w:val="auto"/>
                <w:spacing w:val="-1"/>
                <w:kern w:val="0"/>
                <w:sz w:val="24"/>
              </w:rPr>
            </w:pPr>
          </w:p>
        </w:tc>
      </w:tr>
      <w:tr w14:paraId="4F89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7" w:type="dxa"/>
            <w:noWrap w:val="0"/>
            <w:vAlign w:val="center"/>
          </w:tcPr>
          <w:p w14:paraId="1B2DD531">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4</w:t>
            </w:r>
          </w:p>
        </w:tc>
        <w:tc>
          <w:tcPr>
            <w:tcW w:w="2154" w:type="dxa"/>
            <w:noWrap w:val="0"/>
            <w:vAlign w:val="center"/>
          </w:tcPr>
          <w:p w14:paraId="4873498D">
            <w:pPr>
              <w:rPr>
                <w:rFonts w:hint="eastAsia" w:ascii="仿宋" w:hAnsi="仿宋" w:eastAsia="仿宋" w:cs="仿宋"/>
                <w:color w:val="auto"/>
                <w:spacing w:val="-1"/>
                <w:kern w:val="0"/>
                <w:sz w:val="24"/>
              </w:rPr>
            </w:pPr>
          </w:p>
        </w:tc>
        <w:tc>
          <w:tcPr>
            <w:tcW w:w="2154" w:type="dxa"/>
            <w:noWrap w:val="0"/>
            <w:vAlign w:val="center"/>
          </w:tcPr>
          <w:p w14:paraId="19A3F4A1">
            <w:pPr>
              <w:rPr>
                <w:rFonts w:hint="eastAsia" w:ascii="仿宋" w:hAnsi="仿宋" w:eastAsia="仿宋" w:cs="仿宋"/>
                <w:color w:val="auto"/>
                <w:spacing w:val="-1"/>
                <w:kern w:val="0"/>
                <w:sz w:val="24"/>
              </w:rPr>
            </w:pPr>
          </w:p>
        </w:tc>
        <w:tc>
          <w:tcPr>
            <w:tcW w:w="2477" w:type="dxa"/>
            <w:noWrap w:val="0"/>
            <w:vAlign w:val="center"/>
          </w:tcPr>
          <w:p w14:paraId="125BF084">
            <w:pPr>
              <w:rPr>
                <w:rFonts w:hint="eastAsia" w:ascii="仿宋" w:hAnsi="仿宋" w:eastAsia="仿宋" w:cs="仿宋"/>
                <w:color w:val="auto"/>
                <w:spacing w:val="-1"/>
                <w:kern w:val="0"/>
                <w:sz w:val="24"/>
              </w:rPr>
            </w:pPr>
          </w:p>
        </w:tc>
        <w:tc>
          <w:tcPr>
            <w:tcW w:w="2454" w:type="dxa"/>
            <w:noWrap w:val="0"/>
            <w:vAlign w:val="center"/>
          </w:tcPr>
          <w:p w14:paraId="5C130B12">
            <w:pPr>
              <w:rPr>
                <w:rFonts w:hint="eastAsia" w:ascii="仿宋" w:hAnsi="仿宋" w:eastAsia="仿宋" w:cs="仿宋"/>
                <w:color w:val="auto"/>
                <w:spacing w:val="-1"/>
                <w:kern w:val="0"/>
                <w:sz w:val="24"/>
              </w:rPr>
            </w:pPr>
          </w:p>
        </w:tc>
        <w:tc>
          <w:tcPr>
            <w:tcW w:w="1130" w:type="dxa"/>
            <w:noWrap w:val="0"/>
            <w:vAlign w:val="center"/>
          </w:tcPr>
          <w:p w14:paraId="7B152648">
            <w:pPr>
              <w:rPr>
                <w:rFonts w:hint="eastAsia" w:ascii="仿宋" w:hAnsi="仿宋" w:eastAsia="仿宋" w:cs="仿宋"/>
                <w:color w:val="auto"/>
                <w:spacing w:val="-1"/>
                <w:kern w:val="0"/>
                <w:sz w:val="24"/>
              </w:rPr>
            </w:pPr>
          </w:p>
        </w:tc>
      </w:tr>
      <w:tr w14:paraId="0618D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7" w:type="dxa"/>
            <w:noWrap w:val="0"/>
            <w:vAlign w:val="center"/>
          </w:tcPr>
          <w:p w14:paraId="74F33786">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5</w:t>
            </w:r>
          </w:p>
        </w:tc>
        <w:tc>
          <w:tcPr>
            <w:tcW w:w="2154" w:type="dxa"/>
            <w:noWrap w:val="0"/>
            <w:vAlign w:val="center"/>
          </w:tcPr>
          <w:p w14:paraId="36DFEE9D">
            <w:pPr>
              <w:rPr>
                <w:rFonts w:hint="eastAsia" w:ascii="仿宋" w:hAnsi="仿宋" w:eastAsia="仿宋" w:cs="仿宋"/>
                <w:color w:val="auto"/>
                <w:spacing w:val="-1"/>
                <w:kern w:val="0"/>
                <w:sz w:val="24"/>
              </w:rPr>
            </w:pPr>
          </w:p>
        </w:tc>
        <w:tc>
          <w:tcPr>
            <w:tcW w:w="2154" w:type="dxa"/>
            <w:noWrap w:val="0"/>
            <w:vAlign w:val="center"/>
          </w:tcPr>
          <w:p w14:paraId="64FCEA19">
            <w:pPr>
              <w:rPr>
                <w:rFonts w:hint="eastAsia" w:ascii="仿宋" w:hAnsi="仿宋" w:eastAsia="仿宋" w:cs="仿宋"/>
                <w:color w:val="auto"/>
                <w:spacing w:val="-1"/>
                <w:kern w:val="0"/>
                <w:sz w:val="24"/>
              </w:rPr>
            </w:pPr>
          </w:p>
        </w:tc>
        <w:tc>
          <w:tcPr>
            <w:tcW w:w="2477" w:type="dxa"/>
            <w:noWrap w:val="0"/>
            <w:vAlign w:val="center"/>
          </w:tcPr>
          <w:p w14:paraId="029BF3FE">
            <w:pPr>
              <w:rPr>
                <w:rFonts w:hint="eastAsia" w:ascii="仿宋" w:hAnsi="仿宋" w:eastAsia="仿宋" w:cs="仿宋"/>
                <w:color w:val="auto"/>
                <w:spacing w:val="-1"/>
                <w:kern w:val="0"/>
                <w:sz w:val="24"/>
              </w:rPr>
            </w:pPr>
          </w:p>
        </w:tc>
        <w:tc>
          <w:tcPr>
            <w:tcW w:w="2454" w:type="dxa"/>
            <w:noWrap w:val="0"/>
            <w:vAlign w:val="center"/>
          </w:tcPr>
          <w:p w14:paraId="25A5BD9E">
            <w:pPr>
              <w:rPr>
                <w:rFonts w:hint="eastAsia" w:ascii="仿宋" w:hAnsi="仿宋" w:eastAsia="仿宋" w:cs="仿宋"/>
                <w:color w:val="auto"/>
                <w:spacing w:val="-1"/>
                <w:kern w:val="0"/>
                <w:sz w:val="24"/>
              </w:rPr>
            </w:pPr>
          </w:p>
        </w:tc>
        <w:tc>
          <w:tcPr>
            <w:tcW w:w="1130" w:type="dxa"/>
            <w:noWrap w:val="0"/>
            <w:vAlign w:val="center"/>
          </w:tcPr>
          <w:p w14:paraId="719980C0">
            <w:pPr>
              <w:rPr>
                <w:rFonts w:hint="eastAsia" w:ascii="仿宋" w:hAnsi="仿宋" w:eastAsia="仿宋" w:cs="仿宋"/>
                <w:color w:val="auto"/>
                <w:spacing w:val="-1"/>
                <w:kern w:val="0"/>
                <w:sz w:val="24"/>
              </w:rPr>
            </w:pPr>
          </w:p>
        </w:tc>
      </w:tr>
      <w:tr w14:paraId="1E60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7" w:type="dxa"/>
            <w:noWrap w:val="0"/>
            <w:vAlign w:val="center"/>
          </w:tcPr>
          <w:p w14:paraId="4C7E69F4">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6</w:t>
            </w:r>
          </w:p>
        </w:tc>
        <w:tc>
          <w:tcPr>
            <w:tcW w:w="2154" w:type="dxa"/>
            <w:noWrap w:val="0"/>
            <w:vAlign w:val="center"/>
          </w:tcPr>
          <w:p w14:paraId="1402A458">
            <w:pPr>
              <w:rPr>
                <w:rFonts w:hint="eastAsia" w:ascii="仿宋" w:hAnsi="仿宋" w:eastAsia="仿宋" w:cs="仿宋"/>
                <w:color w:val="auto"/>
                <w:spacing w:val="-1"/>
                <w:kern w:val="0"/>
                <w:sz w:val="24"/>
              </w:rPr>
            </w:pPr>
          </w:p>
        </w:tc>
        <w:tc>
          <w:tcPr>
            <w:tcW w:w="2154" w:type="dxa"/>
            <w:noWrap w:val="0"/>
            <w:vAlign w:val="center"/>
          </w:tcPr>
          <w:p w14:paraId="19113EF0">
            <w:pPr>
              <w:rPr>
                <w:rFonts w:hint="eastAsia" w:ascii="仿宋" w:hAnsi="仿宋" w:eastAsia="仿宋" w:cs="仿宋"/>
                <w:color w:val="auto"/>
                <w:spacing w:val="-1"/>
                <w:kern w:val="0"/>
                <w:sz w:val="24"/>
              </w:rPr>
            </w:pPr>
          </w:p>
        </w:tc>
        <w:tc>
          <w:tcPr>
            <w:tcW w:w="2477" w:type="dxa"/>
            <w:noWrap w:val="0"/>
            <w:vAlign w:val="center"/>
          </w:tcPr>
          <w:p w14:paraId="4BE9FF90">
            <w:pPr>
              <w:rPr>
                <w:rFonts w:hint="eastAsia" w:ascii="仿宋" w:hAnsi="仿宋" w:eastAsia="仿宋" w:cs="仿宋"/>
                <w:color w:val="auto"/>
                <w:spacing w:val="-1"/>
                <w:kern w:val="0"/>
                <w:sz w:val="24"/>
              </w:rPr>
            </w:pPr>
          </w:p>
        </w:tc>
        <w:tc>
          <w:tcPr>
            <w:tcW w:w="2454" w:type="dxa"/>
            <w:noWrap w:val="0"/>
            <w:vAlign w:val="center"/>
          </w:tcPr>
          <w:p w14:paraId="404D5F8C">
            <w:pPr>
              <w:rPr>
                <w:rFonts w:hint="eastAsia" w:ascii="仿宋" w:hAnsi="仿宋" w:eastAsia="仿宋" w:cs="仿宋"/>
                <w:color w:val="auto"/>
                <w:spacing w:val="-1"/>
                <w:kern w:val="0"/>
                <w:sz w:val="24"/>
              </w:rPr>
            </w:pPr>
          </w:p>
        </w:tc>
        <w:tc>
          <w:tcPr>
            <w:tcW w:w="1130" w:type="dxa"/>
            <w:noWrap w:val="0"/>
            <w:vAlign w:val="center"/>
          </w:tcPr>
          <w:p w14:paraId="1BA7466A">
            <w:pPr>
              <w:rPr>
                <w:rFonts w:hint="eastAsia" w:ascii="仿宋" w:hAnsi="仿宋" w:eastAsia="仿宋" w:cs="仿宋"/>
                <w:color w:val="auto"/>
                <w:spacing w:val="-1"/>
                <w:kern w:val="0"/>
                <w:sz w:val="24"/>
              </w:rPr>
            </w:pPr>
          </w:p>
        </w:tc>
      </w:tr>
      <w:tr w14:paraId="406F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7" w:type="dxa"/>
            <w:noWrap w:val="0"/>
            <w:vAlign w:val="center"/>
          </w:tcPr>
          <w:p w14:paraId="29144B1E">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7</w:t>
            </w:r>
          </w:p>
        </w:tc>
        <w:tc>
          <w:tcPr>
            <w:tcW w:w="2154" w:type="dxa"/>
            <w:noWrap w:val="0"/>
            <w:vAlign w:val="center"/>
          </w:tcPr>
          <w:p w14:paraId="1A933388">
            <w:pPr>
              <w:rPr>
                <w:rFonts w:hint="eastAsia" w:ascii="仿宋" w:hAnsi="仿宋" w:eastAsia="仿宋" w:cs="仿宋"/>
                <w:color w:val="auto"/>
                <w:spacing w:val="-1"/>
                <w:kern w:val="0"/>
                <w:sz w:val="24"/>
              </w:rPr>
            </w:pPr>
          </w:p>
        </w:tc>
        <w:tc>
          <w:tcPr>
            <w:tcW w:w="2154" w:type="dxa"/>
            <w:noWrap w:val="0"/>
            <w:vAlign w:val="center"/>
          </w:tcPr>
          <w:p w14:paraId="6BBC1301">
            <w:pPr>
              <w:rPr>
                <w:rFonts w:hint="eastAsia" w:ascii="仿宋" w:hAnsi="仿宋" w:eastAsia="仿宋" w:cs="仿宋"/>
                <w:color w:val="auto"/>
                <w:spacing w:val="-1"/>
                <w:kern w:val="0"/>
                <w:sz w:val="24"/>
              </w:rPr>
            </w:pPr>
          </w:p>
        </w:tc>
        <w:tc>
          <w:tcPr>
            <w:tcW w:w="2477" w:type="dxa"/>
            <w:noWrap w:val="0"/>
            <w:vAlign w:val="center"/>
          </w:tcPr>
          <w:p w14:paraId="2A9D2203">
            <w:pPr>
              <w:rPr>
                <w:rFonts w:hint="eastAsia" w:ascii="仿宋" w:hAnsi="仿宋" w:eastAsia="仿宋" w:cs="仿宋"/>
                <w:color w:val="auto"/>
                <w:spacing w:val="-1"/>
                <w:kern w:val="0"/>
                <w:sz w:val="24"/>
              </w:rPr>
            </w:pPr>
          </w:p>
        </w:tc>
        <w:tc>
          <w:tcPr>
            <w:tcW w:w="2454" w:type="dxa"/>
            <w:noWrap w:val="0"/>
            <w:vAlign w:val="center"/>
          </w:tcPr>
          <w:p w14:paraId="161DE183">
            <w:pPr>
              <w:rPr>
                <w:rFonts w:hint="eastAsia" w:ascii="仿宋" w:hAnsi="仿宋" w:eastAsia="仿宋" w:cs="仿宋"/>
                <w:color w:val="auto"/>
                <w:spacing w:val="-1"/>
                <w:kern w:val="0"/>
                <w:sz w:val="24"/>
              </w:rPr>
            </w:pPr>
          </w:p>
        </w:tc>
        <w:tc>
          <w:tcPr>
            <w:tcW w:w="1130" w:type="dxa"/>
            <w:noWrap w:val="0"/>
            <w:vAlign w:val="center"/>
          </w:tcPr>
          <w:p w14:paraId="0CD0F107">
            <w:pPr>
              <w:rPr>
                <w:rFonts w:hint="eastAsia" w:ascii="仿宋" w:hAnsi="仿宋" w:eastAsia="仿宋" w:cs="仿宋"/>
                <w:color w:val="auto"/>
                <w:spacing w:val="-1"/>
                <w:kern w:val="0"/>
                <w:sz w:val="24"/>
              </w:rPr>
            </w:pPr>
          </w:p>
        </w:tc>
      </w:tr>
      <w:tr w14:paraId="38767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7" w:type="dxa"/>
            <w:noWrap w:val="0"/>
            <w:vAlign w:val="center"/>
          </w:tcPr>
          <w:p w14:paraId="31138F5F">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8</w:t>
            </w:r>
          </w:p>
        </w:tc>
        <w:tc>
          <w:tcPr>
            <w:tcW w:w="2154" w:type="dxa"/>
            <w:noWrap w:val="0"/>
            <w:vAlign w:val="center"/>
          </w:tcPr>
          <w:p w14:paraId="1123A5A3">
            <w:pPr>
              <w:rPr>
                <w:rFonts w:hint="eastAsia" w:ascii="仿宋" w:hAnsi="仿宋" w:eastAsia="仿宋" w:cs="仿宋"/>
                <w:color w:val="auto"/>
                <w:spacing w:val="-1"/>
                <w:kern w:val="0"/>
                <w:sz w:val="24"/>
              </w:rPr>
            </w:pPr>
          </w:p>
        </w:tc>
        <w:tc>
          <w:tcPr>
            <w:tcW w:w="2154" w:type="dxa"/>
            <w:noWrap w:val="0"/>
            <w:vAlign w:val="center"/>
          </w:tcPr>
          <w:p w14:paraId="29CF8480">
            <w:pPr>
              <w:rPr>
                <w:rFonts w:hint="eastAsia" w:ascii="仿宋" w:hAnsi="仿宋" w:eastAsia="仿宋" w:cs="仿宋"/>
                <w:color w:val="auto"/>
                <w:spacing w:val="-1"/>
                <w:kern w:val="0"/>
                <w:sz w:val="24"/>
              </w:rPr>
            </w:pPr>
          </w:p>
        </w:tc>
        <w:tc>
          <w:tcPr>
            <w:tcW w:w="2477" w:type="dxa"/>
            <w:noWrap w:val="0"/>
            <w:vAlign w:val="center"/>
          </w:tcPr>
          <w:p w14:paraId="7D7D0A0D">
            <w:pPr>
              <w:rPr>
                <w:rFonts w:hint="eastAsia" w:ascii="仿宋" w:hAnsi="仿宋" w:eastAsia="仿宋" w:cs="仿宋"/>
                <w:color w:val="auto"/>
                <w:spacing w:val="-1"/>
                <w:kern w:val="0"/>
                <w:sz w:val="24"/>
              </w:rPr>
            </w:pPr>
          </w:p>
        </w:tc>
        <w:tc>
          <w:tcPr>
            <w:tcW w:w="2454" w:type="dxa"/>
            <w:noWrap w:val="0"/>
            <w:vAlign w:val="center"/>
          </w:tcPr>
          <w:p w14:paraId="39F116CC">
            <w:pPr>
              <w:rPr>
                <w:rFonts w:hint="eastAsia" w:ascii="仿宋" w:hAnsi="仿宋" w:eastAsia="仿宋" w:cs="仿宋"/>
                <w:color w:val="auto"/>
                <w:spacing w:val="-1"/>
                <w:kern w:val="0"/>
                <w:sz w:val="24"/>
              </w:rPr>
            </w:pPr>
          </w:p>
        </w:tc>
        <w:tc>
          <w:tcPr>
            <w:tcW w:w="1130" w:type="dxa"/>
            <w:noWrap w:val="0"/>
            <w:vAlign w:val="center"/>
          </w:tcPr>
          <w:p w14:paraId="4F4BDE8D">
            <w:pPr>
              <w:rPr>
                <w:rFonts w:hint="eastAsia" w:ascii="仿宋" w:hAnsi="仿宋" w:eastAsia="仿宋" w:cs="仿宋"/>
                <w:color w:val="auto"/>
                <w:spacing w:val="-1"/>
                <w:kern w:val="0"/>
                <w:sz w:val="24"/>
              </w:rPr>
            </w:pPr>
          </w:p>
        </w:tc>
      </w:tr>
      <w:tr w14:paraId="74CA3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7" w:type="dxa"/>
            <w:noWrap w:val="0"/>
            <w:vAlign w:val="center"/>
          </w:tcPr>
          <w:p w14:paraId="29B86F3E">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9</w:t>
            </w:r>
          </w:p>
        </w:tc>
        <w:tc>
          <w:tcPr>
            <w:tcW w:w="2154" w:type="dxa"/>
            <w:noWrap w:val="0"/>
            <w:vAlign w:val="center"/>
          </w:tcPr>
          <w:p w14:paraId="5C6FC342">
            <w:pPr>
              <w:rPr>
                <w:rFonts w:hint="eastAsia" w:ascii="仿宋" w:hAnsi="仿宋" w:eastAsia="仿宋" w:cs="仿宋"/>
                <w:color w:val="auto"/>
                <w:spacing w:val="-1"/>
                <w:kern w:val="0"/>
                <w:sz w:val="24"/>
              </w:rPr>
            </w:pPr>
          </w:p>
        </w:tc>
        <w:tc>
          <w:tcPr>
            <w:tcW w:w="2154" w:type="dxa"/>
            <w:noWrap w:val="0"/>
            <w:vAlign w:val="center"/>
          </w:tcPr>
          <w:p w14:paraId="4A094513">
            <w:pPr>
              <w:rPr>
                <w:rFonts w:hint="eastAsia" w:ascii="仿宋" w:hAnsi="仿宋" w:eastAsia="仿宋" w:cs="仿宋"/>
                <w:color w:val="auto"/>
                <w:spacing w:val="-1"/>
                <w:kern w:val="0"/>
                <w:sz w:val="24"/>
              </w:rPr>
            </w:pPr>
          </w:p>
        </w:tc>
        <w:tc>
          <w:tcPr>
            <w:tcW w:w="2477" w:type="dxa"/>
            <w:noWrap w:val="0"/>
            <w:vAlign w:val="center"/>
          </w:tcPr>
          <w:p w14:paraId="3E6C787B">
            <w:pPr>
              <w:rPr>
                <w:rFonts w:hint="eastAsia" w:ascii="仿宋" w:hAnsi="仿宋" w:eastAsia="仿宋" w:cs="仿宋"/>
                <w:color w:val="auto"/>
                <w:spacing w:val="-1"/>
                <w:kern w:val="0"/>
                <w:sz w:val="24"/>
              </w:rPr>
            </w:pPr>
          </w:p>
        </w:tc>
        <w:tc>
          <w:tcPr>
            <w:tcW w:w="2454" w:type="dxa"/>
            <w:noWrap w:val="0"/>
            <w:vAlign w:val="center"/>
          </w:tcPr>
          <w:p w14:paraId="7C5A9EEC">
            <w:pPr>
              <w:rPr>
                <w:rFonts w:hint="eastAsia" w:ascii="仿宋" w:hAnsi="仿宋" w:eastAsia="仿宋" w:cs="仿宋"/>
                <w:color w:val="auto"/>
                <w:spacing w:val="-1"/>
                <w:kern w:val="0"/>
                <w:sz w:val="24"/>
              </w:rPr>
            </w:pPr>
          </w:p>
        </w:tc>
        <w:tc>
          <w:tcPr>
            <w:tcW w:w="1130" w:type="dxa"/>
            <w:noWrap w:val="0"/>
            <w:vAlign w:val="center"/>
          </w:tcPr>
          <w:p w14:paraId="404C1540">
            <w:pPr>
              <w:rPr>
                <w:rFonts w:hint="eastAsia" w:ascii="仿宋" w:hAnsi="仿宋" w:eastAsia="仿宋" w:cs="仿宋"/>
                <w:color w:val="auto"/>
                <w:spacing w:val="-1"/>
                <w:kern w:val="0"/>
                <w:sz w:val="24"/>
              </w:rPr>
            </w:pPr>
          </w:p>
        </w:tc>
      </w:tr>
      <w:tr w14:paraId="5414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7" w:type="dxa"/>
            <w:noWrap w:val="0"/>
            <w:vAlign w:val="center"/>
          </w:tcPr>
          <w:p w14:paraId="74A2B78D">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10</w:t>
            </w:r>
          </w:p>
        </w:tc>
        <w:tc>
          <w:tcPr>
            <w:tcW w:w="2154" w:type="dxa"/>
            <w:noWrap w:val="0"/>
            <w:vAlign w:val="center"/>
          </w:tcPr>
          <w:p w14:paraId="2E63FBE3">
            <w:pPr>
              <w:rPr>
                <w:rFonts w:hint="eastAsia" w:ascii="仿宋" w:hAnsi="仿宋" w:eastAsia="仿宋" w:cs="仿宋"/>
                <w:color w:val="auto"/>
                <w:spacing w:val="-1"/>
                <w:kern w:val="0"/>
                <w:sz w:val="24"/>
              </w:rPr>
            </w:pPr>
          </w:p>
        </w:tc>
        <w:tc>
          <w:tcPr>
            <w:tcW w:w="2154" w:type="dxa"/>
            <w:noWrap w:val="0"/>
            <w:vAlign w:val="center"/>
          </w:tcPr>
          <w:p w14:paraId="091CBEBB">
            <w:pPr>
              <w:rPr>
                <w:rFonts w:hint="eastAsia" w:ascii="仿宋" w:hAnsi="仿宋" w:eastAsia="仿宋" w:cs="仿宋"/>
                <w:color w:val="auto"/>
                <w:spacing w:val="-1"/>
                <w:kern w:val="0"/>
                <w:sz w:val="24"/>
              </w:rPr>
            </w:pPr>
          </w:p>
        </w:tc>
        <w:tc>
          <w:tcPr>
            <w:tcW w:w="2477" w:type="dxa"/>
            <w:noWrap w:val="0"/>
            <w:vAlign w:val="center"/>
          </w:tcPr>
          <w:p w14:paraId="42872267">
            <w:pPr>
              <w:rPr>
                <w:rFonts w:hint="eastAsia" w:ascii="仿宋" w:hAnsi="仿宋" w:eastAsia="仿宋" w:cs="仿宋"/>
                <w:color w:val="auto"/>
                <w:spacing w:val="-1"/>
                <w:kern w:val="0"/>
                <w:sz w:val="24"/>
              </w:rPr>
            </w:pPr>
          </w:p>
        </w:tc>
        <w:tc>
          <w:tcPr>
            <w:tcW w:w="2454" w:type="dxa"/>
            <w:noWrap w:val="0"/>
            <w:vAlign w:val="center"/>
          </w:tcPr>
          <w:p w14:paraId="143A97C2">
            <w:pPr>
              <w:rPr>
                <w:rFonts w:hint="eastAsia" w:ascii="仿宋" w:hAnsi="仿宋" w:eastAsia="仿宋" w:cs="仿宋"/>
                <w:color w:val="auto"/>
                <w:spacing w:val="-1"/>
                <w:kern w:val="0"/>
                <w:sz w:val="24"/>
              </w:rPr>
            </w:pPr>
          </w:p>
        </w:tc>
        <w:tc>
          <w:tcPr>
            <w:tcW w:w="1130" w:type="dxa"/>
            <w:noWrap w:val="0"/>
            <w:vAlign w:val="center"/>
          </w:tcPr>
          <w:p w14:paraId="433652B7">
            <w:pPr>
              <w:rPr>
                <w:rFonts w:hint="eastAsia" w:ascii="仿宋" w:hAnsi="仿宋" w:eastAsia="仿宋" w:cs="仿宋"/>
                <w:color w:val="auto"/>
                <w:spacing w:val="-1"/>
                <w:kern w:val="0"/>
                <w:sz w:val="24"/>
              </w:rPr>
            </w:pPr>
          </w:p>
        </w:tc>
      </w:tr>
      <w:tr w14:paraId="1486F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7" w:type="dxa"/>
            <w:noWrap w:val="0"/>
            <w:vAlign w:val="center"/>
          </w:tcPr>
          <w:p w14:paraId="424D8829">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11</w:t>
            </w:r>
          </w:p>
        </w:tc>
        <w:tc>
          <w:tcPr>
            <w:tcW w:w="2154" w:type="dxa"/>
            <w:noWrap w:val="0"/>
            <w:vAlign w:val="center"/>
          </w:tcPr>
          <w:p w14:paraId="1D327009">
            <w:pPr>
              <w:rPr>
                <w:rFonts w:hint="eastAsia" w:ascii="仿宋" w:hAnsi="仿宋" w:eastAsia="仿宋" w:cs="仿宋"/>
                <w:color w:val="auto"/>
                <w:spacing w:val="-1"/>
                <w:kern w:val="0"/>
                <w:sz w:val="24"/>
              </w:rPr>
            </w:pPr>
          </w:p>
        </w:tc>
        <w:tc>
          <w:tcPr>
            <w:tcW w:w="2154" w:type="dxa"/>
            <w:noWrap w:val="0"/>
            <w:vAlign w:val="center"/>
          </w:tcPr>
          <w:p w14:paraId="02B75655">
            <w:pPr>
              <w:rPr>
                <w:rFonts w:hint="eastAsia" w:ascii="仿宋" w:hAnsi="仿宋" w:eastAsia="仿宋" w:cs="仿宋"/>
                <w:color w:val="auto"/>
                <w:spacing w:val="-1"/>
                <w:kern w:val="0"/>
                <w:sz w:val="24"/>
              </w:rPr>
            </w:pPr>
          </w:p>
        </w:tc>
        <w:tc>
          <w:tcPr>
            <w:tcW w:w="2477" w:type="dxa"/>
            <w:noWrap w:val="0"/>
            <w:vAlign w:val="center"/>
          </w:tcPr>
          <w:p w14:paraId="7DE4AC44">
            <w:pPr>
              <w:rPr>
                <w:rFonts w:hint="eastAsia" w:ascii="仿宋" w:hAnsi="仿宋" w:eastAsia="仿宋" w:cs="仿宋"/>
                <w:color w:val="auto"/>
                <w:spacing w:val="-1"/>
                <w:kern w:val="0"/>
                <w:sz w:val="24"/>
              </w:rPr>
            </w:pPr>
          </w:p>
        </w:tc>
        <w:tc>
          <w:tcPr>
            <w:tcW w:w="2454" w:type="dxa"/>
            <w:noWrap w:val="0"/>
            <w:vAlign w:val="center"/>
          </w:tcPr>
          <w:p w14:paraId="68B899B6">
            <w:pPr>
              <w:rPr>
                <w:rFonts w:hint="eastAsia" w:ascii="仿宋" w:hAnsi="仿宋" w:eastAsia="仿宋" w:cs="仿宋"/>
                <w:color w:val="auto"/>
                <w:spacing w:val="-1"/>
                <w:kern w:val="0"/>
                <w:sz w:val="24"/>
              </w:rPr>
            </w:pPr>
          </w:p>
        </w:tc>
        <w:tc>
          <w:tcPr>
            <w:tcW w:w="1130" w:type="dxa"/>
            <w:noWrap w:val="0"/>
            <w:vAlign w:val="center"/>
          </w:tcPr>
          <w:p w14:paraId="7B8BF4AD">
            <w:pPr>
              <w:rPr>
                <w:rFonts w:hint="eastAsia" w:ascii="仿宋" w:hAnsi="仿宋" w:eastAsia="仿宋" w:cs="仿宋"/>
                <w:color w:val="auto"/>
                <w:spacing w:val="-1"/>
                <w:kern w:val="0"/>
                <w:sz w:val="24"/>
              </w:rPr>
            </w:pPr>
          </w:p>
        </w:tc>
      </w:tr>
      <w:tr w14:paraId="3ACE2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7" w:type="dxa"/>
            <w:noWrap w:val="0"/>
            <w:vAlign w:val="center"/>
          </w:tcPr>
          <w:p w14:paraId="126A5C99">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12</w:t>
            </w:r>
          </w:p>
        </w:tc>
        <w:tc>
          <w:tcPr>
            <w:tcW w:w="2154" w:type="dxa"/>
            <w:noWrap w:val="0"/>
            <w:vAlign w:val="center"/>
          </w:tcPr>
          <w:p w14:paraId="00350BDA">
            <w:pPr>
              <w:rPr>
                <w:rFonts w:hint="eastAsia" w:ascii="仿宋" w:hAnsi="仿宋" w:eastAsia="仿宋" w:cs="仿宋"/>
                <w:color w:val="auto"/>
                <w:spacing w:val="-1"/>
                <w:kern w:val="0"/>
                <w:sz w:val="24"/>
              </w:rPr>
            </w:pPr>
          </w:p>
        </w:tc>
        <w:tc>
          <w:tcPr>
            <w:tcW w:w="2154" w:type="dxa"/>
            <w:noWrap w:val="0"/>
            <w:vAlign w:val="center"/>
          </w:tcPr>
          <w:p w14:paraId="3EB008C4">
            <w:pPr>
              <w:rPr>
                <w:rFonts w:hint="eastAsia" w:ascii="仿宋" w:hAnsi="仿宋" w:eastAsia="仿宋" w:cs="仿宋"/>
                <w:color w:val="auto"/>
                <w:spacing w:val="-1"/>
                <w:kern w:val="0"/>
                <w:sz w:val="24"/>
              </w:rPr>
            </w:pPr>
          </w:p>
        </w:tc>
        <w:tc>
          <w:tcPr>
            <w:tcW w:w="2477" w:type="dxa"/>
            <w:noWrap w:val="0"/>
            <w:vAlign w:val="center"/>
          </w:tcPr>
          <w:p w14:paraId="29F48515">
            <w:pPr>
              <w:rPr>
                <w:rFonts w:hint="eastAsia" w:ascii="仿宋" w:hAnsi="仿宋" w:eastAsia="仿宋" w:cs="仿宋"/>
                <w:color w:val="auto"/>
                <w:spacing w:val="-1"/>
                <w:kern w:val="0"/>
                <w:sz w:val="24"/>
              </w:rPr>
            </w:pPr>
          </w:p>
        </w:tc>
        <w:tc>
          <w:tcPr>
            <w:tcW w:w="2454" w:type="dxa"/>
            <w:noWrap w:val="0"/>
            <w:vAlign w:val="center"/>
          </w:tcPr>
          <w:p w14:paraId="4AE54D02">
            <w:pPr>
              <w:rPr>
                <w:rFonts w:hint="eastAsia" w:ascii="仿宋" w:hAnsi="仿宋" w:eastAsia="仿宋" w:cs="仿宋"/>
                <w:color w:val="auto"/>
                <w:spacing w:val="-1"/>
                <w:kern w:val="0"/>
                <w:sz w:val="24"/>
              </w:rPr>
            </w:pPr>
          </w:p>
        </w:tc>
        <w:tc>
          <w:tcPr>
            <w:tcW w:w="1130" w:type="dxa"/>
            <w:noWrap w:val="0"/>
            <w:vAlign w:val="center"/>
          </w:tcPr>
          <w:p w14:paraId="4B68E7D8">
            <w:pPr>
              <w:rPr>
                <w:rFonts w:hint="eastAsia" w:ascii="仿宋" w:hAnsi="仿宋" w:eastAsia="仿宋" w:cs="仿宋"/>
                <w:color w:val="auto"/>
                <w:spacing w:val="-1"/>
                <w:kern w:val="0"/>
                <w:sz w:val="24"/>
              </w:rPr>
            </w:pPr>
          </w:p>
        </w:tc>
      </w:tr>
      <w:tr w14:paraId="1CAC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7" w:type="dxa"/>
            <w:noWrap w:val="0"/>
            <w:vAlign w:val="center"/>
          </w:tcPr>
          <w:p w14:paraId="1CF98189">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13</w:t>
            </w:r>
          </w:p>
        </w:tc>
        <w:tc>
          <w:tcPr>
            <w:tcW w:w="2154" w:type="dxa"/>
            <w:noWrap w:val="0"/>
            <w:vAlign w:val="center"/>
          </w:tcPr>
          <w:p w14:paraId="5CD12357">
            <w:pPr>
              <w:rPr>
                <w:rFonts w:hint="eastAsia" w:ascii="仿宋" w:hAnsi="仿宋" w:eastAsia="仿宋" w:cs="仿宋"/>
                <w:color w:val="auto"/>
                <w:spacing w:val="-1"/>
                <w:kern w:val="0"/>
                <w:sz w:val="24"/>
              </w:rPr>
            </w:pPr>
          </w:p>
        </w:tc>
        <w:tc>
          <w:tcPr>
            <w:tcW w:w="2154" w:type="dxa"/>
            <w:noWrap w:val="0"/>
            <w:vAlign w:val="center"/>
          </w:tcPr>
          <w:p w14:paraId="4EBE0119">
            <w:pPr>
              <w:rPr>
                <w:rFonts w:hint="eastAsia" w:ascii="仿宋" w:hAnsi="仿宋" w:eastAsia="仿宋" w:cs="仿宋"/>
                <w:color w:val="auto"/>
                <w:spacing w:val="-1"/>
                <w:kern w:val="0"/>
                <w:sz w:val="24"/>
              </w:rPr>
            </w:pPr>
          </w:p>
        </w:tc>
        <w:tc>
          <w:tcPr>
            <w:tcW w:w="2477" w:type="dxa"/>
            <w:noWrap w:val="0"/>
            <w:vAlign w:val="center"/>
          </w:tcPr>
          <w:p w14:paraId="5EB47FD1">
            <w:pPr>
              <w:rPr>
                <w:rFonts w:hint="eastAsia" w:ascii="仿宋" w:hAnsi="仿宋" w:eastAsia="仿宋" w:cs="仿宋"/>
                <w:color w:val="auto"/>
                <w:spacing w:val="-1"/>
                <w:kern w:val="0"/>
                <w:sz w:val="24"/>
              </w:rPr>
            </w:pPr>
          </w:p>
        </w:tc>
        <w:tc>
          <w:tcPr>
            <w:tcW w:w="2454" w:type="dxa"/>
            <w:noWrap w:val="0"/>
            <w:vAlign w:val="center"/>
          </w:tcPr>
          <w:p w14:paraId="4FE98863">
            <w:pPr>
              <w:rPr>
                <w:rFonts w:hint="eastAsia" w:ascii="仿宋" w:hAnsi="仿宋" w:eastAsia="仿宋" w:cs="仿宋"/>
                <w:color w:val="auto"/>
                <w:spacing w:val="-1"/>
                <w:kern w:val="0"/>
                <w:sz w:val="24"/>
              </w:rPr>
            </w:pPr>
          </w:p>
        </w:tc>
        <w:tc>
          <w:tcPr>
            <w:tcW w:w="1130" w:type="dxa"/>
            <w:noWrap w:val="0"/>
            <w:vAlign w:val="center"/>
          </w:tcPr>
          <w:p w14:paraId="79958746">
            <w:pPr>
              <w:rPr>
                <w:rFonts w:hint="eastAsia" w:ascii="仿宋" w:hAnsi="仿宋" w:eastAsia="仿宋" w:cs="仿宋"/>
                <w:color w:val="auto"/>
                <w:spacing w:val="-1"/>
                <w:kern w:val="0"/>
                <w:sz w:val="24"/>
              </w:rPr>
            </w:pPr>
          </w:p>
        </w:tc>
      </w:tr>
      <w:tr w14:paraId="7906C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7" w:type="dxa"/>
            <w:noWrap w:val="0"/>
            <w:vAlign w:val="center"/>
          </w:tcPr>
          <w:p w14:paraId="335694B5">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14</w:t>
            </w:r>
          </w:p>
        </w:tc>
        <w:tc>
          <w:tcPr>
            <w:tcW w:w="2154" w:type="dxa"/>
            <w:noWrap w:val="0"/>
            <w:vAlign w:val="center"/>
          </w:tcPr>
          <w:p w14:paraId="7FEDA917">
            <w:pPr>
              <w:rPr>
                <w:rFonts w:hint="eastAsia" w:ascii="仿宋" w:hAnsi="仿宋" w:eastAsia="仿宋" w:cs="仿宋"/>
                <w:color w:val="auto"/>
                <w:spacing w:val="-1"/>
                <w:kern w:val="0"/>
                <w:sz w:val="24"/>
              </w:rPr>
            </w:pPr>
          </w:p>
        </w:tc>
        <w:tc>
          <w:tcPr>
            <w:tcW w:w="2154" w:type="dxa"/>
            <w:noWrap w:val="0"/>
            <w:vAlign w:val="center"/>
          </w:tcPr>
          <w:p w14:paraId="5B4C1435">
            <w:pPr>
              <w:rPr>
                <w:rFonts w:hint="eastAsia" w:ascii="仿宋" w:hAnsi="仿宋" w:eastAsia="仿宋" w:cs="仿宋"/>
                <w:color w:val="auto"/>
                <w:spacing w:val="-1"/>
                <w:kern w:val="0"/>
                <w:sz w:val="24"/>
              </w:rPr>
            </w:pPr>
          </w:p>
        </w:tc>
        <w:tc>
          <w:tcPr>
            <w:tcW w:w="2477" w:type="dxa"/>
            <w:noWrap w:val="0"/>
            <w:vAlign w:val="center"/>
          </w:tcPr>
          <w:p w14:paraId="4B078483">
            <w:pPr>
              <w:rPr>
                <w:rFonts w:hint="eastAsia" w:ascii="仿宋" w:hAnsi="仿宋" w:eastAsia="仿宋" w:cs="仿宋"/>
                <w:color w:val="auto"/>
                <w:spacing w:val="-1"/>
                <w:kern w:val="0"/>
                <w:sz w:val="24"/>
              </w:rPr>
            </w:pPr>
          </w:p>
        </w:tc>
        <w:tc>
          <w:tcPr>
            <w:tcW w:w="2454" w:type="dxa"/>
            <w:noWrap w:val="0"/>
            <w:vAlign w:val="center"/>
          </w:tcPr>
          <w:p w14:paraId="6F4EB18F">
            <w:pPr>
              <w:rPr>
                <w:rFonts w:hint="eastAsia" w:ascii="仿宋" w:hAnsi="仿宋" w:eastAsia="仿宋" w:cs="仿宋"/>
                <w:color w:val="auto"/>
                <w:spacing w:val="-1"/>
                <w:kern w:val="0"/>
                <w:sz w:val="24"/>
              </w:rPr>
            </w:pPr>
          </w:p>
        </w:tc>
        <w:tc>
          <w:tcPr>
            <w:tcW w:w="1130" w:type="dxa"/>
            <w:noWrap w:val="0"/>
            <w:vAlign w:val="center"/>
          </w:tcPr>
          <w:p w14:paraId="14C0BF85">
            <w:pPr>
              <w:rPr>
                <w:rFonts w:hint="eastAsia" w:ascii="仿宋" w:hAnsi="仿宋" w:eastAsia="仿宋" w:cs="仿宋"/>
                <w:color w:val="auto"/>
                <w:spacing w:val="-1"/>
                <w:kern w:val="0"/>
                <w:sz w:val="24"/>
              </w:rPr>
            </w:pPr>
          </w:p>
        </w:tc>
      </w:tr>
      <w:tr w14:paraId="0515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7" w:type="dxa"/>
            <w:noWrap w:val="0"/>
            <w:vAlign w:val="center"/>
          </w:tcPr>
          <w:p w14:paraId="62D6B417">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15</w:t>
            </w:r>
          </w:p>
        </w:tc>
        <w:tc>
          <w:tcPr>
            <w:tcW w:w="2154" w:type="dxa"/>
            <w:noWrap w:val="0"/>
            <w:vAlign w:val="center"/>
          </w:tcPr>
          <w:p w14:paraId="11E1BA95">
            <w:pPr>
              <w:rPr>
                <w:rFonts w:hint="eastAsia" w:ascii="仿宋" w:hAnsi="仿宋" w:eastAsia="仿宋" w:cs="仿宋"/>
                <w:color w:val="auto"/>
                <w:spacing w:val="-1"/>
                <w:kern w:val="0"/>
                <w:sz w:val="24"/>
              </w:rPr>
            </w:pPr>
          </w:p>
        </w:tc>
        <w:tc>
          <w:tcPr>
            <w:tcW w:w="2154" w:type="dxa"/>
            <w:noWrap w:val="0"/>
            <w:vAlign w:val="center"/>
          </w:tcPr>
          <w:p w14:paraId="1DC88744">
            <w:pPr>
              <w:rPr>
                <w:rFonts w:hint="eastAsia" w:ascii="仿宋" w:hAnsi="仿宋" w:eastAsia="仿宋" w:cs="仿宋"/>
                <w:color w:val="auto"/>
                <w:spacing w:val="-1"/>
                <w:kern w:val="0"/>
                <w:sz w:val="24"/>
              </w:rPr>
            </w:pPr>
          </w:p>
        </w:tc>
        <w:tc>
          <w:tcPr>
            <w:tcW w:w="2477" w:type="dxa"/>
            <w:noWrap w:val="0"/>
            <w:vAlign w:val="center"/>
          </w:tcPr>
          <w:p w14:paraId="5638A727">
            <w:pPr>
              <w:rPr>
                <w:rFonts w:hint="eastAsia" w:ascii="仿宋" w:hAnsi="仿宋" w:eastAsia="仿宋" w:cs="仿宋"/>
                <w:color w:val="auto"/>
                <w:spacing w:val="-1"/>
                <w:kern w:val="0"/>
                <w:sz w:val="24"/>
              </w:rPr>
            </w:pPr>
          </w:p>
        </w:tc>
        <w:tc>
          <w:tcPr>
            <w:tcW w:w="2454" w:type="dxa"/>
            <w:noWrap w:val="0"/>
            <w:vAlign w:val="center"/>
          </w:tcPr>
          <w:p w14:paraId="2F83947E">
            <w:pPr>
              <w:rPr>
                <w:rFonts w:hint="eastAsia" w:ascii="仿宋" w:hAnsi="仿宋" w:eastAsia="仿宋" w:cs="仿宋"/>
                <w:color w:val="auto"/>
                <w:spacing w:val="-1"/>
                <w:kern w:val="0"/>
                <w:sz w:val="24"/>
              </w:rPr>
            </w:pPr>
          </w:p>
        </w:tc>
        <w:tc>
          <w:tcPr>
            <w:tcW w:w="1130" w:type="dxa"/>
            <w:noWrap w:val="0"/>
            <w:vAlign w:val="center"/>
          </w:tcPr>
          <w:p w14:paraId="39383D6E">
            <w:pPr>
              <w:rPr>
                <w:rFonts w:hint="eastAsia" w:ascii="仿宋" w:hAnsi="仿宋" w:eastAsia="仿宋" w:cs="仿宋"/>
                <w:color w:val="auto"/>
                <w:spacing w:val="-1"/>
                <w:kern w:val="0"/>
                <w:sz w:val="24"/>
              </w:rPr>
            </w:pPr>
          </w:p>
        </w:tc>
      </w:tr>
    </w:tbl>
    <w:p w14:paraId="54D8BD42">
      <w:pPr>
        <w:rPr>
          <w:rFonts w:hint="eastAsia" w:ascii="仿宋" w:hAnsi="仿宋" w:eastAsia="仿宋" w:cs="仿宋"/>
          <w:color w:val="auto"/>
          <w:spacing w:val="-1"/>
          <w:kern w:val="0"/>
          <w:sz w:val="24"/>
        </w:rPr>
      </w:pPr>
    </w:p>
    <w:p w14:paraId="77BCF2F9">
      <w:pPr>
        <w:ind w:firstLine="482" w:firstLineChars="200"/>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注：</w:t>
      </w:r>
      <w:r>
        <w:rPr>
          <w:rFonts w:hint="eastAsia" w:ascii="仿宋" w:hAnsi="仿宋" w:eastAsia="仿宋" w:cs="仿宋"/>
          <w:color w:val="auto"/>
          <w:spacing w:val="-1"/>
          <w:kern w:val="0"/>
          <w:sz w:val="24"/>
          <w:lang w:val="en-US" w:eastAsia="zh-CN"/>
        </w:rPr>
        <w:t>1、</w:t>
      </w:r>
      <w:r>
        <w:rPr>
          <w:rFonts w:hint="eastAsia" w:ascii="仿宋" w:hAnsi="仿宋" w:eastAsia="仿宋" w:cs="仿宋"/>
          <w:color w:val="auto"/>
          <w:spacing w:val="-1"/>
          <w:kern w:val="0"/>
          <w:sz w:val="24"/>
        </w:rPr>
        <w:t>投标技术规格与投标要求相同的为无偏离，投标技术规格高于投标要求的为正偏离，低于投标要求的为负偏离</w:t>
      </w:r>
      <w:r>
        <w:rPr>
          <w:rFonts w:hint="eastAsia" w:ascii="仿宋" w:hAnsi="仿宋" w:eastAsia="仿宋" w:cs="仿宋"/>
          <w:color w:val="auto"/>
          <w:spacing w:val="-1"/>
          <w:kern w:val="0"/>
          <w:sz w:val="24"/>
          <w:lang w:eastAsia="zh-CN"/>
        </w:rPr>
        <w:t>，</w:t>
      </w:r>
      <w:r>
        <w:rPr>
          <w:rFonts w:hint="eastAsia" w:ascii="仿宋" w:hAnsi="仿宋" w:eastAsia="仿宋" w:cs="仿宋"/>
          <w:color w:val="auto"/>
          <w:spacing w:val="-1"/>
          <w:kern w:val="0"/>
          <w:sz w:val="24"/>
          <w:lang w:val="en-US" w:eastAsia="zh-CN"/>
        </w:rPr>
        <w:t>本项目不允许负偏离</w:t>
      </w:r>
      <w:r>
        <w:rPr>
          <w:rFonts w:hint="eastAsia" w:ascii="仿宋" w:hAnsi="仿宋" w:eastAsia="仿宋" w:cs="仿宋"/>
          <w:color w:val="auto"/>
          <w:spacing w:val="-1"/>
          <w:kern w:val="0"/>
          <w:sz w:val="24"/>
        </w:rPr>
        <w:t>。</w:t>
      </w:r>
    </w:p>
    <w:p w14:paraId="19163808">
      <w:pPr>
        <w:rPr>
          <w:rFonts w:hint="eastAsia" w:ascii="仿宋" w:hAnsi="仿宋" w:eastAsia="仿宋" w:cs="仿宋"/>
          <w:color w:val="auto"/>
          <w:spacing w:val="-1"/>
          <w:kern w:val="0"/>
          <w:sz w:val="24"/>
        </w:rPr>
      </w:pPr>
    </w:p>
    <w:p w14:paraId="06C67FC5">
      <w:pPr>
        <w:pStyle w:val="35"/>
        <w:rPr>
          <w:rFonts w:hint="eastAsia" w:ascii="仿宋" w:hAnsi="仿宋" w:eastAsia="仿宋" w:cs="仿宋"/>
        </w:rPr>
      </w:pPr>
    </w:p>
    <w:p w14:paraId="6BDCF4FC">
      <w:pPr>
        <w:pStyle w:val="35"/>
        <w:rPr>
          <w:rFonts w:hint="eastAsia" w:ascii="仿宋" w:hAnsi="仿宋" w:eastAsia="仿宋" w:cs="仿宋"/>
        </w:rPr>
      </w:pPr>
    </w:p>
    <w:p w14:paraId="4AFEBF90">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w w:val="95"/>
          <w:sz w:val="24"/>
          <w:szCs w:val="24"/>
        </w:rPr>
      </w:pPr>
      <w:r>
        <w:rPr>
          <w:rFonts w:hint="eastAsia" w:ascii="仿宋" w:hAnsi="仿宋" w:eastAsia="仿宋" w:cs="仿宋"/>
          <w:color w:val="auto"/>
          <w:sz w:val="24"/>
          <w:szCs w:val="24"/>
        </w:rPr>
        <w:t>投标人：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w w:val="95"/>
          <w:sz w:val="24"/>
          <w:szCs w:val="24"/>
        </w:rPr>
        <w:t>（盖章）</w:t>
      </w:r>
    </w:p>
    <w:p w14:paraId="79DA63CA">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w w:val="95"/>
          <w:sz w:val="24"/>
          <w:szCs w:val="24"/>
        </w:rPr>
      </w:pPr>
      <w:r>
        <w:rPr>
          <w:rFonts w:hint="eastAsia" w:ascii="仿宋" w:hAnsi="仿宋" w:eastAsia="仿宋" w:cs="仿宋"/>
          <w:color w:val="auto"/>
          <w:sz w:val="24"/>
          <w:szCs w:val="24"/>
        </w:rPr>
        <w:t>法定代表人或被授权人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w w:val="95"/>
          <w:sz w:val="24"/>
          <w:szCs w:val="24"/>
        </w:rPr>
        <w:t>（</w:t>
      </w:r>
      <w:r>
        <w:rPr>
          <w:rFonts w:hint="eastAsia" w:ascii="仿宋" w:hAnsi="仿宋" w:eastAsia="仿宋" w:cs="仿宋"/>
          <w:color w:val="auto"/>
          <w:w w:val="95"/>
          <w:sz w:val="24"/>
          <w:szCs w:val="24"/>
          <w:lang w:eastAsia="zh-CN"/>
        </w:rPr>
        <w:t>签字或盖章</w:t>
      </w:r>
      <w:r>
        <w:rPr>
          <w:rFonts w:hint="eastAsia" w:ascii="仿宋" w:hAnsi="仿宋" w:eastAsia="仿宋" w:cs="仿宋"/>
          <w:color w:val="auto"/>
          <w:w w:val="95"/>
          <w:sz w:val="24"/>
          <w:szCs w:val="24"/>
        </w:rPr>
        <w:t>）</w:t>
      </w:r>
    </w:p>
    <w:p w14:paraId="550F7557">
      <w:pPr>
        <w:pStyle w:val="70"/>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z w:val="24"/>
          <w:szCs w:val="24"/>
        </w:rPr>
      </w:pPr>
    </w:p>
    <w:p w14:paraId="656F7046">
      <w:pPr>
        <w:pStyle w:val="70"/>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5FE442CC">
      <w:pPr>
        <w:rPr>
          <w:rFonts w:hint="default" w:ascii="仿宋" w:hAnsi="仿宋" w:eastAsia="仿宋" w:cs="仿宋"/>
          <w:b/>
          <w:bCs/>
          <w:color w:val="auto"/>
          <w:kern w:val="2"/>
          <w:sz w:val="24"/>
          <w:szCs w:val="24"/>
          <w:highlight w:val="none"/>
          <w:lang w:val="en-US" w:eastAsia="zh-CN" w:bidi="ar-SA"/>
        </w:rPr>
      </w:pPr>
    </w:p>
    <w:p w14:paraId="5CA34036">
      <w:pP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br w:type="page"/>
      </w:r>
    </w:p>
    <w:p w14:paraId="24CAD0AD">
      <w:pPr>
        <w:pStyle w:val="11"/>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2"/>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5、符合《政府采购促进中小企业发展暂行办法》、《关于政府采购支持监狱企业发展有关问题的通知》和《三部门联合发布关于促进残疾人就业政府采购政策的通知》条件的投标人提交）</w:t>
      </w:r>
      <w:bookmarkEnd w:id="404"/>
    </w:p>
    <w:p w14:paraId="3DDE2F09">
      <w:pPr>
        <w:numPr>
          <w:ilvl w:val="0"/>
          <w:numId w:val="0"/>
        </w:numPr>
        <w:shd w:val="clear" w:color="auto" w:fill="auto"/>
        <w:spacing w:before="0" w:line="240" w:lineRule="atLeast"/>
        <w:jc w:val="both"/>
        <w:outlineLvl w:val="9"/>
        <w:rPr>
          <w:rFonts w:hint="eastAsia" w:ascii="仿宋" w:hAnsi="仿宋" w:eastAsia="仿宋" w:cs="仿宋"/>
          <w:b/>
          <w:bCs/>
          <w:color w:val="auto"/>
          <w:kern w:val="2"/>
          <w:sz w:val="22"/>
          <w:szCs w:val="22"/>
          <w:lang w:val="en-US" w:eastAsia="zh-CN" w:bidi="ar-SA"/>
        </w:rPr>
      </w:pPr>
    </w:p>
    <w:p w14:paraId="61C4AF8D">
      <w:pPr>
        <w:shd w:val="clear" w:color="auto" w:fill="auto"/>
        <w:bidi w:val="0"/>
        <w:spacing w:line="360" w:lineRule="auto"/>
        <w:jc w:val="center"/>
        <w:outlineLvl w:val="3"/>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val="en-US" w:eastAsia="zh-CN"/>
        </w:rPr>
        <w:t>中小企业声明函（服务）</w:t>
      </w:r>
    </w:p>
    <w:p w14:paraId="7D0A87FD">
      <w:pPr>
        <w:shd w:val="clear" w:color="auto" w:fill="auto"/>
        <w:spacing w:line="360" w:lineRule="auto"/>
        <w:ind w:left="1087" w:leftChars="257" w:hanging="540"/>
        <w:jc w:val="center"/>
        <w:rPr>
          <w:rFonts w:hint="eastAsia" w:ascii="仿宋" w:hAnsi="仿宋" w:eastAsia="仿宋" w:cs="仿宋"/>
          <w:b/>
          <w:color w:val="auto"/>
          <w:kern w:val="0"/>
          <w:sz w:val="24"/>
          <w:szCs w:val="24"/>
          <w:highlight w:val="none"/>
        </w:rPr>
      </w:pPr>
    </w:p>
    <w:p w14:paraId="5F9EF48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中小企业声明函(服务)</w:t>
      </w:r>
    </w:p>
    <w:p w14:paraId="503DFC0E">
      <w:pPr>
        <w:spacing w:line="360" w:lineRule="auto"/>
        <w:ind w:left="1280"/>
        <w:rPr>
          <w:rFonts w:hint="eastAsia" w:ascii="仿宋" w:hAnsi="仿宋" w:eastAsia="仿宋" w:cs="仿宋"/>
          <w:sz w:val="24"/>
          <w:szCs w:val="24"/>
        </w:rPr>
      </w:pPr>
    </w:p>
    <w:p w14:paraId="162EFCED">
      <w:pPr>
        <w:snapToGrid w:val="0"/>
        <w:spacing w:line="360" w:lineRule="auto"/>
        <w:ind w:firstLine="486" w:firstLineChars="200"/>
        <w:rPr>
          <w:rFonts w:ascii="仿宋" w:hAnsi="仿宋" w:eastAsia="仿宋"/>
          <w:sz w:val="24"/>
          <w:szCs w:val="24"/>
        </w:rPr>
      </w:pPr>
      <w:r>
        <w:rPr>
          <w:rFonts w:hint="eastAsia" w:ascii="仿宋" w:hAnsi="仿宋" w:eastAsia="仿宋"/>
          <w:sz w:val="24"/>
          <w:szCs w:val="24"/>
        </w:rPr>
        <w:t>本公司（联合体）郑重声明，根据《政府采购促进中小企业发展管理办法》（财库[2020]46号）的规定，本公司（联合体）参加</w:t>
      </w:r>
      <w:r>
        <w:rPr>
          <w:rFonts w:hint="eastAsia" w:ascii="仿宋" w:hAnsi="仿宋" w:eastAsia="仿宋"/>
          <w:i/>
          <w:sz w:val="24"/>
          <w:szCs w:val="24"/>
          <w:u w:val="single"/>
        </w:rPr>
        <w:t>（单位名称）</w:t>
      </w:r>
      <w:r>
        <w:rPr>
          <w:rFonts w:hint="eastAsia" w:ascii="仿宋" w:hAnsi="仿宋" w:eastAsia="仿宋"/>
          <w:sz w:val="24"/>
          <w:szCs w:val="24"/>
        </w:rPr>
        <w:t>的</w:t>
      </w:r>
      <w:r>
        <w:rPr>
          <w:rFonts w:hint="eastAsia" w:ascii="仿宋" w:hAnsi="仿宋" w:eastAsia="仿宋"/>
          <w:i/>
          <w:sz w:val="24"/>
          <w:szCs w:val="24"/>
          <w:u w:val="single"/>
        </w:rPr>
        <w:t>（项目名称）</w:t>
      </w:r>
      <w:r>
        <w:rPr>
          <w:rFonts w:hint="eastAsia" w:ascii="仿宋" w:hAnsi="仿宋" w:eastAsia="仿宋"/>
          <w:sz w:val="24"/>
          <w:szCs w:val="24"/>
        </w:rPr>
        <w:t>采购活动，服务全部由符合政策要求的中小企业承接。相关企业（含联合体中的中小企业、签订分包意向协议的中小企业）的具体情况如下：</w:t>
      </w:r>
    </w:p>
    <w:p w14:paraId="0C6ACF08">
      <w:pPr>
        <w:snapToGrid w:val="0"/>
        <w:spacing w:line="360" w:lineRule="auto"/>
        <w:ind w:firstLine="486" w:firstLineChars="200"/>
        <w:rPr>
          <w:rFonts w:ascii="仿宋" w:hAnsi="仿宋" w:eastAsia="仿宋"/>
          <w:sz w:val="24"/>
          <w:szCs w:val="24"/>
        </w:rPr>
      </w:pPr>
      <w:r>
        <w:rPr>
          <w:rFonts w:hint="eastAsia" w:ascii="仿宋" w:hAnsi="仿宋" w:eastAsia="仿宋"/>
          <w:sz w:val="24"/>
          <w:szCs w:val="24"/>
        </w:rPr>
        <w:t>1.</w:t>
      </w:r>
      <w:r>
        <w:rPr>
          <w:rFonts w:hint="eastAsia" w:ascii="仿宋" w:hAnsi="仿宋" w:eastAsia="仿宋"/>
          <w:i/>
          <w:sz w:val="24"/>
          <w:szCs w:val="24"/>
          <w:u w:val="single"/>
        </w:rPr>
        <w:t>（标的名称）</w:t>
      </w:r>
      <w:r>
        <w:rPr>
          <w:rFonts w:hint="eastAsia" w:ascii="仿宋" w:hAnsi="仿宋" w:eastAsia="仿宋"/>
          <w:sz w:val="24"/>
          <w:szCs w:val="24"/>
        </w:rPr>
        <w:t>，属于</w:t>
      </w:r>
      <w:r>
        <w:rPr>
          <w:rFonts w:hint="eastAsia" w:ascii="仿宋" w:hAnsi="仿宋" w:eastAsia="仿宋"/>
          <w:i/>
          <w:sz w:val="24"/>
          <w:szCs w:val="24"/>
          <w:u w:val="single"/>
        </w:rPr>
        <w:t>（采购文件中明确的所属行业）</w:t>
      </w:r>
      <w:r>
        <w:rPr>
          <w:rFonts w:hint="eastAsia" w:ascii="仿宋" w:hAnsi="仿宋" w:eastAsia="仿宋"/>
          <w:sz w:val="24"/>
          <w:szCs w:val="24"/>
        </w:rPr>
        <w:t>；承接企业为</w:t>
      </w:r>
      <w:r>
        <w:rPr>
          <w:rFonts w:hint="eastAsia" w:ascii="仿宋" w:hAnsi="仿宋" w:eastAsia="仿宋"/>
          <w:i/>
          <w:sz w:val="24"/>
          <w:szCs w:val="24"/>
          <w:u w:val="single"/>
        </w:rPr>
        <w:t>（企业名称）</w:t>
      </w:r>
      <w:r>
        <w:rPr>
          <w:rFonts w:hint="eastAsia" w:ascii="仿宋" w:hAnsi="仿宋" w:eastAsia="仿宋"/>
          <w:sz w:val="24"/>
          <w:szCs w:val="24"/>
        </w:rPr>
        <w:t>，从业人员</w:t>
      </w:r>
      <w:r>
        <w:rPr>
          <w:rFonts w:hint="eastAsia" w:ascii="仿宋" w:hAnsi="仿宋" w:eastAsia="仿宋"/>
          <w:sz w:val="24"/>
          <w:szCs w:val="24"/>
          <w:u w:val="single"/>
        </w:rPr>
        <w:t xml:space="preserve">  </w:t>
      </w:r>
      <w:r>
        <w:rPr>
          <w:rFonts w:hint="eastAsia" w:ascii="仿宋" w:hAnsi="仿宋" w:eastAsia="仿宋"/>
          <w:sz w:val="24"/>
          <w:szCs w:val="24"/>
        </w:rPr>
        <w:t>人，营业收入为</w:t>
      </w:r>
      <w:r>
        <w:rPr>
          <w:rFonts w:hint="eastAsia" w:ascii="仿宋" w:hAnsi="仿宋" w:eastAsia="仿宋"/>
          <w:sz w:val="24"/>
          <w:szCs w:val="24"/>
          <w:u w:val="single"/>
        </w:rPr>
        <w:t xml:space="preserve">  </w:t>
      </w:r>
      <w:r>
        <w:rPr>
          <w:rFonts w:hint="eastAsia" w:ascii="仿宋" w:hAnsi="仿宋" w:eastAsia="仿宋"/>
          <w:sz w:val="24"/>
          <w:szCs w:val="24"/>
        </w:rPr>
        <w:t>万元，资产总额为</w:t>
      </w:r>
      <w:r>
        <w:rPr>
          <w:rFonts w:hint="eastAsia" w:ascii="仿宋" w:hAnsi="仿宋" w:eastAsia="仿宋"/>
          <w:sz w:val="24"/>
          <w:szCs w:val="24"/>
          <w:u w:val="single"/>
        </w:rPr>
        <w:t xml:space="preserve">  </w:t>
      </w:r>
      <w:r>
        <w:rPr>
          <w:rFonts w:hint="eastAsia" w:ascii="仿宋" w:hAnsi="仿宋" w:eastAsia="仿宋"/>
          <w:sz w:val="24"/>
          <w:szCs w:val="24"/>
        </w:rPr>
        <w:t>万元</w:t>
      </w:r>
      <w:r>
        <w:rPr>
          <w:rStyle w:val="32"/>
          <w:rFonts w:ascii="仿宋" w:hAnsi="仿宋" w:eastAsia="仿宋"/>
          <w:sz w:val="24"/>
          <w:szCs w:val="24"/>
        </w:rPr>
        <w:footnoteReference w:id="0"/>
      </w:r>
      <w:r>
        <w:rPr>
          <w:rFonts w:hint="eastAsia" w:ascii="仿宋" w:hAnsi="仿宋" w:eastAsia="仿宋"/>
          <w:sz w:val="24"/>
          <w:szCs w:val="24"/>
        </w:rPr>
        <w:t>，属于</w:t>
      </w:r>
      <w:r>
        <w:rPr>
          <w:rFonts w:hint="eastAsia" w:ascii="仿宋" w:hAnsi="仿宋" w:eastAsia="仿宋"/>
          <w:i/>
          <w:sz w:val="24"/>
          <w:szCs w:val="24"/>
          <w:u w:val="single"/>
        </w:rPr>
        <w:t>（中型企业、小型企业、微型企业）</w:t>
      </w:r>
      <w:r>
        <w:rPr>
          <w:rFonts w:hint="eastAsia" w:ascii="仿宋" w:hAnsi="仿宋" w:eastAsia="仿宋"/>
          <w:sz w:val="24"/>
          <w:szCs w:val="24"/>
        </w:rPr>
        <w:t>；</w:t>
      </w:r>
    </w:p>
    <w:p w14:paraId="6476205D">
      <w:pPr>
        <w:snapToGrid w:val="0"/>
        <w:spacing w:line="360" w:lineRule="auto"/>
        <w:ind w:firstLine="486" w:firstLineChars="200"/>
        <w:rPr>
          <w:rFonts w:ascii="仿宋" w:hAnsi="仿宋" w:eastAsia="仿宋"/>
          <w:sz w:val="24"/>
          <w:szCs w:val="24"/>
        </w:rPr>
      </w:pPr>
      <w:r>
        <w:rPr>
          <w:rFonts w:hint="eastAsia" w:ascii="仿宋" w:hAnsi="仿宋" w:eastAsia="仿宋"/>
          <w:sz w:val="24"/>
          <w:szCs w:val="24"/>
        </w:rPr>
        <w:t xml:space="preserve">2. </w:t>
      </w:r>
      <w:r>
        <w:rPr>
          <w:rFonts w:hint="eastAsia" w:ascii="仿宋" w:hAnsi="仿宋" w:eastAsia="仿宋"/>
          <w:i/>
          <w:sz w:val="24"/>
          <w:szCs w:val="24"/>
          <w:u w:val="single"/>
        </w:rPr>
        <w:t>（标的名称）</w:t>
      </w:r>
      <w:r>
        <w:rPr>
          <w:rFonts w:hint="eastAsia" w:ascii="仿宋" w:hAnsi="仿宋" w:eastAsia="仿宋"/>
          <w:sz w:val="24"/>
          <w:szCs w:val="24"/>
        </w:rPr>
        <w:t>，属于</w:t>
      </w:r>
      <w:r>
        <w:rPr>
          <w:rFonts w:hint="eastAsia" w:ascii="仿宋" w:hAnsi="仿宋" w:eastAsia="仿宋"/>
          <w:i/>
          <w:sz w:val="24"/>
          <w:szCs w:val="24"/>
          <w:u w:val="single"/>
        </w:rPr>
        <w:t>（采购文件中明确的所属行业）</w:t>
      </w:r>
      <w:r>
        <w:rPr>
          <w:rFonts w:hint="eastAsia" w:ascii="仿宋" w:hAnsi="仿宋" w:eastAsia="仿宋"/>
          <w:sz w:val="24"/>
          <w:szCs w:val="24"/>
        </w:rPr>
        <w:t>；承接企业为</w:t>
      </w:r>
      <w:r>
        <w:rPr>
          <w:rFonts w:hint="eastAsia" w:ascii="仿宋" w:hAnsi="仿宋" w:eastAsia="仿宋"/>
          <w:i/>
          <w:sz w:val="24"/>
          <w:szCs w:val="24"/>
          <w:u w:val="single"/>
        </w:rPr>
        <w:t>（企业名称）</w:t>
      </w:r>
      <w:r>
        <w:rPr>
          <w:rFonts w:hint="eastAsia" w:ascii="仿宋" w:hAnsi="仿宋" w:eastAsia="仿宋"/>
          <w:sz w:val="24"/>
          <w:szCs w:val="24"/>
        </w:rPr>
        <w:t>，从业人员</w:t>
      </w:r>
      <w:r>
        <w:rPr>
          <w:rFonts w:hint="eastAsia" w:ascii="仿宋" w:hAnsi="仿宋" w:eastAsia="仿宋"/>
          <w:sz w:val="24"/>
          <w:szCs w:val="24"/>
          <w:u w:val="single"/>
        </w:rPr>
        <w:t xml:space="preserve">  </w:t>
      </w:r>
      <w:r>
        <w:rPr>
          <w:rFonts w:hint="eastAsia" w:ascii="仿宋" w:hAnsi="仿宋" w:eastAsia="仿宋"/>
          <w:sz w:val="24"/>
          <w:szCs w:val="24"/>
        </w:rPr>
        <w:t>人，营业收入为</w:t>
      </w:r>
      <w:r>
        <w:rPr>
          <w:rFonts w:hint="eastAsia" w:ascii="仿宋" w:hAnsi="仿宋" w:eastAsia="仿宋"/>
          <w:sz w:val="24"/>
          <w:szCs w:val="24"/>
          <w:u w:val="single"/>
        </w:rPr>
        <w:t xml:space="preserve">  </w:t>
      </w:r>
      <w:r>
        <w:rPr>
          <w:rFonts w:hint="eastAsia" w:ascii="仿宋" w:hAnsi="仿宋" w:eastAsia="仿宋"/>
          <w:sz w:val="24"/>
          <w:szCs w:val="24"/>
        </w:rPr>
        <w:t>万元，资产总额为</w:t>
      </w:r>
      <w:r>
        <w:rPr>
          <w:rFonts w:hint="eastAsia" w:ascii="仿宋" w:hAnsi="仿宋" w:eastAsia="仿宋"/>
          <w:sz w:val="24"/>
          <w:szCs w:val="24"/>
          <w:u w:val="single"/>
        </w:rPr>
        <w:t xml:space="preserve">  </w:t>
      </w:r>
      <w:r>
        <w:rPr>
          <w:rFonts w:hint="eastAsia" w:ascii="仿宋" w:hAnsi="仿宋" w:eastAsia="仿宋"/>
          <w:sz w:val="24"/>
          <w:szCs w:val="24"/>
        </w:rPr>
        <w:t>万元，属于</w:t>
      </w:r>
      <w:r>
        <w:rPr>
          <w:rFonts w:hint="eastAsia" w:ascii="仿宋" w:hAnsi="仿宋" w:eastAsia="仿宋"/>
          <w:i/>
          <w:sz w:val="24"/>
          <w:szCs w:val="24"/>
          <w:u w:val="single"/>
        </w:rPr>
        <w:t>（中型企业、小型企业、微型企业）</w:t>
      </w:r>
      <w:r>
        <w:rPr>
          <w:rFonts w:hint="eastAsia" w:ascii="仿宋" w:hAnsi="仿宋" w:eastAsia="仿宋"/>
          <w:sz w:val="24"/>
          <w:szCs w:val="24"/>
        </w:rPr>
        <w:t>；</w:t>
      </w:r>
    </w:p>
    <w:p w14:paraId="61ACA8E2">
      <w:pPr>
        <w:snapToGrid w:val="0"/>
        <w:spacing w:line="360" w:lineRule="auto"/>
        <w:ind w:firstLine="486" w:firstLineChars="200"/>
        <w:rPr>
          <w:rFonts w:ascii="仿宋" w:hAnsi="仿宋" w:eastAsia="仿宋"/>
          <w:sz w:val="24"/>
          <w:szCs w:val="24"/>
        </w:rPr>
      </w:pPr>
      <w:r>
        <w:rPr>
          <w:rFonts w:ascii="仿宋" w:hAnsi="仿宋" w:eastAsia="仿宋"/>
          <w:sz w:val="24"/>
          <w:szCs w:val="24"/>
        </w:rPr>
        <w:t>……</w:t>
      </w:r>
    </w:p>
    <w:p w14:paraId="0794ED7C">
      <w:pPr>
        <w:snapToGrid w:val="0"/>
        <w:spacing w:line="360" w:lineRule="auto"/>
        <w:ind w:firstLine="486" w:firstLineChars="200"/>
        <w:rPr>
          <w:rFonts w:ascii="仿宋" w:hAnsi="仿宋" w:eastAsia="仿宋"/>
          <w:sz w:val="24"/>
          <w:szCs w:val="24"/>
        </w:rPr>
      </w:pPr>
      <w:r>
        <w:rPr>
          <w:rFonts w:hint="eastAsia" w:ascii="仿宋" w:hAnsi="仿宋" w:eastAsia="仿宋"/>
          <w:sz w:val="24"/>
          <w:szCs w:val="24"/>
        </w:rPr>
        <w:t>以上企业，不属于大企业的分支机构，不存在控股股东为大企业的情形，也不存在与大企业的负责人为同一人的情形。</w:t>
      </w:r>
    </w:p>
    <w:p w14:paraId="5868A4D9">
      <w:pPr>
        <w:snapToGrid w:val="0"/>
        <w:spacing w:line="360" w:lineRule="auto"/>
        <w:ind w:firstLine="486" w:firstLineChars="200"/>
        <w:rPr>
          <w:rFonts w:ascii="仿宋" w:hAnsi="仿宋" w:eastAsia="仿宋"/>
          <w:sz w:val="24"/>
          <w:szCs w:val="24"/>
        </w:rPr>
      </w:pPr>
      <w:r>
        <w:rPr>
          <w:rFonts w:hint="eastAsia" w:ascii="仿宋" w:hAnsi="仿宋" w:eastAsia="仿宋"/>
          <w:sz w:val="24"/>
          <w:szCs w:val="24"/>
        </w:rPr>
        <w:t>本企业对上述声明内容的真实性负责。如有虚假，将依法承担相应责任。</w:t>
      </w:r>
    </w:p>
    <w:p w14:paraId="6F941F21">
      <w:pPr>
        <w:snapToGrid w:val="0"/>
        <w:spacing w:line="360" w:lineRule="auto"/>
        <w:ind w:firstLine="486" w:firstLineChars="200"/>
        <w:rPr>
          <w:rFonts w:ascii="仿宋" w:hAnsi="仿宋" w:eastAsia="仿宋"/>
          <w:sz w:val="24"/>
          <w:szCs w:val="24"/>
        </w:rPr>
      </w:pPr>
      <w:r>
        <w:rPr>
          <w:rFonts w:hint="eastAsia" w:ascii="仿宋" w:hAnsi="仿宋" w:eastAsia="仿宋"/>
          <w:sz w:val="24"/>
          <w:szCs w:val="24"/>
        </w:rPr>
        <w:t xml:space="preserve">                      企业名称（盖章）：</w:t>
      </w:r>
    </w:p>
    <w:p w14:paraId="6D1EC352">
      <w:pPr>
        <w:snapToGrid w:val="0"/>
        <w:spacing w:line="360" w:lineRule="auto"/>
        <w:ind w:firstLine="486" w:firstLineChars="200"/>
        <w:rPr>
          <w:rFonts w:ascii="仿宋" w:hAnsi="仿宋" w:eastAsia="仿宋"/>
          <w:sz w:val="24"/>
          <w:szCs w:val="24"/>
        </w:rPr>
      </w:pPr>
      <w:r>
        <w:rPr>
          <w:rFonts w:hint="eastAsia" w:ascii="仿宋" w:hAnsi="仿宋" w:eastAsia="仿宋"/>
          <w:sz w:val="24"/>
          <w:szCs w:val="24"/>
        </w:rPr>
        <w:t xml:space="preserve">                      日期：</w:t>
      </w:r>
    </w:p>
    <w:p w14:paraId="224AC4F4">
      <w:pPr>
        <w:spacing w:line="360" w:lineRule="auto"/>
        <w:rPr>
          <w:sz w:val="24"/>
          <w:szCs w:val="24"/>
        </w:rPr>
      </w:pPr>
    </w:p>
    <w:p w14:paraId="739450EC">
      <w:pPr>
        <w:widowControl/>
        <w:shd w:val="clear" w:color="auto" w:fill="auto"/>
        <w:spacing w:before="100" w:beforeAutospacing="1" w:after="100" w:afterAutospacing="1" w:line="360" w:lineRule="auto"/>
        <w:ind w:firstLine="420"/>
        <w:jc w:val="left"/>
        <w:rPr>
          <w:rFonts w:hint="eastAsia" w:ascii="仿宋" w:hAnsi="仿宋" w:eastAsia="仿宋" w:cs="仿宋"/>
          <w:color w:val="auto"/>
          <w:kern w:val="0"/>
          <w:sz w:val="24"/>
          <w:szCs w:val="24"/>
          <w:highlight w:val="none"/>
        </w:rPr>
      </w:pPr>
    </w:p>
    <w:p w14:paraId="360DFF98">
      <w:pPr>
        <w:pStyle w:val="24"/>
        <w:rPr>
          <w:rFonts w:hint="eastAsia" w:ascii="仿宋" w:hAnsi="仿宋" w:eastAsia="仿宋" w:cs="仿宋"/>
          <w:color w:val="auto"/>
          <w:kern w:val="0"/>
          <w:sz w:val="21"/>
          <w:szCs w:val="21"/>
          <w:highlight w:val="none"/>
        </w:rPr>
      </w:pPr>
    </w:p>
    <w:p w14:paraId="5AE88B2A">
      <w:pPr>
        <w:pStyle w:val="23"/>
        <w:rPr>
          <w:rFonts w:hint="eastAsia" w:ascii="仿宋" w:hAnsi="仿宋" w:eastAsia="仿宋" w:cs="仿宋"/>
          <w:color w:val="auto"/>
          <w:kern w:val="0"/>
          <w:sz w:val="21"/>
          <w:szCs w:val="21"/>
          <w:highlight w:val="none"/>
        </w:rPr>
      </w:pPr>
    </w:p>
    <w:p w14:paraId="2ABF22E1">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0" w:leftChars="0" w:right="126" w:rightChars="0" w:firstLine="0" w:firstLineChars="0"/>
        <w:jc w:val="center"/>
        <w:textAlignment w:val="auto"/>
        <w:outlineLvl w:val="3"/>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5-2残疾人福利性单位声明函</w:t>
      </w:r>
    </w:p>
    <w:p w14:paraId="3DF032D2">
      <w:pPr>
        <w:widowControl/>
        <w:adjustRightInd w:val="0"/>
        <w:snapToGrid w:val="0"/>
        <w:spacing w:line="440" w:lineRule="exact"/>
        <w:ind w:firstLine="510" w:firstLineChars="200"/>
        <w:jc w:val="left"/>
        <w:rPr>
          <w:rFonts w:hint="eastAsia" w:ascii="仿宋" w:hAnsi="仿宋" w:eastAsia="仿宋" w:cs="仿宋"/>
          <w:color w:val="auto"/>
          <w:spacing w:val="6"/>
          <w:kern w:val="0"/>
          <w:sz w:val="24"/>
          <w:szCs w:val="24"/>
        </w:rPr>
      </w:pPr>
    </w:p>
    <w:p w14:paraId="2F77FFD6">
      <w:pPr>
        <w:widowControl/>
        <w:adjustRightInd w:val="0"/>
        <w:snapToGrid w:val="0"/>
        <w:spacing w:line="440" w:lineRule="exact"/>
        <w:ind w:firstLine="510"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7EB2A67">
      <w:pPr>
        <w:widowControl/>
        <w:adjustRightInd w:val="0"/>
        <w:snapToGrid w:val="0"/>
        <w:spacing w:line="440" w:lineRule="exact"/>
        <w:ind w:firstLine="510"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本单位对上述声明的真实性负责。如有虚假，将依法承担相应责任。</w:t>
      </w:r>
    </w:p>
    <w:p w14:paraId="1429376E">
      <w:pPr>
        <w:widowControl/>
        <w:adjustRightInd w:val="0"/>
        <w:snapToGrid w:val="0"/>
        <w:spacing w:line="440" w:lineRule="exact"/>
        <w:ind w:firstLine="510"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 xml:space="preserve">                                     </w:t>
      </w:r>
    </w:p>
    <w:p w14:paraId="47C189B8">
      <w:pPr>
        <w:widowControl/>
        <w:adjustRightInd w:val="0"/>
        <w:snapToGrid w:val="0"/>
        <w:spacing w:line="440" w:lineRule="exact"/>
        <w:ind w:firstLine="5610" w:firstLineChars="2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单位名称（盖章）：</w:t>
      </w:r>
    </w:p>
    <w:p w14:paraId="1DEDABF3">
      <w:pPr>
        <w:widowControl/>
        <w:adjustRightInd w:val="0"/>
        <w:snapToGrid w:val="0"/>
        <w:spacing w:line="440" w:lineRule="exact"/>
        <w:ind w:firstLine="510"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 xml:space="preserve">                                      日  期：</w:t>
      </w:r>
    </w:p>
    <w:p w14:paraId="2BEB4B52">
      <w:pPr>
        <w:pStyle w:val="70"/>
        <w:spacing w:after="0"/>
        <w:ind w:left="0" w:leftChars="0" w:firstLine="0" w:firstLineChars="0"/>
        <w:jc w:val="center"/>
        <w:rPr>
          <w:rFonts w:hint="eastAsia" w:ascii="仿宋" w:hAnsi="仿宋" w:eastAsia="仿宋" w:cs="仿宋"/>
          <w:color w:val="auto"/>
          <w:sz w:val="36"/>
          <w:szCs w:val="36"/>
          <w:highlight w:val="none"/>
          <w:lang w:eastAsia="zh-CN"/>
        </w:rPr>
      </w:pPr>
    </w:p>
    <w:p w14:paraId="438DB522">
      <w:pPr>
        <w:pStyle w:val="70"/>
        <w:spacing w:after="0"/>
        <w:ind w:left="0" w:leftChars="0" w:firstLine="0" w:firstLineChars="0"/>
        <w:jc w:val="center"/>
        <w:rPr>
          <w:rFonts w:hint="eastAsia" w:ascii="仿宋" w:hAnsi="仿宋" w:eastAsia="仿宋" w:cs="仿宋"/>
          <w:color w:val="auto"/>
          <w:sz w:val="36"/>
          <w:szCs w:val="36"/>
          <w:highlight w:val="none"/>
          <w:lang w:eastAsia="zh-CN"/>
        </w:rPr>
      </w:pPr>
    </w:p>
    <w:p w14:paraId="66C13470">
      <w:pPr>
        <w:pStyle w:val="70"/>
        <w:spacing w:after="0"/>
        <w:ind w:left="0" w:leftChars="0" w:firstLine="0" w:firstLineChars="0"/>
        <w:jc w:val="center"/>
        <w:rPr>
          <w:rFonts w:hint="eastAsia" w:ascii="仿宋" w:hAnsi="仿宋" w:eastAsia="仿宋" w:cs="仿宋"/>
          <w:color w:val="auto"/>
          <w:sz w:val="36"/>
          <w:szCs w:val="36"/>
          <w:highlight w:val="none"/>
          <w:lang w:eastAsia="zh-CN"/>
        </w:rPr>
      </w:pPr>
    </w:p>
    <w:p w14:paraId="046226DB">
      <w:pPr>
        <w:pStyle w:val="70"/>
        <w:spacing w:after="0"/>
        <w:ind w:left="0" w:leftChars="0" w:firstLine="0" w:firstLineChars="0"/>
        <w:jc w:val="center"/>
        <w:rPr>
          <w:rFonts w:hint="eastAsia" w:ascii="仿宋" w:hAnsi="仿宋" w:eastAsia="仿宋" w:cs="仿宋"/>
          <w:color w:val="auto"/>
          <w:sz w:val="36"/>
          <w:szCs w:val="36"/>
          <w:highlight w:val="none"/>
          <w:lang w:eastAsia="zh-CN"/>
        </w:rPr>
      </w:pPr>
    </w:p>
    <w:p w14:paraId="752FEDA1">
      <w:pPr>
        <w:pStyle w:val="70"/>
        <w:spacing w:after="0"/>
        <w:ind w:left="0" w:leftChars="0" w:firstLine="0" w:firstLineChars="0"/>
        <w:jc w:val="center"/>
        <w:rPr>
          <w:rFonts w:hint="eastAsia" w:ascii="仿宋" w:hAnsi="仿宋" w:eastAsia="仿宋" w:cs="仿宋"/>
          <w:color w:val="auto"/>
          <w:sz w:val="36"/>
          <w:szCs w:val="36"/>
          <w:highlight w:val="none"/>
          <w:lang w:eastAsia="zh-CN"/>
        </w:rPr>
      </w:pPr>
    </w:p>
    <w:p w14:paraId="4BC22998">
      <w:pPr>
        <w:pStyle w:val="70"/>
        <w:spacing w:after="0"/>
        <w:ind w:left="0" w:leftChars="0" w:firstLine="0" w:firstLineChars="0"/>
        <w:jc w:val="center"/>
        <w:rPr>
          <w:rFonts w:hint="eastAsia" w:ascii="仿宋" w:hAnsi="仿宋" w:eastAsia="仿宋" w:cs="仿宋"/>
          <w:color w:val="auto"/>
          <w:sz w:val="36"/>
          <w:szCs w:val="36"/>
          <w:highlight w:val="none"/>
          <w:lang w:eastAsia="zh-CN"/>
        </w:rPr>
      </w:pPr>
    </w:p>
    <w:p w14:paraId="0EF35BA8">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0" w:leftChars="0" w:right="126" w:rightChars="0" w:firstLine="0" w:firstLineChars="0"/>
        <w:jc w:val="center"/>
        <w:textAlignment w:val="auto"/>
        <w:outlineLvl w:val="2"/>
        <w:rPr>
          <w:rFonts w:hint="eastAsia" w:ascii="仿宋" w:hAnsi="仿宋" w:eastAsia="仿宋" w:cs="仿宋"/>
          <w:b/>
          <w:bCs/>
          <w:color w:val="auto"/>
          <w:sz w:val="32"/>
          <w:szCs w:val="32"/>
          <w:lang w:val="en-US" w:eastAsia="zh-CN"/>
        </w:rPr>
        <w:sectPr>
          <w:pgSz w:w="11905" w:h="16838"/>
          <w:pgMar w:top="1440" w:right="1080" w:bottom="1440" w:left="1080" w:header="850" w:footer="992" w:gutter="0"/>
          <w:pgNumType w:fmt="decimal"/>
          <w:cols w:space="720" w:num="1"/>
          <w:docGrid w:type="linesAndChars" w:linePitch="325" w:charSpace="635"/>
        </w:sectPr>
      </w:pPr>
    </w:p>
    <w:p w14:paraId="17A4BFB1">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0" w:leftChars="0" w:right="126" w:rightChars="0" w:firstLine="0" w:firstLineChars="0"/>
        <w:jc w:val="center"/>
        <w:textAlignment w:val="auto"/>
        <w:outlineLvl w:val="2"/>
        <w:rPr>
          <w:rFonts w:hint="eastAsia" w:ascii="仿宋" w:hAnsi="仿宋" w:eastAsia="仿宋" w:cs="仿宋"/>
          <w:b/>
          <w:bCs/>
          <w:color w:val="auto"/>
          <w:sz w:val="32"/>
          <w:szCs w:val="32"/>
          <w:lang w:val="en-US" w:eastAsia="zh-CN"/>
        </w:rPr>
        <w:sectPr>
          <w:pgSz w:w="11905" w:h="16838"/>
          <w:pgMar w:top="1440" w:right="1080" w:bottom="1440" w:left="1080" w:header="850" w:footer="992" w:gutter="0"/>
          <w:pgNumType w:fmt="decimal"/>
          <w:cols w:space="720" w:num="1"/>
          <w:docGrid w:type="linesAndChars" w:linePitch="325" w:charSpace="635"/>
        </w:sectPr>
      </w:pPr>
      <w:bookmarkStart w:id="405" w:name="_Toc5445"/>
      <w:r>
        <w:rPr>
          <w:rFonts w:hint="eastAsia" w:ascii="仿宋" w:hAnsi="仿宋" w:eastAsia="仿宋" w:cs="仿宋"/>
          <w:b/>
          <w:bCs/>
          <w:color w:val="auto"/>
          <w:sz w:val="32"/>
          <w:szCs w:val="32"/>
          <w:lang w:val="en-US" w:eastAsia="zh-CN"/>
        </w:rPr>
        <w:t>6、投标人关联单位的说明（格式自拟）</w:t>
      </w:r>
      <w:bookmarkEnd w:id="405"/>
    </w:p>
    <w:p w14:paraId="6CE7CEB1">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0" w:leftChars="0" w:right="126" w:rightChars="0" w:firstLine="0" w:firstLineChars="0"/>
        <w:jc w:val="center"/>
        <w:textAlignment w:val="auto"/>
        <w:outlineLvl w:val="2"/>
        <w:rPr>
          <w:rFonts w:hint="eastAsia" w:ascii="仿宋" w:hAnsi="仿宋" w:eastAsia="仿宋" w:cs="仿宋"/>
          <w:b/>
          <w:bCs/>
          <w:color w:val="auto"/>
          <w:sz w:val="32"/>
          <w:szCs w:val="32"/>
          <w:lang w:val="en-US" w:eastAsia="zh-CN"/>
        </w:rPr>
      </w:pPr>
      <w:bookmarkStart w:id="406" w:name="_Toc23695"/>
      <w:r>
        <w:rPr>
          <w:rFonts w:hint="eastAsia" w:ascii="仿宋" w:hAnsi="仿宋" w:eastAsia="仿宋" w:cs="仿宋"/>
          <w:b/>
          <w:bCs/>
          <w:color w:val="auto"/>
          <w:sz w:val="32"/>
          <w:szCs w:val="32"/>
          <w:lang w:val="en-US" w:eastAsia="zh-CN"/>
        </w:rPr>
        <w:t>7、评分标准和细则中商务部分证明材料（格式自拟）</w:t>
      </w:r>
      <w:bookmarkEnd w:id="406"/>
    </w:p>
    <w:p w14:paraId="76019E95">
      <w:pPr>
        <w:pStyle w:val="11"/>
        <w:keepNext w:val="0"/>
        <w:keepLines w:val="0"/>
        <w:pageBreakBefore w:val="0"/>
        <w:widowControl w:val="0"/>
        <w:shd w:val="clear" w:color="auto" w:fill="auto"/>
        <w:tabs>
          <w:tab w:val="left" w:pos="5580"/>
        </w:tabs>
        <w:kinsoku/>
        <w:wordWrap/>
        <w:overflowPunct/>
        <w:topLinePunct w:val="0"/>
        <w:autoSpaceDE/>
        <w:autoSpaceDN/>
        <w:bidi w:val="0"/>
        <w:spacing w:line="360" w:lineRule="auto"/>
        <w:ind w:left="1087"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color="auto"/>
          <w:lang w:eastAsia="zh-CN"/>
        </w:rPr>
        <w:t>评分标准和细则中商务部分</w:t>
      </w:r>
      <w:r>
        <w:rPr>
          <w:rFonts w:hint="eastAsia" w:ascii="仿宋" w:hAnsi="仿宋" w:eastAsia="仿宋" w:cs="仿宋"/>
          <w:color w:val="auto"/>
          <w:sz w:val="24"/>
          <w:highlight w:val="none"/>
        </w:rPr>
        <w:t>要求的其他资格证明文件。</w:t>
      </w:r>
    </w:p>
    <w:p w14:paraId="0FB63898">
      <w:pPr>
        <w:pStyle w:val="70"/>
        <w:spacing w:after="0"/>
        <w:ind w:left="0" w:leftChars="0" w:firstLine="0" w:firstLineChars="0"/>
        <w:jc w:val="center"/>
        <w:rPr>
          <w:rFonts w:hint="eastAsia" w:ascii="仿宋" w:hAnsi="仿宋" w:eastAsia="仿宋" w:cs="仿宋"/>
          <w:color w:val="auto"/>
          <w:sz w:val="36"/>
          <w:szCs w:val="36"/>
          <w:highlight w:val="none"/>
          <w:lang w:eastAsia="zh-CN"/>
        </w:rPr>
      </w:pPr>
      <w:r>
        <w:rPr>
          <w:rFonts w:hint="eastAsia" w:ascii="仿宋" w:hAnsi="仿宋" w:eastAsia="仿宋" w:cs="仿宋"/>
          <w:color w:val="auto"/>
          <w:sz w:val="24"/>
          <w:highlight w:val="none"/>
        </w:rPr>
        <w:t>2.复印件上应加盖本单位章。</w:t>
      </w:r>
    </w:p>
    <w:p w14:paraId="4CA5E319">
      <w:pPr>
        <w:pStyle w:val="70"/>
        <w:spacing w:after="580"/>
        <w:ind w:left="0" w:leftChars="0" w:firstLine="0" w:firstLineChars="0"/>
        <w:rPr>
          <w:rFonts w:hint="eastAsia" w:ascii="仿宋" w:hAnsi="仿宋" w:eastAsia="仿宋" w:cs="仿宋"/>
          <w:color w:val="auto"/>
          <w:highlight w:val="none"/>
        </w:rPr>
      </w:pPr>
    </w:p>
    <w:p w14:paraId="4CC301B4">
      <w:pPr>
        <w:pStyle w:val="70"/>
        <w:spacing w:after="580"/>
        <w:ind w:left="0" w:leftChars="0" w:firstLine="0" w:firstLineChars="0"/>
        <w:rPr>
          <w:rFonts w:hint="eastAsia" w:ascii="仿宋" w:hAnsi="仿宋" w:eastAsia="仿宋" w:cs="仿宋"/>
          <w:color w:val="auto"/>
          <w:highlight w:val="none"/>
        </w:rPr>
      </w:pPr>
    </w:p>
    <w:p w14:paraId="10C5152E">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0" w:leftChars="0" w:right="126" w:rightChars="0" w:firstLine="0" w:firstLineChars="0"/>
        <w:jc w:val="center"/>
        <w:textAlignment w:val="auto"/>
        <w:outlineLvl w:val="2"/>
        <w:rPr>
          <w:rFonts w:hint="eastAsia" w:ascii="仿宋" w:hAnsi="仿宋" w:eastAsia="仿宋" w:cs="仿宋"/>
          <w:b/>
          <w:bCs/>
          <w:color w:val="auto"/>
          <w:sz w:val="32"/>
          <w:szCs w:val="32"/>
          <w:lang w:val="en-US" w:eastAsia="zh-CN"/>
        </w:rPr>
        <w:sectPr>
          <w:pgSz w:w="11905" w:h="16838"/>
          <w:pgMar w:top="1440" w:right="1080" w:bottom="1440" w:left="1080" w:header="850" w:footer="992" w:gutter="0"/>
          <w:pgNumType w:fmt="decimal"/>
          <w:cols w:space="720" w:num="1"/>
          <w:docGrid w:type="linesAndChars" w:linePitch="325" w:charSpace="635"/>
        </w:sectPr>
      </w:pPr>
    </w:p>
    <w:p w14:paraId="420ABFE4">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0" w:leftChars="0" w:right="126" w:rightChars="0" w:firstLine="0" w:firstLineChars="0"/>
        <w:jc w:val="center"/>
        <w:textAlignment w:val="auto"/>
        <w:outlineLvl w:val="2"/>
        <w:rPr>
          <w:rFonts w:hint="eastAsia" w:ascii="仿宋" w:hAnsi="仿宋" w:eastAsia="仿宋" w:cs="仿宋"/>
          <w:b/>
          <w:bCs/>
          <w:color w:val="auto"/>
          <w:sz w:val="32"/>
          <w:szCs w:val="32"/>
          <w:lang w:val="en-US" w:eastAsia="zh-CN"/>
        </w:rPr>
      </w:pPr>
      <w:bookmarkStart w:id="407" w:name="_Toc18604"/>
      <w:r>
        <w:rPr>
          <w:rFonts w:hint="eastAsia" w:ascii="仿宋" w:hAnsi="仿宋" w:eastAsia="仿宋" w:cs="仿宋"/>
          <w:b/>
          <w:bCs/>
          <w:color w:val="auto"/>
          <w:sz w:val="32"/>
          <w:szCs w:val="32"/>
          <w:lang w:val="en-US" w:eastAsia="zh-CN"/>
        </w:rPr>
        <w:t>8、评分标准和细则中技术部分证明材料（格式自拟）</w:t>
      </w:r>
      <w:bookmarkEnd w:id="407"/>
    </w:p>
    <w:p w14:paraId="1E7839CC">
      <w:pPr>
        <w:pStyle w:val="3"/>
        <w:numPr>
          <w:ilvl w:val="1"/>
          <w:numId w:val="0"/>
        </w:numPr>
        <w:shd w:val="clear" w:color="auto" w:fill="auto"/>
        <w:tabs>
          <w:tab w:val="left" w:pos="540"/>
        </w:tabs>
        <w:spacing w:before="0" w:line="240" w:lineRule="atLeast"/>
        <w:ind w:leftChars="257"/>
        <w:jc w:val="center"/>
        <w:outlineLvl w:val="9"/>
        <w:rPr>
          <w:rFonts w:hint="eastAsia" w:ascii="仿宋" w:hAnsi="仿宋" w:eastAsia="仿宋" w:cs="仿宋"/>
          <w:color w:val="auto"/>
          <w:sz w:val="24"/>
          <w:highlight w:val="none"/>
          <w:lang w:val="en-US" w:eastAsia="zh-CN"/>
        </w:rPr>
      </w:pPr>
    </w:p>
    <w:p w14:paraId="1B27E613">
      <w:pPr>
        <w:pStyle w:val="11"/>
        <w:pageBreakBefore w:val="0"/>
        <w:widowControl w:val="0"/>
        <w:shd w:val="clear" w:color="auto" w:fill="auto"/>
        <w:tabs>
          <w:tab w:val="left" w:pos="5580"/>
        </w:tabs>
        <w:kinsoku/>
        <w:wordWrap/>
        <w:overflowPunct/>
        <w:topLinePunct w:val="0"/>
        <w:autoSpaceDE/>
        <w:autoSpaceDN/>
        <w:bidi w:val="0"/>
        <w:adjustRightInd/>
        <w:snapToGrid/>
        <w:spacing w:line="360" w:lineRule="auto"/>
        <w:ind w:left="1087"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color="auto"/>
          <w:lang w:eastAsia="zh-CN"/>
        </w:rPr>
        <w:t>评分标准和细则中技术部分</w:t>
      </w:r>
      <w:r>
        <w:rPr>
          <w:rFonts w:hint="eastAsia" w:ascii="仿宋" w:hAnsi="仿宋" w:eastAsia="仿宋" w:cs="仿宋"/>
          <w:color w:val="auto"/>
          <w:sz w:val="24"/>
          <w:highlight w:val="none"/>
        </w:rPr>
        <w:t>要求的其他资格证明文件。</w:t>
      </w:r>
    </w:p>
    <w:p w14:paraId="025B2AEB">
      <w:pPr>
        <w:pStyle w:val="11"/>
        <w:pageBreakBefore w:val="0"/>
        <w:widowControl w:val="0"/>
        <w:shd w:val="clear" w:color="auto" w:fill="auto"/>
        <w:tabs>
          <w:tab w:val="left" w:pos="5580"/>
        </w:tabs>
        <w:kinsoku/>
        <w:wordWrap/>
        <w:overflowPunct/>
        <w:topLinePunct w:val="0"/>
        <w:autoSpaceDE/>
        <w:autoSpaceDN/>
        <w:bidi w:val="0"/>
        <w:adjustRightInd/>
        <w:snapToGrid/>
        <w:spacing w:line="360" w:lineRule="auto"/>
        <w:ind w:firstLine="1458" w:firstLineChars="6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2.复印件上应加盖本单位章。</w:t>
      </w:r>
    </w:p>
    <w:p w14:paraId="14714325">
      <w:pPr>
        <w:pStyle w:val="69"/>
        <w:spacing w:after="240" w:line="240" w:lineRule="auto"/>
        <w:ind w:firstLine="0"/>
        <w:jc w:val="center"/>
        <w:rPr>
          <w:rFonts w:hint="eastAsia" w:ascii="仿宋" w:hAnsi="仿宋" w:eastAsia="仿宋" w:cs="仿宋"/>
          <w:b/>
          <w:bCs/>
          <w:color w:val="auto"/>
          <w:sz w:val="36"/>
          <w:szCs w:val="36"/>
          <w:highlight w:val="none"/>
          <w:lang w:eastAsia="zh-CN"/>
        </w:rPr>
      </w:pPr>
    </w:p>
    <w:p w14:paraId="4B7D888E">
      <w:pPr>
        <w:pStyle w:val="69"/>
        <w:spacing w:after="240" w:line="240" w:lineRule="auto"/>
        <w:ind w:firstLine="0"/>
        <w:jc w:val="center"/>
        <w:rPr>
          <w:rFonts w:hint="eastAsia" w:ascii="仿宋" w:hAnsi="仿宋" w:eastAsia="仿宋" w:cs="仿宋"/>
          <w:b/>
          <w:bCs/>
          <w:color w:val="auto"/>
          <w:sz w:val="36"/>
          <w:szCs w:val="36"/>
          <w:highlight w:val="none"/>
          <w:lang w:eastAsia="zh-CN"/>
        </w:rPr>
      </w:pPr>
    </w:p>
    <w:p w14:paraId="121577EF">
      <w:pPr>
        <w:keepNext w:val="0"/>
        <w:keepLines w:val="0"/>
        <w:widowControl w:val="0"/>
        <w:suppressLineNumbers w:val="0"/>
        <w:spacing w:before="0" w:beforeAutospacing="0" w:after="0" w:afterAutospacing="0"/>
        <w:ind w:left="0" w:right="0"/>
        <w:jc w:val="center"/>
        <w:outlineLvl w:val="2"/>
        <w:rPr>
          <w:rFonts w:hint="eastAsia" w:ascii="仿宋" w:hAnsi="仿宋" w:eastAsia="仿宋" w:cs="仿宋"/>
          <w:b/>
          <w:bCs/>
          <w:color w:val="auto"/>
          <w:kern w:val="2"/>
          <w:sz w:val="32"/>
          <w:szCs w:val="32"/>
          <w:lang w:val="en-US" w:eastAsia="zh-CN" w:bidi="ar-SA"/>
        </w:rPr>
        <w:sectPr>
          <w:pgSz w:w="11905" w:h="16838"/>
          <w:pgMar w:top="1440" w:right="1080" w:bottom="1440" w:left="1080" w:header="850" w:footer="992" w:gutter="0"/>
          <w:pgNumType w:fmt="decimal"/>
          <w:cols w:space="720" w:num="1"/>
          <w:docGrid w:type="linesAndChars" w:linePitch="325" w:charSpace="635"/>
        </w:sectPr>
      </w:pPr>
    </w:p>
    <w:p w14:paraId="150BC2CB">
      <w:pPr>
        <w:keepNext w:val="0"/>
        <w:keepLines w:val="0"/>
        <w:widowControl w:val="0"/>
        <w:suppressLineNumbers w:val="0"/>
        <w:spacing w:before="0" w:beforeAutospacing="0" w:after="0" w:afterAutospacing="0"/>
        <w:ind w:left="0" w:right="0"/>
        <w:jc w:val="center"/>
        <w:outlineLvl w:val="2"/>
        <w:rPr>
          <w:rFonts w:hint="eastAsia" w:ascii="仿宋" w:hAnsi="仿宋" w:eastAsia="仿宋" w:cs="仿宋"/>
          <w:b/>
          <w:bCs/>
          <w:color w:val="auto"/>
          <w:sz w:val="36"/>
          <w:szCs w:val="36"/>
          <w:lang w:val="en-US" w:eastAsia="zh-CN"/>
        </w:rPr>
      </w:pPr>
      <w:bookmarkStart w:id="408" w:name="_Toc5844"/>
      <w:r>
        <w:rPr>
          <w:rFonts w:hint="eastAsia" w:ascii="仿宋" w:hAnsi="仿宋" w:eastAsia="仿宋" w:cs="仿宋"/>
          <w:b/>
          <w:bCs/>
          <w:color w:val="auto"/>
          <w:kern w:val="2"/>
          <w:sz w:val="32"/>
          <w:szCs w:val="32"/>
          <w:lang w:val="en-US" w:eastAsia="zh-CN" w:bidi="ar-SA"/>
        </w:rPr>
        <w:t>9、投标人认为有必要提供的其他证明材料（格式自拟）</w:t>
      </w:r>
      <w:bookmarkEnd w:id="408"/>
    </w:p>
    <w:p w14:paraId="20C387AE">
      <w:pPr>
        <w:pStyle w:val="69"/>
        <w:numPr>
          <w:ilvl w:val="0"/>
          <w:numId w:val="0"/>
        </w:numPr>
        <w:spacing w:after="240" w:line="240" w:lineRule="auto"/>
        <w:ind w:firstLine="2187" w:firstLineChars="900"/>
        <w:jc w:val="both"/>
        <w:rPr>
          <w:rFonts w:hint="eastAsia" w:ascii="仿宋" w:hAnsi="仿宋" w:eastAsia="仿宋" w:cs="仿宋"/>
          <w:color w:val="auto"/>
          <w:sz w:val="24"/>
          <w:highlight w:val="none"/>
        </w:rPr>
      </w:pPr>
    </w:p>
    <w:p w14:paraId="3AA85C03">
      <w:pPr>
        <w:pStyle w:val="69"/>
        <w:spacing w:after="240" w:line="240" w:lineRule="auto"/>
        <w:ind w:firstLine="0"/>
        <w:jc w:val="center"/>
        <w:rPr>
          <w:rFonts w:hint="eastAsia" w:ascii="仿宋" w:hAnsi="仿宋" w:eastAsia="仿宋" w:cs="仿宋"/>
          <w:b/>
          <w:bCs/>
          <w:color w:val="auto"/>
          <w:sz w:val="36"/>
          <w:szCs w:val="36"/>
          <w:highlight w:val="none"/>
          <w:lang w:eastAsia="zh-CN"/>
        </w:rPr>
      </w:pPr>
    </w:p>
    <w:p w14:paraId="062FEE6B">
      <w:pPr>
        <w:pStyle w:val="69"/>
        <w:spacing w:after="240" w:line="240" w:lineRule="auto"/>
        <w:ind w:firstLine="0"/>
        <w:jc w:val="center"/>
        <w:rPr>
          <w:rFonts w:hint="eastAsia" w:ascii="仿宋" w:hAnsi="仿宋" w:eastAsia="仿宋" w:cs="仿宋"/>
          <w:b/>
          <w:bCs/>
          <w:color w:val="auto"/>
          <w:sz w:val="36"/>
          <w:szCs w:val="36"/>
          <w:highlight w:val="none"/>
          <w:lang w:eastAsia="zh-CN"/>
        </w:rPr>
      </w:pPr>
    </w:p>
    <w:p w14:paraId="6277233D">
      <w:pPr>
        <w:pStyle w:val="69"/>
        <w:spacing w:after="240" w:line="240" w:lineRule="auto"/>
        <w:ind w:firstLine="0"/>
        <w:jc w:val="center"/>
        <w:rPr>
          <w:rFonts w:hint="eastAsia" w:ascii="仿宋" w:hAnsi="仿宋" w:eastAsia="仿宋" w:cs="仿宋"/>
          <w:b/>
          <w:bCs/>
          <w:color w:val="auto"/>
          <w:sz w:val="36"/>
          <w:szCs w:val="36"/>
          <w:highlight w:val="none"/>
          <w:lang w:eastAsia="zh-CN"/>
        </w:rPr>
      </w:pPr>
    </w:p>
    <w:p w14:paraId="3BCE2C29">
      <w:pPr>
        <w:pStyle w:val="69"/>
        <w:spacing w:after="240" w:line="240" w:lineRule="auto"/>
        <w:ind w:firstLine="0"/>
        <w:jc w:val="center"/>
        <w:rPr>
          <w:rFonts w:hint="eastAsia" w:ascii="仿宋" w:hAnsi="仿宋" w:eastAsia="仿宋" w:cs="仿宋"/>
          <w:b/>
          <w:bCs/>
          <w:color w:val="auto"/>
          <w:sz w:val="36"/>
          <w:szCs w:val="36"/>
          <w:highlight w:val="none"/>
          <w:lang w:eastAsia="zh-CN"/>
        </w:rPr>
      </w:pPr>
    </w:p>
    <w:p w14:paraId="631408E0">
      <w:pPr>
        <w:rPr>
          <w:rFonts w:hint="eastAsia" w:ascii="仿宋" w:hAnsi="仿宋" w:eastAsia="仿宋" w:cs="仿宋"/>
          <w:color w:val="auto"/>
          <w:szCs w:val="21"/>
          <w:highlight w:val="none"/>
          <w:lang w:val="en-US" w:eastAsia="zh-CN"/>
        </w:rPr>
      </w:pPr>
    </w:p>
    <w:p w14:paraId="01566DDC">
      <w:pPr>
        <w:rPr>
          <w:rFonts w:hint="eastAsia" w:ascii="仿宋" w:hAnsi="仿宋" w:eastAsia="仿宋" w:cs="仿宋"/>
          <w:color w:val="auto"/>
          <w:szCs w:val="21"/>
          <w:highlight w:val="none"/>
        </w:rPr>
      </w:pPr>
    </w:p>
    <w:p w14:paraId="772B538D">
      <w:pPr>
        <w:rPr>
          <w:rFonts w:hint="eastAsia" w:ascii="仿宋" w:hAnsi="仿宋" w:eastAsia="仿宋" w:cs="仿宋"/>
          <w:lang w:val="en-US" w:eastAsia="zh-CN"/>
        </w:rPr>
      </w:pPr>
    </w:p>
    <w:sectPr>
      <w:pgSz w:w="11905" w:h="16838"/>
      <w:pgMar w:top="1440" w:right="1080" w:bottom="1440" w:left="1080" w:header="850" w:footer="992" w:gutter="0"/>
      <w:pgNumType w:fmt="decimal"/>
      <w:cols w:space="720" w:num="1"/>
      <w:docGrid w:type="linesAndChars" w:linePitch="325" w:charSpace="6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32EFD1F0-239D-4B99-8AFB-1282C4CF8F08}"/>
  </w:font>
  <w:font w:name="Helvetica">
    <w:altName w:val="Arial"/>
    <w:panose1 w:val="020B0504020202030204"/>
    <w:charset w:val="00"/>
    <w:family w:val="swiss"/>
    <w:pitch w:val="default"/>
    <w:sig w:usb0="00000000" w:usb1="00000000" w:usb2="00000000" w:usb3="00000000" w:csb0="00000093" w:csb1="0000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_x000B__x000C_">
    <w:altName w:val="Courier New"/>
    <w:panose1 w:val="00000000000000000000"/>
    <w:charset w:val="00"/>
    <w:family w:val="roman"/>
    <w:pitch w:val="default"/>
    <w:sig w:usb0="00000000" w:usb1="00000000" w:usb2="00000000" w:usb3="00000000" w:csb0="00040001" w:csb1="00000000"/>
  </w:font>
  <w:font w:name="华文仿宋">
    <w:panose1 w:val="02010600040101010101"/>
    <w:charset w:val="86"/>
    <w:family w:val="swiss"/>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89506">
    <w:pPr>
      <w:pStyle w:val="14"/>
      <w:tabs>
        <w:tab w:val="center" w:pos="4140"/>
        <w:tab w:val="right" w:pos="8300"/>
        <w:tab w:val="right" w:pos="8640"/>
        <w:tab w:val="clear" w:pos="4153"/>
        <w:tab w:val="clear" w:pos="8306"/>
      </w:tabs>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1BA57">
    <w:pPr>
      <w:pStyle w:val="14"/>
      <w:ind w:right="360"/>
      <w:jc w:val="both"/>
      <w:rPr>
        <w:rFonts w:hint="default" w:eastAsia="宋体"/>
        <w:color w:val="800000"/>
        <w:sz w:val="20"/>
        <w:szCs w:val="20"/>
        <w:lang w:val="en-US" w:eastAsia="zh-CN"/>
      </w:rPr>
    </w:pPr>
    <w:r>
      <w:rPr>
        <w:sz w:val="16"/>
      </w:rPr>
      <mc:AlternateContent>
        <mc:Choice Requires="wps">
          <w:drawing>
            <wp:anchor distT="0" distB="0" distL="114300" distR="114300" simplePos="0" relativeHeight="251667456" behindDoc="0" locked="0" layoutInCell="1" allowOverlap="1">
              <wp:simplePos x="0" y="0"/>
              <wp:positionH relativeFrom="margin">
                <wp:posOffset>5949315</wp:posOffset>
              </wp:positionH>
              <wp:positionV relativeFrom="paragraph">
                <wp:posOffset>-51435</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F9BBB4">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68.45pt;margin-top:-4.05pt;height:144pt;width:144pt;mso-position-horizontal-relative:margin;mso-wrap-style:none;z-index:251667456;mso-width-relative:page;mso-height-relative:page;" filled="f" stroked="f" coordsize="21600,21600" o:gfxdata="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NYMRTZAAAACwEAAA8AAAAAAAAAAQAgAAAAIgAAAGRycy9kb3ducmV2Lnht&#10;bFBLAQIUABQAAAAIAIdO4kCpqK+VMQIAAGMEAAAOAAAAAAAAAAEAIAAAACgBAABkcnMvZTJvRG9j&#10;LnhtbFBLBQYAAAAABgAGAFkBAADLBQAAAAA=&#10;">
              <v:fill on="f" focussize="0,0"/>
              <v:stroke on="f" weight="0.5pt"/>
              <v:imagedata o:title=""/>
              <o:lock v:ext="edit" aspectratio="f"/>
              <v:textbox inset="0mm,0mm,0mm,0mm" style="mso-fit-shape-to-text:t;">
                <w:txbxContent>
                  <w:p w14:paraId="40F9BBB4">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71A0C">
    <w:pPr>
      <w:widowControl/>
      <w:autoSpaceDE w:val="0"/>
      <w:autoSpaceDN w:val="0"/>
      <w:spacing w:line="360" w:lineRule="auto"/>
      <w:ind w:right="-26"/>
      <w:textAlignment w:val="bottom"/>
      <w:rPr>
        <w:rFonts w:hint="default"/>
        <w:lang w:val="en-US"/>
      </w:rPr>
    </w:pPr>
    <w:r>
      <w:rPr>
        <w:sz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E48F95">
                          <w:pPr>
                            <w:pStyle w:val="14"/>
                          </w:pPr>
                          <w:r>
                            <w:fldChar w:fldCharType="begin"/>
                          </w:r>
                          <w:r>
                            <w:instrText xml:space="preserve"> PAGE  \* MERGEFORMAT </w:instrText>
                          </w:r>
                          <w:r>
                            <w:fldChar w:fldCharType="separate"/>
                          </w:r>
                          <w:r>
                            <w:t>80</w:t>
                          </w:r>
                          <w:r>
                            <w:fldChar w:fldCharType="end"/>
                          </w:r>
                        </w:p>
                      </w:txbxContent>
                    </wps:txbx>
                    <wps:bodyPr vert="horz" wrap="none" lIns="0" tIns="0" rIns="0" bIns="0" anchor="t" anchorCtr="0">
                      <a:spAutoFit/>
                    </wps:bodyPr>
                  </wps:wsp>
                </a:graphicData>
              </a:graphic>
            </wp:anchor>
          </w:drawing>
        </mc:Choice>
        <mc:Fallback>
          <w:pict>
            <v:shape id="文本框 2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5emJ72AEAALMDAAAOAAAAAAAAAAEAIAAA&#10;AB4BAABkcnMvZTJvRG9jLnhtbFBLBQYAAAAABgAGAFkBAABoBQAAAAA=&#10;">
              <v:fill on="f" focussize="0,0"/>
              <v:stroke on="f"/>
              <v:imagedata o:title=""/>
              <o:lock v:ext="edit" aspectratio="f"/>
              <v:textbox inset="0mm,0mm,0mm,0mm" style="mso-fit-shape-to-text:t;">
                <w:txbxContent>
                  <w:p w14:paraId="62E48F95">
                    <w:pPr>
                      <w:pStyle w:val="14"/>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AA382">
    <w:pPr>
      <w:pStyle w:val="14"/>
      <w:ind w:right="360"/>
      <w:jc w:val="both"/>
      <w:rPr>
        <w:rFonts w:hint="eastAsia"/>
      </w:rPr>
    </w:pPr>
    <w:r>
      <w:rPr>
        <w:sz w:val="13"/>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0F4101">
                          <w:pPr>
                            <w:pStyle w:val="14"/>
                          </w:pPr>
                          <w:r>
                            <w:fldChar w:fldCharType="begin"/>
                          </w:r>
                          <w:r>
                            <w:instrText xml:space="preserve"> PAGE  \* MERGEFORMAT </w:instrText>
                          </w:r>
                          <w:r>
                            <w:fldChar w:fldCharType="separate"/>
                          </w:r>
                          <w:r>
                            <w:t>70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5B0F4101">
                    <w:pPr>
                      <w:pStyle w:val="14"/>
                    </w:pPr>
                    <w:r>
                      <w:fldChar w:fldCharType="begin"/>
                    </w:r>
                    <w:r>
                      <w:instrText xml:space="preserve"> PAGE  \* MERGEFORMAT </w:instrText>
                    </w:r>
                    <w:r>
                      <w:fldChar w:fldCharType="separate"/>
                    </w:r>
                    <w:r>
                      <w:t>70</w:t>
                    </w:r>
                    <w:r>
                      <w:fldChar w:fldCharType="end"/>
                    </w:r>
                  </w:p>
                </w:txbxContent>
              </v:textbox>
            </v:shape>
          </w:pict>
        </mc:Fallback>
      </mc:AlternateContent>
    </w:r>
    <w:r>
      <w:rPr>
        <w:rFonts w:hint="eastAsia"/>
        <w:color w:val="800000"/>
        <w:sz w:val="16"/>
        <w:szCs w:val="20"/>
      </w:rPr>
      <w:t xml:space="preserve">  </w:t>
    </w:r>
  </w:p>
  <w:p w14:paraId="0B699D90">
    <w:pPr>
      <w:pStyle w:val="14"/>
      <w:tabs>
        <w:tab w:val="center" w:pos="4320"/>
        <w:tab w:val="right" w:pos="8640"/>
        <w:tab w:val="clear" w:pos="4153"/>
        <w:tab w:val="clear" w:pos="8306"/>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1B0C39E">
      <w:pPr>
        <w:pStyle w:val="18"/>
      </w:pPr>
      <w:r>
        <w:rPr>
          <w:rStyle w:val="32"/>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F4B5F">
    <w:pPr>
      <w:pStyle w:val="15"/>
      <w:pBdr>
        <w:bottom w:val="none" w:color="auto" w:sz="0" w:space="0"/>
      </w:pBdr>
      <w:tabs>
        <w:tab w:val="center" w:pos="4140"/>
        <w:tab w:val="right" w:pos="8300"/>
      </w:tabs>
      <w:jc w:val="distribute"/>
      <w:rPr>
        <w:rFonts w:hint="eastAsia"/>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7D1A3">
    <w:pPr>
      <w:pStyle w:val="15"/>
      <w:pBdr>
        <w:bottom w:val="none" w:color="auto" w:sz="0" w:space="0"/>
      </w:pBdr>
      <w:tabs>
        <w:tab w:val="clear" w:pos="4153"/>
        <w:tab w:val="clear" w:pos="8306"/>
      </w:tabs>
      <w:ind w:firstLine="360" w:firstLineChars="200"/>
      <w:jc w:val="left"/>
    </w:pPr>
    <w:r>
      <w:rPr>
        <w:rFonts w:hint="eastAsia"/>
        <w:u w:val="non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50C2D">
    <w:pPr>
      <w:pStyle w:val="15"/>
      <w:jc w:val="both"/>
      <w:rPr>
        <w:rFonts w:hint="eastAsia"/>
        <w:szCs w:val="28"/>
        <w:lang w:eastAsia="zh-CN"/>
      </w:rPr>
    </w:pPr>
  </w:p>
  <w:p w14:paraId="3BB827C5">
    <w:pPr>
      <w:pStyle w:val="15"/>
      <w:jc w:val="both"/>
      <w:rPr>
        <w:rFonts w:hint="eastAsia" w:ascii="宋体" w:hAnsi="宋体" w:cs="宋体"/>
        <w:sz w:val="20"/>
        <w:szCs w:val="20"/>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3451F">
    <w:pPr>
      <w:pStyle w:val="15"/>
      <w:pBdr>
        <w:bottom w:val="none" w:color="auto" w:sz="0" w:space="1"/>
      </w:pBdr>
      <w:jc w:val="both"/>
      <w:rPr>
        <w:rFonts w:hint="eastAsia"/>
        <w:szCs w:val="28"/>
      </w:rPr>
    </w:pPr>
  </w:p>
  <w:p w14:paraId="486DC73C">
    <w:pPr>
      <w:pStyle w:val="15"/>
      <w:pBdr>
        <w:bottom w:val="none" w:color="auto" w:sz="0" w:space="1"/>
      </w:pBdr>
      <w:jc w:val="both"/>
      <w:rPr>
        <w:rFonts w:hint="eastAsia"/>
        <w:szCs w:val="28"/>
      </w:rPr>
    </w:pPr>
  </w:p>
  <w:p w14:paraId="4FAE9442">
    <w:pPr>
      <w:pStyle w:val="15"/>
      <w:pBdr>
        <w:bottom w:val="none" w:color="auto" w:sz="0" w:space="1"/>
      </w:pBdr>
      <w:ind w:firstLine="180" w:firstLineChars="100"/>
      <w:jc w:val="both"/>
      <w:rPr>
        <w:rFonts w:hint="eastAsia" w:ascii="宋体" w:hAnsi="宋体" w:cs="宋体"/>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B55E38"/>
    <w:multiLevelType w:val="singleLevel"/>
    <w:tmpl w:val="9DB55E38"/>
    <w:lvl w:ilvl="0" w:tentative="0">
      <w:start w:val="4"/>
      <w:numFmt w:val="decimal"/>
      <w:lvlText w:val="%1."/>
      <w:lvlJc w:val="left"/>
      <w:pPr>
        <w:tabs>
          <w:tab w:val="left" w:pos="312"/>
        </w:tabs>
      </w:pPr>
    </w:lvl>
  </w:abstractNum>
  <w:abstractNum w:abstractNumId="1">
    <w:nsid w:val="A381BD6F"/>
    <w:multiLevelType w:val="singleLevel"/>
    <w:tmpl w:val="A381BD6F"/>
    <w:lvl w:ilvl="0" w:tentative="0">
      <w:start w:val="34"/>
      <w:numFmt w:val="decimal"/>
      <w:suff w:val="space"/>
      <w:lvlText w:val="%1."/>
      <w:lvlJc w:val="left"/>
    </w:lvl>
  </w:abstractNum>
  <w:abstractNum w:abstractNumId="2">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1059"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6"/>
  <w:drawingGridVerticalSpacing w:val="157"/>
  <w:displayHorizontalDrawingGridEvery w:val="1"/>
  <w:displayVerticalDrawingGridEvery w:val="1"/>
  <w:noPunctuationKerning w:val="1"/>
  <w:characterSpacingControl w:val="compressPunctuation"/>
  <w:hdrShapeDefaults>
    <o:shapelayout v:ext="edit">
      <o:idmap v:ext="edit" data="2"/>
    </o:shapelayout>
  </w:hdrShapeDefaults>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MjZmN2NhMjAzNTg2MWFhZTdlYzRkZGE0YzBhNTEifQ=="/>
  </w:docVars>
  <w:rsids>
    <w:rsidRoot w:val="00AE79E0"/>
    <w:rsid w:val="000008FD"/>
    <w:rsid w:val="00003231"/>
    <w:rsid w:val="00003B78"/>
    <w:rsid w:val="00003F23"/>
    <w:rsid w:val="00005025"/>
    <w:rsid w:val="0000620B"/>
    <w:rsid w:val="0000681E"/>
    <w:rsid w:val="0000682D"/>
    <w:rsid w:val="00011FD2"/>
    <w:rsid w:val="000126C8"/>
    <w:rsid w:val="00012CFA"/>
    <w:rsid w:val="00013187"/>
    <w:rsid w:val="000137F2"/>
    <w:rsid w:val="00014B17"/>
    <w:rsid w:val="000165AB"/>
    <w:rsid w:val="000201C1"/>
    <w:rsid w:val="00021187"/>
    <w:rsid w:val="00021198"/>
    <w:rsid w:val="00021864"/>
    <w:rsid w:val="00023055"/>
    <w:rsid w:val="00023185"/>
    <w:rsid w:val="000242CE"/>
    <w:rsid w:val="00024AD6"/>
    <w:rsid w:val="0002561E"/>
    <w:rsid w:val="00026A08"/>
    <w:rsid w:val="000279EA"/>
    <w:rsid w:val="000305D5"/>
    <w:rsid w:val="000319B0"/>
    <w:rsid w:val="00034387"/>
    <w:rsid w:val="00034B72"/>
    <w:rsid w:val="00034BA3"/>
    <w:rsid w:val="00034CDA"/>
    <w:rsid w:val="00034F63"/>
    <w:rsid w:val="0003627F"/>
    <w:rsid w:val="0003679A"/>
    <w:rsid w:val="00040E67"/>
    <w:rsid w:val="00041F06"/>
    <w:rsid w:val="000423B1"/>
    <w:rsid w:val="0004299A"/>
    <w:rsid w:val="000429F1"/>
    <w:rsid w:val="000437CC"/>
    <w:rsid w:val="00043E1C"/>
    <w:rsid w:val="00046FC5"/>
    <w:rsid w:val="00047373"/>
    <w:rsid w:val="000476D9"/>
    <w:rsid w:val="0005173F"/>
    <w:rsid w:val="00051864"/>
    <w:rsid w:val="00051ECE"/>
    <w:rsid w:val="000520FE"/>
    <w:rsid w:val="00053450"/>
    <w:rsid w:val="000538D1"/>
    <w:rsid w:val="00054A43"/>
    <w:rsid w:val="00055123"/>
    <w:rsid w:val="00055AB6"/>
    <w:rsid w:val="00055F34"/>
    <w:rsid w:val="00056350"/>
    <w:rsid w:val="00056A13"/>
    <w:rsid w:val="000576A3"/>
    <w:rsid w:val="00063B93"/>
    <w:rsid w:val="00064417"/>
    <w:rsid w:val="000649EF"/>
    <w:rsid w:val="00065388"/>
    <w:rsid w:val="00065665"/>
    <w:rsid w:val="00067D7A"/>
    <w:rsid w:val="00070288"/>
    <w:rsid w:val="00070340"/>
    <w:rsid w:val="000708C5"/>
    <w:rsid w:val="000712BD"/>
    <w:rsid w:val="000719DB"/>
    <w:rsid w:val="00072AC0"/>
    <w:rsid w:val="000738C2"/>
    <w:rsid w:val="000742BD"/>
    <w:rsid w:val="0007479D"/>
    <w:rsid w:val="000749E3"/>
    <w:rsid w:val="00075123"/>
    <w:rsid w:val="00075390"/>
    <w:rsid w:val="0007565B"/>
    <w:rsid w:val="00075BB9"/>
    <w:rsid w:val="00076436"/>
    <w:rsid w:val="00076558"/>
    <w:rsid w:val="00077C43"/>
    <w:rsid w:val="00077D8B"/>
    <w:rsid w:val="0008094E"/>
    <w:rsid w:val="00080A6F"/>
    <w:rsid w:val="000816F2"/>
    <w:rsid w:val="00082869"/>
    <w:rsid w:val="00083463"/>
    <w:rsid w:val="00083CDC"/>
    <w:rsid w:val="00084CC1"/>
    <w:rsid w:val="000852D7"/>
    <w:rsid w:val="00085489"/>
    <w:rsid w:val="00085BF6"/>
    <w:rsid w:val="000863D1"/>
    <w:rsid w:val="00086A7A"/>
    <w:rsid w:val="00086B28"/>
    <w:rsid w:val="000874E4"/>
    <w:rsid w:val="0008796E"/>
    <w:rsid w:val="00087E9D"/>
    <w:rsid w:val="000901E9"/>
    <w:rsid w:val="00090BD9"/>
    <w:rsid w:val="00090F00"/>
    <w:rsid w:val="00091C9B"/>
    <w:rsid w:val="00091DC7"/>
    <w:rsid w:val="000926F6"/>
    <w:rsid w:val="000942A8"/>
    <w:rsid w:val="00094641"/>
    <w:rsid w:val="00094AC9"/>
    <w:rsid w:val="00095245"/>
    <w:rsid w:val="000955A6"/>
    <w:rsid w:val="00095B6E"/>
    <w:rsid w:val="0009686F"/>
    <w:rsid w:val="000A1761"/>
    <w:rsid w:val="000A184E"/>
    <w:rsid w:val="000A1B3C"/>
    <w:rsid w:val="000A2970"/>
    <w:rsid w:val="000A35E1"/>
    <w:rsid w:val="000A3813"/>
    <w:rsid w:val="000A4619"/>
    <w:rsid w:val="000A48D7"/>
    <w:rsid w:val="000A5705"/>
    <w:rsid w:val="000A6219"/>
    <w:rsid w:val="000A6DD1"/>
    <w:rsid w:val="000A7BFA"/>
    <w:rsid w:val="000A7E34"/>
    <w:rsid w:val="000B0CDF"/>
    <w:rsid w:val="000B19BA"/>
    <w:rsid w:val="000B21F3"/>
    <w:rsid w:val="000B5B49"/>
    <w:rsid w:val="000B5CD6"/>
    <w:rsid w:val="000B5D8E"/>
    <w:rsid w:val="000B71A8"/>
    <w:rsid w:val="000B7353"/>
    <w:rsid w:val="000B7627"/>
    <w:rsid w:val="000B7FDE"/>
    <w:rsid w:val="000C062A"/>
    <w:rsid w:val="000C0D0A"/>
    <w:rsid w:val="000C0D63"/>
    <w:rsid w:val="000C1047"/>
    <w:rsid w:val="000C2C5E"/>
    <w:rsid w:val="000C4AF2"/>
    <w:rsid w:val="000C58C5"/>
    <w:rsid w:val="000C627A"/>
    <w:rsid w:val="000C6774"/>
    <w:rsid w:val="000C68DD"/>
    <w:rsid w:val="000C742F"/>
    <w:rsid w:val="000C7D1B"/>
    <w:rsid w:val="000D07C7"/>
    <w:rsid w:val="000D16D6"/>
    <w:rsid w:val="000D1955"/>
    <w:rsid w:val="000D1963"/>
    <w:rsid w:val="000D260B"/>
    <w:rsid w:val="000D296C"/>
    <w:rsid w:val="000D2BE7"/>
    <w:rsid w:val="000D3BE4"/>
    <w:rsid w:val="000D3FDF"/>
    <w:rsid w:val="000D3FE5"/>
    <w:rsid w:val="000D5BFA"/>
    <w:rsid w:val="000D77C3"/>
    <w:rsid w:val="000E0018"/>
    <w:rsid w:val="000E169F"/>
    <w:rsid w:val="000E18AA"/>
    <w:rsid w:val="000E1F61"/>
    <w:rsid w:val="000E30EA"/>
    <w:rsid w:val="000E3822"/>
    <w:rsid w:val="000E416E"/>
    <w:rsid w:val="000E4260"/>
    <w:rsid w:val="000E4C55"/>
    <w:rsid w:val="000E57CE"/>
    <w:rsid w:val="000E5BD2"/>
    <w:rsid w:val="000E6242"/>
    <w:rsid w:val="000E689E"/>
    <w:rsid w:val="000E6A46"/>
    <w:rsid w:val="000E6ED7"/>
    <w:rsid w:val="000F0113"/>
    <w:rsid w:val="000F1DED"/>
    <w:rsid w:val="000F2698"/>
    <w:rsid w:val="000F3E84"/>
    <w:rsid w:val="000F3FFF"/>
    <w:rsid w:val="000F4B95"/>
    <w:rsid w:val="000F6140"/>
    <w:rsid w:val="000F6A98"/>
    <w:rsid w:val="000F6AB9"/>
    <w:rsid w:val="000F6B00"/>
    <w:rsid w:val="000F6D6B"/>
    <w:rsid w:val="000F6DA7"/>
    <w:rsid w:val="000F7DEB"/>
    <w:rsid w:val="001008C8"/>
    <w:rsid w:val="00103AEE"/>
    <w:rsid w:val="00104E2B"/>
    <w:rsid w:val="00104E64"/>
    <w:rsid w:val="0010538C"/>
    <w:rsid w:val="001057AF"/>
    <w:rsid w:val="00110A45"/>
    <w:rsid w:val="00111249"/>
    <w:rsid w:val="001123E7"/>
    <w:rsid w:val="001135FE"/>
    <w:rsid w:val="00113871"/>
    <w:rsid w:val="0011439C"/>
    <w:rsid w:val="00114702"/>
    <w:rsid w:val="00116424"/>
    <w:rsid w:val="001167DB"/>
    <w:rsid w:val="00116D76"/>
    <w:rsid w:val="00117062"/>
    <w:rsid w:val="001170CE"/>
    <w:rsid w:val="001178E2"/>
    <w:rsid w:val="00117DEA"/>
    <w:rsid w:val="00117FAC"/>
    <w:rsid w:val="0012043E"/>
    <w:rsid w:val="001209D4"/>
    <w:rsid w:val="001209D7"/>
    <w:rsid w:val="00120A18"/>
    <w:rsid w:val="00120C83"/>
    <w:rsid w:val="00121289"/>
    <w:rsid w:val="001233FB"/>
    <w:rsid w:val="0012425E"/>
    <w:rsid w:val="0012511F"/>
    <w:rsid w:val="00125392"/>
    <w:rsid w:val="001255D4"/>
    <w:rsid w:val="001263BA"/>
    <w:rsid w:val="00126A4E"/>
    <w:rsid w:val="00126AD8"/>
    <w:rsid w:val="00126DF1"/>
    <w:rsid w:val="001276ED"/>
    <w:rsid w:val="00127742"/>
    <w:rsid w:val="00130067"/>
    <w:rsid w:val="00130C17"/>
    <w:rsid w:val="0013112F"/>
    <w:rsid w:val="0013118B"/>
    <w:rsid w:val="001311ED"/>
    <w:rsid w:val="0013431D"/>
    <w:rsid w:val="00134648"/>
    <w:rsid w:val="001348DF"/>
    <w:rsid w:val="00134FD5"/>
    <w:rsid w:val="0013509E"/>
    <w:rsid w:val="00135135"/>
    <w:rsid w:val="00135535"/>
    <w:rsid w:val="00135667"/>
    <w:rsid w:val="00135AED"/>
    <w:rsid w:val="00135BC4"/>
    <w:rsid w:val="00135F38"/>
    <w:rsid w:val="001369C3"/>
    <w:rsid w:val="00137B6B"/>
    <w:rsid w:val="00137D64"/>
    <w:rsid w:val="00137E4C"/>
    <w:rsid w:val="00141038"/>
    <w:rsid w:val="0014151F"/>
    <w:rsid w:val="00141941"/>
    <w:rsid w:val="00142184"/>
    <w:rsid w:val="0014311D"/>
    <w:rsid w:val="00144467"/>
    <w:rsid w:val="001449E6"/>
    <w:rsid w:val="0014579A"/>
    <w:rsid w:val="00145A0C"/>
    <w:rsid w:val="00145E17"/>
    <w:rsid w:val="00147477"/>
    <w:rsid w:val="0015038C"/>
    <w:rsid w:val="001508B1"/>
    <w:rsid w:val="00152331"/>
    <w:rsid w:val="00152403"/>
    <w:rsid w:val="00152CE0"/>
    <w:rsid w:val="00155001"/>
    <w:rsid w:val="001553F5"/>
    <w:rsid w:val="001554EC"/>
    <w:rsid w:val="00155CDB"/>
    <w:rsid w:val="00156646"/>
    <w:rsid w:val="001568CF"/>
    <w:rsid w:val="00157E12"/>
    <w:rsid w:val="00160800"/>
    <w:rsid w:val="00160863"/>
    <w:rsid w:val="0016087F"/>
    <w:rsid w:val="00160A88"/>
    <w:rsid w:val="001613E7"/>
    <w:rsid w:val="0016174A"/>
    <w:rsid w:val="001620F9"/>
    <w:rsid w:val="00165DAF"/>
    <w:rsid w:val="00167DD2"/>
    <w:rsid w:val="0017046D"/>
    <w:rsid w:val="0017080E"/>
    <w:rsid w:val="00171430"/>
    <w:rsid w:val="001714A4"/>
    <w:rsid w:val="00171FC2"/>
    <w:rsid w:val="001729B3"/>
    <w:rsid w:val="00172D11"/>
    <w:rsid w:val="00172FE9"/>
    <w:rsid w:val="001736ED"/>
    <w:rsid w:val="00173D1D"/>
    <w:rsid w:val="00174925"/>
    <w:rsid w:val="00174E84"/>
    <w:rsid w:val="00175BB3"/>
    <w:rsid w:val="00176570"/>
    <w:rsid w:val="00176A44"/>
    <w:rsid w:val="00176CDE"/>
    <w:rsid w:val="00177851"/>
    <w:rsid w:val="00180275"/>
    <w:rsid w:val="0018175A"/>
    <w:rsid w:val="00182153"/>
    <w:rsid w:val="00183525"/>
    <w:rsid w:val="00183724"/>
    <w:rsid w:val="00184539"/>
    <w:rsid w:val="00184EF2"/>
    <w:rsid w:val="0018523C"/>
    <w:rsid w:val="00186A8D"/>
    <w:rsid w:val="0019046D"/>
    <w:rsid w:val="00191194"/>
    <w:rsid w:val="00192441"/>
    <w:rsid w:val="001924AF"/>
    <w:rsid w:val="00192969"/>
    <w:rsid w:val="00192AB0"/>
    <w:rsid w:val="00193398"/>
    <w:rsid w:val="001935E2"/>
    <w:rsid w:val="00193A65"/>
    <w:rsid w:val="00194057"/>
    <w:rsid w:val="0019444D"/>
    <w:rsid w:val="001966AA"/>
    <w:rsid w:val="00196974"/>
    <w:rsid w:val="00196D5E"/>
    <w:rsid w:val="00196F4B"/>
    <w:rsid w:val="001972EB"/>
    <w:rsid w:val="001A0B29"/>
    <w:rsid w:val="001A12FE"/>
    <w:rsid w:val="001A406A"/>
    <w:rsid w:val="001A62A1"/>
    <w:rsid w:val="001A74C3"/>
    <w:rsid w:val="001B0B9D"/>
    <w:rsid w:val="001B1C75"/>
    <w:rsid w:val="001B223C"/>
    <w:rsid w:val="001B2BBF"/>
    <w:rsid w:val="001B522A"/>
    <w:rsid w:val="001B560A"/>
    <w:rsid w:val="001B5738"/>
    <w:rsid w:val="001B6E93"/>
    <w:rsid w:val="001B70B5"/>
    <w:rsid w:val="001B7B84"/>
    <w:rsid w:val="001B7F39"/>
    <w:rsid w:val="001C05AB"/>
    <w:rsid w:val="001C1F35"/>
    <w:rsid w:val="001C2A8A"/>
    <w:rsid w:val="001C3B70"/>
    <w:rsid w:val="001C5539"/>
    <w:rsid w:val="001C59BE"/>
    <w:rsid w:val="001C5DC4"/>
    <w:rsid w:val="001C5E26"/>
    <w:rsid w:val="001C6220"/>
    <w:rsid w:val="001C6B18"/>
    <w:rsid w:val="001D0A93"/>
    <w:rsid w:val="001D2F5F"/>
    <w:rsid w:val="001D3D2F"/>
    <w:rsid w:val="001D446C"/>
    <w:rsid w:val="001D5688"/>
    <w:rsid w:val="001D58FF"/>
    <w:rsid w:val="001D629D"/>
    <w:rsid w:val="001D63FD"/>
    <w:rsid w:val="001D6F3F"/>
    <w:rsid w:val="001D6F45"/>
    <w:rsid w:val="001D7E45"/>
    <w:rsid w:val="001E04F1"/>
    <w:rsid w:val="001E20D3"/>
    <w:rsid w:val="001E2E22"/>
    <w:rsid w:val="001E2FC4"/>
    <w:rsid w:val="001E36B7"/>
    <w:rsid w:val="001E47CD"/>
    <w:rsid w:val="001E5159"/>
    <w:rsid w:val="001E5832"/>
    <w:rsid w:val="001E591A"/>
    <w:rsid w:val="001E68D0"/>
    <w:rsid w:val="001F07C5"/>
    <w:rsid w:val="001F1324"/>
    <w:rsid w:val="001F134E"/>
    <w:rsid w:val="001F14AE"/>
    <w:rsid w:val="001F1946"/>
    <w:rsid w:val="001F26BA"/>
    <w:rsid w:val="001F3378"/>
    <w:rsid w:val="001F4661"/>
    <w:rsid w:val="001F4719"/>
    <w:rsid w:val="001F66D5"/>
    <w:rsid w:val="001F6A1F"/>
    <w:rsid w:val="001F7137"/>
    <w:rsid w:val="001F770C"/>
    <w:rsid w:val="00200094"/>
    <w:rsid w:val="00200808"/>
    <w:rsid w:val="00200C69"/>
    <w:rsid w:val="00201148"/>
    <w:rsid w:val="00202825"/>
    <w:rsid w:val="00202D5B"/>
    <w:rsid w:val="00202F2A"/>
    <w:rsid w:val="002036F3"/>
    <w:rsid w:val="00203F5C"/>
    <w:rsid w:val="00204191"/>
    <w:rsid w:val="0020421A"/>
    <w:rsid w:val="002047D3"/>
    <w:rsid w:val="0020497C"/>
    <w:rsid w:val="00205798"/>
    <w:rsid w:val="00205A83"/>
    <w:rsid w:val="00205DEE"/>
    <w:rsid w:val="00207016"/>
    <w:rsid w:val="0021092F"/>
    <w:rsid w:val="00210BCE"/>
    <w:rsid w:val="002111F8"/>
    <w:rsid w:val="002112B7"/>
    <w:rsid w:val="0021169E"/>
    <w:rsid w:val="00211789"/>
    <w:rsid w:val="00211B64"/>
    <w:rsid w:val="00211C86"/>
    <w:rsid w:val="00211FEE"/>
    <w:rsid w:val="002122F0"/>
    <w:rsid w:val="00212CA5"/>
    <w:rsid w:val="00212EB3"/>
    <w:rsid w:val="00213256"/>
    <w:rsid w:val="0021421B"/>
    <w:rsid w:val="0021435E"/>
    <w:rsid w:val="00217577"/>
    <w:rsid w:val="00217846"/>
    <w:rsid w:val="002203C0"/>
    <w:rsid w:val="002209E8"/>
    <w:rsid w:val="002215D0"/>
    <w:rsid w:val="0022309F"/>
    <w:rsid w:val="00224266"/>
    <w:rsid w:val="002248D5"/>
    <w:rsid w:val="00224BDB"/>
    <w:rsid w:val="00225A4D"/>
    <w:rsid w:val="00225E3E"/>
    <w:rsid w:val="00225E4A"/>
    <w:rsid w:val="00227FEE"/>
    <w:rsid w:val="00230CC1"/>
    <w:rsid w:val="00230D14"/>
    <w:rsid w:val="002314E9"/>
    <w:rsid w:val="00231CB1"/>
    <w:rsid w:val="00232C8A"/>
    <w:rsid w:val="0023334B"/>
    <w:rsid w:val="00234A89"/>
    <w:rsid w:val="00234E10"/>
    <w:rsid w:val="00235478"/>
    <w:rsid w:val="002358C7"/>
    <w:rsid w:val="002362AF"/>
    <w:rsid w:val="002362CC"/>
    <w:rsid w:val="00237506"/>
    <w:rsid w:val="002378D0"/>
    <w:rsid w:val="00237B57"/>
    <w:rsid w:val="00243A1C"/>
    <w:rsid w:val="00243B5E"/>
    <w:rsid w:val="00243C20"/>
    <w:rsid w:val="00243D7D"/>
    <w:rsid w:val="00243ECE"/>
    <w:rsid w:val="00245ACA"/>
    <w:rsid w:val="00246F54"/>
    <w:rsid w:val="0025249A"/>
    <w:rsid w:val="0025326E"/>
    <w:rsid w:val="002541D3"/>
    <w:rsid w:val="00254D18"/>
    <w:rsid w:val="00255705"/>
    <w:rsid w:val="00255C2F"/>
    <w:rsid w:val="00255D4D"/>
    <w:rsid w:val="00257088"/>
    <w:rsid w:val="002574B1"/>
    <w:rsid w:val="0025775C"/>
    <w:rsid w:val="0025785F"/>
    <w:rsid w:val="0026096A"/>
    <w:rsid w:val="00260B60"/>
    <w:rsid w:val="0026120E"/>
    <w:rsid w:val="00261315"/>
    <w:rsid w:val="0026223A"/>
    <w:rsid w:val="002632DC"/>
    <w:rsid w:val="00263F02"/>
    <w:rsid w:val="002648FB"/>
    <w:rsid w:val="00264E69"/>
    <w:rsid w:val="00266892"/>
    <w:rsid w:val="00266CC0"/>
    <w:rsid w:val="002672ED"/>
    <w:rsid w:val="0027024E"/>
    <w:rsid w:val="00272390"/>
    <w:rsid w:val="0027543F"/>
    <w:rsid w:val="00275F7E"/>
    <w:rsid w:val="002760E4"/>
    <w:rsid w:val="002768B5"/>
    <w:rsid w:val="00277378"/>
    <w:rsid w:val="0028110D"/>
    <w:rsid w:val="00281371"/>
    <w:rsid w:val="002813D2"/>
    <w:rsid w:val="002819B4"/>
    <w:rsid w:val="0028291E"/>
    <w:rsid w:val="00282FBB"/>
    <w:rsid w:val="00283B88"/>
    <w:rsid w:val="00285CC4"/>
    <w:rsid w:val="00286851"/>
    <w:rsid w:val="00290235"/>
    <w:rsid w:val="00290EB7"/>
    <w:rsid w:val="00291B90"/>
    <w:rsid w:val="00291EBD"/>
    <w:rsid w:val="00293933"/>
    <w:rsid w:val="00295F38"/>
    <w:rsid w:val="00296FAA"/>
    <w:rsid w:val="002970FB"/>
    <w:rsid w:val="00297E16"/>
    <w:rsid w:val="002A07DB"/>
    <w:rsid w:val="002A1959"/>
    <w:rsid w:val="002A3638"/>
    <w:rsid w:val="002A484A"/>
    <w:rsid w:val="002A49E9"/>
    <w:rsid w:val="002A4C87"/>
    <w:rsid w:val="002A4E7F"/>
    <w:rsid w:val="002A51FE"/>
    <w:rsid w:val="002A79FB"/>
    <w:rsid w:val="002A7C46"/>
    <w:rsid w:val="002A7D6F"/>
    <w:rsid w:val="002B08C1"/>
    <w:rsid w:val="002B0A6F"/>
    <w:rsid w:val="002B12D0"/>
    <w:rsid w:val="002B17E9"/>
    <w:rsid w:val="002B1A43"/>
    <w:rsid w:val="002B1ABC"/>
    <w:rsid w:val="002B220A"/>
    <w:rsid w:val="002B28DF"/>
    <w:rsid w:val="002B3EF5"/>
    <w:rsid w:val="002B4721"/>
    <w:rsid w:val="002B635D"/>
    <w:rsid w:val="002B6423"/>
    <w:rsid w:val="002B6D27"/>
    <w:rsid w:val="002B6EAE"/>
    <w:rsid w:val="002B7C85"/>
    <w:rsid w:val="002C1472"/>
    <w:rsid w:val="002C1DFD"/>
    <w:rsid w:val="002C316D"/>
    <w:rsid w:val="002C324F"/>
    <w:rsid w:val="002C32A4"/>
    <w:rsid w:val="002C34A7"/>
    <w:rsid w:val="002C404C"/>
    <w:rsid w:val="002C44F8"/>
    <w:rsid w:val="002C48D8"/>
    <w:rsid w:val="002C50D1"/>
    <w:rsid w:val="002C53E5"/>
    <w:rsid w:val="002C5959"/>
    <w:rsid w:val="002C66EA"/>
    <w:rsid w:val="002C6EE6"/>
    <w:rsid w:val="002C76A3"/>
    <w:rsid w:val="002D16A5"/>
    <w:rsid w:val="002D1856"/>
    <w:rsid w:val="002D4063"/>
    <w:rsid w:val="002D6C02"/>
    <w:rsid w:val="002D6F6A"/>
    <w:rsid w:val="002D702A"/>
    <w:rsid w:val="002D73D4"/>
    <w:rsid w:val="002D73FE"/>
    <w:rsid w:val="002E00B8"/>
    <w:rsid w:val="002E023A"/>
    <w:rsid w:val="002E05E3"/>
    <w:rsid w:val="002E0CF1"/>
    <w:rsid w:val="002E131F"/>
    <w:rsid w:val="002E3A5F"/>
    <w:rsid w:val="002E3A69"/>
    <w:rsid w:val="002E3A88"/>
    <w:rsid w:val="002E3B8A"/>
    <w:rsid w:val="002E5DDC"/>
    <w:rsid w:val="002E6CBA"/>
    <w:rsid w:val="002E70C0"/>
    <w:rsid w:val="002E779E"/>
    <w:rsid w:val="002F0126"/>
    <w:rsid w:val="002F1C05"/>
    <w:rsid w:val="002F3E1E"/>
    <w:rsid w:val="002F5154"/>
    <w:rsid w:val="002F5668"/>
    <w:rsid w:val="002F6350"/>
    <w:rsid w:val="002F726F"/>
    <w:rsid w:val="002F7307"/>
    <w:rsid w:val="002F775E"/>
    <w:rsid w:val="003002FC"/>
    <w:rsid w:val="00301764"/>
    <w:rsid w:val="0030256A"/>
    <w:rsid w:val="003049E1"/>
    <w:rsid w:val="00304EE7"/>
    <w:rsid w:val="003064DC"/>
    <w:rsid w:val="0030763F"/>
    <w:rsid w:val="0030791A"/>
    <w:rsid w:val="00311D1C"/>
    <w:rsid w:val="00311FE2"/>
    <w:rsid w:val="00312912"/>
    <w:rsid w:val="00312B46"/>
    <w:rsid w:val="003135CA"/>
    <w:rsid w:val="00314E48"/>
    <w:rsid w:val="00315218"/>
    <w:rsid w:val="003169FF"/>
    <w:rsid w:val="0031704D"/>
    <w:rsid w:val="00317374"/>
    <w:rsid w:val="0031782B"/>
    <w:rsid w:val="00317903"/>
    <w:rsid w:val="00317929"/>
    <w:rsid w:val="00320797"/>
    <w:rsid w:val="00321351"/>
    <w:rsid w:val="003215D0"/>
    <w:rsid w:val="003219FF"/>
    <w:rsid w:val="00321B0F"/>
    <w:rsid w:val="00323327"/>
    <w:rsid w:val="003233D3"/>
    <w:rsid w:val="0032368B"/>
    <w:rsid w:val="00323B3C"/>
    <w:rsid w:val="00323B9B"/>
    <w:rsid w:val="00323EE0"/>
    <w:rsid w:val="003250B5"/>
    <w:rsid w:val="00325C3D"/>
    <w:rsid w:val="00327B00"/>
    <w:rsid w:val="00330EEC"/>
    <w:rsid w:val="00331614"/>
    <w:rsid w:val="003316A2"/>
    <w:rsid w:val="003316AA"/>
    <w:rsid w:val="00331951"/>
    <w:rsid w:val="00333612"/>
    <w:rsid w:val="00333F5A"/>
    <w:rsid w:val="00334464"/>
    <w:rsid w:val="00335143"/>
    <w:rsid w:val="0033520E"/>
    <w:rsid w:val="003355DB"/>
    <w:rsid w:val="003360C0"/>
    <w:rsid w:val="00337E3A"/>
    <w:rsid w:val="00341701"/>
    <w:rsid w:val="00341E1B"/>
    <w:rsid w:val="00342063"/>
    <w:rsid w:val="00343AFA"/>
    <w:rsid w:val="00345340"/>
    <w:rsid w:val="00345DC6"/>
    <w:rsid w:val="00347D7F"/>
    <w:rsid w:val="0035000C"/>
    <w:rsid w:val="0035054D"/>
    <w:rsid w:val="00350672"/>
    <w:rsid w:val="003520CF"/>
    <w:rsid w:val="00352130"/>
    <w:rsid w:val="00352629"/>
    <w:rsid w:val="00352961"/>
    <w:rsid w:val="00352F5E"/>
    <w:rsid w:val="003535C3"/>
    <w:rsid w:val="00355078"/>
    <w:rsid w:val="003554BE"/>
    <w:rsid w:val="00355BD8"/>
    <w:rsid w:val="0035755D"/>
    <w:rsid w:val="00357634"/>
    <w:rsid w:val="003607F7"/>
    <w:rsid w:val="0036156D"/>
    <w:rsid w:val="00361C08"/>
    <w:rsid w:val="00362C15"/>
    <w:rsid w:val="003635A5"/>
    <w:rsid w:val="003639F7"/>
    <w:rsid w:val="00363A88"/>
    <w:rsid w:val="00364D6D"/>
    <w:rsid w:val="003660EB"/>
    <w:rsid w:val="0036682B"/>
    <w:rsid w:val="00366A3F"/>
    <w:rsid w:val="00366D2F"/>
    <w:rsid w:val="00367050"/>
    <w:rsid w:val="0036779C"/>
    <w:rsid w:val="00370079"/>
    <w:rsid w:val="00370746"/>
    <w:rsid w:val="003714B5"/>
    <w:rsid w:val="003727AA"/>
    <w:rsid w:val="003730CA"/>
    <w:rsid w:val="003733A8"/>
    <w:rsid w:val="00373B52"/>
    <w:rsid w:val="00374236"/>
    <w:rsid w:val="00374A30"/>
    <w:rsid w:val="0037500F"/>
    <w:rsid w:val="00375EBC"/>
    <w:rsid w:val="00376B56"/>
    <w:rsid w:val="00377293"/>
    <w:rsid w:val="003773A5"/>
    <w:rsid w:val="003773CE"/>
    <w:rsid w:val="003773E1"/>
    <w:rsid w:val="0037755A"/>
    <w:rsid w:val="0037765D"/>
    <w:rsid w:val="0037791B"/>
    <w:rsid w:val="00380988"/>
    <w:rsid w:val="003810A2"/>
    <w:rsid w:val="00381168"/>
    <w:rsid w:val="003827D4"/>
    <w:rsid w:val="00382C45"/>
    <w:rsid w:val="00383BED"/>
    <w:rsid w:val="00385827"/>
    <w:rsid w:val="00385E4B"/>
    <w:rsid w:val="0038654B"/>
    <w:rsid w:val="00386A77"/>
    <w:rsid w:val="00386B6F"/>
    <w:rsid w:val="00387676"/>
    <w:rsid w:val="00387770"/>
    <w:rsid w:val="00390418"/>
    <w:rsid w:val="003906A3"/>
    <w:rsid w:val="00390901"/>
    <w:rsid w:val="00390A55"/>
    <w:rsid w:val="00390D6E"/>
    <w:rsid w:val="00391153"/>
    <w:rsid w:val="0039119C"/>
    <w:rsid w:val="00392149"/>
    <w:rsid w:val="00392690"/>
    <w:rsid w:val="00392DE4"/>
    <w:rsid w:val="0039363C"/>
    <w:rsid w:val="00393D4C"/>
    <w:rsid w:val="00394FFF"/>
    <w:rsid w:val="00396C19"/>
    <w:rsid w:val="003A1A8E"/>
    <w:rsid w:val="003A1C83"/>
    <w:rsid w:val="003A1CE5"/>
    <w:rsid w:val="003A1FAF"/>
    <w:rsid w:val="003A24EE"/>
    <w:rsid w:val="003A4F37"/>
    <w:rsid w:val="003A6060"/>
    <w:rsid w:val="003A797D"/>
    <w:rsid w:val="003A7E53"/>
    <w:rsid w:val="003B03F9"/>
    <w:rsid w:val="003B0499"/>
    <w:rsid w:val="003B14CC"/>
    <w:rsid w:val="003B16BA"/>
    <w:rsid w:val="003B25CE"/>
    <w:rsid w:val="003B436D"/>
    <w:rsid w:val="003B4CAB"/>
    <w:rsid w:val="003B6267"/>
    <w:rsid w:val="003B76FC"/>
    <w:rsid w:val="003C01E5"/>
    <w:rsid w:val="003C1D2A"/>
    <w:rsid w:val="003C1E0B"/>
    <w:rsid w:val="003C2AF5"/>
    <w:rsid w:val="003C36AD"/>
    <w:rsid w:val="003C4FF3"/>
    <w:rsid w:val="003C5BF9"/>
    <w:rsid w:val="003C6429"/>
    <w:rsid w:val="003C6DB2"/>
    <w:rsid w:val="003C7068"/>
    <w:rsid w:val="003C7A1D"/>
    <w:rsid w:val="003D1587"/>
    <w:rsid w:val="003D1C4D"/>
    <w:rsid w:val="003D302B"/>
    <w:rsid w:val="003D32A3"/>
    <w:rsid w:val="003D38BA"/>
    <w:rsid w:val="003D44D8"/>
    <w:rsid w:val="003D4675"/>
    <w:rsid w:val="003D6965"/>
    <w:rsid w:val="003E04A9"/>
    <w:rsid w:val="003E0849"/>
    <w:rsid w:val="003E1E30"/>
    <w:rsid w:val="003E2182"/>
    <w:rsid w:val="003E333B"/>
    <w:rsid w:val="003E37E5"/>
    <w:rsid w:val="003E3BF0"/>
    <w:rsid w:val="003E4056"/>
    <w:rsid w:val="003E44EB"/>
    <w:rsid w:val="003E4507"/>
    <w:rsid w:val="003E54FB"/>
    <w:rsid w:val="003E5587"/>
    <w:rsid w:val="003E571E"/>
    <w:rsid w:val="003E5FB3"/>
    <w:rsid w:val="003E6E74"/>
    <w:rsid w:val="003E6F20"/>
    <w:rsid w:val="003E7AEF"/>
    <w:rsid w:val="003F101A"/>
    <w:rsid w:val="003F15CD"/>
    <w:rsid w:val="003F2112"/>
    <w:rsid w:val="003F3F4E"/>
    <w:rsid w:val="003F4963"/>
    <w:rsid w:val="003F51D0"/>
    <w:rsid w:val="003F5810"/>
    <w:rsid w:val="003F5F57"/>
    <w:rsid w:val="003F6082"/>
    <w:rsid w:val="003F60E2"/>
    <w:rsid w:val="003F6180"/>
    <w:rsid w:val="003F6452"/>
    <w:rsid w:val="003F659B"/>
    <w:rsid w:val="003F7825"/>
    <w:rsid w:val="003F7D6D"/>
    <w:rsid w:val="0040044F"/>
    <w:rsid w:val="00400942"/>
    <w:rsid w:val="00400AAA"/>
    <w:rsid w:val="0040108E"/>
    <w:rsid w:val="004019B0"/>
    <w:rsid w:val="00402C0A"/>
    <w:rsid w:val="004039CF"/>
    <w:rsid w:val="00403F19"/>
    <w:rsid w:val="00404DF2"/>
    <w:rsid w:val="00404F09"/>
    <w:rsid w:val="0040537E"/>
    <w:rsid w:val="00405A3C"/>
    <w:rsid w:val="00407458"/>
    <w:rsid w:val="00407A64"/>
    <w:rsid w:val="004100F4"/>
    <w:rsid w:val="00410282"/>
    <w:rsid w:val="0041072B"/>
    <w:rsid w:val="00411E24"/>
    <w:rsid w:val="004126E0"/>
    <w:rsid w:val="00415A8A"/>
    <w:rsid w:val="00415CBE"/>
    <w:rsid w:val="00415D23"/>
    <w:rsid w:val="004161D1"/>
    <w:rsid w:val="00416645"/>
    <w:rsid w:val="00416864"/>
    <w:rsid w:val="00416D19"/>
    <w:rsid w:val="0041780A"/>
    <w:rsid w:val="00417A6E"/>
    <w:rsid w:val="00417BC7"/>
    <w:rsid w:val="00417E88"/>
    <w:rsid w:val="00420C05"/>
    <w:rsid w:val="00420E6D"/>
    <w:rsid w:val="004211C4"/>
    <w:rsid w:val="00421C2B"/>
    <w:rsid w:val="004223C5"/>
    <w:rsid w:val="00422EDA"/>
    <w:rsid w:val="0042307D"/>
    <w:rsid w:val="004237BE"/>
    <w:rsid w:val="00423B8C"/>
    <w:rsid w:val="00423FF8"/>
    <w:rsid w:val="00426294"/>
    <w:rsid w:val="00426B59"/>
    <w:rsid w:val="0042715C"/>
    <w:rsid w:val="00427EEC"/>
    <w:rsid w:val="004310A8"/>
    <w:rsid w:val="00431381"/>
    <w:rsid w:val="004313CD"/>
    <w:rsid w:val="00431502"/>
    <w:rsid w:val="0043170A"/>
    <w:rsid w:val="004321AD"/>
    <w:rsid w:val="00432D5F"/>
    <w:rsid w:val="00432EA8"/>
    <w:rsid w:val="004338B0"/>
    <w:rsid w:val="00434745"/>
    <w:rsid w:val="0043632B"/>
    <w:rsid w:val="00441BE1"/>
    <w:rsid w:val="00441FA2"/>
    <w:rsid w:val="004424AF"/>
    <w:rsid w:val="004425B4"/>
    <w:rsid w:val="00442945"/>
    <w:rsid w:val="00442AA4"/>
    <w:rsid w:val="00443251"/>
    <w:rsid w:val="0044358F"/>
    <w:rsid w:val="0044399C"/>
    <w:rsid w:val="00444061"/>
    <w:rsid w:val="004441B5"/>
    <w:rsid w:val="0044427D"/>
    <w:rsid w:val="004451E6"/>
    <w:rsid w:val="004460F3"/>
    <w:rsid w:val="0044663D"/>
    <w:rsid w:val="0044683C"/>
    <w:rsid w:val="0045012A"/>
    <w:rsid w:val="004511E3"/>
    <w:rsid w:val="00453782"/>
    <w:rsid w:val="00453849"/>
    <w:rsid w:val="004542CB"/>
    <w:rsid w:val="0045480C"/>
    <w:rsid w:val="00454D19"/>
    <w:rsid w:val="00455612"/>
    <w:rsid w:val="00460038"/>
    <w:rsid w:val="0046010D"/>
    <w:rsid w:val="0046069B"/>
    <w:rsid w:val="004607F9"/>
    <w:rsid w:val="00460B47"/>
    <w:rsid w:val="00460F46"/>
    <w:rsid w:val="00461338"/>
    <w:rsid w:val="00461382"/>
    <w:rsid w:val="00462552"/>
    <w:rsid w:val="004630FD"/>
    <w:rsid w:val="0046401C"/>
    <w:rsid w:val="00464999"/>
    <w:rsid w:val="004658CB"/>
    <w:rsid w:val="00465A0C"/>
    <w:rsid w:val="004667AD"/>
    <w:rsid w:val="004668B1"/>
    <w:rsid w:val="004670CE"/>
    <w:rsid w:val="00471C43"/>
    <w:rsid w:val="00472037"/>
    <w:rsid w:val="00473549"/>
    <w:rsid w:val="0047382F"/>
    <w:rsid w:val="00473AFE"/>
    <w:rsid w:val="00474D40"/>
    <w:rsid w:val="00474DB3"/>
    <w:rsid w:val="0047507D"/>
    <w:rsid w:val="00476EE9"/>
    <w:rsid w:val="004776DB"/>
    <w:rsid w:val="00477F37"/>
    <w:rsid w:val="00481B35"/>
    <w:rsid w:val="0048235F"/>
    <w:rsid w:val="00482CF4"/>
    <w:rsid w:val="00483728"/>
    <w:rsid w:val="004845DF"/>
    <w:rsid w:val="004849C7"/>
    <w:rsid w:val="004851F9"/>
    <w:rsid w:val="0049006E"/>
    <w:rsid w:val="0049015B"/>
    <w:rsid w:val="004918CC"/>
    <w:rsid w:val="00492569"/>
    <w:rsid w:val="00492EA5"/>
    <w:rsid w:val="00493251"/>
    <w:rsid w:val="004946A1"/>
    <w:rsid w:val="00494B71"/>
    <w:rsid w:val="004962AD"/>
    <w:rsid w:val="004974CC"/>
    <w:rsid w:val="004A381A"/>
    <w:rsid w:val="004A44AE"/>
    <w:rsid w:val="004A4C5E"/>
    <w:rsid w:val="004A5D0F"/>
    <w:rsid w:val="004A6E1F"/>
    <w:rsid w:val="004A7AB9"/>
    <w:rsid w:val="004A7B48"/>
    <w:rsid w:val="004B1083"/>
    <w:rsid w:val="004B2FCE"/>
    <w:rsid w:val="004B3258"/>
    <w:rsid w:val="004B339D"/>
    <w:rsid w:val="004B411D"/>
    <w:rsid w:val="004B4880"/>
    <w:rsid w:val="004B522D"/>
    <w:rsid w:val="004B580C"/>
    <w:rsid w:val="004B6147"/>
    <w:rsid w:val="004B6214"/>
    <w:rsid w:val="004B6278"/>
    <w:rsid w:val="004B7182"/>
    <w:rsid w:val="004B74DD"/>
    <w:rsid w:val="004B7850"/>
    <w:rsid w:val="004C0519"/>
    <w:rsid w:val="004C084D"/>
    <w:rsid w:val="004C0F35"/>
    <w:rsid w:val="004C193F"/>
    <w:rsid w:val="004C1E29"/>
    <w:rsid w:val="004C2023"/>
    <w:rsid w:val="004C2C02"/>
    <w:rsid w:val="004C36C7"/>
    <w:rsid w:val="004C4656"/>
    <w:rsid w:val="004C49F4"/>
    <w:rsid w:val="004C5351"/>
    <w:rsid w:val="004C5697"/>
    <w:rsid w:val="004C5836"/>
    <w:rsid w:val="004C6035"/>
    <w:rsid w:val="004C6194"/>
    <w:rsid w:val="004C6E98"/>
    <w:rsid w:val="004D067C"/>
    <w:rsid w:val="004D072B"/>
    <w:rsid w:val="004D0C9D"/>
    <w:rsid w:val="004D1634"/>
    <w:rsid w:val="004D1A3A"/>
    <w:rsid w:val="004D3FCF"/>
    <w:rsid w:val="004D5837"/>
    <w:rsid w:val="004D5C9E"/>
    <w:rsid w:val="004D7796"/>
    <w:rsid w:val="004E1166"/>
    <w:rsid w:val="004E33E6"/>
    <w:rsid w:val="004E355E"/>
    <w:rsid w:val="004E3A33"/>
    <w:rsid w:val="004E3FCB"/>
    <w:rsid w:val="004E4947"/>
    <w:rsid w:val="004E5558"/>
    <w:rsid w:val="004E628E"/>
    <w:rsid w:val="004F0179"/>
    <w:rsid w:val="004F07B4"/>
    <w:rsid w:val="004F0E55"/>
    <w:rsid w:val="004F1A17"/>
    <w:rsid w:val="004F2179"/>
    <w:rsid w:val="004F2F65"/>
    <w:rsid w:val="004F4107"/>
    <w:rsid w:val="004F4817"/>
    <w:rsid w:val="004F4CE8"/>
    <w:rsid w:val="004F5E5D"/>
    <w:rsid w:val="005005CA"/>
    <w:rsid w:val="00503F0C"/>
    <w:rsid w:val="005049C2"/>
    <w:rsid w:val="00505000"/>
    <w:rsid w:val="00505F35"/>
    <w:rsid w:val="00506243"/>
    <w:rsid w:val="0051007B"/>
    <w:rsid w:val="005109B4"/>
    <w:rsid w:val="00510FF3"/>
    <w:rsid w:val="0051101A"/>
    <w:rsid w:val="005110F6"/>
    <w:rsid w:val="005123B0"/>
    <w:rsid w:val="00512C46"/>
    <w:rsid w:val="005133F8"/>
    <w:rsid w:val="00516E05"/>
    <w:rsid w:val="0051736C"/>
    <w:rsid w:val="0051783C"/>
    <w:rsid w:val="00520213"/>
    <w:rsid w:val="00521398"/>
    <w:rsid w:val="005216F4"/>
    <w:rsid w:val="00521CF7"/>
    <w:rsid w:val="005230ED"/>
    <w:rsid w:val="005238A4"/>
    <w:rsid w:val="00523F17"/>
    <w:rsid w:val="005241CD"/>
    <w:rsid w:val="00524DC0"/>
    <w:rsid w:val="00525CF8"/>
    <w:rsid w:val="00527504"/>
    <w:rsid w:val="0052792F"/>
    <w:rsid w:val="00527D7D"/>
    <w:rsid w:val="00530019"/>
    <w:rsid w:val="00530C83"/>
    <w:rsid w:val="0053165F"/>
    <w:rsid w:val="005324E4"/>
    <w:rsid w:val="0053342C"/>
    <w:rsid w:val="00533A96"/>
    <w:rsid w:val="005355C1"/>
    <w:rsid w:val="005360E0"/>
    <w:rsid w:val="0053718C"/>
    <w:rsid w:val="00537E7F"/>
    <w:rsid w:val="0054056B"/>
    <w:rsid w:val="00541337"/>
    <w:rsid w:val="00541E82"/>
    <w:rsid w:val="00542409"/>
    <w:rsid w:val="0054258E"/>
    <w:rsid w:val="00543761"/>
    <w:rsid w:val="0054384F"/>
    <w:rsid w:val="005438A9"/>
    <w:rsid w:val="00543A5B"/>
    <w:rsid w:val="00544669"/>
    <w:rsid w:val="0054546A"/>
    <w:rsid w:val="00546F61"/>
    <w:rsid w:val="00547251"/>
    <w:rsid w:val="00550481"/>
    <w:rsid w:val="00550683"/>
    <w:rsid w:val="00551490"/>
    <w:rsid w:val="00551BCD"/>
    <w:rsid w:val="00551CEA"/>
    <w:rsid w:val="00552194"/>
    <w:rsid w:val="00552507"/>
    <w:rsid w:val="0055255E"/>
    <w:rsid w:val="00555A2D"/>
    <w:rsid w:val="0055608D"/>
    <w:rsid w:val="00556248"/>
    <w:rsid w:val="005567A5"/>
    <w:rsid w:val="005600B6"/>
    <w:rsid w:val="0056070C"/>
    <w:rsid w:val="0056129C"/>
    <w:rsid w:val="00561DE3"/>
    <w:rsid w:val="00562825"/>
    <w:rsid w:val="00562CB9"/>
    <w:rsid w:val="00563609"/>
    <w:rsid w:val="00563C9B"/>
    <w:rsid w:val="005651DF"/>
    <w:rsid w:val="0056536A"/>
    <w:rsid w:val="005669E9"/>
    <w:rsid w:val="00567C7B"/>
    <w:rsid w:val="005713D9"/>
    <w:rsid w:val="00573793"/>
    <w:rsid w:val="00573BFA"/>
    <w:rsid w:val="0057417D"/>
    <w:rsid w:val="00576042"/>
    <w:rsid w:val="00576110"/>
    <w:rsid w:val="00576136"/>
    <w:rsid w:val="00577870"/>
    <w:rsid w:val="0058030A"/>
    <w:rsid w:val="0058170B"/>
    <w:rsid w:val="00581D96"/>
    <w:rsid w:val="00584303"/>
    <w:rsid w:val="00584D60"/>
    <w:rsid w:val="0058516E"/>
    <w:rsid w:val="005851F3"/>
    <w:rsid w:val="00586659"/>
    <w:rsid w:val="00586D56"/>
    <w:rsid w:val="00587298"/>
    <w:rsid w:val="005904F0"/>
    <w:rsid w:val="00590CD1"/>
    <w:rsid w:val="00592D2A"/>
    <w:rsid w:val="0059415A"/>
    <w:rsid w:val="00594EC0"/>
    <w:rsid w:val="00595493"/>
    <w:rsid w:val="005A1204"/>
    <w:rsid w:val="005A2ABF"/>
    <w:rsid w:val="005A5F79"/>
    <w:rsid w:val="005A5F8B"/>
    <w:rsid w:val="005A72E5"/>
    <w:rsid w:val="005A7A1D"/>
    <w:rsid w:val="005A7AEA"/>
    <w:rsid w:val="005B06D3"/>
    <w:rsid w:val="005B0BE5"/>
    <w:rsid w:val="005B1CAE"/>
    <w:rsid w:val="005B214C"/>
    <w:rsid w:val="005B2527"/>
    <w:rsid w:val="005B2632"/>
    <w:rsid w:val="005B33BF"/>
    <w:rsid w:val="005B3815"/>
    <w:rsid w:val="005B4E15"/>
    <w:rsid w:val="005B5A7C"/>
    <w:rsid w:val="005B7348"/>
    <w:rsid w:val="005B79A8"/>
    <w:rsid w:val="005C0C02"/>
    <w:rsid w:val="005C0E14"/>
    <w:rsid w:val="005C14DC"/>
    <w:rsid w:val="005C21FF"/>
    <w:rsid w:val="005C3BA3"/>
    <w:rsid w:val="005C4719"/>
    <w:rsid w:val="005C486A"/>
    <w:rsid w:val="005C528A"/>
    <w:rsid w:val="005C53AD"/>
    <w:rsid w:val="005C5B8B"/>
    <w:rsid w:val="005C5C66"/>
    <w:rsid w:val="005C62AB"/>
    <w:rsid w:val="005C7C3E"/>
    <w:rsid w:val="005C7C54"/>
    <w:rsid w:val="005D0271"/>
    <w:rsid w:val="005D03FC"/>
    <w:rsid w:val="005D1EE1"/>
    <w:rsid w:val="005D2E94"/>
    <w:rsid w:val="005D32B9"/>
    <w:rsid w:val="005D3FF4"/>
    <w:rsid w:val="005D4094"/>
    <w:rsid w:val="005D4866"/>
    <w:rsid w:val="005D50B8"/>
    <w:rsid w:val="005E0B12"/>
    <w:rsid w:val="005E2911"/>
    <w:rsid w:val="005E3267"/>
    <w:rsid w:val="005E37AB"/>
    <w:rsid w:val="005E3CB5"/>
    <w:rsid w:val="005E645C"/>
    <w:rsid w:val="005E7A4E"/>
    <w:rsid w:val="005F0D9A"/>
    <w:rsid w:val="005F265C"/>
    <w:rsid w:val="005F328D"/>
    <w:rsid w:val="005F34DC"/>
    <w:rsid w:val="005F3DE4"/>
    <w:rsid w:val="005F3E1C"/>
    <w:rsid w:val="005F3F5F"/>
    <w:rsid w:val="005F472D"/>
    <w:rsid w:val="005F4F61"/>
    <w:rsid w:val="005F78D5"/>
    <w:rsid w:val="0060096E"/>
    <w:rsid w:val="00600A38"/>
    <w:rsid w:val="00600F75"/>
    <w:rsid w:val="006020B2"/>
    <w:rsid w:val="006026B5"/>
    <w:rsid w:val="00602AF5"/>
    <w:rsid w:val="00603A0D"/>
    <w:rsid w:val="00604420"/>
    <w:rsid w:val="00604D8B"/>
    <w:rsid w:val="0060572C"/>
    <w:rsid w:val="00605E01"/>
    <w:rsid w:val="00605FB4"/>
    <w:rsid w:val="00610392"/>
    <w:rsid w:val="006107B7"/>
    <w:rsid w:val="006130F4"/>
    <w:rsid w:val="00614329"/>
    <w:rsid w:val="006147E7"/>
    <w:rsid w:val="006148C0"/>
    <w:rsid w:val="0061506A"/>
    <w:rsid w:val="006156B1"/>
    <w:rsid w:val="00615D13"/>
    <w:rsid w:val="00615F86"/>
    <w:rsid w:val="00616603"/>
    <w:rsid w:val="00620A41"/>
    <w:rsid w:val="00621166"/>
    <w:rsid w:val="0062163B"/>
    <w:rsid w:val="00621C81"/>
    <w:rsid w:val="0062339E"/>
    <w:rsid w:val="00623D09"/>
    <w:rsid w:val="00623DFC"/>
    <w:rsid w:val="0062440C"/>
    <w:rsid w:val="00624524"/>
    <w:rsid w:val="0062472F"/>
    <w:rsid w:val="00625550"/>
    <w:rsid w:val="00626629"/>
    <w:rsid w:val="00627474"/>
    <w:rsid w:val="00627610"/>
    <w:rsid w:val="00630DA0"/>
    <w:rsid w:val="00632B09"/>
    <w:rsid w:val="00633555"/>
    <w:rsid w:val="00633D90"/>
    <w:rsid w:val="00633EC2"/>
    <w:rsid w:val="006347A2"/>
    <w:rsid w:val="00634E5B"/>
    <w:rsid w:val="00635711"/>
    <w:rsid w:val="00635DBA"/>
    <w:rsid w:val="00635EA4"/>
    <w:rsid w:val="00637445"/>
    <w:rsid w:val="00641F14"/>
    <w:rsid w:val="00642501"/>
    <w:rsid w:val="0064308A"/>
    <w:rsid w:val="00643FD1"/>
    <w:rsid w:val="00644099"/>
    <w:rsid w:val="00644E89"/>
    <w:rsid w:val="00645F55"/>
    <w:rsid w:val="00646A25"/>
    <w:rsid w:val="006476B7"/>
    <w:rsid w:val="006510E8"/>
    <w:rsid w:val="006516DC"/>
    <w:rsid w:val="00651C53"/>
    <w:rsid w:val="0065308D"/>
    <w:rsid w:val="00654004"/>
    <w:rsid w:val="0065443A"/>
    <w:rsid w:val="006600B9"/>
    <w:rsid w:val="0066164D"/>
    <w:rsid w:val="00661C1D"/>
    <w:rsid w:val="00661D5F"/>
    <w:rsid w:val="00662E06"/>
    <w:rsid w:val="00662FB6"/>
    <w:rsid w:val="00663CF3"/>
    <w:rsid w:val="00664193"/>
    <w:rsid w:val="006647FA"/>
    <w:rsid w:val="00664E12"/>
    <w:rsid w:val="0066518D"/>
    <w:rsid w:val="006653DB"/>
    <w:rsid w:val="00666349"/>
    <w:rsid w:val="006665F2"/>
    <w:rsid w:val="00666FE8"/>
    <w:rsid w:val="006671DE"/>
    <w:rsid w:val="006704EB"/>
    <w:rsid w:val="0067089D"/>
    <w:rsid w:val="00671C63"/>
    <w:rsid w:val="006723D5"/>
    <w:rsid w:val="006726D4"/>
    <w:rsid w:val="0067287C"/>
    <w:rsid w:val="00672D10"/>
    <w:rsid w:val="006733E5"/>
    <w:rsid w:val="006736C1"/>
    <w:rsid w:val="00674496"/>
    <w:rsid w:val="00674497"/>
    <w:rsid w:val="006744CD"/>
    <w:rsid w:val="0067499E"/>
    <w:rsid w:val="006756EF"/>
    <w:rsid w:val="00676BD2"/>
    <w:rsid w:val="00677784"/>
    <w:rsid w:val="0068018B"/>
    <w:rsid w:val="00680B45"/>
    <w:rsid w:val="006810F1"/>
    <w:rsid w:val="00681A38"/>
    <w:rsid w:val="00681D83"/>
    <w:rsid w:val="00682F92"/>
    <w:rsid w:val="006847D7"/>
    <w:rsid w:val="006856B6"/>
    <w:rsid w:val="0068609C"/>
    <w:rsid w:val="00686B0B"/>
    <w:rsid w:val="0068706D"/>
    <w:rsid w:val="006874D8"/>
    <w:rsid w:val="00687F19"/>
    <w:rsid w:val="00690638"/>
    <w:rsid w:val="00691076"/>
    <w:rsid w:val="00691098"/>
    <w:rsid w:val="00691980"/>
    <w:rsid w:val="00693E86"/>
    <w:rsid w:val="00694648"/>
    <w:rsid w:val="0069481D"/>
    <w:rsid w:val="00694B5F"/>
    <w:rsid w:val="00694C91"/>
    <w:rsid w:val="00695104"/>
    <w:rsid w:val="00696109"/>
    <w:rsid w:val="00696144"/>
    <w:rsid w:val="00696684"/>
    <w:rsid w:val="00696B27"/>
    <w:rsid w:val="006A10C7"/>
    <w:rsid w:val="006A10D8"/>
    <w:rsid w:val="006A10EF"/>
    <w:rsid w:val="006A1B03"/>
    <w:rsid w:val="006A2518"/>
    <w:rsid w:val="006A39AF"/>
    <w:rsid w:val="006A40CB"/>
    <w:rsid w:val="006A46F3"/>
    <w:rsid w:val="006A5308"/>
    <w:rsid w:val="006A577F"/>
    <w:rsid w:val="006A6B2B"/>
    <w:rsid w:val="006A753C"/>
    <w:rsid w:val="006B0351"/>
    <w:rsid w:val="006B0578"/>
    <w:rsid w:val="006B2A74"/>
    <w:rsid w:val="006B2C55"/>
    <w:rsid w:val="006B32A5"/>
    <w:rsid w:val="006B5339"/>
    <w:rsid w:val="006B5367"/>
    <w:rsid w:val="006B54DA"/>
    <w:rsid w:val="006B5D9B"/>
    <w:rsid w:val="006B5EF9"/>
    <w:rsid w:val="006B66C8"/>
    <w:rsid w:val="006B705F"/>
    <w:rsid w:val="006B7579"/>
    <w:rsid w:val="006B7FDD"/>
    <w:rsid w:val="006C012F"/>
    <w:rsid w:val="006C05A8"/>
    <w:rsid w:val="006C0731"/>
    <w:rsid w:val="006C1DF0"/>
    <w:rsid w:val="006C5277"/>
    <w:rsid w:val="006C61AA"/>
    <w:rsid w:val="006C6996"/>
    <w:rsid w:val="006D2000"/>
    <w:rsid w:val="006D3D6F"/>
    <w:rsid w:val="006D5E67"/>
    <w:rsid w:val="006D6704"/>
    <w:rsid w:val="006D693D"/>
    <w:rsid w:val="006E06DF"/>
    <w:rsid w:val="006E08DB"/>
    <w:rsid w:val="006E13F6"/>
    <w:rsid w:val="006E17C0"/>
    <w:rsid w:val="006E188C"/>
    <w:rsid w:val="006E190E"/>
    <w:rsid w:val="006E19E5"/>
    <w:rsid w:val="006E1FBF"/>
    <w:rsid w:val="006E37EA"/>
    <w:rsid w:val="006E3D4E"/>
    <w:rsid w:val="006E49ED"/>
    <w:rsid w:val="006E5612"/>
    <w:rsid w:val="006E56B3"/>
    <w:rsid w:val="006E6620"/>
    <w:rsid w:val="006E7385"/>
    <w:rsid w:val="006E7B1E"/>
    <w:rsid w:val="006F0A3E"/>
    <w:rsid w:val="006F1BBF"/>
    <w:rsid w:val="006F20E6"/>
    <w:rsid w:val="006F258F"/>
    <w:rsid w:val="006F2DED"/>
    <w:rsid w:val="006F3ACD"/>
    <w:rsid w:val="006F3E63"/>
    <w:rsid w:val="006F46C4"/>
    <w:rsid w:val="006F62AF"/>
    <w:rsid w:val="006F7536"/>
    <w:rsid w:val="0070173D"/>
    <w:rsid w:val="0070339D"/>
    <w:rsid w:val="007033FB"/>
    <w:rsid w:val="007040AD"/>
    <w:rsid w:val="00705C81"/>
    <w:rsid w:val="00705D76"/>
    <w:rsid w:val="0070660A"/>
    <w:rsid w:val="007068A4"/>
    <w:rsid w:val="00707CF0"/>
    <w:rsid w:val="00707F3F"/>
    <w:rsid w:val="00711531"/>
    <w:rsid w:val="00712C7E"/>
    <w:rsid w:val="00712D53"/>
    <w:rsid w:val="007132EF"/>
    <w:rsid w:val="007136B0"/>
    <w:rsid w:val="00714D93"/>
    <w:rsid w:val="00716395"/>
    <w:rsid w:val="00716C51"/>
    <w:rsid w:val="00716CC4"/>
    <w:rsid w:val="00716E17"/>
    <w:rsid w:val="007176FE"/>
    <w:rsid w:val="0071790B"/>
    <w:rsid w:val="00717D6B"/>
    <w:rsid w:val="00721CC5"/>
    <w:rsid w:val="00721D24"/>
    <w:rsid w:val="00721D81"/>
    <w:rsid w:val="00722543"/>
    <w:rsid w:val="007230A0"/>
    <w:rsid w:val="00723224"/>
    <w:rsid w:val="0072329B"/>
    <w:rsid w:val="00723C85"/>
    <w:rsid w:val="00725FB7"/>
    <w:rsid w:val="00726199"/>
    <w:rsid w:val="007272AF"/>
    <w:rsid w:val="007272F7"/>
    <w:rsid w:val="00730B1B"/>
    <w:rsid w:val="007312DA"/>
    <w:rsid w:val="0073162E"/>
    <w:rsid w:val="00731D13"/>
    <w:rsid w:val="00732771"/>
    <w:rsid w:val="007349FD"/>
    <w:rsid w:val="00734A42"/>
    <w:rsid w:val="00737C5E"/>
    <w:rsid w:val="00737D64"/>
    <w:rsid w:val="00740DCB"/>
    <w:rsid w:val="007424E4"/>
    <w:rsid w:val="00742777"/>
    <w:rsid w:val="00742D47"/>
    <w:rsid w:val="00743AB1"/>
    <w:rsid w:val="00743E21"/>
    <w:rsid w:val="0074550E"/>
    <w:rsid w:val="00745A35"/>
    <w:rsid w:val="00745A48"/>
    <w:rsid w:val="00745B06"/>
    <w:rsid w:val="00745C40"/>
    <w:rsid w:val="007471FA"/>
    <w:rsid w:val="00747369"/>
    <w:rsid w:val="007473D8"/>
    <w:rsid w:val="00747C72"/>
    <w:rsid w:val="007500CF"/>
    <w:rsid w:val="00750850"/>
    <w:rsid w:val="00750D66"/>
    <w:rsid w:val="00751160"/>
    <w:rsid w:val="00752854"/>
    <w:rsid w:val="007535AE"/>
    <w:rsid w:val="00754C61"/>
    <w:rsid w:val="00754F7F"/>
    <w:rsid w:val="00755347"/>
    <w:rsid w:val="00755C51"/>
    <w:rsid w:val="00755C99"/>
    <w:rsid w:val="00756853"/>
    <w:rsid w:val="007568B6"/>
    <w:rsid w:val="007571A1"/>
    <w:rsid w:val="00757DCD"/>
    <w:rsid w:val="00760288"/>
    <w:rsid w:val="00760490"/>
    <w:rsid w:val="00760A2B"/>
    <w:rsid w:val="007618D8"/>
    <w:rsid w:val="0076208F"/>
    <w:rsid w:val="007625DB"/>
    <w:rsid w:val="00762EF7"/>
    <w:rsid w:val="00763199"/>
    <w:rsid w:val="0076430C"/>
    <w:rsid w:val="00764A1D"/>
    <w:rsid w:val="00764DD4"/>
    <w:rsid w:val="00764F2B"/>
    <w:rsid w:val="00765C55"/>
    <w:rsid w:val="007666F9"/>
    <w:rsid w:val="007709DA"/>
    <w:rsid w:val="00770ABF"/>
    <w:rsid w:val="00770BAD"/>
    <w:rsid w:val="007719B5"/>
    <w:rsid w:val="00771D46"/>
    <w:rsid w:val="00772869"/>
    <w:rsid w:val="00772C02"/>
    <w:rsid w:val="00772F8D"/>
    <w:rsid w:val="00773132"/>
    <w:rsid w:val="00773831"/>
    <w:rsid w:val="00773B01"/>
    <w:rsid w:val="00774875"/>
    <w:rsid w:val="00774E2D"/>
    <w:rsid w:val="00774F6E"/>
    <w:rsid w:val="007802A7"/>
    <w:rsid w:val="00780F12"/>
    <w:rsid w:val="007813CF"/>
    <w:rsid w:val="0078213C"/>
    <w:rsid w:val="0078237E"/>
    <w:rsid w:val="00782936"/>
    <w:rsid w:val="0078381E"/>
    <w:rsid w:val="007844C8"/>
    <w:rsid w:val="0078470F"/>
    <w:rsid w:val="007855F1"/>
    <w:rsid w:val="00785690"/>
    <w:rsid w:val="007903F8"/>
    <w:rsid w:val="00790432"/>
    <w:rsid w:val="007904B9"/>
    <w:rsid w:val="007907E1"/>
    <w:rsid w:val="00790808"/>
    <w:rsid w:val="00790FA5"/>
    <w:rsid w:val="00791822"/>
    <w:rsid w:val="007930D5"/>
    <w:rsid w:val="007936DC"/>
    <w:rsid w:val="007936EA"/>
    <w:rsid w:val="007971A4"/>
    <w:rsid w:val="007974FA"/>
    <w:rsid w:val="00797555"/>
    <w:rsid w:val="00797F1D"/>
    <w:rsid w:val="007A0AC9"/>
    <w:rsid w:val="007A1FAF"/>
    <w:rsid w:val="007A2F88"/>
    <w:rsid w:val="007A3752"/>
    <w:rsid w:val="007A38B9"/>
    <w:rsid w:val="007A427A"/>
    <w:rsid w:val="007A45AA"/>
    <w:rsid w:val="007A4B5E"/>
    <w:rsid w:val="007A59E3"/>
    <w:rsid w:val="007A5F57"/>
    <w:rsid w:val="007A6174"/>
    <w:rsid w:val="007A6A9E"/>
    <w:rsid w:val="007A7059"/>
    <w:rsid w:val="007B13EC"/>
    <w:rsid w:val="007B1976"/>
    <w:rsid w:val="007B233C"/>
    <w:rsid w:val="007B2825"/>
    <w:rsid w:val="007B31B9"/>
    <w:rsid w:val="007B462B"/>
    <w:rsid w:val="007B57F4"/>
    <w:rsid w:val="007B78B0"/>
    <w:rsid w:val="007B7E15"/>
    <w:rsid w:val="007C0309"/>
    <w:rsid w:val="007C03E0"/>
    <w:rsid w:val="007C0935"/>
    <w:rsid w:val="007C0F2D"/>
    <w:rsid w:val="007C1BF5"/>
    <w:rsid w:val="007C1F01"/>
    <w:rsid w:val="007C27E1"/>
    <w:rsid w:val="007C31F9"/>
    <w:rsid w:val="007C3DE6"/>
    <w:rsid w:val="007C4012"/>
    <w:rsid w:val="007C460F"/>
    <w:rsid w:val="007C49DF"/>
    <w:rsid w:val="007C4CB0"/>
    <w:rsid w:val="007C57AA"/>
    <w:rsid w:val="007D2649"/>
    <w:rsid w:val="007D269D"/>
    <w:rsid w:val="007D3189"/>
    <w:rsid w:val="007D4838"/>
    <w:rsid w:val="007D51D1"/>
    <w:rsid w:val="007D548E"/>
    <w:rsid w:val="007D6896"/>
    <w:rsid w:val="007D7E77"/>
    <w:rsid w:val="007E022F"/>
    <w:rsid w:val="007E0419"/>
    <w:rsid w:val="007E0A1D"/>
    <w:rsid w:val="007E19D9"/>
    <w:rsid w:val="007E3F20"/>
    <w:rsid w:val="007E4803"/>
    <w:rsid w:val="007E4E45"/>
    <w:rsid w:val="007E61C8"/>
    <w:rsid w:val="007E62E8"/>
    <w:rsid w:val="007E6894"/>
    <w:rsid w:val="007E7E6F"/>
    <w:rsid w:val="007F0E76"/>
    <w:rsid w:val="007F1A84"/>
    <w:rsid w:val="007F411B"/>
    <w:rsid w:val="007F4373"/>
    <w:rsid w:val="007F5CC6"/>
    <w:rsid w:val="007F5DA7"/>
    <w:rsid w:val="007F6DD8"/>
    <w:rsid w:val="007F7A3F"/>
    <w:rsid w:val="00800E1B"/>
    <w:rsid w:val="008011CA"/>
    <w:rsid w:val="00802115"/>
    <w:rsid w:val="0080297F"/>
    <w:rsid w:val="00802AEB"/>
    <w:rsid w:val="00804AA7"/>
    <w:rsid w:val="008050D4"/>
    <w:rsid w:val="00805C97"/>
    <w:rsid w:val="00807409"/>
    <w:rsid w:val="00810D7D"/>
    <w:rsid w:val="0081224C"/>
    <w:rsid w:val="008122F0"/>
    <w:rsid w:val="0081255C"/>
    <w:rsid w:val="008130BC"/>
    <w:rsid w:val="008139AE"/>
    <w:rsid w:val="00814482"/>
    <w:rsid w:val="00814613"/>
    <w:rsid w:val="00815814"/>
    <w:rsid w:val="0081713C"/>
    <w:rsid w:val="00817A3E"/>
    <w:rsid w:val="00817E38"/>
    <w:rsid w:val="008203A0"/>
    <w:rsid w:val="0082098C"/>
    <w:rsid w:val="00821049"/>
    <w:rsid w:val="008221ED"/>
    <w:rsid w:val="0082324A"/>
    <w:rsid w:val="00823410"/>
    <w:rsid w:val="00823934"/>
    <w:rsid w:val="00823C0E"/>
    <w:rsid w:val="00825C04"/>
    <w:rsid w:val="00825FD1"/>
    <w:rsid w:val="0082732D"/>
    <w:rsid w:val="00827D38"/>
    <w:rsid w:val="00830D77"/>
    <w:rsid w:val="00833F56"/>
    <w:rsid w:val="00834226"/>
    <w:rsid w:val="00835041"/>
    <w:rsid w:val="00835338"/>
    <w:rsid w:val="00837C25"/>
    <w:rsid w:val="00837CF8"/>
    <w:rsid w:val="0084055A"/>
    <w:rsid w:val="008409F6"/>
    <w:rsid w:val="00841666"/>
    <w:rsid w:val="0084180C"/>
    <w:rsid w:val="00842054"/>
    <w:rsid w:val="00842DBE"/>
    <w:rsid w:val="00843E13"/>
    <w:rsid w:val="00844277"/>
    <w:rsid w:val="00844DE2"/>
    <w:rsid w:val="00844E9F"/>
    <w:rsid w:val="008477BC"/>
    <w:rsid w:val="008477D1"/>
    <w:rsid w:val="008500B8"/>
    <w:rsid w:val="00853B3C"/>
    <w:rsid w:val="00853BF2"/>
    <w:rsid w:val="008579B9"/>
    <w:rsid w:val="00857D81"/>
    <w:rsid w:val="00860125"/>
    <w:rsid w:val="00860281"/>
    <w:rsid w:val="00864DFD"/>
    <w:rsid w:val="00864EE5"/>
    <w:rsid w:val="0086594A"/>
    <w:rsid w:val="008659FF"/>
    <w:rsid w:val="00870BED"/>
    <w:rsid w:val="00871639"/>
    <w:rsid w:val="008722A9"/>
    <w:rsid w:val="00872B76"/>
    <w:rsid w:val="00874032"/>
    <w:rsid w:val="008742D4"/>
    <w:rsid w:val="00875160"/>
    <w:rsid w:val="00877D18"/>
    <w:rsid w:val="0088034E"/>
    <w:rsid w:val="0088059E"/>
    <w:rsid w:val="00880A20"/>
    <w:rsid w:val="00881014"/>
    <w:rsid w:val="00881613"/>
    <w:rsid w:val="008819D7"/>
    <w:rsid w:val="00882328"/>
    <w:rsid w:val="00882CE4"/>
    <w:rsid w:val="008842B3"/>
    <w:rsid w:val="00884581"/>
    <w:rsid w:val="008848A4"/>
    <w:rsid w:val="00885487"/>
    <w:rsid w:val="0088623C"/>
    <w:rsid w:val="00887001"/>
    <w:rsid w:val="008875EC"/>
    <w:rsid w:val="008876A1"/>
    <w:rsid w:val="00887A30"/>
    <w:rsid w:val="0089204A"/>
    <w:rsid w:val="008925C1"/>
    <w:rsid w:val="00892823"/>
    <w:rsid w:val="00892E73"/>
    <w:rsid w:val="00893590"/>
    <w:rsid w:val="00893596"/>
    <w:rsid w:val="00893C65"/>
    <w:rsid w:val="008946D9"/>
    <w:rsid w:val="00894794"/>
    <w:rsid w:val="0089578A"/>
    <w:rsid w:val="00895FEA"/>
    <w:rsid w:val="00896309"/>
    <w:rsid w:val="00896CB1"/>
    <w:rsid w:val="00896D30"/>
    <w:rsid w:val="008973DD"/>
    <w:rsid w:val="008977E0"/>
    <w:rsid w:val="00897C4E"/>
    <w:rsid w:val="008A084B"/>
    <w:rsid w:val="008A0BEC"/>
    <w:rsid w:val="008A1976"/>
    <w:rsid w:val="008A3A8C"/>
    <w:rsid w:val="008A44AB"/>
    <w:rsid w:val="008A5646"/>
    <w:rsid w:val="008A60BD"/>
    <w:rsid w:val="008A646C"/>
    <w:rsid w:val="008A6591"/>
    <w:rsid w:val="008A68A6"/>
    <w:rsid w:val="008A6CCF"/>
    <w:rsid w:val="008A7BCB"/>
    <w:rsid w:val="008B0347"/>
    <w:rsid w:val="008B20D8"/>
    <w:rsid w:val="008B2C6E"/>
    <w:rsid w:val="008B37D1"/>
    <w:rsid w:val="008B4609"/>
    <w:rsid w:val="008B4713"/>
    <w:rsid w:val="008B4CFE"/>
    <w:rsid w:val="008B6593"/>
    <w:rsid w:val="008B7D9A"/>
    <w:rsid w:val="008C0275"/>
    <w:rsid w:val="008C06ED"/>
    <w:rsid w:val="008C1255"/>
    <w:rsid w:val="008C2893"/>
    <w:rsid w:val="008C2B3A"/>
    <w:rsid w:val="008C2DDF"/>
    <w:rsid w:val="008C382F"/>
    <w:rsid w:val="008C4945"/>
    <w:rsid w:val="008C594C"/>
    <w:rsid w:val="008C59D3"/>
    <w:rsid w:val="008C6AC6"/>
    <w:rsid w:val="008C6DBE"/>
    <w:rsid w:val="008D049E"/>
    <w:rsid w:val="008D08B1"/>
    <w:rsid w:val="008D1ADD"/>
    <w:rsid w:val="008D33DB"/>
    <w:rsid w:val="008D3CBB"/>
    <w:rsid w:val="008D489B"/>
    <w:rsid w:val="008D5020"/>
    <w:rsid w:val="008D6086"/>
    <w:rsid w:val="008D6221"/>
    <w:rsid w:val="008D6FA8"/>
    <w:rsid w:val="008E0008"/>
    <w:rsid w:val="008E111A"/>
    <w:rsid w:val="008E1189"/>
    <w:rsid w:val="008E1259"/>
    <w:rsid w:val="008E265B"/>
    <w:rsid w:val="008E31C0"/>
    <w:rsid w:val="008E3C48"/>
    <w:rsid w:val="008E3C68"/>
    <w:rsid w:val="008E4E76"/>
    <w:rsid w:val="008E5C69"/>
    <w:rsid w:val="008E65EC"/>
    <w:rsid w:val="008E6792"/>
    <w:rsid w:val="008E7021"/>
    <w:rsid w:val="008E7ED9"/>
    <w:rsid w:val="008F0C15"/>
    <w:rsid w:val="008F1365"/>
    <w:rsid w:val="008F1512"/>
    <w:rsid w:val="008F1903"/>
    <w:rsid w:val="008F28AA"/>
    <w:rsid w:val="008F385E"/>
    <w:rsid w:val="008F5A54"/>
    <w:rsid w:val="008F5C39"/>
    <w:rsid w:val="008F5D8C"/>
    <w:rsid w:val="008F63D2"/>
    <w:rsid w:val="008F6C65"/>
    <w:rsid w:val="00900279"/>
    <w:rsid w:val="009009D3"/>
    <w:rsid w:val="0090149D"/>
    <w:rsid w:val="00901BC8"/>
    <w:rsid w:val="009027B1"/>
    <w:rsid w:val="00902A61"/>
    <w:rsid w:val="00902D57"/>
    <w:rsid w:val="00903801"/>
    <w:rsid w:val="009041D4"/>
    <w:rsid w:val="00905320"/>
    <w:rsid w:val="00905904"/>
    <w:rsid w:val="00906B8F"/>
    <w:rsid w:val="00907CB6"/>
    <w:rsid w:val="009100A1"/>
    <w:rsid w:val="009102B6"/>
    <w:rsid w:val="009102F3"/>
    <w:rsid w:val="009106B7"/>
    <w:rsid w:val="00910D50"/>
    <w:rsid w:val="0091102A"/>
    <w:rsid w:val="009113B6"/>
    <w:rsid w:val="009119E7"/>
    <w:rsid w:val="009131EA"/>
    <w:rsid w:val="00913747"/>
    <w:rsid w:val="00913E62"/>
    <w:rsid w:val="00914157"/>
    <w:rsid w:val="00914B70"/>
    <w:rsid w:val="00914D00"/>
    <w:rsid w:val="00916340"/>
    <w:rsid w:val="00917B17"/>
    <w:rsid w:val="00920CBB"/>
    <w:rsid w:val="009215B3"/>
    <w:rsid w:val="0092176E"/>
    <w:rsid w:val="00921771"/>
    <w:rsid w:val="00921855"/>
    <w:rsid w:val="00923804"/>
    <w:rsid w:val="009239A8"/>
    <w:rsid w:val="00924006"/>
    <w:rsid w:val="009250CC"/>
    <w:rsid w:val="009250E4"/>
    <w:rsid w:val="00925B70"/>
    <w:rsid w:val="00925D5A"/>
    <w:rsid w:val="009263DA"/>
    <w:rsid w:val="009269D9"/>
    <w:rsid w:val="00927530"/>
    <w:rsid w:val="0093028F"/>
    <w:rsid w:val="009311BF"/>
    <w:rsid w:val="00931895"/>
    <w:rsid w:val="009339B3"/>
    <w:rsid w:val="00934DF3"/>
    <w:rsid w:val="00934ED4"/>
    <w:rsid w:val="009359C1"/>
    <w:rsid w:val="00936246"/>
    <w:rsid w:val="00936BB8"/>
    <w:rsid w:val="00937A5C"/>
    <w:rsid w:val="009407CC"/>
    <w:rsid w:val="0094119C"/>
    <w:rsid w:val="00941460"/>
    <w:rsid w:val="009416A8"/>
    <w:rsid w:val="009422E8"/>
    <w:rsid w:val="00943EB7"/>
    <w:rsid w:val="00944BB1"/>
    <w:rsid w:val="00947807"/>
    <w:rsid w:val="00947CF9"/>
    <w:rsid w:val="00951727"/>
    <w:rsid w:val="00951F8F"/>
    <w:rsid w:val="00954165"/>
    <w:rsid w:val="00955535"/>
    <w:rsid w:val="00955EEC"/>
    <w:rsid w:val="00956106"/>
    <w:rsid w:val="009568E6"/>
    <w:rsid w:val="0095690D"/>
    <w:rsid w:val="00960C65"/>
    <w:rsid w:val="00960CD9"/>
    <w:rsid w:val="00960E15"/>
    <w:rsid w:val="009615D9"/>
    <w:rsid w:val="00961831"/>
    <w:rsid w:val="0096221C"/>
    <w:rsid w:val="00962495"/>
    <w:rsid w:val="009647EF"/>
    <w:rsid w:val="009670ED"/>
    <w:rsid w:val="00967352"/>
    <w:rsid w:val="00967700"/>
    <w:rsid w:val="0096771D"/>
    <w:rsid w:val="00967DB9"/>
    <w:rsid w:val="00970120"/>
    <w:rsid w:val="00970E0E"/>
    <w:rsid w:val="00971384"/>
    <w:rsid w:val="00971916"/>
    <w:rsid w:val="00971EAA"/>
    <w:rsid w:val="00972013"/>
    <w:rsid w:val="00973749"/>
    <w:rsid w:val="00974546"/>
    <w:rsid w:val="0097537A"/>
    <w:rsid w:val="00975419"/>
    <w:rsid w:val="00975464"/>
    <w:rsid w:val="00975672"/>
    <w:rsid w:val="0097685F"/>
    <w:rsid w:val="0098056A"/>
    <w:rsid w:val="009806FE"/>
    <w:rsid w:val="009816D9"/>
    <w:rsid w:val="009818C1"/>
    <w:rsid w:val="00981A95"/>
    <w:rsid w:val="00981D12"/>
    <w:rsid w:val="00983221"/>
    <w:rsid w:val="0098329F"/>
    <w:rsid w:val="00984000"/>
    <w:rsid w:val="009843FC"/>
    <w:rsid w:val="00985ECF"/>
    <w:rsid w:val="00986A3E"/>
    <w:rsid w:val="009870C7"/>
    <w:rsid w:val="009902FB"/>
    <w:rsid w:val="0099063B"/>
    <w:rsid w:val="0099116A"/>
    <w:rsid w:val="00991417"/>
    <w:rsid w:val="00991503"/>
    <w:rsid w:val="00992311"/>
    <w:rsid w:val="0099271E"/>
    <w:rsid w:val="00992C09"/>
    <w:rsid w:val="00993279"/>
    <w:rsid w:val="00993604"/>
    <w:rsid w:val="00994FDE"/>
    <w:rsid w:val="00995928"/>
    <w:rsid w:val="00995F70"/>
    <w:rsid w:val="009964C4"/>
    <w:rsid w:val="009968A9"/>
    <w:rsid w:val="00997029"/>
    <w:rsid w:val="009973BB"/>
    <w:rsid w:val="009979EA"/>
    <w:rsid w:val="009A01DD"/>
    <w:rsid w:val="009A0E02"/>
    <w:rsid w:val="009A28C4"/>
    <w:rsid w:val="009A36FE"/>
    <w:rsid w:val="009A4126"/>
    <w:rsid w:val="009A48AF"/>
    <w:rsid w:val="009A6664"/>
    <w:rsid w:val="009A786A"/>
    <w:rsid w:val="009B15F0"/>
    <w:rsid w:val="009B1E7B"/>
    <w:rsid w:val="009B20FF"/>
    <w:rsid w:val="009B2A02"/>
    <w:rsid w:val="009B2A70"/>
    <w:rsid w:val="009B572B"/>
    <w:rsid w:val="009B5D14"/>
    <w:rsid w:val="009B6080"/>
    <w:rsid w:val="009B695D"/>
    <w:rsid w:val="009B71DA"/>
    <w:rsid w:val="009B756F"/>
    <w:rsid w:val="009C0D73"/>
    <w:rsid w:val="009C11A8"/>
    <w:rsid w:val="009C3E8F"/>
    <w:rsid w:val="009C44D2"/>
    <w:rsid w:val="009C4DA6"/>
    <w:rsid w:val="009C514B"/>
    <w:rsid w:val="009C52C5"/>
    <w:rsid w:val="009C7253"/>
    <w:rsid w:val="009C796C"/>
    <w:rsid w:val="009C7D7A"/>
    <w:rsid w:val="009C7D96"/>
    <w:rsid w:val="009D176A"/>
    <w:rsid w:val="009D256C"/>
    <w:rsid w:val="009D39E9"/>
    <w:rsid w:val="009D3A7E"/>
    <w:rsid w:val="009D406F"/>
    <w:rsid w:val="009D46A1"/>
    <w:rsid w:val="009D4A03"/>
    <w:rsid w:val="009D506D"/>
    <w:rsid w:val="009D5FBF"/>
    <w:rsid w:val="009E1C4C"/>
    <w:rsid w:val="009E2240"/>
    <w:rsid w:val="009E29A8"/>
    <w:rsid w:val="009E3E09"/>
    <w:rsid w:val="009E4001"/>
    <w:rsid w:val="009E48CC"/>
    <w:rsid w:val="009E5B01"/>
    <w:rsid w:val="009F0055"/>
    <w:rsid w:val="009F113B"/>
    <w:rsid w:val="009F2064"/>
    <w:rsid w:val="009F2164"/>
    <w:rsid w:val="009F2CF8"/>
    <w:rsid w:val="009F33CE"/>
    <w:rsid w:val="009F3D24"/>
    <w:rsid w:val="009F3E85"/>
    <w:rsid w:val="009F4552"/>
    <w:rsid w:val="009F4C1B"/>
    <w:rsid w:val="009F5866"/>
    <w:rsid w:val="009F587C"/>
    <w:rsid w:val="009F628B"/>
    <w:rsid w:val="009F6D38"/>
    <w:rsid w:val="009F70D5"/>
    <w:rsid w:val="00A01176"/>
    <w:rsid w:val="00A02C34"/>
    <w:rsid w:val="00A03F0D"/>
    <w:rsid w:val="00A0458E"/>
    <w:rsid w:val="00A04F33"/>
    <w:rsid w:val="00A0612A"/>
    <w:rsid w:val="00A070EA"/>
    <w:rsid w:val="00A0748F"/>
    <w:rsid w:val="00A0753F"/>
    <w:rsid w:val="00A07754"/>
    <w:rsid w:val="00A10993"/>
    <w:rsid w:val="00A10C44"/>
    <w:rsid w:val="00A10F8C"/>
    <w:rsid w:val="00A117A1"/>
    <w:rsid w:val="00A11FFF"/>
    <w:rsid w:val="00A12A65"/>
    <w:rsid w:val="00A12B90"/>
    <w:rsid w:val="00A12DA2"/>
    <w:rsid w:val="00A13A72"/>
    <w:rsid w:val="00A15A35"/>
    <w:rsid w:val="00A16338"/>
    <w:rsid w:val="00A168AC"/>
    <w:rsid w:val="00A20282"/>
    <w:rsid w:val="00A202C8"/>
    <w:rsid w:val="00A202D9"/>
    <w:rsid w:val="00A208DF"/>
    <w:rsid w:val="00A2121E"/>
    <w:rsid w:val="00A21AA1"/>
    <w:rsid w:val="00A21C4D"/>
    <w:rsid w:val="00A21C7D"/>
    <w:rsid w:val="00A223FD"/>
    <w:rsid w:val="00A22490"/>
    <w:rsid w:val="00A22EC8"/>
    <w:rsid w:val="00A2338A"/>
    <w:rsid w:val="00A24C2E"/>
    <w:rsid w:val="00A25559"/>
    <w:rsid w:val="00A25C50"/>
    <w:rsid w:val="00A2784A"/>
    <w:rsid w:val="00A27CB5"/>
    <w:rsid w:val="00A3003E"/>
    <w:rsid w:val="00A3093E"/>
    <w:rsid w:val="00A3095C"/>
    <w:rsid w:val="00A30CD0"/>
    <w:rsid w:val="00A312FE"/>
    <w:rsid w:val="00A3196C"/>
    <w:rsid w:val="00A31CD2"/>
    <w:rsid w:val="00A31CD8"/>
    <w:rsid w:val="00A328EB"/>
    <w:rsid w:val="00A32B6C"/>
    <w:rsid w:val="00A33D86"/>
    <w:rsid w:val="00A34848"/>
    <w:rsid w:val="00A34E38"/>
    <w:rsid w:val="00A35020"/>
    <w:rsid w:val="00A35F68"/>
    <w:rsid w:val="00A3734F"/>
    <w:rsid w:val="00A374B9"/>
    <w:rsid w:val="00A37FDE"/>
    <w:rsid w:val="00A40184"/>
    <w:rsid w:val="00A4065C"/>
    <w:rsid w:val="00A4174E"/>
    <w:rsid w:val="00A41B9C"/>
    <w:rsid w:val="00A42695"/>
    <w:rsid w:val="00A42D81"/>
    <w:rsid w:val="00A443A9"/>
    <w:rsid w:val="00A444D0"/>
    <w:rsid w:val="00A44AC4"/>
    <w:rsid w:val="00A450FD"/>
    <w:rsid w:val="00A45114"/>
    <w:rsid w:val="00A45AC9"/>
    <w:rsid w:val="00A4620E"/>
    <w:rsid w:val="00A467FD"/>
    <w:rsid w:val="00A46894"/>
    <w:rsid w:val="00A501B7"/>
    <w:rsid w:val="00A50BD4"/>
    <w:rsid w:val="00A516DD"/>
    <w:rsid w:val="00A51E34"/>
    <w:rsid w:val="00A52588"/>
    <w:rsid w:val="00A567D2"/>
    <w:rsid w:val="00A572A2"/>
    <w:rsid w:val="00A6010A"/>
    <w:rsid w:val="00A605F8"/>
    <w:rsid w:val="00A60EE0"/>
    <w:rsid w:val="00A61456"/>
    <w:rsid w:val="00A6193F"/>
    <w:rsid w:val="00A629C1"/>
    <w:rsid w:val="00A62A44"/>
    <w:rsid w:val="00A62B99"/>
    <w:rsid w:val="00A632EB"/>
    <w:rsid w:val="00A632FE"/>
    <w:rsid w:val="00A63AD6"/>
    <w:rsid w:val="00A64448"/>
    <w:rsid w:val="00A64BD8"/>
    <w:rsid w:val="00A64FBA"/>
    <w:rsid w:val="00A64FCD"/>
    <w:rsid w:val="00A659F2"/>
    <w:rsid w:val="00A65BEE"/>
    <w:rsid w:val="00A67496"/>
    <w:rsid w:val="00A67AF8"/>
    <w:rsid w:val="00A705DC"/>
    <w:rsid w:val="00A70F7E"/>
    <w:rsid w:val="00A71179"/>
    <w:rsid w:val="00A715E1"/>
    <w:rsid w:val="00A71CD7"/>
    <w:rsid w:val="00A72559"/>
    <w:rsid w:val="00A72866"/>
    <w:rsid w:val="00A75B6D"/>
    <w:rsid w:val="00A75FDF"/>
    <w:rsid w:val="00A76242"/>
    <w:rsid w:val="00A76347"/>
    <w:rsid w:val="00A7657F"/>
    <w:rsid w:val="00A76874"/>
    <w:rsid w:val="00A77171"/>
    <w:rsid w:val="00A7793E"/>
    <w:rsid w:val="00A77B5C"/>
    <w:rsid w:val="00A807C2"/>
    <w:rsid w:val="00A81149"/>
    <w:rsid w:val="00A81926"/>
    <w:rsid w:val="00A81E2D"/>
    <w:rsid w:val="00A82819"/>
    <w:rsid w:val="00A8392C"/>
    <w:rsid w:val="00A84379"/>
    <w:rsid w:val="00A845F6"/>
    <w:rsid w:val="00A84C32"/>
    <w:rsid w:val="00A858B6"/>
    <w:rsid w:val="00A858E9"/>
    <w:rsid w:val="00A86180"/>
    <w:rsid w:val="00A86990"/>
    <w:rsid w:val="00A86C04"/>
    <w:rsid w:val="00A9048C"/>
    <w:rsid w:val="00A91899"/>
    <w:rsid w:val="00A91B2B"/>
    <w:rsid w:val="00A931B2"/>
    <w:rsid w:val="00A93736"/>
    <w:rsid w:val="00A93CA9"/>
    <w:rsid w:val="00A94933"/>
    <w:rsid w:val="00A94E4F"/>
    <w:rsid w:val="00A952A6"/>
    <w:rsid w:val="00A957A7"/>
    <w:rsid w:val="00A95C8D"/>
    <w:rsid w:val="00A96147"/>
    <w:rsid w:val="00A96E07"/>
    <w:rsid w:val="00A96E12"/>
    <w:rsid w:val="00A972C5"/>
    <w:rsid w:val="00A97848"/>
    <w:rsid w:val="00AA0587"/>
    <w:rsid w:val="00AA0801"/>
    <w:rsid w:val="00AA0DE8"/>
    <w:rsid w:val="00AA273D"/>
    <w:rsid w:val="00AA2CC1"/>
    <w:rsid w:val="00AA2EFA"/>
    <w:rsid w:val="00AA3951"/>
    <w:rsid w:val="00AA3ADB"/>
    <w:rsid w:val="00AA441B"/>
    <w:rsid w:val="00AB1091"/>
    <w:rsid w:val="00AB1E5B"/>
    <w:rsid w:val="00AB227C"/>
    <w:rsid w:val="00AB2B6F"/>
    <w:rsid w:val="00AB3477"/>
    <w:rsid w:val="00AB357C"/>
    <w:rsid w:val="00AB44E6"/>
    <w:rsid w:val="00AB4A2B"/>
    <w:rsid w:val="00AB572F"/>
    <w:rsid w:val="00AB60CD"/>
    <w:rsid w:val="00AB6F2C"/>
    <w:rsid w:val="00AB7B80"/>
    <w:rsid w:val="00AC048B"/>
    <w:rsid w:val="00AC1C9C"/>
    <w:rsid w:val="00AC267E"/>
    <w:rsid w:val="00AC3246"/>
    <w:rsid w:val="00AC36A0"/>
    <w:rsid w:val="00AC399B"/>
    <w:rsid w:val="00AC47E1"/>
    <w:rsid w:val="00AC4AC9"/>
    <w:rsid w:val="00AC4EE1"/>
    <w:rsid w:val="00AC50A4"/>
    <w:rsid w:val="00AC6335"/>
    <w:rsid w:val="00AC6A0C"/>
    <w:rsid w:val="00AC7020"/>
    <w:rsid w:val="00AD0CC2"/>
    <w:rsid w:val="00AD12F6"/>
    <w:rsid w:val="00AD15B0"/>
    <w:rsid w:val="00AD1CBD"/>
    <w:rsid w:val="00AD1D1A"/>
    <w:rsid w:val="00AD1E38"/>
    <w:rsid w:val="00AD221E"/>
    <w:rsid w:val="00AD2DB6"/>
    <w:rsid w:val="00AD307C"/>
    <w:rsid w:val="00AD30C8"/>
    <w:rsid w:val="00AD34D4"/>
    <w:rsid w:val="00AD3D94"/>
    <w:rsid w:val="00AD41CC"/>
    <w:rsid w:val="00AD4205"/>
    <w:rsid w:val="00AD46EE"/>
    <w:rsid w:val="00AD50CD"/>
    <w:rsid w:val="00AD5273"/>
    <w:rsid w:val="00AD6858"/>
    <w:rsid w:val="00AD74D5"/>
    <w:rsid w:val="00AD763C"/>
    <w:rsid w:val="00AE0D5E"/>
    <w:rsid w:val="00AE22CE"/>
    <w:rsid w:val="00AE2C01"/>
    <w:rsid w:val="00AE3804"/>
    <w:rsid w:val="00AE3CBE"/>
    <w:rsid w:val="00AE5C9B"/>
    <w:rsid w:val="00AE6772"/>
    <w:rsid w:val="00AE79E0"/>
    <w:rsid w:val="00AE7D55"/>
    <w:rsid w:val="00AF0194"/>
    <w:rsid w:val="00AF0580"/>
    <w:rsid w:val="00AF06CF"/>
    <w:rsid w:val="00AF1302"/>
    <w:rsid w:val="00AF1827"/>
    <w:rsid w:val="00AF2006"/>
    <w:rsid w:val="00AF208F"/>
    <w:rsid w:val="00AF26A1"/>
    <w:rsid w:val="00AF3DAD"/>
    <w:rsid w:val="00AF5BD3"/>
    <w:rsid w:val="00AF5E95"/>
    <w:rsid w:val="00AF7329"/>
    <w:rsid w:val="00B0068A"/>
    <w:rsid w:val="00B00F74"/>
    <w:rsid w:val="00B02336"/>
    <w:rsid w:val="00B02486"/>
    <w:rsid w:val="00B04C8D"/>
    <w:rsid w:val="00B04D5F"/>
    <w:rsid w:val="00B05154"/>
    <w:rsid w:val="00B0534F"/>
    <w:rsid w:val="00B05DCC"/>
    <w:rsid w:val="00B12215"/>
    <w:rsid w:val="00B12BE1"/>
    <w:rsid w:val="00B13674"/>
    <w:rsid w:val="00B13953"/>
    <w:rsid w:val="00B16A4F"/>
    <w:rsid w:val="00B16DEE"/>
    <w:rsid w:val="00B17192"/>
    <w:rsid w:val="00B208E7"/>
    <w:rsid w:val="00B2316F"/>
    <w:rsid w:val="00B232AF"/>
    <w:rsid w:val="00B23F83"/>
    <w:rsid w:val="00B2454B"/>
    <w:rsid w:val="00B24814"/>
    <w:rsid w:val="00B24D5A"/>
    <w:rsid w:val="00B2524B"/>
    <w:rsid w:val="00B2573C"/>
    <w:rsid w:val="00B25DE3"/>
    <w:rsid w:val="00B2626F"/>
    <w:rsid w:val="00B26F34"/>
    <w:rsid w:val="00B27682"/>
    <w:rsid w:val="00B319D1"/>
    <w:rsid w:val="00B330C3"/>
    <w:rsid w:val="00B336C1"/>
    <w:rsid w:val="00B34A54"/>
    <w:rsid w:val="00B34D79"/>
    <w:rsid w:val="00B36C44"/>
    <w:rsid w:val="00B379A1"/>
    <w:rsid w:val="00B37C87"/>
    <w:rsid w:val="00B4003E"/>
    <w:rsid w:val="00B400EF"/>
    <w:rsid w:val="00B41572"/>
    <w:rsid w:val="00B42D59"/>
    <w:rsid w:val="00B4334D"/>
    <w:rsid w:val="00B45C0B"/>
    <w:rsid w:val="00B45C89"/>
    <w:rsid w:val="00B47177"/>
    <w:rsid w:val="00B47A2D"/>
    <w:rsid w:val="00B5021E"/>
    <w:rsid w:val="00B502E8"/>
    <w:rsid w:val="00B5056D"/>
    <w:rsid w:val="00B506FF"/>
    <w:rsid w:val="00B50FF6"/>
    <w:rsid w:val="00B52414"/>
    <w:rsid w:val="00B5343C"/>
    <w:rsid w:val="00B535F4"/>
    <w:rsid w:val="00B53A6F"/>
    <w:rsid w:val="00B53CAD"/>
    <w:rsid w:val="00B54769"/>
    <w:rsid w:val="00B5599A"/>
    <w:rsid w:val="00B55ECC"/>
    <w:rsid w:val="00B56D38"/>
    <w:rsid w:val="00B57380"/>
    <w:rsid w:val="00B60944"/>
    <w:rsid w:val="00B61A33"/>
    <w:rsid w:val="00B61DBE"/>
    <w:rsid w:val="00B61E45"/>
    <w:rsid w:val="00B620C9"/>
    <w:rsid w:val="00B62560"/>
    <w:rsid w:val="00B634CE"/>
    <w:rsid w:val="00B635D6"/>
    <w:rsid w:val="00B639F0"/>
    <w:rsid w:val="00B6438D"/>
    <w:rsid w:val="00B6469B"/>
    <w:rsid w:val="00B6518D"/>
    <w:rsid w:val="00B652EA"/>
    <w:rsid w:val="00B65545"/>
    <w:rsid w:val="00B65886"/>
    <w:rsid w:val="00B6594F"/>
    <w:rsid w:val="00B67247"/>
    <w:rsid w:val="00B67F68"/>
    <w:rsid w:val="00B70670"/>
    <w:rsid w:val="00B71259"/>
    <w:rsid w:val="00B719E8"/>
    <w:rsid w:val="00B71C06"/>
    <w:rsid w:val="00B71FE4"/>
    <w:rsid w:val="00B723D1"/>
    <w:rsid w:val="00B72466"/>
    <w:rsid w:val="00B72A0C"/>
    <w:rsid w:val="00B74320"/>
    <w:rsid w:val="00B743FE"/>
    <w:rsid w:val="00B753CD"/>
    <w:rsid w:val="00B75D60"/>
    <w:rsid w:val="00B7710E"/>
    <w:rsid w:val="00B801AA"/>
    <w:rsid w:val="00B803B2"/>
    <w:rsid w:val="00B80855"/>
    <w:rsid w:val="00B827BF"/>
    <w:rsid w:val="00B82D67"/>
    <w:rsid w:val="00B82EB1"/>
    <w:rsid w:val="00B83506"/>
    <w:rsid w:val="00B83C43"/>
    <w:rsid w:val="00B85F5D"/>
    <w:rsid w:val="00B86290"/>
    <w:rsid w:val="00B86722"/>
    <w:rsid w:val="00B86BF9"/>
    <w:rsid w:val="00B87949"/>
    <w:rsid w:val="00B87968"/>
    <w:rsid w:val="00B87D47"/>
    <w:rsid w:val="00B907DE"/>
    <w:rsid w:val="00B90B20"/>
    <w:rsid w:val="00B91A97"/>
    <w:rsid w:val="00B92058"/>
    <w:rsid w:val="00B93275"/>
    <w:rsid w:val="00B93847"/>
    <w:rsid w:val="00B940D6"/>
    <w:rsid w:val="00B94110"/>
    <w:rsid w:val="00B95DB5"/>
    <w:rsid w:val="00B95EA9"/>
    <w:rsid w:val="00B96128"/>
    <w:rsid w:val="00BA086D"/>
    <w:rsid w:val="00BA27B9"/>
    <w:rsid w:val="00BA29A3"/>
    <w:rsid w:val="00BA2B5A"/>
    <w:rsid w:val="00BA396A"/>
    <w:rsid w:val="00BA3B4D"/>
    <w:rsid w:val="00BA440E"/>
    <w:rsid w:val="00BA46D5"/>
    <w:rsid w:val="00BA4761"/>
    <w:rsid w:val="00BA5988"/>
    <w:rsid w:val="00BA5EA9"/>
    <w:rsid w:val="00BA6677"/>
    <w:rsid w:val="00BA6CF0"/>
    <w:rsid w:val="00BA7B5F"/>
    <w:rsid w:val="00BA7D53"/>
    <w:rsid w:val="00BB07CA"/>
    <w:rsid w:val="00BB13B0"/>
    <w:rsid w:val="00BB2243"/>
    <w:rsid w:val="00BB2472"/>
    <w:rsid w:val="00BB26BD"/>
    <w:rsid w:val="00BB3071"/>
    <w:rsid w:val="00BB4DA8"/>
    <w:rsid w:val="00BB5C9B"/>
    <w:rsid w:val="00BB654C"/>
    <w:rsid w:val="00BB7259"/>
    <w:rsid w:val="00BB78E4"/>
    <w:rsid w:val="00BB7D10"/>
    <w:rsid w:val="00BC08F9"/>
    <w:rsid w:val="00BC2FB5"/>
    <w:rsid w:val="00BC7E1A"/>
    <w:rsid w:val="00BD0CCA"/>
    <w:rsid w:val="00BD0E1B"/>
    <w:rsid w:val="00BD14DA"/>
    <w:rsid w:val="00BD1520"/>
    <w:rsid w:val="00BD16A2"/>
    <w:rsid w:val="00BD17B8"/>
    <w:rsid w:val="00BD4A82"/>
    <w:rsid w:val="00BD4AF5"/>
    <w:rsid w:val="00BD581A"/>
    <w:rsid w:val="00BD6B29"/>
    <w:rsid w:val="00BE021F"/>
    <w:rsid w:val="00BE0B77"/>
    <w:rsid w:val="00BE1113"/>
    <w:rsid w:val="00BE2894"/>
    <w:rsid w:val="00BE28BA"/>
    <w:rsid w:val="00BE418D"/>
    <w:rsid w:val="00BE43EF"/>
    <w:rsid w:val="00BE4D39"/>
    <w:rsid w:val="00BE6C75"/>
    <w:rsid w:val="00BE6CE2"/>
    <w:rsid w:val="00BE6E37"/>
    <w:rsid w:val="00BE6F01"/>
    <w:rsid w:val="00BF0CD5"/>
    <w:rsid w:val="00BF2BAC"/>
    <w:rsid w:val="00BF35F2"/>
    <w:rsid w:val="00BF3885"/>
    <w:rsid w:val="00BF4700"/>
    <w:rsid w:val="00BF5832"/>
    <w:rsid w:val="00BF60FB"/>
    <w:rsid w:val="00BF61DA"/>
    <w:rsid w:val="00BF7616"/>
    <w:rsid w:val="00C012D5"/>
    <w:rsid w:val="00C03ECB"/>
    <w:rsid w:val="00C0410F"/>
    <w:rsid w:val="00C04D71"/>
    <w:rsid w:val="00C055D0"/>
    <w:rsid w:val="00C05A43"/>
    <w:rsid w:val="00C05BD9"/>
    <w:rsid w:val="00C06C13"/>
    <w:rsid w:val="00C074CA"/>
    <w:rsid w:val="00C11480"/>
    <w:rsid w:val="00C1189D"/>
    <w:rsid w:val="00C120BB"/>
    <w:rsid w:val="00C12496"/>
    <w:rsid w:val="00C124FE"/>
    <w:rsid w:val="00C12A5C"/>
    <w:rsid w:val="00C1366B"/>
    <w:rsid w:val="00C136D9"/>
    <w:rsid w:val="00C149D9"/>
    <w:rsid w:val="00C16774"/>
    <w:rsid w:val="00C20685"/>
    <w:rsid w:val="00C2267C"/>
    <w:rsid w:val="00C2287D"/>
    <w:rsid w:val="00C22FE8"/>
    <w:rsid w:val="00C23066"/>
    <w:rsid w:val="00C235C9"/>
    <w:rsid w:val="00C23A65"/>
    <w:rsid w:val="00C23C09"/>
    <w:rsid w:val="00C24E48"/>
    <w:rsid w:val="00C255CB"/>
    <w:rsid w:val="00C261D6"/>
    <w:rsid w:val="00C27ACA"/>
    <w:rsid w:val="00C308AD"/>
    <w:rsid w:val="00C30E75"/>
    <w:rsid w:val="00C31167"/>
    <w:rsid w:val="00C31EAC"/>
    <w:rsid w:val="00C348FC"/>
    <w:rsid w:val="00C34A09"/>
    <w:rsid w:val="00C35560"/>
    <w:rsid w:val="00C36D02"/>
    <w:rsid w:val="00C40878"/>
    <w:rsid w:val="00C408BB"/>
    <w:rsid w:val="00C40B12"/>
    <w:rsid w:val="00C40BF0"/>
    <w:rsid w:val="00C41E74"/>
    <w:rsid w:val="00C41EEE"/>
    <w:rsid w:val="00C42716"/>
    <w:rsid w:val="00C428C5"/>
    <w:rsid w:val="00C4294E"/>
    <w:rsid w:val="00C448B7"/>
    <w:rsid w:val="00C45DB4"/>
    <w:rsid w:val="00C45F58"/>
    <w:rsid w:val="00C469A0"/>
    <w:rsid w:val="00C46E5A"/>
    <w:rsid w:val="00C47624"/>
    <w:rsid w:val="00C47AC3"/>
    <w:rsid w:val="00C5028A"/>
    <w:rsid w:val="00C504A0"/>
    <w:rsid w:val="00C5082A"/>
    <w:rsid w:val="00C50869"/>
    <w:rsid w:val="00C51262"/>
    <w:rsid w:val="00C52038"/>
    <w:rsid w:val="00C525D6"/>
    <w:rsid w:val="00C53851"/>
    <w:rsid w:val="00C55002"/>
    <w:rsid w:val="00C55728"/>
    <w:rsid w:val="00C55B56"/>
    <w:rsid w:val="00C56EFF"/>
    <w:rsid w:val="00C6012A"/>
    <w:rsid w:val="00C612F0"/>
    <w:rsid w:val="00C61852"/>
    <w:rsid w:val="00C61AEE"/>
    <w:rsid w:val="00C625B0"/>
    <w:rsid w:val="00C631A9"/>
    <w:rsid w:val="00C633B9"/>
    <w:rsid w:val="00C63952"/>
    <w:rsid w:val="00C63D99"/>
    <w:rsid w:val="00C6488D"/>
    <w:rsid w:val="00C65AE3"/>
    <w:rsid w:val="00C66EE0"/>
    <w:rsid w:val="00C672F4"/>
    <w:rsid w:val="00C700B2"/>
    <w:rsid w:val="00C704CE"/>
    <w:rsid w:val="00C70CCA"/>
    <w:rsid w:val="00C72F5C"/>
    <w:rsid w:val="00C7318D"/>
    <w:rsid w:val="00C731B6"/>
    <w:rsid w:val="00C74632"/>
    <w:rsid w:val="00C74FB7"/>
    <w:rsid w:val="00C7504C"/>
    <w:rsid w:val="00C75318"/>
    <w:rsid w:val="00C7575F"/>
    <w:rsid w:val="00C75938"/>
    <w:rsid w:val="00C759C1"/>
    <w:rsid w:val="00C76BB7"/>
    <w:rsid w:val="00C76D91"/>
    <w:rsid w:val="00C80471"/>
    <w:rsid w:val="00C809B8"/>
    <w:rsid w:val="00C810F3"/>
    <w:rsid w:val="00C82E85"/>
    <w:rsid w:val="00C83C54"/>
    <w:rsid w:val="00C83E16"/>
    <w:rsid w:val="00C84924"/>
    <w:rsid w:val="00C84E8A"/>
    <w:rsid w:val="00C8793D"/>
    <w:rsid w:val="00C87B1E"/>
    <w:rsid w:val="00C90018"/>
    <w:rsid w:val="00C90BFA"/>
    <w:rsid w:val="00C92600"/>
    <w:rsid w:val="00C93782"/>
    <w:rsid w:val="00C93E4A"/>
    <w:rsid w:val="00C94BBA"/>
    <w:rsid w:val="00C94EA9"/>
    <w:rsid w:val="00C95513"/>
    <w:rsid w:val="00C95C89"/>
    <w:rsid w:val="00C96C17"/>
    <w:rsid w:val="00CA0FEE"/>
    <w:rsid w:val="00CA1540"/>
    <w:rsid w:val="00CA1659"/>
    <w:rsid w:val="00CA2763"/>
    <w:rsid w:val="00CA3355"/>
    <w:rsid w:val="00CA3699"/>
    <w:rsid w:val="00CA3BB0"/>
    <w:rsid w:val="00CA3D6A"/>
    <w:rsid w:val="00CA4DA6"/>
    <w:rsid w:val="00CA6301"/>
    <w:rsid w:val="00CA7A4C"/>
    <w:rsid w:val="00CB1B6F"/>
    <w:rsid w:val="00CB1E84"/>
    <w:rsid w:val="00CB289A"/>
    <w:rsid w:val="00CB328A"/>
    <w:rsid w:val="00CB37BA"/>
    <w:rsid w:val="00CB4157"/>
    <w:rsid w:val="00CB4437"/>
    <w:rsid w:val="00CB4A4F"/>
    <w:rsid w:val="00CB5402"/>
    <w:rsid w:val="00CB5AB1"/>
    <w:rsid w:val="00CB5C99"/>
    <w:rsid w:val="00CB637D"/>
    <w:rsid w:val="00CB7BB1"/>
    <w:rsid w:val="00CB7F68"/>
    <w:rsid w:val="00CC3265"/>
    <w:rsid w:val="00CC3EB7"/>
    <w:rsid w:val="00CC4C2A"/>
    <w:rsid w:val="00CC55FF"/>
    <w:rsid w:val="00CC69A1"/>
    <w:rsid w:val="00CC6EFE"/>
    <w:rsid w:val="00CC7BAB"/>
    <w:rsid w:val="00CD0675"/>
    <w:rsid w:val="00CD0684"/>
    <w:rsid w:val="00CD148C"/>
    <w:rsid w:val="00CD185E"/>
    <w:rsid w:val="00CD1D2C"/>
    <w:rsid w:val="00CD21B9"/>
    <w:rsid w:val="00CD2FC8"/>
    <w:rsid w:val="00CD3933"/>
    <w:rsid w:val="00CD3D29"/>
    <w:rsid w:val="00CD3D4F"/>
    <w:rsid w:val="00CD3E25"/>
    <w:rsid w:val="00CD3FB0"/>
    <w:rsid w:val="00CD4F6D"/>
    <w:rsid w:val="00CD5121"/>
    <w:rsid w:val="00CD5A03"/>
    <w:rsid w:val="00CD67D6"/>
    <w:rsid w:val="00CD6B69"/>
    <w:rsid w:val="00CD7CAF"/>
    <w:rsid w:val="00CE11E9"/>
    <w:rsid w:val="00CE11FE"/>
    <w:rsid w:val="00CE17F2"/>
    <w:rsid w:val="00CE24B4"/>
    <w:rsid w:val="00CE258D"/>
    <w:rsid w:val="00CE279C"/>
    <w:rsid w:val="00CE30D5"/>
    <w:rsid w:val="00CE470E"/>
    <w:rsid w:val="00CE58BA"/>
    <w:rsid w:val="00CE7CA4"/>
    <w:rsid w:val="00CE7E87"/>
    <w:rsid w:val="00CF0E20"/>
    <w:rsid w:val="00CF1B95"/>
    <w:rsid w:val="00CF210B"/>
    <w:rsid w:val="00CF2CDE"/>
    <w:rsid w:val="00CF2F34"/>
    <w:rsid w:val="00CF302C"/>
    <w:rsid w:val="00CF3462"/>
    <w:rsid w:val="00CF4433"/>
    <w:rsid w:val="00CF55CB"/>
    <w:rsid w:val="00CF572B"/>
    <w:rsid w:val="00CF5C36"/>
    <w:rsid w:val="00CF6C37"/>
    <w:rsid w:val="00CF6F8E"/>
    <w:rsid w:val="00CF711F"/>
    <w:rsid w:val="00CF7C7A"/>
    <w:rsid w:val="00CF7E51"/>
    <w:rsid w:val="00CF7F16"/>
    <w:rsid w:val="00D001EF"/>
    <w:rsid w:val="00D01418"/>
    <w:rsid w:val="00D01613"/>
    <w:rsid w:val="00D0287F"/>
    <w:rsid w:val="00D02E1A"/>
    <w:rsid w:val="00D02E6B"/>
    <w:rsid w:val="00D03026"/>
    <w:rsid w:val="00D0475A"/>
    <w:rsid w:val="00D05A65"/>
    <w:rsid w:val="00D05CE8"/>
    <w:rsid w:val="00D079E0"/>
    <w:rsid w:val="00D1002A"/>
    <w:rsid w:val="00D10107"/>
    <w:rsid w:val="00D10AE1"/>
    <w:rsid w:val="00D1291A"/>
    <w:rsid w:val="00D133F8"/>
    <w:rsid w:val="00D136C0"/>
    <w:rsid w:val="00D13798"/>
    <w:rsid w:val="00D14704"/>
    <w:rsid w:val="00D149CA"/>
    <w:rsid w:val="00D14B54"/>
    <w:rsid w:val="00D15181"/>
    <w:rsid w:val="00D153B0"/>
    <w:rsid w:val="00D16DF7"/>
    <w:rsid w:val="00D16F70"/>
    <w:rsid w:val="00D1768D"/>
    <w:rsid w:val="00D17B8B"/>
    <w:rsid w:val="00D17DCF"/>
    <w:rsid w:val="00D20F6E"/>
    <w:rsid w:val="00D21313"/>
    <w:rsid w:val="00D213C7"/>
    <w:rsid w:val="00D222CF"/>
    <w:rsid w:val="00D242C6"/>
    <w:rsid w:val="00D255C8"/>
    <w:rsid w:val="00D2600A"/>
    <w:rsid w:val="00D26BF4"/>
    <w:rsid w:val="00D3001E"/>
    <w:rsid w:val="00D31C9B"/>
    <w:rsid w:val="00D32354"/>
    <w:rsid w:val="00D328D6"/>
    <w:rsid w:val="00D32C4F"/>
    <w:rsid w:val="00D34183"/>
    <w:rsid w:val="00D3432B"/>
    <w:rsid w:val="00D353D9"/>
    <w:rsid w:val="00D3573E"/>
    <w:rsid w:val="00D36292"/>
    <w:rsid w:val="00D36BE7"/>
    <w:rsid w:val="00D400FF"/>
    <w:rsid w:val="00D402A3"/>
    <w:rsid w:val="00D405CB"/>
    <w:rsid w:val="00D414D6"/>
    <w:rsid w:val="00D429C3"/>
    <w:rsid w:val="00D42B17"/>
    <w:rsid w:val="00D438DE"/>
    <w:rsid w:val="00D441B4"/>
    <w:rsid w:val="00D4616E"/>
    <w:rsid w:val="00D463AA"/>
    <w:rsid w:val="00D50142"/>
    <w:rsid w:val="00D50CF9"/>
    <w:rsid w:val="00D51288"/>
    <w:rsid w:val="00D51578"/>
    <w:rsid w:val="00D52C26"/>
    <w:rsid w:val="00D52CB4"/>
    <w:rsid w:val="00D53932"/>
    <w:rsid w:val="00D53F62"/>
    <w:rsid w:val="00D555F9"/>
    <w:rsid w:val="00D556F1"/>
    <w:rsid w:val="00D5619D"/>
    <w:rsid w:val="00D56ADB"/>
    <w:rsid w:val="00D56C5D"/>
    <w:rsid w:val="00D56F77"/>
    <w:rsid w:val="00D6008F"/>
    <w:rsid w:val="00D60DB7"/>
    <w:rsid w:val="00D613AE"/>
    <w:rsid w:val="00D61943"/>
    <w:rsid w:val="00D62BD7"/>
    <w:rsid w:val="00D63369"/>
    <w:rsid w:val="00D63413"/>
    <w:rsid w:val="00D64361"/>
    <w:rsid w:val="00D64870"/>
    <w:rsid w:val="00D64AAF"/>
    <w:rsid w:val="00D64C8B"/>
    <w:rsid w:val="00D659E4"/>
    <w:rsid w:val="00D661E3"/>
    <w:rsid w:val="00D66282"/>
    <w:rsid w:val="00D6681A"/>
    <w:rsid w:val="00D66BEA"/>
    <w:rsid w:val="00D6722E"/>
    <w:rsid w:val="00D6731B"/>
    <w:rsid w:val="00D70410"/>
    <w:rsid w:val="00D71682"/>
    <w:rsid w:val="00D72721"/>
    <w:rsid w:val="00D74EA2"/>
    <w:rsid w:val="00D75089"/>
    <w:rsid w:val="00D75A42"/>
    <w:rsid w:val="00D81951"/>
    <w:rsid w:val="00D819E4"/>
    <w:rsid w:val="00D829CD"/>
    <w:rsid w:val="00D8305D"/>
    <w:rsid w:val="00D83759"/>
    <w:rsid w:val="00D84242"/>
    <w:rsid w:val="00D84259"/>
    <w:rsid w:val="00D842AF"/>
    <w:rsid w:val="00D844AF"/>
    <w:rsid w:val="00D849CC"/>
    <w:rsid w:val="00D85D34"/>
    <w:rsid w:val="00D86AB3"/>
    <w:rsid w:val="00D86D1E"/>
    <w:rsid w:val="00D87115"/>
    <w:rsid w:val="00D87B1F"/>
    <w:rsid w:val="00D9013D"/>
    <w:rsid w:val="00D90539"/>
    <w:rsid w:val="00D90B62"/>
    <w:rsid w:val="00D912FA"/>
    <w:rsid w:val="00D91D17"/>
    <w:rsid w:val="00D91D38"/>
    <w:rsid w:val="00D927DD"/>
    <w:rsid w:val="00D92C17"/>
    <w:rsid w:val="00D934D8"/>
    <w:rsid w:val="00D9467E"/>
    <w:rsid w:val="00D95823"/>
    <w:rsid w:val="00D958FA"/>
    <w:rsid w:val="00D974CF"/>
    <w:rsid w:val="00D97904"/>
    <w:rsid w:val="00D97E0B"/>
    <w:rsid w:val="00DA02A1"/>
    <w:rsid w:val="00DA0F36"/>
    <w:rsid w:val="00DA21E6"/>
    <w:rsid w:val="00DA2DBF"/>
    <w:rsid w:val="00DA2F8B"/>
    <w:rsid w:val="00DA2FDB"/>
    <w:rsid w:val="00DA3FC0"/>
    <w:rsid w:val="00DA475F"/>
    <w:rsid w:val="00DA50C3"/>
    <w:rsid w:val="00DA5358"/>
    <w:rsid w:val="00DA5E0D"/>
    <w:rsid w:val="00DA618B"/>
    <w:rsid w:val="00DA6A3B"/>
    <w:rsid w:val="00DA6C8E"/>
    <w:rsid w:val="00DA6E25"/>
    <w:rsid w:val="00DA7549"/>
    <w:rsid w:val="00DA7628"/>
    <w:rsid w:val="00DA78ED"/>
    <w:rsid w:val="00DA79B2"/>
    <w:rsid w:val="00DA7AEB"/>
    <w:rsid w:val="00DA7BB8"/>
    <w:rsid w:val="00DB0546"/>
    <w:rsid w:val="00DB0570"/>
    <w:rsid w:val="00DB0B57"/>
    <w:rsid w:val="00DB1A0B"/>
    <w:rsid w:val="00DB1A8A"/>
    <w:rsid w:val="00DB22EC"/>
    <w:rsid w:val="00DB2842"/>
    <w:rsid w:val="00DB5120"/>
    <w:rsid w:val="00DB5AE9"/>
    <w:rsid w:val="00DB63E0"/>
    <w:rsid w:val="00DB67B2"/>
    <w:rsid w:val="00DB6970"/>
    <w:rsid w:val="00DB6E92"/>
    <w:rsid w:val="00DB7515"/>
    <w:rsid w:val="00DC0B7E"/>
    <w:rsid w:val="00DC19CB"/>
    <w:rsid w:val="00DC1C58"/>
    <w:rsid w:val="00DC2451"/>
    <w:rsid w:val="00DC2610"/>
    <w:rsid w:val="00DC2A70"/>
    <w:rsid w:val="00DC2BB3"/>
    <w:rsid w:val="00DC4673"/>
    <w:rsid w:val="00DC4CE9"/>
    <w:rsid w:val="00DC5812"/>
    <w:rsid w:val="00DC5C08"/>
    <w:rsid w:val="00DC634F"/>
    <w:rsid w:val="00DC749B"/>
    <w:rsid w:val="00DC7FE1"/>
    <w:rsid w:val="00DD0974"/>
    <w:rsid w:val="00DD1BE8"/>
    <w:rsid w:val="00DD2808"/>
    <w:rsid w:val="00DD472F"/>
    <w:rsid w:val="00DD4954"/>
    <w:rsid w:val="00DD4C91"/>
    <w:rsid w:val="00DD5F88"/>
    <w:rsid w:val="00DD6AF7"/>
    <w:rsid w:val="00DD7F04"/>
    <w:rsid w:val="00DE03AC"/>
    <w:rsid w:val="00DE0744"/>
    <w:rsid w:val="00DE0912"/>
    <w:rsid w:val="00DE0CE7"/>
    <w:rsid w:val="00DE11AA"/>
    <w:rsid w:val="00DE250C"/>
    <w:rsid w:val="00DE2D9B"/>
    <w:rsid w:val="00DE35DC"/>
    <w:rsid w:val="00DE4C68"/>
    <w:rsid w:val="00DE5439"/>
    <w:rsid w:val="00DE547D"/>
    <w:rsid w:val="00DE69D6"/>
    <w:rsid w:val="00DE6D58"/>
    <w:rsid w:val="00DE7091"/>
    <w:rsid w:val="00DE7C48"/>
    <w:rsid w:val="00DE7F94"/>
    <w:rsid w:val="00DF05BF"/>
    <w:rsid w:val="00DF0BFC"/>
    <w:rsid w:val="00DF1933"/>
    <w:rsid w:val="00DF2054"/>
    <w:rsid w:val="00DF2B2F"/>
    <w:rsid w:val="00DF383A"/>
    <w:rsid w:val="00DF3C46"/>
    <w:rsid w:val="00DF7B68"/>
    <w:rsid w:val="00E006FE"/>
    <w:rsid w:val="00E00923"/>
    <w:rsid w:val="00E00A9F"/>
    <w:rsid w:val="00E02DFF"/>
    <w:rsid w:val="00E03F70"/>
    <w:rsid w:val="00E042CE"/>
    <w:rsid w:val="00E055A6"/>
    <w:rsid w:val="00E10940"/>
    <w:rsid w:val="00E112B0"/>
    <w:rsid w:val="00E11603"/>
    <w:rsid w:val="00E12696"/>
    <w:rsid w:val="00E12FC8"/>
    <w:rsid w:val="00E13276"/>
    <w:rsid w:val="00E133DB"/>
    <w:rsid w:val="00E140D6"/>
    <w:rsid w:val="00E14B8C"/>
    <w:rsid w:val="00E163FB"/>
    <w:rsid w:val="00E1664D"/>
    <w:rsid w:val="00E16941"/>
    <w:rsid w:val="00E16BC3"/>
    <w:rsid w:val="00E20B42"/>
    <w:rsid w:val="00E22006"/>
    <w:rsid w:val="00E2221B"/>
    <w:rsid w:val="00E22A59"/>
    <w:rsid w:val="00E236A0"/>
    <w:rsid w:val="00E26279"/>
    <w:rsid w:val="00E27B8C"/>
    <w:rsid w:val="00E3247D"/>
    <w:rsid w:val="00E329E8"/>
    <w:rsid w:val="00E32C2F"/>
    <w:rsid w:val="00E32E78"/>
    <w:rsid w:val="00E33305"/>
    <w:rsid w:val="00E3376D"/>
    <w:rsid w:val="00E33A5A"/>
    <w:rsid w:val="00E342A5"/>
    <w:rsid w:val="00E346CB"/>
    <w:rsid w:val="00E35217"/>
    <w:rsid w:val="00E373F6"/>
    <w:rsid w:val="00E37DFC"/>
    <w:rsid w:val="00E37E76"/>
    <w:rsid w:val="00E410E7"/>
    <w:rsid w:val="00E417AC"/>
    <w:rsid w:val="00E41B52"/>
    <w:rsid w:val="00E433B4"/>
    <w:rsid w:val="00E44618"/>
    <w:rsid w:val="00E4489E"/>
    <w:rsid w:val="00E453E2"/>
    <w:rsid w:val="00E46769"/>
    <w:rsid w:val="00E4694A"/>
    <w:rsid w:val="00E5115E"/>
    <w:rsid w:val="00E512E4"/>
    <w:rsid w:val="00E51AA6"/>
    <w:rsid w:val="00E53016"/>
    <w:rsid w:val="00E530BF"/>
    <w:rsid w:val="00E53911"/>
    <w:rsid w:val="00E53AD9"/>
    <w:rsid w:val="00E53EDA"/>
    <w:rsid w:val="00E546B0"/>
    <w:rsid w:val="00E54C1A"/>
    <w:rsid w:val="00E54E1B"/>
    <w:rsid w:val="00E56A0C"/>
    <w:rsid w:val="00E57FD7"/>
    <w:rsid w:val="00E605CA"/>
    <w:rsid w:val="00E60D97"/>
    <w:rsid w:val="00E62D0A"/>
    <w:rsid w:val="00E63ADC"/>
    <w:rsid w:val="00E64A01"/>
    <w:rsid w:val="00E64D67"/>
    <w:rsid w:val="00E6520C"/>
    <w:rsid w:val="00E65C38"/>
    <w:rsid w:val="00E66CE3"/>
    <w:rsid w:val="00E67725"/>
    <w:rsid w:val="00E67BE5"/>
    <w:rsid w:val="00E70134"/>
    <w:rsid w:val="00E701D5"/>
    <w:rsid w:val="00E71065"/>
    <w:rsid w:val="00E7150A"/>
    <w:rsid w:val="00E716B6"/>
    <w:rsid w:val="00E7190B"/>
    <w:rsid w:val="00E7341C"/>
    <w:rsid w:val="00E7398E"/>
    <w:rsid w:val="00E73B80"/>
    <w:rsid w:val="00E73D2F"/>
    <w:rsid w:val="00E74078"/>
    <w:rsid w:val="00E74536"/>
    <w:rsid w:val="00E74992"/>
    <w:rsid w:val="00E74C71"/>
    <w:rsid w:val="00E74E3A"/>
    <w:rsid w:val="00E7605E"/>
    <w:rsid w:val="00E76DE1"/>
    <w:rsid w:val="00E77574"/>
    <w:rsid w:val="00E77AC8"/>
    <w:rsid w:val="00E8081E"/>
    <w:rsid w:val="00E80E44"/>
    <w:rsid w:val="00E81909"/>
    <w:rsid w:val="00E84074"/>
    <w:rsid w:val="00E84877"/>
    <w:rsid w:val="00E84A88"/>
    <w:rsid w:val="00E85453"/>
    <w:rsid w:val="00E863F8"/>
    <w:rsid w:val="00E86CC2"/>
    <w:rsid w:val="00E86E07"/>
    <w:rsid w:val="00E86E5E"/>
    <w:rsid w:val="00E876B6"/>
    <w:rsid w:val="00E9005B"/>
    <w:rsid w:val="00E90F76"/>
    <w:rsid w:val="00E91F98"/>
    <w:rsid w:val="00E924F6"/>
    <w:rsid w:val="00E92561"/>
    <w:rsid w:val="00E9292D"/>
    <w:rsid w:val="00E9395D"/>
    <w:rsid w:val="00E943F3"/>
    <w:rsid w:val="00E961FD"/>
    <w:rsid w:val="00E96E96"/>
    <w:rsid w:val="00E97FDF"/>
    <w:rsid w:val="00EA0702"/>
    <w:rsid w:val="00EA1CC0"/>
    <w:rsid w:val="00EA42C7"/>
    <w:rsid w:val="00EA4449"/>
    <w:rsid w:val="00EA4579"/>
    <w:rsid w:val="00EA5675"/>
    <w:rsid w:val="00EA66D1"/>
    <w:rsid w:val="00EA7677"/>
    <w:rsid w:val="00EB2D3E"/>
    <w:rsid w:val="00EB2F2E"/>
    <w:rsid w:val="00EB3E30"/>
    <w:rsid w:val="00EB4A95"/>
    <w:rsid w:val="00EB533C"/>
    <w:rsid w:val="00EB641D"/>
    <w:rsid w:val="00EB6EC1"/>
    <w:rsid w:val="00EB6FB3"/>
    <w:rsid w:val="00EB7189"/>
    <w:rsid w:val="00EB789B"/>
    <w:rsid w:val="00EC02CD"/>
    <w:rsid w:val="00EC0ABA"/>
    <w:rsid w:val="00EC1FC3"/>
    <w:rsid w:val="00EC2D5A"/>
    <w:rsid w:val="00EC30CB"/>
    <w:rsid w:val="00EC375B"/>
    <w:rsid w:val="00EC40C3"/>
    <w:rsid w:val="00EC4F2E"/>
    <w:rsid w:val="00EC6E5C"/>
    <w:rsid w:val="00EC6F9C"/>
    <w:rsid w:val="00EC7131"/>
    <w:rsid w:val="00EC720E"/>
    <w:rsid w:val="00EC7C65"/>
    <w:rsid w:val="00EC7F98"/>
    <w:rsid w:val="00ED2248"/>
    <w:rsid w:val="00ED2A3A"/>
    <w:rsid w:val="00ED3A1F"/>
    <w:rsid w:val="00ED3EFC"/>
    <w:rsid w:val="00ED4054"/>
    <w:rsid w:val="00ED4956"/>
    <w:rsid w:val="00ED5AB8"/>
    <w:rsid w:val="00ED7B42"/>
    <w:rsid w:val="00EE124D"/>
    <w:rsid w:val="00EE332D"/>
    <w:rsid w:val="00EE3592"/>
    <w:rsid w:val="00EE36F9"/>
    <w:rsid w:val="00EE4177"/>
    <w:rsid w:val="00EE648B"/>
    <w:rsid w:val="00EE68FD"/>
    <w:rsid w:val="00EE7C38"/>
    <w:rsid w:val="00EF0BB8"/>
    <w:rsid w:val="00EF0E62"/>
    <w:rsid w:val="00EF0EBF"/>
    <w:rsid w:val="00EF1922"/>
    <w:rsid w:val="00EF1FC9"/>
    <w:rsid w:val="00EF262F"/>
    <w:rsid w:val="00EF2817"/>
    <w:rsid w:val="00EF2A7B"/>
    <w:rsid w:val="00EF3BA9"/>
    <w:rsid w:val="00EF4457"/>
    <w:rsid w:val="00EF4D8E"/>
    <w:rsid w:val="00EF52FD"/>
    <w:rsid w:val="00EF5B50"/>
    <w:rsid w:val="00EF63E9"/>
    <w:rsid w:val="00EF6CBB"/>
    <w:rsid w:val="00EF7015"/>
    <w:rsid w:val="00EF7271"/>
    <w:rsid w:val="00EF7A2C"/>
    <w:rsid w:val="00F001FE"/>
    <w:rsid w:val="00F00500"/>
    <w:rsid w:val="00F00A68"/>
    <w:rsid w:val="00F00A84"/>
    <w:rsid w:val="00F01554"/>
    <w:rsid w:val="00F02A29"/>
    <w:rsid w:val="00F033D9"/>
    <w:rsid w:val="00F03723"/>
    <w:rsid w:val="00F037C6"/>
    <w:rsid w:val="00F03E68"/>
    <w:rsid w:val="00F04239"/>
    <w:rsid w:val="00F04FEA"/>
    <w:rsid w:val="00F05A1D"/>
    <w:rsid w:val="00F0698C"/>
    <w:rsid w:val="00F06CDD"/>
    <w:rsid w:val="00F070AC"/>
    <w:rsid w:val="00F07BFF"/>
    <w:rsid w:val="00F105E7"/>
    <w:rsid w:val="00F11B1D"/>
    <w:rsid w:val="00F1226A"/>
    <w:rsid w:val="00F1258C"/>
    <w:rsid w:val="00F131AB"/>
    <w:rsid w:val="00F151AC"/>
    <w:rsid w:val="00F15514"/>
    <w:rsid w:val="00F1568B"/>
    <w:rsid w:val="00F16B36"/>
    <w:rsid w:val="00F17B6E"/>
    <w:rsid w:val="00F2036F"/>
    <w:rsid w:val="00F20924"/>
    <w:rsid w:val="00F21178"/>
    <w:rsid w:val="00F22270"/>
    <w:rsid w:val="00F22CA5"/>
    <w:rsid w:val="00F2307A"/>
    <w:rsid w:val="00F23E3B"/>
    <w:rsid w:val="00F240B0"/>
    <w:rsid w:val="00F261CC"/>
    <w:rsid w:val="00F30086"/>
    <w:rsid w:val="00F30959"/>
    <w:rsid w:val="00F312A0"/>
    <w:rsid w:val="00F3159C"/>
    <w:rsid w:val="00F31E22"/>
    <w:rsid w:val="00F31E26"/>
    <w:rsid w:val="00F31FC6"/>
    <w:rsid w:val="00F31FF4"/>
    <w:rsid w:val="00F32175"/>
    <w:rsid w:val="00F3233D"/>
    <w:rsid w:val="00F325B2"/>
    <w:rsid w:val="00F33C79"/>
    <w:rsid w:val="00F354F4"/>
    <w:rsid w:val="00F35940"/>
    <w:rsid w:val="00F36936"/>
    <w:rsid w:val="00F36A38"/>
    <w:rsid w:val="00F3735B"/>
    <w:rsid w:val="00F37467"/>
    <w:rsid w:val="00F37779"/>
    <w:rsid w:val="00F37B12"/>
    <w:rsid w:val="00F37B74"/>
    <w:rsid w:val="00F40DF4"/>
    <w:rsid w:val="00F4130C"/>
    <w:rsid w:val="00F41788"/>
    <w:rsid w:val="00F41D7B"/>
    <w:rsid w:val="00F42085"/>
    <w:rsid w:val="00F43602"/>
    <w:rsid w:val="00F43736"/>
    <w:rsid w:val="00F45082"/>
    <w:rsid w:val="00F45675"/>
    <w:rsid w:val="00F45B5A"/>
    <w:rsid w:val="00F46670"/>
    <w:rsid w:val="00F4686A"/>
    <w:rsid w:val="00F46DD5"/>
    <w:rsid w:val="00F5006D"/>
    <w:rsid w:val="00F508E4"/>
    <w:rsid w:val="00F51128"/>
    <w:rsid w:val="00F5277E"/>
    <w:rsid w:val="00F55257"/>
    <w:rsid w:val="00F553A9"/>
    <w:rsid w:val="00F558D1"/>
    <w:rsid w:val="00F55ADC"/>
    <w:rsid w:val="00F56628"/>
    <w:rsid w:val="00F5666C"/>
    <w:rsid w:val="00F566BA"/>
    <w:rsid w:val="00F56CC8"/>
    <w:rsid w:val="00F57B80"/>
    <w:rsid w:val="00F60472"/>
    <w:rsid w:val="00F604D1"/>
    <w:rsid w:val="00F61447"/>
    <w:rsid w:val="00F61698"/>
    <w:rsid w:val="00F61AF2"/>
    <w:rsid w:val="00F6209B"/>
    <w:rsid w:val="00F6252F"/>
    <w:rsid w:val="00F6253A"/>
    <w:rsid w:val="00F628FE"/>
    <w:rsid w:val="00F63A74"/>
    <w:rsid w:val="00F64798"/>
    <w:rsid w:val="00F64A4B"/>
    <w:rsid w:val="00F64B74"/>
    <w:rsid w:val="00F653F9"/>
    <w:rsid w:val="00F66F40"/>
    <w:rsid w:val="00F66FFC"/>
    <w:rsid w:val="00F6732E"/>
    <w:rsid w:val="00F67835"/>
    <w:rsid w:val="00F70005"/>
    <w:rsid w:val="00F704A5"/>
    <w:rsid w:val="00F72D0E"/>
    <w:rsid w:val="00F73507"/>
    <w:rsid w:val="00F75724"/>
    <w:rsid w:val="00F75DAA"/>
    <w:rsid w:val="00F76380"/>
    <w:rsid w:val="00F76509"/>
    <w:rsid w:val="00F7681B"/>
    <w:rsid w:val="00F76EDB"/>
    <w:rsid w:val="00F7717A"/>
    <w:rsid w:val="00F77419"/>
    <w:rsid w:val="00F80AB8"/>
    <w:rsid w:val="00F812D5"/>
    <w:rsid w:val="00F836BB"/>
    <w:rsid w:val="00F851C1"/>
    <w:rsid w:val="00F85C26"/>
    <w:rsid w:val="00F86142"/>
    <w:rsid w:val="00F8753B"/>
    <w:rsid w:val="00F92A28"/>
    <w:rsid w:val="00F92C0D"/>
    <w:rsid w:val="00F92C86"/>
    <w:rsid w:val="00F92F34"/>
    <w:rsid w:val="00F9336D"/>
    <w:rsid w:val="00F9400D"/>
    <w:rsid w:val="00F948A4"/>
    <w:rsid w:val="00F963DD"/>
    <w:rsid w:val="00F972CD"/>
    <w:rsid w:val="00F97950"/>
    <w:rsid w:val="00F97EA2"/>
    <w:rsid w:val="00FA155D"/>
    <w:rsid w:val="00FA2094"/>
    <w:rsid w:val="00FA2EB8"/>
    <w:rsid w:val="00FA365D"/>
    <w:rsid w:val="00FA36E8"/>
    <w:rsid w:val="00FA37CC"/>
    <w:rsid w:val="00FA7A2E"/>
    <w:rsid w:val="00FB1492"/>
    <w:rsid w:val="00FB1BF3"/>
    <w:rsid w:val="00FB1C90"/>
    <w:rsid w:val="00FB1EA1"/>
    <w:rsid w:val="00FB2E6A"/>
    <w:rsid w:val="00FB3ADF"/>
    <w:rsid w:val="00FB4720"/>
    <w:rsid w:val="00FB49F4"/>
    <w:rsid w:val="00FB4B82"/>
    <w:rsid w:val="00FB4F70"/>
    <w:rsid w:val="00FB67B4"/>
    <w:rsid w:val="00FB71F1"/>
    <w:rsid w:val="00FB731B"/>
    <w:rsid w:val="00FB7FB0"/>
    <w:rsid w:val="00FC052F"/>
    <w:rsid w:val="00FC2C14"/>
    <w:rsid w:val="00FC30FA"/>
    <w:rsid w:val="00FC38F4"/>
    <w:rsid w:val="00FC3C14"/>
    <w:rsid w:val="00FC45B8"/>
    <w:rsid w:val="00FC5154"/>
    <w:rsid w:val="00FC6FC5"/>
    <w:rsid w:val="00FC747E"/>
    <w:rsid w:val="00FC74B8"/>
    <w:rsid w:val="00FD134E"/>
    <w:rsid w:val="00FD173C"/>
    <w:rsid w:val="00FD1750"/>
    <w:rsid w:val="00FD1DD8"/>
    <w:rsid w:val="00FD34D9"/>
    <w:rsid w:val="00FD3564"/>
    <w:rsid w:val="00FD480F"/>
    <w:rsid w:val="00FD487A"/>
    <w:rsid w:val="00FD751A"/>
    <w:rsid w:val="00FE0B38"/>
    <w:rsid w:val="00FE1206"/>
    <w:rsid w:val="00FE1797"/>
    <w:rsid w:val="00FE190E"/>
    <w:rsid w:val="00FE1D88"/>
    <w:rsid w:val="00FE2703"/>
    <w:rsid w:val="00FE60E1"/>
    <w:rsid w:val="00FE67CB"/>
    <w:rsid w:val="00FE7E4B"/>
    <w:rsid w:val="00FF0585"/>
    <w:rsid w:val="00FF151A"/>
    <w:rsid w:val="00FF191B"/>
    <w:rsid w:val="00FF2228"/>
    <w:rsid w:val="00FF2493"/>
    <w:rsid w:val="00FF25EF"/>
    <w:rsid w:val="00FF2A4E"/>
    <w:rsid w:val="00FF3172"/>
    <w:rsid w:val="00FF366A"/>
    <w:rsid w:val="00FF41B1"/>
    <w:rsid w:val="00FF452F"/>
    <w:rsid w:val="00FF4CA8"/>
    <w:rsid w:val="00FF4E67"/>
    <w:rsid w:val="00FF4F99"/>
    <w:rsid w:val="00FF695D"/>
    <w:rsid w:val="00FF70A0"/>
    <w:rsid w:val="00FF7322"/>
    <w:rsid w:val="00FF77A2"/>
    <w:rsid w:val="00FF792F"/>
    <w:rsid w:val="00FF7B66"/>
    <w:rsid w:val="00FF7F07"/>
    <w:rsid w:val="01137C69"/>
    <w:rsid w:val="013E4434"/>
    <w:rsid w:val="014F04E5"/>
    <w:rsid w:val="016F45ED"/>
    <w:rsid w:val="01920401"/>
    <w:rsid w:val="0194674A"/>
    <w:rsid w:val="0195644C"/>
    <w:rsid w:val="019E4202"/>
    <w:rsid w:val="019F636B"/>
    <w:rsid w:val="01A00C4B"/>
    <w:rsid w:val="01B16E65"/>
    <w:rsid w:val="01B3097E"/>
    <w:rsid w:val="01B36BD0"/>
    <w:rsid w:val="01B87B26"/>
    <w:rsid w:val="01BF5575"/>
    <w:rsid w:val="01C26E13"/>
    <w:rsid w:val="01C506B1"/>
    <w:rsid w:val="01D3326A"/>
    <w:rsid w:val="01D775BE"/>
    <w:rsid w:val="01EA1125"/>
    <w:rsid w:val="01F40F97"/>
    <w:rsid w:val="020A2568"/>
    <w:rsid w:val="0212652F"/>
    <w:rsid w:val="021D04ED"/>
    <w:rsid w:val="02290C40"/>
    <w:rsid w:val="02313F99"/>
    <w:rsid w:val="024141DC"/>
    <w:rsid w:val="024535A0"/>
    <w:rsid w:val="02505505"/>
    <w:rsid w:val="0255198A"/>
    <w:rsid w:val="02663C42"/>
    <w:rsid w:val="026844A3"/>
    <w:rsid w:val="027423B3"/>
    <w:rsid w:val="028E7BDF"/>
    <w:rsid w:val="02B74878"/>
    <w:rsid w:val="02D34744"/>
    <w:rsid w:val="0308778C"/>
    <w:rsid w:val="03157891"/>
    <w:rsid w:val="03197C7F"/>
    <w:rsid w:val="03246D18"/>
    <w:rsid w:val="0328714A"/>
    <w:rsid w:val="033E071B"/>
    <w:rsid w:val="034C1B99"/>
    <w:rsid w:val="034F0B7A"/>
    <w:rsid w:val="035E2B6B"/>
    <w:rsid w:val="03634626"/>
    <w:rsid w:val="0370464D"/>
    <w:rsid w:val="03756FA1"/>
    <w:rsid w:val="037800D1"/>
    <w:rsid w:val="037C1244"/>
    <w:rsid w:val="038720C2"/>
    <w:rsid w:val="03AD58A1"/>
    <w:rsid w:val="03D64DF8"/>
    <w:rsid w:val="03E10731"/>
    <w:rsid w:val="03EA6FAA"/>
    <w:rsid w:val="03EE2A56"/>
    <w:rsid w:val="03FA6D38"/>
    <w:rsid w:val="04016320"/>
    <w:rsid w:val="043D09D3"/>
    <w:rsid w:val="04446205"/>
    <w:rsid w:val="0449381C"/>
    <w:rsid w:val="0482615E"/>
    <w:rsid w:val="04B05277"/>
    <w:rsid w:val="04D550AF"/>
    <w:rsid w:val="04E2157A"/>
    <w:rsid w:val="04EA6DAD"/>
    <w:rsid w:val="050D4295"/>
    <w:rsid w:val="05146745"/>
    <w:rsid w:val="052027CE"/>
    <w:rsid w:val="052D0A47"/>
    <w:rsid w:val="0530678A"/>
    <w:rsid w:val="0534627A"/>
    <w:rsid w:val="05371AF0"/>
    <w:rsid w:val="054116CB"/>
    <w:rsid w:val="0548574A"/>
    <w:rsid w:val="055038BC"/>
    <w:rsid w:val="05526700"/>
    <w:rsid w:val="05544350"/>
    <w:rsid w:val="055D1B12"/>
    <w:rsid w:val="058A1392"/>
    <w:rsid w:val="05962A91"/>
    <w:rsid w:val="05B178CA"/>
    <w:rsid w:val="05C12A5E"/>
    <w:rsid w:val="05D215EF"/>
    <w:rsid w:val="05F23A3F"/>
    <w:rsid w:val="05F6352F"/>
    <w:rsid w:val="060515A3"/>
    <w:rsid w:val="060519C4"/>
    <w:rsid w:val="0616772D"/>
    <w:rsid w:val="06367DD0"/>
    <w:rsid w:val="06397D7B"/>
    <w:rsid w:val="06440F1E"/>
    <w:rsid w:val="064E336B"/>
    <w:rsid w:val="064F03AA"/>
    <w:rsid w:val="06783F44"/>
    <w:rsid w:val="06787432"/>
    <w:rsid w:val="068E19BA"/>
    <w:rsid w:val="06A30693"/>
    <w:rsid w:val="06B33330"/>
    <w:rsid w:val="06B37672"/>
    <w:rsid w:val="06BB2083"/>
    <w:rsid w:val="06C23618"/>
    <w:rsid w:val="06C427AE"/>
    <w:rsid w:val="06DF5D71"/>
    <w:rsid w:val="07126147"/>
    <w:rsid w:val="072B7208"/>
    <w:rsid w:val="072C7501"/>
    <w:rsid w:val="073D0CEA"/>
    <w:rsid w:val="074A24D0"/>
    <w:rsid w:val="074C0952"/>
    <w:rsid w:val="074E6108"/>
    <w:rsid w:val="075E138C"/>
    <w:rsid w:val="0765096C"/>
    <w:rsid w:val="077C5CB6"/>
    <w:rsid w:val="0797489E"/>
    <w:rsid w:val="07990616"/>
    <w:rsid w:val="07BA233A"/>
    <w:rsid w:val="07E13D6B"/>
    <w:rsid w:val="07E76B46"/>
    <w:rsid w:val="07ED0962"/>
    <w:rsid w:val="07EF451C"/>
    <w:rsid w:val="07F7358F"/>
    <w:rsid w:val="07FC0BA5"/>
    <w:rsid w:val="07FD7C07"/>
    <w:rsid w:val="08030185"/>
    <w:rsid w:val="0822685D"/>
    <w:rsid w:val="082962EA"/>
    <w:rsid w:val="082C4E48"/>
    <w:rsid w:val="0830547E"/>
    <w:rsid w:val="08305869"/>
    <w:rsid w:val="08522238"/>
    <w:rsid w:val="08597DA5"/>
    <w:rsid w:val="08850B9A"/>
    <w:rsid w:val="08D12032"/>
    <w:rsid w:val="08D51B22"/>
    <w:rsid w:val="08E421C5"/>
    <w:rsid w:val="08EC29C7"/>
    <w:rsid w:val="08F4718E"/>
    <w:rsid w:val="09213C2E"/>
    <w:rsid w:val="09465165"/>
    <w:rsid w:val="097529BD"/>
    <w:rsid w:val="0977292C"/>
    <w:rsid w:val="09856DD9"/>
    <w:rsid w:val="0992356F"/>
    <w:rsid w:val="099B68C7"/>
    <w:rsid w:val="09C851E3"/>
    <w:rsid w:val="09E162A4"/>
    <w:rsid w:val="09EC1CFD"/>
    <w:rsid w:val="09F6762F"/>
    <w:rsid w:val="0A0A57FB"/>
    <w:rsid w:val="0A0B50CF"/>
    <w:rsid w:val="0A410AF1"/>
    <w:rsid w:val="0A425D09"/>
    <w:rsid w:val="0A427110"/>
    <w:rsid w:val="0A615213"/>
    <w:rsid w:val="0A6930E2"/>
    <w:rsid w:val="0A761D42"/>
    <w:rsid w:val="0A7C6D37"/>
    <w:rsid w:val="0A892BC4"/>
    <w:rsid w:val="0A944C20"/>
    <w:rsid w:val="0AA3355A"/>
    <w:rsid w:val="0AAA2B3A"/>
    <w:rsid w:val="0AAC240E"/>
    <w:rsid w:val="0AB2168A"/>
    <w:rsid w:val="0AB614DF"/>
    <w:rsid w:val="0ACA6D38"/>
    <w:rsid w:val="0ACB590F"/>
    <w:rsid w:val="0ACE05D7"/>
    <w:rsid w:val="0AD361DF"/>
    <w:rsid w:val="0AD55E09"/>
    <w:rsid w:val="0B1F4BB0"/>
    <w:rsid w:val="0B7D7F39"/>
    <w:rsid w:val="0B8B64C8"/>
    <w:rsid w:val="0BB0345C"/>
    <w:rsid w:val="0BB53545"/>
    <w:rsid w:val="0BB974D9"/>
    <w:rsid w:val="0BCB0FBA"/>
    <w:rsid w:val="0BCE4606"/>
    <w:rsid w:val="0BDA11FD"/>
    <w:rsid w:val="0C42180C"/>
    <w:rsid w:val="0C61547A"/>
    <w:rsid w:val="0C6A2581"/>
    <w:rsid w:val="0C9B41E0"/>
    <w:rsid w:val="0CA505AB"/>
    <w:rsid w:val="0CBA3508"/>
    <w:rsid w:val="0CCE5B94"/>
    <w:rsid w:val="0CDB522D"/>
    <w:rsid w:val="0CEC79B0"/>
    <w:rsid w:val="0D026C5D"/>
    <w:rsid w:val="0D070306"/>
    <w:rsid w:val="0D3B47C9"/>
    <w:rsid w:val="0D3F1B32"/>
    <w:rsid w:val="0D4076B0"/>
    <w:rsid w:val="0D5A3A49"/>
    <w:rsid w:val="0D6D18D5"/>
    <w:rsid w:val="0D766D04"/>
    <w:rsid w:val="0D873BD3"/>
    <w:rsid w:val="0D9A5BFA"/>
    <w:rsid w:val="0D9B7F82"/>
    <w:rsid w:val="0DC009E4"/>
    <w:rsid w:val="0DEF71E2"/>
    <w:rsid w:val="0DF72D4B"/>
    <w:rsid w:val="0E1C5AFD"/>
    <w:rsid w:val="0E214EC1"/>
    <w:rsid w:val="0E527771"/>
    <w:rsid w:val="0E6514CE"/>
    <w:rsid w:val="0E8A2A67"/>
    <w:rsid w:val="0EBC4BEA"/>
    <w:rsid w:val="0EDB1514"/>
    <w:rsid w:val="0EF10D38"/>
    <w:rsid w:val="0EF6412A"/>
    <w:rsid w:val="0F24110D"/>
    <w:rsid w:val="0F2C78B5"/>
    <w:rsid w:val="0F3020DD"/>
    <w:rsid w:val="0F384BB8"/>
    <w:rsid w:val="0F563291"/>
    <w:rsid w:val="0F625791"/>
    <w:rsid w:val="0F7756E1"/>
    <w:rsid w:val="0F8001C0"/>
    <w:rsid w:val="0F9D0EBF"/>
    <w:rsid w:val="0FB2671F"/>
    <w:rsid w:val="0FB81855"/>
    <w:rsid w:val="0FBF4B97"/>
    <w:rsid w:val="0FFD5D6D"/>
    <w:rsid w:val="10060813"/>
    <w:rsid w:val="10130368"/>
    <w:rsid w:val="10196798"/>
    <w:rsid w:val="10384339"/>
    <w:rsid w:val="103E5A9F"/>
    <w:rsid w:val="10433815"/>
    <w:rsid w:val="1061783B"/>
    <w:rsid w:val="10806817"/>
    <w:rsid w:val="10991687"/>
    <w:rsid w:val="109C2978"/>
    <w:rsid w:val="10BF71E9"/>
    <w:rsid w:val="10C81F6C"/>
    <w:rsid w:val="10CA1840"/>
    <w:rsid w:val="11105DEF"/>
    <w:rsid w:val="11230F50"/>
    <w:rsid w:val="1132247A"/>
    <w:rsid w:val="11511F61"/>
    <w:rsid w:val="1169325A"/>
    <w:rsid w:val="119D6F55"/>
    <w:rsid w:val="11BC1869"/>
    <w:rsid w:val="11CC3396"/>
    <w:rsid w:val="11DF756D"/>
    <w:rsid w:val="11E81BB1"/>
    <w:rsid w:val="11EE0640"/>
    <w:rsid w:val="1204469C"/>
    <w:rsid w:val="121E04E8"/>
    <w:rsid w:val="12200177"/>
    <w:rsid w:val="122E5DFF"/>
    <w:rsid w:val="123F499D"/>
    <w:rsid w:val="124047DA"/>
    <w:rsid w:val="1255562F"/>
    <w:rsid w:val="126E04C4"/>
    <w:rsid w:val="12C64289"/>
    <w:rsid w:val="12C7072D"/>
    <w:rsid w:val="12CA3D79"/>
    <w:rsid w:val="12E0359D"/>
    <w:rsid w:val="12E36BE9"/>
    <w:rsid w:val="12EA7F78"/>
    <w:rsid w:val="12F61C03"/>
    <w:rsid w:val="130D1EB8"/>
    <w:rsid w:val="131274CE"/>
    <w:rsid w:val="134A0A16"/>
    <w:rsid w:val="135F18E9"/>
    <w:rsid w:val="13961EAE"/>
    <w:rsid w:val="13A23E81"/>
    <w:rsid w:val="13AC16D1"/>
    <w:rsid w:val="13BF31B2"/>
    <w:rsid w:val="13EC7D20"/>
    <w:rsid w:val="1405689D"/>
    <w:rsid w:val="145002AE"/>
    <w:rsid w:val="146544A4"/>
    <w:rsid w:val="149503B7"/>
    <w:rsid w:val="14A716C0"/>
    <w:rsid w:val="14AB1989"/>
    <w:rsid w:val="14AD4DB8"/>
    <w:rsid w:val="14AE2E3A"/>
    <w:rsid w:val="14CA62B3"/>
    <w:rsid w:val="14D25167"/>
    <w:rsid w:val="150017B7"/>
    <w:rsid w:val="1505553D"/>
    <w:rsid w:val="15185E44"/>
    <w:rsid w:val="15267261"/>
    <w:rsid w:val="152B4878"/>
    <w:rsid w:val="152F25BA"/>
    <w:rsid w:val="1537321C"/>
    <w:rsid w:val="153B0F5F"/>
    <w:rsid w:val="154C271C"/>
    <w:rsid w:val="154C4F1A"/>
    <w:rsid w:val="15610299"/>
    <w:rsid w:val="15612100"/>
    <w:rsid w:val="156443D6"/>
    <w:rsid w:val="156E6427"/>
    <w:rsid w:val="15775A8C"/>
    <w:rsid w:val="15826B8D"/>
    <w:rsid w:val="15875F52"/>
    <w:rsid w:val="15910B7E"/>
    <w:rsid w:val="15B4486D"/>
    <w:rsid w:val="15C54CCC"/>
    <w:rsid w:val="15CA2ECF"/>
    <w:rsid w:val="15DF1475"/>
    <w:rsid w:val="15EC220C"/>
    <w:rsid w:val="160E6673"/>
    <w:rsid w:val="160E7877"/>
    <w:rsid w:val="16104199"/>
    <w:rsid w:val="16105F47"/>
    <w:rsid w:val="162437A1"/>
    <w:rsid w:val="162C6AF9"/>
    <w:rsid w:val="162D01DD"/>
    <w:rsid w:val="165E3157"/>
    <w:rsid w:val="166149F5"/>
    <w:rsid w:val="16730284"/>
    <w:rsid w:val="167C04F3"/>
    <w:rsid w:val="16A11295"/>
    <w:rsid w:val="16D451C7"/>
    <w:rsid w:val="16E271C3"/>
    <w:rsid w:val="172A3039"/>
    <w:rsid w:val="172A4DE7"/>
    <w:rsid w:val="173B5246"/>
    <w:rsid w:val="1740319E"/>
    <w:rsid w:val="174329DC"/>
    <w:rsid w:val="17435EA8"/>
    <w:rsid w:val="175C61AD"/>
    <w:rsid w:val="176302F9"/>
    <w:rsid w:val="177D1D83"/>
    <w:rsid w:val="17C06FAB"/>
    <w:rsid w:val="17D76A11"/>
    <w:rsid w:val="17E27412"/>
    <w:rsid w:val="18001FEB"/>
    <w:rsid w:val="18055854"/>
    <w:rsid w:val="18151AED"/>
    <w:rsid w:val="18493992"/>
    <w:rsid w:val="185A16FC"/>
    <w:rsid w:val="185C36C6"/>
    <w:rsid w:val="186576DB"/>
    <w:rsid w:val="186A35BB"/>
    <w:rsid w:val="1870581D"/>
    <w:rsid w:val="187C3D68"/>
    <w:rsid w:val="188B5D59"/>
    <w:rsid w:val="18AE7A18"/>
    <w:rsid w:val="18B03A11"/>
    <w:rsid w:val="18C15C1F"/>
    <w:rsid w:val="18CE5C46"/>
    <w:rsid w:val="18D3325C"/>
    <w:rsid w:val="18EA6F23"/>
    <w:rsid w:val="18FE121D"/>
    <w:rsid w:val="19445F08"/>
    <w:rsid w:val="19491AD7"/>
    <w:rsid w:val="19622F5E"/>
    <w:rsid w:val="196547FC"/>
    <w:rsid w:val="196640D0"/>
    <w:rsid w:val="1977452F"/>
    <w:rsid w:val="19940024"/>
    <w:rsid w:val="19943DB4"/>
    <w:rsid w:val="199B021E"/>
    <w:rsid w:val="199C7AF2"/>
    <w:rsid w:val="19A8476A"/>
    <w:rsid w:val="19B91EA1"/>
    <w:rsid w:val="19BC1F42"/>
    <w:rsid w:val="19C66C22"/>
    <w:rsid w:val="19F636A6"/>
    <w:rsid w:val="1A07140F"/>
    <w:rsid w:val="1A555846"/>
    <w:rsid w:val="1A76380C"/>
    <w:rsid w:val="1A814B26"/>
    <w:rsid w:val="1A9133CF"/>
    <w:rsid w:val="1A954C6D"/>
    <w:rsid w:val="1AA44EB0"/>
    <w:rsid w:val="1AA94BBC"/>
    <w:rsid w:val="1AB65028"/>
    <w:rsid w:val="1ADC3C25"/>
    <w:rsid w:val="1AE8631D"/>
    <w:rsid w:val="1AF5395E"/>
    <w:rsid w:val="1AFE1E17"/>
    <w:rsid w:val="1B1A7868"/>
    <w:rsid w:val="1B4B7A22"/>
    <w:rsid w:val="1B580BD5"/>
    <w:rsid w:val="1B6617D2"/>
    <w:rsid w:val="1B6A7668"/>
    <w:rsid w:val="1B7144AA"/>
    <w:rsid w:val="1B8A4176"/>
    <w:rsid w:val="1BC34821"/>
    <w:rsid w:val="1BD179B9"/>
    <w:rsid w:val="1BD47A17"/>
    <w:rsid w:val="1BD6378F"/>
    <w:rsid w:val="1BFD51C0"/>
    <w:rsid w:val="1C2A5889"/>
    <w:rsid w:val="1C312724"/>
    <w:rsid w:val="1C3B7159"/>
    <w:rsid w:val="1C4C7784"/>
    <w:rsid w:val="1C8C41A9"/>
    <w:rsid w:val="1C982E58"/>
    <w:rsid w:val="1CA05B4B"/>
    <w:rsid w:val="1CB338B2"/>
    <w:rsid w:val="1CD573F1"/>
    <w:rsid w:val="1CDA4EBF"/>
    <w:rsid w:val="1CEE4B08"/>
    <w:rsid w:val="1CF852BE"/>
    <w:rsid w:val="1D0A3916"/>
    <w:rsid w:val="1D1502E7"/>
    <w:rsid w:val="1D2A5E93"/>
    <w:rsid w:val="1D2F3EC2"/>
    <w:rsid w:val="1D4209B0"/>
    <w:rsid w:val="1D4330A6"/>
    <w:rsid w:val="1D644556"/>
    <w:rsid w:val="1D686669"/>
    <w:rsid w:val="1D840FC9"/>
    <w:rsid w:val="1D9B042A"/>
    <w:rsid w:val="1DC96A0D"/>
    <w:rsid w:val="1DE06481"/>
    <w:rsid w:val="1DE25432"/>
    <w:rsid w:val="1DFE291F"/>
    <w:rsid w:val="1E197963"/>
    <w:rsid w:val="1E1C5895"/>
    <w:rsid w:val="1E206F43"/>
    <w:rsid w:val="1E374500"/>
    <w:rsid w:val="1E385966"/>
    <w:rsid w:val="1E4C1AE7"/>
    <w:rsid w:val="1E761259"/>
    <w:rsid w:val="1E8A6AB3"/>
    <w:rsid w:val="1E957931"/>
    <w:rsid w:val="1EAC6A29"/>
    <w:rsid w:val="1EBA2EF4"/>
    <w:rsid w:val="1EC37E6B"/>
    <w:rsid w:val="1F02489B"/>
    <w:rsid w:val="1F354C71"/>
    <w:rsid w:val="1F38206B"/>
    <w:rsid w:val="1F3C7DAD"/>
    <w:rsid w:val="1F6B0692"/>
    <w:rsid w:val="1F841754"/>
    <w:rsid w:val="1F901EA7"/>
    <w:rsid w:val="1F980D5B"/>
    <w:rsid w:val="1FA73631"/>
    <w:rsid w:val="1FA83492"/>
    <w:rsid w:val="1FAD44AE"/>
    <w:rsid w:val="1FAF67D1"/>
    <w:rsid w:val="1FEA0867"/>
    <w:rsid w:val="1FED10A7"/>
    <w:rsid w:val="201448F3"/>
    <w:rsid w:val="201F0257"/>
    <w:rsid w:val="20270A5D"/>
    <w:rsid w:val="202D0835"/>
    <w:rsid w:val="203B5502"/>
    <w:rsid w:val="205B0707"/>
    <w:rsid w:val="205F5715"/>
    <w:rsid w:val="206B2007"/>
    <w:rsid w:val="207134BD"/>
    <w:rsid w:val="209854B7"/>
    <w:rsid w:val="20B9542D"/>
    <w:rsid w:val="20BD7D18"/>
    <w:rsid w:val="20C20C31"/>
    <w:rsid w:val="20C53DD2"/>
    <w:rsid w:val="20C77B4A"/>
    <w:rsid w:val="20C84D12"/>
    <w:rsid w:val="20F34A91"/>
    <w:rsid w:val="21156B08"/>
    <w:rsid w:val="211B39F2"/>
    <w:rsid w:val="211D3C0E"/>
    <w:rsid w:val="212154AC"/>
    <w:rsid w:val="212E5E1B"/>
    <w:rsid w:val="214271D1"/>
    <w:rsid w:val="214967B1"/>
    <w:rsid w:val="21543824"/>
    <w:rsid w:val="215A09BE"/>
    <w:rsid w:val="215A6C10"/>
    <w:rsid w:val="215D225D"/>
    <w:rsid w:val="2190618E"/>
    <w:rsid w:val="219537A4"/>
    <w:rsid w:val="21B77BBF"/>
    <w:rsid w:val="21C43CC6"/>
    <w:rsid w:val="21E0234B"/>
    <w:rsid w:val="21E309B4"/>
    <w:rsid w:val="21EB7868"/>
    <w:rsid w:val="21F71D47"/>
    <w:rsid w:val="221C2118"/>
    <w:rsid w:val="22265B0E"/>
    <w:rsid w:val="2234771A"/>
    <w:rsid w:val="22505310"/>
    <w:rsid w:val="22550D49"/>
    <w:rsid w:val="226B2757"/>
    <w:rsid w:val="226F0499"/>
    <w:rsid w:val="227F3C44"/>
    <w:rsid w:val="229D06EB"/>
    <w:rsid w:val="22A16179"/>
    <w:rsid w:val="22B00A66"/>
    <w:rsid w:val="22D14F53"/>
    <w:rsid w:val="22DE117B"/>
    <w:rsid w:val="232079E6"/>
    <w:rsid w:val="23307C29"/>
    <w:rsid w:val="23490CEA"/>
    <w:rsid w:val="236E24FF"/>
    <w:rsid w:val="23763EEC"/>
    <w:rsid w:val="23863CED"/>
    <w:rsid w:val="23BE21BE"/>
    <w:rsid w:val="23C93BD9"/>
    <w:rsid w:val="23CF0E84"/>
    <w:rsid w:val="23D762F6"/>
    <w:rsid w:val="23F52C20"/>
    <w:rsid w:val="23F5677C"/>
    <w:rsid w:val="23FF584D"/>
    <w:rsid w:val="240E27FB"/>
    <w:rsid w:val="241C01AD"/>
    <w:rsid w:val="24223917"/>
    <w:rsid w:val="2423153B"/>
    <w:rsid w:val="24311F11"/>
    <w:rsid w:val="2443398C"/>
    <w:rsid w:val="24551FB2"/>
    <w:rsid w:val="24651B54"/>
    <w:rsid w:val="24BC00A0"/>
    <w:rsid w:val="24C525F3"/>
    <w:rsid w:val="24DD7F37"/>
    <w:rsid w:val="24E567F1"/>
    <w:rsid w:val="24ED4967"/>
    <w:rsid w:val="24F9229C"/>
    <w:rsid w:val="25011339"/>
    <w:rsid w:val="250A6257"/>
    <w:rsid w:val="2529314D"/>
    <w:rsid w:val="25493224"/>
    <w:rsid w:val="254E25E8"/>
    <w:rsid w:val="257F6C45"/>
    <w:rsid w:val="25902C01"/>
    <w:rsid w:val="2594352C"/>
    <w:rsid w:val="25A93CC2"/>
    <w:rsid w:val="25C1100C"/>
    <w:rsid w:val="25D0124F"/>
    <w:rsid w:val="25E22D30"/>
    <w:rsid w:val="25EE5B79"/>
    <w:rsid w:val="25F969F8"/>
    <w:rsid w:val="26163EB5"/>
    <w:rsid w:val="263F63D5"/>
    <w:rsid w:val="264B42F1"/>
    <w:rsid w:val="265E4AAD"/>
    <w:rsid w:val="26976211"/>
    <w:rsid w:val="26A17794"/>
    <w:rsid w:val="26AD1590"/>
    <w:rsid w:val="26C54B2C"/>
    <w:rsid w:val="26CA3EF0"/>
    <w:rsid w:val="26D657B7"/>
    <w:rsid w:val="26F45411"/>
    <w:rsid w:val="26F82BA6"/>
    <w:rsid w:val="271F16B6"/>
    <w:rsid w:val="27247AA4"/>
    <w:rsid w:val="2742617D"/>
    <w:rsid w:val="27514612"/>
    <w:rsid w:val="276B6060"/>
    <w:rsid w:val="27702CEA"/>
    <w:rsid w:val="277125BE"/>
    <w:rsid w:val="27765E26"/>
    <w:rsid w:val="27B2145C"/>
    <w:rsid w:val="27CB6172"/>
    <w:rsid w:val="27DA4F84"/>
    <w:rsid w:val="27E403E2"/>
    <w:rsid w:val="27EB411E"/>
    <w:rsid w:val="27FA7131"/>
    <w:rsid w:val="2815308A"/>
    <w:rsid w:val="28285372"/>
    <w:rsid w:val="28357A8F"/>
    <w:rsid w:val="284035F2"/>
    <w:rsid w:val="28433F5A"/>
    <w:rsid w:val="286363AA"/>
    <w:rsid w:val="287311B0"/>
    <w:rsid w:val="287444D7"/>
    <w:rsid w:val="28795BCE"/>
    <w:rsid w:val="28836A4D"/>
    <w:rsid w:val="28962D82"/>
    <w:rsid w:val="28A40771"/>
    <w:rsid w:val="28BE7A85"/>
    <w:rsid w:val="28C22024"/>
    <w:rsid w:val="28E86F25"/>
    <w:rsid w:val="28FC05AD"/>
    <w:rsid w:val="290129D3"/>
    <w:rsid w:val="2905171F"/>
    <w:rsid w:val="291A08A2"/>
    <w:rsid w:val="292A4047"/>
    <w:rsid w:val="2951316E"/>
    <w:rsid w:val="2964687E"/>
    <w:rsid w:val="297468CD"/>
    <w:rsid w:val="2987431B"/>
    <w:rsid w:val="29AB6313"/>
    <w:rsid w:val="29B219D4"/>
    <w:rsid w:val="29CE1F49"/>
    <w:rsid w:val="29CE5AA6"/>
    <w:rsid w:val="29DD03DE"/>
    <w:rsid w:val="29F15C38"/>
    <w:rsid w:val="2A1B2201"/>
    <w:rsid w:val="2A1D2EF1"/>
    <w:rsid w:val="2A2B2EF8"/>
    <w:rsid w:val="2A364537"/>
    <w:rsid w:val="2A375D41"/>
    <w:rsid w:val="2A3F0864"/>
    <w:rsid w:val="2A440163"/>
    <w:rsid w:val="2A500BB0"/>
    <w:rsid w:val="2A510485"/>
    <w:rsid w:val="2A6C52BE"/>
    <w:rsid w:val="2A6D7E9A"/>
    <w:rsid w:val="2A701253"/>
    <w:rsid w:val="2A9071FF"/>
    <w:rsid w:val="2A9C2D33"/>
    <w:rsid w:val="2AA618B6"/>
    <w:rsid w:val="2AAD1B5F"/>
    <w:rsid w:val="2AC8240E"/>
    <w:rsid w:val="2AD2044A"/>
    <w:rsid w:val="2AE91610"/>
    <w:rsid w:val="2AF459E0"/>
    <w:rsid w:val="2B2471D4"/>
    <w:rsid w:val="2B404781"/>
    <w:rsid w:val="2B4D17DB"/>
    <w:rsid w:val="2B4E7BAF"/>
    <w:rsid w:val="2B560448"/>
    <w:rsid w:val="2B5B15BB"/>
    <w:rsid w:val="2B83121D"/>
    <w:rsid w:val="2B8D1001"/>
    <w:rsid w:val="2B9176D3"/>
    <w:rsid w:val="2B936FA7"/>
    <w:rsid w:val="2B97636B"/>
    <w:rsid w:val="2B9C0F0B"/>
    <w:rsid w:val="2BA21234"/>
    <w:rsid w:val="2BAE7D76"/>
    <w:rsid w:val="2BBE7D9C"/>
    <w:rsid w:val="2BBF5C96"/>
    <w:rsid w:val="2BC25ADE"/>
    <w:rsid w:val="2BCD7395"/>
    <w:rsid w:val="2BE772F2"/>
    <w:rsid w:val="2BEC6A86"/>
    <w:rsid w:val="2C025EDA"/>
    <w:rsid w:val="2C041C52"/>
    <w:rsid w:val="2C11611D"/>
    <w:rsid w:val="2C153E60"/>
    <w:rsid w:val="2C267E1B"/>
    <w:rsid w:val="2C303B44"/>
    <w:rsid w:val="2C3818FC"/>
    <w:rsid w:val="2C4B3C78"/>
    <w:rsid w:val="2C5B55EB"/>
    <w:rsid w:val="2C892A75"/>
    <w:rsid w:val="2C931228"/>
    <w:rsid w:val="2C956D4E"/>
    <w:rsid w:val="2CA90A4C"/>
    <w:rsid w:val="2CAB6572"/>
    <w:rsid w:val="2CAC1BAF"/>
    <w:rsid w:val="2CBA0563"/>
    <w:rsid w:val="2CD4576F"/>
    <w:rsid w:val="2CDF2696"/>
    <w:rsid w:val="2CEF2903"/>
    <w:rsid w:val="2CFE750E"/>
    <w:rsid w:val="2D05394C"/>
    <w:rsid w:val="2D0A773C"/>
    <w:rsid w:val="2D0F7889"/>
    <w:rsid w:val="2D40315E"/>
    <w:rsid w:val="2D4A7B39"/>
    <w:rsid w:val="2D5B636E"/>
    <w:rsid w:val="2D80355B"/>
    <w:rsid w:val="2D8748E9"/>
    <w:rsid w:val="2D9E60D7"/>
    <w:rsid w:val="2DA566E7"/>
    <w:rsid w:val="2DBE22D5"/>
    <w:rsid w:val="2DBE4083"/>
    <w:rsid w:val="2DC53D7F"/>
    <w:rsid w:val="2DCC2C44"/>
    <w:rsid w:val="2DD37B2E"/>
    <w:rsid w:val="2DE53D06"/>
    <w:rsid w:val="2DE77A7C"/>
    <w:rsid w:val="2DEF1375"/>
    <w:rsid w:val="2DFE0923"/>
    <w:rsid w:val="2E092B61"/>
    <w:rsid w:val="2E11396D"/>
    <w:rsid w:val="2E456552"/>
    <w:rsid w:val="2E4C1B74"/>
    <w:rsid w:val="2E536EC1"/>
    <w:rsid w:val="2E6469D8"/>
    <w:rsid w:val="2E6609A2"/>
    <w:rsid w:val="2E953036"/>
    <w:rsid w:val="2EC97183"/>
    <w:rsid w:val="2EE46E89"/>
    <w:rsid w:val="2EE95C88"/>
    <w:rsid w:val="2EED2E72"/>
    <w:rsid w:val="2EF90EE9"/>
    <w:rsid w:val="2F0D0E1E"/>
    <w:rsid w:val="2F124E82"/>
    <w:rsid w:val="2F1D0548"/>
    <w:rsid w:val="2F1E6A16"/>
    <w:rsid w:val="2F210D6D"/>
    <w:rsid w:val="2F385B64"/>
    <w:rsid w:val="2F3B5F63"/>
    <w:rsid w:val="2F3C2100"/>
    <w:rsid w:val="2F594288"/>
    <w:rsid w:val="2F6C7959"/>
    <w:rsid w:val="2F711573"/>
    <w:rsid w:val="2F875074"/>
    <w:rsid w:val="2FA3137B"/>
    <w:rsid w:val="2FC607EE"/>
    <w:rsid w:val="300264A9"/>
    <w:rsid w:val="300466C5"/>
    <w:rsid w:val="303074BA"/>
    <w:rsid w:val="30392D61"/>
    <w:rsid w:val="303B24C1"/>
    <w:rsid w:val="3049232A"/>
    <w:rsid w:val="305F1B4D"/>
    <w:rsid w:val="306B7AD4"/>
    <w:rsid w:val="307325D9"/>
    <w:rsid w:val="3076603D"/>
    <w:rsid w:val="307D6477"/>
    <w:rsid w:val="30807933"/>
    <w:rsid w:val="308275EA"/>
    <w:rsid w:val="30896BCA"/>
    <w:rsid w:val="309A2B85"/>
    <w:rsid w:val="309D744B"/>
    <w:rsid w:val="309F019C"/>
    <w:rsid w:val="30A6152A"/>
    <w:rsid w:val="30C36517"/>
    <w:rsid w:val="30C51EF2"/>
    <w:rsid w:val="30DB6CFA"/>
    <w:rsid w:val="30E060E4"/>
    <w:rsid w:val="30E81B43"/>
    <w:rsid w:val="30EE1DEE"/>
    <w:rsid w:val="30F7069D"/>
    <w:rsid w:val="30FC55EE"/>
    <w:rsid w:val="310426F5"/>
    <w:rsid w:val="311116F3"/>
    <w:rsid w:val="313C29A5"/>
    <w:rsid w:val="314174A5"/>
    <w:rsid w:val="31466869"/>
    <w:rsid w:val="314D7BF8"/>
    <w:rsid w:val="31701B38"/>
    <w:rsid w:val="31886E82"/>
    <w:rsid w:val="318F0210"/>
    <w:rsid w:val="319E66A5"/>
    <w:rsid w:val="31C30AEE"/>
    <w:rsid w:val="31D34CFE"/>
    <w:rsid w:val="31D71BB7"/>
    <w:rsid w:val="31F2015C"/>
    <w:rsid w:val="3204159C"/>
    <w:rsid w:val="320C1861"/>
    <w:rsid w:val="321F1705"/>
    <w:rsid w:val="32456B21"/>
    <w:rsid w:val="32733BBE"/>
    <w:rsid w:val="32861DCE"/>
    <w:rsid w:val="328A273D"/>
    <w:rsid w:val="328F4513"/>
    <w:rsid w:val="32951856"/>
    <w:rsid w:val="329B0E37"/>
    <w:rsid w:val="32DD50BF"/>
    <w:rsid w:val="32E225C2"/>
    <w:rsid w:val="330B7D6A"/>
    <w:rsid w:val="33171D0F"/>
    <w:rsid w:val="33634ED9"/>
    <w:rsid w:val="336F654B"/>
    <w:rsid w:val="33833DA5"/>
    <w:rsid w:val="338F34FE"/>
    <w:rsid w:val="33A61841"/>
    <w:rsid w:val="33B71CA0"/>
    <w:rsid w:val="33B73ADB"/>
    <w:rsid w:val="33D755DC"/>
    <w:rsid w:val="33DC1707"/>
    <w:rsid w:val="33DC4E41"/>
    <w:rsid w:val="33EB36F8"/>
    <w:rsid w:val="33FA09EC"/>
    <w:rsid w:val="34024471"/>
    <w:rsid w:val="340B74B4"/>
    <w:rsid w:val="342C74B6"/>
    <w:rsid w:val="342D3D10"/>
    <w:rsid w:val="34337579"/>
    <w:rsid w:val="34580D8D"/>
    <w:rsid w:val="345F6B83"/>
    <w:rsid w:val="34DB703E"/>
    <w:rsid w:val="35571045"/>
    <w:rsid w:val="355D1BDD"/>
    <w:rsid w:val="357714C9"/>
    <w:rsid w:val="35CD1307"/>
    <w:rsid w:val="35E47D8D"/>
    <w:rsid w:val="35FA03B4"/>
    <w:rsid w:val="35FF1075"/>
    <w:rsid w:val="36312BA6"/>
    <w:rsid w:val="366723E6"/>
    <w:rsid w:val="36716136"/>
    <w:rsid w:val="367C6D9B"/>
    <w:rsid w:val="3681660E"/>
    <w:rsid w:val="36991134"/>
    <w:rsid w:val="36AB0D07"/>
    <w:rsid w:val="36BB3856"/>
    <w:rsid w:val="36BD5820"/>
    <w:rsid w:val="36D84407"/>
    <w:rsid w:val="36E96615"/>
    <w:rsid w:val="36F56D67"/>
    <w:rsid w:val="36FC6348"/>
    <w:rsid w:val="371562DB"/>
    <w:rsid w:val="37180854"/>
    <w:rsid w:val="371B60A2"/>
    <w:rsid w:val="373553B6"/>
    <w:rsid w:val="373A6E70"/>
    <w:rsid w:val="37432253"/>
    <w:rsid w:val="37515F68"/>
    <w:rsid w:val="37533A8E"/>
    <w:rsid w:val="37825166"/>
    <w:rsid w:val="37B26BC7"/>
    <w:rsid w:val="37CF3296"/>
    <w:rsid w:val="37D050DF"/>
    <w:rsid w:val="37D71267"/>
    <w:rsid w:val="37D843A8"/>
    <w:rsid w:val="37DE77FC"/>
    <w:rsid w:val="37DF7667"/>
    <w:rsid w:val="37F012DD"/>
    <w:rsid w:val="37FF59C4"/>
    <w:rsid w:val="380A136E"/>
    <w:rsid w:val="3826047B"/>
    <w:rsid w:val="38392C84"/>
    <w:rsid w:val="38430BE0"/>
    <w:rsid w:val="385555E4"/>
    <w:rsid w:val="386E24EE"/>
    <w:rsid w:val="38910D12"/>
    <w:rsid w:val="389D0AA5"/>
    <w:rsid w:val="38AB049F"/>
    <w:rsid w:val="38B32C64"/>
    <w:rsid w:val="38B421CF"/>
    <w:rsid w:val="38C05153"/>
    <w:rsid w:val="38D330D8"/>
    <w:rsid w:val="38E928FC"/>
    <w:rsid w:val="39162FC5"/>
    <w:rsid w:val="39247742"/>
    <w:rsid w:val="3927078A"/>
    <w:rsid w:val="39323950"/>
    <w:rsid w:val="393D2C48"/>
    <w:rsid w:val="3950329E"/>
    <w:rsid w:val="395A1104"/>
    <w:rsid w:val="396948F7"/>
    <w:rsid w:val="39745863"/>
    <w:rsid w:val="398443D3"/>
    <w:rsid w:val="39C0030D"/>
    <w:rsid w:val="39E92488"/>
    <w:rsid w:val="39FA406D"/>
    <w:rsid w:val="39FC665F"/>
    <w:rsid w:val="3A021FF3"/>
    <w:rsid w:val="3A06303A"/>
    <w:rsid w:val="3A3E6C77"/>
    <w:rsid w:val="3A3F654C"/>
    <w:rsid w:val="3A6366DE"/>
    <w:rsid w:val="3A6D130B"/>
    <w:rsid w:val="3A8D5B93"/>
    <w:rsid w:val="3AAC1E33"/>
    <w:rsid w:val="3AB90F3A"/>
    <w:rsid w:val="3AD76784"/>
    <w:rsid w:val="3AD917BE"/>
    <w:rsid w:val="3AF96457"/>
    <w:rsid w:val="3AFB6A2E"/>
    <w:rsid w:val="3B0A0908"/>
    <w:rsid w:val="3B11613A"/>
    <w:rsid w:val="3B117EE8"/>
    <w:rsid w:val="3B1D4ADF"/>
    <w:rsid w:val="3B4E1274"/>
    <w:rsid w:val="3B4F4FB3"/>
    <w:rsid w:val="3B725E37"/>
    <w:rsid w:val="3B914B85"/>
    <w:rsid w:val="3BA20BFD"/>
    <w:rsid w:val="3BA42B0A"/>
    <w:rsid w:val="3BBF5B96"/>
    <w:rsid w:val="3BC85AEF"/>
    <w:rsid w:val="3C0E61D6"/>
    <w:rsid w:val="3C2105FF"/>
    <w:rsid w:val="3C5C33E5"/>
    <w:rsid w:val="3C616C4D"/>
    <w:rsid w:val="3C636521"/>
    <w:rsid w:val="3C6B3628"/>
    <w:rsid w:val="3C9708C1"/>
    <w:rsid w:val="3CA37A53"/>
    <w:rsid w:val="3CA52FDE"/>
    <w:rsid w:val="3CB5559F"/>
    <w:rsid w:val="3CB709DF"/>
    <w:rsid w:val="3CB72F42"/>
    <w:rsid w:val="3CB851B6"/>
    <w:rsid w:val="3CC52D38"/>
    <w:rsid w:val="3CD45671"/>
    <w:rsid w:val="3D192527"/>
    <w:rsid w:val="3D363C36"/>
    <w:rsid w:val="3D3F390A"/>
    <w:rsid w:val="3D42553F"/>
    <w:rsid w:val="3D436353"/>
    <w:rsid w:val="3D474095"/>
    <w:rsid w:val="3D4B2E1C"/>
    <w:rsid w:val="3D522D9E"/>
    <w:rsid w:val="3D5F13DF"/>
    <w:rsid w:val="3D6A7724"/>
    <w:rsid w:val="3D9A2417"/>
    <w:rsid w:val="3DA349D5"/>
    <w:rsid w:val="3DB159B2"/>
    <w:rsid w:val="3DCB25D0"/>
    <w:rsid w:val="3DCB6A74"/>
    <w:rsid w:val="3DD07BE6"/>
    <w:rsid w:val="3DD13F45"/>
    <w:rsid w:val="3DEB4A20"/>
    <w:rsid w:val="3DED69EA"/>
    <w:rsid w:val="3E0D5FDE"/>
    <w:rsid w:val="3E2539E1"/>
    <w:rsid w:val="3E421533"/>
    <w:rsid w:val="3E4405D4"/>
    <w:rsid w:val="3E49205B"/>
    <w:rsid w:val="3E4E44C1"/>
    <w:rsid w:val="3E612161"/>
    <w:rsid w:val="3E703177"/>
    <w:rsid w:val="3E734A16"/>
    <w:rsid w:val="3E7C1B1C"/>
    <w:rsid w:val="3E8D5E6B"/>
    <w:rsid w:val="3E8E35FE"/>
    <w:rsid w:val="3E975D9B"/>
    <w:rsid w:val="3E9B1CF6"/>
    <w:rsid w:val="3EDA6843"/>
    <w:rsid w:val="3EE871B2"/>
    <w:rsid w:val="3EF415E2"/>
    <w:rsid w:val="3F0110BB"/>
    <w:rsid w:val="3F220916"/>
    <w:rsid w:val="3F487C50"/>
    <w:rsid w:val="3F5B7984"/>
    <w:rsid w:val="3F5D36FC"/>
    <w:rsid w:val="3F796D91"/>
    <w:rsid w:val="3F7A2500"/>
    <w:rsid w:val="3F8E72A7"/>
    <w:rsid w:val="3FA30497"/>
    <w:rsid w:val="3FB2368A"/>
    <w:rsid w:val="3FB86B84"/>
    <w:rsid w:val="3FBA61CD"/>
    <w:rsid w:val="3FBD23EC"/>
    <w:rsid w:val="3FD20CE1"/>
    <w:rsid w:val="3FD247CD"/>
    <w:rsid w:val="3FDB2873"/>
    <w:rsid w:val="3FE200A5"/>
    <w:rsid w:val="3FE536F1"/>
    <w:rsid w:val="3FEB6F5A"/>
    <w:rsid w:val="40276132"/>
    <w:rsid w:val="40363F4D"/>
    <w:rsid w:val="4040634D"/>
    <w:rsid w:val="404B5C4A"/>
    <w:rsid w:val="408B4299"/>
    <w:rsid w:val="40923879"/>
    <w:rsid w:val="4093139F"/>
    <w:rsid w:val="40A13ABC"/>
    <w:rsid w:val="40B97948"/>
    <w:rsid w:val="40E81C84"/>
    <w:rsid w:val="40F94293"/>
    <w:rsid w:val="41032081"/>
    <w:rsid w:val="412D5350"/>
    <w:rsid w:val="41660A56"/>
    <w:rsid w:val="41866B8A"/>
    <w:rsid w:val="418807D8"/>
    <w:rsid w:val="41A25D3E"/>
    <w:rsid w:val="41A47E1B"/>
    <w:rsid w:val="41FA7928"/>
    <w:rsid w:val="42024A2E"/>
    <w:rsid w:val="420C58CB"/>
    <w:rsid w:val="421F3B36"/>
    <w:rsid w:val="42277FF1"/>
    <w:rsid w:val="4234125C"/>
    <w:rsid w:val="42621693"/>
    <w:rsid w:val="4262727B"/>
    <w:rsid w:val="427D0EBF"/>
    <w:rsid w:val="4285798E"/>
    <w:rsid w:val="4290203A"/>
    <w:rsid w:val="429D6505"/>
    <w:rsid w:val="42AA6865"/>
    <w:rsid w:val="42BC352D"/>
    <w:rsid w:val="42C71633"/>
    <w:rsid w:val="42D50A78"/>
    <w:rsid w:val="42D66736"/>
    <w:rsid w:val="42DE0FF8"/>
    <w:rsid w:val="42E3216A"/>
    <w:rsid w:val="42FE51F6"/>
    <w:rsid w:val="432B7EEF"/>
    <w:rsid w:val="434A46EC"/>
    <w:rsid w:val="435E38B1"/>
    <w:rsid w:val="435E3EE6"/>
    <w:rsid w:val="43634675"/>
    <w:rsid w:val="43650DD1"/>
    <w:rsid w:val="43657023"/>
    <w:rsid w:val="436E5BE5"/>
    <w:rsid w:val="4386267B"/>
    <w:rsid w:val="438C45B0"/>
    <w:rsid w:val="438F4B21"/>
    <w:rsid w:val="439526F2"/>
    <w:rsid w:val="43A0005B"/>
    <w:rsid w:val="43B14016"/>
    <w:rsid w:val="43C301D8"/>
    <w:rsid w:val="43C401ED"/>
    <w:rsid w:val="43CB2F74"/>
    <w:rsid w:val="43D46D69"/>
    <w:rsid w:val="43D6398D"/>
    <w:rsid w:val="43DE2931"/>
    <w:rsid w:val="43DF5027"/>
    <w:rsid w:val="440E3217"/>
    <w:rsid w:val="441403C0"/>
    <w:rsid w:val="442B7132"/>
    <w:rsid w:val="443B5FD6"/>
    <w:rsid w:val="44550E45"/>
    <w:rsid w:val="448434D9"/>
    <w:rsid w:val="4497145E"/>
    <w:rsid w:val="44971B57"/>
    <w:rsid w:val="44B33DBE"/>
    <w:rsid w:val="44B93D3A"/>
    <w:rsid w:val="44E328F5"/>
    <w:rsid w:val="44FC5765"/>
    <w:rsid w:val="450F3328"/>
    <w:rsid w:val="45136648"/>
    <w:rsid w:val="45140D01"/>
    <w:rsid w:val="45284275"/>
    <w:rsid w:val="45290A2C"/>
    <w:rsid w:val="453252CE"/>
    <w:rsid w:val="4537679D"/>
    <w:rsid w:val="453A003B"/>
    <w:rsid w:val="453A4CCF"/>
    <w:rsid w:val="453E3FCF"/>
    <w:rsid w:val="454158D9"/>
    <w:rsid w:val="454964D0"/>
    <w:rsid w:val="455117A9"/>
    <w:rsid w:val="45513D03"/>
    <w:rsid w:val="455410FD"/>
    <w:rsid w:val="45763405"/>
    <w:rsid w:val="458A0FC3"/>
    <w:rsid w:val="458F482B"/>
    <w:rsid w:val="459B4F7E"/>
    <w:rsid w:val="45CA7415"/>
    <w:rsid w:val="45D049C6"/>
    <w:rsid w:val="45D36916"/>
    <w:rsid w:val="45E54514"/>
    <w:rsid w:val="45E85D49"/>
    <w:rsid w:val="45F11042"/>
    <w:rsid w:val="46002DD3"/>
    <w:rsid w:val="461D1E37"/>
    <w:rsid w:val="46293689"/>
    <w:rsid w:val="46380A1F"/>
    <w:rsid w:val="463F1DAD"/>
    <w:rsid w:val="4646138E"/>
    <w:rsid w:val="464E1FF0"/>
    <w:rsid w:val="465A35BD"/>
    <w:rsid w:val="465A6BE7"/>
    <w:rsid w:val="465B64BB"/>
    <w:rsid w:val="465F0134"/>
    <w:rsid w:val="4665733A"/>
    <w:rsid w:val="4670640B"/>
    <w:rsid w:val="467A2DE5"/>
    <w:rsid w:val="4689127A"/>
    <w:rsid w:val="46B67B95"/>
    <w:rsid w:val="46BA58D8"/>
    <w:rsid w:val="46C72ADF"/>
    <w:rsid w:val="46D324F5"/>
    <w:rsid w:val="46FC1743"/>
    <w:rsid w:val="47064679"/>
    <w:rsid w:val="47113641"/>
    <w:rsid w:val="474653BD"/>
    <w:rsid w:val="47482EE3"/>
    <w:rsid w:val="47525B10"/>
    <w:rsid w:val="475573AE"/>
    <w:rsid w:val="47694C08"/>
    <w:rsid w:val="476A10AC"/>
    <w:rsid w:val="477535AD"/>
    <w:rsid w:val="4780267D"/>
    <w:rsid w:val="4783216D"/>
    <w:rsid w:val="47842674"/>
    <w:rsid w:val="478D4D9A"/>
    <w:rsid w:val="47900B2D"/>
    <w:rsid w:val="4795427E"/>
    <w:rsid w:val="47A17BED"/>
    <w:rsid w:val="47AC1DC2"/>
    <w:rsid w:val="47B9126E"/>
    <w:rsid w:val="47C02A7A"/>
    <w:rsid w:val="48315726"/>
    <w:rsid w:val="483B0352"/>
    <w:rsid w:val="4860600B"/>
    <w:rsid w:val="4866371A"/>
    <w:rsid w:val="48684EBF"/>
    <w:rsid w:val="487C76C0"/>
    <w:rsid w:val="48931F3C"/>
    <w:rsid w:val="48A67C34"/>
    <w:rsid w:val="48B84099"/>
    <w:rsid w:val="48CE652C"/>
    <w:rsid w:val="48D345A0"/>
    <w:rsid w:val="48EB7FCA"/>
    <w:rsid w:val="48F63EC0"/>
    <w:rsid w:val="492275A4"/>
    <w:rsid w:val="49227764"/>
    <w:rsid w:val="493354CD"/>
    <w:rsid w:val="4956636B"/>
    <w:rsid w:val="495758CA"/>
    <w:rsid w:val="49610F4C"/>
    <w:rsid w:val="496833C9"/>
    <w:rsid w:val="4977360C"/>
    <w:rsid w:val="49784602"/>
    <w:rsid w:val="498875C7"/>
    <w:rsid w:val="49AD1724"/>
    <w:rsid w:val="49C9699B"/>
    <w:rsid w:val="49D22F38"/>
    <w:rsid w:val="49EB0AB4"/>
    <w:rsid w:val="49ED7D72"/>
    <w:rsid w:val="49F033BE"/>
    <w:rsid w:val="49F11610"/>
    <w:rsid w:val="49F92273"/>
    <w:rsid w:val="4A121587"/>
    <w:rsid w:val="4A176B9D"/>
    <w:rsid w:val="4A471230"/>
    <w:rsid w:val="4A4D0811"/>
    <w:rsid w:val="4A4E6A63"/>
    <w:rsid w:val="4A6242BC"/>
    <w:rsid w:val="4A6632DA"/>
    <w:rsid w:val="4A6B4834"/>
    <w:rsid w:val="4A7F7133"/>
    <w:rsid w:val="4A804742"/>
    <w:rsid w:val="4A82495E"/>
    <w:rsid w:val="4A930919"/>
    <w:rsid w:val="4A9543F2"/>
    <w:rsid w:val="4A984FF9"/>
    <w:rsid w:val="4AA76A01"/>
    <w:rsid w:val="4AC11C68"/>
    <w:rsid w:val="4AE178D7"/>
    <w:rsid w:val="4AE44CD1"/>
    <w:rsid w:val="4AEB2504"/>
    <w:rsid w:val="4AEC6208"/>
    <w:rsid w:val="4AF60B8B"/>
    <w:rsid w:val="4B036369"/>
    <w:rsid w:val="4B074927"/>
    <w:rsid w:val="4B074E64"/>
    <w:rsid w:val="4B2567D6"/>
    <w:rsid w:val="4B313C8F"/>
    <w:rsid w:val="4B506EDA"/>
    <w:rsid w:val="4B58746D"/>
    <w:rsid w:val="4B6202EC"/>
    <w:rsid w:val="4B6649E4"/>
    <w:rsid w:val="4B6E2804"/>
    <w:rsid w:val="4B7254C4"/>
    <w:rsid w:val="4B7A0F54"/>
    <w:rsid w:val="4B840262"/>
    <w:rsid w:val="4BA9153A"/>
    <w:rsid w:val="4BBF129A"/>
    <w:rsid w:val="4BD06222"/>
    <w:rsid w:val="4BD42F98"/>
    <w:rsid w:val="4BE86A43"/>
    <w:rsid w:val="4BF2341E"/>
    <w:rsid w:val="4BF90D4D"/>
    <w:rsid w:val="4C0575F5"/>
    <w:rsid w:val="4C1B0BC7"/>
    <w:rsid w:val="4C324162"/>
    <w:rsid w:val="4C47597C"/>
    <w:rsid w:val="4C673E0C"/>
    <w:rsid w:val="4C783D30"/>
    <w:rsid w:val="4C79769B"/>
    <w:rsid w:val="4C8A219B"/>
    <w:rsid w:val="4CB44B77"/>
    <w:rsid w:val="4CBA35FB"/>
    <w:rsid w:val="4CC528E0"/>
    <w:rsid w:val="4CC76658"/>
    <w:rsid w:val="4CCC1EC1"/>
    <w:rsid w:val="4CE92A73"/>
    <w:rsid w:val="4D023B34"/>
    <w:rsid w:val="4D0C050F"/>
    <w:rsid w:val="4D0E714B"/>
    <w:rsid w:val="4D141FE0"/>
    <w:rsid w:val="4D19209D"/>
    <w:rsid w:val="4D537EEC"/>
    <w:rsid w:val="4D5438C5"/>
    <w:rsid w:val="4D604E2F"/>
    <w:rsid w:val="4D7C5695"/>
    <w:rsid w:val="4D8359A3"/>
    <w:rsid w:val="4D901140"/>
    <w:rsid w:val="4D97427D"/>
    <w:rsid w:val="4D994499"/>
    <w:rsid w:val="4DAB064B"/>
    <w:rsid w:val="4DAC05E6"/>
    <w:rsid w:val="4DBC0187"/>
    <w:rsid w:val="4DDF5C24"/>
    <w:rsid w:val="4DE33966"/>
    <w:rsid w:val="4E0524B6"/>
    <w:rsid w:val="4E084FD4"/>
    <w:rsid w:val="4E1C4782"/>
    <w:rsid w:val="4E487C6D"/>
    <w:rsid w:val="4E5F5F0E"/>
    <w:rsid w:val="4E677615"/>
    <w:rsid w:val="4E7E543D"/>
    <w:rsid w:val="4E9F1EC2"/>
    <w:rsid w:val="4E9F2FAC"/>
    <w:rsid w:val="4EB86BA1"/>
    <w:rsid w:val="4ED96A7E"/>
    <w:rsid w:val="4EEA0D24"/>
    <w:rsid w:val="4F165675"/>
    <w:rsid w:val="4F253B0A"/>
    <w:rsid w:val="4F361873"/>
    <w:rsid w:val="4F477F24"/>
    <w:rsid w:val="4F6C1A77"/>
    <w:rsid w:val="4F8C6496"/>
    <w:rsid w:val="4FB22195"/>
    <w:rsid w:val="4FBB0B69"/>
    <w:rsid w:val="4FC11A85"/>
    <w:rsid w:val="4FD25A40"/>
    <w:rsid w:val="4FDC066D"/>
    <w:rsid w:val="4FDE2637"/>
    <w:rsid w:val="500372D1"/>
    <w:rsid w:val="500B71A4"/>
    <w:rsid w:val="50180259"/>
    <w:rsid w:val="503A35E5"/>
    <w:rsid w:val="503C110B"/>
    <w:rsid w:val="50533F76"/>
    <w:rsid w:val="505428F9"/>
    <w:rsid w:val="5060304C"/>
    <w:rsid w:val="50707007"/>
    <w:rsid w:val="507408A5"/>
    <w:rsid w:val="50792360"/>
    <w:rsid w:val="50796534"/>
    <w:rsid w:val="507A1C34"/>
    <w:rsid w:val="50955F2A"/>
    <w:rsid w:val="50966A6E"/>
    <w:rsid w:val="509E1DC6"/>
    <w:rsid w:val="50A21035"/>
    <w:rsid w:val="50A47F55"/>
    <w:rsid w:val="50A54F03"/>
    <w:rsid w:val="50D321B4"/>
    <w:rsid w:val="50E028B4"/>
    <w:rsid w:val="50E27F05"/>
    <w:rsid w:val="50F11F70"/>
    <w:rsid w:val="510559A1"/>
    <w:rsid w:val="510D4856"/>
    <w:rsid w:val="51205BE3"/>
    <w:rsid w:val="51247002"/>
    <w:rsid w:val="51265CE2"/>
    <w:rsid w:val="512F0C70"/>
    <w:rsid w:val="51316796"/>
    <w:rsid w:val="51360251"/>
    <w:rsid w:val="513D33E2"/>
    <w:rsid w:val="518F170F"/>
    <w:rsid w:val="51986D55"/>
    <w:rsid w:val="51B11960"/>
    <w:rsid w:val="51D30376"/>
    <w:rsid w:val="51E517A3"/>
    <w:rsid w:val="52021EE1"/>
    <w:rsid w:val="520B596A"/>
    <w:rsid w:val="52187956"/>
    <w:rsid w:val="523A5B1F"/>
    <w:rsid w:val="525C6BA3"/>
    <w:rsid w:val="525F7333"/>
    <w:rsid w:val="527032EE"/>
    <w:rsid w:val="5274642B"/>
    <w:rsid w:val="52992845"/>
    <w:rsid w:val="529E36CC"/>
    <w:rsid w:val="52A347DC"/>
    <w:rsid w:val="52A871D4"/>
    <w:rsid w:val="52B12A6C"/>
    <w:rsid w:val="52BC4786"/>
    <w:rsid w:val="53083527"/>
    <w:rsid w:val="532760A3"/>
    <w:rsid w:val="53281E1B"/>
    <w:rsid w:val="536F4819"/>
    <w:rsid w:val="53964FD7"/>
    <w:rsid w:val="53AC1EF9"/>
    <w:rsid w:val="53B51901"/>
    <w:rsid w:val="53C45287"/>
    <w:rsid w:val="53D1718B"/>
    <w:rsid w:val="53DE35D5"/>
    <w:rsid w:val="53E421E6"/>
    <w:rsid w:val="54056FB1"/>
    <w:rsid w:val="5415414D"/>
    <w:rsid w:val="5435659E"/>
    <w:rsid w:val="543E122D"/>
    <w:rsid w:val="54514A24"/>
    <w:rsid w:val="54554E92"/>
    <w:rsid w:val="545A4256"/>
    <w:rsid w:val="546E6143"/>
    <w:rsid w:val="547F3CBD"/>
    <w:rsid w:val="54857525"/>
    <w:rsid w:val="54866DF9"/>
    <w:rsid w:val="549E4143"/>
    <w:rsid w:val="54C44B46"/>
    <w:rsid w:val="54D538DD"/>
    <w:rsid w:val="54ED35AA"/>
    <w:rsid w:val="54FF6D7A"/>
    <w:rsid w:val="55083CB2"/>
    <w:rsid w:val="55180399"/>
    <w:rsid w:val="551D40DC"/>
    <w:rsid w:val="55320D2F"/>
    <w:rsid w:val="55482300"/>
    <w:rsid w:val="554D7917"/>
    <w:rsid w:val="555C5838"/>
    <w:rsid w:val="55637EE4"/>
    <w:rsid w:val="55954CA5"/>
    <w:rsid w:val="55A04CAF"/>
    <w:rsid w:val="55A91966"/>
    <w:rsid w:val="55BF2332"/>
    <w:rsid w:val="55C217A6"/>
    <w:rsid w:val="55C220B3"/>
    <w:rsid w:val="55CF47D0"/>
    <w:rsid w:val="55EA33B8"/>
    <w:rsid w:val="560A3631"/>
    <w:rsid w:val="561843C9"/>
    <w:rsid w:val="561E05FB"/>
    <w:rsid w:val="561F5757"/>
    <w:rsid w:val="563113FB"/>
    <w:rsid w:val="563F39B0"/>
    <w:rsid w:val="564E3947"/>
    <w:rsid w:val="564F25FE"/>
    <w:rsid w:val="565A665B"/>
    <w:rsid w:val="565F7902"/>
    <w:rsid w:val="569F4299"/>
    <w:rsid w:val="56A42C52"/>
    <w:rsid w:val="56A8574D"/>
    <w:rsid w:val="56A93E30"/>
    <w:rsid w:val="56AB6FEB"/>
    <w:rsid w:val="56AE2637"/>
    <w:rsid w:val="56CE1E48"/>
    <w:rsid w:val="56D402F0"/>
    <w:rsid w:val="56FB1D20"/>
    <w:rsid w:val="570109B9"/>
    <w:rsid w:val="570B10AD"/>
    <w:rsid w:val="570E3CCA"/>
    <w:rsid w:val="571903F8"/>
    <w:rsid w:val="57203535"/>
    <w:rsid w:val="574A05B2"/>
    <w:rsid w:val="5752573D"/>
    <w:rsid w:val="57527466"/>
    <w:rsid w:val="575628A5"/>
    <w:rsid w:val="575951D9"/>
    <w:rsid w:val="577B4C0F"/>
    <w:rsid w:val="579B5FEE"/>
    <w:rsid w:val="57C32112"/>
    <w:rsid w:val="57D27E9C"/>
    <w:rsid w:val="57DD4F82"/>
    <w:rsid w:val="580A3E39"/>
    <w:rsid w:val="580E03AC"/>
    <w:rsid w:val="58353010"/>
    <w:rsid w:val="584E6149"/>
    <w:rsid w:val="58580246"/>
    <w:rsid w:val="58676F42"/>
    <w:rsid w:val="587D598D"/>
    <w:rsid w:val="589A10C5"/>
    <w:rsid w:val="589B67A1"/>
    <w:rsid w:val="58AB6E2E"/>
    <w:rsid w:val="58B8779D"/>
    <w:rsid w:val="58BC090E"/>
    <w:rsid w:val="58BD6B62"/>
    <w:rsid w:val="58CD3249"/>
    <w:rsid w:val="59142C25"/>
    <w:rsid w:val="59154646"/>
    <w:rsid w:val="592E180D"/>
    <w:rsid w:val="592E6609"/>
    <w:rsid w:val="59367040"/>
    <w:rsid w:val="59641C90"/>
    <w:rsid w:val="599124C8"/>
    <w:rsid w:val="59D06384"/>
    <w:rsid w:val="59F6057D"/>
    <w:rsid w:val="5A1D0200"/>
    <w:rsid w:val="5A421A14"/>
    <w:rsid w:val="5A582FE6"/>
    <w:rsid w:val="5A5D4984"/>
    <w:rsid w:val="5A8718DC"/>
    <w:rsid w:val="5A8E4C59"/>
    <w:rsid w:val="5AA1278A"/>
    <w:rsid w:val="5AA93841"/>
    <w:rsid w:val="5AB457AA"/>
    <w:rsid w:val="5AB75B32"/>
    <w:rsid w:val="5AC02939"/>
    <w:rsid w:val="5B1043AE"/>
    <w:rsid w:val="5B2B19EA"/>
    <w:rsid w:val="5B2B24A8"/>
    <w:rsid w:val="5B314FB8"/>
    <w:rsid w:val="5B5136E8"/>
    <w:rsid w:val="5B6A2FD1"/>
    <w:rsid w:val="5B865931"/>
    <w:rsid w:val="5BA5225B"/>
    <w:rsid w:val="5BAB5397"/>
    <w:rsid w:val="5BBD399E"/>
    <w:rsid w:val="5BC85F49"/>
    <w:rsid w:val="5BD42B40"/>
    <w:rsid w:val="5BE31E0F"/>
    <w:rsid w:val="5BED59B0"/>
    <w:rsid w:val="5BF52D46"/>
    <w:rsid w:val="5C155C9C"/>
    <w:rsid w:val="5C205812"/>
    <w:rsid w:val="5C36729C"/>
    <w:rsid w:val="5C520E7C"/>
    <w:rsid w:val="5C5611D3"/>
    <w:rsid w:val="5C5B4901"/>
    <w:rsid w:val="5C6914DA"/>
    <w:rsid w:val="5C704D02"/>
    <w:rsid w:val="5C7165E1"/>
    <w:rsid w:val="5C796266"/>
    <w:rsid w:val="5C7B2A3A"/>
    <w:rsid w:val="5C936557"/>
    <w:rsid w:val="5C9718BC"/>
    <w:rsid w:val="5C9A1694"/>
    <w:rsid w:val="5CC055C4"/>
    <w:rsid w:val="5CC07DD9"/>
    <w:rsid w:val="5CCE758F"/>
    <w:rsid w:val="5CD01559"/>
    <w:rsid w:val="5CD57B38"/>
    <w:rsid w:val="5D0B07E3"/>
    <w:rsid w:val="5D1A6C78"/>
    <w:rsid w:val="5D2017FC"/>
    <w:rsid w:val="5D265C86"/>
    <w:rsid w:val="5D3609BB"/>
    <w:rsid w:val="5D3A2E77"/>
    <w:rsid w:val="5D465377"/>
    <w:rsid w:val="5D7B1E4D"/>
    <w:rsid w:val="5D924A61"/>
    <w:rsid w:val="5DA46A13"/>
    <w:rsid w:val="5DB047FD"/>
    <w:rsid w:val="5DC23869"/>
    <w:rsid w:val="5DC34C1A"/>
    <w:rsid w:val="5DCD7847"/>
    <w:rsid w:val="5DD1318C"/>
    <w:rsid w:val="5E055233"/>
    <w:rsid w:val="5E255947"/>
    <w:rsid w:val="5E345B18"/>
    <w:rsid w:val="5E532930"/>
    <w:rsid w:val="5E6D4E5F"/>
    <w:rsid w:val="5E7245DC"/>
    <w:rsid w:val="5E897C12"/>
    <w:rsid w:val="5EA762EA"/>
    <w:rsid w:val="5EC4310E"/>
    <w:rsid w:val="5ECE1AC8"/>
    <w:rsid w:val="5EE4753E"/>
    <w:rsid w:val="5EEF2702"/>
    <w:rsid w:val="5EF552A7"/>
    <w:rsid w:val="5EFA2F5D"/>
    <w:rsid w:val="5F1405A9"/>
    <w:rsid w:val="5F21609C"/>
    <w:rsid w:val="5F2E3949"/>
    <w:rsid w:val="5F553450"/>
    <w:rsid w:val="5F557AF4"/>
    <w:rsid w:val="5F697A43"/>
    <w:rsid w:val="5F6A078D"/>
    <w:rsid w:val="5F881C77"/>
    <w:rsid w:val="5F8968E7"/>
    <w:rsid w:val="5FA8056B"/>
    <w:rsid w:val="5FCB2A1D"/>
    <w:rsid w:val="5FE315A4"/>
    <w:rsid w:val="5FEA46E0"/>
    <w:rsid w:val="5FFE462F"/>
    <w:rsid w:val="600B4656"/>
    <w:rsid w:val="602120CC"/>
    <w:rsid w:val="602A4A58"/>
    <w:rsid w:val="603718EF"/>
    <w:rsid w:val="6042451C"/>
    <w:rsid w:val="60736014"/>
    <w:rsid w:val="607C0C87"/>
    <w:rsid w:val="60820DBC"/>
    <w:rsid w:val="60967EED"/>
    <w:rsid w:val="609E54CA"/>
    <w:rsid w:val="60C74A21"/>
    <w:rsid w:val="60F82E2D"/>
    <w:rsid w:val="610F7501"/>
    <w:rsid w:val="61152866"/>
    <w:rsid w:val="611846AF"/>
    <w:rsid w:val="612400C6"/>
    <w:rsid w:val="61377D95"/>
    <w:rsid w:val="615838CB"/>
    <w:rsid w:val="61706E67"/>
    <w:rsid w:val="617A1A94"/>
    <w:rsid w:val="61A3723C"/>
    <w:rsid w:val="61EB0BE3"/>
    <w:rsid w:val="62173D90"/>
    <w:rsid w:val="621A4AF0"/>
    <w:rsid w:val="6222226E"/>
    <w:rsid w:val="62352A8D"/>
    <w:rsid w:val="623936FD"/>
    <w:rsid w:val="62410803"/>
    <w:rsid w:val="62516C98"/>
    <w:rsid w:val="626764BC"/>
    <w:rsid w:val="626C3AD2"/>
    <w:rsid w:val="627C183B"/>
    <w:rsid w:val="628F156F"/>
    <w:rsid w:val="6291178B"/>
    <w:rsid w:val="62A36DC8"/>
    <w:rsid w:val="62B66AFB"/>
    <w:rsid w:val="62D81168"/>
    <w:rsid w:val="630C5F65"/>
    <w:rsid w:val="630F35BA"/>
    <w:rsid w:val="63154001"/>
    <w:rsid w:val="63475D27"/>
    <w:rsid w:val="638C3D00"/>
    <w:rsid w:val="639D5F0D"/>
    <w:rsid w:val="639D7CBB"/>
    <w:rsid w:val="63A948B2"/>
    <w:rsid w:val="63B910BF"/>
    <w:rsid w:val="63BD210C"/>
    <w:rsid w:val="63D86F45"/>
    <w:rsid w:val="63EB0A27"/>
    <w:rsid w:val="63F35B2D"/>
    <w:rsid w:val="63F7386F"/>
    <w:rsid w:val="640D3093"/>
    <w:rsid w:val="64195594"/>
    <w:rsid w:val="643A375C"/>
    <w:rsid w:val="644D348F"/>
    <w:rsid w:val="645C1924"/>
    <w:rsid w:val="64746C6E"/>
    <w:rsid w:val="64837769"/>
    <w:rsid w:val="6486074F"/>
    <w:rsid w:val="64AA6B34"/>
    <w:rsid w:val="64B21544"/>
    <w:rsid w:val="64B456FA"/>
    <w:rsid w:val="64BD1D66"/>
    <w:rsid w:val="64D4770D"/>
    <w:rsid w:val="64DA084F"/>
    <w:rsid w:val="64E341A7"/>
    <w:rsid w:val="64EA6F30"/>
    <w:rsid w:val="64EC3D37"/>
    <w:rsid w:val="64F61D79"/>
    <w:rsid w:val="65044496"/>
    <w:rsid w:val="65130235"/>
    <w:rsid w:val="651B358E"/>
    <w:rsid w:val="65491EA9"/>
    <w:rsid w:val="65580870"/>
    <w:rsid w:val="6578278E"/>
    <w:rsid w:val="6578453C"/>
    <w:rsid w:val="65910BD0"/>
    <w:rsid w:val="65D8641E"/>
    <w:rsid w:val="6612135A"/>
    <w:rsid w:val="662841B4"/>
    <w:rsid w:val="66285F62"/>
    <w:rsid w:val="66304E17"/>
    <w:rsid w:val="66364FB0"/>
    <w:rsid w:val="66421E58"/>
    <w:rsid w:val="66442670"/>
    <w:rsid w:val="668D2269"/>
    <w:rsid w:val="66BB0B84"/>
    <w:rsid w:val="66E83943"/>
    <w:rsid w:val="66F422E8"/>
    <w:rsid w:val="67010561"/>
    <w:rsid w:val="67236729"/>
    <w:rsid w:val="672A7AB8"/>
    <w:rsid w:val="67395F4D"/>
    <w:rsid w:val="67472D0B"/>
    <w:rsid w:val="674D4335"/>
    <w:rsid w:val="676C6322"/>
    <w:rsid w:val="67705E13"/>
    <w:rsid w:val="67786A75"/>
    <w:rsid w:val="67892A30"/>
    <w:rsid w:val="67BA210E"/>
    <w:rsid w:val="67C47F0C"/>
    <w:rsid w:val="67CE0D8B"/>
    <w:rsid w:val="67ED558F"/>
    <w:rsid w:val="67EF00B6"/>
    <w:rsid w:val="680E73DA"/>
    <w:rsid w:val="680F4066"/>
    <w:rsid w:val="68120612"/>
    <w:rsid w:val="68246BFD"/>
    <w:rsid w:val="683C5CF5"/>
    <w:rsid w:val="683F57E5"/>
    <w:rsid w:val="68430781"/>
    <w:rsid w:val="685968A7"/>
    <w:rsid w:val="685E3EBD"/>
    <w:rsid w:val="686009E5"/>
    <w:rsid w:val="686676F6"/>
    <w:rsid w:val="687A05CB"/>
    <w:rsid w:val="688A35DC"/>
    <w:rsid w:val="68B0223F"/>
    <w:rsid w:val="68B24209"/>
    <w:rsid w:val="68C77CB4"/>
    <w:rsid w:val="68CB7079"/>
    <w:rsid w:val="68DD74D8"/>
    <w:rsid w:val="68E929F2"/>
    <w:rsid w:val="68F41093"/>
    <w:rsid w:val="68F93BE6"/>
    <w:rsid w:val="68FD194E"/>
    <w:rsid w:val="691A1872"/>
    <w:rsid w:val="692C3FBB"/>
    <w:rsid w:val="693B6FA6"/>
    <w:rsid w:val="6949691B"/>
    <w:rsid w:val="69562DE6"/>
    <w:rsid w:val="695E2B47"/>
    <w:rsid w:val="69721525"/>
    <w:rsid w:val="69857AE2"/>
    <w:rsid w:val="699E6EDB"/>
    <w:rsid w:val="6A0C5CC5"/>
    <w:rsid w:val="6A325601"/>
    <w:rsid w:val="6A410F0B"/>
    <w:rsid w:val="6A464C09"/>
    <w:rsid w:val="6A527A52"/>
    <w:rsid w:val="6A580B27"/>
    <w:rsid w:val="6A5E3CD9"/>
    <w:rsid w:val="6A6D7C61"/>
    <w:rsid w:val="6A7450B3"/>
    <w:rsid w:val="6A7A6FA8"/>
    <w:rsid w:val="6A813E93"/>
    <w:rsid w:val="6A815C41"/>
    <w:rsid w:val="6A8E035E"/>
    <w:rsid w:val="6A9C5931"/>
    <w:rsid w:val="6AA42190"/>
    <w:rsid w:val="6AF428B7"/>
    <w:rsid w:val="6B013EB0"/>
    <w:rsid w:val="6B0F149F"/>
    <w:rsid w:val="6B160A7F"/>
    <w:rsid w:val="6B1D005F"/>
    <w:rsid w:val="6B1E16E2"/>
    <w:rsid w:val="6B202975"/>
    <w:rsid w:val="6B293D9A"/>
    <w:rsid w:val="6B4231FD"/>
    <w:rsid w:val="6B431148"/>
    <w:rsid w:val="6B4517AF"/>
    <w:rsid w:val="6B633598"/>
    <w:rsid w:val="6B7439F8"/>
    <w:rsid w:val="6BA73DCD"/>
    <w:rsid w:val="6BA92D4B"/>
    <w:rsid w:val="6BB32E8D"/>
    <w:rsid w:val="6BC3064C"/>
    <w:rsid w:val="6BD20370"/>
    <w:rsid w:val="6BDC2A11"/>
    <w:rsid w:val="6BDD7D8E"/>
    <w:rsid w:val="6BE26BB3"/>
    <w:rsid w:val="6C1C0317"/>
    <w:rsid w:val="6C2A54D6"/>
    <w:rsid w:val="6C4179F9"/>
    <w:rsid w:val="6C4B4758"/>
    <w:rsid w:val="6C692464"/>
    <w:rsid w:val="6C7C0DB6"/>
    <w:rsid w:val="6C99103A"/>
    <w:rsid w:val="6C9A748E"/>
    <w:rsid w:val="6C9B4649"/>
    <w:rsid w:val="6CAB169B"/>
    <w:rsid w:val="6CB21CD0"/>
    <w:rsid w:val="6CDE55CC"/>
    <w:rsid w:val="6CF748E0"/>
    <w:rsid w:val="6D0019E7"/>
    <w:rsid w:val="6D1014FE"/>
    <w:rsid w:val="6D1C60F5"/>
    <w:rsid w:val="6D22312D"/>
    <w:rsid w:val="6D284A9A"/>
    <w:rsid w:val="6D3276C6"/>
    <w:rsid w:val="6D4573FA"/>
    <w:rsid w:val="6D4C69DA"/>
    <w:rsid w:val="6D6A3304"/>
    <w:rsid w:val="6D806684"/>
    <w:rsid w:val="6D9148D9"/>
    <w:rsid w:val="6D924ED4"/>
    <w:rsid w:val="6D981C1F"/>
    <w:rsid w:val="6DB2635A"/>
    <w:rsid w:val="6DB870C2"/>
    <w:rsid w:val="6DB97DE8"/>
    <w:rsid w:val="6DC72505"/>
    <w:rsid w:val="6DF27FD2"/>
    <w:rsid w:val="6DFF6762"/>
    <w:rsid w:val="6E0A61CA"/>
    <w:rsid w:val="6E112BCB"/>
    <w:rsid w:val="6E11552E"/>
    <w:rsid w:val="6E117A0C"/>
    <w:rsid w:val="6E433B5F"/>
    <w:rsid w:val="6E5E14F6"/>
    <w:rsid w:val="6E661D1D"/>
    <w:rsid w:val="6E7C509D"/>
    <w:rsid w:val="6E8C1058"/>
    <w:rsid w:val="6E9879FD"/>
    <w:rsid w:val="6EA445F4"/>
    <w:rsid w:val="6EA91C0A"/>
    <w:rsid w:val="6EB83BFB"/>
    <w:rsid w:val="6EBC36EB"/>
    <w:rsid w:val="6EF32E85"/>
    <w:rsid w:val="6EF966EE"/>
    <w:rsid w:val="6EFA2466"/>
    <w:rsid w:val="6F084B83"/>
    <w:rsid w:val="6F1928EC"/>
    <w:rsid w:val="6F2A4AF9"/>
    <w:rsid w:val="6F3D6CAA"/>
    <w:rsid w:val="6F60676D"/>
    <w:rsid w:val="6F7E2977"/>
    <w:rsid w:val="6F8D6E36"/>
    <w:rsid w:val="6F944336"/>
    <w:rsid w:val="6F9E54E7"/>
    <w:rsid w:val="6FAD4F96"/>
    <w:rsid w:val="6FB645DF"/>
    <w:rsid w:val="6FB70357"/>
    <w:rsid w:val="6FD26F3F"/>
    <w:rsid w:val="6FD5201B"/>
    <w:rsid w:val="6FF15617"/>
    <w:rsid w:val="6FF5292A"/>
    <w:rsid w:val="701B2694"/>
    <w:rsid w:val="701B4320"/>
    <w:rsid w:val="70226E34"/>
    <w:rsid w:val="70251576"/>
    <w:rsid w:val="702A28D7"/>
    <w:rsid w:val="704A2F79"/>
    <w:rsid w:val="706E4681"/>
    <w:rsid w:val="70871AD7"/>
    <w:rsid w:val="708E7A0F"/>
    <w:rsid w:val="70A51BE3"/>
    <w:rsid w:val="70A73188"/>
    <w:rsid w:val="70B30B1E"/>
    <w:rsid w:val="70C1148D"/>
    <w:rsid w:val="70CB40BA"/>
    <w:rsid w:val="70CD22D0"/>
    <w:rsid w:val="70D43CF6"/>
    <w:rsid w:val="7104581E"/>
    <w:rsid w:val="71067B98"/>
    <w:rsid w:val="711F4749"/>
    <w:rsid w:val="712C3F43"/>
    <w:rsid w:val="71494FDF"/>
    <w:rsid w:val="71502811"/>
    <w:rsid w:val="715E6CDC"/>
    <w:rsid w:val="71662034"/>
    <w:rsid w:val="71696D4E"/>
    <w:rsid w:val="716A0369"/>
    <w:rsid w:val="716B764B"/>
    <w:rsid w:val="716D33C3"/>
    <w:rsid w:val="71A60683"/>
    <w:rsid w:val="71B44B4E"/>
    <w:rsid w:val="71BA7C8A"/>
    <w:rsid w:val="71BB2380"/>
    <w:rsid w:val="71CF7BDA"/>
    <w:rsid w:val="71E76CD1"/>
    <w:rsid w:val="71EA4A14"/>
    <w:rsid w:val="7242215A"/>
    <w:rsid w:val="72444124"/>
    <w:rsid w:val="726F6CC7"/>
    <w:rsid w:val="72750781"/>
    <w:rsid w:val="727F515C"/>
    <w:rsid w:val="72897D89"/>
    <w:rsid w:val="72AC1170"/>
    <w:rsid w:val="72AE77EF"/>
    <w:rsid w:val="72B45FBD"/>
    <w:rsid w:val="72BB5F8B"/>
    <w:rsid w:val="72BB6655"/>
    <w:rsid w:val="72D76045"/>
    <w:rsid w:val="72DA58DB"/>
    <w:rsid w:val="72DF5BFA"/>
    <w:rsid w:val="72FA1A10"/>
    <w:rsid w:val="72FC67AC"/>
    <w:rsid w:val="7306762B"/>
    <w:rsid w:val="731F249B"/>
    <w:rsid w:val="732B7092"/>
    <w:rsid w:val="733777E5"/>
    <w:rsid w:val="733D0B73"/>
    <w:rsid w:val="73662167"/>
    <w:rsid w:val="737F2B52"/>
    <w:rsid w:val="73852C46"/>
    <w:rsid w:val="73952CB3"/>
    <w:rsid w:val="73BB3031"/>
    <w:rsid w:val="73BE7F06"/>
    <w:rsid w:val="73C01851"/>
    <w:rsid w:val="73C35EAE"/>
    <w:rsid w:val="73E3255B"/>
    <w:rsid w:val="74081181"/>
    <w:rsid w:val="742D0BE7"/>
    <w:rsid w:val="74312486"/>
    <w:rsid w:val="744A3547"/>
    <w:rsid w:val="749E63DE"/>
    <w:rsid w:val="74B4133C"/>
    <w:rsid w:val="74B51309"/>
    <w:rsid w:val="74BB61F3"/>
    <w:rsid w:val="74D10E1E"/>
    <w:rsid w:val="74D80B53"/>
    <w:rsid w:val="74DE41A5"/>
    <w:rsid w:val="74E27C24"/>
    <w:rsid w:val="74E90FB2"/>
    <w:rsid w:val="74FB2A94"/>
    <w:rsid w:val="75047B9A"/>
    <w:rsid w:val="750D1A10"/>
    <w:rsid w:val="75112E04"/>
    <w:rsid w:val="753C7334"/>
    <w:rsid w:val="7544268D"/>
    <w:rsid w:val="75616D9B"/>
    <w:rsid w:val="75722D56"/>
    <w:rsid w:val="75752846"/>
    <w:rsid w:val="759233F8"/>
    <w:rsid w:val="75976C60"/>
    <w:rsid w:val="75982E13"/>
    <w:rsid w:val="75AD0232"/>
    <w:rsid w:val="75BF7803"/>
    <w:rsid w:val="75E31EA6"/>
    <w:rsid w:val="75E63744"/>
    <w:rsid w:val="75E654F2"/>
    <w:rsid w:val="75EB48B6"/>
    <w:rsid w:val="75ED4C66"/>
    <w:rsid w:val="75F537A2"/>
    <w:rsid w:val="760065B4"/>
    <w:rsid w:val="760B64AF"/>
    <w:rsid w:val="761A4816"/>
    <w:rsid w:val="761C0F14"/>
    <w:rsid w:val="763C5112"/>
    <w:rsid w:val="76404C02"/>
    <w:rsid w:val="76491381"/>
    <w:rsid w:val="764C17F9"/>
    <w:rsid w:val="7662726E"/>
    <w:rsid w:val="76880357"/>
    <w:rsid w:val="768C6099"/>
    <w:rsid w:val="76992564"/>
    <w:rsid w:val="769D3F76"/>
    <w:rsid w:val="76A5715B"/>
    <w:rsid w:val="76B13D52"/>
    <w:rsid w:val="76B86E8E"/>
    <w:rsid w:val="76CE33B8"/>
    <w:rsid w:val="76D8308D"/>
    <w:rsid w:val="76F36118"/>
    <w:rsid w:val="770143E1"/>
    <w:rsid w:val="7707379D"/>
    <w:rsid w:val="77100A78"/>
    <w:rsid w:val="771147F0"/>
    <w:rsid w:val="77204A34"/>
    <w:rsid w:val="77334767"/>
    <w:rsid w:val="773A6661"/>
    <w:rsid w:val="773F188E"/>
    <w:rsid w:val="774769D9"/>
    <w:rsid w:val="777922B8"/>
    <w:rsid w:val="77802750"/>
    <w:rsid w:val="77A94A29"/>
    <w:rsid w:val="77B70EF4"/>
    <w:rsid w:val="77BC6478"/>
    <w:rsid w:val="77BE04D4"/>
    <w:rsid w:val="77C60C9B"/>
    <w:rsid w:val="77CE4490"/>
    <w:rsid w:val="77D33046"/>
    <w:rsid w:val="77D9530E"/>
    <w:rsid w:val="77FC0FFD"/>
    <w:rsid w:val="78051E8C"/>
    <w:rsid w:val="781D349B"/>
    <w:rsid w:val="782567A5"/>
    <w:rsid w:val="78343564"/>
    <w:rsid w:val="78680440"/>
    <w:rsid w:val="788D434B"/>
    <w:rsid w:val="78C7160B"/>
    <w:rsid w:val="78CE6555"/>
    <w:rsid w:val="78D26A7E"/>
    <w:rsid w:val="78F16688"/>
    <w:rsid w:val="78FE2B52"/>
    <w:rsid w:val="790463BB"/>
    <w:rsid w:val="79057E11"/>
    <w:rsid w:val="79115F2B"/>
    <w:rsid w:val="79172B8D"/>
    <w:rsid w:val="792B7DEB"/>
    <w:rsid w:val="792F0F5E"/>
    <w:rsid w:val="793B5B55"/>
    <w:rsid w:val="794E5888"/>
    <w:rsid w:val="79517126"/>
    <w:rsid w:val="7954398B"/>
    <w:rsid w:val="79584959"/>
    <w:rsid w:val="795C61F7"/>
    <w:rsid w:val="795D5ACB"/>
    <w:rsid w:val="79703A50"/>
    <w:rsid w:val="79733540"/>
    <w:rsid w:val="797D2FE0"/>
    <w:rsid w:val="79940026"/>
    <w:rsid w:val="79A13787"/>
    <w:rsid w:val="79A816D1"/>
    <w:rsid w:val="79B4528C"/>
    <w:rsid w:val="79D42231"/>
    <w:rsid w:val="79E166FC"/>
    <w:rsid w:val="79EB37FE"/>
    <w:rsid w:val="79FB72EC"/>
    <w:rsid w:val="7A066840"/>
    <w:rsid w:val="7A121319"/>
    <w:rsid w:val="7A162C99"/>
    <w:rsid w:val="7A1D1ABC"/>
    <w:rsid w:val="7A210E8A"/>
    <w:rsid w:val="7A2C0384"/>
    <w:rsid w:val="7A3E5B65"/>
    <w:rsid w:val="7A7632E8"/>
    <w:rsid w:val="7A804167"/>
    <w:rsid w:val="7AE2272C"/>
    <w:rsid w:val="7B166879"/>
    <w:rsid w:val="7B18439F"/>
    <w:rsid w:val="7B2C1BF9"/>
    <w:rsid w:val="7B406A51"/>
    <w:rsid w:val="7B4152F5"/>
    <w:rsid w:val="7B4C1878"/>
    <w:rsid w:val="7B643141"/>
    <w:rsid w:val="7B737828"/>
    <w:rsid w:val="7B776F27"/>
    <w:rsid w:val="7B7D4202"/>
    <w:rsid w:val="7BAF10A7"/>
    <w:rsid w:val="7BC14493"/>
    <w:rsid w:val="7BCC61A2"/>
    <w:rsid w:val="7BD303AD"/>
    <w:rsid w:val="7BE81FC4"/>
    <w:rsid w:val="7BE8430F"/>
    <w:rsid w:val="7C0B180E"/>
    <w:rsid w:val="7C0C4160"/>
    <w:rsid w:val="7C184A57"/>
    <w:rsid w:val="7C28078E"/>
    <w:rsid w:val="7C4B5C9C"/>
    <w:rsid w:val="7C4D0079"/>
    <w:rsid w:val="7C501917"/>
    <w:rsid w:val="7C675C0A"/>
    <w:rsid w:val="7C6B587F"/>
    <w:rsid w:val="7C7C3179"/>
    <w:rsid w:val="7C7C44BA"/>
    <w:rsid w:val="7C814675"/>
    <w:rsid w:val="7C8512EC"/>
    <w:rsid w:val="7CA12173"/>
    <w:rsid w:val="7CAD6D69"/>
    <w:rsid w:val="7CB023B6"/>
    <w:rsid w:val="7CCB6131"/>
    <w:rsid w:val="7CE56503"/>
    <w:rsid w:val="7CF02627"/>
    <w:rsid w:val="7CFE75C5"/>
    <w:rsid w:val="7CFF4E1C"/>
    <w:rsid w:val="7D1943FF"/>
    <w:rsid w:val="7D2C6315"/>
    <w:rsid w:val="7D33726F"/>
    <w:rsid w:val="7D356A66"/>
    <w:rsid w:val="7D511DEB"/>
    <w:rsid w:val="7D690930"/>
    <w:rsid w:val="7D6F2271"/>
    <w:rsid w:val="7D8C697F"/>
    <w:rsid w:val="7DA243F4"/>
    <w:rsid w:val="7DBB1012"/>
    <w:rsid w:val="7DD63E9F"/>
    <w:rsid w:val="7DDB3462"/>
    <w:rsid w:val="7E23216E"/>
    <w:rsid w:val="7E2412AD"/>
    <w:rsid w:val="7E265025"/>
    <w:rsid w:val="7E372D8F"/>
    <w:rsid w:val="7E44676F"/>
    <w:rsid w:val="7E526938"/>
    <w:rsid w:val="7E636592"/>
    <w:rsid w:val="7E722019"/>
    <w:rsid w:val="7E843AFA"/>
    <w:rsid w:val="7E8D0C00"/>
    <w:rsid w:val="7E8E3FCE"/>
    <w:rsid w:val="7E8E57B1"/>
    <w:rsid w:val="7E977CD1"/>
    <w:rsid w:val="7E9C0E44"/>
    <w:rsid w:val="7EAA3560"/>
    <w:rsid w:val="7EAC1347"/>
    <w:rsid w:val="7ECD36F3"/>
    <w:rsid w:val="7EE501EF"/>
    <w:rsid w:val="7EE66563"/>
    <w:rsid w:val="7EED169F"/>
    <w:rsid w:val="7F0D5859"/>
    <w:rsid w:val="7F385010"/>
    <w:rsid w:val="7F885890"/>
    <w:rsid w:val="7FA22F78"/>
    <w:rsid w:val="7FA27CF2"/>
    <w:rsid w:val="7FAF4BA7"/>
    <w:rsid w:val="7FB201B2"/>
    <w:rsid w:val="7FB3011B"/>
    <w:rsid w:val="7FBA3291"/>
    <w:rsid w:val="7FD30895"/>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3"/>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autoRedefine/>
    <w:qFormat/>
    <w:uiPriority w:val="0"/>
    <w:pPr>
      <w:keepNext/>
      <w:keepLines/>
      <w:spacing w:before="260" w:after="260" w:line="416" w:lineRule="atLeast"/>
      <w:textAlignment w:val="baseline"/>
      <w:outlineLvl w:val="2"/>
    </w:pPr>
    <w:rPr>
      <w:b/>
      <w:bCs/>
      <w:color w:val="000000"/>
      <w:sz w:val="32"/>
      <w:szCs w:val="32"/>
      <w:u w:color="000000"/>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adjustRightInd w:val="0"/>
      <w:spacing w:line="360" w:lineRule="atLeast"/>
      <w:ind w:firstLine="482"/>
      <w:textAlignment w:val="baseline"/>
    </w:pPr>
    <w:rPr>
      <w:kern w:val="0"/>
      <w:sz w:val="24"/>
      <w:szCs w:val="20"/>
    </w:rPr>
  </w:style>
  <w:style w:type="paragraph" w:styleId="6">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7">
    <w:name w:val="annotation text"/>
    <w:basedOn w:val="1"/>
    <w:autoRedefine/>
    <w:qFormat/>
    <w:uiPriority w:val="0"/>
    <w:pPr>
      <w:jc w:val="left"/>
    </w:pPr>
  </w:style>
  <w:style w:type="paragraph" w:styleId="8">
    <w:name w:val="Body Text"/>
    <w:basedOn w:val="1"/>
    <w:link w:val="41"/>
    <w:autoRedefine/>
    <w:qFormat/>
    <w:uiPriority w:val="0"/>
    <w:pPr>
      <w:spacing w:after="120"/>
    </w:pPr>
  </w:style>
  <w:style w:type="paragraph" w:styleId="9">
    <w:name w:val="Body Text Indent"/>
    <w:basedOn w:val="1"/>
    <w:next w:val="1"/>
    <w:autoRedefine/>
    <w:qFormat/>
    <w:uiPriority w:val="0"/>
    <w:pPr>
      <w:spacing w:after="120"/>
      <w:ind w:left="200" w:leftChars="200"/>
    </w:pPr>
  </w:style>
  <w:style w:type="paragraph" w:styleId="10">
    <w:name w:val="toc 3"/>
    <w:basedOn w:val="1"/>
    <w:next w:val="1"/>
    <w:autoRedefine/>
    <w:qFormat/>
    <w:uiPriority w:val="39"/>
    <w:pPr>
      <w:tabs>
        <w:tab w:val="right" w:leader="dot" w:pos="9288"/>
      </w:tabs>
      <w:ind w:left="400" w:leftChars="400"/>
    </w:pPr>
    <w:rPr>
      <w:rFonts w:ascii="宋体"/>
    </w:rPr>
  </w:style>
  <w:style w:type="paragraph" w:styleId="11">
    <w:name w:val="Plain Text"/>
    <w:basedOn w:val="1"/>
    <w:next w:val="12"/>
    <w:link w:val="42"/>
    <w:autoRedefine/>
    <w:qFormat/>
    <w:uiPriority w:val="0"/>
    <w:rPr>
      <w:rFonts w:ascii="宋体"/>
      <w:color w:val="000000"/>
      <w:szCs w:val="20"/>
      <w:u w:color="000000"/>
    </w:rPr>
  </w:style>
  <w:style w:type="paragraph" w:styleId="12">
    <w:name w:val="Subtitle"/>
    <w:basedOn w:val="1"/>
    <w:next w:val="1"/>
    <w:qFormat/>
    <w:uiPriority w:val="0"/>
    <w:pPr>
      <w:widowControl w:val="0"/>
      <w:wordWrap w:val="0"/>
      <w:spacing w:before="0" w:after="60"/>
      <w:ind w:left="0" w:right="0"/>
      <w:jc w:val="center"/>
    </w:pPr>
    <w:rPr>
      <w:rFonts w:ascii="Calibri" w:hAnsi="Calibri" w:eastAsia="宋体" w:cs="Times New Roman"/>
      <w:kern w:val="2"/>
      <w:sz w:val="24"/>
      <w:szCs w:val="24"/>
      <w:lang w:val="en-US" w:eastAsia="zh-CN" w:bidi="ar-SA"/>
    </w:rPr>
  </w:style>
  <w:style w:type="paragraph" w:styleId="13">
    <w:name w:val="Date"/>
    <w:basedOn w:val="1"/>
    <w:next w:val="1"/>
    <w:link w:val="43"/>
    <w:autoRedefine/>
    <w:qFormat/>
    <w:uiPriority w:val="0"/>
    <w:rPr>
      <w:rFonts w:ascii="Arial" w:hAnsi="Arial" w:eastAsia="仿宋_GB2312"/>
      <w:color w:val="000000"/>
      <w:sz w:val="32"/>
      <w:szCs w:val="20"/>
      <w:u w:color="000000"/>
    </w:rPr>
  </w:style>
  <w:style w:type="paragraph" w:styleId="14">
    <w:name w:val="footer"/>
    <w:basedOn w:val="1"/>
    <w:link w:val="44"/>
    <w:autoRedefine/>
    <w:qFormat/>
    <w:uiPriority w:val="0"/>
    <w:pPr>
      <w:tabs>
        <w:tab w:val="center" w:pos="4153"/>
        <w:tab w:val="right" w:pos="8306"/>
      </w:tabs>
      <w:snapToGrid w:val="0"/>
      <w:jc w:val="left"/>
    </w:pPr>
    <w:rPr>
      <w:sz w:val="18"/>
      <w:szCs w:val="18"/>
    </w:rPr>
  </w:style>
  <w:style w:type="paragraph" w:styleId="15">
    <w:name w:val="header"/>
    <w:basedOn w:val="1"/>
    <w:link w:val="45"/>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style>
  <w:style w:type="paragraph" w:styleId="17">
    <w:name w:val="toc 4"/>
    <w:basedOn w:val="1"/>
    <w:next w:val="1"/>
    <w:qFormat/>
    <w:uiPriority w:val="0"/>
    <w:pPr>
      <w:ind w:left="1260" w:leftChars="600"/>
    </w:pPr>
  </w:style>
  <w:style w:type="paragraph" w:styleId="18">
    <w:name w:val="footnote text"/>
    <w:basedOn w:val="1"/>
    <w:autoRedefine/>
    <w:qFormat/>
    <w:uiPriority w:val="0"/>
    <w:pPr>
      <w:adjustRightInd w:val="0"/>
      <w:spacing w:line="312" w:lineRule="atLeast"/>
      <w:jc w:val="left"/>
      <w:textAlignment w:val="baseline"/>
    </w:pPr>
    <w:rPr>
      <w:kern w:val="0"/>
      <w:sz w:val="18"/>
      <w:szCs w:val="20"/>
    </w:rPr>
  </w:style>
  <w:style w:type="paragraph" w:styleId="19">
    <w:name w:val="index 7"/>
    <w:basedOn w:val="1"/>
    <w:next w:val="1"/>
    <w:autoRedefine/>
    <w:qFormat/>
    <w:uiPriority w:val="0"/>
    <w:pPr>
      <w:ind w:left="1200" w:leftChars="1200"/>
    </w:pPr>
  </w:style>
  <w:style w:type="paragraph" w:styleId="20">
    <w:name w:val="toc 2"/>
    <w:basedOn w:val="1"/>
    <w:next w:val="1"/>
    <w:autoRedefine/>
    <w:qFormat/>
    <w:uiPriority w:val="39"/>
    <w:pPr>
      <w:ind w:left="200" w:leftChars="200"/>
    </w:pPr>
  </w:style>
  <w:style w:type="paragraph" w:styleId="21">
    <w:name w:val="Body Text 2"/>
    <w:basedOn w:val="1"/>
    <w:autoRedefine/>
    <w:qFormat/>
    <w:uiPriority w:val="0"/>
    <w:pPr>
      <w:tabs>
        <w:tab w:val="left" w:pos="0"/>
      </w:tabs>
      <w:spacing w:line="400" w:lineRule="atLeast"/>
    </w:pPr>
    <w:rPr>
      <w:rFonts w:ascii="Arial" w:hAnsi="Arial"/>
      <w:color w:val="000000"/>
    </w:rPr>
  </w:style>
  <w:style w:type="paragraph" w:styleId="2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3">
    <w:name w:val="Body Text First Indent"/>
    <w:basedOn w:val="8"/>
    <w:next w:val="1"/>
    <w:autoRedefine/>
    <w:unhideWhenUsed/>
    <w:qFormat/>
    <w:uiPriority w:val="0"/>
    <w:pPr>
      <w:ind w:firstLine="420" w:firstLineChars="100"/>
    </w:pPr>
  </w:style>
  <w:style w:type="paragraph" w:styleId="24">
    <w:name w:val="Body Text First Indent 2"/>
    <w:basedOn w:val="9"/>
    <w:next w:val="23"/>
    <w:autoRedefine/>
    <w:unhideWhenUsed/>
    <w:qFormat/>
    <w:uiPriority w:val="99"/>
    <w:pPr>
      <w:ind w:left="420" w:firstLine="420"/>
    </w:pPr>
    <w:rPr>
      <w:rFonts w:cs="宋体"/>
      <w:szCs w:val="21"/>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autoRedefine/>
    <w:qFormat/>
    <w:uiPriority w:val="0"/>
    <w:rPr>
      <w:b/>
    </w:rPr>
  </w:style>
  <w:style w:type="character" w:styleId="29">
    <w:name w:val="page number"/>
    <w:basedOn w:val="27"/>
    <w:autoRedefine/>
    <w:qFormat/>
    <w:uiPriority w:val="0"/>
  </w:style>
  <w:style w:type="character" w:styleId="30">
    <w:name w:val="FollowedHyperlink"/>
    <w:autoRedefine/>
    <w:qFormat/>
    <w:uiPriority w:val="0"/>
    <w:rPr>
      <w:color w:val="333333"/>
      <w:u w:val="none"/>
    </w:rPr>
  </w:style>
  <w:style w:type="character" w:styleId="31">
    <w:name w:val="Hyperlink"/>
    <w:basedOn w:val="27"/>
    <w:autoRedefine/>
    <w:qFormat/>
    <w:uiPriority w:val="99"/>
    <w:rPr>
      <w:color w:val="0000FF"/>
      <w:u w:val="single"/>
    </w:rPr>
  </w:style>
  <w:style w:type="character" w:styleId="32">
    <w:name w:val="footnote reference"/>
    <w:basedOn w:val="27"/>
    <w:unhideWhenUsed/>
    <w:qFormat/>
    <w:uiPriority w:val="99"/>
    <w:rPr>
      <w:vertAlign w:val="superscript"/>
    </w:rPr>
  </w:style>
  <w:style w:type="character" w:styleId="33">
    <w:name w:val="HTML Sample"/>
    <w:basedOn w:val="27"/>
    <w:autoRedefine/>
    <w:qFormat/>
    <w:uiPriority w:val="0"/>
    <w:rPr>
      <w:rFonts w:ascii="Courier New" w:hAnsi="Courier New"/>
    </w:rPr>
  </w:style>
  <w:style w:type="paragraph" w:customStyle="1" w:styleId="34">
    <w:name w:val="_Style 2"/>
    <w:basedOn w:val="1"/>
    <w:next w:val="1"/>
    <w:autoRedefine/>
    <w:qFormat/>
    <w:uiPriority w:val="0"/>
    <w:pPr>
      <w:ind w:firstLine="200" w:firstLineChars="200"/>
    </w:pPr>
    <w:rPr>
      <w:rFonts w:ascii="Calibri" w:hAnsi="Calibri"/>
      <w:sz w:val="28"/>
      <w:szCs w:val="22"/>
    </w:rPr>
  </w:style>
  <w:style w:type="paragraph" w:customStyle="1" w:styleId="3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6">
    <w:name w:val="Quote"/>
    <w:basedOn w:val="1"/>
    <w:next w:val="1"/>
    <w:autoRedefine/>
    <w:qFormat/>
    <w:uiPriority w:val="0"/>
    <w:pPr>
      <w:wordWrap w:val="0"/>
      <w:spacing w:before="200" w:after="160"/>
      <w:ind w:left="864" w:right="864"/>
      <w:jc w:val="center"/>
    </w:pPr>
    <w:rPr>
      <w:rFonts w:ascii="Calibri" w:hAnsi="Calibri"/>
      <w:i/>
    </w:rPr>
  </w:style>
  <w:style w:type="paragraph" w:customStyle="1" w:styleId="37">
    <w:name w:val="正文格式"/>
    <w:basedOn w:val="1"/>
    <w:autoRedefine/>
    <w:qFormat/>
    <w:uiPriority w:val="99"/>
    <w:pPr>
      <w:widowControl/>
      <w:adjustRightInd w:val="0"/>
      <w:snapToGrid w:val="0"/>
      <w:spacing w:line="400" w:lineRule="atLeast"/>
      <w:ind w:firstLine="482"/>
      <w:textAlignment w:val="baseline"/>
    </w:pPr>
    <w:rPr>
      <w:kern w:val="0"/>
      <w:sz w:val="24"/>
    </w:rPr>
  </w:style>
  <w:style w:type="paragraph" w:customStyle="1" w:styleId="38">
    <w:name w:val="标题 5（有编号）（绿盟科技）"/>
    <w:basedOn w:val="1"/>
    <w:next w:val="39"/>
    <w:autoRedefine/>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39">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40">
    <w:name w:val="[Normal]"/>
    <w:autoRedefine/>
    <w:qFormat/>
    <w:uiPriority w:val="0"/>
    <w:rPr>
      <w:rFonts w:ascii="宋体" w:hAnsi="宋体" w:eastAsia="宋体" w:cs="Times New Roman"/>
      <w:sz w:val="24"/>
      <w:szCs w:val="22"/>
      <w:lang w:val="zh-CN" w:eastAsia="zh-CN" w:bidi="ar-SA"/>
    </w:rPr>
  </w:style>
  <w:style w:type="character" w:customStyle="1" w:styleId="41">
    <w:name w:val="正文文本 Char"/>
    <w:link w:val="8"/>
    <w:autoRedefine/>
    <w:semiHidden/>
    <w:qFormat/>
    <w:locked/>
    <w:uiPriority w:val="0"/>
    <w:rPr>
      <w:rFonts w:eastAsia="宋体"/>
      <w:kern w:val="2"/>
      <w:sz w:val="21"/>
      <w:szCs w:val="24"/>
      <w:lang w:val="en-US" w:eastAsia="zh-CN" w:bidi="ar-SA"/>
    </w:rPr>
  </w:style>
  <w:style w:type="character" w:customStyle="1" w:styleId="42">
    <w:name w:val="纯文本 Char"/>
    <w:link w:val="11"/>
    <w:autoRedefine/>
    <w:qFormat/>
    <w:uiPriority w:val="0"/>
    <w:rPr>
      <w:rFonts w:ascii="宋体"/>
      <w:color w:val="000000"/>
      <w:kern w:val="2"/>
      <w:sz w:val="21"/>
      <w:u w:val="none" w:color="000000"/>
    </w:rPr>
  </w:style>
  <w:style w:type="character" w:customStyle="1" w:styleId="43">
    <w:name w:val="日期 Char"/>
    <w:link w:val="13"/>
    <w:autoRedefine/>
    <w:qFormat/>
    <w:uiPriority w:val="0"/>
    <w:rPr>
      <w:rFonts w:ascii="Arial" w:hAnsi="Arial" w:eastAsia="仿宋_GB2312"/>
      <w:color w:val="000000"/>
      <w:kern w:val="2"/>
      <w:sz w:val="32"/>
      <w:u w:val="none" w:color="000000"/>
      <w:lang w:val="en-US" w:eastAsia="zh-CN" w:bidi="ar-SA"/>
    </w:rPr>
  </w:style>
  <w:style w:type="character" w:customStyle="1" w:styleId="44">
    <w:name w:val="页脚 Char"/>
    <w:link w:val="14"/>
    <w:autoRedefine/>
    <w:qFormat/>
    <w:locked/>
    <w:uiPriority w:val="0"/>
    <w:rPr>
      <w:rFonts w:eastAsia="宋体"/>
      <w:kern w:val="2"/>
      <w:sz w:val="18"/>
      <w:szCs w:val="18"/>
      <w:lang w:val="en-US" w:eastAsia="zh-CN" w:bidi="ar-SA"/>
    </w:rPr>
  </w:style>
  <w:style w:type="character" w:customStyle="1" w:styleId="45">
    <w:name w:val="页眉 Char"/>
    <w:link w:val="15"/>
    <w:autoRedefine/>
    <w:qFormat/>
    <w:locked/>
    <w:uiPriority w:val="0"/>
    <w:rPr>
      <w:rFonts w:eastAsia="宋体"/>
      <w:kern w:val="2"/>
      <w:sz w:val="18"/>
      <w:szCs w:val="18"/>
      <w:lang w:val="en-US" w:eastAsia="zh-CN" w:bidi="ar-SA"/>
    </w:rPr>
  </w:style>
  <w:style w:type="character" w:customStyle="1" w:styleId="46">
    <w:name w:val="Body Text Char"/>
    <w:autoRedefine/>
    <w:qFormat/>
    <w:locked/>
    <w:uiPriority w:val="0"/>
    <w:rPr>
      <w:rFonts w:ascii="宋体" w:hAnsi="Arial"/>
      <w:sz w:val="28"/>
    </w:rPr>
  </w:style>
  <w:style w:type="paragraph" w:customStyle="1" w:styleId="47">
    <w:name w:val="p0"/>
    <w:basedOn w:val="1"/>
    <w:autoRedefine/>
    <w:qFormat/>
    <w:uiPriority w:val="0"/>
    <w:pPr>
      <w:widowControl/>
      <w:jc w:val="left"/>
    </w:pPr>
    <w:rPr>
      <w:rFonts w:ascii="宋体" w:hAnsi="宋体" w:cs="宋体"/>
      <w:kern w:val="0"/>
      <w:sz w:val="18"/>
      <w:szCs w:val="18"/>
    </w:rPr>
  </w:style>
  <w:style w:type="paragraph" w:customStyle="1" w:styleId="48">
    <w:name w:val="Body 1"/>
    <w:autoRedefine/>
    <w:qFormat/>
    <w:uiPriority w:val="0"/>
    <w:pPr>
      <w:outlineLvl w:val="0"/>
    </w:pPr>
    <w:rPr>
      <w:rFonts w:ascii="Helvetica" w:hAnsi="Helvetica" w:eastAsia="ヒラギノ角ゴ Pro W3" w:cs="Times New Roman"/>
      <w:color w:val="000000"/>
      <w:sz w:val="22"/>
      <w:lang w:val="en-US" w:eastAsia="zh-CN" w:bidi="ar-SA"/>
    </w:rPr>
  </w:style>
  <w:style w:type="paragraph" w:customStyle="1" w:styleId="49">
    <w:name w:val="WPS Plain"/>
    <w:autoRedefine/>
    <w:qFormat/>
    <w:uiPriority w:val="0"/>
    <w:rPr>
      <w:rFonts w:ascii="Times New Roman" w:hAnsi="Times New Roman" w:eastAsia="宋体" w:cs="Times New Roman"/>
      <w:lang w:val="en-US" w:eastAsia="zh-CN" w:bidi="ar-SA"/>
    </w:rPr>
  </w:style>
  <w:style w:type="paragraph" w:styleId="50">
    <w:name w:val="List Paragraph"/>
    <w:basedOn w:val="1"/>
    <w:autoRedefine/>
    <w:qFormat/>
    <w:uiPriority w:val="0"/>
    <w:pPr>
      <w:spacing w:line="360" w:lineRule="auto"/>
      <w:ind w:firstLine="420" w:firstLineChars="200"/>
    </w:pPr>
    <w:rPr>
      <w:rFonts w:ascii="宋体" w:hAnsi="宋体" w:cs="宋体"/>
      <w:sz w:val="24"/>
    </w:rPr>
  </w:style>
  <w:style w:type="paragraph" w:customStyle="1" w:styleId="51">
    <w:name w:val="Char"/>
    <w:basedOn w:val="1"/>
    <w:next w:val="1"/>
    <w:autoRedefine/>
    <w:qFormat/>
    <w:uiPriority w:val="0"/>
    <w:pPr>
      <w:widowControl/>
      <w:spacing w:line="360" w:lineRule="auto"/>
      <w:jc w:val="left"/>
    </w:pPr>
    <w:rPr>
      <w:kern w:val="0"/>
      <w:szCs w:val="20"/>
      <w:lang w:eastAsia="en-US"/>
    </w:rPr>
  </w:style>
  <w:style w:type="paragraph" w:customStyle="1" w:styleId="52">
    <w:name w:val="正文1"/>
    <w:autoRedefine/>
    <w:qFormat/>
    <w:uiPriority w:val="0"/>
    <w:rPr>
      <w:rFonts w:ascii="Calibri" w:hAnsi="Calibri" w:eastAsia="Times New Roman" w:cs="Times New Roman"/>
      <w:sz w:val="24"/>
      <w:szCs w:val="24"/>
      <w:lang w:val="en-US" w:eastAsia="zh-CN" w:bidi="ar-SA"/>
    </w:rPr>
  </w:style>
  <w:style w:type="paragraph" w:customStyle="1" w:styleId="53">
    <w:name w:val="样式 左侧:  0 厘米 悬挂缩进: 2.5 字符"/>
    <w:basedOn w:val="1"/>
    <w:autoRedefine/>
    <w:qFormat/>
    <w:uiPriority w:val="0"/>
    <w:pPr>
      <w:ind w:left="525" w:hanging="525" w:hangingChars="250"/>
    </w:pPr>
    <w:rPr>
      <w:szCs w:val="20"/>
    </w:rPr>
  </w:style>
  <w:style w:type="paragraph" w:customStyle="1" w:styleId="54">
    <w:name w:val="图例"/>
    <w:basedOn w:val="1"/>
    <w:autoRedefine/>
    <w:qFormat/>
    <w:uiPriority w:val="0"/>
    <w:pPr>
      <w:spacing w:before="120" w:after="120" w:line="360" w:lineRule="auto"/>
      <w:jc w:val="center"/>
    </w:pPr>
    <w:rPr>
      <w:rFonts w:eastAsia="仿宋_GB2312"/>
      <w:b/>
      <w:sz w:val="24"/>
    </w:rPr>
  </w:style>
  <w:style w:type="paragraph" w:customStyle="1" w:styleId="55">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56">
    <w:name w:val="black1"/>
    <w:basedOn w:val="1"/>
    <w:autoRedefine/>
    <w:qFormat/>
    <w:uiPriority w:val="0"/>
    <w:pPr>
      <w:widowControl/>
      <w:spacing w:before="100" w:beforeAutospacing="1" w:after="100" w:afterAutospacing="1" w:line="280" w:lineRule="atLeast"/>
      <w:jc w:val="left"/>
    </w:pPr>
    <w:rPr>
      <w:rFonts w:ascii="_x000B__x000C_" w:hAnsi="_x000B__x000C_"/>
      <w:color w:val="000000"/>
      <w:kern w:val="0"/>
      <w:sz w:val="18"/>
      <w:szCs w:val="18"/>
    </w:rPr>
  </w:style>
  <w:style w:type="paragraph" w:customStyle="1" w:styleId="57">
    <w:name w:val="标书正文"/>
    <w:basedOn w:val="1"/>
    <w:autoRedefine/>
    <w:qFormat/>
    <w:uiPriority w:val="0"/>
    <w:pPr>
      <w:spacing w:line="560" w:lineRule="exact"/>
      <w:ind w:firstLine="723" w:firstLineChars="200"/>
      <w:jc w:val="center"/>
    </w:pPr>
    <w:rPr>
      <w:rFonts w:ascii="仿宋_GB2312" w:eastAsia="仿宋_GB2312"/>
      <w:b/>
      <w:sz w:val="36"/>
    </w:rPr>
  </w:style>
  <w:style w:type="paragraph" w:customStyle="1" w:styleId="58">
    <w:name w:val="列出段落1"/>
    <w:basedOn w:val="1"/>
    <w:autoRedefine/>
    <w:qFormat/>
    <w:uiPriority w:val="0"/>
    <w:pPr>
      <w:ind w:firstLine="420" w:firstLineChars="200"/>
    </w:pPr>
    <w:rPr>
      <w:rFonts w:ascii="Calibri" w:hAnsi="Calibri"/>
      <w:szCs w:val="22"/>
    </w:rPr>
  </w:style>
  <w:style w:type="paragraph" w:customStyle="1" w:styleId="59">
    <w:name w:val="Table Paragraph"/>
    <w:basedOn w:val="1"/>
    <w:autoRedefine/>
    <w:qFormat/>
    <w:uiPriority w:val="1"/>
  </w:style>
  <w:style w:type="character" w:customStyle="1" w:styleId="60">
    <w:name w:val="font21"/>
    <w:basedOn w:val="27"/>
    <w:autoRedefine/>
    <w:qFormat/>
    <w:uiPriority w:val="0"/>
    <w:rPr>
      <w:rFonts w:hint="eastAsia" w:ascii="宋体" w:hAnsi="宋体" w:eastAsia="宋体" w:cs="宋体"/>
      <w:color w:val="000000"/>
      <w:sz w:val="20"/>
      <w:szCs w:val="20"/>
      <w:u w:val="none"/>
    </w:rPr>
  </w:style>
  <w:style w:type="character" w:customStyle="1" w:styleId="61">
    <w:name w:val="font31"/>
    <w:basedOn w:val="27"/>
    <w:autoRedefine/>
    <w:qFormat/>
    <w:uiPriority w:val="0"/>
    <w:rPr>
      <w:rFonts w:hint="eastAsia" w:ascii="宋体" w:hAnsi="宋体" w:eastAsia="宋体" w:cs="宋体"/>
      <w:color w:val="FF0000"/>
      <w:sz w:val="20"/>
      <w:szCs w:val="20"/>
      <w:u w:val="none"/>
    </w:rPr>
  </w:style>
  <w:style w:type="character" w:customStyle="1" w:styleId="62">
    <w:name w:val="font01"/>
    <w:basedOn w:val="27"/>
    <w:autoRedefine/>
    <w:qFormat/>
    <w:uiPriority w:val="0"/>
    <w:rPr>
      <w:rFonts w:ascii="宋体" w:hAnsi="宋体" w:eastAsia="宋体" w:cs="宋体"/>
      <w:color w:val="000000"/>
      <w:sz w:val="20"/>
      <w:szCs w:val="20"/>
      <w:u w:val="none"/>
    </w:rPr>
  </w:style>
  <w:style w:type="character" w:customStyle="1" w:styleId="63">
    <w:name w:val="标题 1 Char"/>
    <w:basedOn w:val="27"/>
    <w:link w:val="2"/>
    <w:autoRedefine/>
    <w:qFormat/>
    <w:uiPriority w:val="0"/>
    <w:rPr>
      <w:b/>
      <w:bCs/>
      <w:kern w:val="44"/>
      <w:sz w:val="44"/>
      <w:szCs w:val="44"/>
    </w:rPr>
  </w:style>
  <w:style w:type="paragraph" w:customStyle="1" w:styleId="64">
    <w:name w:val="正文 A"/>
    <w:autoRedefine/>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Times New Roman"/>
      <w:color w:val="000000"/>
      <w:kern w:val="2"/>
      <w:sz w:val="21"/>
      <w:szCs w:val="21"/>
      <w:lang w:val="en-US" w:eastAsia="zh-CN" w:bidi="ar-SA"/>
    </w:rPr>
  </w:style>
  <w:style w:type="paragraph" w:customStyle="1" w:styleId="65">
    <w:name w:val="BodyText"/>
    <w:basedOn w:val="1"/>
    <w:next w:val="1"/>
    <w:autoRedefine/>
    <w:qFormat/>
    <w:uiPriority w:val="0"/>
    <w:pPr>
      <w:tabs>
        <w:tab w:val="left" w:pos="780"/>
      </w:tabs>
    </w:pPr>
    <w:rPr>
      <w:rFonts w:ascii="黑体" w:eastAsia="黑体"/>
      <w:sz w:val="22"/>
    </w:rPr>
  </w:style>
  <w:style w:type="paragraph" w:customStyle="1" w:styleId="66">
    <w:name w:val="Heading #2|1"/>
    <w:basedOn w:val="1"/>
    <w:autoRedefine/>
    <w:qFormat/>
    <w:uiPriority w:val="0"/>
    <w:pPr>
      <w:spacing w:before="60" w:after="270"/>
      <w:jc w:val="center"/>
      <w:outlineLvl w:val="1"/>
    </w:pPr>
    <w:rPr>
      <w:rFonts w:ascii="宋体" w:hAnsi="宋体" w:eastAsia="宋体" w:cs="宋体"/>
      <w:sz w:val="36"/>
      <w:szCs w:val="36"/>
      <w:lang w:val="zh-TW" w:eastAsia="zh-TW" w:bidi="zh-TW"/>
    </w:rPr>
  </w:style>
  <w:style w:type="paragraph" w:customStyle="1" w:styleId="67">
    <w:name w:val="Table caption|1"/>
    <w:basedOn w:val="1"/>
    <w:autoRedefine/>
    <w:qFormat/>
    <w:uiPriority w:val="0"/>
    <w:rPr>
      <w:rFonts w:ascii="宋体" w:hAnsi="宋体" w:eastAsia="宋体" w:cs="宋体"/>
      <w:sz w:val="22"/>
      <w:szCs w:val="22"/>
      <w:lang w:val="zh-TW" w:eastAsia="zh-TW" w:bidi="zh-TW"/>
    </w:rPr>
  </w:style>
  <w:style w:type="paragraph" w:customStyle="1" w:styleId="68">
    <w:name w:val="Other|1"/>
    <w:basedOn w:val="1"/>
    <w:autoRedefine/>
    <w:qFormat/>
    <w:uiPriority w:val="0"/>
    <w:pPr>
      <w:spacing w:line="454" w:lineRule="auto"/>
      <w:ind w:firstLine="140"/>
    </w:pPr>
    <w:rPr>
      <w:rFonts w:ascii="宋体" w:hAnsi="宋体" w:eastAsia="宋体" w:cs="宋体"/>
      <w:sz w:val="22"/>
      <w:szCs w:val="22"/>
      <w:lang w:val="zh-TW" w:eastAsia="zh-TW" w:bidi="zh-TW"/>
    </w:rPr>
  </w:style>
  <w:style w:type="paragraph" w:customStyle="1" w:styleId="69">
    <w:name w:val="Body text|1"/>
    <w:basedOn w:val="1"/>
    <w:autoRedefine/>
    <w:qFormat/>
    <w:uiPriority w:val="0"/>
    <w:pPr>
      <w:spacing w:line="454" w:lineRule="auto"/>
      <w:ind w:firstLine="140"/>
    </w:pPr>
    <w:rPr>
      <w:rFonts w:ascii="宋体" w:hAnsi="宋体" w:eastAsia="宋体" w:cs="宋体"/>
      <w:sz w:val="22"/>
      <w:szCs w:val="22"/>
      <w:lang w:val="zh-TW" w:eastAsia="zh-TW" w:bidi="zh-TW"/>
    </w:rPr>
  </w:style>
  <w:style w:type="paragraph" w:customStyle="1" w:styleId="70">
    <w:name w:val="Body text|2"/>
    <w:basedOn w:val="1"/>
    <w:autoRedefine/>
    <w:qFormat/>
    <w:uiPriority w:val="0"/>
    <w:pPr>
      <w:spacing w:after="260"/>
      <w:ind w:firstLine="140"/>
    </w:pPr>
    <w:rPr>
      <w:rFonts w:ascii="宋体" w:hAnsi="宋体" w:eastAsia="宋体" w:cs="宋体"/>
      <w:sz w:val="30"/>
      <w:szCs w:val="30"/>
      <w:lang w:val="zh-TW" w:eastAsia="zh-TW" w:bidi="zh-TW"/>
    </w:rPr>
  </w:style>
  <w:style w:type="table" w:customStyle="1" w:styleId="71">
    <w:name w:val="Table Normal"/>
    <w:autoRedefine/>
    <w:semiHidden/>
    <w:unhideWhenUsed/>
    <w:qFormat/>
    <w:uiPriority w:val="0"/>
    <w:tblPr>
      <w:tblCellMar>
        <w:top w:w="0" w:type="dxa"/>
        <w:left w:w="0" w:type="dxa"/>
        <w:bottom w:w="0" w:type="dxa"/>
        <w:right w:w="0" w:type="dxa"/>
      </w:tblCellMar>
    </w:tblPr>
  </w:style>
  <w:style w:type="character" w:customStyle="1" w:styleId="72">
    <w:name w:val="font61"/>
    <w:basedOn w:val="27"/>
    <w:autoRedefine/>
    <w:qFormat/>
    <w:uiPriority w:val="0"/>
    <w:rPr>
      <w:rFonts w:hint="eastAsia" w:ascii="华文仿宋" w:hAnsi="华文仿宋" w:eastAsia="华文仿宋" w:cs="华文仿宋"/>
      <w:color w:val="000000"/>
      <w:sz w:val="21"/>
      <w:szCs w:val="21"/>
      <w:u w:val="none"/>
    </w:rPr>
  </w:style>
  <w:style w:type="paragraph" w:customStyle="1" w:styleId="73">
    <w:name w:val="WPSOffice手动目录 1"/>
    <w:qFormat/>
    <w:uiPriority w:val="0"/>
    <w:pPr>
      <w:ind w:leftChars="0"/>
    </w:pPr>
    <w:rPr>
      <w:rFonts w:ascii="Times New Roman" w:hAnsi="Times New Roman" w:eastAsia="宋体" w:cs="Times New Roman"/>
      <w:sz w:val="20"/>
      <w:szCs w:val="20"/>
    </w:rPr>
  </w:style>
  <w:style w:type="paragraph" w:customStyle="1" w:styleId="74">
    <w:name w:val="Normal Indent1"/>
    <w:qFormat/>
    <w:uiPriority w:val="0"/>
    <w:pPr>
      <w:kinsoku w:val="0"/>
      <w:autoSpaceDE w:val="0"/>
      <w:autoSpaceDN w:val="0"/>
      <w:adjustRightInd w:val="0"/>
      <w:snapToGrid w:val="0"/>
      <w:spacing w:beforeLines="0" w:afterLines="0" w:line="240" w:lineRule="auto"/>
      <w:ind w:firstLine="420" w:firstLineChars="200"/>
      <w:jc w:val="left"/>
      <w:textAlignment w:val="baseline"/>
    </w:pPr>
    <w:rPr>
      <w:rFonts w:hint="default" w:ascii="Times New Roman" w:hAnsi="Times New Roman" w:eastAsia="宋体" w:cs="Times New Roman"/>
      <w:snapToGrid w:val="0"/>
      <w:color w:val="000000"/>
      <w:kern w:val="0"/>
      <w:sz w:val="21"/>
      <w:szCs w:val="21"/>
      <w:lang w:val="en-US" w:eastAsia="en-US" w:bidi="ar-SA"/>
    </w:rPr>
  </w:style>
  <w:style w:type="paragraph" w:customStyle="1" w:styleId="75">
    <w:name w:val="Table Text"/>
    <w:semiHidden/>
    <w:qFormat/>
    <w:uiPriority w:val="0"/>
    <w:pPr>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28"/>
      <w:szCs w:val="28"/>
      <w:lang w:val="en-US" w:eastAsia="en-US" w:bidi="ar-SA"/>
    </w:rPr>
  </w:style>
  <w:style w:type="paragraph" w:customStyle="1" w:styleId="76">
    <w:name w:val="Normal_24"/>
    <w:qFormat/>
    <w:uiPriority w:val="99"/>
    <w:pPr>
      <w:widowControl w:val="0"/>
      <w:jc w:val="both"/>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MSCD龙帝国技术社区 Htpp://Bbs.Mscode.Cc</Company>
  <Pages>84</Pages>
  <Words>18713</Words>
  <Characters>20441</Characters>
  <Lines>1</Lines>
  <Paragraphs>1</Paragraphs>
  <TotalTime>44</TotalTime>
  <ScaleCrop>false</ScaleCrop>
  <LinksUpToDate>false</LinksUpToDate>
  <CharactersWithSpaces>21042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2014-07-12T00:56:00Z</dcterms:created>
  <dc:creator>陈倩倩</dc:creator>
  <cp:lastModifiedBy>随心自在</cp:lastModifiedBy>
  <cp:lastPrinted>2024-03-08T03:06:00Z</cp:lastPrinted>
  <dcterms:modified xsi:type="dcterms:W3CDTF">2026-05-25T09:46:51Z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56B4A0E7470A4A6390D2EB251081777F_13</vt:lpwstr>
  </property>
  <property fmtid="{D5CDD505-2E9C-101B-9397-08002B2CF9AE}" pid="4" name="KSOTemplateDocerSaveRecord">
    <vt:lpwstr>eyJoZGlkIjoiZjcwMTAyMmFhMTc2Y2IzN2QxNDNhNDBmZTUyMzU1ZDQiLCJ1c2VySWQiOiIzNzE5NDU1MjAifQ==</vt:lpwstr>
  </property>
</Properties>
</file>