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82A65">
      <w:pPr>
        <w:spacing w:line="243"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5B9F1192">
      <w:pPr>
        <w:spacing w:line="244" w:lineRule="auto"/>
        <w:rPr>
          <w:rFonts w:hint="eastAsia" w:ascii="宋体" w:hAnsi="宋体" w:eastAsia="宋体" w:cs="宋体"/>
          <w:color w:val="auto"/>
          <w:sz w:val="24"/>
          <w:szCs w:val="24"/>
          <w:highlight w:val="none"/>
        </w:rPr>
      </w:pPr>
    </w:p>
    <w:p w14:paraId="007206AE">
      <w:pPr>
        <w:spacing w:line="244" w:lineRule="auto"/>
        <w:rPr>
          <w:rFonts w:hint="eastAsia" w:ascii="宋体" w:hAnsi="宋体" w:eastAsia="宋体" w:cs="宋体"/>
          <w:color w:val="auto"/>
          <w:sz w:val="24"/>
          <w:szCs w:val="24"/>
          <w:highlight w:val="none"/>
        </w:rPr>
      </w:pPr>
    </w:p>
    <w:p w14:paraId="3176DF42">
      <w:pPr>
        <w:spacing w:line="244" w:lineRule="auto"/>
        <w:rPr>
          <w:rFonts w:hint="eastAsia" w:ascii="宋体" w:hAnsi="宋体" w:eastAsia="宋体" w:cs="宋体"/>
          <w:color w:val="auto"/>
          <w:sz w:val="24"/>
          <w:szCs w:val="24"/>
          <w:highlight w:val="none"/>
        </w:rPr>
      </w:pPr>
    </w:p>
    <w:p w14:paraId="385FBA99">
      <w:pPr>
        <w:spacing w:line="360" w:lineRule="auto"/>
        <w:jc w:val="center"/>
        <w:rPr>
          <w:rStyle w:val="104"/>
          <w:rFonts w:hint="eastAsia" w:cs="宋体"/>
          <w:color w:val="auto"/>
          <w:highlight w:val="none"/>
          <w:lang w:eastAsia="zh-CN"/>
        </w:rPr>
      </w:pPr>
      <w:r>
        <w:rPr>
          <w:rFonts w:hint="eastAsia" w:ascii="宋体" w:hAnsi="宋体" w:eastAsia="宋体" w:cs="宋体"/>
          <w:b/>
          <w:color w:val="auto"/>
          <w:sz w:val="32"/>
          <w:szCs w:val="32"/>
          <w:highlight w:val="none"/>
          <w:lang w:eastAsia="zh-CN"/>
        </w:rPr>
        <w:t>招 标 文 件</w:t>
      </w:r>
    </w:p>
    <w:p w14:paraId="4B8659D5">
      <w:pPr>
        <w:pStyle w:val="11"/>
        <w:bidi w:val="0"/>
        <w:rPr>
          <w:rFonts w:hint="eastAsia"/>
          <w:color w:val="auto"/>
          <w:highlight w:val="none"/>
          <w:lang w:eastAsia="zh-CN"/>
        </w:rPr>
      </w:pPr>
    </w:p>
    <w:p w14:paraId="7C31253B">
      <w:pPr>
        <w:spacing w:line="253" w:lineRule="auto"/>
        <w:rPr>
          <w:rFonts w:hint="eastAsia" w:ascii="宋体" w:hAnsi="宋体" w:eastAsia="宋体" w:cs="宋体"/>
          <w:color w:val="auto"/>
          <w:sz w:val="24"/>
          <w:szCs w:val="24"/>
          <w:highlight w:val="none"/>
          <w:lang w:eastAsia="zh-CN"/>
        </w:rPr>
      </w:pPr>
    </w:p>
    <w:p w14:paraId="046E3502">
      <w:pPr>
        <w:spacing w:line="254" w:lineRule="auto"/>
        <w:rPr>
          <w:rFonts w:hint="eastAsia" w:ascii="宋体" w:hAnsi="宋体" w:eastAsia="宋体" w:cs="宋体"/>
          <w:color w:val="auto"/>
          <w:sz w:val="24"/>
          <w:szCs w:val="24"/>
          <w:highlight w:val="none"/>
          <w:lang w:eastAsia="zh-CN"/>
        </w:rPr>
      </w:pPr>
    </w:p>
    <w:p w14:paraId="12F448D9">
      <w:pPr>
        <w:spacing w:line="254" w:lineRule="auto"/>
        <w:rPr>
          <w:rFonts w:hint="eastAsia" w:ascii="宋体" w:hAnsi="宋体" w:eastAsia="宋体" w:cs="宋体"/>
          <w:color w:val="auto"/>
          <w:sz w:val="24"/>
          <w:szCs w:val="24"/>
          <w:highlight w:val="none"/>
          <w:lang w:eastAsia="zh-CN"/>
        </w:rPr>
      </w:pPr>
    </w:p>
    <w:p w14:paraId="409B6C5F">
      <w:pPr>
        <w:spacing w:line="254" w:lineRule="auto"/>
        <w:rPr>
          <w:rFonts w:hint="eastAsia" w:ascii="宋体" w:hAnsi="宋体" w:eastAsia="宋体" w:cs="宋体"/>
          <w:snapToGrid w:val="0"/>
          <w:color w:val="auto"/>
          <w:spacing w:val="-2"/>
          <w:sz w:val="24"/>
          <w:szCs w:val="24"/>
          <w:highlight w:val="none"/>
          <w:lang w:val="en-US" w:eastAsia="zh-CN" w:bidi="ar-SA"/>
        </w:rPr>
      </w:pPr>
    </w:p>
    <w:p w14:paraId="341453C7">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snapToGrid w:val="0"/>
          <w:color w:val="auto"/>
          <w:spacing w:val="-2"/>
          <w:sz w:val="24"/>
          <w:szCs w:val="24"/>
          <w:highlight w:val="none"/>
          <w:lang w:val="en-US" w:eastAsia="zh-CN" w:bidi="ar-SA"/>
        </w:rPr>
      </w:pPr>
      <w:r>
        <w:rPr>
          <w:rFonts w:hint="eastAsia" w:ascii="宋体" w:hAnsi="宋体" w:eastAsia="宋体" w:cs="宋体"/>
          <w:snapToGrid w:val="0"/>
          <w:color w:val="auto"/>
          <w:spacing w:val="-2"/>
          <w:sz w:val="24"/>
          <w:szCs w:val="24"/>
          <w:highlight w:val="none"/>
          <w:lang w:val="en-US" w:eastAsia="zh-CN" w:bidi="ar-SA"/>
        </w:rPr>
        <w:t>项目名称：新疆职业大学高压电气设备招标预防性试验(无故障检测)项目</w:t>
      </w:r>
    </w:p>
    <w:p w14:paraId="1593C5C2">
      <w:pPr>
        <w:pStyle w:val="11"/>
        <w:spacing w:before="78" w:line="263" w:lineRule="auto"/>
        <w:rPr>
          <w:rFonts w:hint="eastAsia"/>
          <w:color w:val="auto"/>
          <w:spacing w:val="-2"/>
          <w:highlight w:val="none"/>
          <w:lang w:eastAsia="zh-CN"/>
        </w:rPr>
      </w:pPr>
    </w:p>
    <w:p w14:paraId="0EF6057F">
      <w:pPr>
        <w:pStyle w:val="11"/>
        <w:spacing w:before="78" w:line="263" w:lineRule="auto"/>
        <w:rPr>
          <w:rFonts w:hint="eastAsia"/>
          <w:color w:val="auto"/>
          <w:spacing w:val="-2"/>
          <w:highlight w:val="none"/>
          <w:lang w:eastAsia="zh-CN"/>
        </w:rPr>
      </w:pPr>
    </w:p>
    <w:p w14:paraId="0627164D">
      <w:pPr>
        <w:spacing w:line="337" w:lineRule="auto"/>
        <w:rPr>
          <w:rFonts w:hint="default"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eastAsia="zh-CN"/>
        </w:rPr>
        <w:t>项目编号：金采招字[2026]XJJZC-068</w:t>
      </w:r>
    </w:p>
    <w:p w14:paraId="248F45CA">
      <w:pPr>
        <w:spacing w:line="337" w:lineRule="auto"/>
        <w:rPr>
          <w:rFonts w:hint="eastAsia" w:ascii="宋体" w:hAnsi="宋体" w:eastAsia="宋体" w:cs="宋体"/>
          <w:color w:val="auto"/>
          <w:sz w:val="24"/>
          <w:szCs w:val="24"/>
          <w:highlight w:val="none"/>
          <w:lang w:eastAsia="zh-CN"/>
        </w:rPr>
      </w:pPr>
    </w:p>
    <w:p w14:paraId="27752A9B">
      <w:pPr>
        <w:pStyle w:val="11"/>
        <w:tabs>
          <w:tab w:val="left" w:pos="8620"/>
        </w:tabs>
        <w:spacing w:before="78" w:line="540" w:lineRule="auto"/>
        <w:ind w:right="-53"/>
        <w:rPr>
          <w:rFonts w:hint="eastAsia"/>
          <w:color w:val="auto"/>
          <w:highlight w:val="none"/>
          <w:lang w:eastAsia="zh-CN"/>
        </w:rPr>
      </w:pPr>
      <w:r>
        <w:rPr>
          <w:rFonts w:hint="eastAsia"/>
          <w:color w:val="auto"/>
          <w:spacing w:val="-2"/>
          <w:highlight w:val="none"/>
          <w:lang w:eastAsia="zh-CN"/>
        </w:rPr>
        <w:t>采 购 人（公章</w:t>
      </w:r>
      <w:r>
        <w:rPr>
          <w:rFonts w:hint="eastAsia"/>
          <w:color w:val="auto"/>
          <w:spacing w:val="8"/>
          <w:highlight w:val="none"/>
          <w:lang w:eastAsia="zh-CN"/>
        </w:rPr>
        <w:t>）：</w:t>
      </w:r>
      <w:r>
        <w:rPr>
          <w:rFonts w:hint="eastAsia"/>
          <w:color w:val="auto"/>
          <w:spacing w:val="-2"/>
          <w:highlight w:val="none"/>
          <w:lang w:eastAsia="zh-CN"/>
        </w:rPr>
        <w:t>新疆职业大学</w:t>
      </w:r>
    </w:p>
    <w:p w14:paraId="54F03614">
      <w:pPr>
        <w:pStyle w:val="11"/>
        <w:tabs>
          <w:tab w:val="left" w:pos="8620"/>
        </w:tabs>
        <w:spacing w:before="78" w:line="540" w:lineRule="auto"/>
        <w:ind w:right="-53"/>
        <w:rPr>
          <w:rFonts w:hint="eastAsia"/>
          <w:color w:val="auto"/>
          <w:highlight w:val="none"/>
          <w:lang w:eastAsia="zh-CN"/>
        </w:rPr>
      </w:pPr>
      <w:r>
        <w:rPr>
          <w:rFonts w:hint="eastAsia"/>
          <w:color w:val="auto"/>
          <w:spacing w:val="-2"/>
          <w:highlight w:val="none"/>
          <w:lang w:eastAsia="zh-CN"/>
        </w:rPr>
        <w:t>法定代表人（签章</w:t>
      </w:r>
      <w:r>
        <w:rPr>
          <w:rFonts w:hint="eastAsia"/>
          <w:color w:val="auto"/>
          <w:spacing w:val="2"/>
          <w:highlight w:val="none"/>
          <w:lang w:eastAsia="zh-CN"/>
        </w:rPr>
        <w:t>）：</w:t>
      </w:r>
    </w:p>
    <w:p w14:paraId="1E5778D5">
      <w:pPr>
        <w:pStyle w:val="11"/>
        <w:spacing w:before="35" w:line="219" w:lineRule="auto"/>
        <w:ind w:left="264" w:hanging="259" w:hangingChars="112"/>
        <w:rPr>
          <w:rFonts w:hint="eastAsia"/>
          <w:color w:val="auto"/>
          <w:highlight w:val="none"/>
          <w:lang w:eastAsia="zh-CN"/>
        </w:rPr>
      </w:pPr>
      <w:r>
        <w:rPr>
          <w:rFonts w:hint="eastAsia"/>
          <w:color w:val="auto"/>
          <w:spacing w:val="-4"/>
          <w:highlight w:val="none"/>
          <w:lang w:eastAsia="zh-CN"/>
        </w:rPr>
        <w:t>联</w:t>
      </w:r>
      <w:r>
        <w:rPr>
          <w:rFonts w:hint="eastAsia"/>
          <w:color w:val="auto"/>
          <w:spacing w:val="20"/>
          <w:highlight w:val="none"/>
          <w:lang w:eastAsia="zh-CN"/>
        </w:rPr>
        <w:t xml:space="preserve"> </w:t>
      </w:r>
      <w:r>
        <w:rPr>
          <w:rFonts w:hint="eastAsia"/>
          <w:color w:val="auto"/>
          <w:spacing w:val="-4"/>
          <w:highlight w:val="none"/>
          <w:lang w:eastAsia="zh-CN"/>
        </w:rPr>
        <w:t>系 人：</w:t>
      </w:r>
      <w:r>
        <w:rPr>
          <w:rFonts w:hint="eastAsia"/>
          <w:color w:val="auto"/>
          <w:spacing w:val="-4"/>
          <w:highlight w:val="none"/>
          <w:lang w:val="en-US" w:eastAsia="zh-CN"/>
        </w:rPr>
        <w:t>马世磊</w:t>
      </w:r>
    </w:p>
    <w:p w14:paraId="1CC33582">
      <w:pPr>
        <w:spacing w:line="355" w:lineRule="auto"/>
        <w:rPr>
          <w:rFonts w:hint="eastAsia" w:ascii="宋体" w:hAnsi="宋体" w:eastAsia="宋体" w:cs="宋体"/>
          <w:color w:val="auto"/>
          <w:sz w:val="24"/>
          <w:szCs w:val="24"/>
          <w:highlight w:val="none"/>
          <w:lang w:eastAsia="zh-CN"/>
        </w:rPr>
      </w:pPr>
    </w:p>
    <w:p w14:paraId="07E88390">
      <w:pPr>
        <w:pStyle w:val="11"/>
        <w:spacing w:before="78" w:line="221" w:lineRule="auto"/>
        <w:ind w:left="17" w:hanging="16" w:hangingChars="7"/>
        <w:rPr>
          <w:rFonts w:hint="eastAsia"/>
          <w:color w:val="auto"/>
          <w:highlight w:val="none"/>
          <w:lang w:eastAsia="zh-CN"/>
        </w:rPr>
      </w:pPr>
      <w:r>
        <w:rPr>
          <w:rFonts w:hint="eastAsia"/>
          <w:color w:val="auto"/>
          <w:spacing w:val="-1"/>
          <w:highlight w:val="none"/>
          <w:lang w:eastAsia="zh-CN"/>
        </w:rPr>
        <w:t>联系电话：</w:t>
      </w:r>
      <w:r>
        <w:rPr>
          <w:rFonts w:hint="eastAsia"/>
          <w:color w:val="auto"/>
          <w:spacing w:val="-1"/>
          <w:highlight w:val="none"/>
          <w:lang w:val="en-US" w:eastAsia="zh-CN"/>
        </w:rPr>
        <w:t>0991-3791767</w:t>
      </w:r>
    </w:p>
    <w:p w14:paraId="7E0BDBCA">
      <w:pPr>
        <w:spacing w:line="269" w:lineRule="auto"/>
        <w:rPr>
          <w:rFonts w:hint="eastAsia" w:ascii="宋体" w:hAnsi="宋体" w:eastAsia="宋体" w:cs="宋体"/>
          <w:color w:val="auto"/>
          <w:sz w:val="24"/>
          <w:szCs w:val="24"/>
          <w:highlight w:val="none"/>
          <w:lang w:eastAsia="zh-CN"/>
        </w:rPr>
      </w:pPr>
    </w:p>
    <w:p w14:paraId="27FBC23B">
      <w:pPr>
        <w:pStyle w:val="11"/>
        <w:spacing w:before="78" w:line="360" w:lineRule="exact"/>
        <w:ind w:left="17" w:hanging="16" w:hangingChars="7"/>
        <w:rPr>
          <w:rFonts w:hint="eastAsia"/>
          <w:color w:val="auto"/>
          <w:highlight w:val="none"/>
          <w:lang w:eastAsia="zh-CN"/>
        </w:rPr>
      </w:pPr>
      <w:r>
        <w:rPr>
          <w:rFonts w:hint="eastAsia"/>
          <w:color w:val="auto"/>
          <w:spacing w:val="-1"/>
          <w:position w:val="2"/>
          <w:highlight w:val="none"/>
          <w:lang w:eastAsia="zh-CN"/>
        </w:rPr>
        <w:t>联系地址：新疆乌鲁木齐市达坂城区文达路1号</w:t>
      </w:r>
    </w:p>
    <w:p w14:paraId="00571001">
      <w:pPr>
        <w:spacing w:line="249" w:lineRule="auto"/>
        <w:rPr>
          <w:rFonts w:hint="eastAsia" w:ascii="宋体" w:hAnsi="宋体" w:eastAsia="宋体" w:cs="宋体"/>
          <w:color w:val="auto"/>
          <w:sz w:val="24"/>
          <w:szCs w:val="24"/>
          <w:highlight w:val="none"/>
          <w:lang w:eastAsia="zh-CN"/>
        </w:rPr>
      </w:pPr>
    </w:p>
    <w:p w14:paraId="270D9D2E">
      <w:pPr>
        <w:spacing w:line="249" w:lineRule="auto"/>
        <w:rPr>
          <w:rFonts w:hint="eastAsia" w:ascii="宋体" w:hAnsi="宋体" w:eastAsia="宋体" w:cs="宋体"/>
          <w:color w:val="auto"/>
          <w:sz w:val="24"/>
          <w:szCs w:val="24"/>
          <w:highlight w:val="none"/>
          <w:lang w:eastAsia="zh-CN"/>
        </w:rPr>
      </w:pPr>
    </w:p>
    <w:p w14:paraId="5053A4A2">
      <w:pPr>
        <w:spacing w:line="249" w:lineRule="auto"/>
        <w:rPr>
          <w:rFonts w:hint="eastAsia" w:ascii="宋体" w:hAnsi="宋体" w:eastAsia="宋体" w:cs="宋体"/>
          <w:color w:val="auto"/>
          <w:sz w:val="24"/>
          <w:szCs w:val="24"/>
          <w:highlight w:val="none"/>
          <w:lang w:eastAsia="zh-CN"/>
        </w:rPr>
      </w:pPr>
    </w:p>
    <w:p w14:paraId="2B1D79B4">
      <w:pPr>
        <w:spacing w:line="249"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drawing>
          <wp:anchor distT="0" distB="0" distL="114300" distR="114300" simplePos="0" relativeHeight="251659264" behindDoc="0" locked="0" layoutInCell="1" allowOverlap="1">
            <wp:simplePos x="0" y="0"/>
            <wp:positionH relativeFrom="column">
              <wp:posOffset>0</wp:posOffset>
            </wp:positionH>
            <wp:positionV relativeFrom="paragraph">
              <wp:posOffset>85090</wp:posOffset>
            </wp:positionV>
            <wp:extent cx="5543550" cy="10160"/>
            <wp:effectExtent l="0" t="0" r="0" b="0"/>
            <wp:wrapNone/>
            <wp:docPr id="1" name="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2"/>
                    <pic:cNvPicPr>
                      <a:picLocks noChangeAspect="1"/>
                    </pic:cNvPicPr>
                  </pic:nvPicPr>
                  <pic:blipFill>
                    <a:blip r:embed="rId9">
                      <a:lum/>
                    </a:blip>
                    <a:stretch>
                      <a:fillRect/>
                    </a:stretch>
                  </pic:blipFill>
                  <pic:spPr>
                    <a:xfrm>
                      <a:off x="0" y="0"/>
                      <a:ext cx="5543550" cy="10160"/>
                    </a:xfrm>
                    <a:prstGeom prst="rect">
                      <a:avLst/>
                    </a:prstGeom>
                    <a:noFill/>
                    <a:ln>
                      <a:noFill/>
                    </a:ln>
                  </pic:spPr>
                </pic:pic>
              </a:graphicData>
            </a:graphic>
          </wp:anchor>
        </w:drawing>
      </w:r>
    </w:p>
    <w:p w14:paraId="24D2B5E0">
      <w:pPr>
        <w:spacing w:line="250" w:lineRule="auto"/>
        <w:rPr>
          <w:rFonts w:hint="eastAsia" w:ascii="宋体" w:hAnsi="宋体" w:eastAsia="宋体" w:cs="宋体"/>
          <w:color w:val="auto"/>
          <w:sz w:val="24"/>
          <w:szCs w:val="24"/>
          <w:highlight w:val="none"/>
          <w:lang w:eastAsia="zh-CN"/>
        </w:rPr>
      </w:pPr>
    </w:p>
    <w:p w14:paraId="429810CA">
      <w:pPr>
        <w:pStyle w:val="11"/>
        <w:spacing w:before="79" w:line="540" w:lineRule="auto"/>
        <w:ind w:left="17" w:right="-53" w:hanging="16" w:hangingChars="7"/>
        <w:rPr>
          <w:rFonts w:hint="eastAsia"/>
          <w:color w:val="auto"/>
          <w:spacing w:val="1"/>
          <w:highlight w:val="none"/>
          <w:lang w:eastAsia="zh-CN"/>
        </w:rPr>
      </w:pPr>
      <w:r>
        <w:rPr>
          <w:rFonts w:hint="eastAsia"/>
          <w:color w:val="auto"/>
          <w:spacing w:val="-1"/>
          <w:highlight w:val="none"/>
          <w:lang w:eastAsia="zh-CN"/>
        </w:rPr>
        <w:t>采购代理机构（公章</w:t>
      </w:r>
      <w:r>
        <w:rPr>
          <w:rFonts w:hint="eastAsia"/>
          <w:color w:val="auto"/>
          <w:spacing w:val="5"/>
          <w:highlight w:val="none"/>
          <w:lang w:eastAsia="zh-CN"/>
        </w:rPr>
        <w:t>）：</w:t>
      </w:r>
      <w:r>
        <w:rPr>
          <w:rFonts w:hint="eastAsia"/>
          <w:color w:val="auto"/>
          <w:spacing w:val="-1"/>
          <w:highlight w:val="none"/>
          <w:lang w:eastAsia="zh-CN"/>
        </w:rPr>
        <w:t>新疆金正建设工程管理有限公司</w:t>
      </w:r>
      <w:r>
        <w:rPr>
          <w:rFonts w:hint="eastAsia"/>
          <w:color w:val="auto"/>
          <w:spacing w:val="1"/>
          <w:highlight w:val="none"/>
          <w:lang w:eastAsia="zh-CN"/>
        </w:rPr>
        <w:t xml:space="preserve"> </w:t>
      </w:r>
    </w:p>
    <w:p w14:paraId="5EC8FAFC">
      <w:pPr>
        <w:pStyle w:val="11"/>
        <w:spacing w:before="79" w:line="540" w:lineRule="auto"/>
        <w:ind w:left="17" w:right="-53" w:hanging="16" w:hangingChars="7"/>
        <w:rPr>
          <w:rFonts w:hint="default"/>
          <w:color w:val="auto"/>
          <w:highlight w:val="none"/>
          <w:lang w:val="en-US" w:eastAsia="zh-CN"/>
        </w:rPr>
      </w:pPr>
      <w:r>
        <w:rPr>
          <w:rFonts w:hint="eastAsia"/>
          <w:color w:val="auto"/>
          <w:spacing w:val="-2"/>
          <w:highlight w:val="none"/>
          <w:lang w:eastAsia="zh-CN"/>
        </w:rPr>
        <w:t>法定代表人（签章</w:t>
      </w:r>
      <w:r>
        <w:rPr>
          <w:rFonts w:hint="eastAsia"/>
          <w:color w:val="auto"/>
          <w:spacing w:val="2"/>
          <w:highlight w:val="none"/>
          <w:lang w:eastAsia="zh-CN"/>
        </w:rPr>
        <w:t>）：</w:t>
      </w:r>
      <w:r>
        <w:rPr>
          <w:rFonts w:hint="eastAsia"/>
          <w:color w:val="auto"/>
          <w:spacing w:val="2"/>
          <w:highlight w:val="none"/>
          <w:lang w:val="en-US" w:eastAsia="zh-CN"/>
        </w:rPr>
        <w:t>孟亚</w:t>
      </w:r>
    </w:p>
    <w:p w14:paraId="5F517B13">
      <w:pPr>
        <w:pStyle w:val="11"/>
        <w:spacing w:before="34" w:line="542" w:lineRule="auto"/>
        <w:ind w:right="-53"/>
        <w:rPr>
          <w:rFonts w:hint="eastAsia"/>
          <w:color w:val="auto"/>
          <w:highlight w:val="none"/>
          <w:lang w:eastAsia="zh-CN"/>
        </w:rPr>
      </w:pPr>
      <w:r>
        <w:rPr>
          <w:rFonts w:hint="eastAsia"/>
          <w:color w:val="auto"/>
          <w:spacing w:val="-2"/>
          <w:highlight w:val="none"/>
          <w:lang w:eastAsia="zh-CN"/>
        </w:rPr>
        <w:t>联 系</w:t>
      </w:r>
      <w:r>
        <w:rPr>
          <w:rFonts w:hint="eastAsia"/>
          <w:color w:val="auto"/>
          <w:spacing w:val="11"/>
          <w:highlight w:val="none"/>
          <w:lang w:eastAsia="zh-CN"/>
        </w:rPr>
        <w:t xml:space="preserve"> </w:t>
      </w:r>
      <w:r>
        <w:rPr>
          <w:rFonts w:hint="eastAsia"/>
          <w:color w:val="auto"/>
          <w:spacing w:val="-2"/>
          <w:highlight w:val="none"/>
          <w:lang w:eastAsia="zh-CN"/>
        </w:rPr>
        <w:t>人：马祥、王冰寒、施霞</w:t>
      </w:r>
    </w:p>
    <w:p w14:paraId="53EB6676">
      <w:pPr>
        <w:pStyle w:val="11"/>
        <w:spacing w:before="34" w:line="542" w:lineRule="auto"/>
        <w:ind w:right="-53"/>
        <w:rPr>
          <w:rFonts w:hint="eastAsia"/>
          <w:color w:val="auto"/>
          <w:highlight w:val="none"/>
          <w:lang w:eastAsia="zh-CN"/>
        </w:rPr>
      </w:pPr>
      <w:r>
        <w:rPr>
          <w:rFonts w:hint="eastAsia"/>
          <w:color w:val="auto"/>
          <w:spacing w:val="-1"/>
          <w:highlight w:val="none"/>
          <w:lang w:eastAsia="zh-CN"/>
        </w:rPr>
        <w:t>联系电话：18149898825、13609921042</w:t>
      </w:r>
    </w:p>
    <w:p w14:paraId="08C69F8D">
      <w:pPr>
        <w:pStyle w:val="11"/>
        <w:spacing w:before="31" w:line="219" w:lineRule="auto"/>
        <w:rPr>
          <w:rFonts w:hint="eastAsia"/>
          <w:color w:val="auto"/>
          <w:highlight w:val="none"/>
          <w:lang w:eastAsia="zh-CN"/>
        </w:rPr>
      </w:pPr>
      <w:r>
        <w:rPr>
          <w:rFonts w:hint="eastAsia"/>
          <w:color w:val="auto"/>
          <w:spacing w:val="-2"/>
          <w:highlight w:val="none"/>
          <w:lang w:eastAsia="zh-CN"/>
        </w:rPr>
        <w:t>联系地址：乌鲁木齐市水磨沟区南湖南路</w:t>
      </w:r>
      <w:r>
        <w:rPr>
          <w:rFonts w:hint="eastAsia"/>
          <w:color w:val="auto"/>
          <w:spacing w:val="-44"/>
          <w:highlight w:val="none"/>
          <w:lang w:eastAsia="zh-CN"/>
        </w:rPr>
        <w:t xml:space="preserve"> </w:t>
      </w:r>
      <w:r>
        <w:rPr>
          <w:rFonts w:hint="eastAsia"/>
          <w:color w:val="auto"/>
          <w:spacing w:val="-2"/>
          <w:highlight w:val="none"/>
          <w:lang w:eastAsia="zh-CN"/>
        </w:rPr>
        <w:t>66</w:t>
      </w:r>
      <w:r>
        <w:rPr>
          <w:rFonts w:hint="eastAsia"/>
          <w:color w:val="auto"/>
          <w:spacing w:val="-44"/>
          <w:highlight w:val="none"/>
          <w:lang w:eastAsia="zh-CN"/>
        </w:rPr>
        <w:t xml:space="preserve"> </w:t>
      </w:r>
      <w:r>
        <w:rPr>
          <w:rFonts w:hint="eastAsia"/>
          <w:color w:val="auto"/>
          <w:spacing w:val="-2"/>
          <w:highlight w:val="none"/>
          <w:lang w:eastAsia="zh-CN"/>
        </w:rPr>
        <w:t>号水清木华精品社区</w:t>
      </w:r>
      <w:r>
        <w:rPr>
          <w:rFonts w:hint="eastAsia"/>
          <w:color w:val="auto"/>
          <w:spacing w:val="-58"/>
          <w:highlight w:val="none"/>
          <w:lang w:eastAsia="zh-CN"/>
        </w:rPr>
        <w:t xml:space="preserve"> </w:t>
      </w:r>
      <w:r>
        <w:rPr>
          <w:rFonts w:hint="eastAsia"/>
          <w:color w:val="auto"/>
          <w:spacing w:val="-2"/>
          <w:highlight w:val="none"/>
          <w:lang w:eastAsia="zh-CN"/>
        </w:rPr>
        <w:t>A</w:t>
      </w:r>
      <w:r>
        <w:rPr>
          <w:rFonts w:hint="eastAsia"/>
          <w:color w:val="auto"/>
          <w:spacing w:val="-51"/>
          <w:highlight w:val="none"/>
          <w:lang w:eastAsia="zh-CN"/>
        </w:rPr>
        <w:t xml:space="preserve"> </w:t>
      </w:r>
      <w:r>
        <w:rPr>
          <w:rFonts w:hint="eastAsia"/>
          <w:color w:val="auto"/>
          <w:spacing w:val="-2"/>
          <w:highlight w:val="none"/>
          <w:lang w:eastAsia="zh-CN"/>
        </w:rPr>
        <w:t>栋</w:t>
      </w:r>
      <w:r>
        <w:rPr>
          <w:rFonts w:hint="eastAsia"/>
          <w:color w:val="auto"/>
          <w:spacing w:val="-49"/>
          <w:highlight w:val="none"/>
          <w:lang w:eastAsia="zh-CN"/>
        </w:rPr>
        <w:t xml:space="preserve"> </w:t>
      </w:r>
      <w:r>
        <w:rPr>
          <w:rFonts w:hint="eastAsia"/>
          <w:color w:val="auto"/>
          <w:spacing w:val="-2"/>
          <w:highlight w:val="none"/>
          <w:lang w:eastAsia="zh-CN"/>
        </w:rPr>
        <w:t>6</w:t>
      </w:r>
      <w:r>
        <w:rPr>
          <w:rFonts w:hint="eastAsia"/>
          <w:color w:val="auto"/>
          <w:spacing w:val="-50"/>
          <w:highlight w:val="none"/>
          <w:lang w:eastAsia="zh-CN"/>
        </w:rPr>
        <w:t xml:space="preserve"> </w:t>
      </w:r>
      <w:r>
        <w:rPr>
          <w:rFonts w:hint="eastAsia"/>
          <w:color w:val="auto"/>
          <w:spacing w:val="-2"/>
          <w:highlight w:val="none"/>
          <w:lang w:eastAsia="zh-CN"/>
        </w:rPr>
        <w:t>层</w:t>
      </w:r>
    </w:p>
    <w:p w14:paraId="46E3A02A">
      <w:pPr>
        <w:spacing w:line="219" w:lineRule="auto"/>
        <w:rPr>
          <w:rFonts w:hint="eastAsia" w:ascii="宋体" w:hAnsi="宋体" w:eastAsia="宋体" w:cs="宋体"/>
          <w:color w:val="auto"/>
          <w:sz w:val="24"/>
          <w:szCs w:val="24"/>
          <w:highlight w:val="none"/>
          <w:lang w:eastAsia="zh-CN"/>
        </w:rPr>
        <w:sectPr>
          <w:headerReference r:id="rId3" w:type="default"/>
          <w:pgSz w:w="11906" w:h="16839"/>
          <w:pgMar w:top="1429" w:right="1553" w:bottom="1378" w:left="1786" w:header="907" w:footer="0" w:gutter="0"/>
          <w:cols w:space="720" w:num="1"/>
        </w:sectPr>
      </w:pPr>
    </w:p>
    <w:p w14:paraId="60278D0F">
      <w:pPr>
        <w:spacing w:line="355" w:lineRule="auto"/>
        <w:rPr>
          <w:rFonts w:hint="eastAsia" w:ascii="宋体" w:hAnsi="宋体" w:eastAsia="宋体" w:cs="宋体"/>
          <w:color w:val="auto"/>
          <w:sz w:val="24"/>
          <w:szCs w:val="24"/>
          <w:highlight w:val="none"/>
          <w:lang w:eastAsia="zh-CN"/>
        </w:rPr>
      </w:pPr>
    </w:p>
    <w:p w14:paraId="685B710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目录</w:t>
      </w:r>
    </w:p>
    <w:p w14:paraId="170B3D89">
      <w:pPr>
        <w:spacing w:line="360" w:lineRule="auto"/>
        <w:jc w:val="center"/>
        <w:rPr>
          <w:rFonts w:hint="eastAsia" w:ascii="宋体" w:hAnsi="宋体" w:eastAsia="宋体" w:cs="宋体"/>
          <w:color w:val="auto"/>
          <w:sz w:val="24"/>
          <w:szCs w:val="24"/>
          <w:highlight w:val="none"/>
        </w:rPr>
      </w:pPr>
    </w:p>
    <w:p w14:paraId="25446226">
      <w:pPr>
        <w:pStyle w:val="24"/>
        <w:tabs>
          <w:tab w:val="right" w:leader="dot" w:pos="856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"_Toc7179" </w:instrText>
      </w:r>
      <w:r>
        <w:rPr>
          <w:color w:val="auto"/>
          <w:highlight w:val="none"/>
        </w:rPr>
        <w:fldChar w:fldCharType="separate"/>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_Toc7179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B761A2E">
      <w:pPr>
        <w:pStyle w:val="24"/>
        <w:tabs>
          <w:tab w:val="right" w:leader="dot" w:pos="8567"/>
        </w:tabs>
        <w:spacing w:line="360" w:lineRule="auto"/>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"_Toc20994" </w:instrText>
      </w:r>
      <w:r>
        <w:rPr>
          <w:color w:val="auto"/>
          <w:highlight w:val="none"/>
        </w:rPr>
        <w:fldChar w:fldCharType="separate"/>
      </w:r>
      <w:r>
        <w:rPr>
          <w:rFonts w:hint="eastAsia" w:ascii="宋体" w:hAnsi="宋体" w:eastAsia="宋体" w:cs="宋体"/>
          <w:bCs/>
          <w:color w:val="auto"/>
          <w:spacing w:val="-3"/>
          <w:sz w:val="24"/>
          <w:szCs w:val="24"/>
          <w:highlight w:val="none"/>
        </w:rPr>
        <w:t>第一章</w:t>
      </w:r>
      <w:r>
        <w:rPr>
          <w:rFonts w:hint="eastAsia" w:ascii="宋体" w:hAnsi="宋体" w:eastAsia="宋体" w:cs="宋体"/>
          <w:bCs/>
          <w:color w:val="auto"/>
          <w:spacing w:val="-3"/>
          <w:sz w:val="24"/>
          <w:szCs w:val="24"/>
          <w:highlight w:val="none"/>
          <w:lang w:eastAsia="zh-CN"/>
        </w:rPr>
        <w:t xml:space="preserve"> </w:t>
      </w:r>
      <w:r>
        <w:rPr>
          <w:rFonts w:hint="eastAsia" w:ascii="宋体" w:hAnsi="宋体" w:eastAsia="宋体" w:cs="宋体"/>
          <w:bCs/>
          <w:color w:val="auto"/>
          <w:sz w:val="24"/>
          <w:szCs w:val="24"/>
          <w:highlight w:val="none"/>
        </w:rPr>
        <w:t>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_Toc20994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D73067">
      <w:pPr>
        <w:pStyle w:val="24"/>
        <w:tabs>
          <w:tab w:val="right" w:leader="dot" w:pos="8567"/>
        </w:tabs>
        <w:spacing w:line="360" w:lineRule="auto"/>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"_Toc26004" </w:instrText>
      </w:r>
      <w:r>
        <w:rPr>
          <w:color w:val="auto"/>
          <w:highlight w:val="none"/>
        </w:rPr>
        <w:fldChar w:fldCharType="separate"/>
      </w:r>
      <w:r>
        <w:rPr>
          <w:rFonts w:hint="eastAsia" w:ascii="宋体" w:hAnsi="宋体" w:eastAsia="宋体" w:cs="宋体"/>
          <w:bCs/>
          <w:color w:val="auto"/>
          <w:sz w:val="24"/>
          <w:szCs w:val="24"/>
          <w:highlight w:val="none"/>
        </w:rPr>
        <w:t>第</w:t>
      </w:r>
      <w:r>
        <w:rPr>
          <w:rFonts w:hint="eastAsia" w:ascii="宋体" w:hAnsi="宋体" w:eastAsia="宋体" w:cs="宋体"/>
          <w:bCs/>
          <w:color w:val="auto"/>
          <w:sz w:val="24"/>
          <w:szCs w:val="24"/>
          <w:highlight w:val="none"/>
          <w:lang w:eastAsia="zh-CN"/>
        </w:rPr>
        <w:t>二</w:t>
      </w:r>
      <w:r>
        <w:rPr>
          <w:rFonts w:hint="eastAsia" w:ascii="宋体" w:hAnsi="宋体" w:eastAsia="宋体" w:cs="宋体"/>
          <w:bCs/>
          <w:color w:val="auto"/>
          <w:sz w:val="24"/>
          <w:szCs w:val="24"/>
          <w:highlight w:val="none"/>
        </w:rPr>
        <w:t>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_Toc26004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68A327">
      <w:pPr>
        <w:pStyle w:val="24"/>
        <w:tabs>
          <w:tab w:val="right" w:leader="dot" w:pos="8567"/>
        </w:tabs>
        <w:spacing w:line="360" w:lineRule="auto"/>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"_Toc14507" </w:instrText>
      </w:r>
      <w:r>
        <w:rPr>
          <w:color w:val="auto"/>
          <w:highlight w:val="none"/>
        </w:rPr>
        <w:fldChar w:fldCharType="separate"/>
      </w:r>
      <w:r>
        <w:rPr>
          <w:rFonts w:hint="eastAsia" w:ascii="宋体" w:hAnsi="宋体" w:eastAsia="宋体" w:cs="宋体"/>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lang w:eastAsia="zh-CN"/>
        </w:rPr>
        <w:t>服务</w:t>
      </w:r>
      <w:r>
        <w:rPr>
          <w:rFonts w:hint="eastAsia" w:ascii="宋体" w:hAnsi="宋体" w:eastAsia="宋体" w:cs="宋体"/>
          <w:bCs/>
          <w:color w:val="auto"/>
          <w:spacing w:val="-3"/>
          <w:sz w:val="24"/>
          <w:szCs w:val="24"/>
          <w:highlight w:val="none"/>
        </w:rPr>
        <w:t>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_Toc14507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47F0CC">
      <w:pPr>
        <w:pStyle w:val="24"/>
        <w:tabs>
          <w:tab w:val="right" w:leader="dot" w:pos="8567"/>
        </w:tabs>
        <w:spacing w:line="360" w:lineRule="auto"/>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"_Toc19307" </w:instrText>
      </w:r>
      <w:r>
        <w:rPr>
          <w:color w:val="auto"/>
          <w:highlight w:val="none"/>
        </w:rPr>
        <w:fldChar w:fldCharType="separate"/>
      </w:r>
      <w:r>
        <w:rPr>
          <w:rFonts w:hint="eastAsia" w:ascii="宋体" w:hAnsi="宋体" w:eastAsia="宋体" w:cs="宋体"/>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lang w:eastAsia="zh-CN"/>
        </w:rPr>
        <w:t>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_Toc19307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EDB5F3">
      <w:pPr>
        <w:pStyle w:val="24"/>
        <w:tabs>
          <w:tab w:val="right" w:leader="dot" w:pos="8567"/>
        </w:tabs>
        <w:spacing w:line="360" w:lineRule="auto"/>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"_Toc3792" </w:instrText>
      </w:r>
      <w:r>
        <w:rPr>
          <w:color w:val="auto"/>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章  拟签订的合同文本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_Toc3792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369FE13">
      <w:pPr>
        <w:pStyle w:val="24"/>
        <w:tabs>
          <w:tab w:val="right" w:leader="dot" w:pos="8567"/>
        </w:tabs>
        <w:spacing w:line="360" w:lineRule="auto"/>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"_Toc12965" </w:instrText>
      </w:r>
      <w:r>
        <w:rPr>
          <w:color w:val="auto"/>
          <w:highlight w:val="none"/>
        </w:rPr>
        <w:fldChar w:fldCharType="separate"/>
      </w:r>
      <w:r>
        <w:rPr>
          <w:rFonts w:hint="eastAsia" w:ascii="宋体" w:hAnsi="宋体" w:eastAsia="宋体" w:cs="宋体"/>
          <w:color w:val="auto"/>
          <w:spacing w:val="-9"/>
          <w:sz w:val="24"/>
          <w:szCs w:val="24"/>
          <w:highlight w:val="none"/>
        </w:rPr>
        <w:t>附件1：政府采购促进中小企业发展管理办法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_Toc12965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44EDBB">
      <w:pPr>
        <w:pStyle w:val="24"/>
        <w:tabs>
          <w:tab w:val="right" w:leader="dot" w:pos="8567"/>
        </w:tabs>
        <w:spacing w:line="360" w:lineRule="auto"/>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"_Toc6728" </w:instrText>
      </w:r>
      <w:r>
        <w:rPr>
          <w:color w:val="auto"/>
          <w:highlight w:val="none"/>
        </w:rPr>
        <w:fldChar w:fldCharType="separate"/>
      </w:r>
      <w:r>
        <w:rPr>
          <w:rFonts w:hint="eastAsia" w:ascii="宋体" w:hAnsi="宋体" w:eastAsia="宋体" w:cs="宋体"/>
          <w:color w:val="auto"/>
          <w:spacing w:val="-9"/>
          <w:sz w:val="24"/>
          <w:szCs w:val="24"/>
          <w:highlight w:val="none"/>
        </w:rPr>
        <w:t>附件2：关于进一步加大政府采购支持中小企业力度的通知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_Toc6728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60D5B4">
      <w:pPr>
        <w:pStyle w:val="24"/>
        <w:tabs>
          <w:tab w:val="right" w:leader="dot" w:pos="8567"/>
        </w:tabs>
        <w:spacing w:line="360" w:lineRule="auto"/>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"_Toc21105" </w:instrText>
      </w:r>
      <w:r>
        <w:rPr>
          <w:color w:val="auto"/>
          <w:highlight w:val="none"/>
        </w:rPr>
        <w:fldChar w:fldCharType="separate"/>
      </w:r>
      <w:r>
        <w:rPr>
          <w:rFonts w:hint="eastAsia" w:ascii="宋体" w:hAnsi="宋体" w:eastAsia="宋体" w:cs="宋体"/>
          <w:color w:val="auto"/>
          <w:spacing w:val="-9"/>
          <w:sz w:val="24"/>
          <w:szCs w:val="24"/>
          <w:highlight w:val="none"/>
        </w:rPr>
        <w:t>附件3：关于印发中小企业划型标准规定的通知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_Toc21105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4F3522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p w14:paraId="55A27981">
      <w:pPr>
        <w:rPr>
          <w:rFonts w:hint="eastAsia" w:ascii="宋体" w:hAnsi="宋体" w:eastAsia="宋体" w:cs="宋体"/>
          <w:color w:val="auto"/>
          <w:sz w:val="24"/>
          <w:szCs w:val="24"/>
          <w:highlight w:val="none"/>
        </w:rPr>
      </w:pPr>
    </w:p>
    <w:p w14:paraId="551C2892">
      <w:pPr>
        <w:rPr>
          <w:rFonts w:hint="eastAsia" w:ascii="宋体" w:hAnsi="宋体" w:eastAsia="宋体" w:cs="宋体"/>
          <w:color w:val="auto"/>
          <w:sz w:val="24"/>
          <w:szCs w:val="24"/>
          <w:highlight w:val="none"/>
        </w:rPr>
      </w:pPr>
    </w:p>
    <w:p w14:paraId="344D59A8">
      <w:pPr>
        <w:rPr>
          <w:rFonts w:hint="eastAsia" w:ascii="宋体" w:hAnsi="宋体" w:eastAsia="宋体" w:cs="宋体"/>
          <w:color w:val="auto"/>
          <w:sz w:val="24"/>
          <w:szCs w:val="24"/>
          <w:highlight w:val="none"/>
        </w:rPr>
      </w:pPr>
    </w:p>
    <w:p w14:paraId="16755C19">
      <w:pPr>
        <w:rPr>
          <w:rFonts w:hint="eastAsia" w:ascii="宋体" w:hAnsi="宋体" w:eastAsia="宋体" w:cs="宋体"/>
          <w:color w:val="auto"/>
          <w:sz w:val="24"/>
          <w:szCs w:val="24"/>
          <w:highlight w:val="none"/>
        </w:rPr>
      </w:pPr>
    </w:p>
    <w:p w14:paraId="2F5AEB4C">
      <w:pPr>
        <w:tabs>
          <w:tab w:val="left" w:pos="2433"/>
        </w:tabs>
        <w:rPr>
          <w:rFonts w:hint="eastAsia" w:ascii="宋体" w:hAnsi="宋体" w:eastAsia="宋体" w:cs="宋体"/>
          <w:color w:val="auto"/>
          <w:sz w:val="24"/>
          <w:szCs w:val="24"/>
          <w:highlight w:val="none"/>
          <w:lang w:eastAsia="zh-CN"/>
        </w:rPr>
        <w:sectPr>
          <w:pgSz w:w="11906" w:h="16839"/>
          <w:pgMar w:top="1429" w:right="1553" w:bottom="1378" w:left="1786" w:header="907" w:footer="0" w:gutter="0"/>
          <w:cols w:space="720" w:num="1"/>
        </w:sectPr>
      </w:pPr>
      <w:r>
        <w:rPr>
          <w:rFonts w:hint="eastAsia" w:ascii="宋体" w:hAnsi="宋体" w:eastAsia="宋体" w:cs="宋体"/>
          <w:color w:val="auto"/>
          <w:sz w:val="24"/>
          <w:szCs w:val="24"/>
          <w:highlight w:val="none"/>
          <w:lang w:eastAsia="zh-CN"/>
        </w:rPr>
        <w:tab/>
      </w:r>
    </w:p>
    <w:p w14:paraId="4E018FA3">
      <w:pPr>
        <w:spacing w:line="354" w:lineRule="auto"/>
        <w:rPr>
          <w:rFonts w:hint="eastAsia" w:ascii="宋体" w:hAnsi="宋体" w:eastAsia="宋体" w:cs="宋体"/>
          <w:color w:val="auto"/>
          <w:sz w:val="24"/>
          <w:szCs w:val="24"/>
          <w:highlight w:val="none"/>
        </w:rPr>
      </w:pPr>
    </w:p>
    <w:p w14:paraId="2CF02F91">
      <w:pPr>
        <w:pStyle w:val="11"/>
        <w:spacing w:before="78" w:line="218" w:lineRule="auto"/>
        <w:jc w:val="center"/>
        <w:outlineLvl w:val="0"/>
        <w:rPr>
          <w:rFonts w:hint="eastAsia"/>
          <w:color w:val="auto"/>
          <w:highlight w:val="none"/>
          <w:lang w:eastAsia="zh-CN"/>
        </w:rPr>
      </w:pPr>
      <w:bookmarkStart w:id="0" w:name="bookmark1"/>
      <w:bookmarkEnd w:id="0"/>
      <w:bookmarkStart w:id="1" w:name="_Toc7179"/>
      <w:bookmarkStart w:id="2" w:name="_Toc13145"/>
      <w:r>
        <w:rPr>
          <w:rFonts w:hint="eastAsia"/>
          <w:color w:val="auto"/>
          <w:highlight w:val="none"/>
          <w:lang w:eastAsia="zh-CN"/>
        </w:rPr>
        <w:t>招标公告</w:t>
      </w:r>
      <w:bookmarkEnd w:id="1"/>
      <w:bookmarkEnd w:id="2"/>
    </w:p>
    <w:p w14:paraId="155D8EDE">
      <w:pPr>
        <w:pStyle w:val="11"/>
        <w:spacing w:before="186" w:line="353" w:lineRule="auto"/>
        <w:ind w:left="1" w:right="99" w:firstLine="483"/>
        <w:jc w:val="both"/>
        <w:rPr>
          <w:rFonts w:hint="eastAsia"/>
          <w:color w:val="auto"/>
          <w:highlight w:val="none"/>
          <w:lang w:eastAsia="zh-CN"/>
        </w:rPr>
      </w:pPr>
      <w:r>
        <w:rPr>
          <w:rFonts w:hint="eastAsia"/>
          <w:color w:val="auto"/>
          <w:highlight w:val="none"/>
          <w:lang w:eastAsia="zh-CN"/>
        </w:rPr>
        <w:t>受(采购人)</w:t>
      </w:r>
      <w:r>
        <w:rPr>
          <w:rFonts w:hint="eastAsia"/>
          <w:color w:val="auto"/>
          <w:highlight w:val="none"/>
          <w:u w:val="single"/>
          <w:lang w:eastAsia="zh-CN"/>
        </w:rPr>
        <w:t>新疆职业大学</w:t>
      </w:r>
      <w:r>
        <w:rPr>
          <w:rFonts w:hint="eastAsia"/>
          <w:color w:val="auto"/>
          <w:highlight w:val="none"/>
          <w:lang w:eastAsia="zh-CN"/>
        </w:rPr>
        <w:t>委托</w:t>
      </w:r>
      <w:r>
        <w:rPr>
          <w:rFonts w:hint="eastAsia"/>
          <w:color w:val="auto"/>
          <w:spacing w:val="-55"/>
          <w:highlight w:val="none"/>
          <w:lang w:eastAsia="zh-CN"/>
        </w:rPr>
        <w:t>，（</w:t>
      </w:r>
      <w:r>
        <w:rPr>
          <w:rFonts w:hint="eastAsia"/>
          <w:color w:val="auto"/>
          <w:highlight w:val="none"/>
          <w:lang w:eastAsia="zh-CN"/>
        </w:rPr>
        <w:t>采购代理机构）</w:t>
      </w:r>
      <w:r>
        <w:rPr>
          <w:rFonts w:hint="eastAsia"/>
          <w:color w:val="auto"/>
          <w:highlight w:val="none"/>
          <w:u w:val="single"/>
          <w:lang w:eastAsia="zh-CN"/>
        </w:rPr>
        <w:t>新疆金正建设工程管理有限公司</w:t>
      </w:r>
      <w:r>
        <w:rPr>
          <w:rFonts w:hint="eastAsia"/>
          <w:color w:val="auto"/>
          <w:highlight w:val="none"/>
          <w:lang w:eastAsia="zh-CN"/>
        </w:rPr>
        <w:t>对项目</w:t>
      </w:r>
      <w:r>
        <w:rPr>
          <w:rFonts w:hint="eastAsia"/>
          <w:color w:val="auto"/>
          <w:spacing w:val="-2"/>
          <w:highlight w:val="none"/>
          <w:lang w:eastAsia="zh-CN"/>
        </w:rPr>
        <w:t>编号：</w:t>
      </w:r>
      <w:r>
        <w:rPr>
          <w:rFonts w:hint="eastAsia"/>
          <w:color w:val="auto"/>
          <w:spacing w:val="-2"/>
          <w:highlight w:val="none"/>
          <w:u w:val="single"/>
          <w:lang w:val="en-US" w:eastAsia="zh-CN"/>
        </w:rPr>
        <w:t>金采招字[2026]XJJZC-068</w:t>
      </w:r>
      <w:r>
        <w:rPr>
          <w:rFonts w:hint="eastAsia"/>
          <w:color w:val="auto"/>
          <w:spacing w:val="-2"/>
          <w:highlight w:val="none"/>
          <w:lang w:eastAsia="zh-CN"/>
        </w:rPr>
        <w:t>，项目名称：</w:t>
      </w:r>
      <w:r>
        <w:rPr>
          <w:rFonts w:hint="eastAsia"/>
          <w:color w:val="auto"/>
          <w:spacing w:val="-2"/>
          <w:highlight w:val="none"/>
          <w:u w:val="single"/>
          <w:lang w:val="en-US" w:eastAsia="zh-CN"/>
        </w:rPr>
        <w:t>新疆职业大学高压电气设备招标预防性试验(无故障检测)项目</w:t>
      </w:r>
      <w:r>
        <w:rPr>
          <w:rFonts w:hint="eastAsia"/>
          <w:color w:val="auto"/>
          <w:spacing w:val="-3"/>
          <w:highlight w:val="none"/>
          <w:lang w:eastAsia="zh-CN"/>
        </w:rPr>
        <w:t>进行（采购方式）</w:t>
      </w:r>
      <w:r>
        <w:rPr>
          <w:rFonts w:hint="eastAsia"/>
          <w:color w:val="auto"/>
          <w:spacing w:val="-3"/>
          <w:highlight w:val="none"/>
          <w:u w:val="single"/>
          <w:lang w:eastAsia="zh-CN"/>
        </w:rPr>
        <w:t>公开招标</w:t>
      </w:r>
      <w:r>
        <w:rPr>
          <w:rFonts w:hint="eastAsia"/>
          <w:color w:val="auto"/>
          <w:spacing w:val="-3"/>
          <w:highlight w:val="none"/>
          <w:lang w:eastAsia="zh-CN"/>
        </w:rPr>
        <w:t>，现欢迎</w:t>
      </w:r>
      <w:r>
        <w:rPr>
          <w:rFonts w:hint="eastAsia"/>
          <w:color w:val="auto"/>
          <w:spacing w:val="-1"/>
          <w:highlight w:val="none"/>
          <w:lang w:eastAsia="zh-CN"/>
        </w:rPr>
        <w:t>合格的供应商前来参加。</w:t>
      </w:r>
    </w:p>
    <w:p w14:paraId="413E8F2C">
      <w:pPr>
        <w:pStyle w:val="86"/>
        <w:widowControl/>
        <w:adjustRightInd/>
        <w:spacing w:line="360" w:lineRule="auto"/>
        <w:jc w:val="left"/>
        <w:textAlignment w:val="auto"/>
        <w:rPr>
          <w:rFonts w:hint="eastAsia" w:hAnsi="宋体" w:cs="宋体"/>
          <w:color w:val="auto"/>
          <w:sz w:val="24"/>
          <w:szCs w:val="24"/>
          <w:highlight w:val="none"/>
          <w:u w:val="single"/>
        </w:rPr>
      </w:pPr>
      <w:bookmarkStart w:id="3" w:name="_Toc35393790"/>
      <w:bookmarkStart w:id="4" w:name="_Toc28359079"/>
      <w:bookmarkStart w:id="5" w:name="_Toc28359002"/>
      <w:bookmarkStart w:id="6" w:name="_Toc35393621"/>
      <w:r>
        <w:rPr>
          <w:rFonts w:hint="eastAsia" w:hAnsi="宋体" w:cs="宋体"/>
          <w:b/>
          <w:bCs/>
          <w:color w:val="auto"/>
          <w:sz w:val="24"/>
          <w:szCs w:val="24"/>
          <w:highlight w:val="none"/>
        </w:rPr>
        <w:t>一、项目基本情况</w:t>
      </w:r>
      <w:bookmarkEnd w:id="3"/>
      <w:bookmarkEnd w:id="4"/>
      <w:bookmarkEnd w:id="5"/>
      <w:bookmarkEnd w:id="6"/>
    </w:p>
    <w:p w14:paraId="1807717D">
      <w:pPr>
        <w:pStyle w:val="11"/>
        <w:spacing w:before="186" w:line="353" w:lineRule="auto"/>
        <w:ind w:left="0" w:leftChars="0" w:right="99" w:firstLine="0" w:firstLineChars="0"/>
        <w:jc w:val="both"/>
        <w:rPr>
          <w:rFonts w:hint="eastAsia"/>
          <w:color w:val="auto"/>
          <w:highlight w:val="none"/>
          <w:u w:val="none"/>
          <w:lang w:eastAsia="zh-CN"/>
        </w:rPr>
      </w:pPr>
      <w:r>
        <w:rPr>
          <w:rFonts w:hint="eastAsia"/>
          <w:color w:val="auto"/>
          <w:highlight w:val="none"/>
          <w:u w:val="none"/>
          <w:lang w:eastAsia="zh-CN"/>
        </w:rPr>
        <w:t>1.项目编号：金采招字[2026]XJJZC-068</w:t>
      </w:r>
    </w:p>
    <w:p w14:paraId="70998E77">
      <w:pPr>
        <w:pStyle w:val="11"/>
        <w:spacing w:before="186" w:line="353" w:lineRule="auto"/>
        <w:ind w:left="0" w:leftChars="0" w:right="99" w:firstLine="0" w:firstLineChars="0"/>
        <w:jc w:val="both"/>
        <w:rPr>
          <w:rFonts w:hint="eastAsia"/>
          <w:color w:val="auto"/>
          <w:highlight w:val="none"/>
          <w:u w:val="none"/>
          <w:lang w:eastAsia="zh-CN"/>
        </w:rPr>
      </w:pPr>
      <w:r>
        <w:rPr>
          <w:rFonts w:hint="eastAsia"/>
          <w:color w:val="auto"/>
          <w:highlight w:val="none"/>
          <w:u w:val="none"/>
          <w:lang w:eastAsia="zh-CN"/>
        </w:rPr>
        <w:t>2.项目名称：</w:t>
      </w:r>
      <w:r>
        <w:rPr>
          <w:rFonts w:hint="eastAsia"/>
          <w:color w:val="auto"/>
          <w:highlight w:val="none"/>
          <w:u w:val="none"/>
          <w:lang w:val="en-US" w:eastAsia="zh-CN"/>
        </w:rPr>
        <w:t>新疆职业大学高压电气设备招标预防性试验(无故障检测)项目</w:t>
      </w:r>
    </w:p>
    <w:p w14:paraId="4DFB6510">
      <w:pPr>
        <w:pStyle w:val="11"/>
        <w:spacing w:before="186" w:line="353" w:lineRule="auto"/>
        <w:ind w:left="0" w:leftChars="0" w:right="99" w:firstLine="0" w:firstLineChars="0"/>
        <w:jc w:val="both"/>
        <w:rPr>
          <w:rFonts w:hint="eastAsia"/>
          <w:color w:val="auto"/>
          <w:highlight w:val="none"/>
          <w:u w:val="none"/>
          <w:lang w:eastAsia="zh-CN"/>
        </w:rPr>
      </w:pPr>
      <w:r>
        <w:rPr>
          <w:rFonts w:hint="eastAsia"/>
          <w:color w:val="auto"/>
          <w:highlight w:val="none"/>
          <w:u w:val="none"/>
          <w:lang w:eastAsia="zh-CN"/>
        </w:rPr>
        <w:t>3.预算金额：</w:t>
      </w:r>
      <w:r>
        <w:rPr>
          <w:rFonts w:hint="eastAsia"/>
          <w:color w:val="auto"/>
          <w:highlight w:val="none"/>
          <w:u w:val="none"/>
          <w:lang w:val="en-US" w:eastAsia="zh-CN"/>
        </w:rPr>
        <w:t>495000.00</w:t>
      </w:r>
      <w:r>
        <w:rPr>
          <w:rFonts w:hint="eastAsia"/>
          <w:color w:val="auto"/>
          <w:highlight w:val="none"/>
          <w:u w:val="none"/>
          <w:lang w:eastAsia="zh-CN"/>
        </w:rPr>
        <w:t>元；</w:t>
      </w:r>
    </w:p>
    <w:p w14:paraId="5D995EA7">
      <w:pPr>
        <w:pStyle w:val="11"/>
        <w:spacing w:before="186" w:line="353" w:lineRule="auto"/>
        <w:ind w:left="0" w:leftChars="0" w:right="99" w:firstLine="0" w:firstLineChars="0"/>
        <w:jc w:val="both"/>
        <w:rPr>
          <w:rFonts w:hint="default"/>
          <w:color w:val="auto"/>
          <w:highlight w:val="none"/>
          <w:u w:val="none"/>
          <w:lang w:val="en-US" w:eastAsia="zh-CN"/>
        </w:rPr>
      </w:pPr>
      <w:r>
        <w:rPr>
          <w:rFonts w:hint="eastAsia"/>
          <w:color w:val="auto"/>
          <w:highlight w:val="none"/>
          <w:u w:val="none"/>
          <w:lang w:eastAsia="zh-CN"/>
        </w:rPr>
        <w:t>4.服务范围：</w:t>
      </w:r>
      <w:r>
        <w:rPr>
          <w:rFonts w:hint="eastAsia"/>
          <w:color w:val="auto"/>
          <w:highlight w:val="none"/>
          <w:u w:val="none"/>
          <w:lang w:val="en-US" w:eastAsia="zh-CN"/>
        </w:rPr>
        <w:t>提供</w:t>
      </w:r>
      <w:r>
        <w:rPr>
          <w:rFonts w:hint="eastAsia"/>
          <w:color w:val="auto"/>
          <w:highlight w:val="none"/>
          <w:u w:val="none"/>
          <w:lang w:eastAsia="zh-CN"/>
        </w:rPr>
        <w:t>达坂城校区35kV及10kV变配电室是全校教学、科研及师生生活用电的核心保障设施。为严格执行国家《电力设备预防性试验规程》，及时排查消除设备安全隐患，确保供电系统安全、稳定、可靠运行，现需对校区内35kV配电室、所有10kV配电室及配套电气设备开展全面预防性试验和继电保护校验工作。</w:t>
      </w:r>
    </w:p>
    <w:p w14:paraId="6402710F">
      <w:pPr>
        <w:pStyle w:val="11"/>
        <w:spacing w:before="186" w:line="353" w:lineRule="auto"/>
        <w:ind w:left="0" w:leftChars="0" w:right="99" w:firstLine="0" w:firstLineChars="0"/>
        <w:jc w:val="both"/>
        <w:rPr>
          <w:rFonts w:hint="eastAsia"/>
          <w:color w:val="auto"/>
          <w:highlight w:val="none"/>
          <w:u w:val="none"/>
          <w:lang w:eastAsia="zh-CN"/>
        </w:rPr>
      </w:pPr>
      <w:r>
        <w:rPr>
          <w:rFonts w:hint="eastAsia"/>
          <w:color w:val="auto"/>
          <w:highlight w:val="none"/>
          <w:u w:val="none"/>
          <w:lang w:eastAsia="zh-CN"/>
        </w:rPr>
        <w:t>5.服务期：</w:t>
      </w:r>
      <w:r>
        <w:rPr>
          <w:rFonts w:hint="eastAsia"/>
          <w:color w:val="auto"/>
          <w:highlight w:val="none"/>
          <w:u w:val="none"/>
          <w:lang w:val="en-US" w:eastAsia="zh-CN"/>
        </w:rPr>
        <w:t>自合同签订之日起45日内完成检测、提供各项检测报告</w:t>
      </w:r>
    </w:p>
    <w:p w14:paraId="4CB83F50">
      <w:pPr>
        <w:pStyle w:val="11"/>
        <w:spacing w:before="186" w:line="353" w:lineRule="auto"/>
        <w:ind w:left="0" w:leftChars="0" w:right="99" w:firstLine="0" w:firstLineChars="0"/>
        <w:jc w:val="both"/>
        <w:rPr>
          <w:rFonts w:hint="eastAsia"/>
          <w:color w:val="auto"/>
          <w:highlight w:val="none"/>
          <w:u w:val="none"/>
          <w:lang w:eastAsia="zh-CN"/>
        </w:rPr>
      </w:pPr>
      <w:r>
        <w:rPr>
          <w:rFonts w:hint="eastAsia"/>
          <w:color w:val="auto"/>
          <w:highlight w:val="none"/>
          <w:u w:val="none"/>
          <w:lang w:eastAsia="zh-CN"/>
        </w:rPr>
        <w:t>本项目（否）接受联合体投标。</w:t>
      </w:r>
    </w:p>
    <w:p w14:paraId="5361CB5C">
      <w:pPr>
        <w:adjustRightInd/>
        <w:snapToGrid/>
        <w:spacing w:line="560" w:lineRule="exact"/>
        <w:textAlignment w:val="auto"/>
        <w:rPr>
          <w:rFonts w:hint="eastAsia" w:ascii="宋体" w:hAnsi="宋体" w:eastAsia="宋体" w:cs="宋体"/>
          <w:color w:val="auto"/>
          <w:sz w:val="24"/>
          <w:szCs w:val="24"/>
          <w:highlight w:val="none"/>
          <w:lang w:eastAsia="zh-CN"/>
        </w:rPr>
      </w:pPr>
      <w:bookmarkStart w:id="7" w:name="_Toc35393791"/>
      <w:bookmarkStart w:id="8" w:name="_Toc35393622"/>
      <w:bookmarkStart w:id="9" w:name="_Toc28359080"/>
      <w:bookmarkStart w:id="10" w:name="_Toc28359003"/>
      <w:r>
        <w:rPr>
          <w:rFonts w:hint="eastAsia" w:ascii="宋体" w:hAnsi="宋体" w:eastAsia="宋体" w:cs="宋体"/>
          <w:b/>
          <w:bCs/>
          <w:color w:val="auto"/>
          <w:sz w:val="24"/>
          <w:szCs w:val="24"/>
          <w:highlight w:val="none"/>
          <w:lang w:eastAsia="zh-CN"/>
        </w:rPr>
        <w:t>二、申请人的资格要求</w:t>
      </w:r>
      <w:bookmarkEnd w:id="7"/>
      <w:bookmarkEnd w:id="8"/>
      <w:bookmarkEnd w:id="9"/>
      <w:bookmarkEnd w:id="10"/>
    </w:p>
    <w:p w14:paraId="69C36674">
      <w:pPr>
        <w:pStyle w:val="47"/>
        <w:widowControl/>
        <w:spacing w:line="360" w:lineRule="auto"/>
        <w:ind w:firstLine="240" w:firstLineChars="1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083E6EC6">
      <w:pPr>
        <w:pStyle w:val="47"/>
        <w:widowControl/>
        <w:spacing w:line="360" w:lineRule="auto"/>
        <w:ind w:firstLine="240" w:firstLineChars="1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2.落实政府采购政策需满足的资格要求：</w:t>
      </w:r>
      <w:r>
        <w:rPr>
          <w:rFonts w:hint="eastAsia" w:ascii="宋体" w:hAnsi="宋体" w:cs="宋体"/>
          <w:color w:val="auto"/>
          <w:kern w:val="0"/>
          <w:sz w:val="24"/>
          <w:szCs w:val="24"/>
          <w:highlight w:val="none"/>
          <w:lang w:eastAsia="zh-CN"/>
        </w:rPr>
        <w:t>本项目专门面向中小企业。</w:t>
      </w:r>
    </w:p>
    <w:p w14:paraId="21D01BBF">
      <w:pPr>
        <w:pStyle w:val="47"/>
        <w:widowControl/>
        <w:spacing w:line="360" w:lineRule="auto"/>
        <w:ind w:firstLine="240" w:firstLineChars="1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3.本项目的特定资格要求：具备承装(修、试)电力设施许可证承试类</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级(含)以上许可</w:t>
      </w:r>
      <w:r>
        <w:rPr>
          <w:rFonts w:hint="eastAsia" w:ascii="宋体" w:hAnsi="宋体" w:cs="宋体"/>
          <w:color w:val="auto"/>
          <w:kern w:val="0"/>
          <w:sz w:val="24"/>
          <w:szCs w:val="24"/>
          <w:highlight w:val="none"/>
          <w:lang w:eastAsia="zh-CN"/>
        </w:rPr>
        <w:t>。</w:t>
      </w:r>
    </w:p>
    <w:p w14:paraId="3A6F9910">
      <w:pPr>
        <w:pStyle w:val="86"/>
        <w:widowControl/>
        <w:adjustRightInd/>
        <w:spacing w:line="360" w:lineRule="auto"/>
        <w:jc w:val="left"/>
        <w:textAlignment w:val="auto"/>
        <w:rPr>
          <w:rFonts w:hint="eastAsia" w:hAnsi="宋体" w:cs="宋体"/>
          <w:color w:val="auto"/>
          <w:sz w:val="24"/>
          <w:szCs w:val="24"/>
          <w:highlight w:val="none"/>
        </w:rPr>
      </w:pPr>
      <w:bookmarkStart w:id="11" w:name="_Toc35393623"/>
      <w:bookmarkStart w:id="12" w:name="_Toc35393792"/>
      <w:r>
        <w:rPr>
          <w:rFonts w:hint="eastAsia" w:hAnsi="宋体" w:cs="宋体"/>
          <w:b/>
          <w:bCs/>
          <w:color w:val="auto"/>
          <w:sz w:val="24"/>
          <w:szCs w:val="24"/>
          <w:highlight w:val="none"/>
        </w:rPr>
        <w:t>三、获取</w:t>
      </w:r>
      <w:r>
        <w:rPr>
          <w:rFonts w:hint="eastAsia" w:hAnsi="宋体" w:cs="宋体"/>
          <w:b/>
          <w:bCs/>
          <w:color w:val="auto"/>
          <w:sz w:val="24"/>
          <w:szCs w:val="24"/>
          <w:highlight w:val="none"/>
          <w:lang w:val="en-US" w:eastAsia="zh-CN"/>
        </w:rPr>
        <w:t>招标</w:t>
      </w:r>
      <w:r>
        <w:rPr>
          <w:rFonts w:hint="eastAsia" w:hAnsi="宋体" w:cs="宋体"/>
          <w:b/>
          <w:bCs/>
          <w:color w:val="auto"/>
          <w:sz w:val="24"/>
          <w:szCs w:val="24"/>
          <w:highlight w:val="none"/>
        </w:rPr>
        <w:t>文件</w:t>
      </w:r>
      <w:bookmarkEnd w:id="11"/>
      <w:bookmarkEnd w:id="12"/>
      <w:r>
        <w:rPr>
          <w:rFonts w:hint="eastAsia" w:hAnsi="宋体" w:cs="宋体"/>
          <w:color w:val="auto"/>
          <w:sz w:val="24"/>
          <w:szCs w:val="24"/>
          <w:highlight w:val="none"/>
        </w:rPr>
        <w:t xml:space="preserve"> </w:t>
      </w:r>
    </w:p>
    <w:p w14:paraId="664FC3CA">
      <w:pPr>
        <w:pStyle w:val="47"/>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时间：202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 xml:space="preserve"> 22 </w:t>
      </w:r>
      <w:r>
        <w:rPr>
          <w:rFonts w:hint="eastAsia" w:ascii="宋体" w:hAnsi="宋体" w:cs="宋体"/>
          <w:color w:val="auto"/>
          <w:kern w:val="0"/>
          <w:sz w:val="24"/>
          <w:szCs w:val="24"/>
          <w:highlight w:val="none"/>
        </w:rPr>
        <w:t>日至202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 xml:space="preserve"> 3 </w:t>
      </w:r>
      <w:r>
        <w:rPr>
          <w:rFonts w:hint="eastAsia" w:ascii="宋体" w:hAnsi="宋体" w:cs="宋体"/>
          <w:color w:val="auto"/>
          <w:kern w:val="0"/>
          <w:sz w:val="24"/>
          <w:szCs w:val="24"/>
          <w:highlight w:val="none"/>
          <w:lang w:eastAsia="zh-CN"/>
        </w:rPr>
        <w:t>日</w:t>
      </w:r>
      <w:r>
        <w:rPr>
          <w:rFonts w:hint="eastAsia" w:ascii="宋体" w:hAnsi="宋体" w:cs="宋体"/>
          <w:color w:val="auto"/>
          <w:kern w:val="0"/>
          <w:sz w:val="24"/>
          <w:szCs w:val="24"/>
          <w:highlight w:val="none"/>
        </w:rPr>
        <w:t>，每天上午00:00至23：59（北京时间，线上获取法定节假日均可）；</w:t>
      </w:r>
    </w:p>
    <w:p w14:paraId="1D171971">
      <w:pPr>
        <w:pStyle w:val="47"/>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地点：供应商登录政采云平台http://www.zcygov.cn/，在线申请获取招标文件（登录政府采购云平台→项目采购→获取招标文件→申请即可下载招标文件，如有操作性问题，可与政采云在线客服进行咨询，咨询电话：95763）。</w:t>
      </w:r>
    </w:p>
    <w:p w14:paraId="1A37BD99">
      <w:pPr>
        <w:pStyle w:val="47"/>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方式：供应商登录</w:t>
      </w:r>
      <w:r>
        <w:rPr>
          <w:rFonts w:hint="eastAsia" w:ascii="宋体" w:hAnsi="宋体" w:cs="宋体"/>
          <w:color w:val="auto"/>
          <w:kern w:val="0"/>
          <w:sz w:val="24"/>
          <w:szCs w:val="24"/>
          <w:highlight w:val="none"/>
          <w:lang w:eastAsia="zh-CN"/>
        </w:rPr>
        <w:t>政采云平台（https://www.zcygov.cn/）</w:t>
      </w:r>
      <w:r>
        <w:rPr>
          <w:rFonts w:hint="eastAsia" w:ascii="宋体" w:hAnsi="宋体" w:cs="宋体"/>
          <w:color w:val="auto"/>
          <w:kern w:val="0"/>
          <w:sz w:val="24"/>
          <w:szCs w:val="24"/>
          <w:highlight w:val="none"/>
        </w:rPr>
        <w:t>在线申请获取招标文件（登录政府采购云平台→项目采购→获取招标文件→下载招标文件）</w:t>
      </w:r>
    </w:p>
    <w:p w14:paraId="67715D3D">
      <w:pPr>
        <w:pStyle w:val="47"/>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售价：免费获取</w:t>
      </w:r>
    </w:p>
    <w:p w14:paraId="0312D205">
      <w:pPr>
        <w:adjustRightInd/>
        <w:snapToGrid/>
        <w:spacing w:line="560" w:lineRule="exact"/>
        <w:textAlignment w:val="auto"/>
        <w:rPr>
          <w:rFonts w:hint="eastAsia" w:ascii="宋体" w:hAnsi="宋体" w:eastAsia="宋体" w:cs="宋体"/>
          <w:b/>
          <w:bCs/>
          <w:color w:val="auto"/>
          <w:sz w:val="24"/>
          <w:szCs w:val="24"/>
          <w:highlight w:val="none"/>
          <w:lang w:eastAsia="zh-CN"/>
        </w:rPr>
      </w:pPr>
      <w:bookmarkStart w:id="13" w:name="_Toc28359005"/>
      <w:bookmarkStart w:id="14" w:name="_Toc28359082"/>
      <w:bookmarkStart w:id="15" w:name="_Toc35393793"/>
      <w:bookmarkStart w:id="16" w:name="_Toc35393624"/>
      <w:r>
        <w:rPr>
          <w:rFonts w:hint="eastAsia" w:ascii="宋体" w:hAnsi="宋体" w:eastAsia="宋体" w:cs="宋体"/>
          <w:b/>
          <w:bCs/>
          <w:color w:val="auto"/>
          <w:sz w:val="24"/>
          <w:szCs w:val="24"/>
          <w:highlight w:val="none"/>
          <w:lang w:eastAsia="zh-CN"/>
        </w:rPr>
        <w:t>四、提交</w:t>
      </w:r>
      <w:bookmarkEnd w:id="13"/>
      <w:bookmarkEnd w:id="14"/>
      <w:r>
        <w:rPr>
          <w:rFonts w:hint="eastAsia" w:ascii="宋体" w:hAnsi="宋体" w:eastAsia="宋体" w:cs="宋体"/>
          <w:b/>
          <w:bCs/>
          <w:color w:val="auto"/>
          <w:sz w:val="24"/>
          <w:szCs w:val="24"/>
          <w:highlight w:val="none"/>
          <w:lang w:eastAsia="zh-CN"/>
        </w:rPr>
        <w:t>响应文件截止时间、开标时间和地点</w:t>
      </w:r>
      <w:bookmarkEnd w:id="15"/>
      <w:bookmarkEnd w:id="16"/>
    </w:p>
    <w:p w14:paraId="040FA9AA">
      <w:pPr>
        <w:adjustRightInd/>
        <w:snapToGrid/>
        <w:spacing w:line="560" w:lineRule="exact"/>
        <w:ind w:firstLine="5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提交响应文件截止时间：</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lang w:eastAsia="zh-CN"/>
        </w:rPr>
        <w:t>年</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lang w:eastAsia="zh-CN"/>
        </w:rPr>
        <w:t>月</w:t>
      </w:r>
      <w:r>
        <w:rPr>
          <w:rFonts w:hint="eastAsia" w:ascii="宋体" w:hAnsi="宋体" w:eastAsia="宋体" w:cs="宋体"/>
          <w:bCs/>
          <w:color w:val="auto"/>
          <w:sz w:val="24"/>
          <w:szCs w:val="24"/>
          <w:highlight w:val="none"/>
          <w:u w:val="single"/>
          <w:lang w:val="en-US" w:eastAsia="zh-CN"/>
        </w:rPr>
        <w:t xml:space="preserve"> 15 </w:t>
      </w:r>
      <w:r>
        <w:rPr>
          <w:rFonts w:hint="eastAsia" w:ascii="宋体" w:hAnsi="宋体" w:eastAsia="宋体" w:cs="宋体"/>
          <w:bCs/>
          <w:color w:val="auto"/>
          <w:sz w:val="24"/>
          <w:szCs w:val="24"/>
          <w:highlight w:val="none"/>
          <w:u w:val="single"/>
          <w:lang w:eastAsia="zh-CN"/>
        </w:rPr>
        <w:t>日</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lang w:eastAsia="zh-CN"/>
        </w:rPr>
        <w:t>点</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lang w:eastAsia="zh-CN"/>
        </w:rPr>
        <w:t>分</w:t>
      </w:r>
      <w:r>
        <w:rPr>
          <w:rFonts w:hint="eastAsia" w:ascii="宋体" w:hAnsi="宋体" w:eastAsia="宋体" w:cs="宋体"/>
          <w:color w:val="auto"/>
          <w:sz w:val="24"/>
          <w:szCs w:val="24"/>
          <w:highlight w:val="none"/>
          <w:lang w:eastAsia="zh-CN"/>
        </w:rPr>
        <w:t>（北京时间）</w:t>
      </w:r>
    </w:p>
    <w:p w14:paraId="67EC99CD">
      <w:pPr>
        <w:adjustRightInd/>
        <w:snapToGrid/>
        <w:spacing w:line="560" w:lineRule="exact"/>
        <w:ind w:firstLine="5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开标时间：</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lang w:eastAsia="zh-CN"/>
        </w:rPr>
        <w:t>年</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lang w:eastAsia="zh-CN"/>
        </w:rPr>
        <w:t>月</w:t>
      </w:r>
      <w:r>
        <w:rPr>
          <w:rFonts w:hint="eastAsia" w:ascii="宋体" w:hAnsi="宋体" w:eastAsia="宋体" w:cs="宋体"/>
          <w:bCs/>
          <w:color w:val="auto"/>
          <w:sz w:val="24"/>
          <w:szCs w:val="24"/>
          <w:highlight w:val="none"/>
          <w:u w:val="single"/>
          <w:lang w:val="en-US" w:eastAsia="zh-CN"/>
        </w:rPr>
        <w:t xml:space="preserve"> 15 </w:t>
      </w:r>
      <w:r>
        <w:rPr>
          <w:rFonts w:hint="eastAsia" w:ascii="宋体" w:hAnsi="宋体" w:eastAsia="宋体" w:cs="宋体"/>
          <w:bCs/>
          <w:color w:val="auto"/>
          <w:sz w:val="24"/>
          <w:szCs w:val="24"/>
          <w:highlight w:val="none"/>
          <w:u w:val="single"/>
          <w:lang w:eastAsia="zh-CN"/>
        </w:rPr>
        <w:t>日</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lang w:eastAsia="zh-CN"/>
        </w:rPr>
        <w:t>点</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lang w:eastAsia="zh-CN"/>
        </w:rPr>
        <w:t>分</w:t>
      </w:r>
      <w:r>
        <w:rPr>
          <w:rFonts w:hint="eastAsia" w:ascii="宋体" w:hAnsi="宋体" w:eastAsia="宋体" w:cs="宋体"/>
          <w:color w:val="auto"/>
          <w:sz w:val="24"/>
          <w:szCs w:val="24"/>
          <w:highlight w:val="none"/>
          <w:lang w:eastAsia="zh-CN"/>
        </w:rPr>
        <w:t>（北京时间）</w:t>
      </w:r>
    </w:p>
    <w:p w14:paraId="7AD54366">
      <w:pPr>
        <w:adjustRightInd/>
        <w:snapToGrid/>
        <w:spacing w:line="56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bookmarkStart w:id="17" w:name="_Toc35393794"/>
      <w:bookmarkStart w:id="18" w:name="_Toc28359007"/>
      <w:bookmarkStart w:id="19" w:name="_Toc35393625"/>
      <w:bookmarkStart w:id="20" w:name="_Toc28359084"/>
      <w:r>
        <w:rPr>
          <w:rFonts w:hint="eastAsia" w:ascii="宋体" w:hAnsi="宋体" w:eastAsia="宋体" w:cs="宋体"/>
          <w:color w:val="auto"/>
          <w:sz w:val="24"/>
          <w:szCs w:val="24"/>
          <w:highlight w:val="none"/>
        </w:rPr>
        <w:t>政采云平台http://www.zcygov.cn/</w:t>
      </w:r>
    </w:p>
    <w:p w14:paraId="62878D39">
      <w:pPr>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五、公告期限</w:t>
      </w:r>
      <w:bookmarkEnd w:id="17"/>
      <w:bookmarkEnd w:id="18"/>
      <w:bookmarkEnd w:id="19"/>
      <w:bookmarkEnd w:id="20"/>
    </w:p>
    <w:p w14:paraId="0541B693">
      <w:pPr>
        <w:adjustRightInd/>
        <w:snapToGrid/>
        <w:spacing w:line="560" w:lineRule="exact"/>
        <w:ind w:firstLine="5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自本公告发布之日起5个工作日。</w:t>
      </w:r>
    </w:p>
    <w:p w14:paraId="4505EA56">
      <w:pPr>
        <w:adjustRightInd/>
        <w:snapToGrid/>
        <w:spacing w:line="560" w:lineRule="exact"/>
        <w:textAlignment w:val="auto"/>
        <w:rPr>
          <w:rFonts w:hint="eastAsia" w:ascii="宋体" w:hAnsi="宋体" w:eastAsia="宋体" w:cs="宋体"/>
          <w:b/>
          <w:bCs/>
          <w:color w:val="auto"/>
          <w:sz w:val="24"/>
          <w:szCs w:val="24"/>
          <w:highlight w:val="none"/>
          <w:lang w:eastAsia="zh-CN"/>
        </w:rPr>
      </w:pPr>
      <w:bookmarkStart w:id="21" w:name="_Toc35393626"/>
      <w:bookmarkStart w:id="22" w:name="_Toc35393795"/>
      <w:r>
        <w:rPr>
          <w:rFonts w:hint="eastAsia" w:ascii="宋体" w:hAnsi="宋体" w:eastAsia="宋体" w:cs="宋体"/>
          <w:b/>
          <w:bCs/>
          <w:color w:val="auto"/>
          <w:sz w:val="24"/>
          <w:szCs w:val="24"/>
          <w:highlight w:val="none"/>
          <w:lang w:eastAsia="zh-CN"/>
        </w:rPr>
        <w:t>六、其他补充事宜</w:t>
      </w:r>
      <w:bookmarkEnd w:id="21"/>
      <w:bookmarkEnd w:id="22"/>
    </w:p>
    <w:p w14:paraId="0EFBC348">
      <w:pPr>
        <w:pStyle w:val="47"/>
        <w:widowControl/>
        <w:spacing w:line="560" w:lineRule="exact"/>
        <w:ind w:firstLine="414"/>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(1)本项目实行全流程</w:t>
      </w:r>
      <w:r>
        <w:rPr>
          <w:rFonts w:hint="eastAsia" w:ascii="宋体" w:hAnsi="宋体" w:cs="宋体"/>
          <w:color w:val="auto"/>
          <w:sz w:val="24"/>
          <w:szCs w:val="24"/>
          <w:highlight w:val="none"/>
        </w:rPr>
        <w:t>电子交易方式</w:t>
      </w:r>
      <w:r>
        <w:rPr>
          <w:rFonts w:hint="eastAsia" w:ascii="宋体" w:hAnsi="宋体" w:cs="宋体"/>
          <w:color w:val="auto"/>
          <w:kern w:val="0"/>
          <w:sz w:val="24"/>
          <w:szCs w:val="24"/>
          <w:highlight w:val="none"/>
        </w:rPr>
        <w:t>，采用电子加密响应文件上传方式；</w:t>
      </w:r>
    </w:p>
    <w:p w14:paraId="6B7F530E">
      <w:pPr>
        <w:pStyle w:val="47"/>
        <w:widowControl/>
        <w:spacing w:line="560" w:lineRule="exact"/>
        <w:ind w:firstLine="414"/>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各供应商在投标前应确保成为新疆政府采购网正式注册入库供应商，并完成CA数字证书（符合国密标准）申领。因未注册入库、未办理CA数字证书等原因造成无法上传或投标失败等后果由供应商自行承担。有意向参与的供应商，可访问新疆数字证书认证中心官方网站（https://www.xjca.com.cn/）或下载“新疆政务通”APP自行申领。如需咨询，请联系新疆CA服务热线0991-2819290；</w:t>
      </w:r>
    </w:p>
    <w:p w14:paraId="0EA23F3E">
      <w:pPr>
        <w:pStyle w:val="47"/>
        <w:widowControl/>
        <w:spacing w:line="560" w:lineRule="exact"/>
        <w:ind w:firstLine="414"/>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(3)供应商在完成政采云电子交易客户端下载、安装后，可通过账号密码或CA登录客户端进行响应文件的制作。在使用“政采云投标客户端”时，建议使用WIN7及以上操作系统。客户端请至</w:t>
      </w:r>
      <w:r>
        <w:rPr>
          <w:rFonts w:hint="eastAsia" w:ascii="宋体" w:hAnsi="宋体" w:cs="宋体"/>
          <w:color w:val="auto"/>
          <w:kern w:val="0"/>
          <w:sz w:val="24"/>
          <w:szCs w:val="24"/>
          <w:highlight w:val="none"/>
          <w:lang w:eastAsia="zh-CN"/>
        </w:rPr>
        <w:t>政采云平台（https://www.zcygov.cn/）</w:t>
      </w:r>
      <w:r>
        <w:rPr>
          <w:rFonts w:hint="eastAsia" w:ascii="宋体" w:hAnsi="宋体" w:cs="宋体"/>
          <w:color w:val="auto"/>
          <w:kern w:val="0"/>
          <w:sz w:val="24"/>
          <w:szCs w:val="24"/>
          <w:highlight w:val="none"/>
        </w:rPr>
        <w:t>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0160EA72">
      <w:pPr>
        <w:pStyle w:val="47"/>
        <w:widowControl/>
        <w:spacing w:line="560" w:lineRule="exact"/>
        <w:ind w:firstLine="414"/>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(4)供应商应当在投标截止时间前，将生成的“电子加密响应文件”上传至“政府采购云平台”，投标截止时间以后上传的响应文件将被“政府采购云平台”拒收；</w:t>
      </w:r>
    </w:p>
    <w:p w14:paraId="7E0EBE60">
      <w:pPr>
        <w:pStyle w:val="47"/>
        <w:spacing w:line="560" w:lineRule="exact"/>
        <w:ind w:firstLine="414"/>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供应商在投标前须提前配置好电脑浏览器（建议使用360浏览器或谷歌浏览器），开标时登录政采云平台，在“项目采购－开标评审”功能中，使用制作加密响应文件电子标书的CA锁进行解密及报价确认。本项目响应文件的解密时间定为30分钟内，若供应商在规定时间内因自身原因导致无法正常解密，后果由供应商自行承担；</w:t>
      </w:r>
    </w:p>
    <w:p w14:paraId="16AA541A">
      <w:pPr>
        <w:pStyle w:val="47"/>
        <w:spacing w:line="560" w:lineRule="exact"/>
        <w:ind w:firstLine="41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kern w:val="0"/>
          <w:sz w:val="24"/>
          <w:szCs w:val="24"/>
          <w:highlight w:val="none"/>
        </w:rPr>
        <w:t>供应商登录政采云平台，在开标时间后30分钟内用“项目采购－开标评审”功能进行解密响应文件，若供应商在规定时间内未按时解密的，视为响应无效。解密与加密响应文件须使用同一个 CA。</w:t>
      </w:r>
    </w:p>
    <w:p w14:paraId="1F6925C4">
      <w:pPr>
        <w:pStyle w:val="87"/>
        <w:snapToGrid w:val="0"/>
        <w:spacing w:line="560" w:lineRule="exact"/>
        <w:jc w:val="both"/>
        <w:rPr>
          <w:rFonts w:hint="eastAsia" w:ascii="宋体" w:hAnsi="宋体" w:cs="宋体"/>
          <w:color w:val="auto"/>
          <w:szCs w:val="24"/>
          <w:highlight w:val="none"/>
        </w:rPr>
      </w:pPr>
      <w:r>
        <w:rPr>
          <w:rFonts w:hint="eastAsia" w:ascii="宋体" w:hAnsi="宋体" w:cs="宋体"/>
          <w:color w:val="auto"/>
          <w:szCs w:val="24"/>
          <w:highlight w:val="none"/>
        </w:rPr>
        <w:t>特别提示：</w:t>
      </w:r>
    </w:p>
    <w:p w14:paraId="1FDA8C26">
      <w:pPr>
        <w:pStyle w:val="87"/>
        <w:snapToGrid w:val="0"/>
        <w:spacing w:line="560" w:lineRule="exact"/>
        <w:jc w:val="both"/>
        <w:rPr>
          <w:rFonts w:hint="eastAsia" w:ascii="宋体" w:hAnsi="宋体" w:cs="宋体"/>
          <w:color w:val="auto"/>
          <w:szCs w:val="24"/>
          <w:highlight w:val="none"/>
        </w:rPr>
      </w:pPr>
      <w:r>
        <w:rPr>
          <w:rFonts w:hint="eastAsia" w:ascii="宋体" w:hAnsi="宋体" w:cs="宋体"/>
          <w:color w:val="auto"/>
          <w:szCs w:val="24"/>
          <w:highlight w:val="none"/>
        </w:rPr>
        <w:t>1、采购限额标准以上，200万元以下的货物和服务采购项目、400万元以下的工程采购项目，适宜由中小企业提供的，采购人应当专门面向中小企业采购。</w:t>
      </w:r>
    </w:p>
    <w:p w14:paraId="1E3F4D45">
      <w:pPr>
        <w:pStyle w:val="87"/>
        <w:snapToGrid w:val="0"/>
        <w:spacing w:line="560" w:lineRule="exact"/>
        <w:jc w:val="both"/>
        <w:rPr>
          <w:rFonts w:hint="eastAsia" w:ascii="宋体" w:hAnsi="宋体" w:cs="宋体"/>
          <w:color w:val="auto"/>
          <w:szCs w:val="24"/>
          <w:highlight w:val="none"/>
        </w:rPr>
      </w:pPr>
      <w:r>
        <w:rPr>
          <w:rFonts w:hint="eastAsia" w:ascii="宋体" w:hAnsi="宋体" w:cs="宋体"/>
          <w:color w:val="auto"/>
          <w:szCs w:val="24"/>
          <w:highlight w:val="none"/>
        </w:rPr>
        <w:t>2、超过200万元的货物和服务采购项目，预留该部分采购项目预算总额的30%以上专门面向中小企业采购，其中预留给小微企业的比例不低于60%。</w:t>
      </w:r>
    </w:p>
    <w:p w14:paraId="7D842422">
      <w:pPr>
        <w:pStyle w:val="87"/>
        <w:snapToGrid w:val="0"/>
        <w:spacing w:line="560" w:lineRule="exact"/>
        <w:jc w:val="both"/>
        <w:rPr>
          <w:rFonts w:hint="eastAsia" w:ascii="宋体" w:hAnsi="宋体" w:cs="宋体"/>
          <w:color w:val="auto"/>
          <w:szCs w:val="24"/>
          <w:highlight w:val="none"/>
        </w:rPr>
      </w:pPr>
      <w:r>
        <w:rPr>
          <w:rFonts w:hint="eastAsia" w:ascii="宋体" w:hAnsi="宋体" w:cs="宋体"/>
          <w:color w:val="auto"/>
          <w:szCs w:val="24"/>
          <w:highlight w:val="none"/>
        </w:rPr>
        <w:t>3、超过400万元的工程采购项目中适宜由中小企业提供的，预留该部分采购项目预算总额的40%以上专门面向中小企业采购，其中预留给小微企业的比例不低于60%。</w:t>
      </w:r>
    </w:p>
    <w:p w14:paraId="516B24E9">
      <w:pPr>
        <w:pStyle w:val="87"/>
        <w:snapToGrid w:val="0"/>
        <w:spacing w:line="560" w:lineRule="exact"/>
        <w:jc w:val="both"/>
        <w:rPr>
          <w:rFonts w:hint="eastAsia" w:ascii="宋体" w:hAnsi="宋体" w:cs="宋体"/>
          <w:color w:val="auto"/>
          <w:szCs w:val="24"/>
          <w:highlight w:val="none"/>
        </w:rPr>
      </w:pPr>
      <w:r>
        <w:rPr>
          <w:rFonts w:hint="eastAsia" w:ascii="宋体" w:hAnsi="宋体" w:cs="宋体"/>
          <w:color w:val="auto"/>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673E287">
      <w:pPr>
        <w:pStyle w:val="87"/>
        <w:snapToGrid w:val="0"/>
        <w:spacing w:line="560" w:lineRule="exact"/>
        <w:jc w:val="both"/>
        <w:rPr>
          <w:rFonts w:hint="eastAsia" w:ascii="宋体" w:hAnsi="宋体" w:cs="宋体"/>
          <w:color w:val="auto"/>
          <w:szCs w:val="24"/>
          <w:highlight w:val="none"/>
        </w:rPr>
      </w:pPr>
      <w:r>
        <w:rPr>
          <w:rFonts w:hint="eastAsia" w:ascii="宋体" w:hAnsi="宋体" w:cs="宋体"/>
          <w:color w:val="auto"/>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6C60D63">
      <w:pPr>
        <w:adjustRightInd/>
        <w:snapToGrid/>
        <w:spacing w:line="560" w:lineRule="exact"/>
        <w:textAlignment w:val="auto"/>
        <w:rPr>
          <w:rFonts w:hint="eastAsia" w:ascii="宋体" w:hAnsi="宋体" w:eastAsia="宋体" w:cs="宋体"/>
          <w:b/>
          <w:bCs/>
          <w:color w:val="auto"/>
          <w:sz w:val="24"/>
          <w:szCs w:val="24"/>
          <w:highlight w:val="none"/>
          <w:lang w:eastAsia="zh-CN"/>
        </w:rPr>
      </w:pPr>
      <w:bookmarkStart w:id="23" w:name="_Toc35393796"/>
      <w:bookmarkStart w:id="24" w:name="_Toc28359085"/>
      <w:bookmarkStart w:id="25" w:name="_Toc28359008"/>
      <w:bookmarkStart w:id="26" w:name="_Toc35393627"/>
      <w:r>
        <w:rPr>
          <w:rFonts w:hint="eastAsia" w:ascii="宋体" w:hAnsi="宋体" w:eastAsia="宋体" w:cs="宋体"/>
          <w:b/>
          <w:bCs/>
          <w:color w:val="auto"/>
          <w:sz w:val="24"/>
          <w:szCs w:val="24"/>
          <w:highlight w:val="none"/>
          <w:lang w:eastAsia="zh-CN"/>
        </w:rPr>
        <w:t>七、对本次招标提出询问，请按以下方式联系</w:t>
      </w:r>
      <w:bookmarkEnd w:id="23"/>
      <w:bookmarkEnd w:id="24"/>
      <w:bookmarkEnd w:id="25"/>
      <w:bookmarkEnd w:id="26"/>
      <w:r>
        <w:rPr>
          <w:rFonts w:hint="eastAsia" w:ascii="宋体" w:hAnsi="宋体" w:eastAsia="宋体" w:cs="宋体"/>
          <w:b/>
          <w:bCs/>
          <w:color w:val="auto"/>
          <w:sz w:val="24"/>
          <w:szCs w:val="24"/>
          <w:highlight w:val="none"/>
          <w:lang w:eastAsia="zh-CN"/>
        </w:rPr>
        <w:t>：</w:t>
      </w:r>
    </w:p>
    <w:p w14:paraId="26FC7F95">
      <w:pPr>
        <w:pStyle w:val="87"/>
        <w:snapToGrid w:val="0"/>
        <w:spacing w:line="560" w:lineRule="exact"/>
        <w:jc w:val="both"/>
        <w:rPr>
          <w:rFonts w:hint="eastAsia" w:ascii="宋体" w:hAnsi="宋体" w:cs="宋体"/>
          <w:color w:val="auto"/>
          <w:szCs w:val="24"/>
          <w:highlight w:val="none"/>
        </w:rPr>
      </w:pPr>
      <w:r>
        <w:rPr>
          <w:rFonts w:hint="eastAsia" w:ascii="宋体" w:hAnsi="宋体" w:cs="宋体"/>
          <w:color w:val="auto"/>
          <w:szCs w:val="24"/>
          <w:highlight w:val="none"/>
        </w:rPr>
        <w:t>1.采购人信息</w:t>
      </w:r>
    </w:p>
    <w:p w14:paraId="3FB75145">
      <w:pPr>
        <w:pStyle w:val="87"/>
        <w:snapToGrid w:val="0"/>
        <w:spacing w:line="560" w:lineRule="exact"/>
        <w:jc w:val="both"/>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采 购 人：</w:t>
      </w:r>
      <w:r>
        <w:rPr>
          <w:rFonts w:hint="eastAsia" w:ascii="宋体" w:hAnsi="宋体" w:cs="宋体"/>
          <w:color w:val="auto"/>
          <w:szCs w:val="24"/>
          <w:highlight w:val="none"/>
          <w:lang w:eastAsia="zh-CN"/>
        </w:rPr>
        <w:t>新疆职业大学</w:t>
      </w:r>
    </w:p>
    <w:p w14:paraId="76B58B3F">
      <w:pPr>
        <w:pStyle w:val="87"/>
        <w:snapToGrid w:val="0"/>
        <w:spacing w:line="560" w:lineRule="exact"/>
        <w:jc w:val="both"/>
        <w:rPr>
          <w:rFonts w:hint="eastAsia" w:ascii="宋体" w:hAnsi="宋体" w:cs="宋体"/>
          <w:color w:val="auto"/>
          <w:szCs w:val="24"/>
          <w:highlight w:val="none"/>
        </w:rPr>
      </w:pPr>
      <w:r>
        <w:rPr>
          <w:rFonts w:hint="eastAsia" w:ascii="宋体" w:hAnsi="宋体" w:cs="宋体"/>
          <w:color w:val="auto"/>
          <w:szCs w:val="24"/>
          <w:highlight w:val="none"/>
        </w:rPr>
        <w:t>地    址：</w:t>
      </w:r>
      <w:r>
        <w:rPr>
          <w:rFonts w:hint="eastAsia" w:ascii="宋体" w:hAnsi="宋体" w:cs="宋体"/>
          <w:color w:val="auto"/>
          <w:szCs w:val="24"/>
          <w:highlight w:val="none"/>
          <w:lang w:eastAsia="zh-CN"/>
        </w:rPr>
        <w:t>新疆乌鲁木齐市达坂城区文达路1号</w:t>
      </w:r>
    </w:p>
    <w:p w14:paraId="2DABDF28">
      <w:pPr>
        <w:pStyle w:val="87"/>
        <w:snapToGrid w:val="0"/>
        <w:spacing w:line="560" w:lineRule="exact"/>
        <w:jc w:val="both"/>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联 系 人：</w:t>
      </w:r>
      <w:r>
        <w:rPr>
          <w:rFonts w:hint="eastAsia" w:ascii="宋体" w:hAnsi="宋体" w:cs="宋体"/>
          <w:color w:val="auto"/>
          <w:szCs w:val="24"/>
          <w:highlight w:val="none"/>
          <w:lang w:val="en-US" w:eastAsia="zh-CN"/>
        </w:rPr>
        <w:t>马世磊</w:t>
      </w:r>
    </w:p>
    <w:p w14:paraId="359CD155">
      <w:pPr>
        <w:pStyle w:val="87"/>
        <w:snapToGrid w:val="0"/>
        <w:spacing w:line="560" w:lineRule="exact"/>
        <w:jc w:val="both"/>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联系电话：</w:t>
      </w:r>
      <w:r>
        <w:rPr>
          <w:rFonts w:hint="eastAsia" w:ascii="宋体" w:hAnsi="宋体" w:cs="宋体"/>
          <w:color w:val="auto"/>
          <w:szCs w:val="24"/>
          <w:highlight w:val="none"/>
          <w:lang w:val="en-US" w:eastAsia="zh-CN"/>
        </w:rPr>
        <w:t>0991-3791767</w:t>
      </w:r>
    </w:p>
    <w:p w14:paraId="5C176E83">
      <w:pPr>
        <w:pStyle w:val="87"/>
        <w:snapToGrid w:val="0"/>
        <w:spacing w:line="560" w:lineRule="exact"/>
        <w:jc w:val="both"/>
        <w:rPr>
          <w:rFonts w:hint="eastAsia" w:ascii="宋体" w:hAnsi="宋体" w:cs="宋体"/>
          <w:color w:val="auto"/>
          <w:szCs w:val="24"/>
          <w:highlight w:val="none"/>
        </w:rPr>
      </w:pPr>
      <w:r>
        <w:rPr>
          <w:rFonts w:hint="eastAsia" w:ascii="宋体" w:hAnsi="宋体" w:cs="宋体"/>
          <w:color w:val="auto"/>
          <w:szCs w:val="24"/>
          <w:highlight w:val="none"/>
        </w:rPr>
        <w:t>2.采购代理机构：新疆金正建设工程管理有限公司</w:t>
      </w:r>
    </w:p>
    <w:p w14:paraId="09F7801E">
      <w:pPr>
        <w:pStyle w:val="87"/>
        <w:snapToGrid w:val="0"/>
        <w:spacing w:line="560" w:lineRule="exact"/>
        <w:jc w:val="both"/>
        <w:rPr>
          <w:rFonts w:hint="eastAsia" w:ascii="宋体" w:hAnsi="宋体" w:cs="宋体"/>
          <w:color w:val="auto"/>
          <w:szCs w:val="24"/>
          <w:highlight w:val="none"/>
        </w:rPr>
      </w:pPr>
      <w:r>
        <w:rPr>
          <w:rFonts w:hint="eastAsia" w:ascii="宋体" w:hAnsi="宋体" w:cs="宋体"/>
          <w:color w:val="auto"/>
          <w:szCs w:val="24"/>
          <w:highlight w:val="none"/>
        </w:rPr>
        <w:t xml:space="preserve">地    址：乌鲁木齐市水磨沟区南湖南路 66 号水清木华精品社区 A 栋 6 层 </w:t>
      </w:r>
    </w:p>
    <w:p w14:paraId="76FAC148">
      <w:pPr>
        <w:pStyle w:val="87"/>
        <w:snapToGrid w:val="0"/>
        <w:spacing w:line="560" w:lineRule="exact"/>
        <w:jc w:val="both"/>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联 系 人：</w:t>
      </w:r>
      <w:r>
        <w:rPr>
          <w:rFonts w:hint="eastAsia" w:ascii="宋体" w:hAnsi="宋体" w:cs="宋体"/>
          <w:color w:val="auto"/>
          <w:szCs w:val="24"/>
          <w:highlight w:val="none"/>
          <w:lang w:eastAsia="zh-CN"/>
        </w:rPr>
        <w:t>马祥、王冰寒、施霞</w:t>
      </w:r>
    </w:p>
    <w:p w14:paraId="0CD5E4D0">
      <w:pPr>
        <w:pStyle w:val="87"/>
        <w:snapToGrid w:val="0"/>
        <w:spacing w:line="560" w:lineRule="exact"/>
        <w:jc w:val="both"/>
        <w:rPr>
          <w:rFonts w:hint="eastAsia" w:ascii="宋体" w:hAnsi="宋体" w:cs="宋体"/>
          <w:color w:val="auto"/>
          <w:szCs w:val="24"/>
          <w:highlight w:val="none"/>
        </w:rPr>
        <w:sectPr>
          <w:footerReference r:id="rId4" w:type="default"/>
          <w:pgSz w:w="11906" w:h="16839"/>
          <w:pgMar w:top="1429" w:right="1553" w:bottom="1378" w:left="1786" w:header="907" w:footer="1134" w:gutter="0"/>
          <w:pgNumType w:start="1"/>
          <w:cols w:space="720" w:num="1"/>
        </w:sectPr>
      </w:pPr>
      <w:r>
        <w:rPr>
          <w:rFonts w:hint="eastAsia" w:ascii="宋体" w:hAnsi="宋体" w:cs="宋体"/>
          <w:color w:val="auto"/>
          <w:szCs w:val="24"/>
          <w:highlight w:val="none"/>
        </w:rPr>
        <w:t>联系电话：</w:t>
      </w:r>
      <w:r>
        <w:rPr>
          <w:rFonts w:hint="eastAsia" w:ascii="宋体" w:hAnsi="宋体" w:cs="宋体"/>
          <w:color w:val="auto"/>
          <w:szCs w:val="24"/>
          <w:highlight w:val="none"/>
          <w:lang w:eastAsia="zh-CN"/>
        </w:rPr>
        <w:t>18149898825、13609921042</w:t>
      </w:r>
    </w:p>
    <w:p w14:paraId="04B7CA92">
      <w:pPr>
        <w:pStyle w:val="11"/>
        <w:spacing w:before="155" w:line="219" w:lineRule="auto"/>
        <w:jc w:val="center"/>
        <w:outlineLvl w:val="0"/>
        <w:rPr>
          <w:rFonts w:hint="eastAsia"/>
          <w:color w:val="auto"/>
          <w:highlight w:val="none"/>
          <w:lang w:eastAsia="zh-CN"/>
        </w:rPr>
      </w:pPr>
      <w:bookmarkStart w:id="27" w:name="bookmark5"/>
      <w:bookmarkEnd w:id="27"/>
      <w:bookmarkStart w:id="28" w:name="bookmark3"/>
      <w:bookmarkEnd w:id="28"/>
      <w:bookmarkStart w:id="29" w:name="_Toc7611"/>
      <w:bookmarkStart w:id="30" w:name="_Toc20994"/>
      <w:r>
        <w:rPr>
          <w:rFonts w:hint="eastAsia"/>
          <w:b/>
          <w:bCs/>
          <w:color w:val="auto"/>
          <w:spacing w:val="-3"/>
          <w:highlight w:val="none"/>
          <w:lang w:eastAsia="zh-CN"/>
        </w:rPr>
        <w:t xml:space="preserve">第一章 </w:t>
      </w:r>
      <w:bookmarkEnd w:id="29"/>
      <w:r>
        <w:rPr>
          <w:rFonts w:hint="eastAsia"/>
          <w:b/>
          <w:bCs/>
          <w:color w:val="auto"/>
          <w:highlight w:val="none"/>
          <w:lang w:eastAsia="zh-CN"/>
        </w:rPr>
        <w:t>投标人须知</w:t>
      </w:r>
      <w:bookmarkEnd w:id="30"/>
    </w:p>
    <w:p w14:paraId="19E2EFB3">
      <w:pPr>
        <w:pStyle w:val="3"/>
        <w:spacing w:before="0" w:after="0" w:line="360" w:lineRule="auto"/>
        <w:jc w:val="center"/>
        <w:rPr>
          <w:rFonts w:hint="eastAsia" w:ascii="宋体" w:hAnsi="宋体" w:eastAsia="宋体" w:cs="宋体"/>
          <w:color w:val="auto"/>
          <w:sz w:val="24"/>
          <w:szCs w:val="24"/>
          <w:highlight w:val="none"/>
        </w:rPr>
      </w:pPr>
      <w:bookmarkStart w:id="31" w:name="_Toc17217"/>
      <w:bookmarkStart w:id="32" w:name="_Toc217446032"/>
      <w:bookmarkStart w:id="33" w:name="_Toc213397010"/>
      <w:bookmarkStart w:id="34" w:name="_Toc189727030"/>
      <w:bookmarkStart w:id="35" w:name="_Toc213496268"/>
      <w:bookmarkStart w:id="36" w:name="_Toc213396946"/>
      <w:bookmarkStart w:id="37" w:name="_Toc213396760"/>
      <w:r>
        <w:rPr>
          <w:rFonts w:hint="eastAsia" w:ascii="宋体" w:hAnsi="宋体" w:eastAsia="宋体" w:cs="宋体"/>
          <w:color w:val="auto"/>
          <w:sz w:val="24"/>
          <w:szCs w:val="24"/>
          <w:highlight w:val="none"/>
        </w:rPr>
        <w:t>一、</w:t>
      </w:r>
      <w:bookmarkEnd w:id="31"/>
      <w:r>
        <w:rPr>
          <w:rFonts w:hint="eastAsia" w:ascii="宋体" w:hAnsi="宋体" w:eastAsia="宋体" w:cs="宋体"/>
          <w:color w:val="auto"/>
          <w:sz w:val="24"/>
          <w:szCs w:val="24"/>
          <w:highlight w:val="none"/>
        </w:rPr>
        <w:t>投标人须知前附表</w:t>
      </w:r>
    </w:p>
    <w:bookmarkEnd w:id="32"/>
    <w:bookmarkEnd w:id="33"/>
    <w:bookmarkEnd w:id="34"/>
    <w:bookmarkEnd w:id="35"/>
    <w:bookmarkEnd w:id="36"/>
    <w:bookmarkEnd w:id="37"/>
    <w:tbl>
      <w:tblPr>
        <w:tblStyle w:val="36"/>
        <w:tblW w:w="8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534"/>
        <w:gridCol w:w="1351"/>
        <w:gridCol w:w="6765"/>
      </w:tblGrid>
      <w:tr w14:paraId="2B22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2" w:hRule="atLeast"/>
          <w:jc w:val="center"/>
        </w:trPr>
        <w:tc>
          <w:tcPr>
            <w:tcW w:w="534" w:type="dxa"/>
            <w:shd w:val="clear" w:color="auto" w:fill="FFFFFF" w:themeFill="background1"/>
            <w:vAlign w:val="center"/>
          </w:tcPr>
          <w:p w14:paraId="3212636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51" w:type="dxa"/>
            <w:shd w:val="clear" w:color="auto" w:fill="FFFFFF" w:themeFill="background1"/>
            <w:vAlign w:val="center"/>
          </w:tcPr>
          <w:p w14:paraId="067BEA78">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 称</w:t>
            </w:r>
          </w:p>
        </w:tc>
        <w:tc>
          <w:tcPr>
            <w:tcW w:w="6765" w:type="dxa"/>
            <w:shd w:val="clear" w:color="auto" w:fill="FFFFFF" w:themeFill="background1"/>
            <w:vAlign w:val="center"/>
          </w:tcPr>
          <w:p w14:paraId="5ADEA9BA">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6331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85" w:hRule="atLeast"/>
          <w:jc w:val="center"/>
        </w:trPr>
        <w:tc>
          <w:tcPr>
            <w:tcW w:w="534" w:type="dxa"/>
            <w:shd w:val="clear" w:color="auto" w:fill="FFFFFF" w:themeFill="background1"/>
            <w:vAlign w:val="center"/>
          </w:tcPr>
          <w:p w14:paraId="56E154B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1" w:type="dxa"/>
            <w:shd w:val="clear" w:color="auto" w:fill="FFFFFF" w:themeFill="background1"/>
            <w:vAlign w:val="center"/>
          </w:tcPr>
          <w:p w14:paraId="1D7C0D1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765" w:type="dxa"/>
            <w:shd w:val="clear" w:color="auto" w:fill="FFFFFF" w:themeFill="background1"/>
            <w:vAlign w:val="center"/>
          </w:tcPr>
          <w:p w14:paraId="3B0EAA3B">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名称：新疆职业大学</w:t>
            </w:r>
          </w:p>
          <w:p w14:paraId="3CA57DD7">
            <w:pPr>
              <w:pStyle w:val="86"/>
              <w:widowControl/>
              <w:adjustRightInd/>
              <w:spacing w:line="360" w:lineRule="auto"/>
              <w:jc w:val="left"/>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联系人：</w:t>
            </w:r>
            <w:r>
              <w:rPr>
                <w:rFonts w:hint="eastAsia" w:hAnsi="宋体" w:cs="宋体"/>
                <w:color w:val="auto"/>
                <w:sz w:val="24"/>
                <w:szCs w:val="24"/>
                <w:highlight w:val="none"/>
                <w:lang w:val="en-US" w:eastAsia="zh-CN"/>
              </w:rPr>
              <w:t>马世磊</w:t>
            </w:r>
          </w:p>
          <w:p w14:paraId="33D963DE">
            <w:pPr>
              <w:pStyle w:val="86"/>
              <w:widowControl/>
              <w:adjustRightInd/>
              <w:spacing w:line="360" w:lineRule="auto"/>
              <w:jc w:val="left"/>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联系电话：</w:t>
            </w:r>
            <w:r>
              <w:rPr>
                <w:rFonts w:hint="eastAsia" w:hAnsi="宋体" w:cs="宋体"/>
                <w:color w:val="auto"/>
                <w:sz w:val="24"/>
                <w:szCs w:val="24"/>
                <w:highlight w:val="none"/>
                <w:lang w:val="en-US" w:eastAsia="zh-CN"/>
              </w:rPr>
              <w:t>0991-3791767</w:t>
            </w:r>
          </w:p>
          <w:p w14:paraId="35D90F6B">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地址：新疆乌鲁木齐市达坂城区文达路1号</w:t>
            </w:r>
          </w:p>
        </w:tc>
      </w:tr>
      <w:tr w14:paraId="0F1B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57" w:hRule="atLeast"/>
          <w:jc w:val="center"/>
        </w:trPr>
        <w:tc>
          <w:tcPr>
            <w:tcW w:w="534" w:type="dxa"/>
            <w:shd w:val="clear" w:color="auto" w:fill="FFFFFF" w:themeFill="background1"/>
            <w:vAlign w:val="center"/>
          </w:tcPr>
          <w:p w14:paraId="771F33D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51" w:type="dxa"/>
            <w:shd w:val="clear" w:color="auto" w:fill="FFFFFF" w:themeFill="background1"/>
            <w:vAlign w:val="center"/>
          </w:tcPr>
          <w:p w14:paraId="0315EE9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765" w:type="dxa"/>
            <w:shd w:val="clear" w:color="auto" w:fill="FFFFFF" w:themeFill="background1"/>
            <w:vAlign w:val="center"/>
          </w:tcPr>
          <w:p w14:paraId="7B6FFFEE">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名称：新疆金正建设工程管理有限公司</w:t>
            </w:r>
          </w:p>
          <w:p w14:paraId="12BA5A2F">
            <w:pPr>
              <w:pStyle w:val="86"/>
              <w:widowControl/>
              <w:adjustRightInd/>
              <w:spacing w:line="360" w:lineRule="auto"/>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项目联系人：</w:t>
            </w:r>
            <w:r>
              <w:rPr>
                <w:rFonts w:hint="eastAsia" w:hAnsi="宋体" w:cs="宋体"/>
                <w:color w:val="auto"/>
                <w:sz w:val="24"/>
                <w:szCs w:val="24"/>
                <w:highlight w:val="none"/>
                <w:lang w:eastAsia="zh-CN"/>
              </w:rPr>
              <w:t>马祥、王冰寒、施霞</w:t>
            </w:r>
          </w:p>
          <w:p w14:paraId="122265EA">
            <w:pPr>
              <w:keepNext/>
              <w:keepLine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联系电话：18149898825、13609921042、</w:t>
            </w:r>
          </w:p>
          <w:p w14:paraId="4CAC7542">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地址：乌鲁木齐市水磨沟区南湖南路 66 号水清木华精品社区 A 栋 6 层</w:t>
            </w:r>
          </w:p>
        </w:tc>
      </w:tr>
      <w:tr w14:paraId="7C61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1" w:hRule="atLeast"/>
          <w:jc w:val="center"/>
        </w:trPr>
        <w:tc>
          <w:tcPr>
            <w:tcW w:w="534" w:type="dxa"/>
            <w:shd w:val="clear" w:color="auto" w:fill="FFFFFF" w:themeFill="background1"/>
            <w:vAlign w:val="center"/>
          </w:tcPr>
          <w:p w14:paraId="24AA199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51" w:type="dxa"/>
            <w:shd w:val="clear" w:color="auto" w:fill="FFFFFF" w:themeFill="background1"/>
            <w:vAlign w:val="center"/>
          </w:tcPr>
          <w:p w14:paraId="2CA3766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765" w:type="dxa"/>
            <w:shd w:val="clear" w:color="auto" w:fill="FFFFFF" w:themeFill="background1"/>
            <w:vAlign w:val="center"/>
          </w:tcPr>
          <w:p w14:paraId="160296D4">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新疆职业大学高压电气设备招标预防性试验(无故障检测)项目</w:t>
            </w:r>
          </w:p>
        </w:tc>
      </w:tr>
      <w:tr w14:paraId="3A62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1" w:hRule="atLeast"/>
          <w:jc w:val="center"/>
        </w:trPr>
        <w:tc>
          <w:tcPr>
            <w:tcW w:w="534" w:type="dxa"/>
            <w:shd w:val="clear" w:color="auto" w:fill="FFFFFF" w:themeFill="background1"/>
            <w:vAlign w:val="center"/>
          </w:tcPr>
          <w:p w14:paraId="304D00E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51" w:type="dxa"/>
            <w:shd w:val="clear" w:color="auto" w:fill="FFFFFF" w:themeFill="background1"/>
            <w:vAlign w:val="center"/>
          </w:tcPr>
          <w:p w14:paraId="15280DF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765" w:type="dxa"/>
            <w:shd w:val="clear" w:color="auto" w:fill="FFFFFF" w:themeFill="background1"/>
            <w:vAlign w:val="center"/>
          </w:tcPr>
          <w:p w14:paraId="3CAC55C2">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lang w:eastAsia="zh-CN"/>
              </w:rPr>
              <w:t>金采招字[2026]XJJZC-068</w:t>
            </w:r>
          </w:p>
        </w:tc>
      </w:tr>
      <w:tr w14:paraId="0F6D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jc w:val="center"/>
        </w:trPr>
        <w:tc>
          <w:tcPr>
            <w:tcW w:w="534" w:type="dxa"/>
            <w:shd w:val="clear" w:color="auto" w:fill="FFFFFF" w:themeFill="background1"/>
            <w:vAlign w:val="center"/>
          </w:tcPr>
          <w:p w14:paraId="7982C41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51" w:type="dxa"/>
            <w:shd w:val="clear" w:color="auto" w:fill="FFFFFF" w:themeFill="background1"/>
            <w:vAlign w:val="center"/>
          </w:tcPr>
          <w:p w14:paraId="28A93D0F">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预算金额</w:t>
            </w:r>
          </w:p>
        </w:tc>
        <w:tc>
          <w:tcPr>
            <w:tcW w:w="6765" w:type="dxa"/>
            <w:shd w:val="clear" w:color="auto" w:fill="FFFFFF" w:themeFill="background1"/>
            <w:vAlign w:val="center"/>
          </w:tcPr>
          <w:p w14:paraId="7F9843C9">
            <w:pPr>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495000.00</w:t>
            </w:r>
            <w:r>
              <w:rPr>
                <w:rFonts w:hint="eastAsia" w:ascii="宋体" w:hAnsi="宋体" w:eastAsia="宋体" w:cs="宋体"/>
                <w:color w:val="auto"/>
                <w:sz w:val="24"/>
                <w:szCs w:val="24"/>
                <w:highlight w:val="none"/>
                <w:lang w:eastAsia="zh-CN"/>
              </w:rPr>
              <w:t>元</w:t>
            </w:r>
          </w:p>
        </w:tc>
      </w:tr>
      <w:tr w14:paraId="54E7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52" w:hRule="atLeast"/>
          <w:jc w:val="center"/>
        </w:trPr>
        <w:tc>
          <w:tcPr>
            <w:tcW w:w="534" w:type="dxa"/>
            <w:shd w:val="clear" w:color="auto" w:fill="FFFFFF" w:themeFill="background1"/>
            <w:vAlign w:val="center"/>
          </w:tcPr>
          <w:p w14:paraId="720780F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51" w:type="dxa"/>
            <w:shd w:val="clear" w:color="auto" w:fill="FFFFFF" w:themeFill="background1"/>
            <w:vAlign w:val="center"/>
          </w:tcPr>
          <w:p w14:paraId="24EA5AD8">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最高限价</w:t>
            </w:r>
          </w:p>
        </w:tc>
        <w:tc>
          <w:tcPr>
            <w:tcW w:w="6765" w:type="dxa"/>
            <w:shd w:val="clear" w:color="auto" w:fill="FFFFFF" w:themeFill="background1"/>
            <w:vAlign w:val="center"/>
          </w:tcPr>
          <w:p w14:paraId="0CCBF2FE">
            <w:p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495000.00</w:t>
            </w:r>
            <w:r>
              <w:rPr>
                <w:rFonts w:hint="eastAsia" w:ascii="宋体" w:hAnsi="宋体" w:eastAsia="宋体" w:cs="宋体"/>
                <w:color w:val="auto"/>
                <w:sz w:val="24"/>
                <w:szCs w:val="24"/>
                <w:highlight w:val="none"/>
                <w:lang w:eastAsia="zh-CN"/>
              </w:rPr>
              <w:t>元</w:t>
            </w:r>
          </w:p>
        </w:tc>
      </w:tr>
      <w:tr w14:paraId="6198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jc w:val="center"/>
        </w:trPr>
        <w:tc>
          <w:tcPr>
            <w:tcW w:w="534" w:type="dxa"/>
            <w:shd w:val="clear" w:color="auto" w:fill="FFFFFF" w:themeFill="background1"/>
            <w:vAlign w:val="center"/>
          </w:tcPr>
          <w:p w14:paraId="476D271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51" w:type="dxa"/>
            <w:shd w:val="clear" w:color="auto" w:fill="FFFFFF" w:themeFill="background1"/>
            <w:vAlign w:val="center"/>
          </w:tcPr>
          <w:p w14:paraId="41811C28">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服务范围</w:t>
            </w:r>
          </w:p>
        </w:tc>
        <w:tc>
          <w:tcPr>
            <w:tcW w:w="6765" w:type="dxa"/>
            <w:shd w:val="clear" w:color="auto" w:fill="FFFFFF" w:themeFill="background1"/>
            <w:vAlign w:val="center"/>
          </w:tcPr>
          <w:p w14:paraId="112207F8">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达坂城校区35kV及10kV变配电室是全校教学、科研及师生生活用电的核心保障设施。为严格执行国家《电力设备预防性试验规程》，及时排查消除设备安全隐患，确保供电系统安全、稳定、可靠运行，现需对校区内35kV配电室、所有10kV配电室及配套电气设备开展全面预防性试验和继电保护校验工作</w:t>
            </w:r>
            <w:r>
              <w:rPr>
                <w:rFonts w:hint="eastAsia" w:ascii="宋体" w:hAnsi="宋体" w:eastAsia="宋体" w:cs="宋体"/>
                <w:color w:val="auto"/>
                <w:sz w:val="24"/>
                <w:szCs w:val="24"/>
                <w:highlight w:val="none"/>
                <w:lang w:eastAsia="zh-CN"/>
              </w:rPr>
              <w:t>。</w:t>
            </w:r>
          </w:p>
        </w:tc>
      </w:tr>
      <w:tr w14:paraId="5FCE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56" w:hRule="atLeast"/>
          <w:jc w:val="center"/>
        </w:trPr>
        <w:tc>
          <w:tcPr>
            <w:tcW w:w="534" w:type="dxa"/>
            <w:shd w:val="clear" w:color="auto" w:fill="FFFFFF" w:themeFill="background1"/>
            <w:vAlign w:val="center"/>
          </w:tcPr>
          <w:p w14:paraId="31D8F93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351" w:type="dxa"/>
            <w:shd w:val="clear" w:color="auto" w:fill="FFFFFF" w:themeFill="background1"/>
            <w:vAlign w:val="center"/>
          </w:tcPr>
          <w:p w14:paraId="6BDD9330">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服务期</w:t>
            </w:r>
          </w:p>
        </w:tc>
        <w:tc>
          <w:tcPr>
            <w:tcW w:w="6765" w:type="dxa"/>
            <w:shd w:val="clear" w:color="auto" w:fill="FFFFFF" w:themeFill="background1"/>
            <w:vAlign w:val="center"/>
          </w:tcPr>
          <w:p w14:paraId="2E647AF8">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自合同签订之日起45日内完成检测、提供各项检测报告</w:t>
            </w:r>
          </w:p>
        </w:tc>
      </w:tr>
      <w:tr w14:paraId="1C7F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23" w:hRule="atLeast"/>
          <w:jc w:val="center"/>
        </w:trPr>
        <w:tc>
          <w:tcPr>
            <w:tcW w:w="534" w:type="dxa"/>
            <w:shd w:val="clear" w:color="auto" w:fill="FFFFFF" w:themeFill="background1"/>
            <w:vAlign w:val="center"/>
          </w:tcPr>
          <w:p w14:paraId="08F48CD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351" w:type="dxa"/>
            <w:shd w:val="clear" w:color="auto" w:fill="FFFFFF" w:themeFill="background1"/>
            <w:vAlign w:val="center"/>
          </w:tcPr>
          <w:p w14:paraId="28CAB066">
            <w:pPr>
              <w:spacing w:line="5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服务地点</w:t>
            </w:r>
          </w:p>
        </w:tc>
        <w:tc>
          <w:tcPr>
            <w:tcW w:w="6765" w:type="dxa"/>
            <w:shd w:val="clear" w:color="auto" w:fill="FFFFFF" w:themeFill="background1"/>
            <w:vAlign w:val="center"/>
          </w:tcPr>
          <w:p w14:paraId="02DE12AC">
            <w:pPr>
              <w:spacing w:line="560" w:lineRule="exac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新疆职业大学达坂城校区各高压配电室（具体房间待中标后指定）</w:t>
            </w:r>
          </w:p>
        </w:tc>
      </w:tr>
      <w:tr w14:paraId="04F1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2" w:hRule="atLeast"/>
          <w:jc w:val="center"/>
        </w:trPr>
        <w:tc>
          <w:tcPr>
            <w:tcW w:w="534" w:type="dxa"/>
            <w:shd w:val="clear" w:color="auto" w:fill="FFFFFF" w:themeFill="background1"/>
            <w:vAlign w:val="center"/>
          </w:tcPr>
          <w:p w14:paraId="512C360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351" w:type="dxa"/>
            <w:shd w:val="clear" w:color="auto" w:fill="FFFFFF" w:themeFill="background1"/>
            <w:vAlign w:val="center"/>
          </w:tcPr>
          <w:p w14:paraId="2820A87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供应商资格要求</w:t>
            </w:r>
          </w:p>
        </w:tc>
        <w:tc>
          <w:tcPr>
            <w:tcW w:w="6765" w:type="dxa"/>
            <w:shd w:val="clear" w:color="auto" w:fill="FFFFFF" w:themeFill="background1"/>
            <w:vAlign w:val="center"/>
          </w:tcPr>
          <w:p w14:paraId="106493CA">
            <w:pPr>
              <w:pStyle w:val="47"/>
              <w:widowControl/>
              <w:spacing w:line="360" w:lineRule="auto"/>
              <w:ind w:firstLine="240" w:firstLineChars="1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1DC25F5E">
            <w:pPr>
              <w:pStyle w:val="47"/>
              <w:widowControl/>
              <w:spacing w:line="360" w:lineRule="auto"/>
              <w:ind w:firstLine="240" w:firstLineChars="1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2.落实政府采购政策需满足的资格要求：</w:t>
            </w:r>
            <w:r>
              <w:rPr>
                <w:rFonts w:hint="eastAsia" w:ascii="宋体" w:hAnsi="宋体" w:cs="宋体"/>
                <w:color w:val="auto"/>
                <w:kern w:val="0"/>
                <w:sz w:val="24"/>
                <w:szCs w:val="24"/>
                <w:highlight w:val="none"/>
                <w:lang w:eastAsia="zh-CN"/>
              </w:rPr>
              <w:t>本项目专门面向中小企业。</w:t>
            </w:r>
          </w:p>
          <w:p w14:paraId="7D09BFD3">
            <w:pPr>
              <w:pStyle w:val="47"/>
              <w:widowControl/>
              <w:spacing w:line="360" w:lineRule="auto"/>
              <w:ind w:firstLine="240" w:firstLineChars="1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3.本项目的特定资格要求：具备承装(修、试)电力设施许可证承试类</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级(含)以上许可</w:t>
            </w:r>
            <w:r>
              <w:rPr>
                <w:rFonts w:hint="eastAsia" w:ascii="宋体" w:hAnsi="宋体" w:cs="宋体"/>
                <w:color w:val="auto"/>
                <w:kern w:val="0"/>
                <w:sz w:val="24"/>
                <w:szCs w:val="24"/>
                <w:highlight w:val="none"/>
                <w:lang w:eastAsia="zh-CN"/>
              </w:rPr>
              <w:t>。</w:t>
            </w:r>
          </w:p>
          <w:p w14:paraId="7E9EF643">
            <w:pPr>
              <w:pStyle w:val="47"/>
              <w:widowControl/>
              <w:spacing w:line="360" w:lineRule="auto"/>
              <w:ind w:firstLine="240" w:firstLineChars="10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本项目所属行业为：</w:t>
            </w:r>
            <w:r>
              <w:rPr>
                <w:rFonts w:hint="eastAsia" w:ascii="宋体" w:hAnsi="宋体" w:cs="宋体"/>
                <w:color w:val="auto"/>
                <w:sz w:val="24"/>
                <w:szCs w:val="24"/>
                <w:highlight w:val="none"/>
                <w:lang w:val="en-US" w:eastAsia="zh-CN"/>
              </w:rPr>
              <w:t>工业</w:t>
            </w:r>
            <w:r>
              <w:rPr>
                <w:rFonts w:hint="default" w:ascii="宋体" w:hAnsi="宋体" w:eastAsia="宋体" w:cs="宋体"/>
                <w:color w:val="auto"/>
                <w:sz w:val="24"/>
                <w:szCs w:val="24"/>
                <w:highlight w:val="none"/>
                <w:lang w:val="en-US" w:eastAsia="zh-CN"/>
              </w:rPr>
              <w:t>。</w:t>
            </w:r>
          </w:p>
        </w:tc>
      </w:tr>
      <w:tr w14:paraId="6E05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89" w:hRule="atLeast"/>
          <w:jc w:val="center"/>
        </w:trPr>
        <w:tc>
          <w:tcPr>
            <w:tcW w:w="534" w:type="dxa"/>
            <w:shd w:val="clear" w:color="auto" w:fill="FFFFFF" w:themeFill="background1"/>
            <w:vAlign w:val="center"/>
          </w:tcPr>
          <w:p w14:paraId="521F0E6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351" w:type="dxa"/>
            <w:shd w:val="clear" w:color="auto" w:fill="FFFFFF" w:themeFill="background1"/>
            <w:vAlign w:val="center"/>
          </w:tcPr>
          <w:p w14:paraId="0C78D4A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保证金</w:t>
            </w:r>
          </w:p>
        </w:tc>
        <w:tc>
          <w:tcPr>
            <w:tcW w:w="6765" w:type="dxa"/>
            <w:shd w:val="clear" w:color="auto" w:fill="FFFFFF" w:themeFill="background1"/>
            <w:vAlign w:val="center"/>
          </w:tcPr>
          <w:p w14:paraId="50E987BC">
            <w:pPr>
              <w:pStyle w:val="47"/>
              <w:widowControl/>
              <w:spacing w:line="360" w:lineRule="auto"/>
              <w:ind w:firstLine="240" w:firstLineChars="1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一、投标保证金金额及形式等</w:t>
            </w:r>
          </w:p>
          <w:p w14:paraId="553F5D86">
            <w:pPr>
              <w:pStyle w:val="47"/>
              <w:widowControl/>
              <w:spacing w:line="360" w:lineRule="auto"/>
              <w:ind w:firstLine="240" w:firstLineChars="1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1.投标保证金金额：</w:t>
            </w:r>
          </w:p>
          <w:p w14:paraId="41517ED5">
            <w:pPr>
              <w:pStyle w:val="47"/>
              <w:widowControl/>
              <w:spacing w:line="360" w:lineRule="auto"/>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小写</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4950.00</w:t>
            </w:r>
            <w:r>
              <w:rPr>
                <w:rFonts w:hint="eastAsia" w:ascii="宋体" w:hAnsi="宋体" w:eastAsia="宋体" w:cs="宋体"/>
                <w:color w:val="auto"/>
                <w:kern w:val="0"/>
                <w:sz w:val="24"/>
                <w:szCs w:val="24"/>
                <w:highlight w:val="none"/>
              </w:rPr>
              <w:t>元（大写：</w:t>
            </w:r>
            <w:r>
              <w:rPr>
                <w:rFonts w:hint="eastAsia" w:ascii="宋体" w:hAnsi="宋体" w:cs="宋体"/>
                <w:color w:val="auto"/>
                <w:kern w:val="0"/>
                <w:sz w:val="24"/>
                <w:szCs w:val="24"/>
                <w:highlight w:val="none"/>
                <w:lang w:val="en-US" w:eastAsia="zh-CN"/>
              </w:rPr>
              <w:t>肆仟玖佰伍拾元整</w:t>
            </w:r>
            <w:r>
              <w:rPr>
                <w:rFonts w:hint="eastAsia" w:ascii="宋体" w:hAnsi="宋体" w:eastAsia="宋体" w:cs="宋体"/>
                <w:color w:val="auto"/>
                <w:kern w:val="0"/>
                <w:sz w:val="24"/>
                <w:szCs w:val="24"/>
                <w:highlight w:val="none"/>
              </w:rPr>
              <w:t>）</w:t>
            </w:r>
          </w:p>
          <w:p w14:paraId="7D05191D">
            <w:pPr>
              <w:pStyle w:val="47"/>
              <w:widowControl/>
              <w:spacing w:line="360" w:lineRule="auto"/>
              <w:ind w:firstLine="240" w:firstLineChars="1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2.投标保证金应当以保函、公对公、银行转账等非现金形式提交；</w:t>
            </w:r>
          </w:p>
          <w:p w14:paraId="4322443B">
            <w:pPr>
              <w:pStyle w:val="47"/>
              <w:widowControl/>
              <w:spacing w:line="360" w:lineRule="auto"/>
              <w:ind w:firstLine="240" w:firstLineChars="1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3.提交投标保证金时需备注项目名称；</w:t>
            </w:r>
          </w:p>
          <w:p w14:paraId="0A2AF283">
            <w:pPr>
              <w:pStyle w:val="47"/>
              <w:widowControl/>
              <w:spacing w:line="360" w:lineRule="auto"/>
              <w:ind w:firstLine="240" w:firstLineChars="1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4.投标保证金提交截止时间：同响应文件递交截止时间；</w:t>
            </w:r>
          </w:p>
          <w:p w14:paraId="7DF59A86">
            <w:pPr>
              <w:pStyle w:val="47"/>
              <w:widowControl/>
              <w:spacing w:line="360" w:lineRule="auto"/>
              <w:ind w:firstLine="240" w:firstLineChars="1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5.投标保证金提交形式：</w:t>
            </w:r>
          </w:p>
          <w:p w14:paraId="38AEEA69">
            <w:pPr>
              <w:pStyle w:val="47"/>
              <w:widowControl/>
              <w:spacing w:line="360" w:lineRule="auto"/>
              <w:ind w:firstLine="240" w:firstLineChars="1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（1）公对公银行转账。</w:t>
            </w:r>
          </w:p>
          <w:p w14:paraId="79EC2339">
            <w:pPr>
              <w:pStyle w:val="47"/>
              <w:widowControl/>
              <w:spacing w:line="360" w:lineRule="auto"/>
              <w:ind w:firstLine="240" w:firstLineChars="1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开户单位名称：新疆金正建设工程管理有限公司 </w:t>
            </w:r>
          </w:p>
          <w:p w14:paraId="19A288C7">
            <w:pPr>
              <w:pStyle w:val="47"/>
              <w:widowControl/>
              <w:spacing w:line="360" w:lineRule="auto"/>
              <w:ind w:firstLine="240" w:firstLineChars="1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开 户 行：中行乌鲁木齐市友好南路支行</w:t>
            </w:r>
          </w:p>
          <w:p w14:paraId="7F5EFAF1">
            <w:pPr>
              <w:pStyle w:val="47"/>
              <w:widowControl/>
              <w:spacing w:line="360" w:lineRule="auto"/>
              <w:ind w:firstLine="240" w:firstLineChars="1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行    号：104881005062 </w:t>
            </w:r>
          </w:p>
          <w:p w14:paraId="666492B0">
            <w:pPr>
              <w:pStyle w:val="47"/>
              <w:widowControl/>
              <w:spacing w:line="360" w:lineRule="auto"/>
              <w:ind w:firstLine="240" w:firstLineChars="1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银行帐号：107601654453</w:t>
            </w:r>
          </w:p>
          <w:p w14:paraId="12AE0ED4">
            <w:pPr>
              <w:pStyle w:val="47"/>
              <w:widowControl/>
              <w:spacing w:line="360" w:lineRule="auto"/>
              <w:ind w:left="239" w:leftChars="114" w:firstLine="0" w:firstLine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（2）保函承保期限：202</w:t>
            </w:r>
            <w:r>
              <w:rPr>
                <w:rFonts w:hint="eastAsia" w:ascii="宋体" w:hAnsi="宋体" w:cs="宋体"/>
                <w:color w:val="auto"/>
                <w:kern w:val="0"/>
                <w:sz w:val="24"/>
                <w:szCs w:val="24"/>
                <w:highlight w:val="none"/>
                <w:lang w:val="en-US" w:eastAsia="zh-CN"/>
              </w:rPr>
              <w:t>6年 6 月 15 日</w:t>
            </w:r>
            <w:r>
              <w:rPr>
                <w:rFonts w:hint="eastAsia" w:ascii="宋体" w:hAnsi="宋体" w:eastAsia="宋体" w:cs="宋体"/>
                <w:color w:val="auto"/>
                <w:kern w:val="0"/>
                <w:sz w:val="24"/>
                <w:szCs w:val="24"/>
                <w:highlight w:val="none"/>
                <w:lang w:val="en-US" w:eastAsia="zh-CN"/>
              </w:rPr>
              <w:t>11:00～2026</w:t>
            </w:r>
            <w:r>
              <w:rPr>
                <w:rFonts w:hint="eastAsia" w:ascii="宋体" w:hAnsi="宋体" w:cs="宋体"/>
                <w:color w:val="auto"/>
                <w:kern w:val="0"/>
                <w:sz w:val="24"/>
                <w:szCs w:val="24"/>
                <w:highlight w:val="none"/>
                <w:lang w:val="en-US" w:eastAsia="zh-CN"/>
              </w:rPr>
              <w:t>年9月 13日23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59</w:t>
            </w:r>
          </w:p>
          <w:p w14:paraId="1FB9E4B7">
            <w:pPr>
              <w:spacing w:after="0"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保证金以保函方式递交的，投标人须提前联系采购人获得保函开具相关信息，保函须在投标文件提交截止时间前将保函制作到电子投标文件中，并在开标截止时间前将保函原件送达采购人或采购代理机构，同时附保函真伪查询方式及查询结果截图，否则不予认可。</w:t>
            </w:r>
          </w:p>
          <w:p w14:paraId="73BF58A4">
            <w:pPr>
              <w:spacing w:after="0"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说明：</w:t>
            </w:r>
          </w:p>
          <w:p w14:paraId="20F3690B">
            <w:pPr>
              <w:spacing w:after="0"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投标保证金以银行转账、支票、汇票、本票方式缴纳的，必须在提交响应文件截止时间（开标时间）前缴纳至采购代理机构银行账户。供应商需自行评估因异地、跨行、公休日等因素造成的投标保证金到账延迟风险，并承担相应责任。投标保证金以到账信息为准，供应商未按照招标文件要求提交投标保证金的，投标无效。（以银行记录确认到账为准，备注项目名称及项目编号）。</w:t>
            </w:r>
          </w:p>
          <w:p w14:paraId="1B7E02CC">
            <w:pPr>
              <w:spacing w:after="0"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投标保证金以保函方式递交的，政采云电子保函须在投标文件提交截止时间前将保函制作到电子投标文件中；政采云之外的保函，还须在开标截止时间前将保函原件送达采购人或采购代理机构，并附保函真伪查询方式及查询结果截图。</w:t>
            </w:r>
          </w:p>
          <w:p w14:paraId="136EBDA6">
            <w:pPr>
              <w:spacing w:after="0"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政采云电子保函须知：</w:t>
            </w:r>
          </w:p>
          <w:p w14:paraId="5160B47D">
            <w:pPr>
              <w:spacing w:after="0"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人注意区分办理保函类型，并确认投标有效期。</w:t>
            </w:r>
          </w:p>
          <w:p w14:paraId="059EB1A5">
            <w:pPr>
              <w:pStyle w:val="47"/>
              <w:widowControl/>
              <w:spacing w:line="360" w:lineRule="auto"/>
              <w:ind w:firstLine="240" w:firstLineChars="1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highlight w:val="none"/>
                <w:lang w:eastAsia="zh-CN"/>
              </w:rPr>
              <w:t>（2）如采用政采云电子保函形式，可按照以下形式进行在线申请，电子保函申请链接（https://jinrong.zcygov.cn/luban/finance/letter/xinjiang?pageModelFlag=650000&amp;utm=site.site-PC-42055.1718-block_comp_1709189989843012.6.33f19dd0635411ef9be3cb6599db755d），如遇问题可拨打客服电话：95763。</w:t>
            </w:r>
          </w:p>
          <w:p w14:paraId="6ED13DB1">
            <w:pPr>
              <w:pStyle w:val="47"/>
              <w:widowControl/>
              <w:spacing w:line="360" w:lineRule="auto"/>
              <w:ind w:firstLine="240" w:firstLineChars="1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二、投标保证金退还：</w:t>
            </w:r>
          </w:p>
          <w:p w14:paraId="28D79C82">
            <w:pPr>
              <w:pStyle w:val="47"/>
              <w:widowControl/>
              <w:spacing w:line="360" w:lineRule="auto"/>
              <w:ind w:firstLine="240" w:firstLineChars="1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1.未</w:t>
            </w:r>
            <w:r>
              <w:rPr>
                <w:rFonts w:hint="eastAsia" w:ascii="宋体" w:hAnsi="宋体" w:cs="宋体"/>
                <w:color w:val="auto"/>
                <w:kern w:val="0"/>
                <w:sz w:val="24"/>
                <w:szCs w:val="24"/>
                <w:highlight w:val="none"/>
                <w:lang w:val="en-US" w:eastAsia="zh-CN"/>
              </w:rPr>
              <w:t>中标</w:t>
            </w:r>
            <w:r>
              <w:rPr>
                <w:rFonts w:hint="eastAsia" w:ascii="宋体" w:hAnsi="宋体" w:eastAsia="宋体" w:cs="宋体"/>
                <w:color w:val="auto"/>
                <w:kern w:val="0"/>
                <w:sz w:val="24"/>
                <w:szCs w:val="24"/>
                <w:highlight w:val="none"/>
                <w:lang w:val="en-US" w:eastAsia="zh-CN"/>
              </w:rPr>
              <w:t>供应商的投标保证金将在成交通知书发出后5个工作日内退还。</w:t>
            </w:r>
          </w:p>
          <w:p w14:paraId="0BE311D7">
            <w:pPr>
              <w:pStyle w:val="47"/>
              <w:widowControl/>
              <w:spacing w:line="360" w:lineRule="auto"/>
              <w:ind w:firstLine="240" w:firstLineChars="1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2.成交供应商的投标保证金将在成交供应商与采购单位签订合同，并将合同递交至采购代理后5个工作日内，无息退还。</w:t>
            </w:r>
          </w:p>
          <w:p w14:paraId="6973F681">
            <w:pPr>
              <w:pStyle w:val="47"/>
              <w:widowControl/>
              <w:spacing w:line="360" w:lineRule="auto"/>
              <w:ind w:firstLine="240" w:firstLineChars="1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3.有下列情形之一的，投标保证金不予退还：详见总则第1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 xml:space="preserve">条。 </w:t>
            </w:r>
          </w:p>
          <w:p w14:paraId="77E5E6C9">
            <w:pPr>
              <w:pStyle w:val="47"/>
              <w:widowControl/>
              <w:spacing w:line="360" w:lineRule="auto"/>
              <w:ind w:firstLine="240" w:firstLineChars="100"/>
              <w:jc w:val="left"/>
              <w:rPr>
                <w:rFonts w:hint="eastAsia"/>
                <w:color w:val="auto"/>
                <w:highlight w:val="none"/>
                <w:lang w:eastAsia="zh-CN"/>
              </w:rPr>
            </w:pPr>
            <w:r>
              <w:rPr>
                <w:rFonts w:hint="eastAsia" w:ascii="宋体" w:hAnsi="宋体" w:eastAsia="宋体" w:cs="宋体"/>
                <w:color w:val="auto"/>
                <w:kern w:val="0"/>
                <w:sz w:val="24"/>
                <w:szCs w:val="24"/>
                <w:highlight w:val="none"/>
                <w:lang w:val="en-US" w:eastAsia="zh-CN"/>
              </w:rPr>
              <w:t>注：供应商未按照投标文件要求提交投标保证金的，响应无效。</w:t>
            </w:r>
          </w:p>
        </w:tc>
      </w:tr>
      <w:tr w14:paraId="7DDC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0" w:hRule="atLeast"/>
          <w:jc w:val="center"/>
        </w:trPr>
        <w:tc>
          <w:tcPr>
            <w:tcW w:w="534" w:type="dxa"/>
            <w:shd w:val="clear" w:color="auto" w:fill="FFFFFF" w:themeFill="background1"/>
            <w:vAlign w:val="center"/>
          </w:tcPr>
          <w:p w14:paraId="693267F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351" w:type="dxa"/>
            <w:shd w:val="clear" w:color="auto" w:fill="FFFFFF" w:themeFill="background1"/>
            <w:vAlign w:val="center"/>
          </w:tcPr>
          <w:p w14:paraId="4DCBE9D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w:t>
            </w:r>
          </w:p>
        </w:tc>
        <w:tc>
          <w:tcPr>
            <w:tcW w:w="6765" w:type="dxa"/>
            <w:shd w:val="clear" w:color="auto" w:fill="FFFFFF" w:themeFill="background1"/>
            <w:vAlign w:val="center"/>
          </w:tcPr>
          <w:p w14:paraId="22D5C46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接受</w:t>
            </w:r>
          </w:p>
        </w:tc>
      </w:tr>
      <w:tr w14:paraId="21ED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0" w:hRule="atLeast"/>
          <w:jc w:val="center"/>
        </w:trPr>
        <w:tc>
          <w:tcPr>
            <w:tcW w:w="534" w:type="dxa"/>
            <w:shd w:val="clear" w:color="auto" w:fill="FFFFFF" w:themeFill="background1"/>
            <w:vAlign w:val="center"/>
          </w:tcPr>
          <w:p w14:paraId="0DAFEAC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351" w:type="dxa"/>
            <w:shd w:val="clear" w:color="auto" w:fill="FFFFFF" w:themeFill="background1"/>
            <w:vAlign w:val="center"/>
          </w:tcPr>
          <w:p w14:paraId="30CFBDF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6765" w:type="dxa"/>
            <w:shd w:val="clear" w:color="auto" w:fill="FFFFFF" w:themeFill="background1"/>
            <w:vAlign w:val="center"/>
          </w:tcPr>
          <w:p w14:paraId="2CB7CAD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不允许/</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允许</w:t>
            </w:r>
          </w:p>
        </w:tc>
      </w:tr>
      <w:tr w14:paraId="2F1D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0" w:hRule="atLeast"/>
          <w:jc w:val="center"/>
        </w:trPr>
        <w:tc>
          <w:tcPr>
            <w:tcW w:w="534" w:type="dxa"/>
            <w:shd w:val="clear" w:color="auto" w:fill="FFFFFF" w:themeFill="background1"/>
            <w:vAlign w:val="center"/>
          </w:tcPr>
          <w:p w14:paraId="1DC7D1E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351" w:type="dxa"/>
            <w:shd w:val="clear" w:color="auto" w:fill="FFFFFF" w:themeFill="background1"/>
            <w:vAlign w:val="center"/>
          </w:tcPr>
          <w:p w14:paraId="15CC552D">
            <w:pPr>
              <w:spacing w:line="5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投标文件份数、上传截止时间、地点</w:t>
            </w:r>
          </w:p>
        </w:tc>
        <w:tc>
          <w:tcPr>
            <w:tcW w:w="6765" w:type="dxa"/>
            <w:shd w:val="clear" w:color="auto" w:fill="FFFFFF" w:themeFill="background1"/>
            <w:vAlign w:val="center"/>
          </w:tcPr>
          <w:p w14:paraId="5AEC530C">
            <w:pPr>
              <w:pStyle w:val="47"/>
              <w:widowControl/>
              <w:numPr>
                <w:ilvl w:val="0"/>
                <w:numId w:val="0"/>
              </w:numPr>
              <w:spacing w:line="560" w:lineRule="exact"/>
              <w:jc w:val="left"/>
              <w:rPr>
                <w:rFonts w:hint="eastAsia" w:ascii="宋体" w:hAnsi="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SA"/>
              </w:rPr>
              <w:t>（1）</w:t>
            </w:r>
            <w:r>
              <w:rPr>
                <w:rFonts w:hint="eastAsia" w:ascii="宋体" w:hAnsi="宋体" w:cs="宋体"/>
                <w:bCs/>
                <w:color w:val="auto"/>
                <w:kern w:val="0"/>
                <w:sz w:val="24"/>
                <w:szCs w:val="24"/>
                <w:highlight w:val="none"/>
              </w:rPr>
              <w:t>电子加密投标文件1份，无正副本区别，仅需在规定时间内向政采云系统上传即可）。</w:t>
            </w:r>
          </w:p>
          <w:p w14:paraId="373AD9F0">
            <w:pPr>
              <w:pStyle w:val="47"/>
              <w:widowControl/>
              <w:numPr>
                <w:ilvl w:val="0"/>
                <w:numId w:val="0"/>
              </w:numPr>
              <w:spacing w:line="560" w:lineRule="exact"/>
              <w:jc w:val="left"/>
              <w:rPr>
                <w:rFonts w:hint="eastAsia" w:ascii="宋体" w:hAnsi="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SA"/>
              </w:rPr>
              <w:t>（2）</w:t>
            </w:r>
            <w:r>
              <w:rPr>
                <w:rFonts w:hint="eastAsia" w:ascii="宋体" w:hAnsi="宋体" w:cs="宋体"/>
                <w:bCs/>
                <w:color w:val="auto"/>
                <w:sz w:val="24"/>
                <w:szCs w:val="24"/>
                <w:highlight w:val="none"/>
              </w:rPr>
              <w:t>中标人须在</w:t>
            </w:r>
            <w:r>
              <w:rPr>
                <w:rFonts w:hint="eastAsia" w:ascii="宋体" w:hAnsi="宋体" w:cs="宋体"/>
                <w:b/>
                <w:color w:val="auto"/>
                <w:sz w:val="24"/>
                <w:szCs w:val="24"/>
                <w:highlight w:val="none"/>
              </w:rPr>
              <w:t>招标结束后五个工作日内</w:t>
            </w:r>
            <w:r>
              <w:rPr>
                <w:rFonts w:hint="eastAsia" w:ascii="宋体" w:hAnsi="宋体" w:cs="宋体"/>
                <w:bCs/>
                <w:color w:val="auto"/>
                <w:sz w:val="24"/>
                <w:szCs w:val="24"/>
                <w:highlight w:val="none"/>
              </w:rPr>
              <w:t>向采购代理机构递交</w:t>
            </w:r>
            <w:r>
              <w:rPr>
                <w:rFonts w:hint="eastAsia" w:ascii="宋体" w:hAnsi="宋体" w:cs="宋体"/>
                <w:b/>
                <w:color w:val="auto"/>
                <w:sz w:val="24"/>
                <w:szCs w:val="24"/>
                <w:highlight w:val="none"/>
              </w:rPr>
              <w:t>签章纸质版投标文件一正</w:t>
            </w:r>
            <w:r>
              <w:rPr>
                <w:rFonts w:hint="eastAsia" w:ascii="宋体" w:hAnsi="宋体" w:cs="宋体"/>
                <w:b/>
                <w:color w:val="auto"/>
                <w:sz w:val="24"/>
                <w:szCs w:val="24"/>
                <w:highlight w:val="none"/>
                <w:lang w:val="en-US" w:eastAsia="zh-CN"/>
              </w:rPr>
              <w:t>一副</w:t>
            </w:r>
            <w:r>
              <w:rPr>
                <w:rFonts w:hint="eastAsia" w:ascii="宋体" w:hAnsi="宋体" w:cs="宋体"/>
                <w:b/>
                <w:color w:val="auto"/>
                <w:sz w:val="24"/>
                <w:szCs w:val="24"/>
                <w:highlight w:val="none"/>
              </w:rPr>
              <w:t>胶装成册（用于档案资料编制），</w:t>
            </w:r>
            <w:r>
              <w:rPr>
                <w:rFonts w:hint="eastAsia" w:ascii="宋体" w:hAnsi="宋体" w:cs="宋体"/>
                <w:bCs/>
                <w:color w:val="auto"/>
                <w:sz w:val="24"/>
                <w:szCs w:val="24"/>
                <w:highlight w:val="none"/>
              </w:rPr>
              <w:t>纸质版投标文件须与政采云平台上传的电子版投标文件保持一致。</w:t>
            </w:r>
          </w:p>
          <w:p w14:paraId="67C79936">
            <w:pPr>
              <w:pStyle w:val="47"/>
              <w:widowControl/>
              <w:spacing w:line="560" w:lineRule="exact"/>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（2）投标文件上传截止时间：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 xml:space="preserve"> 15 </w:t>
            </w:r>
            <w:r>
              <w:rPr>
                <w:rFonts w:hint="eastAsia" w:ascii="宋体" w:hAnsi="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11</w:t>
            </w:r>
            <w:r>
              <w:rPr>
                <w:rFonts w:hint="eastAsia" w:ascii="宋体" w:hAnsi="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00</w:t>
            </w:r>
            <w:r>
              <w:rPr>
                <w:rFonts w:hint="eastAsia" w:ascii="宋体" w:hAnsi="宋体" w:cs="宋体"/>
                <w:bCs/>
                <w:color w:val="auto"/>
                <w:sz w:val="24"/>
                <w:szCs w:val="24"/>
                <w:highlight w:val="none"/>
                <w:u w:val="single"/>
              </w:rPr>
              <w:t>分</w:t>
            </w:r>
            <w:r>
              <w:rPr>
                <w:rFonts w:hint="eastAsia" w:ascii="宋体" w:hAnsi="宋体" w:cs="宋体"/>
                <w:bCs/>
                <w:color w:val="auto"/>
                <w:kern w:val="0"/>
                <w:sz w:val="24"/>
                <w:szCs w:val="24"/>
                <w:highlight w:val="none"/>
              </w:rPr>
              <w:t>（北京时间）</w:t>
            </w:r>
          </w:p>
          <w:p w14:paraId="6F4DA254">
            <w:pPr>
              <w:spacing w:line="56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（3）投标文件上传地点：在投标截止时间前将电子加密投标文件成功上传至“政府采购云平台”，投标人成功上传电子加密投标文件后，可自行打印投标文件接收回执。</w:t>
            </w:r>
          </w:p>
          <w:p w14:paraId="10595812">
            <w:pPr>
              <w:pStyle w:val="90"/>
              <w:spacing w:line="5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（4）电子投标文件包括“电子加密投标文件”和“备份投标文件”，在投标文件编制完成后同时生成。</w:t>
            </w:r>
          </w:p>
          <w:p w14:paraId="4E945F37">
            <w:pPr>
              <w:pStyle w:val="90"/>
              <w:spacing w:line="5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①“电子加密投标文件（“.jmbs”格式）”是指通过“政采云电子交易客户端”完成投标文件编制后生成并加密的数据电文形式的投标文件。</w:t>
            </w:r>
          </w:p>
          <w:p w14:paraId="2D158F0F">
            <w:pPr>
              <w:pStyle w:val="90"/>
              <w:spacing w:line="560" w:lineRule="exact"/>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②“备份投标文件（“.bfbs”格式）”是指与“电子加密投标文件”同时生成的数据电文形式的电子文件（备份标书，用于投标人标书解密异常时应急使用），其他方式编制的备份投标文件视为无效备份投标文件。</w:t>
            </w:r>
          </w:p>
        </w:tc>
      </w:tr>
      <w:tr w14:paraId="1440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34" w:type="dxa"/>
            <w:shd w:val="clear" w:color="auto" w:fill="FFFFFF" w:themeFill="background1"/>
            <w:vAlign w:val="center"/>
          </w:tcPr>
          <w:p w14:paraId="2A9734E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351" w:type="dxa"/>
            <w:shd w:val="clear" w:color="auto" w:fill="FFFFFF" w:themeFill="background1"/>
            <w:vAlign w:val="center"/>
          </w:tcPr>
          <w:p w14:paraId="05D621DF">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重要说明</w:t>
            </w:r>
          </w:p>
        </w:tc>
        <w:tc>
          <w:tcPr>
            <w:tcW w:w="6765" w:type="dxa"/>
            <w:shd w:val="clear" w:color="auto" w:fill="FFFFFF" w:themeFill="background1"/>
            <w:vAlign w:val="center"/>
          </w:tcPr>
          <w:p w14:paraId="02DE1D37">
            <w:pPr>
              <w:spacing w:line="56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1、电子招投标情况说明：</w:t>
            </w:r>
          </w:p>
          <w:p w14:paraId="1E13791C">
            <w:pPr>
              <w:spacing w:line="560" w:lineRule="exac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
                <w:color w:val="auto"/>
                <w:sz w:val="24"/>
                <w:szCs w:val="24"/>
                <w:highlight w:val="none"/>
              </w:rPr>
              <w:t>电子招投标</w:t>
            </w:r>
            <w:r>
              <w:rPr>
                <w:rFonts w:hint="eastAsia" w:ascii="宋体" w:hAnsi="宋体" w:eastAsia="宋体" w:cs="宋体"/>
                <w:color w:val="auto"/>
                <w:sz w:val="24"/>
                <w:szCs w:val="24"/>
                <w:highlight w:val="none"/>
              </w:rPr>
              <w:t>：本项目以数据电文形式，依托“政府采购云平台（www.zcygov.cn）”进行招投标活动</w:t>
            </w:r>
            <w:r>
              <w:rPr>
                <w:rFonts w:hint="eastAsia" w:ascii="宋体" w:hAnsi="宋体" w:eastAsia="宋体" w:cs="宋体"/>
                <w:b/>
                <w:bCs/>
                <w:color w:val="auto"/>
                <w:sz w:val="24"/>
                <w:szCs w:val="24"/>
                <w:highlight w:val="none"/>
              </w:rPr>
              <w:t>。</w:t>
            </w:r>
          </w:p>
          <w:p w14:paraId="6C19EE81">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b/>
                <w:color w:val="auto"/>
                <w:sz w:val="24"/>
                <w:szCs w:val="24"/>
                <w:highlight w:val="none"/>
                <w:lang w:eastAsia="zh-CN"/>
              </w:rPr>
              <w:t>投标准备</w:t>
            </w:r>
            <w:r>
              <w:rPr>
                <w:rFonts w:hint="eastAsia" w:ascii="宋体" w:hAnsi="宋体" w:eastAsia="宋体" w:cs="宋体"/>
                <w:color w:val="auto"/>
                <w:sz w:val="24"/>
                <w:szCs w:val="24"/>
                <w:highlight w:val="none"/>
                <w:lang w:eastAsia="zh-CN"/>
              </w:rPr>
              <w:t>：注册账号--点击“商家入驻”，进行政府采购投标人资料填写；申领CA数字证书---申领流程详见“新疆政府采购网-下载专区-电子交易客户端-CA驱动和申领流程”；安装“政采云电子交易客户端”----前往“新疆政府采购网-下载专区-政采云投标客户端”进行下载并安装。</w:t>
            </w:r>
          </w:p>
          <w:p w14:paraId="39DFB8B5">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b/>
                <w:color w:val="auto"/>
                <w:sz w:val="24"/>
                <w:szCs w:val="24"/>
                <w:highlight w:val="none"/>
                <w:lang w:eastAsia="zh-CN"/>
              </w:rPr>
              <w:t>采购文件的获取</w:t>
            </w:r>
            <w:r>
              <w:rPr>
                <w:rFonts w:hint="eastAsia" w:ascii="宋体" w:hAnsi="宋体" w:eastAsia="宋体" w:cs="宋体"/>
                <w:color w:val="auto"/>
                <w:sz w:val="24"/>
                <w:szCs w:val="24"/>
                <w:highlight w:val="none"/>
                <w:lang w:eastAsia="zh-CN"/>
              </w:rPr>
              <w:t>：使用账号登录或者</w:t>
            </w:r>
            <w:r>
              <w:rPr>
                <w:rFonts w:hint="eastAsia" w:ascii="宋体" w:hAnsi="宋体" w:eastAsia="宋体" w:cs="宋体"/>
                <w:color w:val="auto"/>
                <w:sz w:val="24"/>
                <w:szCs w:val="24"/>
                <w:highlight w:val="none"/>
                <w:lang w:eastAsia="zh-CN" w:bidi="zh-CN"/>
              </w:rPr>
              <w:t>短信验证码</w:t>
            </w:r>
            <w:r>
              <w:rPr>
                <w:rFonts w:hint="eastAsia" w:ascii="宋体" w:hAnsi="宋体" w:eastAsia="宋体" w:cs="宋体"/>
                <w:color w:val="auto"/>
                <w:sz w:val="24"/>
                <w:szCs w:val="24"/>
                <w:highlight w:val="none"/>
                <w:lang w:eastAsia="zh-CN"/>
              </w:rPr>
              <w:t>或者使用CA登录政采云平台；进入“项目采购”应用，在获取采购文件菜单中选择项目，获取采购文件。</w:t>
            </w:r>
          </w:p>
          <w:p w14:paraId="56BDDCAE">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b/>
                <w:color w:val="auto"/>
                <w:sz w:val="24"/>
                <w:szCs w:val="24"/>
                <w:highlight w:val="none"/>
                <w:lang w:eastAsia="zh-CN"/>
              </w:rPr>
              <w:t>投标文件的制作</w:t>
            </w:r>
            <w:r>
              <w:rPr>
                <w:rFonts w:hint="eastAsia" w:ascii="宋体" w:hAnsi="宋体" w:eastAsia="宋体" w:cs="宋体"/>
                <w:color w:val="auto"/>
                <w:sz w:val="24"/>
                <w:szCs w:val="24"/>
                <w:highlight w:val="none"/>
                <w:lang w:eastAsia="zh-CN"/>
              </w:rPr>
              <w:t>：在“政采云投标客户端”中完成“填写基本信息”、“导入投标文件”、“标书关联”、“标书检查”、“电子签名”、“生成电子标书”等操作。</w:t>
            </w:r>
          </w:p>
          <w:p w14:paraId="4CC7F2C0">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r>
              <w:rPr>
                <w:rFonts w:hint="eastAsia" w:ascii="宋体" w:hAnsi="宋体" w:eastAsia="宋体" w:cs="宋体"/>
                <w:b/>
                <w:color w:val="auto"/>
                <w:sz w:val="24"/>
                <w:szCs w:val="24"/>
                <w:highlight w:val="none"/>
                <w:lang w:eastAsia="zh-CN"/>
              </w:rPr>
              <w:t>投标文件的递交</w:t>
            </w:r>
            <w:r>
              <w:rPr>
                <w:rFonts w:hint="eastAsia" w:ascii="宋体" w:hAnsi="宋体" w:eastAsia="宋体" w:cs="宋体"/>
                <w:color w:val="auto"/>
                <w:sz w:val="24"/>
                <w:szCs w:val="24"/>
                <w:highlight w:val="none"/>
                <w:lang w:eastAsia="zh-CN"/>
              </w:rPr>
              <w:t>：投标人在投标截止时间前将加密的投标文件上传至政府采购云平台。</w:t>
            </w:r>
          </w:p>
          <w:p w14:paraId="2DB88D0A">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w:t>
            </w:r>
            <w:r>
              <w:rPr>
                <w:rFonts w:hint="eastAsia" w:ascii="宋体" w:hAnsi="宋体" w:eastAsia="宋体" w:cs="宋体"/>
                <w:b/>
                <w:color w:val="auto"/>
                <w:sz w:val="24"/>
                <w:szCs w:val="24"/>
                <w:highlight w:val="none"/>
                <w:lang w:eastAsia="zh-CN"/>
              </w:rPr>
              <w:t>投标文件的解密</w:t>
            </w:r>
            <w:r>
              <w:rPr>
                <w:rFonts w:hint="eastAsia" w:ascii="宋体" w:hAnsi="宋体" w:eastAsia="宋体" w:cs="宋体"/>
                <w:color w:val="auto"/>
                <w:sz w:val="24"/>
                <w:szCs w:val="24"/>
                <w:highlight w:val="none"/>
                <w:lang w:eastAsia="zh-CN"/>
              </w:rPr>
              <w:t>：投标文件解密时间30分钟，开标前需投标人用CA证书登录政采云平台开标大厅签到，在30分钟解密时间内输入CA证书PIN码解密投标文件。在30分钟解密时间内未进行解密的投标人将导致投标无效。（解密时间开始时政采云平台将以短信形式向投标人在政采云平台预留的手机号发送短信通知，请投标人及时关注。）</w:t>
            </w:r>
          </w:p>
          <w:p w14:paraId="1C077195">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（7）投标人报价CA签字确认：</w:t>
            </w:r>
            <w:r>
              <w:rPr>
                <w:rFonts w:hint="eastAsia" w:ascii="宋体" w:hAnsi="宋体" w:eastAsia="宋体" w:cs="宋体"/>
                <w:color w:val="auto"/>
                <w:sz w:val="24"/>
                <w:szCs w:val="24"/>
                <w:highlight w:val="none"/>
                <w:lang w:eastAsia="zh-CN"/>
              </w:rPr>
              <w:t>报价文件开启后将开启签字时段，投标人须在20分钟内用CA证书对报价进行签字确认。</w:t>
            </w:r>
          </w:p>
          <w:p w14:paraId="649D1667">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（8）具</w:t>
            </w:r>
            <w:r>
              <w:rPr>
                <w:rFonts w:hint="eastAsia" w:ascii="宋体" w:hAnsi="宋体" w:eastAsia="宋体" w:cs="宋体"/>
                <w:b/>
                <w:color w:val="auto"/>
                <w:sz w:val="24"/>
                <w:szCs w:val="24"/>
                <w:highlight w:val="none"/>
                <w:lang w:eastAsia="zh-CN"/>
              </w:rPr>
              <w:t>体操作指南</w:t>
            </w:r>
            <w:r>
              <w:rPr>
                <w:rFonts w:hint="eastAsia" w:ascii="宋体" w:hAnsi="宋体" w:eastAsia="宋体" w:cs="宋体"/>
                <w:color w:val="auto"/>
                <w:sz w:val="24"/>
                <w:szCs w:val="24"/>
                <w:highlight w:val="none"/>
                <w:lang w:eastAsia="zh-CN"/>
              </w:rPr>
              <w:t>：详见政采云平台“服务中心-帮助文档-项目采购-操作流程-电子招投标-政府采购项目电子交易管理操作指南-投标人”。</w:t>
            </w:r>
          </w:p>
          <w:p w14:paraId="79714CE0">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（9）投标人在进行上述操作时，如遇技术问题可登录政采云（https://</w:t>
            </w:r>
            <w:r>
              <w:rPr>
                <w:color w:val="auto"/>
                <w:highlight w:val="none"/>
              </w:rPr>
              <w:fldChar w:fldCharType="begin"/>
            </w:r>
            <w:r>
              <w:rPr>
                <w:color w:val="auto"/>
                <w:highlight w:val="none"/>
              </w:rPr>
              <w:instrText xml:space="preserve"> HYPERLINK "http://www.zcygov.cn/" \h </w:instrText>
            </w:r>
            <w:r>
              <w:rPr>
                <w:color w:val="auto"/>
                <w:highlight w:val="none"/>
              </w:rPr>
              <w:fldChar w:fldCharType="separate"/>
            </w:r>
            <w:r>
              <w:rPr>
                <w:rFonts w:hint="eastAsia" w:ascii="宋体" w:hAnsi="宋体" w:eastAsia="宋体" w:cs="宋体"/>
                <w:color w:val="auto"/>
                <w:sz w:val="24"/>
                <w:szCs w:val="24"/>
                <w:highlight w:val="none"/>
              </w:rPr>
              <w:t>www.zcygov.cn/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），点击右侧咨询小采，获取采小蜜智能服务管家帮助，或拨打政采云服务热线95763获取热线服务帮助。</w:t>
            </w:r>
          </w:p>
          <w:p w14:paraId="0A9F16F4">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温馨提醒：投标人应提前上传，以便在上传时遇到技术问题，有充足的时间请教平台的技术人员。</w:t>
            </w:r>
          </w:p>
        </w:tc>
      </w:tr>
      <w:tr w14:paraId="44CA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4" w:hRule="atLeast"/>
          <w:jc w:val="center"/>
        </w:trPr>
        <w:tc>
          <w:tcPr>
            <w:tcW w:w="534" w:type="dxa"/>
            <w:shd w:val="clear" w:color="auto" w:fill="FFFFFF" w:themeFill="background1"/>
            <w:vAlign w:val="center"/>
          </w:tcPr>
          <w:p w14:paraId="7FD38EF7">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w:t>
            </w:r>
          </w:p>
        </w:tc>
        <w:tc>
          <w:tcPr>
            <w:tcW w:w="1351" w:type="dxa"/>
            <w:shd w:val="clear" w:color="auto" w:fill="FFFFFF" w:themeFill="background1"/>
            <w:vAlign w:val="center"/>
          </w:tcPr>
          <w:p w14:paraId="72208C25">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6765" w:type="dxa"/>
            <w:shd w:val="clear" w:color="auto" w:fill="FFFFFF" w:themeFill="background1"/>
            <w:vAlign w:val="center"/>
          </w:tcPr>
          <w:p w14:paraId="65AD4F5D">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的报价明显低于其他通过符合性审查投标人的报价，有可能影响服务质量或者不能诚信履约的，应当要求其在评标现场合理的时间内提供报价合理性说明，必要时提交相关证明材料；投标人不能证明其报价合理性的，评标委员会将其作为无效投标处理，自行承担相关责任。</w:t>
            </w:r>
          </w:p>
        </w:tc>
      </w:tr>
      <w:tr w14:paraId="6C59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61" w:hRule="atLeast"/>
          <w:jc w:val="center"/>
        </w:trPr>
        <w:tc>
          <w:tcPr>
            <w:tcW w:w="534" w:type="dxa"/>
            <w:shd w:val="clear" w:color="auto" w:fill="FFFFFF" w:themeFill="background1"/>
            <w:vAlign w:val="center"/>
          </w:tcPr>
          <w:p w14:paraId="2C7F99B9">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w:t>
            </w:r>
          </w:p>
        </w:tc>
        <w:tc>
          <w:tcPr>
            <w:tcW w:w="1351" w:type="dxa"/>
            <w:shd w:val="clear" w:color="auto" w:fill="FFFFFF" w:themeFill="background1"/>
            <w:vAlign w:val="center"/>
          </w:tcPr>
          <w:p w14:paraId="3639120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6765" w:type="dxa"/>
            <w:shd w:val="clear" w:color="auto" w:fill="FFFFFF" w:themeFill="background1"/>
            <w:vAlign w:val="center"/>
          </w:tcPr>
          <w:p w14:paraId="46750C0E">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不组织/</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eastAsia="zh-CN"/>
              </w:rPr>
              <w:t>组织</w:t>
            </w:r>
          </w:p>
          <w:p w14:paraId="390C5853">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不统一组织，供应商须自行踏勘，无论供应商对现场考察与否，都将被视为熟悉履行合同有关的一切情况，供应商现场踏勘发生的费用自理。</w:t>
            </w:r>
          </w:p>
          <w:p w14:paraId="127A4131">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现场踏勘</w:t>
            </w:r>
            <w:r>
              <w:rPr>
                <w:rFonts w:hint="eastAsia" w:ascii="宋体" w:hAnsi="宋体" w:eastAsia="宋体" w:cs="宋体"/>
                <w:color w:val="auto"/>
                <w:sz w:val="24"/>
                <w:szCs w:val="24"/>
                <w:highlight w:val="none"/>
                <w:lang w:val="en-US" w:eastAsia="zh-CN"/>
              </w:rPr>
              <w:t>时间：2026年06月 4 日至2026年06月5 日</w:t>
            </w:r>
          </w:p>
          <w:p w14:paraId="6EE37E02">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现场踏勘联系人：</w:t>
            </w:r>
            <w:r>
              <w:rPr>
                <w:rFonts w:hint="eastAsia" w:ascii="宋体" w:hAnsi="宋体" w:eastAsia="宋体" w:cs="宋体"/>
                <w:color w:val="auto"/>
                <w:sz w:val="24"/>
                <w:szCs w:val="24"/>
                <w:highlight w:val="none"/>
                <w:lang w:val="en-US" w:eastAsia="zh-CN"/>
              </w:rPr>
              <w:t>马世磊</w:t>
            </w:r>
          </w:p>
          <w:p w14:paraId="2866019F">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w:t>
            </w:r>
            <w:r>
              <w:rPr>
                <w:rFonts w:hint="eastAsia" w:ascii="宋体" w:hAnsi="宋体" w:eastAsia="宋体" w:cs="宋体"/>
                <w:color w:val="auto"/>
                <w:sz w:val="24"/>
                <w:szCs w:val="24"/>
                <w:highlight w:val="none"/>
                <w:lang w:val="en-US" w:eastAsia="zh-CN"/>
              </w:rPr>
              <w:t>0991-3791767</w:t>
            </w:r>
          </w:p>
        </w:tc>
      </w:tr>
      <w:tr w14:paraId="0DC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46" w:hRule="atLeast"/>
          <w:jc w:val="center"/>
        </w:trPr>
        <w:tc>
          <w:tcPr>
            <w:tcW w:w="534" w:type="dxa"/>
            <w:shd w:val="clear" w:color="auto" w:fill="FFFFFF" w:themeFill="background1"/>
            <w:vAlign w:val="center"/>
          </w:tcPr>
          <w:p w14:paraId="2DFB9300">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18</w:t>
            </w:r>
          </w:p>
        </w:tc>
        <w:tc>
          <w:tcPr>
            <w:tcW w:w="1351" w:type="dxa"/>
            <w:shd w:val="clear" w:color="auto" w:fill="FFFFFF" w:themeFill="background1"/>
            <w:vAlign w:val="center"/>
          </w:tcPr>
          <w:p w14:paraId="27432B9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答疑会</w:t>
            </w:r>
          </w:p>
        </w:tc>
        <w:tc>
          <w:tcPr>
            <w:tcW w:w="6765" w:type="dxa"/>
            <w:shd w:val="clear" w:color="auto" w:fill="FFFFFF" w:themeFill="background1"/>
            <w:vAlign w:val="center"/>
          </w:tcPr>
          <w:p w14:paraId="56EAEE8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FE"/>
            </w:r>
            <w:r>
              <w:rPr>
                <w:rFonts w:hint="eastAsia" w:ascii="宋体" w:hAnsi="宋体" w:eastAsia="宋体" w:cs="宋体"/>
                <w:color w:val="auto"/>
                <w:sz w:val="24"/>
                <w:szCs w:val="24"/>
                <w:highlight w:val="none"/>
              </w:rPr>
              <w:t>不召开/</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召开</w:t>
            </w:r>
          </w:p>
        </w:tc>
      </w:tr>
      <w:tr w14:paraId="1EC0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85" w:hRule="atLeast"/>
          <w:jc w:val="center"/>
        </w:trPr>
        <w:tc>
          <w:tcPr>
            <w:tcW w:w="534" w:type="dxa"/>
            <w:shd w:val="clear" w:color="auto" w:fill="FFFFFF" w:themeFill="background1"/>
            <w:vAlign w:val="center"/>
          </w:tcPr>
          <w:p w14:paraId="01B17E38">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w:t>
            </w:r>
          </w:p>
        </w:tc>
        <w:tc>
          <w:tcPr>
            <w:tcW w:w="1351" w:type="dxa"/>
            <w:shd w:val="clear" w:color="auto" w:fill="FFFFFF" w:themeFill="background1"/>
            <w:vAlign w:val="center"/>
          </w:tcPr>
          <w:p w14:paraId="1143D26F">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近年财务状况年份要求</w:t>
            </w:r>
          </w:p>
        </w:tc>
        <w:tc>
          <w:tcPr>
            <w:tcW w:w="6765" w:type="dxa"/>
            <w:shd w:val="clear" w:color="auto" w:fill="FFFFFF" w:themeFill="background1"/>
            <w:vAlign w:val="center"/>
          </w:tcPr>
          <w:p w14:paraId="71ECA69E">
            <w:pPr>
              <w:pStyle w:val="29"/>
              <w:spacing w:line="360" w:lineRule="auto"/>
              <w:ind w:left="0" w:firstLine="0"/>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须提供本单位上一年度由会计师事务所出具的财务审计报告（当上一年度审计报告未出来时，可提供前一年度审计报告），审计报告须包括资产负债表、利润表、现金流量表、所有者权益变动（如有）及其附注。如供应商无法提供上年度审计报告，则需提供开标日前三个月内银行出具的资信证明。如供应商注册成立不足三个月的则提供承诺书（自拟）。</w:t>
            </w:r>
          </w:p>
        </w:tc>
      </w:tr>
      <w:tr w14:paraId="745E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15" w:hRule="atLeast"/>
          <w:jc w:val="center"/>
        </w:trPr>
        <w:tc>
          <w:tcPr>
            <w:tcW w:w="534" w:type="dxa"/>
            <w:shd w:val="clear" w:color="auto" w:fill="FFFFFF" w:themeFill="background1"/>
            <w:vAlign w:val="center"/>
          </w:tcPr>
          <w:p w14:paraId="6C057A2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w:t>
            </w:r>
          </w:p>
        </w:tc>
        <w:tc>
          <w:tcPr>
            <w:tcW w:w="1351" w:type="dxa"/>
            <w:shd w:val="clear" w:color="auto" w:fill="FFFFFF" w:themeFill="background1"/>
            <w:vAlign w:val="center"/>
          </w:tcPr>
          <w:p w14:paraId="292D017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有效期</w:t>
            </w:r>
          </w:p>
        </w:tc>
        <w:tc>
          <w:tcPr>
            <w:tcW w:w="6765" w:type="dxa"/>
            <w:shd w:val="clear" w:color="auto" w:fill="FFFFFF" w:themeFill="background1"/>
            <w:vAlign w:val="center"/>
          </w:tcPr>
          <w:p w14:paraId="3E9EFD0A">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从提交投标文件截止之日起90日历天。</w:t>
            </w:r>
          </w:p>
        </w:tc>
      </w:tr>
      <w:tr w14:paraId="0865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0" w:hRule="atLeast"/>
          <w:jc w:val="center"/>
        </w:trPr>
        <w:tc>
          <w:tcPr>
            <w:tcW w:w="534" w:type="dxa"/>
            <w:shd w:val="clear" w:color="auto" w:fill="FFFFFF" w:themeFill="background1"/>
            <w:vAlign w:val="center"/>
          </w:tcPr>
          <w:p w14:paraId="5ED59161">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w:t>
            </w:r>
          </w:p>
        </w:tc>
        <w:tc>
          <w:tcPr>
            <w:tcW w:w="1351" w:type="dxa"/>
            <w:shd w:val="clear" w:color="auto" w:fill="FFFFFF" w:themeFill="background1"/>
            <w:vAlign w:val="center"/>
          </w:tcPr>
          <w:p w14:paraId="42371420">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6765" w:type="dxa"/>
            <w:shd w:val="clear" w:color="auto" w:fill="FFFFFF" w:themeFill="background1"/>
            <w:vAlign w:val="center"/>
          </w:tcPr>
          <w:p w14:paraId="560BD9F4">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（1）评标委员会构成：5人；</w:t>
            </w:r>
          </w:p>
          <w:p w14:paraId="1FB546AD">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（2）评标专家确定方式：经济、技术专家不少于评标委员会组成人员的三分之二，按相关规定从政府采购专家库中随机抽取。</w:t>
            </w:r>
          </w:p>
        </w:tc>
      </w:tr>
      <w:tr w14:paraId="59B9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2" w:hRule="atLeast"/>
          <w:jc w:val="center"/>
        </w:trPr>
        <w:tc>
          <w:tcPr>
            <w:tcW w:w="534" w:type="dxa"/>
            <w:shd w:val="clear" w:color="auto" w:fill="FFFFFF" w:themeFill="background1"/>
            <w:vAlign w:val="center"/>
          </w:tcPr>
          <w:p w14:paraId="292DE8F4">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w:t>
            </w:r>
          </w:p>
        </w:tc>
        <w:tc>
          <w:tcPr>
            <w:tcW w:w="1351" w:type="dxa"/>
            <w:shd w:val="clear" w:color="auto" w:fill="FFFFFF" w:themeFill="background1"/>
            <w:vAlign w:val="center"/>
          </w:tcPr>
          <w:p w14:paraId="614EA47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办法</w:t>
            </w:r>
          </w:p>
        </w:tc>
        <w:tc>
          <w:tcPr>
            <w:tcW w:w="6765" w:type="dxa"/>
            <w:shd w:val="clear" w:color="auto" w:fill="FFFFFF" w:themeFill="background1"/>
            <w:vAlign w:val="center"/>
          </w:tcPr>
          <w:p w14:paraId="2108628B">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综合评分法</w:t>
            </w:r>
          </w:p>
        </w:tc>
      </w:tr>
      <w:tr w14:paraId="7345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0" w:hRule="atLeast"/>
          <w:jc w:val="center"/>
        </w:trPr>
        <w:tc>
          <w:tcPr>
            <w:tcW w:w="534" w:type="dxa"/>
            <w:shd w:val="clear" w:color="auto" w:fill="FFFFFF" w:themeFill="background1"/>
            <w:vAlign w:val="center"/>
          </w:tcPr>
          <w:p w14:paraId="2EC93A16">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p>
        </w:tc>
        <w:tc>
          <w:tcPr>
            <w:tcW w:w="1351" w:type="dxa"/>
            <w:shd w:val="clear" w:color="auto" w:fill="FFFFFF" w:themeFill="background1"/>
            <w:vAlign w:val="center"/>
          </w:tcPr>
          <w:p w14:paraId="78C6301C">
            <w:pPr>
              <w:spacing w:line="5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是否授权评标委员会确定中标人</w:t>
            </w:r>
          </w:p>
        </w:tc>
        <w:tc>
          <w:tcPr>
            <w:tcW w:w="6765" w:type="dxa"/>
            <w:shd w:val="clear" w:color="auto" w:fill="FFFFFF" w:themeFill="background1"/>
            <w:vAlign w:val="center"/>
          </w:tcPr>
          <w:p w14:paraId="6630A55F">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否，推荐3名中标候选人。</w:t>
            </w:r>
          </w:p>
        </w:tc>
      </w:tr>
      <w:tr w14:paraId="2008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19" w:hRule="atLeast"/>
          <w:jc w:val="center"/>
        </w:trPr>
        <w:tc>
          <w:tcPr>
            <w:tcW w:w="534" w:type="dxa"/>
            <w:shd w:val="clear" w:color="auto" w:fill="FFFFFF" w:themeFill="background1"/>
            <w:vAlign w:val="center"/>
          </w:tcPr>
          <w:p w14:paraId="3A8855BF">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w:t>
            </w:r>
          </w:p>
        </w:tc>
        <w:tc>
          <w:tcPr>
            <w:tcW w:w="1351" w:type="dxa"/>
            <w:shd w:val="clear" w:color="auto" w:fill="FFFFFF" w:themeFill="background1"/>
            <w:vAlign w:val="center"/>
          </w:tcPr>
          <w:p w14:paraId="1B4E59A1">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65" w:type="dxa"/>
            <w:shd w:val="clear" w:color="auto" w:fill="FFFFFF" w:themeFill="background1"/>
            <w:vAlign w:val="center"/>
          </w:tcPr>
          <w:p w14:paraId="67901701">
            <w:pPr>
              <w:spacing w:line="5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金额：合同签订后总价3%；</w:t>
            </w:r>
          </w:p>
          <w:p w14:paraId="7AF9D79F">
            <w:pPr>
              <w:spacing w:line="5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提交时间：合同签订后5个工作日内；</w:t>
            </w:r>
          </w:p>
          <w:p w14:paraId="27D135C7">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退还方式：验收合格后5个工作日内无息退还。</w:t>
            </w:r>
          </w:p>
        </w:tc>
      </w:tr>
      <w:tr w14:paraId="3F44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0" w:hRule="atLeast"/>
          <w:jc w:val="center"/>
        </w:trPr>
        <w:tc>
          <w:tcPr>
            <w:tcW w:w="534" w:type="dxa"/>
            <w:shd w:val="clear" w:color="auto" w:fill="FFFFFF" w:themeFill="background1"/>
            <w:vAlign w:val="center"/>
          </w:tcPr>
          <w:p w14:paraId="109DCD1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w:t>
            </w:r>
          </w:p>
        </w:tc>
        <w:tc>
          <w:tcPr>
            <w:tcW w:w="1351" w:type="dxa"/>
            <w:shd w:val="clear" w:color="auto" w:fill="FFFFFF" w:themeFill="background1"/>
            <w:vAlign w:val="center"/>
          </w:tcPr>
          <w:p w14:paraId="10D2931A">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t>代理服务费</w:t>
            </w:r>
          </w:p>
        </w:tc>
        <w:tc>
          <w:tcPr>
            <w:tcW w:w="6765" w:type="dxa"/>
            <w:shd w:val="clear" w:color="auto" w:fill="FFFFFF" w:themeFill="background1"/>
            <w:vAlign w:val="center"/>
          </w:tcPr>
          <w:p w14:paraId="7961FD72">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由中标供应商支付，按国家计委计价格〔2002〕1980号规定的服务类标准计取。</w:t>
            </w:r>
          </w:p>
        </w:tc>
      </w:tr>
      <w:tr w14:paraId="418C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19" w:hRule="atLeast"/>
          <w:jc w:val="center"/>
        </w:trPr>
        <w:tc>
          <w:tcPr>
            <w:tcW w:w="534" w:type="dxa"/>
            <w:shd w:val="clear" w:color="auto" w:fill="FFFFFF" w:themeFill="background1"/>
            <w:vAlign w:val="center"/>
          </w:tcPr>
          <w:p w14:paraId="53B812DA">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26</w:t>
            </w:r>
          </w:p>
        </w:tc>
        <w:tc>
          <w:tcPr>
            <w:tcW w:w="1351" w:type="dxa"/>
            <w:shd w:val="clear" w:color="auto" w:fill="FFFFFF" w:themeFill="background1"/>
            <w:vAlign w:val="center"/>
          </w:tcPr>
          <w:p w14:paraId="57B82463">
            <w:pPr>
              <w:spacing w:line="5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付款方式</w:t>
            </w:r>
          </w:p>
        </w:tc>
        <w:tc>
          <w:tcPr>
            <w:tcW w:w="6765" w:type="dxa"/>
            <w:shd w:val="clear" w:color="auto" w:fill="FFFFFF" w:themeFill="background1"/>
            <w:vAlign w:val="center"/>
          </w:tcPr>
          <w:p w14:paraId="1644F46E">
            <w:pPr>
              <w:numPr>
                <w:ilvl w:val="-1"/>
                <w:numId w:val="0"/>
              </w:num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合同签订后支付合同总价的</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eastAsia="zh-CN"/>
              </w:rPr>
              <w:t>0%作为预付款；完成全部检测并提交正式检测报告、验收合格后支付至合同总价的97%，</w:t>
            </w:r>
            <w:bookmarkStart w:id="172" w:name="_GoBack"/>
            <w:bookmarkEnd w:id="172"/>
            <w:r>
              <w:rPr>
                <w:rFonts w:hint="eastAsia" w:ascii="宋体" w:hAnsi="宋体" w:eastAsia="宋体" w:cs="宋体"/>
                <w:color w:val="auto"/>
                <w:sz w:val="24"/>
                <w:szCs w:val="24"/>
                <w:highlight w:val="none"/>
                <w:u w:val="none"/>
                <w:lang w:eastAsia="zh-CN"/>
              </w:rPr>
              <w:t>自验收合格之日起满1年无质量问题支付至合同总价的</w:t>
            </w:r>
            <w:r>
              <w:rPr>
                <w:rFonts w:hint="eastAsia" w:ascii="宋体" w:hAnsi="宋体" w:eastAsia="宋体" w:cs="宋体"/>
                <w:color w:val="auto"/>
                <w:sz w:val="24"/>
                <w:szCs w:val="24"/>
                <w:highlight w:val="none"/>
                <w:u w:val="none"/>
                <w:lang w:val="en-US" w:eastAsia="zh-CN"/>
              </w:rPr>
              <w:t>100</w:t>
            </w:r>
            <w:r>
              <w:rPr>
                <w:rFonts w:hint="eastAsia" w:ascii="宋体" w:hAnsi="宋体" w:eastAsia="宋体" w:cs="宋体"/>
                <w:color w:val="auto"/>
                <w:sz w:val="24"/>
                <w:szCs w:val="24"/>
                <w:highlight w:val="none"/>
                <w:u w:val="none"/>
                <w:lang w:eastAsia="zh-CN"/>
              </w:rPr>
              <w:t>%。</w:t>
            </w:r>
          </w:p>
        </w:tc>
      </w:tr>
      <w:tr w14:paraId="24C0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4" w:type="dxa"/>
            <w:shd w:val="clear" w:color="auto" w:fill="FFFFFF" w:themeFill="background1"/>
            <w:vAlign w:val="center"/>
          </w:tcPr>
          <w:p w14:paraId="54E4D890">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27</w:t>
            </w:r>
          </w:p>
        </w:tc>
        <w:tc>
          <w:tcPr>
            <w:tcW w:w="1351" w:type="dxa"/>
            <w:shd w:val="clear" w:color="auto" w:fill="FFFFFF" w:themeFill="background1"/>
            <w:vAlign w:val="center"/>
          </w:tcPr>
          <w:p w14:paraId="6A54F835">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765" w:type="dxa"/>
            <w:shd w:val="clear" w:color="auto" w:fill="FFFFFF" w:themeFill="background1"/>
            <w:vAlign w:val="center"/>
          </w:tcPr>
          <w:p w14:paraId="58C2F8AC">
            <w:pPr>
              <w:numPr>
                <w:ilvl w:val="0"/>
                <w:numId w:val="0"/>
              </w:num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auto"/>
                <w:sz w:val="24"/>
                <w:szCs w:val="24"/>
                <w:highlight w:val="none"/>
                <w:lang w:val="en-US" w:eastAsia="zh-CN" w:bidi="ar-SA"/>
              </w:rPr>
              <w:t>（1）</w:t>
            </w:r>
            <w:r>
              <w:rPr>
                <w:rFonts w:hint="eastAsia" w:ascii="宋体" w:hAnsi="宋体" w:eastAsia="宋体" w:cs="宋体"/>
                <w:color w:val="auto"/>
                <w:sz w:val="24"/>
                <w:szCs w:val="24"/>
                <w:highlight w:val="none"/>
                <w:lang w:eastAsia="zh-CN"/>
              </w:rPr>
              <w:t>本次招标如有变更、澄清或其他通知将在发布招标公告的网站（新疆政府采购网）上公布。</w:t>
            </w:r>
          </w:p>
          <w:p w14:paraId="4ACABC25">
            <w:pPr>
              <w:numPr>
                <w:ilvl w:val="0"/>
                <w:numId w:val="0"/>
              </w:numPr>
              <w:spacing w:line="560" w:lineRule="exact"/>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en-US" w:bidi="ar-SA"/>
              </w:rPr>
              <w:t>（2）</w:t>
            </w:r>
            <w:r>
              <w:rPr>
                <w:rFonts w:hint="eastAsia" w:ascii="宋体" w:hAnsi="宋体" w:eastAsia="宋体" w:cs="宋体"/>
                <w:color w:val="auto"/>
                <w:sz w:val="24"/>
                <w:szCs w:val="24"/>
                <w:highlight w:val="none"/>
              </w:rPr>
              <w:t>重要说明：①本项目采用全流程不见面电子开评标，投标人需要使用CA加密设备，投标人可通过新疆数字证书认证中心官网（https://www.xjca.com.cn/）或下载“新疆政务通”APP自行进行申领。</w:t>
            </w:r>
          </w:p>
          <w:p w14:paraId="5EA0B33A">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②本项目实行网上投标，采用加密电子投标文件（投标人须使用CA加密设备通过政采云电子投标客户端制作投标文件）。若投标人参与投标，自行承担投标一切费用。</w:t>
            </w:r>
          </w:p>
          <w:p w14:paraId="5608A577">
            <w:pPr>
              <w:numPr>
                <w:ilvl w:val="0"/>
                <w:numId w:val="0"/>
              </w:num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auto"/>
                <w:sz w:val="24"/>
                <w:szCs w:val="24"/>
                <w:highlight w:val="none"/>
                <w:lang w:val="en-US" w:eastAsia="zh-CN" w:bidi="ar-SA"/>
              </w:rPr>
              <w:t>（3）</w:t>
            </w:r>
            <w:r>
              <w:rPr>
                <w:rFonts w:hint="eastAsia" w:ascii="宋体" w:hAnsi="宋体" w:eastAsia="宋体" w:cs="宋体"/>
                <w:color w:val="auto"/>
                <w:sz w:val="24"/>
                <w:szCs w:val="24"/>
                <w:highlight w:val="none"/>
                <w:lang w:eastAsia="zh-CN"/>
              </w:rPr>
              <w:t>投标人使用相同IP地址的，一经发现，相关部门将进一步核实，查实后按串通投标处理。</w:t>
            </w:r>
          </w:p>
        </w:tc>
      </w:tr>
      <w:tr w14:paraId="04D5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0" w:hRule="atLeast"/>
          <w:jc w:val="center"/>
        </w:trPr>
        <w:tc>
          <w:tcPr>
            <w:tcW w:w="534" w:type="dxa"/>
            <w:shd w:val="clear" w:color="auto" w:fill="FFFFFF" w:themeFill="background1"/>
            <w:vAlign w:val="center"/>
          </w:tcPr>
          <w:p w14:paraId="340CBB9B">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1351" w:type="dxa"/>
            <w:shd w:val="clear" w:color="auto" w:fill="FFFFFF" w:themeFill="background1"/>
            <w:vAlign w:val="center"/>
          </w:tcPr>
          <w:p w14:paraId="29D1E45B">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政府采购支持及所属行业划分</w:t>
            </w:r>
          </w:p>
        </w:tc>
        <w:tc>
          <w:tcPr>
            <w:tcW w:w="6765" w:type="dxa"/>
            <w:shd w:val="clear" w:color="auto" w:fill="FFFFFF" w:themeFill="background1"/>
            <w:vAlign w:val="center"/>
          </w:tcPr>
          <w:p w14:paraId="32396D54">
            <w:pPr>
              <w:numPr>
                <w:ilvl w:val="0"/>
                <w:numId w:val="3"/>
              </w:num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本项目为专门面向中小企业</w:t>
            </w:r>
            <w:r>
              <w:rPr>
                <w:rFonts w:hint="eastAsia" w:ascii="宋体" w:hAnsi="宋体" w:eastAsia="宋体" w:cs="宋体"/>
                <w:color w:val="auto"/>
                <w:sz w:val="24"/>
                <w:szCs w:val="24"/>
                <w:highlight w:val="none"/>
              </w:rPr>
              <w:t>，根据《政府采购促进中小企业发展管理办法》（财库[2020]46 号）、《关于进一步加大政府采购支持中小企业力度的通知》（财库[2022]19 号）及《关于落实好政府采购支持中小企业发展的通知》（新财购[2022]22号）的规定，评标时将给予此类企业进行价格10%的优惠，监狱企业、残疾人福利性单位视同为小微企业，用优惠后的价格参与评审。</w:t>
            </w:r>
          </w:p>
          <w:p w14:paraId="63013C46">
            <w:pPr>
              <w:numPr>
                <w:ilvl w:val="0"/>
                <w:numId w:val="3"/>
              </w:num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本项目采购标的对应的中小企业划分标准所属行业为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工业</w:t>
            </w:r>
            <w:r>
              <w:rPr>
                <w:rFonts w:hint="eastAsia" w:ascii="宋体" w:hAnsi="宋体" w:eastAsia="宋体" w:cs="宋体"/>
                <w:color w:val="auto"/>
                <w:sz w:val="24"/>
                <w:szCs w:val="24"/>
                <w:highlight w:val="none"/>
              </w:rPr>
              <w:t>（行业划分）。</w:t>
            </w:r>
            <w:r>
              <w:rPr>
                <w:rFonts w:hint="eastAsia" w:eastAsia="宋体" w:cs="宋体"/>
                <w:color w:val="auto"/>
                <w:sz w:val="24"/>
                <w:szCs w:val="24"/>
                <w:highlight w:val="none"/>
                <w:shd w:val="clear" w:color="auto" w:fill="FFFFFF"/>
                <w:lang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bl>
    <w:p w14:paraId="0DE91748">
      <w:pPr>
        <w:pStyle w:val="3"/>
        <w:spacing w:before="0" w:after="0" w:line="360" w:lineRule="auto"/>
        <w:jc w:val="center"/>
        <w:rPr>
          <w:rFonts w:hint="eastAsia" w:ascii="宋体" w:hAnsi="宋体" w:eastAsia="宋体" w:cs="宋体"/>
          <w:bCs w:val="0"/>
          <w:color w:val="auto"/>
          <w:sz w:val="24"/>
          <w:szCs w:val="24"/>
          <w:highlight w:val="none"/>
          <w:lang w:eastAsia="zh-CN"/>
        </w:rPr>
      </w:pPr>
      <w:r>
        <w:rPr>
          <w:rFonts w:hint="eastAsia" w:ascii="宋体" w:hAnsi="宋体" w:eastAsia="宋体" w:cs="宋体"/>
          <w:bCs w:val="0"/>
          <w:color w:val="auto"/>
          <w:sz w:val="24"/>
          <w:szCs w:val="24"/>
          <w:highlight w:val="none"/>
          <w:lang w:eastAsia="zh-CN"/>
        </w:rPr>
        <w:br w:type="page"/>
      </w:r>
      <w:bookmarkStart w:id="38" w:name="_Toc31709"/>
      <w:r>
        <w:rPr>
          <w:rFonts w:hint="eastAsia" w:ascii="宋体" w:hAnsi="宋体" w:eastAsia="宋体" w:cs="宋体"/>
          <w:bCs w:val="0"/>
          <w:color w:val="auto"/>
          <w:sz w:val="24"/>
          <w:szCs w:val="24"/>
          <w:highlight w:val="none"/>
          <w:lang w:eastAsia="zh-CN"/>
        </w:rPr>
        <w:t>二、总  则</w:t>
      </w:r>
      <w:bookmarkEnd w:id="38"/>
    </w:p>
    <w:p w14:paraId="422EE213">
      <w:pPr>
        <w:widowControl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bookmarkStart w:id="39" w:name="_Toc183682342"/>
      <w:bookmarkStart w:id="40" w:name="_Toc183582205"/>
      <w:bookmarkStart w:id="41" w:name="_Toc217446034"/>
      <w:r>
        <w:rPr>
          <w:rFonts w:hint="eastAsia" w:ascii="宋体" w:hAnsi="宋体" w:eastAsia="宋体" w:cs="宋体"/>
          <w:b/>
          <w:bCs/>
          <w:color w:val="auto"/>
          <w:kern w:val="2"/>
          <w:sz w:val="24"/>
          <w:szCs w:val="24"/>
          <w:highlight w:val="none"/>
          <w:lang w:eastAsia="zh-CN"/>
        </w:rPr>
        <w:t>1.</w:t>
      </w:r>
      <w:bookmarkEnd w:id="39"/>
      <w:bookmarkEnd w:id="40"/>
      <w:r>
        <w:rPr>
          <w:rFonts w:hint="eastAsia" w:ascii="宋体" w:hAnsi="宋体" w:eastAsia="宋体" w:cs="宋体"/>
          <w:b/>
          <w:bCs/>
          <w:color w:val="auto"/>
          <w:kern w:val="2"/>
          <w:sz w:val="24"/>
          <w:szCs w:val="24"/>
          <w:highlight w:val="none"/>
          <w:lang w:eastAsia="zh-CN"/>
        </w:rPr>
        <w:t>适用范围</w:t>
      </w:r>
      <w:bookmarkEnd w:id="41"/>
    </w:p>
    <w:p w14:paraId="1BA3C03B">
      <w:pPr>
        <w:widowControl w:val="0"/>
        <w:tabs>
          <w:tab w:val="left" w:pos="7665"/>
        </w:tabs>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1.1 本招标文件仅适用于本次招标项目。</w:t>
      </w:r>
    </w:p>
    <w:p w14:paraId="74125C4A">
      <w:pPr>
        <w:widowControl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bookmarkStart w:id="42" w:name="_Toc183682343"/>
      <w:bookmarkStart w:id="43" w:name="_Toc183582206"/>
      <w:bookmarkStart w:id="44" w:name="_Toc217446035"/>
      <w:r>
        <w:rPr>
          <w:rFonts w:hint="eastAsia" w:ascii="宋体" w:hAnsi="宋体" w:eastAsia="宋体" w:cs="宋体"/>
          <w:b/>
          <w:bCs/>
          <w:color w:val="auto"/>
          <w:kern w:val="2"/>
          <w:sz w:val="24"/>
          <w:szCs w:val="24"/>
          <w:highlight w:val="none"/>
          <w:lang w:eastAsia="zh-CN"/>
        </w:rPr>
        <w:t>2.</w:t>
      </w:r>
      <w:bookmarkEnd w:id="42"/>
      <w:bookmarkEnd w:id="43"/>
      <w:r>
        <w:rPr>
          <w:rFonts w:hint="eastAsia" w:ascii="宋体" w:hAnsi="宋体" w:eastAsia="宋体" w:cs="宋体"/>
          <w:b/>
          <w:bCs/>
          <w:color w:val="auto"/>
          <w:kern w:val="2"/>
          <w:sz w:val="24"/>
          <w:szCs w:val="24"/>
          <w:highlight w:val="none"/>
          <w:lang w:eastAsia="zh-CN"/>
        </w:rPr>
        <w:t>有关定义</w:t>
      </w:r>
      <w:bookmarkEnd w:id="44"/>
    </w:p>
    <w:p w14:paraId="7F6B804F">
      <w:pPr>
        <w:widowControl w:val="0"/>
        <w:tabs>
          <w:tab w:val="left" w:pos="7665"/>
        </w:tabs>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2.1 “采购人”系指依法进行政府采购的国家机关、事业单位、团体组织。本项目采购人是</w:t>
      </w:r>
      <w:r>
        <w:rPr>
          <w:rFonts w:hint="eastAsia" w:ascii="宋体" w:hAnsi="宋体" w:eastAsia="宋体" w:cs="宋体"/>
          <w:color w:val="auto"/>
          <w:kern w:val="2"/>
          <w:sz w:val="24"/>
          <w:szCs w:val="24"/>
          <w:highlight w:val="none"/>
          <w:u w:val="single"/>
          <w:lang w:eastAsia="zh-CN"/>
        </w:rPr>
        <w:t>新疆职业大学</w:t>
      </w:r>
      <w:r>
        <w:rPr>
          <w:rFonts w:hint="eastAsia" w:ascii="宋体" w:hAnsi="宋体" w:eastAsia="宋体" w:cs="宋体"/>
          <w:color w:val="auto"/>
          <w:kern w:val="2"/>
          <w:sz w:val="24"/>
          <w:szCs w:val="24"/>
          <w:highlight w:val="none"/>
          <w:lang w:eastAsia="zh-CN"/>
        </w:rPr>
        <w:t>。</w:t>
      </w:r>
    </w:p>
    <w:p w14:paraId="5A265999">
      <w:pPr>
        <w:widowControl w:val="0"/>
        <w:tabs>
          <w:tab w:val="left" w:pos="7665"/>
        </w:tabs>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2.2 “采购代理机构”系指根据采购人的委托依法办理招标事宜的采购机构。本次招标的采购代理机构是</w:t>
      </w:r>
      <w:r>
        <w:rPr>
          <w:rFonts w:hint="eastAsia" w:ascii="宋体" w:hAnsi="宋体" w:eastAsia="宋体" w:cs="宋体"/>
          <w:color w:val="auto"/>
          <w:sz w:val="24"/>
          <w:szCs w:val="24"/>
          <w:highlight w:val="none"/>
          <w:u w:val="single"/>
          <w:lang w:eastAsia="zh-CN"/>
        </w:rPr>
        <w:t>新疆金正建设工程管理有限公司</w:t>
      </w:r>
      <w:r>
        <w:rPr>
          <w:rFonts w:hint="eastAsia" w:ascii="宋体" w:hAnsi="宋体" w:eastAsia="宋体" w:cs="宋体"/>
          <w:color w:val="auto"/>
          <w:kern w:val="2"/>
          <w:sz w:val="24"/>
          <w:szCs w:val="24"/>
          <w:highlight w:val="none"/>
          <w:lang w:eastAsia="zh-CN"/>
        </w:rPr>
        <w:t>。</w:t>
      </w:r>
    </w:p>
    <w:p w14:paraId="0C482903">
      <w:pPr>
        <w:widowControl w:val="0"/>
        <w:tabs>
          <w:tab w:val="left" w:pos="7665"/>
        </w:tabs>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2.3 “采购单位”系指“采购人”和“采购代理机构”的统称。</w:t>
      </w:r>
    </w:p>
    <w:p w14:paraId="475A172E">
      <w:pPr>
        <w:widowControl w:val="0"/>
        <w:tabs>
          <w:tab w:val="left" w:pos="7665"/>
        </w:tabs>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2.4 “投标人”指下载了招标文件拟参加投标和向采购人提供服务的投标人。</w:t>
      </w:r>
    </w:p>
    <w:p w14:paraId="6638174D">
      <w:pPr>
        <w:widowControl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bookmarkStart w:id="45" w:name="_Toc217390843"/>
      <w:bookmarkStart w:id="46" w:name="_Toc183682344"/>
      <w:bookmarkStart w:id="47" w:name="_Toc217446036"/>
      <w:bookmarkStart w:id="48" w:name="_Toc183582207"/>
      <w:r>
        <w:rPr>
          <w:rFonts w:hint="eastAsia" w:ascii="宋体" w:hAnsi="宋体" w:eastAsia="宋体" w:cs="宋体"/>
          <w:b/>
          <w:bCs/>
          <w:color w:val="auto"/>
          <w:kern w:val="2"/>
          <w:sz w:val="24"/>
          <w:szCs w:val="24"/>
          <w:highlight w:val="none"/>
          <w:lang w:eastAsia="zh-CN"/>
        </w:rPr>
        <w:t>3.合格的</w:t>
      </w:r>
      <w:bookmarkEnd w:id="45"/>
      <w:bookmarkEnd w:id="46"/>
      <w:bookmarkEnd w:id="47"/>
      <w:bookmarkEnd w:id="48"/>
      <w:r>
        <w:rPr>
          <w:rFonts w:hint="eastAsia" w:ascii="宋体" w:hAnsi="宋体" w:eastAsia="宋体" w:cs="宋体"/>
          <w:b/>
          <w:bCs/>
          <w:color w:val="auto"/>
          <w:kern w:val="2"/>
          <w:sz w:val="24"/>
          <w:szCs w:val="24"/>
          <w:highlight w:val="none"/>
          <w:lang w:eastAsia="zh-CN"/>
        </w:rPr>
        <w:t>投标人</w:t>
      </w:r>
    </w:p>
    <w:p w14:paraId="10E2CBC7">
      <w:pPr>
        <w:widowControl w:val="0"/>
        <w:tabs>
          <w:tab w:val="left" w:pos="7665"/>
        </w:tabs>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合格的投标人应具备以下条件：</w:t>
      </w:r>
    </w:p>
    <w:p w14:paraId="67B04CDC">
      <w:pPr>
        <w:widowControl w:val="0"/>
        <w:tabs>
          <w:tab w:val="left" w:pos="7665"/>
        </w:tabs>
        <w:adjustRightInd/>
        <w:snapToGrid/>
        <w:spacing w:line="560" w:lineRule="exact"/>
        <w:ind w:firstLine="480" w:firstLineChars="200"/>
        <w:jc w:val="both"/>
        <w:textAlignment w:val="auto"/>
        <w:rPr>
          <w:rFonts w:hint="eastAsia" w:ascii="宋体" w:hAnsi="宋体" w:eastAsia="宋体" w:cs="宋体"/>
          <w:color w:val="auto"/>
          <w:spacing w:val="-4"/>
          <w:kern w:val="2"/>
          <w:sz w:val="24"/>
          <w:szCs w:val="24"/>
          <w:highlight w:val="none"/>
          <w:lang w:eastAsia="zh-CN"/>
        </w:rPr>
      </w:pPr>
      <w:r>
        <w:rPr>
          <w:rFonts w:hint="eastAsia" w:ascii="宋体" w:hAnsi="宋体" w:eastAsia="宋体" w:cs="宋体"/>
          <w:color w:val="auto"/>
          <w:kern w:val="2"/>
          <w:sz w:val="24"/>
          <w:szCs w:val="24"/>
          <w:highlight w:val="none"/>
          <w:lang w:eastAsia="zh-CN"/>
        </w:rPr>
        <w:t>（1）本招标文件“招标公告”第二条规定的条件</w:t>
      </w:r>
      <w:r>
        <w:rPr>
          <w:rFonts w:hint="eastAsia" w:ascii="宋体" w:hAnsi="宋体" w:eastAsia="宋体" w:cs="宋体"/>
          <w:color w:val="auto"/>
          <w:spacing w:val="-4"/>
          <w:kern w:val="2"/>
          <w:sz w:val="24"/>
          <w:szCs w:val="24"/>
          <w:highlight w:val="none"/>
          <w:lang w:eastAsia="zh-CN"/>
        </w:rPr>
        <w:t>；</w:t>
      </w:r>
    </w:p>
    <w:p w14:paraId="71817D45">
      <w:pPr>
        <w:widowControl w:val="0"/>
        <w:tabs>
          <w:tab w:val="left" w:pos="7665"/>
        </w:tabs>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（2）遵守国家有关的法律、法规、规章和其他政策规定；</w:t>
      </w:r>
    </w:p>
    <w:p w14:paraId="0FAFA8BF">
      <w:pPr>
        <w:widowControl w:val="0"/>
        <w:tabs>
          <w:tab w:val="left" w:pos="7665"/>
        </w:tabs>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（3）下载了招标文件并按要求缴纳投标保证金。</w:t>
      </w:r>
    </w:p>
    <w:p w14:paraId="60E9516B">
      <w:pPr>
        <w:widowControl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bookmarkStart w:id="49" w:name="_Toc217446037"/>
      <w:bookmarkStart w:id="50" w:name="_Toc183582208"/>
      <w:bookmarkStart w:id="51" w:name="_Toc183682345"/>
      <w:r>
        <w:rPr>
          <w:rFonts w:hint="eastAsia" w:ascii="宋体" w:hAnsi="宋体" w:eastAsia="宋体" w:cs="宋体"/>
          <w:b/>
          <w:bCs/>
          <w:color w:val="auto"/>
          <w:kern w:val="2"/>
          <w:sz w:val="24"/>
          <w:szCs w:val="24"/>
          <w:highlight w:val="none"/>
          <w:lang w:eastAsia="zh-CN"/>
        </w:rPr>
        <w:t>4.投标费用</w:t>
      </w:r>
      <w:bookmarkEnd w:id="49"/>
      <w:bookmarkEnd w:id="50"/>
      <w:bookmarkEnd w:id="51"/>
    </w:p>
    <w:p w14:paraId="71E57240">
      <w:pPr>
        <w:widowControl w:val="0"/>
        <w:tabs>
          <w:tab w:val="left" w:pos="7665"/>
        </w:tabs>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投标人参加投标的有关费用由投标人自行承担。</w:t>
      </w:r>
    </w:p>
    <w:p w14:paraId="0A5CEF2C">
      <w:pPr>
        <w:keepLines/>
        <w:widowControl w:val="0"/>
        <w:spacing w:line="560" w:lineRule="exact"/>
        <w:ind w:firstLine="482" w:firstLineChars="200"/>
        <w:jc w:val="center"/>
        <w:outlineLvl w:val="1"/>
        <w:rPr>
          <w:rFonts w:hint="eastAsia" w:ascii="宋体" w:hAnsi="宋体" w:eastAsia="宋体" w:cs="宋体"/>
          <w:b/>
          <w:bCs/>
          <w:color w:val="auto"/>
          <w:kern w:val="2"/>
          <w:sz w:val="24"/>
          <w:szCs w:val="24"/>
          <w:highlight w:val="none"/>
          <w:lang w:eastAsia="zh-CN"/>
        </w:rPr>
      </w:pPr>
      <w:bookmarkStart w:id="52" w:name="_Toc89075875"/>
      <w:bookmarkStart w:id="53" w:name="_Toc183682346"/>
      <w:bookmarkStart w:id="54" w:name="_Toc183582209"/>
      <w:bookmarkStart w:id="55" w:name="_Toc77400779"/>
      <w:bookmarkStart w:id="56" w:name="_Toc217446038"/>
      <w:r>
        <w:rPr>
          <w:rFonts w:hint="eastAsia" w:ascii="宋体" w:hAnsi="宋体" w:eastAsia="宋体" w:cs="宋体"/>
          <w:b/>
          <w:bCs/>
          <w:color w:val="auto"/>
          <w:kern w:val="2"/>
          <w:sz w:val="24"/>
          <w:szCs w:val="24"/>
          <w:highlight w:val="none"/>
          <w:lang w:eastAsia="zh-CN"/>
        </w:rPr>
        <w:t>三、</w:t>
      </w:r>
      <w:bookmarkEnd w:id="52"/>
      <w:bookmarkEnd w:id="53"/>
      <w:bookmarkEnd w:id="54"/>
      <w:bookmarkEnd w:id="55"/>
      <w:bookmarkEnd w:id="56"/>
      <w:r>
        <w:rPr>
          <w:rFonts w:hint="eastAsia" w:ascii="宋体" w:hAnsi="宋体" w:eastAsia="宋体" w:cs="宋体"/>
          <w:b/>
          <w:bCs/>
          <w:color w:val="auto"/>
          <w:kern w:val="2"/>
          <w:sz w:val="24"/>
          <w:szCs w:val="24"/>
          <w:highlight w:val="none"/>
          <w:lang w:eastAsia="zh-CN"/>
        </w:rPr>
        <w:t>招标文件</w:t>
      </w:r>
    </w:p>
    <w:p w14:paraId="2A503072">
      <w:pPr>
        <w:widowControl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bookmarkStart w:id="57" w:name="_Toc217446039"/>
      <w:bookmarkStart w:id="58" w:name="_Toc183582210"/>
      <w:bookmarkStart w:id="59" w:name="_Toc183682347"/>
      <w:r>
        <w:rPr>
          <w:rFonts w:hint="eastAsia" w:ascii="宋体" w:hAnsi="宋体" w:eastAsia="宋体" w:cs="宋体"/>
          <w:b/>
          <w:bCs/>
          <w:color w:val="auto"/>
          <w:kern w:val="2"/>
          <w:sz w:val="24"/>
          <w:szCs w:val="24"/>
          <w:highlight w:val="none"/>
          <w:lang w:eastAsia="zh-CN"/>
        </w:rPr>
        <w:t>5</w:t>
      </w: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olor w:val="auto"/>
          <w:kern w:val="2"/>
          <w:sz w:val="24"/>
          <w:szCs w:val="24"/>
          <w:highlight w:val="none"/>
          <w:lang w:eastAsia="zh-CN"/>
        </w:rPr>
        <w:t>招标文件的构成</w:t>
      </w:r>
      <w:bookmarkEnd w:id="57"/>
      <w:bookmarkEnd w:id="58"/>
      <w:bookmarkEnd w:id="59"/>
    </w:p>
    <w:p w14:paraId="615F4780">
      <w:pPr>
        <w:widowControl w:val="0"/>
        <w:tabs>
          <w:tab w:val="left" w:pos="720"/>
        </w:tabs>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5</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color w:val="auto"/>
          <w:kern w:val="2"/>
          <w:sz w:val="24"/>
          <w:szCs w:val="24"/>
          <w:highlight w:val="none"/>
          <w:lang w:eastAsia="zh-CN"/>
        </w:rPr>
        <w:t>1 招标文件是投标人准备投标文件和参加投标的依据，同时也是评标的重要依据，具有准法律文件性质。招标文件用以阐明招标项目所需的资质、技术、报价、招标程序、有关规定和注意事项以及拟签订的合同文本等。本招标文件包括以下内容：</w:t>
      </w:r>
      <w:r>
        <w:rPr>
          <w:rFonts w:hint="eastAsia" w:ascii="宋体" w:hAnsi="宋体" w:eastAsia="宋体" w:cs="宋体"/>
          <w:color w:val="auto"/>
          <w:kern w:val="2"/>
          <w:sz w:val="24"/>
          <w:szCs w:val="24"/>
          <w:highlight w:val="none"/>
          <w:lang w:eastAsia="zh-CN"/>
        </w:rPr>
        <w:tab/>
      </w:r>
    </w:p>
    <w:p w14:paraId="1F46DB49">
      <w:pPr>
        <w:widowControl w:val="0"/>
        <w:tabs>
          <w:tab w:val="left" w:pos="0"/>
          <w:tab w:val="left" w:pos="7665"/>
        </w:tabs>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（1）投标人须知</w:t>
      </w:r>
      <w:r>
        <w:rPr>
          <w:rFonts w:hint="eastAsia" w:ascii="宋体" w:hAnsi="宋体" w:eastAsia="宋体" w:cs="宋体"/>
          <w:color w:val="auto"/>
          <w:kern w:val="2"/>
          <w:sz w:val="24"/>
          <w:szCs w:val="24"/>
          <w:highlight w:val="none"/>
          <w:lang w:eastAsia="zh-CN"/>
        </w:rPr>
        <w:tab/>
      </w:r>
    </w:p>
    <w:p w14:paraId="7C573491">
      <w:pPr>
        <w:widowControl w:val="0"/>
        <w:tabs>
          <w:tab w:val="left" w:pos="0"/>
          <w:tab w:val="left" w:pos="7665"/>
        </w:tabs>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（2）投标文件格式</w:t>
      </w:r>
      <w:r>
        <w:rPr>
          <w:rFonts w:hint="eastAsia" w:ascii="宋体" w:hAnsi="宋体" w:eastAsia="宋体" w:cs="宋体"/>
          <w:color w:val="auto"/>
          <w:kern w:val="2"/>
          <w:sz w:val="24"/>
          <w:szCs w:val="24"/>
          <w:highlight w:val="none"/>
          <w:lang w:eastAsia="zh-CN"/>
        </w:rPr>
        <w:tab/>
      </w:r>
    </w:p>
    <w:p w14:paraId="38888F98">
      <w:pPr>
        <w:widowControl w:val="0"/>
        <w:tabs>
          <w:tab w:val="left" w:pos="0"/>
          <w:tab w:val="left" w:pos="7665"/>
        </w:tabs>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（3）服务需求</w:t>
      </w:r>
      <w:r>
        <w:rPr>
          <w:rFonts w:hint="eastAsia" w:ascii="宋体" w:hAnsi="宋体" w:eastAsia="宋体" w:cs="宋体"/>
          <w:color w:val="auto"/>
          <w:kern w:val="2"/>
          <w:sz w:val="24"/>
          <w:szCs w:val="24"/>
          <w:highlight w:val="none"/>
          <w:lang w:eastAsia="zh-CN"/>
        </w:rPr>
        <w:tab/>
      </w:r>
    </w:p>
    <w:p w14:paraId="69F989DE">
      <w:pPr>
        <w:widowControl w:val="0"/>
        <w:tabs>
          <w:tab w:val="left" w:pos="0"/>
          <w:tab w:val="left" w:pos="7665"/>
        </w:tabs>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（4）评标办法</w:t>
      </w:r>
      <w:r>
        <w:rPr>
          <w:rFonts w:hint="eastAsia" w:ascii="宋体" w:hAnsi="宋体" w:eastAsia="宋体" w:cs="宋体"/>
          <w:color w:val="auto"/>
          <w:kern w:val="2"/>
          <w:sz w:val="24"/>
          <w:szCs w:val="24"/>
          <w:highlight w:val="none"/>
          <w:lang w:eastAsia="zh-CN"/>
        </w:rPr>
        <w:tab/>
      </w:r>
    </w:p>
    <w:p w14:paraId="252AE6B6">
      <w:pPr>
        <w:widowControl w:val="0"/>
        <w:tabs>
          <w:tab w:val="left" w:pos="0"/>
          <w:tab w:val="left" w:pos="7665"/>
        </w:tabs>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（5）拟签订的合同文本</w:t>
      </w:r>
      <w:r>
        <w:rPr>
          <w:rFonts w:hint="eastAsia" w:ascii="宋体" w:hAnsi="宋体" w:eastAsia="宋体" w:cs="宋体"/>
          <w:color w:val="auto"/>
          <w:kern w:val="2"/>
          <w:sz w:val="24"/>
          <w:szCs w:val="24"/>
          <w:highlight w:val="none"/>
          <w:lang w:eastAsia="zh-CN"/>
        </w:rPr>
        <w:tab/>
      </w:r>
    </w:p>
    <w:p w14:paraId="79E19E85">
      <w:pPr>
        <w:widowControl w:val="0"/>
        <w:tabs>
          <w:tab w:val="left" w:pos="7665"/>
        </w:tabs>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5</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color w:val="auto"/>
          <w:kern w:val="2"/>
          <w:sz w:val="24"/>
          <w:szCs w:val="24"/>
          <w:highlight w:val="none"/>
          <w:lang w:eastAsia="zh-CN"/>
        </w:rPr>
        <w:t>2 投标人应认真阅读和充分理解招标文件中所有的事项、格式条款和规范要求。投标人没有对招标文件全面做出实质性响应是投标人的风险。没有按照招标文件要求作出实质性响应的投标文件，按</w:t>
      </w:r>
      <w:r>
        <w:rPr>
          <w:rFonts w:hint="eastAsia" w:ascii="宋体" w:hAnsi="宋体" w:eastAsia="宋体" w:cs="宋体"/>
          <w:b/>
          <w:bCs/>
          <w:color w:val="auto"/>
          <w:kern w:val="2"/>
          <w:sz w:val="24"/>
          <w:szCs w:val="24"/>
          <w:highlight w:val="none"/>
          <w:lang w:eastAsia="zh-CN"/>
        </w:rPr>
        <w:t>无效处理</w:t>
      </w:r>
      <w:r>
        <w:rPr>
          <w:rFonts w:hint="eastAsia" w:ascii="宋体" w:hAnsi="宋体" w:eastAsia="宋体" w:cs="宋体"/>
          <w:color w:val="auto"/>
          <w:kern w:val="2"/>
          <w:sz w:val="24"/>
          <w:szCs w:val="24"/>
          <w:highlight w:val="none"/>
          <w:lang w:eastAsia="zh-CN"/>
        </w:rPr>
        <w:t>。</w:t>
      </w:r>
    </w:p>
    <w:p w14:paraId="5F8B3C51">
      <w:pPr>
        <w:widowControl w:val="0"/>
        <w:adjustRightInd/>
        <w:snapToGrid/>
        <w:spacing w:line="560" w:lineRule="exact"/>
        <w:ind w:firstLine="480" w:firstLineChars="200"/>
        <w:jc w:val="both"/>
        <w:textAlignment w:val="auto"/>
        <w:rPr>
          <w:rFonts w:hint="eastAsia" w:ascii="宋体" w:hAnsi="宋体" w:eastAsia="宋体" w:cs="宋体"/>
          <w:b/>
          <w:bCs/>
          <w:color w:val="auto"/>
          <w:kern w:val="2"/>
          <w:sz w:val="24"/>
          <w:szCs w:val="24"/>
          <w:highlight w:val="none"/>
          <w:lang w:eastAsia="zh-CN"/>
        </w:rPr>
      </w:pPr>
      <w:bookmarkStart w:id="60" w:name="_Toc183582211"/>
      <w:bookmarkStart w:id="61" w:name="_Toc183682348"/>
      <w:bookmarkStart w:id="62" w:name="_Toc217446040"/>
      <w:r>
        <w:rPr>
          <w:rFonts w:hint="eastAsia" w:ascii="宋体" w:hAnsi="宋体" w:eastAsia="宋体" w:cs="宋体"/>
          <w:color w:val="auto"/>
          <w:kern w:val="2"/>
          <w:sz w:val="24"/>
          <w:szCs w:val="24"/>
          <w:highlight w:val="none"/>
          <w:lang w:eastAsia="zh-CN"/>
        </w:rPr>
        <w:t>6</w:t>
      </w:r>
      <w:r>
        <w:rPr>
          <w:rFonts w:hint="eastAsia" w:ascii="宋体" w:hAnsi="宋体" w:eastAsia="宋体" w:cs="宋体"/>
          <w:b/>
          <w:bCs/>
          <w:color w:val="auto"/>
          <w:kern w:val="2"/>
          <w:sz w:val="24"/>
          <w:szCs w:val="24"/>
          <w:highlight w:val="none"/>
          <w:lang w:eastAsia="zh-CN"/>
        </w:rPr>
        <w:t>.招标文件的澄清</w:t>
      </w:r>
      <w:bookmarkEnd w:id="60"/>
      <w:bookmarkEnd w:id="61"/>
      <w:r>
        <w:rPr>
          <w:rFonts w:hint="eastAsia" w:ascii="宋体" w:hAnsi="宋体" w:eastAsia="宋体" w:cs="宋体"/>
          <w:b/>
          <w:bCs/>
          <w:color w:val="auto"/>
          <w:kern w:val="2"/>
          <w:sz w:val="24"/>
          <w:szCs w:val="24"/>
          <w:highlight w:val="none"/>
          <w:lang w:eastAsia="zh-CN"/>
        </w:rPr>
        <w:t>和修改</w:t>
      </w:r>
      <w:bookmarkEnd w:id="62"/>
    </w:p>
    <w:p w14:paraId="7B95CDC2">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6.1 </w:t>
      </w:r>
      <w:bookmarkStart w:id="63" w:name="_Toc217446041"/>
      <w:bookmarkStart w:id="64" w:name="_Toc208848971"/>
      <w:r>
        <w:rPr>
          <w:rFonts w:hint="eastAsia" w:ascii="宋体" w:hAnsi="宋体" w:eastAsia="宋体" w:cs="宋体"/>
          <w:color w:val="auto"/>
          <w:kern w:val="2"/>
          <w:sz w:val="24"/>
          <w:szCs w:val="24"/>
          <w:highlight w:val="none"/>
          <w:lang w:eastAsia="zh-CN"/>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D037F9E">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6.2</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A4398DB">
      <w:pPr>
        <w:widowControl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7.答疑会和</w:t>
      </w:r>
      <w:bookmarkEnd w:id="63"/>
      <w:bookmarkEnd w:id="64"/>
      <w:r>
        <w:rPr>
          <w:rFonts w:hint="eastAsia" w:ascii="宋体" w:hAnsi="宋体" w:eastAsia="宋体" w:cs="宋体"/>
          <w:b/>
          <w:bCs/>
          <w:color w:val="auto"/>
          <w:kern w:val="2"/>
          <w:sz w:val="24"/>
          <w:szCs w:val="24"/>
          <w:highlight w:val="none"/>
          <w:lang w:eastAsia="zh-CN"/>
        </w:rPr>
        <w:t>踏勘现场。</w:t>
      </w:r>
    </w:p>
    <w:p w14:paraId="1175CFAB">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bookmarkStart w:id="65" w:name="_Toc89075876"/>
      <w:bookmarkStart w:id="66" w:name="_Toc217446042"/>
      <w:bookmarkStart w:id="67" w:name="_Toc77400780"/>
      <w:bookmarkStart w:id="68" w:name="_Toc183682351"/>
      <w:bookmarkStart w:id="69" w:name="_Toc183582214"/>
      <w:r>
        <w:rPr>
          <w:rFonts w:hint="eastAsia" w:ascii="宋体" w:hAnsi="宋体" w:eastAsia="宋体" w:cs="宋体"/>
          <w:color w:val="auto"/>
          <w:kern w:val="2"/>
          <w:sz w:val="24"/>
          <w:szCs w:val="24"/>
          <w:highlight w:val="none"/>
          <w:lang w:eastAsia="zh-CN"/>
        </w:rPr>
        <w:t>7.1 本项目不组织答疑会。</w:t>
      </w:r>
    </w:p>
    <w:p w14:paraId="57D9CE3B">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7.2 本项目不统一组织踏勘现场</w:t>
      </w:r>
      <w:r>
        <w:rPr>
          <w:rFonts w:hint="eastAsia" w:ascii="宋体" w:hAnsi="宋体" w:eastAsia="宋体" w:cs="宋体"/>
          <w:color w:val="auto"/>
          <w:kern w:val="2"/>
          <w:sz w:val="24"/>
          <w:szCs w:val="24"/>
          <w:highlight w:val="none"/>
          <w:lang w:eastAsia="zh-CN"/>
        </w:rPr>
        <w:t>，供应商须自行踏勘，无论供应商对现场考察与否，都将被视为熟悉履行合同有关的一切情况，供应商现场踏勘发生的费用自理。</w:t>
      </w:r>
    </w:p>
    <w:p w14:paraId="6738B0BA">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7.3 现场踏勘时间：2026年06月 4 日至2026年06月 5 日</w:t>
      </w:r>
    </w:p>
    <w:p w14:paraId="0C2F87F6">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现场踏勘联系人：</w:t>
      </w:r>
      <w:r>
        <w:rPr>
          <w:rFonts w:hint="eastAsia" w:ascii="宋体" w:hAnsi="宋体" w:eastAsia="宋体" w:cs="宋体"/>
          <w:color w:val="auto"/>
          <w:kern w:val="2"/>
          <w:sz w:val="24"/>
          <w:szCs w:val="24"/>
          <w:highlight w:val="none"/>
          <w:lang w:val="en-US" w:eastAsia="zh-CN"/>
        </w:rPr>
        <w:t>马世磊</w:t>
      </w:r>
    </w:p>
    <w:p w14:paraId="1A190FEE">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联系电话：</w:t>
      </w:r>
      <w:r>
        <w:rPr>
          <w:rFonts w:hint="eastAsia" w:ascii="宋体" w:hAnsi="宋体" w:eastAsia="宋体" w:cs="宋体"/>
          <w:color w:val="auto"/>
          <w:kern w:val="2"/>
          <w:sz w:val="24"/>
          <w:szCs w:val="24"/>
          <w:highlight w:val="none"/>
          <w:lang w:val="en-US" w:eastAsia="zh-CN"/>
        </w:rPr>
        <w:t>0991-3791767</w:t>
      </w:r>
    </w:p>
    <w:p w14:paraId="5E574922">
      <w:pPr>
        <w:keepLines/>
        <w:widowControl w:val="0"/>
        <w:spacing w:line="560" w:lineRule="exact"/>
        <w:ind w:firstLine="482" w:firstLineChars="200"/>
        <w:jc w:val="center"/>
        <w:outlineLvl w:val="1"/>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四、</w:t>
      </w:r>
      <w:bookmarkEnd w:id="65"/>
      <w:bookmarkEnd w:id="66"/>
      <w:bookmarkEnd w:id="67"/>
      <w:bookmarkEnd w:id="68"/>
      <w:bookmarkEnd w:id="69"/>
      <w:r>
        <w:rPr>
          <w:rFonts w:hint="eastAsia" w:ascii="宋体" w:hAnsi="宋体" w:eastAsia="宋体" w:cs="宋体"/>
          <w:b/>
          <w:bCs/>
          <w:color w:val="auto"/>
          <w:kern w:val="2"/>
          <w:sz w:val="24"/>
          <w:szCs w:val="24"/>
          <w:highlight w:val="none"/>
          <w:lang w:eastAsia="zh-CN"/>
        </w:rPr>
        <w:t>投标文件</w:t>
      </w:r>
    </w:p>
    <w:p w14:paraId="559D87C0">
      <w:pPr>
        <w:widowControl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bookmarkStart w:id="70" w:name="_Toc183682352"/>
      <w:bookmarkStart w:id="71" w:name="_Toc183582215"/>
      <w:bookmarkStart w:id="72" w:name="_Toc217446043"/>
      <w:r>
        <w:rPr>
          <w:rFonts w:hint="eastAsia" w:ascii="宋体" w:hAnsi="宋体" w:eastAsia="宋体" w:cs="宋体"/>
          <w:b/>
          <w:bCs/>
          <w:color w:val="auto"/>
          <w:kern w:val="2"/>
          <w:sz w:val="24"/>
          <w:szCs w:val="24"/>
          <w:highlight w:val="none"/>
          <w:lang w:eastAsia="zh-CN"/>
        </w:rPr>
        <w:t>8</w:t>
      </w: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olor w:val="auto"/>
          <w:kern w:val="2"/>
          <w:sz w:val="24"/>
          <w:szCs w:val="24"/>
          <w:highlight w:val="none"/>
          <w:lang w:eastAsia="zh-CN"/>
        </w:rPr>
        <w:t>投标文件的语言</w:t>
      </w:r>
      <w:bookmarkEnd w:id="70"/>
      <w:bookmarkEnd w:id="71"/>
      <w:bookmarkEnd w:id="72"/>
    </w:p>
    <w:p w14:paraId="176DA7E5">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8.1 投标人提交的投标文件以及投标人与采购人就有关投标的所有来往书面文件均须使用中文。投标文件中如附有外文资料，必须逐一对应翻译成中文并加盖投标人公章后附在相关外文资料后面，否则，投标人的投标文件将作为</w:t>
      </w:r>
      <w:r>
        <w:rPr>
          <w:rFonts w:hint="eastAsia" w:ascii="宋体" w:hAnsi="宋体" w:eastAsia="宋体" w:cs="宋体"/>
          <w:b/>
          <w:bCs/>
          <w:color w:val="auto"/>
          <w:kern w:val="2"/>
          <w:sz w:val="24"/>
          <w:szCs w:val="24"/>
          <w:highlight w:val="none"/>
          <w:lang w:eastAsia="zh-CN"/>
        </w:rPr>
        <w:t>无效投标处理</w:t>
      </w:r>
      <w:r>
        <w:rPr>
          <w:rFonts w:hint="eastAsia" w:ascii="宋体" w:hAnsi="宋体" w:eastAsia="宋体" w:cs="宋体"/>
          <w:color w:val="auto"/>
          <w:kern w:val="2"/>
          <w:sz w:val="24"/>
          <w:szCs w:val="24"/>
          <w:highlight w:val="none"/>
          <w:lang w:eastAsia="zh-CN"/>
        </w:rPr>
        <w:t>。</w:t>
      </w:r>
    </w:p>
    <w:p w14:paraId="64CEB92E">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8.2 翻译的中文资料与外文资料如果出现差异和矛盾时，以中文为准。但不能故意错误翻译，否则，投标人的投标文件将作为</w:t>
      </w:r>
      <w:r>
        <w:rPr>
          <w:rFonts w:hint="eastAsia" w:ascii="宋体" w:hAnsi="宋体" w:eastAsia="宋体" w:cs="宋体"/>
          <w:b/>
          <w:bCs/>
          <w:color w:val="auto"/>
          <w:kern w:val="2"/>
          <w:sz w:val="24"/>
          <w:szCs w:val="24"/>
          <w:highlight w:val="none"/>
          <w:lang w:eastAsia="zh-CN"/>
        </w:rPr>
        <w:t>无效投标处理</w:t>
      </w:r>
      <w:r>
        <w:rPr>
          <w:rFonts w:hint="eastAsia" w:ascii="宋体" w:hAnsi="宋体" w:eastAsia="宋体" w:cs="宋体"/>
          <w:color w:val="auto"/>
          <w:kern w:val="2"/>
          <w:sz w:val="24"/>
          <w:szCs w:val="24"/>
          <w:highlight w:val="none"/>
          <w:lang w:eastAsia="zh-CN"/>
        </w:rPr>
        <w:t>。</w:t>
      </w:r>
    </w:p>
    <w:p w14:paraId="69A3145E">
      <w:pPr>
        <w:widowControl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bookmarkStart w:id="73" w:name="_Toc183682353"/>
      <w:bookmarkStart w:id="74" w:name="_Toc217446044"/>
      <w:bookmarkStart w:id="75" w:name="_Toc183582216"/>
      <w:r>
        <w:rPr>
          <w:rFonts w:hint="eastAsia" w:ascii="宋体" w:hAnsi="宋体" w:eastAsia="宋体" w:cs="宋体"/>
          <w:b/>
          <w:bCs/>
          <w:color w:val="auto"/>
          <w:kern w:val="2"/>
          <w:sz w:val="24"/>
          <w:szCs w:val="24"/>
          <w:highlight w:val="none"/>
          <w:lang w:eastAsia="zh-CN"/>
        </w:rPr>
        <w:t>9</w:t>
      </w: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olor w:val="auto"/>
          <w:kern w:val="2"/>
          <w:sz w:val="24"/>
          <w:szCs w:val="24"/>
          <w:highlight w:val="none"/>
          <w:lang w:eastAsia="zh-CN"/>
        </w:rPr>
        <w:t>计量单位</w:t>
      </w:r>
      <w:bookmarkEnd w:id="73"/>
      <w:bookmarkEnd w:id="74"/>
      <w:bookmarkEnd w:id="75"/>
    </w:p>
    <w:p w14:paraId="30514140">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除招标文件中另有规定外，本招标项下的投标均采用国家法定的计量单位。</w:t>
      </w:r>
    </w:p>
    <w:p w14:paraId="38410BB1">
      <w:pPr>
        <w:widowControl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bookmarkStart w:id="76" w:name="_Toc217446045"/>
      <w:r>
        <w:rPr>
          <w:rFonts w:hint="eastAsia" w:ascii="宋体" w:hAnsi="宋体" w:eastAsia="宋体" w:cs="宋体"/>
          <w:b/>
          <w:bCs/>
          <w:color w:val="auto"/>
          <w:kern w:val="2"/>
          <w:sz w:val="24"/>
          <w:szCs w:val="24"/>
          <w:highlight w:val="none"/>
          <w:lang w:eastAsia="zh-CN"/>
        </w:rPr>
        <w:t>10.投标货币</w:t>
      </w:r>
      <w:bookmarkEnd w:id="76"/>
    </w:p>
    <w:p w14:paraId="326A5E2B">
      <w:pPr>
        <w:widowControl w:val="0"/>
        <w:tabs>
          <w:tab w:val="left" w:pos="7665"/>
        </w:tabs>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本次招标项目的投标均以人民币报价。</w:t>
      </w:r>
    </w:p>
    <w:p w14:paraId="35AB5B6F">
      <w:pPr>
        <w:widowControl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bookmarkStart w:id="77" w:name="_Toc217446046"/>
      <w:r>
        <w:rPr>
          <w:rFonts w:hint="eastAsia" w:ascii="宋体" w:hAnsi="宋体" w:eastAsia="宋体" w:cs="宋体"/>
          <w:b/>
          <w:bCs/>
          <w:color w:val="auto"/>
          <w:kern w:val="2"/>
          <w:sz w:val="24"/>
          <w:szCs w:val="24"/>
          <w:highlight w:val="none"/>
          <w:lang w:eastAsia="zh-CN"/>
        </w:rPr>
        <w:t>11</w:t>
      </w: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olor w:val="auto"/>
          <w:kern w:val="2"/>
          <w:sz w:val="24"/>
          <w:szCs w:val="24"/>
          <w:highlight w:val="none"/>
          <w:lang w:eastAsia="zh-CN"/>
        </w:rPr>
        <w:t>联合体投标</w:t>
      </w:r>
      <w:bookmarkEnd w:id="77"/>
    </w:p>
    <w:p w14:paraId="09DF7391">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详见“投标人须知前附表”第12条。</w:t>
      </w:r>
    </w:p>
    <w:p w14:paraId="5C6124AA">
      <w:pPr>
        <w:widowControl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bookmarkStart w:id="78" w:name="_Toc217446047"/>
      <w:r>
        <w:rPr>
          <w:rFonts w:hint="eastAsia" w:ascii="宋体" w:hAnsi="宋体" w:eastAsia="宋体" w:cs="宋体"/>
          <w:b/>
          <w:bCs/>
          <w:color w:val="auto"/>
          <w:kern w:val="2"/>
          <w:sz w:val="24"/>
          <w:szCs w:val="24"/>
          <w:highlight w:val="none"/>
          <w:lang w:eastAsia="zh-CN"/>
        </w:rPr>
        <w:t>12</w:t>
      </w: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olor w:val="auto"/>
          <w:kern w:val="2"/>
          <w:sz w:val="24"/>
          <w:szCs w:val="24"/>
          <w:highlight w:val="none"/>
          <w:lang w:eastAsia="zh-CN"/>
        </w:rPr>
        <w:t>知识产权</w:t>
      </w:r>
      <w:bookmarkEnd w:id="78"/>
    </w:p>
    <w:p w14:paraId="15C8874B">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12.1 投标人应保证在本项目使用的任何产品或服务（包括部分使用）时，不会产生因第三方提出侵犯其专利权、商标权或其它知识产权而引起的法律和经济纠纷，如因专利权、商标权或其它知识产权而引起法律和经济纠纷，由投标人承担所有相关责任。</w:t>
      </w:r>
    </w:p>
    <w:p w14:paraId="48FB138C">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12.2 采购人享有本项目实施过程中产生的知识成果及知识产权。</w:t>
      </w:r>
    </w:p>
    <w:p w14:paraId="6329D0C0">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12.3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563A4F5C">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12.4 如采用投标人所不拥有的知识产权，则在投标报价中必须包括合法获取该知识产权的相关费用。 </w:t>
      </w:r>
    </w:p>
    <w:p w14:paraId="16034EB2">
      <w:pPr>
        <w:widowControl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bookmarkStart w:id="79" w:name="_Toc217446048"/>
      <w:bookmarkStart w:id="80" w:name="_Toc183582217"/>
      <w:bookmarkStart w:id="81" w:name="_Toc183682354"/>
      <w:r>
        <w:rPr>
          <w:rFonts w:hint="eastAsia" w:ascii="宋体" w:hAnsi="宋体" w:eastAsia="宋体" w:cs="宋体"/>
          <w:b/>
          <w:bCs/>
          <w:color w:val="auto"/>
          <w:kern w:val="2"/>
          <w:sz w:val="24"/>
          <w:szCs w:val="24"/>
          <w:highlight w:val="none"/>
          <w:lang w:eastAsia="zh-CN"/>
        </w:rPr>
        <w:t>13</w:t>
      </w: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olor w:val="auto"/>
          <w:kern w:val="2"/>
          <w:sz w:val="24"/>
          <w:szCs w:val="24"/>
          <w:highlight w:val="none"/>
          <w:lang w:eastAsia="zh-CN"/>
        </w:rPr>
        <w:t>投标文件的组成</w:t>
      </w:r>
      <w:bookmarkEnd w:id="79"/>
      <w:bookmarkEnd w:id="80"/>
      <w:bookmarkEnd w:id="81"/>
    </w:p>
    <w:p w14:paraId="17EEC714">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投标人应按照招标文件的规定和要求编制投标文件。招标文件允许分包的，投标人拟在中标后将中标项目的非主体、非关键性工作交由他人完成的，应当在投标文件中载明。投标人编写的投标文件应包括下列部分：</w:t>
      </w:r>
    </w:p>
    <w:p w14:paraId="3E57F786">
      <w:pPr>
        <w:tabs>
          <w:tab w:val="left" w:pos="3480"/>
        </w:tabs>
        <w:spacing w:line="560" w:lineRule="exact"/>
        <w:ind w:firstLine="480" w:firstLineChars="200"/>
        <w:rPr>
          <w:rFonts w:hint="eastAsia" w:ascii="宋体" w:hAnsi="宋体" w:eastAsia="宋体" w:cs="宋体"/>
          <w:color w:val="auto"/>
          <w:sz w:val="24"/>
          <w:szCs w:val="24"/>
          <w:highlight w:val="none"/>
          <w:lang w:eastAsia="zh-CN"/>
        </w:rPr>
      </w:pPr>
      <w:bookmarkStart w:id="82" w:name="_Toc183582218"/>
      <w:bookmarkStart w:id="83" w:name="_Toc217446049"/>
      <w:bookmarkStart w:id="84" w:name="_Toc183682355"/>
      <w:r>
        <w:rPr>
          <w:rFonts w:hint="eastAsia" w:ascii="宋体" w:hAnsi="宋体" w:eastAsia="宋体" w:cs="宋体"/>
          <w:color w:val="auto"/>
          <w:sz w:val="24"/>
          <w:szCs w:val="24"/>
          <w:highlight w:val="none"/>
          <w:lang w:eastAsia="zh-CN"/>
        </w:rPr>
        <w:t>一、投标函</w:t>
      </w:r>
    </w:p>
    <w:p w14:paraId="4FBF9E6E">
      <w:pPr>
        <w:tabs>
          <w:tab w:val="left" w:pos="34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二、报价</w:t>
      </w:r>
      <w:r>
        <w:rPr>
          <w:rFonts w:hint="eastAsia" w:ascii="宋体" w:hAnsi="宋体" w:eastAsia="宋体" w:cs="宋体"/>
          <w:color w:val="auto"/>
          <w:sz w:val="24"/>
          <w:szCs w:val="24"/>
          <w:highlight w:val="none"/>
          <w:lang w:val="en-US" w:eastAsia="zh-CN"/>
        </w:rPr>
        <w:t>一览表</w:t>
      </w:r>
    </w:p>
    <w:p w14:paraId="052DB822">
      <w:pPr>
        <w:tabs>
          <w:tab w:val="left" w:pos="34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三、身份证明书及授权委托书</w:t>
      </w:r>
    </w:p>
    <w:p w14:paraId="45FD9F7B">
      <w:pPr>
        <w:tabs>
          <w:tab w:val="left" w:pos="34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四、投标人承诺函</w:t>
      </w:r>
    </w:p>
    <w:p w14:paraId="2DDC1531">
      <w:pPr>
        <w:tabs>
          <w:tab w:val="left" w:pos="34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五、投标人基本情况表</w:t>
      </w:r>
    </w:p>
    <w:p w14:paraId="6F25B4AA">
      <w:pPr>
        <w:tabs>
          <w:tab w:val="left" w:pos="34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六、项目负责人</w:t>
      </w:r>
    </w:p>
    <w:p w14:paraId="1490E2FC">
      <w:pPr>
        <w:tabs>
          <w:tab w:val="left" w:pos="34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七、拟配备人员情况</w:t>
      </w:r>
    </w:p>
    <w:p w14:paraId="15608F87">
      <w:pPr>
        <w:tabs>
          <w:tab w:val="left" w:pos="34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八、拟投入本项目的主要设备设施表</w:t>
      </w:r>
    </w:p>
    <w:p w14:paraId="346EE770">
      <w:pPr>
        <w:tabs>
          <w:tab w:val="left" w:pos="34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九、供应商近年类似业绩情况表</w:t>
      </w:r>
    </w:p>
    <w:p w14:paraId="1DB192C6">
      <w:pPr>
        <w:tabs>
          <w:tab w:val="left" w:pos="34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十、商务、</w:t>
      </w:r>
      <w:r>
        <w:rPr>
          <w:rFonts w:hint="eastAsia" w:ascii="宋体" w:hAnsi="宋体" w:eastAsia="宋体" w:cs="宋体"/>
          <w:color w:val="auto"/>
          <w:sz w:val="24"/>
          <w:szCs w:val="24"/>
          <w:highlight w:val="none"/>
          <w:lang w:val="en-US" w:eastAsia="zh-CN"/>
        </w:rPr>
        <w:t>技术要求</w:t>
      </w:r>
      <w:r>
        <w:rPr>
          <w:rFonts w:hint="eastAsia" w:ascii="宋体" w:hAnsi="宋体" w:eastAsia="宋体" w:cs="宋体"/>
          <w:color w:val="auto"/>
          <w:sz w:val="24"/>
          <w:szCs w:val="24"/>
          <w:highlight w:val="none"/>
          <w:lang w:eastAsia="zh-CN"/>
        </w:rPr>
        <w:t>偏离表</w:t>
      </w:r>
    </w:p>
    <w:p w14:paraId="40587CAA">
      <w:pPr>
        <w:tabs>
          <w:tab w:val="left" w:pos="34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十一、服务方案</w:t>
      </w:r>
    </w:p>
    <w:p w14:paraId="1DB34B38">
      <w:pPr>
        <w:tabs>
          <w:tab w:val="left" w:pos="34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十二、政府采购政策</w:t>
      </w:r>
    </w:p>
    <w:p w14:paraId="0259656F">
      <w:pPr>
        <w:tabs>
          <w:tab w:val="left" w:pos="3480"/>
        </w:tabs>
        <w:spacing w:line="560" w:lineRule="exact"/>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十三、投标人认为需要提供的资料</w:t>
      </w:r>
    </w:p>
    <w:p w14:paraId="3A950EBE">
      <w:pPr>
        <w:widowControl w:val="0"/>
        <w:tabs>
          <w:tab w:val="left" w:pos="3480"/>
        </w:tabs>
        <w:adjustRightInd/>
        <w:snapToGrid/>
        <w:spacing w:line="560" w:lineRule="exact"/>
        <w:ind w:firstLine="482"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14</w:t>
      </w: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olor w:val="auto"/>
          <w:kern w:val="2"/>
          <w:sz w:val="24"/>
          <w:szCs w:val="24"/>
          <w:highlight w:val="none"/>
          <w:lang w:eastAsia="zh-CN"/>
        </w:rPr>
        <w:t>投标文件格式</w:t>
      </w:r>
      <w:bookmarkEnd w:id="82"/>
      <w:bookmarkEnd w:id="83"/>
      <w:bookmarkEnd w:id="84"/>
      <w:r>
        <w:rPr>
          <w:rFonts w:hint="eastAsia" w:ascii="宋体" w:hAnsi="宋体" w:eastAsia="宋体" w:cs="宋体"/>
          <w:color w:val="auto"/>
          <w:kern w:val="2"/>
          <w:sz w:val="24"/>
          <w:szCs w:val="24"/>
          <w:highlight w:val="none"/>
          <w:lang w:eastAsia="zh-CN"/>
        </w:rPr>
        <w:tab/>
      </w:r>
    </w:p>
    <w:p w14:paraId="03636A71">
      <w:pPr>
        <w:widowControl w:val="0"/>
        <w:tabs>
          <w:tab w:val="left" w:pos="7665"/>
        </w:tabs>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14.1 投标人应严格按照招标文件第二章中提供的“投标文件格式”填写相关内容。除明确允许投标人可以自行编写的外，投标人不得以“投标文件格式”规定之外的方式填写相关内容。</w:t>
      </w:r>
    </w:p>
    <w:p w14:paraId="17F72C3F">
      <w:pPr>
        <w:widowControl w:val="0"/>
        <w:tabs>
          <w:tab w:val="left" w:pos="7665"/>
        </w:tabs>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14.2 对于没有格式要求的投标文件由投标人自行编写。</w:t>
      </w:r>
    </w:p>
    <w:p w14:paraId="00693366">
      <w:pPr>
        <w:widowControl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bookmarkStart w:id="85" w:name="_Toc183682360"/>
      <w:bookmarkStart w:id="86" w:name="_Toc217446050"/>
      <w:bookmarkStart w:id="87" w:name="_Toc183582223"/>
      <w:r>
        <w:rPr>
          <w:rFonts w:hint="eastAsia" w:ascii="宋体" w:hAnsi="宋体" w:eastAsia="宋体" w:cs="宋体"/>
          <w:b/>
          <w:bCs/>
          <w:color w:val="auto"/>
          <w:kern w:val="2"/>
          <w:sz w:val="24"/>
          <w:szCs w:val="24"/>
          <w:highlight w:val="none"/>
          <w:lang w:eastAsia="zh-CN"/>
        </w:rPr>
        <w:t>15</w:t>
      </w: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olor w:val="auto"/>
          <w:kern w:val="2"/>
          <w:sz w:val="24"/>
          <w:szCs w:val="24"/>
          <w:highlight w:val="none"/>
          <w:lang w:eastAsia="zh-CN"/>
        </w:rPr>
        <w:t>投标保证金</w:t>
      </w:r>
      <w:bookmarkEnd w:id="85"/>
      <w:bookmarkEnd w:id="86"/>
      <w:bookmarkEnd w:id="87"/>
    </w:p>
    <w:p w14:paraId="5EE5809B">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15.1 投标人投标时，必须按招标文件规定数额和形式缴纳投标保证金，并作为其投标文件的一部分。</w:t>
      </w:r>
    </w:p>
    <w:p w14:paraId="2583AF20">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15.2</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未按招标文件要求在规定时间前缴纳规定数额和形式的投标保证金，将被视为</w:t>
      </w:r>
      <w:r>
        <w:rPr>
          <w:rFonts w:hint="eastAsia" w:ascii="宋体" w:hAnsi="宋体" w:eastAsia="宋体" w:cs="宋体"/>
          <w:b/>
          <w:bCs/>
          <w:color w:val="auto"/>
          <w:kern w:val="2"/>
          <w:sz w:val="24"/>
          <w:szCs w:val="24"/>
          <w:highlight w:val="none"/>
          <w:lang w:eastAsia="zh-CN"/>
        </w:rPr>
        <w:t>投标无效</w:t>
      </w:r>
      <w:r>
        <w:rPr>
          <w:rFonts w:hint="eastAsia" w:ascii="宋体" w:hAnsi="宋体" w:eastAsia="宋体" w:cs="宋体"/>
          <w:color w:val="auto"/>
          <w:kern w:val="2"/>
          <w:sz w:val="24"/>
          <w:szCs w:val="24"/>
          <w:highlight w:val="none"/>
          <w:lang w:eastAsia="zh-CN"/>
        </w:rPr>
        <w:t>。</w:t>
      </w:r>
    </w:p>
    <w:p w14:paraId="47E2274E">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15.3 投标人所缴纳的投标保证金不计利息。</w:t>
      </w:r>
    </w:p>
    <w:p w14:paraId="4A0ABC85">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15.4</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未中标人的投标保证金，将在中标通知书发出后五个工作日内全额退还。中标人的投标保证金，自采购合同签订之日起5个工作日内退还中标人的投标保证金。</w:t>
      </w:r>
    </w:p>
    <w:p w14:paraId="18EF0459">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15.5</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发生下列情形之一的，采购代理机构将不予退还投标人缴纳的投标保证金：</w:t>
      </w:r>
    </w:p>
    <w:p w14:paraId="24868F7E">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bookmarkStart w:id="88" w:name="_Toc217446051"/>
      <w:bookmarkStart w:id="89" w:name="_Toc183682361"/>
      <w:bookmarkStart w:id="90" w:name="_Toc183582224"/>
      <w:r>
        <w:rPr>
          <w:rFonts w:hint="eastAsia" w:ascii="宋体" w:hAnsi="宋体" w:eastAsia="宋体" w:cs="宋体"/>
          <w:color w:val="auto"/>
          <w:kern w:val="2"/>
          <w:sz w:val="24"/>
          <w:szCs w:val="24"/>
          <w:highlight w:val="none"/>
          <w:lang w:eastAsia="zh-CN"/>
        </w:rPr>
        <w:t>（1）投标人在提交投标文件截止时间后撤回投标文件的；</w:t>
      </w:r>
    </w:p>
    <w:p w14:paraId="593BA159">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（2）投标人在投标文件中提供虚假材料的；</w:t>
      </w:r>
    </w:p>
    <w:p w14:paraId="5FA9C599">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（3）投标人不接受按投标文件规定对其投标报价进行修正的；</w:t>
      </w:r>
    </w:p>
    <w:p w14:paraId="0F0E5880">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（4）除因不可抗力或投标文件认可的情形以外，中标人不履行与采购人签订合同的，在签订合同时向采购人提出附加条件；</w:t>
      </w:r>
    </w:p>
    <w:p w14:paraId="3465D8C7">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（5）中标人未能在规定期限内与采购人签署合同协议书或提交履约保证金的；</w:t>
      </w:r>
    </w:p>
    <w:p w14:paraId="423A1F90">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（6）投标人与采购人、其他投标人或者采购代理机构恶意串通的；</w:t>
      </w:r>
    </w:p>
    <w:p w14:paraId="4AD9A5E9">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（7）招标文件规定的其他情形；</w:t>
      </w:r>
    </w:p>
    <w:p w14:paraId="1ABECA3E">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（8）符合法律、法规规定的其他情形的。 </w:t>
      </w:r>
    </w:p>
    <w:p w14:paraId="246163E6">
      <w:pPr>
        <w:widowControl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16</w:t>
      </w: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olor w:val="auto"/>
          <w:kern w:val="2"/>
          <w:sz w:val="24"/>
          <w:szCs w:val="24"/>
          <w:highlight w:val="none"/>
          <w:lang w:eastAsia="zh-CN"/>
        </w:rPr>
        <w:t>投标有效期</w:t>
      </w:r>
      <w:bookmarkEnd w:id="88"/>
      <w:bookmarkEnd w:id="89"/>
      <w:bookmarkEnd w:id="90"/>
    </w:p>
    <w:p w14:paraId="47422AF2">
      <w:pPr>
        <w:widowControl w:val="0"/>
        <w:tabs>
          <w:tab w:val="left" w:pos="7665"/>
        </w:tabs>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16.1 投标有效期详见“投标人须知前附表”第20条。投标有效期短于此规定期限的，</w:t>
      </w:r>
      <w:r>
        <w:rPr>
          <w:rFonts w:hint="eastAsia" w:ascii="宋体" w:hAnsi="宋体" w:eastAsia="宋体" w:cs="宋体"/>
          <w:b/>
          <w:bCs/>
          <w:color w:val="auto"/>
          <w:kern w:val="2"/>
          <w:sz w:val="24"/>
          <w:szCs w:val="24"/>
          <w:highlight w:val="none"/>
          <w:lang w:eastAsia="zh-CN"/>
        </w:rPr>
        <w:t>投标无效</w:t>
      </w:r>
      <w:r>
        <w:rPr>
          <w:rFonts w:hint="eastAsia" w:ascii="宋体" w:hAnsi="宋体" w:eastAsia="宋体" w:cs="宋体"/>
          <w:color w:val="auto"/>
          <w:kern w:val="2"/>
          <w:sz w:val="24"/>
          <w:szCs w:val="24"/>
          <w:highlight w:val="none"/>
          <w:lang w:eastAsia="zh-CN"/>
        </w:rPr>
        <w:t>。</w:t>
      </w:r>
    </w:p>
    <w:p w14:paraId="50766F30">
      <w:pPr>
        <w:widowControl w:val="0"/>
        <w:tabs>
          <w:tab w:val="left" w:pos="7665"/>
        </w:tabs>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16.2 特殊情况下，采购人可于投标有效期满之前要求投标人同意延长有效期，要求与答复均应为书面形式。投标人可以拒绝上述要求，其投标保证金</w:t>
      </w:r>
      <w:r>
        <w:rPr>
          <w:rFonts w:hint="eastAsia" w:ascii="宋体" w:hAnsi="宋体" w:eastAsia="宋体" w:cs="宋体"/>
          <w:color w:val="auto"/>
          <w:spacing w:val="8"/>
          <w:kern w:val="2"/>
          <w:sz w:val="24"/>
          <w:szCs w:val="24"/>
          <w:highlight w:val="none"/>
          <w:lang w:eastAsia="zh-CN"/>
        </w:rPr>
        <w:t>不被没收。</w:t>
      </w:r>
      <w:r>
        <w:rPr>
          <w:rFonts w:hint="eastAsia" w:ascii="宋体" w:hAnsi="宋体" w:eastAsia="宋体" w:cs="宋体"/>
          <w:color w:val="auto"/>
          <w:kern w:val="2"/>
          <w:sz w:val="24"/>
          <w:szCs w:val="24"/>
          <w:highlight w:val="none"/>
          <w:lang w:eastAsia="zh-CN"/>
        </w:rPr>
        <w:t>拒绝延长投标有效期的投标人不得再参与该项目后续招标活动。同意延长投标有效期的投标人不能修改其投标文件，关于投标保证金的有关规定在延长的投标有效期内继续有效。</w:t>
      </w:r>
    </w:p>
    <w:p w14:paraId="6A946624">
      <w:pPr>
        <w:widowControl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bookmarkStart w:id="91" w:name="_Toc183582225"/>
      <w:bookmarkStart w:id="92" w:name="_Toc217446052"/>
      <w:bookmarkStart w:id="93" w:name="_Toc183682362"/>
      <w:r>
        <w:rPr>
          <w:rFonts w:hint="eastAsia" w:ascii="宋体" w:hAnsi="宋体" w:eastAsia="宋体" w:cs="宋体"/>
          <w:b/>
          <w:bCs/>
          <w:color w:val="auto"/>
          <w:kern w:val="2"/>
          <w:sz w:val="24"/>
          <w:szCs w:val="24"/>
          <w:highlight w:val="none"/>
          <w:lang w:eastAsia="zh-CN"/>
        </w:rPr>
        <w:t>17</w:t>
      </w:r>
      <w:bookmarkEnd w:id="91"/>
      <w:bookmarkEnd w:id="92"/>
      <w:bookmarkEnd w:id="93"/>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olor w:val="auto"/>
          <w:kern w:val="2"/>
          <w:sz w:val="24"/>
          <w:szCs w:val="24"/>
          <w:highlight w:val="none"/>
          <w:lang w:eastAsia="zh-CN"/>
        </w:rPr>
        <w:t>投标文件的签署</w:t>
      </w:r>
    </w:p>
    <w:p w14:paraId="5A1F6DE2">
      <w:pPr>
        <w:widowControl w:val="0"/>
        <w:tabs>
          <w:tab w:val="left" w:pos="1080"/>
        </w:tabs>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bookmarkStart w:id="94" w:name="_Toc183682363"/>
      <w:bookmarkStart w:id="95" w:name="_Toc77400781"/>
      <w:bookmarkStart w:id="96" w:name="_Toc89075877"/>
      <w:bookmarkStart w:id="97" w:name="_Toc217446053"/>
      <w:bookmarkStart w:id="98" w:name="_Toc183582226"/>
      <w:r>
        <w:rPr>
          <w:rFonts w:hint="eastAsia" w:ascii="宋体" w:hAnsi="宋体" w:eastAsia="宋体" w:cs="宋体"/>
          <w:color w:val="auto"/>
          <w:kern w:val="2"/>
          <w:sz w:val="24"/>
          <w:szCs w:val="24"/>
          <w:highlight w:val="none"/>
          <w:lang w:eastAsia="zh-CN"/>
        </w:rPr>
        <w:t>17.1 投标文件应根据招标文件的要求制作、签署、盖章，内容应完整。</w:t>
      </w:r>
    </w:p>
    <w:p w14:paraId="02C76C25">
      <w:pPr>
        <w:widowControl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val="en-US" w:eastAsia="zh-CN"/>
        </w:rPr>
        <w:t>18.</w:t>
      </w:r>
      <w:r>
        <w:rPr>
          <w:rFonts w:hint="eastAsia" w:ascii="宋体" w:hAnsi="宋体" w:eastAsia="宋体" w:cs="宋体"/>
          <w:b/>
          <w:bCs/>
          <w:color w:val="auto"/>
          <w:kern w:val="2"/>
          <w:sz w:val="24"/>
          <w:szCs w:val="24"/>
          <w:highlight w:val="none"/>
          <w:lang w:eastAsia="zh-CN"/>
        </w:rPr>
        <w:t>投标文件的加密</w:t>
      </w:r>
      <w:bookmarkEnd w:id="94"/>
      <w:bookmarkEnd w:id="95"/>
      <w:bookmarkEnd w:id="96"/>
      <w:bookmarkEnd w:id="97"/>
      <w:bookmarkEnd w:id="98"/>
      <w:r>
        <w:rPr>
          <w:rFonts w:hint="eastAsia" w:ascii="宋体" w:hAnsi="宋体" w:eastAsia="宋体" w:cs="宋体"/>
          <w:b/>
          <w:bCs/>
          <w:color w:val="auto"/>
          <w:kern w:val="2"/>
          <w:sz w:val="24"/>
          <w:szCs w:val="24"/>
          <w:highlight w:val="none"/>
          <w:lang w:eastAsia="zh-CN"/>
        </w:rPr>
        <w:t>和上传</w:t>
      </w:r>
    </w:p>
    <w:p w14:paraId="378C7047">
      <w:pPr>
        <w:widowControl w:val="0"/>
        <w:adjustRightInd/>
        <w:snapToGrid/>
        <w:spacing w:line="560" w:lineRule="exact"/>
        <w:ind w:firstLine="481"/>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18.1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本项目实行全流程</w:t>
      </w:r>
      <w:r>
        <w:rPr>
          <w:rFonts w:hint="eastAsia" w:ascii="宋体" w:hAnsi="宋体" w:eastAsia="宋体" w:cs="宋体"/>
          <w:color w:val="auto"/>
          <w:kern w:val="2"/>
          <w:sz w:val="24"/>
          <w:szCs w:val="24"/>
          <w:highlight w:val="none"/>
          <w:lang w:eastAsia="zh-CN"/>
        </w:rPr>
        <w:t>电子交易方式</w:t>
      </w:r>
      <w:r>
        <w:rPr>
          <w:rFonts w:hint="eastAsia" w:ascii="宋体" w:hAnsi="宋体" w:eastAsia="宋体" w:cs="宋体"/>
          <w:color w:val="auto"/>
          <w:sz w:val="24"/>
          <w:szCs w:val="24"/>
          <w:highlight w:val="none"/>
          <w:lang w:eastAsia="zh-CN"/>
        </w:rPr>
        <w:t>，采用电子加密投标文件（“.jmbs”格式）上传方式；</w:t>
      </w:r>
      <w:r>
        <w:rPr>
          <w:rFonts w:hint="eastAsia" w:ascii="宋体" w:hAnsi="宋体" w:eastAsia="宋体" w:cs="宋体"/>
          <w:color w:val="auto"/>
          <w:kern w:val="2"/>
          <w:sz w:val="24"/>
          <w:szCs w:val="24"/>
          <w:highlight w:val="none"/>
          <w:lang w:eastAsia="zh-CN"/>
        </w:rPr>
        <w:t>投标人应当在投标截止时间前，将“电子招投标人客户端”生成的“电子加密投标文件”上传电子交易平台，成功上传电子加密投标文件后，可自行打印投标文件接收回执。</w:t>
      </w:r>
    </w:p>
    <w:p w14:paraId="21BC2D69">
      <w:pPr>
        <w:widowControl w:val="0"/>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18.2</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bCs/>
          <w:color w:val="auto"/>
          <w:kern w:val="2"/>
          <w:sz w:val="24"/>
          <w:szCs w:val="24"/>
          <w:highlight w:val="none"/>
          <w:lang w:eastAsia="zh-CN"/>
        </w:rPr>
        <w:t>中标人须在</w:t>
      </w:r>
      <w:r>
        <w:rPr>
          <w:rFonts w:hint="eastAsia" w:ascii="宋体" w:hAnsi="宋体" w:eastAsia="宋体" w:cs="宋体"/>
          <w:b/>
          <w:color w:val="auto"/>
          <w:kern w:val="2"/>
          <w:sz w:val="24"/>
          <w:szCs w:val="24"/>
          <w:highlight w:val="none"/>
          <w:lang w:eastAsia="zh-CN"/>
        </w:rPr>
        <w:t>招标结束后五个工作日内</w:t>
      </w:r>
      <w:r>
        <w:rPr>
          <w:rFonts w:hint="eastAsia" w:ascii="宋体" w:hAnsi="宋体" w:eastAsia="宋体" w:cs="宋体"/>
          <w:bCs/>
          <w:color w:val="auto"/>
          <w:kern w:val="2"/>
          <w:sz w:val="24"/>
          <w:szCs w:val="24"/>
          <w:highlight w:val="none"/>
          <w:lang w:eastAsia="zh-CN"/>
        </w:rPr>
        <w:t>向采购代理机构递交</w:t>
      </w:r>
      <w:r>
        <w:rPr>
          <w:rFonts w:hint="eastAsia" w:ascii="宋体" w:hAnsi="宋体" w:eastAsia="宋体" w:cs="宋体"/>
          <w:b/>
          <w:color w:val="auto"/>
          <w:kern w:val="2"/>
          <w:sz w:val="24"/>
          <w:szCs w:val="24"/>
          <w:highlight w:val="none"/>
          <w:lang w:eastAsia="zh-CN"/>
        </w:rPr>
        <w:t>签章纸质版投标文件一正</w:t>
      </w:r>
      <w:r>
        <w:rPr>
          <w:rFonts w:hint="eastAsia" w:ascii="宋体" w:hAnsi="宋体" w:eastAsia="宋体" w:cs="宋体"/>
          <w:b/>
          <w:color w:val="auto"/>
          <w:kern w:val="2"/>
          <w:sz w:val="24"/>
          <w:szCs w:val="24"/>
          <w:highlight w:val="none"/>
          <w:lang w:val="en-US" w:eastAsia="zh-CN"/>
        </w:rPr>
        <w:t>一副</w:t>
      </w:r>
      <w:r>
        <w:rPr>
          <w:rFonts w:hint="eastAsia" w:ascii="宋体" w:hAnsi="宋体" w:eastAsia="宋体" w:cs="宋体"/>
          <w:b/>
          <w:color w:val="auto"/>
          <w:kern w:val="2"/>
          <w:sz w:val="24"/>
          <w:szCs w:val="24"/>
          <w:highlight w:val="none"/>
          <w:lang w:eastAsia="zh-CN"/>
        </w:rPr>
        <w:t>（用于档案资料编制）</w:t>
      </w:r>
      <w:r>
        <w:rPr>
          <w:rFonts w:hint="eastAsia" w:ascii="宋体" w:hAnsi="宋体" w:eastAsia="宋体" w:cs="宋体"/>
          <w:bCs/>
          <w:color w:val="auto"/>
          <w:kern w:val="2"/>
          <w:sz w:val="24"/>
          <w:szCs w:val="24"/>
          <w:highlight w:val="none"/>
          <w:lang w:eastAsia="zh-CN"/>
        </w:rPr>
        <w:t>，纸质版投标文件须与政采云平台上传的电子版投标文件保持一致。投标文件的正本应在其封面右上角清楚地标明“正本”字样，统一用A4幅面纸印制，图纸、横道图等必须使用A3幅面印制的应折叠成A4幅面，并按招标文件规定签字和盖章，投标文件胶装成册并编码，每册装订应牢固、不易拆散和换页，不得采用活页装订。</w:t>
      </w:r>
    </w:p>
    <w:p w14:paraId="4B26E8EA">
      <w:pPr>
        <w:widowControl w:val="0"/>
        <w:spacing w:line="560" w:lineRule="exact"/>
        <w:ind w:firstLine="482" w:firstLineChars="200"/>
        <w:jc w:val="both"/>
        <w:rPr>
          <w:rFonts w:hint="eastAsia" w:ascii="宋体" w:hAnsi="宋体" w:eastAsia="宋体" w:cs="宋体"/>
          <w:b/>
          <w:bCs/>
          <w:color w:val="auto"/>
          <w:kern w:val="2"/>
          <w:sz w:val="24"/>
          <w:szCs w:val="24"/>
          <w:highlight w:val="none"/>
          <w:lang w:eastAsia="zh-CN"/>
        </w:rPr>
      </w:pPr>
      <w:bookmarkStart w:id="99" w:name="_Toc183582228"/>
      <w:bookmarkStart w:id="100" w:name="_Toc183682365"/>
      <w:bookmarkStart w:id="101" w:name="_Toc217446055"/>
      <w:r>
        <w:rPr>
          <w:rFonts w:hint="eastAsia" w:ascii="宋体" w:hAnsi="宋体" w:eastAsia="宋体" w:cs="宋体"/>
          <w:b/>
          <w:bCs/>
          <w:color w:val="auto"/>
          <w:kern w:val="2"/>
          <w:sz w:val="24"/>
          <w:szCs w:val="24"/>
          <w:highlight w:val="none"/>
          <w:lang w:eastAsia="zh-CN"/>
        </w:rPr>
        <w:t>19</w:t>
      </w: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olor w:val="auto"/>
          <w:kern w:val="2"/>
          <w:sz w:val="24"/>
          <w:szCs w:val="24"/>
          <w:highlight w:val="none"/>
          <w:lang w:eastAsia="zh-CN"/>
        </w:rPr>
        <w:t>投标文件的修改和撤</w:t>
      </w:r>
      <w:bookmarkEnd w:id="99"/>
      <w:bookmarkEnd w:id="100"/>
      <w:r>
        <w:rPr>
          <w:rFonts w:hint="eastAsia" w:ascii="宋体" w:hAnsi="宋体" w:eastAsia="宋体" w:cs="宋体"/>
          <w:b/>
          <w:bCs/>
          <w:color w:val="auto"/>
          <w:kern w:val="2"/>
          <w:sz w:val="24"/>
          <w:szCs w:val="24"/>
          <w:highlight w:val="none"/>
          <w:lang w:eastAsia="zh-CN"/>
        </w:rPr>
        <w:t>回</w:t>
      </w:r>
      <w:bookmarkEnd w:id="101"/>
    </w:p>
    <w:p w14:paraId="2EC235B2">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19.1 投标人在投标文件上传截止时间前，可以对所上传的投标文件进行补充、修改或撤回。</w:t>
      </w:r>
    </w:p>
    <w:p w14:paraId="6B92BB96">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19.2 在投标文件上传截止时间之后，投标人不得对其上传的投标文件做任何修改、补充或撤回。</w:t>
      </w:r>
    </w:p>
    <w:p w14:paraId="77336618">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19.3 投标文件中-如果出现计算上或累加上的算术错误，可按以下原则进行修改：</w:t>
      </w:r>
    </w:p>
    <w:p w14:paraId="09E0A99F">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（1）投标文件中投标函内容与投标报价明细表不一致的，以投标函为准；</w:t>
      </w:r>
    </w:p>
    <w:p w14:paraId="0AD7F8D4">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（2）用小写金额和大写金额不一致，应以大写金额为准；</w:t>
      </w:r>
    </w:p>
    <w:p w14:paraId="1A719C1C">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（3）总价金额与按单价汇总金额不一致的，以单价金额计算结果为准；</w:t>
      </w:r>
    </w:p>
    <w:p w14:paraId="137E8F67">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（4）单价金额小数点或者百分比有明显错位的，以投标函的总价为准，并修改单价。</w:t>
      </w:r>
    </w:p>
    <w:p w14:paraId="795022DA">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同时出现两种以上不一致的，按照前款规定的顺序修正。修正后的投标报价经投标人确认后产生约束力，投标人不确认的，其</w:t>
      </w:r>
      <w:r>
        <w:rPr>
          <w:rFonts w:hint="eastAsia" w:ascii="宋体" w:hAnsi="宋体" w:eastAsia="宋体" w:cs="宋体"/>
          <w:b/>
          <w:bCs/>
          <w:color w:val="auto"/>
          <w:kern w:val="2"/>
          <w:sz w:val="24"/>
          <w:szCs w:val="24"/>
          <w:highlight w:val="none"/>
          <w:lang w:eastAsia="zh-CN"/>
        </w:rPr>
        <w:t>响应无效</w:t>
      </w:r>
      <w:r>
        <w:rPr>
          <w:rFonts w:hint="eastAsia" w:ascii="宋体" w:hAnsi="宋体" w:eastAsia="宋体" w:cs="宋体"/>
          <w:color w:val="auto"/>
          <w:kern w:val="2"/>
          <w:sz w:val="24"/>
          <w:szCs w:val="24"/>
          <w:highlight w:val="none"/>
          <w:lang w:eastAsia="zh-CN"/>
        </w:rPr>
        <w:t>。</w:t>
      </w:r>
    </w:p>
    <w:p w14:paraId="12560D7E">
      <w:pPr>
        <w:keepLines/>
        <w:widowControl w:val="0"/>
        <w:spacing w:line="560" w:lineRule="exact"/>
        <w:ind w:firstLine="482" w:firstLineChars="200"/>
        <w:jc w:val="center"/>
        <w:outlineLvl w:val="1"/>
        <w:rPr>
          <w:rFonts w:hint="eastAsia" w:ascii="宋体" w:hAnsi="宋体" w:eastAsia="宋体" w:cs="宋体"/>
          <w:b/>
          <w:color w:val="auto"/>
          <w:kern w:val="2"/>
          <w:sz w:val="24"/>
          <w:szCs w:val="24"/>
          <w:highlight w:val="none"/>
          <w:lang w:eastAsia="zh-CN"/>
        </w:rPr>
      </w:pPr>
      <w:bookmarkStart w:id="102" w:name="_Toc89075878"/>
      <w:bookmarkStart w:id="103" w:name="_Toc217446056"/>
      <w:bookmarkStart w:id="104" w:name="_Toc183682368"/>
      <w:bookmarkStart w:id="105" w:name="_Toc77400782"/>
      <w:bookmarkStart w:id="106" w:name="_Toc183582231"/>
      <w:r>
        <w:rPr>
          <w:rFonts w:hint="eastAsia" w:ascii="宋体" w:hAnsi="宋体" w:eastAsia="宋体" w:cs="宋体"/>
          <w:b/>
          <w:color w:val="auto"/>
          <w:kern w:val="2"/>
          <w:sz w:val="24"/>
          <w:szCs w:val="24"/>
          <w:highlight w:val="none"/>
          <w:lang w:eastAsia="zh-CN"/>
        </w:rPr>
        <w:t>五、开标和</w:t>
      </w:r>
      <w:bookmarkEnd w:id="102"/>
      <w:bookmarkEnd w:id="103"/>
      <w:bookmarkEnd w:id="104"/>
      <w:bookmarkEnd w:id="105"/>
      <w:bookmarkEnd w:id="106"/>
      <w:r>
        <w:rPr>
          <w:rFonts w:hint="eastAsia" w:ascii="宋体" w:hAnsi="宋体" w:eastAsia="宋体" w:cs="宋体"/>
          <w:b/>
          <w:color w:val="auto"/>
          <w:kern w:val="2"/>
          <w:sz w:val="24"/>
          <w:szCs w:val="24"/>
          <w:highlight w:val="none"/>
          <w:lang w:eastAsia="zh-CN"/>
        </w:rPr>
        <w:t>中标</w:t>
      </w:r>
    </w:p>
    <w:p w14:paraId="0A505DD6">
      <w:pPr>
        <w:widowControl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bookmarkStart w:id="107" w:name="_Toc183682369"/>
      <w:bookmarkStart w:id="108" w:name="_Toc183582232"/>
      <w:bookmarkStart w:id="109" w:name="_Toc217446057"/>
      <w:r>
        <w:rPr>
          <w:rFonts w:hint="eastAsia" w:ascii="宋体" w:hAnsi="宋体" w:eastAsia="宋体" w:cs="宋体"/>
          <w:b/>
          <w:bCs/>
          <w:color w:val="auto"/>
          <w:kern w:val="2"/>
          <w:sz w:val="24"/>
          <w:szCs w:val="24"/>
          <w:highlight w:val="none"/>
          <w:lang w:eastAsia="zh-CN"/>
        </w:rPr>
        <w:t>20</w:t>
      </w: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olor w:val="auto"/>
          <w:kern w:val="2"/>
          <w:sz w:val="24"/>
          <w:szCs w:val="24"/>
          <w:highlight w:val="none"/>
          <w:lang w:eastAsia="zh-CN"/>
        </w:rPr>
        <w:t>开标</w:t>
      </w:r>
      <w:bookmarkEnd w:id="107"/>
      <w:bookmarkEnd w:id="108"/>
      <w:bookmarkEnd w:id="109"/>
    </w:p>
    <w:p w14:paraId="482CA406">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20.1 采购代理机构在招标文件规定的时间和地点组织招标活动，邀请下载招标文件并参与竞争的投标人在线参加开标，投标人未参加开标的视同认可开标结果，事后不得对采购相关人员、开标过程和开标结果提出异议，同时投标人因未在线参加开标而导致投标文件无法按时解密等一切后果由投标人自行承担。</w:t>
      </w:r>
    </w:p>
    <w:p w14:paraId="739D4661">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投标人不足3家的，不得开标。</w:t>
      </w:r>
    </w:p>
    <w:p w14:paraId="73A1ED06">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20.2 开标时，采购代理机构可以邀请有关监督管理部门对开标进行现场监督。</w:t>
      </w:r>
    </w:p>
    <w:p w14:paraId="260EEDB3">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20.3 投标文件上传截止时间到，开标会议开始，公布投标人名单。</w:t>
      </w:r>
    </w:p>
    <w:p w14:paraId="25C1C2DF">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20.4</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开启“投标文件解密”环节，投标人在规定时间内进行解密</w:t>
      </w:r>
      <w:r>
        <w:rPr>
          <w:rFonts w:hint="eastAsia" w:ascii="宋体" w:hAnsi="宋体" w:eastAsia="宋体" w:cs="宋体"/>
          <w:b/>
          <w:bCs/>
          <w:color w:val="auto"/>
          <w:kern w:val="2"/>
          <w:sz w:val="24"/>
          <w:szCs w:val="24"/>
          <w:highlight w:val="none"/>
          <w:lang w:eastAsia="zh-CN"/>
        </w:rPr>
        <w:t>（解密规定见《投标人须知前附表》第15条</w:t>
      </w:r>
      <w:r>
        <w:rPr>
          <w:rFonts w:hint="eastAsia" w:ascii="宋体" w:hAnsi="宋体" w:eastAsia="宋体" w:cs="宋体"/>
          <w:color w:val="auto"/>
          <w:kern w:val="2"/>
          <w:sz w:val="24"/>
          <w:szCs w:val="24"/>
          <w:highlight w:val="none"/>
          <w:lang w:eastAsia="zh-CN"/>
        </w:rPr>
        <w:t>）。</w:t>
      </w:r>
    </w:p>
    <w:p w14:paraId="155DAC7F">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20.5</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投标文件解密完毕，公布投标报价，开启报价签字确认（不予确认的应说明理由，否则视为无异议，开标结束后，由评标委员会对报价的合理性、准确性等进行审查核实）。</w:t>
      </w:r>
    </w:p>
    <w:p w14:paraId="45AF428D">
      <w:pPr>
        <w:widowControl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21.评标程序</w:t>
      </w:r>
    </w:p>
    <w:p w14:paraId="6F9900D3">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21.1</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公开招标采购项目开标结束后，采购人或者采购代理机构应当依法对投标人的资格进行审查。合格投标人不足3家的，不得评标。</w:t>
      </w:r>
    </w:p>
    <w:p w14:paraId="5BC1842E">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21.2</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符合性审查。符合性审查是指依据招标文件的规定，从商务和技术角度对投标文件的有效性和完整性进行审查，以确定是否对招标文件的实质性要求做出响应。</w:t>
      </w:r>
    </w:p>
    <w:p w14:paraId="29F8B759">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21.3</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评标委员会采用综合评分法对满足招标文件全部实质性要求的投标文件和投标报价进行综合评分</w:t>
      </w:r>
    </w:p>
    <w:p w14:paraId="459E949E">
      <w:pPr>
        <w:widowControl w:val="0"/>
        <w:adjustRightInd/>
        <w:snapToGrid/>
        <w:spacing w:line="560" w:lineRule="exact"/>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21.4</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澄清、说明或补正的形式：</w:t>
      </w:r>
    </w:p>
    <w:p w14:paraId="6FB84F95">
      <w:pPr>
        <w:widowControl w:val="0"/>
        <w:adjustRightInd/>
        <w:snapToGrid/>
        <w:spacing w:line="560" w:lineRule="exact"/>
        <w:ind w:firstLine="240" w:firstLineChars="1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（1）对于投标文件中含义不明确、同类问题表述不一致或者有明显文字和计算错误的内容，评标委员会将通过“政府采购云平台”在线询标的方式要求投标人在规定的时间内作出必要的澄清、说明或者补正，</w:t>
      </w:r>
      <w:r>
        <w:rPr>
          <w:rFonts w:hint="eastAsia" w:ascii="宋体" w:hAnsi="宋体" w:eastAsia="宋体" w:cs="宋体"/>
          <w:b/>
          <w:bCs/>
          <w:color w:val="auto"/>
          <w:kern w:val="2"/>
          <w:sz w:val="24"/>
          <w:szCs w:val="24"/>
          <w:highlight w:val="none"/>
          <w:lang w:eastAsia="zh-CN"/>
        </w:rPr>
        <w:t>投标人澄清、说明或补正时间为20分钟</w:t>
      </w:r>
      <w:r>
        <w:rPr>
          <w:rFonts w:hint="eastAsia" w:ascii="宋体" w:hAnsi="宋体" w:eastAsia="宋体" w:cs="宋体"/>
          <w:color w:val="auto"/>
          <w:kern w:val="2"/>
          <w:sz w:val="24"/>
          <w:szCs w:val="24"/>
          <w:highlight w:val="none"/>
          <w:lang w:eastAsia="zh-CN"/>
        </w:rPr>
        <w:t>。</w:t>
      </w:r>
    </w:p>
    <w:p w14:paraId="0CD1ED56">
      <w:pPr>
        <w:widowControl w:val="0"/>
        <w:adjustRightInd/>
        <w:snapToGrid/>
        <w:spacing w:line="560" w:lineRule="exact"/>
        <w:ind w:firstLine="240" w:firstLineChars="1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投标人的澄清、说明或者补正应当通过“政府采购云平台”在线答复的方式提交，并加盖公章或电子印章，或者由法定代表人（负责人）或其授权的代表签字。投标人的澄清、说明或者补正不得超出投标文件的范围或者改变投标文件的实质性内容，不接受投标人主动对投标文件的澄清、说明或者补正。</w:t>
      </w:r>
    </w:p>
    <w:p w14:paraId="6C8AA66D">
      <w:pPr>
        <w:widowControl w:val="0"/>
        <w:adjustRightInd/>
        <w:snapToGrid/>
        <w:spacing w:line="560" w:lineRule="exact"/>
        <w:ind w:firstLine="240" w:firstLineChars="1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上述询标、澄清、说明和补正工作如因客观原因无法通过“政府采购云平台”在线进行的，将采用电子邮件等形式进行，请投标人保证办理投标事宜人员电话畅通、网络在线。如未及时进行澄清、说明或者补正的，视为放弃澄清、说明或者补正的权利。</w:t>
      </w:r>
    </w:p>
    <w:p w14:paraId="1E1F878E">
      <w:pPr>
        <w:widowControl w:val="0"/>
        <w:adjustRightInd/>
        <w:snapToGrid/>
        <w:spacing w:line="560" w:lineRule="exact"/>
        <w:ind w:firstLine="240" w:firstLineChars="1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4）评审人员对各投标人投标文件非实质性内容有疑议或异议，或者审查发现明显的文字或计算错误等，及时向评标委员会组长提出。经评标委员会商议认为需要投标人作出必要澄清、说明或者补正的，应当以在线询标形式要求投标人作出必要的澄清、说明或者补正并加盖投标人电子印章或公章。澄清、说明或者补正的内容应作为政府采购项目档案归档留存。</w:t>
      </w:r>
    </w:p>
    <w:p w14:paraId="3AA0120D">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21.5 评标委员会需对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14:paraId="29E150CB">
      <w:pPr>
        <w:widowControl w:val="0"/>
        <w:adjustRightInd/>
        <w:snapToGrid/>
        <w:spacing w:line="52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21.6</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评标结果汇总完成后，除下列情形外，任何人不得修改评标结果：</w:t>
      </w:r>
    </w:p>
    <w:p w14:paraId="43E54DF1">
      <w:pPr>
        <w:widowControl w:val="0"/>
        <w:adjustRightInd/>
        <w:snapToGrid/>
        <w:spacing w:line="520" w:lineRule="exact"/>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(一)分值汇总计算错误的;</w:t>
      </w:r>
    </w:p>
    <w:p w14:paraId="4EEBFA5B">
      <w:pPr>
        <w:widowControl w:val="0"/>
        <w:adjustRightInd/>
        <w:snapToGrid/>
        <w:spacing w:line="520" w:lineRule="exact"/>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(二)分项评分超出评分标准范围的;</w:t>
      </w:r>
    </w:p>
    <w:p w14:paraId="4DF04CCD">
      <w:pPr>
        <w:widowControl w:val="0"/>
        <w:adjustRightInd/>
        <w:snapToGrid/>
        <w:spacing w:line="520" w:lineRule="exact"/>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(三)评标委员会成员对客观评审因素评分不一致的;</w:t>
      </w:r>
    </w:p>
    <w:p w14:paraId="16BF22DA">
      <w:pPr>
        <w:widowControl w:val="0"/>
        <w:adjustRightInd/>
        <w:snapToGrid/>
        <w:spacing w:line="520" w:lineRule="exact"/>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(四)经评标委员会认定评分畸高、畸低的。</w:t>
      </w:r>
    </w:p>
    <w:p w14:paraId="3DA8B886">
      <w:pPr>
        <w:widowControl w:val="0"/>
        <w:adjustRightInd/>
        <w:snapToGrid/>
        <w:spacing w:line="52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CBBB06B">
      <w:pPr>
        <w:widowControl w:val="0"/>
        <w:adjustRightInd/>
        <w:snapToGrid/>
        <w:spacing w:line="52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投标人对本条第一款情形提出质疑的，采购人或者采购代理机构可以组织原评标委员会进行重新评审，重新评审改变评标结果的，应当书面报告本级财政部门。</w:t>
      </w:r>
    </w:p>
    <w:p w14:paraId="176BB424">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21.7</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评标委员会根据综合评分情况，按照评标得分由高到低顺序推荐3名中标候选人，并编写评标报告。得分相同的，按投标报价由低到高顺序排列。得分且投标报价相同的，按照技术指标优劣顺序推荐。</w:t>
      </w:r>
    </w:p>
    <w:p w14:paraId="19EA968E">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21.8</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采购代理机构在评标结果后2个工作日内将评标报告送采购人确认。</w:t>
      </w:r>
    </w:p>
    <w:p w14:paraId="579E9861">
      <w:pPr>
        <w:widowControl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bookmarkStart w:id="110" w:name="_Toc183682375"/>
      <w:bookmarkStart w:id="111" w:name="_Toc183582238"/>
      <w:bookmarkStart w:id="112" w:name="_Toc217446063"/>
      <w:r>
        <w:rPr>
          <w:rFonts w:hint="eastAsia" w:ascii="宋体" w:hAnsi="宋体" w:eastAsia="宋体" w:cs="宋体"/>
          <w:b/>
          <w:bCs/>
          <w:color w:val="auto"/>
          <w:kern w:val="2"/>
          <w:sz w:val="24"/>
          <w:szCs w:val="24"/>
          <w:highlight w:val="none"/>
          <w:lang w:eastAsia="zh-CN"/>
        </w:rPr>
        <w:t>22</w:t>
      </w: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olor w:val="auto"/>
          <w:kern w:val="2"/>
          <w:sz w:val="24"/>
          <w:szCs w:val="24"/>
          <w:highlight w:val="none"/>
          <w:lang w:eastAsia="zh-CN"/>
        </w:rPr>
        <w:t>中标通知</w:t>
      </w:r>
      <w:bookmarkEnd w:id="110"/>
      <w:bookmarkEnd w:id="111"/>
      <w:r>
        <w:rPr>
          <w:rFonts w:hint="eastAsia" w:ascii="宋体" w:hAnsi="宋体" w:eastAsia="宋体" w:cs="宋体"/>
          <w:b/>
          <w:bCs/>
          <w:color w:val="auto"/>
          <w:kern w:val="2"/>
          <w:sz w:val="24"/>
          <w:szCs w:val="24"/>
          <w:highlight w:val="none"/>
          <w:lang w:eastAsia="zh-CN"/>
        </w:rPr>
        <w:t>书</w:t>
      </w:r>
      <w:bookmarkEnd w:id="112"/>
    </w:p>
    <w:p w14:paraId="7A48B66C">
      <w:pPr>
        <w:widowControl w:val="0"/>
        <w:tabs>
          <w:tab w:val="left" w:pos="7665"/>
        </w:tabs>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22</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color w:val="auto"/>
          <w:kern w:val="2"/>
          <w:sz w:val="24"/>
          <w:szCs w:val="24"/>
          <w:highlight w:val="none"/>
          <w:lang w:eastAsia="zh-CN"/>
        </w:rPr>
        <w:t>1 中标通知书为签订中标合同的依据，是合同的有效组成部分。</w:t>
      </w:r>
    </w:p>
    <w:p w14:paraId="528B50BC">
      <w:pPr>
        <w:widowControl w:val="0"/>
        <w:tabs>
          <w:tab w:val="left" w:pos="7665"/>
        </w:tabs>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22.2 中标通知书对采购人和中标人均具有法律效力。中标通知书发出后，采购人改变中标结果，或者中标人无正当理由放弃中标的，应当承担相应的法律责任。</w:t>
      </w:r>
    </w:p>
    <w:p w14:paraId="45A50DBE">
      <w:pPr>
        <w:widowControl w:val="0"/>
        <w:tabs>
          <w:tab w:val="left" w:pos="7665"/>
        </w:tabs>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22</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3</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中标人的投标文件本应作为无效投标处理或者有招投标法律法规规章制度规定的中标无效情形的，采购代理机构在取得有权主体的认定以后，应当宣布发出的中标通知书无效，并收回发出的中标通知书（中标人也应当缴回），依法重新确定中标人或者重新开展招标活动。</w:t>
      </w:r>
    </w:p>
    <w:p w14:paraId="680D1CDE">
      <w:pPr>
        <w:keepLines/>
        <w:widowControl w:val="0"/>
        <w:spacing w:line="560" w:lineRule="exact"/>
        <w:ind w:firstLine="482" w:firstLineChars="200"/>
        <w:jc w:val="center"/>
        <w:outlineLvl w:val="1"/>
        <w:rPr>
          <w:rFonts w:hint="eastAsia" w:ascii="宋体" w:hAnsi="宋体" w:eastAsia="宋体" w:cs="宋体"/>
          <w:b/>
          <w:color w:val="auto"/>
          <w:kern w:val="2"/>
          <w:sz w:val="24"/>
          <w:szCs w:val="24"/>
          <w:highlight w:val="none"/>
          <w:lang w:eastAsia="zh-CN"/>
        </w:rPr>
      </w:pPr>
      <w:bookmarkStart w:id="113" w:name="_Toc217446064"/>
      <w:bookmarkStart w:id="114" w:name="_Toc183682377"/>
      <w:bookmarkStart w:id="115" w:name="_Toc183582240"/>
      <w:r>
        <w:rPr>
          <w:rFonts w:hint="eastAsia" w:ascii="宋体" w:hAnsi="宋体" w:eastAsia="宋体" w:cs="宋体"/>
          <w:b/>
          <w:color w:val="auto"/>
          <w:kern w:val="2"/>
          <w:sz w:val="24"/>
          <w:szCs w:val="24"/>
          <w:highlight w:val="none"/>
          <w:lang w:eastAsia="zh-CN"/>
        </w:rPr>
        <w:t>六、签订及履行合同和验收</w:t>
      </w:r>
      <w:bookmarkEnd w:id="113"/>
    </w:p>
    <w:p w14:paraId="5A197199">
      <w:pPr>
        <w:widowControl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bookmarkStart w:id="116" w:name="_Toc217446065"/>
      <w:r>
        <w:rPr>
          <w:rFonts w:hint="eastAsia" w:ascii="宋体" w:hAnsi="宋体" w:eastAsia="宋体" w:cs="宋体"/>
          <w:b/>
          <w:bCs/>
          <w:color w:val="auto"/>
          <w:kern w:val="2"/>
          <w:sz w:val="24"/>
          <w:szCs w:val="24"/>
          <w:highlight w:val="none"/>
          <w:lang w:eastAsia="zh-CN"/>
        </w:rPr>
        <w:t>23</w:t>
      </w: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olor w:val="auto"/>
          <w:kern w:val="2"/>
          <w:sz w:val="24"/>
          <w:szCs w:val="24"/>
          <w:highlight w:val="none"/>
          <w:lang w:eastAsia="zh-CN"/>
        </w:rPr>
        <w:t>签订合同</w:t>
      </w:r>
      <w:bookmarkEnd w:id="116"/>
    </w:p>
    <w:p w14:paraId="1D27EB94">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23.1 中标人在收到采购人发出的《中标通知书》后，应在法律法规规定的时间内与采购人签订采购合同。由于中标人的原因逾期未与采购人签订采购合同的，将视为放弃中标，取消其中标资格并将按相关规定进行处理。</w:t>
      </w:r>
    </w:p>
    <w:p w14:paraId="1F853CF2">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23.2 采购人不得向中标人提出任何不合理的要求，作为签订合同的条件，不得与中标人私下订立背离合同实质性内容的任何协议，所签订的合同不得对招标文件和投标文件作实质性修改。</w:t>
      </w:r>
    </w:p>
    <w:p w14:paraId="557FE1E2">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23.3 中标人拒绝与采购人签订合同的，采购人可以按照评审报告推荐的中标候选人名单排序，确定下一候选人为中标人，也可以重新开展政府采购活动。</w:t>
      </w:r>
    </w:p>
    <w:p w14:paraId="2609905E">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23.4 中标人在合同签订之后三个工作日内，将签订的合同（彩色扫描件）交至采购代理机构。</w:t>
      </w:r>
    </w:p>
    <w:p w14:paraId="57F423E3">
      <w:pPr>
        <w:widowControl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bookmarkStart w:id="117" w:name="_Toc217446066"/>
      <w:r>
        <w:rPr>
          <w:rFonts w:hint="eastAsia" w:ascii="宋体" w:hAnsi="宋体" w:eastAsia="宋体" w:cs="宋体"/>
          <w:b/>
          <w:bCs/>
          <w:color w:val="auto"/>
          <w:kern w:val="2"/>
          <w:sz w:val="24"/>
          <w:szCs w:val="24"/>
          <w:highlight w:val="none"/>
          <w:lang w:eastAsia="zh-CN"/>
        </w:rPr>
        <w:t>24.合同分包</w:t>
      </w:r>
      <w:bookmarkEnd w:id="117"/>
      <w:r>
        <w:rPr>
          <w:rFonts w:hint="eastAsia" w:ascii="宋体" w:hAnsi="宋体" w:eastAsia="宋体" w:cs="宋体"/>
          <w:b/>
          <w:bCs/>
          <w:color w:val="auto"/>
          <w:kern w:val="2"/>
          <w:sz w:val="24"/>
          <w:szCs w:val="24"/>
          <w:highlight w:val="none"/>
          <w:lang w:eastAsia="zh-CN"/>
        </w:rPr>
        <w:t>（如有）</w:t>
      </w:r>
    </w:p>
    <w:p w14:paraId="4C11AF14">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24.1 若本项目允许分包的，经采购人同意，中标人可以依法采取分包方式履行合同。这种要求应当在合同签订之前征得采购人同意，并且分包人履行分包项目的服务及技术要求等，必须与中标的一致。</w:t>
      </w:r>
    </w:p>
    <w:p w14:paraId="5D767685">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24.2 招标合同实行分包履行的，中标人就招标项目和分包项目向采购人负责，分包人就分包项目承担责任。</w:t>
      </w:r>
    </w:p>
    <w:p w14:paraId="24ADA782">
      <w:pPr>
        <w:widowControl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bookmarkStart w:id="118" w:name="_Toc217446067"/>
      <w:r>
        <w:rPr>
          <w:rFonts w:hint="eastAsia" w:ascii="宋体" w:hAnsi="宋体" w:eastAsia="宋体" w:cs="宋体"/>
          <w:b/>
          <w:bCs/>
          <w:color w:val="auto"/>
          <w:kern w:val="2"/>
          <w:sz w:val="24"/>
          <w:szCs w:val="24"/>
          <w:highlight w:val="none"/>
          <w:lang w:eastAsia="zh-CN"/>
        </w:rPr>
        <w:t>25. 采购人增加合同标的权</w:t>
      </w:r>
      <w:bookmarkEnd w:id="118"/>
      <w:r>
        <w:rPr>
          <w:rFonts w:hint="eastAsia" w:ascii="宋体" w:hAnsi="宋体" w:eastAsia="宋体" w:cs="宋体"/>
          <w:b/>
          <w:bCs/>
          <w:color w:val="auto"/>
          <w:kern w:val="2"/>
          <w:sz w:val="24"/>
          <w:szCs w:val="24"/>
          <w:highlight w:val="none"/>
          <w:lang w:eastAsia="zh-CN"/>
        </w:rPr>
        <w:t>利</w:t>
      </w:r>
    </w:p>
    <w:p w14:paraId="34FFDBE0">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招标合同履行过程中，采购人需要追加与合同标的相同的货物或者服务的，在不改变合同其他条款的前提下，可以与中标投标人协商签订补充合同，但所有补充合同的招标金额不得超过原合同招标金额的百分之十。</w:t>
      </w:r>
    </w:p>
    <w:p w14:paraId="56A2FC50">
      <w:pPr>
        <w:widowControl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bookmarkStart w:id="119" w:name="_Toc217446068"/>
      <w:r>
        <w:rPr>
          <w:rFonts w:hint="eastAsia" w:ascii="宋体" w:hAnsi="宋体" w:eastAsia="宋体" w:cs="宋体"/>
          <w:b/>
          <w:bCs/>
          <w:color w:val="auto"/>
          <w:kern w:val="2"/>
          <w:sz w:val="24"/>
          <w:szCs w:val="24"/>
          <w:highlight w:val="none"/>
          <w:lang w:eastAsia="zh-CN"/>
        </w:rPr>
        <w:t>26. 履约保证金</w:t>
      </w:r>
      <w:bookmarkEnd w:id="119"/>
    </w:p>
    <w:p w14:paraId="45B65E08">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26.1 中标人应在合同签订之前缴纳招标文件规定数额的履约保证金。</w:t>
      </w:r>
    </w:p>
    <w:p w14:paraId="00423200">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u w:val="single"/>
          <w:lang w:eastAsia="zh-CN"/>
        </w:rPr>
      </w:pPr>
      <w:r>
        <w:rPr>
          <w:rFonts w:hint="eastAsia" w:ascii="宋体" w:hAnsi="宋体" w:eastAsia="宋体" w:cs="宋体"/>
          <w:color w:val="auto"/>
          <w:kern w:val="2"/>
          <w:sz w:val="24"/>
          <w:szCs w:val="24"/>
          <w:highlight w:val="none"/>
          <w:lang w:eastAsia="zh-CN"/>
        </w:rPr>
        <w:t>27.2 如果中标人在规定的合同签订时间内，没有按照中标文件的规定缴纳履约保证金，且又无正当理由的，将视为放弃中标资格，其缴纳的投标保证金将不与退还。</w:t>
      </w:r>
    </w:p>
    <w:p w14:paraId="0684DC5B">
      <w:pPr>
        <w:widowControl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bookmarkStart w:id="120" w:name="_Toc217446069"/>
      <w:r>
        <w:rPr>
          <w:rFonts w:hint="eastAsia" w:ascii="宋体" w:hAnsi="宋体" w:eastAsia="宋体" w:cs="宋体"/>
          <w:b/>
          <w:bCs/>
          <w:color w:val="auto"/>
          <w:kern w:val="2"/>
          <w:sz w:val="24"/>
          <w:szCs w:val="24"/>
          <w:highlight w:val="none"/>
          <w:lang w:eastAsia="zh-CN"/>
        </w:rPr>
        <w:t>27.履行合同</w:t>
      </w:r>
      <w:bookmarkEnd w:id="120"/>
    </w:p>
    <w:p w14:paraId="320644EF">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27.1 中标人与采购人签订合同后，合同双方应严格执行合同条款，履行合同规定的义务，保证合同的顺利完成。</w:t>
      </w:r>
    </w:p>
    <w:p w14:paraId="358F5DAD">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27.2 在合同履行过程中，如发生合同纠纷，合同双方应按照《中华人民共和国民法典》的有关规定进行处理。</w:t>
      </w:r>
    </w:p>
    <w:p w14:paraId="58098921">
      <w:pPr>
        <w:widowControl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bookmarkStart w:id="121" w:name="_Toc217446070"/>
      <w:r>
        <w:rPr>
          <w:rFonts w:hint="eastAsia" w:ascii="宋体" w:hAnsi="宋体" w:eastAsia="宋体" w:cs="宋体"/>
          <w:b/>
          <w:bCs/>
          <w:color w:val="auto"/>
          <w:kern w:val="2"/>
          <w:sz w:val="24"/>
          <w:szCs w:val="24"/>
          <w:highlight w:val="none"/>
          <w:lang w:eastAsia="zh-CN"/>
        </w:rPr>
        <w:t>28.验收</w:t>
      </w:r>
      <w:bookmarkEnd w:id="121"/>
    </w:p>
    <w:p w14:paraId="00DE9FE4">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bookmarkStart w:id="122" w:name="_Toc217446071"/>
      <w:r>
        <w:rPr>
          <w:rFonts w:hint="eastAsia" w:ascii="宋体" w:hAnsi="宋体" w:eastAsia="宋体" w:cs="宋体"/>
          <w:color w:val="auto"/>
          <w:kern w:val="2"/>
          <w:sz w:val="24"/>
          <w:szCs w:val="24"/>
          <w:highlight w:val="none"/>
          <w:lang w:eastAsia="zh-CN"/>
        </w:rPr>
        <w:t>采购人应严格按照国家财政部《关于进一步加强政府采购需求和履约验收管理的指导意见》（</w:t>
      </w:r>
      <w:r>
        <w:rPr>
          <w:rFonts w:hint="eastAsia" w:ascii="宋体" w:hAnsi="宋体" w:eastAsia="宋体" w:cs="宋体"/>
          <w:color w:val="auto"/>
          <w:kern w:val="2"/>
          <w:sz w:val="24"/>
          <w:szCs w:val="24"/>
          <w:highlight w:val="none"/>
          <w:shd w:val="clear" w:color="auto" w:fill="FFFFFF"/>
          <w:lang w:eastAsia="zh-CN"/>
        </w:rPr>
        <w:t>财库〔2016〕205号</w:t>
      </w:r>
      <w:r>
        <w:rPr>
          <w:rFonts w:hint="eastAsia" w:ascii="宋体" w:hAnsi="宋体" w:eastAsia="宋体" w:cs="宋体"/>
          <w:color w:val="auto"/>
          <w:kern w:val="2"/>
          <w:sz w:val="24"/>
          <w:szCs w:val="24"/>
          <w:highlight w:val="none"/>
          <w:lang w:eastAsia="zh-CN"/>
        </w:rPr>
        <w:t>）的要求，</w:t>
      </w:r>
      <w:r>
        <w:rPr>
          <w:rFonts w:hint="eastAsia" w:ascii="宋体" w:hAnsi="宋体" w:eastAsia="宋体" w:cs="宋体"/>
          <w:color w:val="auto"/>
          <w:kern w:val="2"/>
          <w:sz w:val="24"/>
          <w:szCs w:val="24"/>
          <w:highlight w:val="none"/>
          <w:shd w:val="clear" w:color="auto" w:fill="FFFFFF"/>
          <w:lang w:eastAsia="zh-CN"/>
        </w:rPr>
        <w:t>根据采购项目的具体情况，自行组织项目验收或者委托采购代理机构邀请实际使用人、参加本项目的其他投标人或第三方专业机构及专家</w:t>
      </w:r>
      <w:r>
        <w:rPr>
          <w:rFonts w:hint="eastAsia" w:ascii="宋体" w:hAnsi="宋体" w:eastAsia="宋体" w:cs="宋体"/>
          <w:color w:val="auto"/>
          <w:kern w:val="2"/>
          <w:sz w:val="24"/>
          <w:szCs w:val="24"/>
          <w:highlight w:val="none"/>
          <w:lang w:eastAsia="zh-CN"/>
        </w:rPr>
        <w:t>进行验收。</w:t>
      </w:r>
    </w:p>
    <w:bookmarkEnd w:id="114"/>
    <w:bookmarkEnd w:id="115"/>
    <w:bookmarkEnd w:id="122"/>
    <w:p w14:paraId="77A8ACB1">
      <w:pPr>
        <w:keepLines/>
        <w:widowControl w:val="0"/>
        <w:spacing w:line="560" w:lineRule="exact"/>
        <w:ind w:firstLine="482" w:firstLineChars="200"/>
        <w:jc w:val="center"/>
        <w:outlineLvl w:val="1"/>
        <w:rPr>
          <w:rFonts w:hint="eastAsia" w:ascii="宋体" w:hAnsi="宋体" w:eastAsia="宋体" w:cs="宋体"/>
          <w:b/>
          <w:color w:val="auto"/>
          <w:kern w:val="2"/>
          <w:sz w:val="24"/>
          <w:szCs w:val="24"/>
          <w:highlight w:val="none"/>
          <w:lang w:eastAsia="zh-CN"/>
        </w:rPr>
      </w:pPr>
      <w:bookmarkStart w:id="123" w:name="_Toc217446074"/>
      <w:bookmarkStart w:id="124" w:name="_Toc183682380"/>
      <w:bookmarkStart w:id="125" w:name="_Toc183582243"/>
      <w:r>
        <w:rPr>
          <w:rFonts w:hint="eastAsia" w:ascii="宋体" w:hAnsi="宋体" w:eastAsia="宋体" w:cs="宋体"/>
          <w:b/>
          <w:color w:val="auto"/>
          <w:kern w:val="2"/>
          <w:sz w:val="24"/>
          <w:szCs w:val="24"/>
          <w:highlight w:val="none"/>
          <w:lang w:eastAsia="zh-CN"/>
        </w:rPr>
        <w:t>七、投标纪律要求</w:t>
      </w:r>
      <w:bookmarkEnd w:id="123"/>
    </w:p>
    <w:p w14:paraId="1CF5EB5B">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bookmarkStart w:id="126" w:name="_Toc217446075"/>
      <w:r>
        <w:rPr>
          <w:rFonts w:hint="eastAsia" w:ascii="宋体" w:hAnsi="宋体" w:eastAsia="宋体" w:cs="宋体"/>
          <w:color w:val="auto"/>
          <w:kern w:val="2"/>
          <w:sz w:val="24"/>
          <w:szCs w:val="24"/>
          <w:highlight w:val="none"/>
          <w:lang w:eastAsia="zh-CN"/>
        </w:rPr>
        <w:t>29.投标人不得具有的情形</w:t>
      </w:r>
      <w:bookmarkEnd w:id="126"/>
    </w:p>
    <w:p w14:paraId="2152B40A">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投标人参加投标不得有下列情形：</w:t>
      </w:r>
    </w:p>
    <w:p w14:paraId="7CD19D06">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（1）提供虚假材料谋取中标；</w:t>
      </w:r>
    </w:p>
    <w:p w14:paraId="1081F4A1">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（2）采取不正当手段诋毁、排挤其他投标人；</w:t>
      </w:r>
    </w:p>
    <w:p w14:paraId="64928B4B">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（3）与采购人、其他投标人恶意串通；</w:t>
      </w:r>
    </w:p>
    <w:p w14:paraId="64F6AF09">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（4）向采购人、评标委员会成员行贿或者提供其他不正当利益；</w:t>
      </w:r>
    </w:p>
    <w:p w14:paraId="66A5D099">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（5）在招标过程中与采购人进行协商谈判；</w:t>
      </w:r>
    </w:p>
    <w:p w14:paraId="02405FBE">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（6）拒绝有关部门的监督检查或者向监督检查部门提供虚假情况。</w:t>
      </w:r>
    </w:p>
    <w:p w14:paraId="7AA5AD8C">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有上述情形之一的投标人，属于不合格投标人，其投标或中标资格将被取消。</w:t>
      </w:r>
    </w:p>
    <w:p w14:paraId="40FFD689">
      <w:pPr>
        <w:keepLines/>
        <w:widowControl w:val="0"/>
        <w:spacing w:line="560" w:lineRule="exact"/>
        <w:ind w:firstLine="482" w:firstLineChars="200"/>
        <w:jc w:val="center"/>
        <w:outlineLvl w:val="1"/>
        <w:rPr>
          <w:rFonts w:hint="eastAsia" w:ascii="宋体" w:hAnsi="宋体" w:eastAsia="宋体" w:cs="宋体"/>
          <w:b/>
          <w:color w:val="auto"/>
          <w:kern w:val="2"/>
          <w:sz w:val="24"/>
          <w:szCs w:val="24"/>
          <w:highlight w:val="none"/>
          <w:lang w:eastAsia="zh-CN"/>
        </w:rPr>
      </w:pPr>
      <w:bookmarkStart w:id="127" w:name="_Toc217446076"/>
      <w:r>
        <w:rPr>
          <w:rFonts w:hint="eastAsia" w:ascii="宋体" w:hAnsi="宋体" w:eastAsia="宋体" w:cs="宋体"/>
          <w:b/>
          <w:color w:val="auto"/>
          <w:kern w:val="2"/>
          <w:sz w:val="24"/>
          <w:szCs w:val="24"/>
          <w:highlight w:val="none"/>
          <w:lang w:eastAsia="zh-CN"/>
        </w:rPr>
        <w:t>八、</w:t>
      </w:r>
      <w:bookmarkEnd w:id="127"/>
      <w:r>
        <w:rPr>
          <w:rFonts w:hint="eastAsia" w:ascii="宋体" w:hAnsi="宋体" w:eastAsia="宋体" w:cs="宋体"/>
          <w:b/>
          <w:color w:val="auto"/>
          <w:kern w:val="2"/>
          <w:sz w:val="24"/>
          <w:szCs w:val="24"/>
          <w:highlight w:val="none"/>
          <w:lang w:eastAsia="zh-CN"/>
        </w:rPr>
        <w:t>合同价款支付</w:t>
      </w:r>
    </w:p>
    <w:p w14:paraId="31D62E4C">
      <w:pPr>
        <w:widowControl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bookmarkStart w:id="128" w:name="_Toc217446077"/>
      <w:r>
        <w:rPr>
          <w:rFonts w:hint="eastAsia" w:ascii="宋体" w:hAnsi="宋体" w:eastAsia="宋体" w:cs="宋体"/>
          <w:b/>
          <w:bCs/>
          <w:color w:val="auto"/>
          <w:kern w:val="2"/>
          <w:sz w:val="24"/>
          <w:szCs w:val="24"/>
          <w:highlight w:val="none"/>
          <w:lang w:eastAsia="zh-CN"/>
        </w:rPr>
        <w:t>30.申请支付</w:t>
      </w:r>
      <w:bookmarkEnd w:id="128"/>
    </w:p>
    <w:p w14:paraId="00BADC00">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bookmarkStart w:id="129" w:name="_Toc217446078"/>
      <w:r>
        <w:rPr>
          <w:rFonts w:hint="eastAsia" w:ascii="宋体" w:hAnsi="宋体" w:eastAsia="宋体" w:cs="宋体"/>
          <w:color w:val="auto"/>
          <w:kern w:val="2"/>
          <w:sz w:val="24"/>
          <w:szCs w:val="24"/>
          <w:highlight w:val="none"/>
          <w:lang w:eastAsia="zh-CN"/>
        </w:rPr>
        <w:t>采购人应当按照政府采购合同规定，及时向中标供应商支付采购资金。</w:t>
      </w:r>
    </w:p>
    <w:p w14:paraId="1B969CEE">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政府采购项目资金支付程序，按照国家有关财政资金支付管理的规定执行。</w:t>
      </w:r>
    </w:p>
    <w:p w14:paraId="7C0F2163">
      <w:pPr>
        <w:keepLines/>
        <w:widowControl w:val="0"/>
        <w:spacing w:line="560" w:lineRule="exact"/>
        <w:ind w:firstLine="482" w:firstLineChars="200"/>
        <w:jc w:val="center"/>
        <w:outlineLvl w:val="1"/>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九、质疑和投诉</w:t>
      </w:r>
      <w:bookmarkEnd w:id="129"/>
      <w:bookmarkStart w:id="130" w:name="_Toc217446079"/>
    </w:p>
    <w:p w14:paraId="6B80D0E1">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w:t>
      </w:r>
      <w:bookmarkEnd w:id="130"/>
      <w:r>
        <w:rPr>
          <w:rFonts w:hint="eastAsia" w:ascii="宋体" w:hAnsi="宋体" w:eastAsia="宋体" w:cs="宋体"/>
          <w:color w:val="auto"/>
          <w:kern w:val="2"/>
          <w:sz w:val="24"/>
          <w:szCs w:val="24"/>
          <w:highlight w:val="none"/>
          <w:lang w:eastAsia="zh-CN"/>
        </w:rPr>
        <w:t>1．质疑、投诉的接收和处理严格按照《中华人共和国政府采购法</w:t>
      </w:r>
      <w:bookmarkEnd w:id="124"/>
      <w:bookmarkEnd w:id="125"/>
      <w:r>
        <w:rPr>
          <w:rFonts w:hint="eastAsia" w:ascii="宋体" w:hAnsi="宋体" w:eastAsia="宋体" w:cs="宋体"/>
          <w:color w:val="auto"/>
          <w:kern w:val="2"/>
          <w:sz w:val="24"/>
          <w:szCs w:val="24"/>
          <w:highlight w:val="none"/>
          <w:lang w:eastAsia="zh-CN"/>
        </w:rPr>
        <w:t>》《政府采购质疑和投诉办法》《财政部关于加强政府采购投标人投诉受理审查工作的通知》的规定办理。</w:t>
      </w:r>
    </w:p>
    <w:p w14:paraId="47DA3E5A">
      <w:pPr>
        <w:widowControl w:val="0"/>
        <w:spacing w:line="560" w:lineRule="exact"/>
        <w:ind w:firstLine="480" w:firstLineChars="200"/>
        <w:jc w:val="both"/>
        <w:rPr>
          <w:rFonts w:hint="eastAsia" w:ascii="宋体" w:hAnsi="宋体" w:eastAsia="宋体" w:cs="宋体"/>
          <w:color w:val="auto"/>
          <w:kern w:val="2"/>
          <w:sz w:val="24"/>
          <w:szCs w:val="24"/>
          <w:highlight w:val="none"/>
          <w:shd w:val="clear" w:color="auto" w:fill="FFFFFF"/>
          <w:lang w:eastAsia="zh-CN"/>
        </w:rPr>
      </w:pPr>
      <w:r>
        <w:rPr>
          <w:rFonts w:hint="eastAsia" w:ascii="宋体" w:hAnsi="宋体" w:eastAsia="宋体" w:cs="宋体"/>
          <w:color w:val="auto"/>
          <w:kern w:val="2"/>
          <w:sz w:val="24"/>
          <w:szCs w:val="24"/>
          <w:highlight w:val="none"/>
          <w:lang w:eastAsia="zh-CN"/>
        </w:rPr>
        <w:t>31.1</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投标人认为招标文件、采购过程和中标、成交结果使自己的权益受到损害的，可以在知道或者应知其权益受到损害之日起七个工作日内，以书面形式向采购人提出质疑。针对同一采购环节的质疑应一次性提出，提出质疑的投标人应当是参与所质疑项目招标活动的投标人。</w:t>
      </w:r>
    </w:p>
    <w:p w14:paraId="1A96CADB">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31.2</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潜在投标人已依法获取其可质疑的招标文件的，可以对该文件提出质疑。对招标文件提出质疑的，应当在获取招标文件或者招标文件公告期限届满之日起7个工作日内提出。</w:t>
      </w:r>
    </w:p>
    <w:p w14:paraId="25F0E3F7">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31.3</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5663B3F">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代理人提出质疑和投诉，应当提交投标人签署的授权委托书。</w:t>
      </w:r>
    </w:p>
    <w:p w14:paraId="5DFBA26C">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31.4</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投标人提出质疑应当提交质疑函和必要的证明材料。质疑函应当包括下列内容：</w:t>
      </w:r>
    </w:p>
    <w:p w14:paraId="1992EE77">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（一）投标人的姓名或者名称、地址、邮编、联系人及联系电话；</w:t>
      </w:r>
    </w:p>
    <w:p w14:paraId="34D30DEB">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（二）质疑项目的名称、编号；</w:t>
      </w:r>
    </w:p>
    <w:p w14:paraId="1FC9BD2D">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（三）具体、明确的质疑事项和与质疑事项相关的请求；</w:t>
      </w:r>
    </w:p>
    <w:p w14:paraId="196B21CB">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（四）事实依据；</w:t>
      </w:r>
    </w:p>
    <w:p w14:paraId="3DFC364C">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（五）必要的法律依据；</w:t>
      </w:r>
    </w:p>
    <w:p w14:paraId="0FBBDB60">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（六）提出质疑的日期。</w:t>
      </w:r>
    </w:p>
    <w:p w14:paraId="34DBBC94">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投标人为自然人的，应当由本人签字；投标人为法人或者其他组织的，应当由法定代表人、主要负责人或者其被授权人签字或盖章，并加盖公章。</w:t>
      </w:r>
    </w:p>
    <w:p w14:paraId="6CDE5746">
      <w:pPr>
        <w:widowControl w:val="0"/>
        <w:adjustRightInd/>
        <w:snapToGrid/>
        <w:spacing w:line="560" w:lineRule="exact"/>
        <w:ind w:firstLine="480" w:firstLineChars="200"/>
        <w:jc w:val="both"/>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zh-CN"/>
        </w:rPr>
        <w:t>接收质疑函的方式：书面形式、</w:t>
      </w:r>
      <w:r>
        <w:rPr>
          <w:rFonts w:hint="eastAsia" w:ascii="宋体" w:hAnsi="宋体" w:eastAsia="宋体" w:cs="宋体"/>
          <w:color w:val="auto"/>
          <w:kern w:val="2"/>
          <w:sz w:val="24"/>
          <w:szCs w:val="24"/>
          <w:highlight w:val="none"/>
          <w:lang w:val="en-US" w:eastAsia="zh-CN"/>
        </w:rPr>
        <w:t>当面递交</w:t>
      </w:r>
    </w:p>
    <w:p w14:paraId="28C70CA5">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联系部门：</w:t>
      </w:r>
      <w:r>
        <w:rPr>
          <w:rFonts w:hint="eastAsia" w:ascii="宋体" w:hAnsi="宋体" w:eastAsia="宋体" w:cs="宋体"/>
          <w:color w:val="auto"/>
          <w:sz w:val="24"/>
          <w:szCs w:val="24"/>
          <w:highlight w:val="none"/>
          <w:lang w:eastAsia="zh-CN"/>
        </w:rPr>
        <w:t>新疆金正建设工程管理有限公司</w:t>
      </w:r>
    </w:p>
    <w:p w14:paraId="773CE54A">
      <w:pPr>
        <w:pStyle w:val="87"/>
        <w:snapToGrid w:val="0"/>
        <w:spacing w:line="560" w:lineRule="exact"/>
        <w:ind w:firstLine="480" w:firstLineChars="200"/>
        <w:jc w:val="both"/>
        <w:rPr>
          <w:rFonts w:hint="eastAsia" w:ascii="宋体" w:hAnsi="宋体" w:cs="宋体"/>
          <w:bCs/>
          <w:color w:val="auto"/>
          <w:kern w:val="2"/>
          <w:szCs w:val="24"/>
          <w:highlight w:val="none"/>
        </w:rPr>
      </w:pPr>
      <w:r>
        <w:rPr>
          <w:rFonts w:hint="eastAsia" w:ascii="宋体" w:hAnsi="宋体" w:cs="宋体"/>
          <w:color w:val="auto"/>
          <w:kern w:val="2"/>
          <w:szCs w:val="24"/>
          <w:highlight w:val="none"/>
        </w:rPr>
        <w:t>联系人及联系电话：</w:t>
      </w:r>
      <w:r>
        <w:rPr>
          <w:rFonts w:hint="eastAsia" w:ascii="宋体" w:hAnsi="宋体" w:cs="宋体"/>
          <w:color w:val="auto"/>
          <w:szCs w:val="24"/>
          <w:highlight w:val="none"/>
          <w:lang w:eastAsia="zh-CN"/>
        </w:rPr>
        <w:t>马祥、王冰寒、施霞</w:t>
      </w:r>
      <w:r>
        <w:rPr>
          <w:rFonts w:hint="eastAsia" w:ascii="宋体" w:hAnsi="宋体" w:cs="宋体"/>
          <w:color w:val="auto"/>
          <w:szCs w:val="24"/>
          <w:highlight w:val="none"/>
        </w:rPr>
        <w:t xml:space="preserve"> </w:t>
      </w:r>
      <w:r>
        <w:rPr>
          <w:rFonts w:hint="eastAsia" w:ascii="宋体" w:hAnsi="宋体" w:cs="宋体"/>
          <w:color w:val="auto"/>
          <w:szCs w:val="24"/>
          <w:highlight w:val="none"/>
          <w:lang w:eastAsia="zh-CN"/>
        </w:rPr>
        <w:t>18149898825、13609921042</w:t>
      </w:r>
      <w:r>
        <w:rPr>
          <w:rFonts w:hint="eastAsia" w:ascii="宋体" w:hAnsi="宋体" w:cs="宋体"/>
          <w:color w:val="auto"/>
          <w:szCs w:val="24"/>
          <w:highlight w:val="none"/>
        </w:rPr>
        <w:t>、</w:t>
      </w:r>
    </w:p>
    <w:p w14:paraId="76352F6E">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通讯地址：乌鲁木齐市水磨沟区南湖南路 66 号水清木华精品社区 A 栋 6 层</w:t>
      </w:r>
    </w:p>
    <w:p w14:paraId="7169905C">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31.5</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质疑投标人对采购人、采购代理机构的答复不满意，或者采购人、采购代理机构未在规定时间内作出答复的，可以在答复期满后15个工作日内向本办法第六条规定的财政部门提起投诉。</w:t>
      </w:r>
    </w:p>
    <w:p w14:paraId="79D40DEF">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31.6</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投诉人投诉时，应当提交投诉书和必要的证明材料，并按照被投诉采购人、采购代理机构（以下简称被投诉人）和与投诉事项有关的投标人数量提供投诉书的副本。投诉书应当包括下列内容：</w:t>
      </w:r>
    </w:p>
    <w:p w14:paraId="5727750C">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（一）投诉人和被投诉人的姓名或者名称、通讯地址、邮编、联系人及联系电话；</w:t>
      </w:r>
    </w:p>
    <w:p w14:paraId="1FC22481">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（二）质疑和质疑答复情况说明及相关证明材料；</w:t>
      </w:r>
    </w:p>
    <w:p w14:paraId="75FF25DA">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（三）具体、明确的投诉事项和与投诉事项相关的投诉请求；</w:t>
      </w:r>
    </w:p>
    <w:p w14:paraId="585C16DA">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（四）事实依据；</w:t>
      </w:r>
    </w:p>
    <w:p w14:paraId="5FE5905F">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（五）法律依据；</w:t>
      </w:r>
    </w:p>
    <w:p w14:paraId="04E06AED">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（六）提起投诉的日期。</w:t>
      </w:r>
    </w:p>
    <w:p w14:paraId="3072B47B">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投诉人为自然人的，应当由本人签字；投诉人为法人或者其他组织的，应当由法定代表人、主要负责人，或者其授权代表签字或者盖章，并加盖公章。</w:t>
      </w:r>
    </w:p>
    <w:p w14:paraId="3B8296DE">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31.7</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投诉人应当根据《政府采购质疑和投诉办法》第七条第二款规定的信息内容，并按照其规定的方式提起投诉。</w:t>
      </w:r>
    </w:p>
    <w:p w14:paraId="1BE2A7BB">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投诉人提起投诉应当符合下列条件：</w:t>
      </w:r>
    </w:p>
    <w:p w14:paraId="614965AE">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（一）提起投诉前已依法进行质疑；</w:t>
      </w:r>
    </w:p>
    <w:p w14:paraId="57CEBF9E">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（二）投诉书内容符合本办法的规定；</w:t>
      </w:r>
    </w:p>
    <w:p w14:paraId="3199F075">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（三）在投诉有效期限内提起投诉；</w:t>
      </w:r>
    </w:p>
    <w:p w14:paraId="79AA8D18">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（四）同一投诉事项未经财政部门投诉处理；</w:t>
      </w:r>
    </w:p>
    <w:p w14:paraId="1EF3D4B2">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（五）财政部规定的其他条件。</w:t>
      </w:r>
    </w:p>
    <w:p w14:paraId="0B3377A0">
      <w:pPr>
        <w:widowControl w:val="0"/>
        <w:spacing w:line="560" w:lineRule="exact"/>
        <w:ind w:firstLine="420"/>
        <w:jc w:val="both"/>
        <w:rPr>
          <w:rFonts w:hint="eastAsia" w:ascii="宋体" w:hAnsi="宋体" w:eastAsia="宋体" w:cs="宋体"/>
          <w:color w:val="auto"/>
          <w:kern w:val="2"/>
          <w:sz w:val="24"/>
          <w:szCs w:val="24"/>
          <w:highlight w:val="none"/>
          <w:lang w:eastAsia="zh-CN"/>
        </w:rPr>
      </w:pPr>
    </w:p>
    <w:p w14:paraId="5080E920">
      <w:pPr>
        <w:widowControl w:val="0"/>
        <w:adjustRightInd/>
        <w:snapToGrid/>
        <w:spacing w:line="560" w:lineRule="exact"/>
        <w:jc w:val="center"/>
        <w:textAlignment w:val="auto"/>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br w:type="page"/>
      </w:r>
      <w:r>
        <w:rPr>
          <w:rFonts w:hint="eastAsia" w:ascii="宋体" w:hAnsi="宋体" w:eastAsia="宋体" w:cs="宋体"/>
          <w:b/>
          <w:bCs/>
          <w:color w:val="auto"/>
          <w:kern w:val="2"/>
          <w:sz w:val="24"/>
          <w:szCs w:val="24"/>
          <w:highlight w:val="none"/>
          <w:lang w:eastAsia="zh-CN"/>
        </w:rPr>
        <w:t>质疑函范本</w:t>
      </w:r>
    </w:p>
    <w:p w14:paraId="7C7C4CB5">
      <w:pPr>
        <w:widowControl w:val="0"/>
        <w:spacing w:line="560" w:lineRule="exact"/>
        <w:ind w:firstLine="480" w:firstLineChars="200"/>
        <w:jc w:val="both"/>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一、质疑</w:t>
      </w:r>
      <w:r>
        <w:rPr>
          <w:rFonts w:hint="eastAsia" w:ascii="宋体" w:hAnsi="宋体" w:eastAsia="宋体" w:cs="宋体"/>
          <w:color w:val="auto"/>
          <w:kern w:val="2"/>
          <w:sz w:val="24"/>
          <w:szCs w:val="24"/>
          <w:highlight w:val="none"/>
          <w:shd w:val="clear" w:color="auto" w:fill="FFFFFF"/>
          <w:lang w:eastAsia="zh-CN"/>
        </w:rPr>
        <w:t>投标人</w:t>
      </w:r>
      <w:r>
        <w:rPr>
          <w:rFonts w:hint="eastAsia" w:ascii="宋体" w:hAnsi="宋体" w:eastAsia="宋体" w:cs="宋体"/>
          <w:bCs/>
          <w:color w:val="auto"/>
          <w:kern w:val="2"/>
          <w:sz w:val="24"/>
          <w:szCs w:val="24"/>
          <w:highlight w:val="none"/>
          <w:lang w:eastAsia="zh-CN"/>
        </w:rPr>
        <w:t>基本信息</w:t>
      </w:r>
    </w:p>
    <w:p w14:paraId="4797C506">
      <w:pPr>
        <w:widowControl w:val="0"/>
        <w:spacing w:line="560" w:lineRule="exact"/>
        <w:ind w:firstLine="480" w:firstLineChars="200"/>
        <w:jc w:val="both"/>
        <w:textAlignment w:val="auto"/>
        <w:rPr>
          <w:rFonts w:hint="eastAsia" w:ascii="宋体" w:hAnsi="宋体" w:eastAsia="宋体" w:cs="宋体"/>
          <w:color w:val="auto"/>
          <w:kern w:val="2"/>
          <w:sz w:val="24"/>
          <w:szCs w:val="24"/>
          <w:highlight w:val="none"/>
          <w:u w:val="dotted"/>
          <w:lang w:eastAsia="zh-CN"/>
        </w:rPr>
      </w:pPr>
      <w:r>
        <w:rPr>
          <w:rFonts w:hint="eastAsia" w:ascii="宋体" w:hAnsi="宋体" w:eastAsia="宋体" w:cs="宋体"/>
          <w:color w:val="auto"/>
          <w:kern w:val="2"/>
          <w:sz w:val="24"/>
          <w:szCs w:val="24"/>
          <w:highlight w:val="none"/>
          <w:lang w:eastAsia="zh-CN"/>
        </w:rPr>
        <w:t>质疑</w:t>
      </w:r>
      <w:r>
        <w:rPr>
          <w:rFonts w:hint="eastAsia" w:ascii="宋体" w:hAnsi="宋体" w:eastAsia="宋体" w:cs="宋体"/>
          <w:color w:val="auto"/>
          <w:kern w:val="2"/>
          <w:sz w:val="24"/>
          <w:szCs w:val="24"/>
          <w:highlight w:val="none"/>
          <w:shd w:val="clear" w:color="auto" w:fill="FFFFFF"/>
          <w:lang w:eastAsia="zh-CN"/>
        </w:rPr>
        <w:t>投标人</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u w:val="dotted"/>
          <w:lang w:eastAsia="zh-CN"/>
        </w:rPr>
        <w:t xml:space="preserve">                                        </w:t>
      </w:r>
    </w:p>
    <w:p w14:paraId="246E4808">
      <w:pPr>
        <w:widowControl w:val="0"/>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地址：</w:t>
      </w:r>
      <w:r>
        <w:rPr>
          <w:rFonts w:hint="eastAsia" w:ascii="宋体" w:hAnsi="宋体" w:eastAsia="宋体" w:cs="宋体"/>
          <w:color w:val="auto"/>
          <w:kern w:val="2"/>
          <w:sz w:val="24"/>
          <w:szCs w:val="24"/>
          <w:highlight w:val="none"/>
          <w:u w:val="dotted"/>
          <w:lang w:eastAsia="zh-CN"/>
        </w:rPr>
        <w:t xml:space="preserve">                          </w:t>
      </w:r>
      <w:r>
        <w:rPr>
          <w:rFonts w:hint="eastAsia" w:ascii="宋体" w:hAnsi="宋体" w:eastAsia="宋体" w:cs="宋体"/>
          <w:color w:val="auto"/>
          <w:kern w:val="2"/>
          <w:sz w:val="24"/>
          <w:szCs w:val="24"/>
          <w:highlight w:val="none"/>
          <w:lang w:eastAsia="zh-CN"/>
        </w:rPr>
        <w:t>邮编：</w:t>
      </w:r>
      <w:r>
        <w:rPr>
          <w:rFonts w:hint="eastAsia" w:ascii="宋体" w:hAnsi="宋体" w:eastAsia="宋体" w:cs="宋体"/>
          <w:color w:val="auto"/>
          <w:kern w:val="2"/>
          <w:sz w:val="24"/>
          <w:szCs w:val="24"/>
          <w:highlight w:val="none"/>
          <w:u w:val="dotted"/>
          <w:lang w:eastAsia="zh-CN"/>
        </w:rPr>
        <w:t xml:space="preserve">                                                   </w:t>
      </w:r>
    </w:p>
    <w:p w14:paraId="35CE0E02">
      <w:pPr>
        <w:widowControl w:val="0"/>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联系人：</w:t>
      </w:r>
      <w:r>
        <w:rPr>
          <w:rFonts w:hint="eastAsia" w:ascii="宋体" w:hAnsi="宋体" w:eastAsia="宋体" w:cs="宋体"/>
          <w:color w:val="auto"/>
          <w:kern w:val="2"/>
          <w:sz w:val="24"/>
          <w:szCs w:val="24"/>
          <w:highlight w:val="none"/>
          <w:u w:val="dotted"/>
          <w:lang w:eastAsia="zh-CN"/>
        </w:rPr>
        <w:t xml:space="preserve">                      </w:t>
      </w:r>
      <w:r>
        <w:rPr>
          <w:rFonts w:hint="eastAsia" w:ascii="宋体" w:hAnsi="宋体" w:eastAsia="宋体" w:cs="宋体"/>
          <w:color w:val="auto"/>
          <w:kern w:val="2"/>
          <w:sz w:val="24"/>
          <w:szCs w:val="24"/>
          <w:highlight w:val="none"/>
          <w:lang w:eastAsia="zh-CN"/>
        </w:rPr>
        <w:t>联系电话：</w:t>
      </w:r>
      <w:r>
        <w:rPr>
          <w:rFonts w:hint="eastAsia" w:ascii="宋体" w:hAnsi="宋体" w:eastAsia="宋体" w:cs="宋体"/>
          <w:color w:val="auto"/>
          <w:kern w:val="2"/>
          <w:sz w:val="24"/>
          <w:szCs w:val="24"/>
          <w:highlight w:val="none"/>
          <w:u w:val="dotted"/>
          <w:lang w:eastAsia="zh-CN"/>
        </w:rPr>
        <w:t xml:space="preserve">                              </w:t>
      </w:r>
    </w:p>
    <w:p w14:paraId="3CFC37EC">
      <w:pPr>
        <w:widowControl w:val="0"/>
        <w:spacing w:line="560" w:lineRule="exact"/>
        <w:ind w:firstLine="480" w:firstLineChars="200"/>
        <w:jc w:val="both"/>
        <w:textAlignment w:val="auto"/>
        <w:rPr>
          <w:rFonts w:hint="eastAsia" w:ascii="宋体" w:hAnsi="宋体" w:eastAsia="宋体" w:cs="宋体"/>
          <w:color w:val="auto"/>
          <w:kern w:val="2"/>
          <w:sz w:val="24"/>
          <w:szCs w:val="24"/>
          <w:highlight w:val="none"/>
          <w:u w:val="dotted"/>
          <w:lang w:eastAsia="zh-CN"/>
        </w:rPr>
      </w:pPr>
      <w:r>
        <w:rPr>
          <w:rFonts w:hint="eastAsia" w:ascii="宋体" w:hAnsi="宋体" w:eastAsia="宋体" w:cs="宋体"/>
          <w:color w:val="auto"/>
          <w:kern w:val="2"/>
          <w:sz w:val="24"/>
          <w:szCs w:val="24"/>
          <w:highlight w:val="none"/>
          <w:lang w:eastAsia="zh-CN"/>
        </w:rPr>
        <w:t>被授权人：</w:t>
      </w:r>
      <w:r>
        <w:rPr>
          <w:rFonts w:hint="eastAsia" w:ascii="宋体" w:hAnsi="宋体" w:eastAsia="宋体" w:cs="宋体"/>
          <w:color w:val="auto"/>
          <w:kern w:val="2"/>
          <w:sz w:val="24"/>
          <w:szCs w:val="24"/>
          <w:highlight w:val="none"/>
          <w:u w:val="dotted"/>
          <w:lang w:eastAsia="zh-CN"/>
        </w:rPr>
        <w:t xml:space="preserve">                                          </w:t>
      </w:r>
    </w:p>
    <w:p w14:paraId="32FA205E">
      <w:pPr>
        <w:widowControl w:val="0"/>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联系电话：</w:t>
      </w:r>
      <w:r>
        <w:rPr>
          <w:rFonts w:hint="eastAsia" w:ascii="宋体" w:hAnsi="宋体" w:eastAsia="宋体" w:cs="宋体"/>
          <w:color w:val="auto"/>
          <w:kern w:val="2"/>
          <w:sz w:val="24"/>
          <w:szCs w:val="24"/>
          <w:highlight w:val="none"/>
          <w:u w:val="dotted"/>
          <w:lang w:eastAsia="zh-CN"/>
        </w:rPr>
        <w:t xml:space="preserve">                                           </w:t>
      </w:r>
      <w:r>
        <w:rPr>
          <w:rFonts w:hint="eastAsia" w:ascii="宋体" w:hAnsi="宋体" w:eastAsia="宋体" w:cs="宋体"/>
          <w:color w:val="auto"/>
          <w:kern w:val="2"/>
          <w:sz w:val="24"/>
          <w:szCs w:val="24"/>
          <w:highlight w:val="none"/>
          <w:lang w:eastAsia="zh-CN"/>
        </w:rPr>
        <w:t xml:space="preserve"> </w:t>
      </w:r>
    </w:p>
    <w:p w14:paraId="40B88280">
      <w:pPr>
        <w:widowControl w:val="0"/>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地址： </w:t>
      </w:r>
      <w:r>
        <w:rPr>
          <w:rFonts w:hint="eastAsia" w:ascii="宋体" w:hAnsi="宋体" w:eastAsia="宋体" w:cs="宋体"/>
          <w:color w:val="auto"/>
          <w:kern w:val="2"/>
          <w:sz w:val="24"/>
          <w:szCs w:val="24"/>
          <w:highlight w:val="none"/>
          <w:u w:val="dotted"/>
          <w:lang w:eastAsia="zh-CN"/>
        </w:rPr>
        <w:t xml:space="preserve">                        </w:t>
      </w:r>
      <w:r>
        <w:rPr>
          <w:rFonts w:hint="eastAsia" w:ascii="宋体" w:hAnsi="宋体" w:eastAsia="宋体" w:cs="宋体"/>
          <w:color w:val="auto"/>
          <w:kern w:val="2"/>
          <w:sz w:val="24"/>
          <w:szCs w:val="24"/>
          <w:highlight w:val="none"/>
          <w:lang w:eastAsia="zh-CN"/>
        </w:rPr>
        <w:t>邮编：</w:t>
      </w:r>
      <w:r>
        <w:rPr>
          <w:rFonts w:hint="eastAsia" w:ascii="宋体" w:hAnsi="宋体" w:eastAsia="宋体" w:cs="宋体"/>
          <w:color w:val="auto"/>
          <w:kern w:val="2"/>
          <w:sz w:val="24"/>
          <w:szCs w:val="24"/>
          <w:highlight w:val="none"/>
          <w:u w:val="dotted"/>
          <w:lang w:eastAsia="zh-CN"/>
        </w:rPr>
        <w:t xml:space="preserve">                                                </w:t>
      </w:r>
    </w:p>
    <w:p w14:paraId="017345DD">
      <w:pPr>
        <w:widowControl w:val="0"/>
        <w:spacing w:line="560" w:lineRule="exact"/>
        <w:ind w:firstLine="480" w:firstLineChars="200"/>
        <w:jc w:val="both"/>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二、质疑项目基本情况</w:t>
      </w:r>
    </w:p>
    <w:p w14:paraId="3E4BEF33">
      <w:pPr>
        <w:widowControl w:val="0"/>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质疑项目的名称：</w:t>
      </w:r>
      <w:r>
        <w:rPr>
          <w:rFonts w:hint="eastAsia" w:ascii="宋体" w:hAnsi="宋体" w:eastAsia="宋体" w:cs="宋体"/>
          <w:color w:val="auto"/>
          <w:kern w:val="2"/>
          <w:sz w:val="24"/>
          <w:szCs w:val="24"/>
          <w:highlight w:val="none"/>
          <w:u w:val="dotted"/>
          <w:lang w:eastAsia="zh-CN"/>
        </w:rPr>
        <w:t xml:space="preserve">                                      </w:t>
      </w:r>
    </w:p>
    <w:p w14:paraId="02244F0D">
      <w:pPr>
        <w:widowControl w:val="0"/>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质疑项目的编号：</w:t>
      </w:r>
      <w:r>
        <w:rPr>
          <w:rFonts w:hint="eastAsia" w:ascii="宋体" w:hAnsi="宋体" w:eastAsia="宋体" w:cs="宋体"/>
          <w:color w:val="auto"/>
          <w:kern w:val="2"/>
          <w:sz w:val="24"/>
          <w:szCs w:val="24"/>
          <w:highlight w:val="none"/>
          <w:u w:val="dotted"/>
          <w:lang w:eastAsia="zh-CN"/>
        </w:rPr>
        <w:t xml:space="preserve">               </w:t>
      </w:r>
      <w:r>
        <w:rPr>
          <w:rFonts w:hint="eastAsia" w:ascii="宋体" w:hAnsi="宋体" w:eastAsia="宋体" w:cs="宋体"/>
          <w:color w:val="auto"/>
          <w:kern w:val="2"/>
          <w:sz w:val="24"/>
          <w:szCs w:val="24"/>
          <w:highlight w:val="none"/>
          <w:lang w:eastAsia="zh-CN"/>
        </w:rPr>
        <w:t>包号：</w:t>
      </w:r>
      <w:r>
        <w:rPr>
          <w:rFonts w:hint="eastAsia" w:ascii="宋体" w:hAnsi="宋体" w:eastAsia="宋体" w:cs="宋体"/>
          <w:color w:val="auto"/>
          <w:kern w:val="2"/>
          <w:sz w:val="24"/>
          <w:szCs w:val="24"/>
          <w:highlight w:val="none"/>
          <w:u w:val="dotted"/>
          <w:lang w:eastAsia="zh-CN"/>
        </w:rPr>
        <w:t xml:space="preserve">                 </w:t>
      </w:r>
    </w:p>
    <w:p w14:paraId="45F9444B">
      <w:pPr>
        <w:widowControl w:val="0"/>
        <w:spacing w:line="560" w:lineRule="exact"/>
        <w:ind w:firstLine="480" w:firstLineChars="200"/>
        <w:jc w:val="both"/>
        <w:textAlignment w:val="auto"/>
        <w:rPr>
          <w:rFonts w:hint="eastAsia" w:ascii="宋体" w:hAnsi="宋体" w:eastAsia="宋体" w:cs="宋体"/>
          <w:color w:val="auto"/>
          <w:kern w:val="2"/>
          <w:sz w:val="24"/>
          <w:szCs w:val="24"/>
          <w:highlight w:val="none"/>
          <w:u w:val="dotted"/>
          <w:lang w:eastAsia="zh-CN"/>
        </w:rPr>
      </w:pPr>
      <w:r>
        <w:rPr>
          <w:rFonts w:hint="eastAsia" w:ascii="宋体" w:hAnsi="宋体" w:eastAsia="宋体" w:cs="宋体"/>
          <w:color w:val="auto"/>
          <w:kern w:val="2"/>
          <w:sz w:val="24"/>
          <w:szCs w:val="24"/>
          <w:highlight w:val="none"/>
          <w:lang w:eastAsia="zh-CN"/>
        </w:rPr>
        <w:t>采购人名称：</w:t>
      </w:r>
      <w:r>
        <w:rPr>
          <w:rFonts w:hint="eastAsia" w:ascii="宋体" w:hAnsi="宋体" w:eastAsia="宋体" w:cs="宋体"/>
          <w:color w:val="auto"/>
          <w:kern w:val="2"/>
          <w:sz w:val="24"/>
          <w:szCs w:val="24"/>
          <w:highlight w:val="none"/>
          <w:u w:val="dotted"/>
          <w:lang w:eastAsia="zh-CN"/>
        </w:rPr>
        <w:t xml:space="preserve">                                         </w:t>
      </w:r>
    </w:p>
    <w:p w14:paraId="06BDCF4A">
      <w:pPr>
        <w:widowControl w:val="0"/>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招标文件获取日期：</w:t>
      </w:r>
      <w:r>
        <w:rPr>
          <w:rFonts w:hint="eastAsia" w:ascii="宋体" w:hAnsi="宋体" w:eastAsia="宋体" w:cs="宋体"/>
          <w:color w:val="auto"/>
          <w:kern w:val="2"/>
          <w:sz w:val="24"/>
          <w:szCs w:val="24"/>
          <w:highlight w:val="none"/>
          <w:u w:val="dotted"/>
          <w:lang w:eastAsia="zh-CN"/>
        </w:rPr>
        <w:t xml:space="preserve">                                           </w:t>
      </w:r>
    </w:p>
    <w:p w14:paraId="3AC5EC6D">
      <w:pPr>
        <w:widowControl w:val="0"/>
        <w:spacing w:line="560" w:lineRule="exact"/>
        <w:ind w:firstLine="480" w:firstLineChars="200"/>
        <w:jc w:val="both"/>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三、质疑事项具体内容</w:t>
      </w:r>
    </w:p>
    <w:p w14:paraId="560BE152">
      <w:pPr>
        <w:widowControl w:val="0"/>
        <w:spacing w:line="560" w:lineRule="exact"/>
        <w:ind w:firstLine="480" w:firstLineChars="200"/>
        <w:jc w:val="both"/>
        <w:textAlignment w:val="auto"/>
        <w:rPr>
          <w:rFonts w:hint="eastAsia" w:ascii="宋体" w:hAnsi="宋体" w:eastAsia="宋体" w:cs="宋体"/>
          <w:color w:val="auto"/>
          <w:kern w:val="2"/>
          <w:sz w:val="24"/>
          <w:szCs w:val="24"/>
          <w:highlight w:val="none"/>
          <w:u w:val="dotted"/>
          <w:lang w:eastAsia="zh-CN"/>
        </w:rPr>
      </w:pPr>
      <w:r>
        <w:rPr>
          <w:rFonts w:hint="eastAsia" w:ascii="宋体" w:hAnsi="宋体" w:eastAsia="宋体" w:cs="宋体"/>
          <w:color w:val="auto"/>
          <w:kern w:val="2"/>
          <w:sz w:val="24"/>
          <w:szCs w:val="24"/>
          <w:highlight w:val="none"/>
          <w:lang w:eastAsia="zh-CN"/>
        </w:rPr>
        <w:t>质疑事项1：</w:t>
      </w:r>
      <w:r>
        <w:rPr>
          <w:rFonts w:hint="eastAsia" w:ascii="宋体" w:hAnsi="宋体" w:eastAsia="宋体" w:cs="宋体"/>
          <w:color w:val="auto"/>
          <w:kern w:val="2"/>
          <w:sz w:val="24"/>
          <w:szCs w:val="24"/>
          <w:highlight w:val="none"/>
          <w:u w:val="dotted"/>
          <w:lang w:eastAsia="zh-CN"/>
        </w:rPr>
        <w:t xml:space="preserve">                                         </w:t>
      </w:r>
    </w:p>
    <w:p w14:paraId="20CFEAD2">
      <w:pPr>
        <w:widowControl w:val="0"/>
        <w:spacing w:line="560" w:lineRule="exact"/>
        <w:ind w:firstLine="480" w:firstLineChars="200"/>
        <w:jc w:val="both"/>
        <w:textAlignment w:val="auto"/>
        <w:rPr>
          <w:rFonts w:hint="eastAsia" w:ascii="宋体" w:hAnsi="宋体" w:eastAsia="宋体" w:cs="宋体"/>
          <w:color w:val="auto"/>
          <w:kern w:val="2"/>
          <w:sz w:val="24"/>
          <w:szCs w:val="24"/>
          <w:highlight w:val="none"/>
          <w:u w:val="dotted"/>
          <w:lang w:eastAsia="zh-CN"/>
        </w:rPr>
      </w:pPr>
      <w:r>
        <w:rPr>
          <w:rFonts w:hint="eastAsia" w:ascii="宋体" w:hAnsi="宋体" w:eastAsia="宋体" w:cs="宋体"/>
          <w:color w:val="auto"/>
          <w:kern w:val="2"/>
          <w:sz w:val="24"/>
          <w:szCs w:val="24"/>
          <w:highlight w:val="none"/>
          <w:lang w:eastAsia="zh-CN"/>
        </w:rPr>
        <w:t>事实依据：</w:t>
      </w:r>
      <w:r>
        <w:rPr>
          <w:rFonts w:hint="eastAsia" w:ascii="宋体" w:hAnsi="宋体" w:eastAsia="宋体" w:cs="宋体"/>
          <w:color w:val="auto"/>
          <w:kern w:val="2"/>
          <w:sz w:val="24"/>
          <w:szCs w:val="24"/>
          <w:highlight w:val="none"/>
          <w:u w:val="dotted"/>
          <w:lang w:eastAsia="zh-CN"/>
        </w:rPr>
        <w:t xml:space="preserve">                                          </w:t>
      </w:r>
    </w:p>
    <w:p w14:paraId="63704092">
      <w:pPr>
        <w:widowControl w:val="0"/>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u w:val="dotted"/>
          <w:lang w:eastAsia="zh-CN"/>
        </w:rPr>
        <w:t xml:space="preserve">                                                       </w:t>
      </w:r>
    </w:p>
    <w:p w14:paraId="646A096A">
      <w:pPr>
        <w:widowControl w:val="0"/>
        <w:spacing w:line="560" w:lineRule="exact"/>
        <w:ind w:firstLine="480" w:firstLineChars="200"/>
        <w:jc w:val="both"/>
        <w:textAlignment w:val="auto"/>
        <w:rPr>
          <w:rFonts w:hint="eastAsia" w:ascii="宋体" w:hAnsi="宋体" w:eastAsia="宋体" w:cs="宋体"/>
          <w:color w:val="auto"/>
          <w:kern w:val="2"/>
          <w:sz w:val="24"/>
          <w:szCs w:val="24"/>
          <w:highlight w:val="none"/>
          <w:u w:val="dotted"/>
          <w:lang w:eastAsia="zh-CN"/>
        </w:rPr>
      </w:pPr>
      <w:r>
        <w:rPr>
          <w:rFonts w:hint="eastAsia" w:ascii="宋体" w:hAnsi="宋体" w:eastAsia="宋体" w:cs="宋体"/>
          <w:color w:val="auto"/>
          <w:kern w:val="2"/>
          <w:sz w:val="24"/>
          <w:szCs w:val="24"/>
          <w:highlight w:val="none"/>
          <w:lang w:eastAsia="zh-CN"/>
        </w:rPr>
        <w:t>法律依据：</w:t>
      </w:r>
      <w:r>
        <w:rPr>
          <w:rFonts w:hint="eastAsia" w:ascii="宋体" w:hAnsi="宋体" w:eastAsia="宋体" w:cs="宋体"/>
          <w:color w:val="auto"/>
          <w:kern w:val="2"/>
          <w:sz w:val="24"/>
          <w:szCs w:val="24"/>
          <w:highlight w:val="none"/>
          <w:u w:val="dotted"/>
          <w:lang w:eastAsia="zh-CN"/>
        </w:rPr>
        <w:t xml:space="preserve">                                          </w:t>
      </w:r>
    </w:p>
    <w:p w14:paraId="52F80252">
      <w:pPr>
        <w:widowControl w:val="0"/>
        <w:spacing w:line="560" w:lineRule="exact"/>
        <w:ind w:firstLine="480" w:firstLineChars="200"/>
        <w:jc w:val="both"/>
        <w:textAlignment w:val="auto"/>
        <w:rPr>
          <w:rFonts w:hint="eastAsia" w:ascii="宋体" w:hAnsi="宋体" w:eastAsia="宋体" w:cs="宋体"/>
          <w:color w:val="auto"/>
          <w:kern w:val="2"/>
          <w:sz w:val="24"/>
          <w:szCs w:val="24"/>
          <w:highlight w:val="none"/>
          <w:u w:val="dotted"/>
          <w:lang w:eastAsia="zh-CN"/>
        </w:rPr>
      </w:pPr>
      <w:r>
        <w:rPr>
          <w:rFonts w:hint="eastAsia" w:ascii="宋体" w:hAnsi="宋体" w:eastAsia="宋体" w:cs="宋体"/>
          <w:color w:val="auto"/>
          <w:kern w:val="2"/>
          <w:sz w:val="24"/>
          <w:szCs w:val="24"/>
          <w:highlight w:val="none"/>
          <w:lang w:eastAsia="zh-CN"/>
        </w:rPr>
        <w:t>质疑事项2</w:t>
      </w:r>
    </w:p>
    <w:p w14:paraId="0F7DE353">
      <w:pPr>
        <w:widowControl w:val="0"/>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w:t>
      </w:r>
    </w:p>
    <w:p w14:paraId="6B86B154">
      <w:pPr>
        <w:widowControl w:val="0"/>
        <w:spacing w:line="560" w:lineRule="exact"/>
        <w:ind w:firstLine="480" w:firstLineChars="200"/>
        <w:jc w:val="both"/>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四、与质疑事项相关的质疑请求</w:t>
      </w:r>
    </w:p>
    <w:p w14:paraId="294DDCFA">
      <w:pPr>
        <w:widowControl w:val="0"/>
        <w:spacing w:line="560" w:lineRule="exact"/>
        <w:ind w:firstLine="480" w:firstLineChars="200"/>
        <w:jc w:val="both"/>
        <w:textAlignment w:val="auto"/>
        <w:rPr>
          <w:rFonts w:hint="eastAsia" w:ascii="宋体" w:hAnsi="宋体" w:eastAsia="宋体" w:cs="宋体"/>
          <w:color w:val="auto"/>
          <w:kern w:val="2"/>
          <w:sz w:val="24"/>
          <w:szCs w:val="24"/>
          <w:highlight w:val="none"/>
          <w:u w:val="dotted"/>
          <w:lang w:eastAsia="zh-CN"/>
        </w:rPr>
      </w:pPr>
      <w:r>
        <w:rPr>
          <w:rFonts w:hint="eastAsia" w:ascii="宋体" w:hAnsi="宋体" w:eastAsia="宋体" w:cs="宋体"/>
          <w:color w:val="auto"/>
          <w:kern w:val="2"/>
          <w:sz w:val="24"/>
          <w:szCs w:val="24"/>
          <w:highlight w:val="none"/>
          <w:lang w:eastAsia="zh-CN"/>
        </w:rPr>
        <w:t>请求：</w:t>
      </w:r>
      <w:r>
        <w:rPr>
          <w:rFonts w:hint="eastAsia" w:ascii="宋体" w:hAnsi="宋体" w:eastAsia="宋体" w:cs="宋体"/>
          <w:color w:val="auto"/>
          <w:kern w:val="2"/>
          <w:sz w:val="24"/>
          <w:szCs w:val="24"/>
          <w:highlight w:val="none"/>
          <w:u w:val="dotted"/>
          <w:lang w:eastAsia="zh-CN"/>
        </w:rPr>
        <w:t xml:space="preserve">                                               </w:t>
      </w:r>
    </w:p>
    <w:p w14:paraId="2B23273B">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签字（签章）：                   公章：                      </w:t>
      </w:r>
    </w:p>
    <w:p w14:paraId="7EA4D60D">
      <w:pPr>
        <w:widowControl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日期：    </w:t>
      </w:r>
    </w:p>
    <w:p w14:paraId="14B4A5D7">
      <w:pPr>
        <w:widowControl w:val="0"/>
        <w:adjustRightInd/>
        <w:snapToGrid/>
        <w:spacing w:line="560" w:lineRule="exact"/>
        <w:ind w:firstLine="482" w:firstLineChars="200"/>
        <w:jc w:val="center"/>
        <w:textAlignment w:val="auto"/>
        <w:rPr>
          <w:rFonts w:hint="eastAsia" w:ascii="宋体" w:hAnsi="宋体" w:eastAsia="宋体" w:cs="宋体"/>
          <w:b/>
          <w:bCs/>
          <w:color w:val="auto"/>
          <w:kern w:val="2"/>
          <w:sz w:val="24"/>
          <w:szCs w:val="24"/>
          <w:highlight w:val="none"/>
          <w:lang w:eastAsia="zh-CN"/>
        </w:rPr>
      </w:pPr>
    </w:p>
    <w:p w14:paraId="714AD8FB">
      <w:pPr>
        <w:widowControl w:val="0"/>
        <w:adjustRightInd/>
        <w:snapToGrid/>
        <w:spacing w:line="560" w:lineRule="exact"/>
        <w:ind w:firstLine="482" w:firstLineChars="200"/>
        <w:jc w:val="both"/>
        <w:textAlignment w:val="auto"/>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质疑函制作说明：</w:t>
      </w:r>
    </w:p>
    <w:p w14:paraId="5F731802">
      <w:pPr>
        <w:adjustRightInd/>
        <w:snapToGrid/>
        <w:spacing w:line="560" w:lineRule="exact"/>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w:t>
      </w:r>
      <w:r>
        <w:rPr>
          <w:rFonts w:hint="eastAsia" w:ascii="宋体" w:hAnsi="宋体" w:eastAsia="宋体" w:cs="宋体"/>
          <w:color w:val="auto"/>
          <w:kern w:val="2"/>
          <w:sz w:val="24"/>
          <w:szCs w:val="24"/>
          <w:highlight w:val="none"/>
          <w:shd w:val="clear" w:color="auto" w:fill="FFFFFF"/>
          <w:lang w:eastAsia="zh-CN"/>
        </w:rPr>
        <w:t>投标人</w:t>
      </w:r>
      <w:r>
        <w:rPr>
          <w:rFonts w:hint="eastAsia" w:ascii="宋体" w:hAnsi="宋体" w:eastAsia="宋体" w:cs="宋体"/>
          <w:color w:val="auto"/>
          <w:kern w:val="2"/>
          <w:sz w:val="24"/>
          <w:szCs w:val="24"/>
          <w:highlight w:val="none"/>
          <w:lang w:eastAsia="zh-CN"/>
        </w:rPr>
        <w:t>提出质疑时，应提交质疑函和必要的证明材料。</w:t>
      </w:r>
    </w:p>
    <w:p w14:paraId="5D6CE442">
      <w:pPr>
        <w:adjustRightInd/>
        <w:snapToGrid/>
        <w:spacing w:line="560" w:lineRule="exact"/>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2.质疑</w:t>
      </w:r>
      <w:r>
        <w:rPr>
          <w:rFonts w:hint="eastAsia" w:ascii="宋体" w:hAnsi="宋体" w:eastAsia="宋体" w:cs="宋体"/>
          <w:color w:val="auto"/>
          <w:kern w:val="2"/>
          <w:sz w:val="24"/>
          <w:szCs w:val="24"/>
          <w:highlight w:val="none"/>
          <w:shd w:val="clear" w:color="auto" w:fill="FFFFFF"/>
          <w:lang w:eastAsia="zh-CN"/>
        </w:rPr>
        <w:t>投标人</w:t>
      </w:r>
      <w:r>
        <w:rPr>
          <w:rFonts w:hint="eastAsia" w:ascii="宋体" w:hAnsi="宋体" w:eastAsia="宋体" w:cs="宋体"/>
          <w:color w:val="auto"/>
          <w:kern w:val="2"/>
          <w:sz w:val="24"/>
          <w:szCs w:val="24"/>
          <w:highlight w:val="none"/>
          <w:lang w:eastAsia="zh-CN"/>
        </w:rPr>
        <w:t>若委托代理人进行质疑的，质疑函应按要求列明“被授权人”的有关内容，并在附件中提交由质疑</w:t>
      </w:r>
      <w:r>
        <w:rPr>
          <w:rFonts w:hint="eastAsia" w:ascii="宋体" w:hAnsi="宋体" w:eastAsia="宋体" w:cs="宋体"/>
          <w:color w:val="auto"/>
          <w:sz w:val="24"/>
          <w:szCs w:val="24"/>
          <w:highlight w:val="none"/>
          <w:lang w:eastAsia="zh-CN"/>
        </w:rPr>
        <w:t>投标人签署的授权委托书。授权委托书应载明代理人的姓名或者名称、代理事项、具体权限、期限和相关事项。</w:t>
      </w:r>
    </w:p>
    <w:p w14:paraId="357DA885">
      <w:pPr>
        <w:adjustRightInd/>
        <w:snapToGrid/>
        <w:spacing w:line="560" w:lineRule="exact"/>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3.质疑</w:t>
      </w:r>
      <w:r>
        <w:rPr>
          <w:rFonts w:hint="eastAsia" w:ascii="宋体" w:hAnsi="宋体" w:eastAsia="宋体" w:cs="宋体"/>
          <w:color w:val="auto"/>
          <w:kern w:val="2"/>
          <w:sz w:val="24"/>
          <w:szCs w:val="24"/>
          <w:highlight w:val="none"/>
          <w:shd w:val="clear" w:color="auto" w:fill="FFFFFF"/>
          <w:lang w:eastAsia="zh-CN"/>
        </w:rPr>
        <w:t>投标人</w:t>
      </w:r>
      <w:r>
        <w:rPr>
          <w:rFonts w:hint="eastAsia" w:ascii="宋体" w:hAnsi="宋体" w:eastAsia="宋体" w:cs="宋体"/>
          <w:color w:val="auto"/>
          <w:kern w:val="2"/>
          <w:sz w:val="24"/>
          <w:szCs w:val="24"/>
          <w:highlight w:val="none"/>
          <w:lang w:eastAsia="zh-CN"/>
        </w:rPr>
        <w:t>若对项目的某一分包进行质疑，质疑函中应列明具体分包号。</w:t>
      </w:r>
    </w:p>
    <w:p w14:paraId="30B6C96A">
      <w:pPr>
        <w:adjustRightInd/>
        <w:snapToGrid/>
        <w:spacing w:line="560" w:lineRule="exact"/>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4.质疑函的质疑事项应具体、明确，并有必要的事实依据和法律依据。</w:t>
      </w:r>
    </w:p>
    <w:p w14:paraId="6F59ABD7">
      <w:pPr>
        <w:adjustRightInd/>
        <w:snapToGrid/>
        <w:spacing w:line="560" w:lineRule="exact"/>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5.质疑函的质疑请求应与质疑事项相关。</w:t>
      </w:r>
    </w:p>
    <w:p w14:paraId="5E224A1E">
      <w:pPr>
        <w:adjustRightInd/>
        <w:snapToGrid/>
        <w:spacing w:line="560" w:lineRule="exact"/>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6.质疑</w:t>
      </w:r>
      <w:r>
        <w:rPr>
          <w:rFonts w:hint="eastAsia" w:ascii="宋体" w:hAnsi="宋体" w:eastAsia="宋体" w:cs="宋体"/>
          <w:color w:val="auto"/>
          <w:kern w:val="2"/>
          <w:sz w:val="24"/>
          <w:szCs w:val="24"/>
          <w:highlight w:val="none"/>
          <w:shd w:val="clear" w:color="auto" w:fill="FFFFFF"/>
          <w:lang w:eastAsia="zh-CN"/>
        </w:rPr>
        <w:t>投标人</w:t>
      </w:r>
      <w:r>
        <w:rPr>
          <w:rFonts w:hint="eastAsia" w:ascii="宋体" w:hAnsi="宋体" w:eastAsia="宋体" w:cs="宋体"/>
          <w:color w:val="auto"/>
          <w:kern w:val="2"/>
          <w:sz w:val="24"/>
          <w:szCs w:val="24"/>
          <w:highlight w:val="none"/>
          <w:lang w:eastAsia="zh-CN"/>
        </w:rPr>
        <w:t>为自然人的，质疑函应由本人签字；质疑</w:t>
      </w:r>
      <w:r>
        <w:rPr>
          <w:rFonts w:hint="eastAsia" w:ascii="宋体" w:hAnsi="宋体" w:eastAsia="宋体" w:cs="宋体"/>
          <w:color w:val="auto"/>
          <w:kern w:val="2"/>
          <w:sz w:val="24"/>
          <w:szCs w:val="24"/>
          <w:highlight w:val="none"/>
          <w:shd w:val="clear" w:color="auto" w:fill="FFFFFF"/>
          <w:lang w:eastAsia="zh-CN"/>
        </w:rPr>
        <w:t>投标人</w:t>
      </w:r>
      <w:r>
        <w:rPr>
          <w:rFonts w:hint="eastAsia" w:ascii="宋体" w:hAnsi="宋体" w:eastAsia="宋体" w:cs="宋体"/>
          <w:color w:val="auto"/>
          <w:kern w:val="2"/>
          <w:sz w:val="24"/>
          <w:szCs w:val="24"/>
          <w:highlight w:val="none"/>
          <w:lang w:eastAsia="zh-CN"/>
        </w:rPr>
        <w:t>为法人或者其他组织的，质疑函应由法定代表人、主要负责人或者其被授权人签字或者盖章，并加盖公章。</w:t>
      </w:r>
    </w:p>
    <w:p w14:paraId="64825A35">
      <w:pPr>
        <w:widowControl w:val="0"/>
        <w:spacing w:line="560" w:lineRule="exact"/>
        <w:ind w:firstLine="420"/>
        <w:jc w:val="both"/>
        <w:rPr>
          <w:rFonts w:hint="eastAsia" w:ascii="宋体" w:hAnsi="宋体" w:eastAsia="宋体" w:cs="宋体"/>
          <w:color w:val="auto"/>
          <w:kern w:val="2"/>
          <w:sz w:val="24"/>
          <w:szCs w:val="24"/>
          <w:highlight w:val="none"/>
          <w:lang w:eastAsia="zh-CN"/>
        </w:rPr>
      </w:pPr>
    </w:p>
    <w:p w14:paraId="77CB8003">
      <w:pPr>
        <w:widowControl w:val="0"/>
        <w:spacing w:line="560" w:lineRule="exact"/>
        <w:ind w:firstLine="420"/>
        <w:jc w:val="both"/>
        <w:rPr>
          <w:rFonts w:hint="eastAsia" w:ascii="宋体" w:hAnsi="宋体" w:eastAsia="宋体" w:cs="宋体"/>
          <w:color w:val="auto"/>
          <w:kern w:val="2"/>
          <w:sz w:val="24"/>
          <w:szCs w:val="24"/>
          <w:highlight w:val="none"/>
          <w:lang w:eastAsia="zh-CN"/>
        </w:rPr>
      </w:pPr>
    </w:p>
    <w:p w14:paraId="54FAEE59">
      <w:pPr>
        <w:widowControl w:val="0"/>
        <w:spacing w:line="560" w:lineRule="exact"/>
        <w:ind w:firstLine="480" w:firstLineChars="200"/>
        <w:jc w:val="both"/>
        <w:rPr>
          <w:rFonts w:hint="eastAsia" w:ascii="宋体" w:hAnsi="宋体" w:eastAsia="宋体" w:cs="宋体"/>
          <w:color w:val="auto"/>
          <w:kern w:val="2"/>
          <w:sz w:val="24"/>
          <w:szCs w:val="24"/>
          <w:highlight w:val="none"/>
          <w:lang w:eastAsia="zh-CN"/>
        </w:rPr>
      </w:pPr>
    </w:p>
    <w:p w14:paraId="39969E87">
      <w:pPr>
        <w:spacing w:line="560" w:lineRule="exact"/>
        <w:jc w:val="center"/>
        <w:outlineLvl w:val="0"/>
        <w:rPr>
          <w:rFonts w:hint="eastAsia" w:ascii="宋体" w:hAnsi="宋体" w:eastAsia="宋体" w:cs="宋体"/>
          <w:b/>
          <w:bCs/>
          <w:color w:val="auto"/>
          <w:sz w:val="24"/>
          <w:szCs w:val="24"/>
          <w:highlight w:val="none"/>
          <w:lang w:eastAsia="zh-CN"/>
        </w:rPr>
      </w:pPr>
      <w:r>
        <w:rPr>
          <w:rFonts w:hint="eastAsia" w:ascii="宋体" w:hAnsi="宋体" w:eastAsia="宋体" w:cs="宋体"/>
          <w:color w:val="auto"/>
          <w:kern w:val="2"/>
          <w:sz w:val="24"/>
          <w:szCs w:val="24"/>
          <w:highlight w:val="none"/>
          <w:lang w:eastAsia="zh-CN"/>
        </w:rPr>
        <w:br w:type="page"/>
      </w:r>
      <w:bookmarkStart w:id="131" w:name="_Toc22945"/>
      <w:bookmarkStart w:id="132" w:name="_Toc18749"/>
      <w:bookmarkStart w:id="133" w:name="_Toc26004"/>
      <w:r>
        <w:rPr>
          <w:rFonts w:hint="eastAsia" w:ascii="宋体" w:hAnsi="宋体" w:eastAsia="宋体" w:cs="宋体"/>
          <w:b/>
          <w:bCs/>
          <w:color w:val="auto"/>
          <w:sz w:val="24"/>
          <w:szCs w:val="24"/>
          <w:highlight w:val="none"/>
          <w:lang w:eastAsia="zh-CN"/>
        </w:rPr>
        <w:t xml:space="preserve">第二章  </w:t>
      </w:r>
      <w:bookmarkEnd w:id="131"/>
      <w:bookmarkEnd w:id="132"/>
      <w:bookmarkStart w:id="134" w:name="_Toc7178"/>
      <w:bookmarkStart w:id="135" w:name="_Toc5850_WPSOffice_Level1"/>
      <w:bookmarkStart w:id="136" w:name="_Toc217446089"/>
      <w:bookmarkStart w:id="137" w:name="_Toc31271_WPSOffice_Level1"/>
      <w:r>
        <w:rPr>
          <w:rFonts w:hint="eastAsia" w:ascii="宋体" w:hAnsi="宋体" w:eastAsia="宋体" w:cs="宋体"/>
          <w:b/>
          <w:bCs/>
          <w:color w:val="auto"/>
          <w:sz w:val="24"/>
          <w:szCs w:val="24"/>
          <w:highlight w:val="none"/>
          <w:lang w:eastAsia="zh-CN"/>
        </w:rPr>
        <w:t>投标文件格式</w:t>
      </w:r>
      <w:bookmarkEnd w:id="133"/>
      <w:bookmarkEnd w:id="134"/>
      <w:bookmarkEnd w:id="135"/>
    </w:p>
    <w:p w14:paraId="624C84D8">
      <w:pPr>
        <w:spacing w:line="560" w:lineRule="exac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投标文件封面示例</w:t>
      </w:r>
    </w:p>
    <w:p w14:paraId="2C915093">
      <w:pPr>
        <w:spacing w:line="560" w:lineRule="exact"/>
        <w:rPr>
          <w:rFonts w:hint="eastAsia" w:ascii="宋体" w:hAnsi="宋体" w:eastAsia="宋体" w:cs="宋体"/>
          <w:b/>
          <w:color w:val="auto"/>
          <w:sz w:val="24"/>
          <w:szCs w:val="24"/>
          <w:highlight w:val="none"/>
          <w:lang w:eastAsia="zh-CN"/>
        </w:rPr>
      </w:pPr>
    </w:p>
    <w:p w14:paraId="5DCCE5C7">
      <w:pPr>
        <w:spacing w:line="560" w:lineRule="exact"/>
        <w:jc w:val="center"/>
        <w:rPr>
          <w:rFonts w:hint="eastAsia" w:ascii="宋体" w:hAnsi="宋体" w:eastAsia="宋体" w:cs="宋体"/>
          <w:b/>
          <w:color w:val="auto"/>
          <w:sz w:val="24"/>
          <w:szCs w:val="24"/>
          <w:highlight w:val="none"/>
          <w:lang w:eastAsia="zh-CN"/>
        </w:rPr>
      </w:pPr>
    </w:p>
    <w:p w14:paraId="1897DCFC">
      <w:pPr>
        <w:spacing w:line="560" w:lineRule="exac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投标文件</w:t>
      </w:r>
    </w:p>
    <w:p w14:paraId="15057349">
      <w:pPr>
        <w:spacing w:line="560" w:lineRule="exact"/>
        <w:rPr>
          <w:rFonts w:hint="eastAsia" w:ascii="宋体" w:hAnsi="宋体" w:eastAsia="宋体" w:cs="宋体"/>
          <w:b/>
          <w:color w:val="auto"/>
          <w:sz w:val="24"/>
          <w:szCs w:val="24"/>
          <w:highlight w:val="none"/>
          <w:lang w:eastAsia="zh-CN"/>
        </w:rPr>
      </w:pPr>
    </w:p>
    <w:p w14:paraId="0D2472CB">
      <w:pPr>
        <w:spacing w:line="560" w:lineRule="exact"/>
        <w:ind w:firstLine="504"/>
        <w:rPr>
          <w:rFonts w:hint="eastAsia" w:ascii="宋体" w:hAnsi="宋体" w:eastAsia="宋体" w:cs="宋体"/>
          <w:b/>
          <w:color w:val="auto"/>
          <w:sz w:val="24"/>
          <w:szCs w:val="24"/>
          <w:highlight w:val="none"/>
          <w:lang w:eastAsia="zh-CN"/>
        </w:rPr>
      </w:pPr>
    </w:p>
    <w:p w14:paraId="4A547CDC">
      <w:pPr>
        <w:spacing w:line="560" w:lineRule="exact"/>
        <w:ind w:firstLine="504"/>
        <w:rPr>
          <w:rFonts w:hint="eastAsia" w:ascii="宋体" w:hAnsi="宋体" w:eastAsia="宋体" w:cs="宋体"/>
          <w:b/>
          <w:color w:val="auto"/>
          <w:sz w:val="24"/>
          <w:szCs w:val="24"/>
          <w:highlight w:val="none"/>
          <w:lang w:eastAsia="zh-CN"/>
        </w:rPr>
      </w:pPr>
    </w:p>
    <w:p w14:paraId="2646D6B8">
      <w:pPr>
        <w:spacing w:line="560" w:lineRule="exact"/>
        <w:ind w:firstLine="504"/>
        <w:rPr>
          <w:rFonts w:hint="eastAsia" w:ascii="宋体" w:hAnsi="宋体" w:eastAsia="宋体" w:cs="宋体"/>
          <w:b/>
          <w:color w:val="auto"/>
          <w:sz w:val="24"/>
          <w:szCs w:val="24"/>
          <w:highlight w:val="none"/>
          <w:lang w:eastAsia="zh-CN"/>
        </w:rPr>
      </w:pPr>
    </w:p>
    <w:p w14:paraId="06A81FAC">
      <w:pPr>
        <w:spacing w:line="560" w:lineRule="exact"/>
        <w:ind w:firstLine="504"/>
        <w:rPr>
          <w:rFonts w:hint="eastAsia" w:ascii="宋体" w:hAnsi="宋体" w:eastAsia="宋体" w:cs="宋体"/>
          <w:b/>
          <w:color w:val="auto"/>
          <w:sz w:val="24"/>
          <w:szCs w:val="24"/>
          <w:highlight w:val="none"/>
          <w:lang w:eastAsia="zh-CN"/>
        </w:rPr>
      </w:pPr>
    </w:p>
    <w:p w14:paraId="7AD3C041">
      <w:pPr>
        <w:spacing w:line="560" w:lineRule="exact"/>
        <w:rPr>
          <w:rFonts w:hint="eastAsia" w:ascii="宋体" w:hAnsi="宋体" w:eastAsia="宋体" w:cs="宋体"/>
          <w:b/>
          <w:color w:val="auto"/>
          <w:sz w:val="24"/>
          <w:szCs w:val="24"/>
          <w:highlight w:val="none"/>
          <w:lang w:eastAsia="zh-CN"/>
        </w:rPr>
      </w:pPr>
    </w:p>
    <w:p w14:paraId="2883755A">
      <w:pPr>
        <w:spacing w:line="560" w:lineRule="exact"/>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项目名称：</w:t>
      </w:r>
    </w:p>
    <w:p w14:paraId="5639BB5C">
      <w:pPr>
        <w:pStyle w:val="13"/>
        <w:spacing w:line="560" w:lineRule="exact"/>
        <w:rPr>
          <w:rFonts w:hint="eastAsia" w:ascii="宋体" w:hAnsi="宋体" w:cs="宋体"/>
          <w:color w:val="auto"/>
          <w:sz w:val="24"/>
          <w:szCs w:val="24"/>
          <w:highlight w:val="none"/>
        </w:rPr>
      </w:pPr>
    </w:p>
    <w:p w14:paraId="7FD5A510">
      <w:pPr>
        <w:spacing w:line="560" w:lineRule="exact"/>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项目编号：</w:t>
      </w:r>
    </w:p>
    <w:p w14:paraId="422A658D">
      <w:pPr>
        <w:spacing w:line="560" w:lineRule="exact"/>
        <w:ind w:firstLine="504"/>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 xml:space="preserve">            </w:t>
      </w:r>
    </w:p>
    <w:p w14:paraId="6F86AD1C">
      <w:pPr>
        <w:spacing w:line="560" w:lineRule="exact"/>
        <w:ind w:firstLine="504"/>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投标人名称（盖章）：</w:t>
      </w:r>
    </w:p>
    <w:p w14:paraId="1CABF1AD">
      <w:pPr>
        <w:spacing w:line="560" w:lineRule="exact"/>
        <w:ind w:firstLine="504"/>
        <w:rPr>
          <w:rFonts w:hint="eastAsia" w:ascii="宋体" w:hAnsi="宋体" w:eastAsia="宋体" w:cs="宋体"/>
          <w:b/>
          <w:color w:val="auto"/>
          <w:sz w:val="24"/>
          <w:szCs w:val="24"/>
          <w:highlight w:val="none"/>
          <w:lang w:eastAsia="zh-CN"/>
        </w:rPr>
      </w:pPr>
    </w:p>
    <w:p w14:paraId="0B633FE9">
      <w:pPr>
        <w:spacing w:line="560" w:lineRule="exact"/>
        <w:ind w:firstLine="504"/>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被授权人（签字或盖章）：</w:t>
      </w:r>
    </w:p>
    <w:p w14:paraId="79977AC0">
      <w:pPr>
        <w:spacing w:line="560" w:lineRule="exact"/>
        <w:ind w:firstLine="504"/>
        <w:rPr>
          <w:rFonts w:hint="eastAsia" w:ascii="宋体" w:hAnsi="宋体" w:eastAsia="宋体" w:cs="宋体"/>
          <w:b/>
          <w:color w:val="auto"/>
          <w:sz w:val="24"/>
          <w:szCs w:val="24"/>
          <w:highlight w:val="none"/>
          <w:lang w:eastAsia="zh-CN"/>
        </w:rPr>
      </w:pPr>
    </w:p>
    <w:p w14:paraId="434CFEED">
      <w:pPr>
        <w:spacing w:line="560" w:lineRule="exact"/>
        <w:ind w:firstLine="504"/>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 xml:space="preserve">项目联系人： </w:t>
      </w:r>
    </w:p>
    <w:p w14:paraId="7BDCA894">
      <w:pPr>
        <w:spacing w:line="560" w:lineRule="exact"/>
        <w:ind w:firstLine="504"/>
        <w:rPr>
          <w:rFonts w:hint="eastAsia" w:ascii="宋体" w:hAnsi="宋体" w:eastAsia="宋体" w:cs="宋体"/>
          <w:b/>
          <w:color w:val="auto"/>
          <w:sz w:val="24"/>
          <w:szCs w:val="24"/>
          <w:highlight w:val="none"/>
          <w:lang w:eastAsia="zh-CN"/>
        </w:rPr>
      </w:pPr>
    </w:p>
    <w:p w14:paraId="5B3C37D7">
      <w:pPr>
        <w:spacing w:line="560" w:lineRule="exact"/>
        <w:ind w:firstLine="504"/>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联系电话：</w:t>
      </w:r>
    </w:p>
    <w:p w14:paraId="30371989">
      <w:pPr>
        <w:spacing w:line="560" w:lineRule="exact"/>
        <w:ind w:firstLine="504"/>
        <w:rPr>
          <w:rFonts w:hint="eastAsia" w:ascii="宋体" w:hAnsi="宋体" w:eastAsia="宋体" w:cs="宋体"/>
          <w:b/>
          <w:color w:val="auto"/>
          <w:sz w:val="24"/>
          <w:szCs w:val="24"/>
          <w:highlight w:val="none"/>
          <w:lang w:eastAsia="zh-CN"/>
        </w:rPr>
      </w:pPr>
    </w:p>
    <w:p w14:paraId="4CDB5BDC">
      <w:pPr>
        <w:spacing w:line="560" w:lineRule="exact"/>
        <w:ind w:firstLine="504"/>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编制时间：</w:t>
      </w:r>
    </w:p>
    <w:p w14:paraId="165FDE84">
      <w:pPr>
        <w:spacing w:line="56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color w:val="auto"/>
          <w:sz w:val="24"/>
          <w:szCs w:val="24"/>
          <w:highlight w:val="none"/>
          <w:lang w:eastAsia="zh-CN"/>
        </w:rPr>
        <w:t>目录</w:t>
      </w:r>
    </w:p>
    <w:p w14:paraId="76E82E63">
      <w:pPr>
        <w:tabs>
          <w:tab w:val="left" w:pos="3480"/>
        </w:tabs>
        <w:spacing w:line="560" w:lineRule="exact"/>
        <w:ind w:firstLine="480" w:firstLineChars="200"/>
        <w:rPr>
          <w:rFonts w:hint="eastAsia" w:ascii="宋体" w:hAnsi="宋体" w:eastAsia="宋体" w:cs="宋体"/>
          <w:color w:val="auto"/>
          <w:sz w:val="24"/>
          <w:szCs w:val="24"/>
          <w:highlight w:val="none"/>
          <w:lang w:eastAsia="zh-CN"/>
        </w:rPr>
      </w:pPr>
      <w:bookmarkStart w:id="138" w:name="_Toc217446082"/>
    </w:p>
    <w:p w14:paraId="44489442">
      <w:pPr>
        <w:tabs>
          <w:tab w:val="left" w:pos="34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一、投标函</w:t>
      </w:r>
    </w:p>
    <w:p w14:paraId="2F6C9167">
      <w:pPr>
        <w:tabs>
          <w:tab w:val="left" w:pos="34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二、报价</w:t>
      </w:r>
      <w:r>
        <w:rPr>
          <w:rFonts w:hint="eastAsia" w:ascii="宋体" w:hAnsi="宋体" w:eastAsia="宋体" w:cs="宋体"/>
          <w:color w:val="auto"/>
          <w:sz w:val="24"/>
          <w:szCs w:val="24"/>
          <w:highlight w:val="none"/>
          <w:lang w:val="en-US" w:eastAsia="zh-CN"/>
        </w:rPr>
        <w:t>一览</w:t>
      </w:r>
      <w:r>
        <w:rPr>
          <w:rFonts w:hint="eastAsia" w:ascii="宋体" w:hAnsi="宋体" w:eastAsia="宋体" w:cs="宋体"/>
          <w:color w:val="auto"/>
          <w:sz w:val="24"/>
          <w:szCs w:val="24"/>
          <w:highlight w:val="none"/>
          <w:lang w:eastAsia="zh-CN"/>
        </w:rPr>
        <w:t>表</w:t>
      </w:r>
    </w:p>
    <w:p w14:paraId="7312E5B2">
      <w:pPr>
        <w:tabs>
          <w:tab w:val="left" w:pos="34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三、身份证明书及授权委托书</w:t>
      </w:r>
    </w:p>
    <w:p w14:paraId="3702D03B">
      <w:pPr>
        <w:tabs>
          <w:tab w:val="left" w:pos="34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四、投标人承诺函</w:t>
      </w:r>
    </w:p>
    <w:p w14:paraId="01FB36F0">
      <w:pPr>
        <w:tabs>
          <w:tab w:val="left" w:pos="34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五、投标人基本情况表</w:t>
      </w:r>
    </w:p>
    <w:p w14:paraId="1D773DF3">
      <w:pPr>
        <w:tabs>
          <w:tab w:val="left" w:pos="34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六、项目负责人</w:t>
      </w:r>
    </w:p>
    <w:p w14:paraId="029065EE">
      <w:pPr>
        <w:tabs>
          <w:tab w:val="left" w:pos="34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七、拟配备人员情况</w:t>
      </w:r>
    </w:p>
    <w:p w14:paraId="78A30CFC">
      <w:pPr>
        <w:tabs>
          <w:tab w:val="left" w:pos="34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八、拟投入本项目的主要设备设施表</w:t>
      </w:r>
    </w:p>
    <w:p w14:paraId="2236223A">
      <w:pPr>
        <w:tabs>
          <w:tab w:val="left" w:pos="34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九、供应商近年类似业绩情况表</w:t>
      </w:r>
    </w:p>
    <w:p w14:paraId="11CBCD3C">
      <w:pPr>
        <w:tabs>
          <w:tab w:val="left" w:pos="34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十、商务、</w:t>
      </w:r>
      <w:r>
        <w:rPr>
          <w:rFonts w:hint="eastAsia" w:ascii="宋体" w:hAnsi="宋体" w:eastAsia="宋体" w:cs="宋体"/>
          <w:color w:val="auto"/>
          <w:sz w:val="24"/>
          <w:szCs w:val="24"/>
          <w:highlight w:val="none"/>
          <w:lang w:val="en-US" w:eastAsia="zh-CN"/>
        </w:rPr>
        <w:t>技术要求</w:t>
      </w:r>
      <w:r>
        <w:rPr>
          <w:rFonts w:hint="eastAsia" w:ascii="宋体" w:hAnsi="宋体" w:eastAsia="宋体" w:cs="宋体"/>
          <w:color w:val="auto"/>
          <w:sz w:val="24"/>
          <w:szCs w:val="24"/>
          <w:highlight w:val="none"/>
          <w:lang w:eastAsia="zh-CN"/>
        </w:rPr>
        <w:t>偏离表</w:t>
      </w:r>
    </w:p>
    <w:p w14:paraId="528D392F">
      <w:pPr>
        <w:tabs>
          <w:tab w:val="left" w:pos="34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十一、服务方案</w:t>
      </w:r>
    </w:p>
    <w:p w14:paraId="0ED7975E">
      <w:pPr>
        <w:tabs>
          <w:tab w:val="left" w:pos="34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十二、政府采购政策</w:t>
      </w:r>
    </w:p>
    <w:p w14:paraId="7FD6BC13">
      <w:pPr>
        <w:tabs>
          <w:tab w:val="left" w:pos="34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十三、投标人认为需要提供的资料</w:t>
      </w:r>
    </w:p>
    <w:p w14:paraId="6BFA1751">
      <w:pPr>
        <w:pStyle w:val="6"/>
        <w:spacing w:line="560" w:lineRule="exact"/>
        <w:ind w:firstLine="480"/>
        <w:rPr>
          <w:rFonts w:hint="eastAsia" w:ascii="宋体" w:hAnsi="宋体" w:cs="宋体"/>
          <w:color w:val="auto"/>
          <w:sz w:val="24"/>
          <w:highlight w:val="none"/>
        </w:rPr>
      </w:pPr>
    </w:p>
    <w:p w14:paraId="745D6659">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（备注：投标人应按以上目录顺序编排投标文件，并标注相应页码）。</w:t>
      </w:r>
    </w:p>
    <w:p w14:paraId="3E2C6223">
      <w:pPr>
        <w:spacing w:line="560" w:lineRule="exact"/>
        <w:rPr>
          <w:rFonts w:hint="eastAsia" w:ascii="宋体" w:hAnsi="宋体" w:eastAsia="宋体" w:cs="宋体"/>
          <w:color w:val="auto"/>
          <w:sz w:val="24"/>
          <w:szCs w:val="24"/>
          <w:highlight w:val="none"/>
          <w:lang w:eastAsia="zh-CN"/>
        </w:rPr>
      </w:pPr>
    </w:p>
    <w:p w14:paraId="47BDB1A8">
      <w:pPr>
        <w:spacing w:line="560" w:lineRule="exact"/>
        <w:rPr>
          <w:rFonts w:hint="eastAsia" w:ascii="宋体" w:hAnsi="宋体" w:eastAsia="宋体" w:cs="宋体"/>
          <w:color w:val="auto"/>
          <w:sz w:val="24"/>
          <w:szCs w:val="24"/>
          <w:highlight w:val="none"/>
          <w:lang w:eastAsia="zh-CN"/>
        </w:rPr>
      </w:pPr>
    </w:p>
    <w:p w14:paraId="535544CF">
      <w:pPr>
        <w:spacing w:line="560" w:lineRule="exact"/>
        <w:rPr>
          <w:rFonts w:hint="eastAsia" w:ascii="宋体" w:hAnsi="宋体" w:eastAsia="宋体" w:cs="宋体"/>
          <w:color w:val="auto"/>
          <w:sz w:val="24"/>
          <w:szCs w:val="24"/>
          <w:highlight w:val="none"/>
          <w:lang w:eastAsia="zh-CN"/>
        </w:rPr>
      </w:pPr>
    </w:p>
    <w:p w14:paraId="093D9DAF">
      <w:pPr>
        <w:spacing w:line="560" w:lineRule="exact"/>
        <w:jc w:val="center"/>
        <w:rPr>
          <w:rFonts w:hint="eastAsia" w:ascii="宋体" w:hAnsi="宋体" w:eastAsia="宋体" w:cs="宋体"/>
          <w:color w:val="auto"/>
          <w:sz w:val="24"/>
          <w:szCs w:val="24"/>
          <w:highlight w:val="none"/>
          <w:lang w:eastAsia="zh-CN"/>
        </w:rPr>
      </w:pPr>
    </w:p>
    <w:p w14:paraId="1BD6E5F1">
      <w:pPr>
        <w:spacing w:line="560" w:lineRule="exact"/>
        <w:rPr>
          <w:rFonts w:hint="eastAsia" w:ascii="宋体" w:hAnsi="宋体" w:eastAsia="宋体" w:cs="宋体"/>
          <w:color w:val="auto"/>
          <w:sz w:val="24"/>
          <w:szCs w:val="24"/>
          <w:highlight w:val="none"/>
          <w:lang w:eastAsia="zh-CN"/>
        </w:rPr>
      </w:pPr>
    </w:p>
    <w:p w14:paraId="1E401E34">
      <w:pPr>
        <w:pStyle w:val="13"/>
        <w:spacing w:line="560" w:lineRule="exact"/>
        <w:rPr>
          <w:rFonts w:hint="eastAsia" w:ascii="宋体" w:hAnsi="宋体" w:cs="宋体"/>
          <w:color w:val="auto"/>
          <w:sz w:val="24"/>
          <w:szCs w:val="24"/>
          <w:highlight w:val="none"/>
        </w:rPr>
      </w:pPr>
    </w:p>
    <w:p w14:paraId="1CD36797">
      <w:pPr>
        <w:spacing w:line="560" w:lineRule="exact"/>
        <w:rPr>
          <w:rFonts w:hint="eastAsia" w:ascii="宋体" w:hAnsi="宋体" w:eastAsia="宋体" w:cs="宋体"/>
          <w:color w:val="auto"/>
          <w:sz w:val="24"/>
          <w:szCs w:val="24"/>
          <w:highlight w:val="none"/>
          <w:lang w:eastAsia="zh-CN"/>
        </w:rPr>
      </w:pPr>
    </w:p>
    <w:p w14:paraId="7539D642">
      <w:pPr>
        <w:pStyle w:val="13"/>
        <w:spacing w:line="560" w:lineRule="exact"/>
        <w:rPr>
          <w:rFonts w:hint="eastAsia" w:ascii="宋体" w:hAnsi="宋体" w:cs="宋体"/>
          <w:color w:val="auto"/>
          <w:sz w:val="24"/>
          <w:szCs w:val="24"/>
          <w:highlight w:val="none"/>
        </w:rPr>
      </w:pPr>
    </w:p>
    <w:p w14:paraId="46DD89FA">
      <w:pPr>
        <w:spacing w:line="560" w:lineRule="exact"/>
        <w:jc w:val="center"/>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r>
        <w:rPr>
          <w:rFonts w:hint="eastAsia" w:ascii="宋体" w:hAnsi="宋体" w:eastAsia="宋体" w:cs="宋体"/>
          <w:b/>
          <w:bCs/>
          <w:color w:val="auto"/>
          <w:sz w:val="24"/>
          <w:szCs w:val="24"/>
          <w:highlight w:val="none"/>
          <w:lang w:eastAsia="zh-CN"/>
        </w:rPr>
        <w:t>一、</w:t>
      </w:r>
      <w:bookmarkEnd w:id="138"/>
      <w:r>
        <w:rPr>
          <w:rFonts w:hint="eastAsia" w:ascii="宋体" w:hAnsi="宋体" w:eastAsia="宋体" w:cs="宋体"/>
          <w:b/>
          <w:bCs/>
          <w:color w:val="auto"/>
          <w:sz w:val="24"/>
          <w:szCs w:val="24"/>
          <w:highlight w:val="none"/>
          <w:lang w:eastAsia="zh-CN"/>
        </w:rPr>
        <w:t>投标函</w:t>
      </w:r>
    </w:p>
    <w:p w14:paraId="3C031A28">
      <w:pPr>
        <w:pStyle w:val="20"/>
        <w:spacing w:after="0" w:line="520" w:lineRule="exact"/>
        <w:ind w:left="0" w:leftChars="0"/>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__________（采购人）：</w:t>
      </w:r>
    </w:p>
    <w:p w14:paraId="5E0F3E4E">
      <w:pPr>
        <w:pStyle w:val="20"/>
        <w:spacing w:after="0" w:line="520" w:lineRule="exact"/>
        <w:ind w:left="0" w:leftChars="0" w:firstLine="480" w:firstLineChars="200"/>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我方全面研究了 “</w:t>
      </w:r>
      <w:r>
        <w:rPr>
          <w:rFonts w:hint="eastAsia" w:ascii="宋体" w:hAnsi="宋体" w:cs="宋体"/>
          <w:bCs/>
          <w:color w:val="auto"/>
          <w:sz w:val="24"/>
          <w:szCs w:val="24"/>
          <w:highlight w:val="none"/>
          <w:u w:val="single"/>
          <w:lang w:eastAsia="zh-CN"/>
        </w:rPr>
        <w:t xml:space="preserve">         </w:t>
      </w:r>
      <w:r>
        <w:rPr>
          <w:rFonts w:hint="eastAsia" w:ascii="宋体" w:hAnsi="宋体" w:cs="宋体"/>
          <w:bCs/>
          <w:color w:val="auto"/>
          <w:sz w:val="24"/>
          <w:szCs w:val="24"/>
          <w:highlight w:val="none"/>
          <w:lang w:eastAsia="zh-CN"/>
        </w:rPr>
        <w:t>（项目名称、项目编号）”项目招标文件，决定参加贵单位组织的本项目投标。我方授权</w:t>
      </w:r>
      <w:r>
        <w:rPr>
          <w:rFonts w:hint="eastAsia" w:ascii="宋体" w:hAnsi="宋体" w:cs="宋体"/>
          <w:bCs/>
          <w:color w:val="auto"/>
          <w:sz w:val="24"/>
          <w:szCs w:val="24"/>
          <w:highlight w:val="none"/>
          <w:u w:val="single"/>
          <w:lang w:eastAsia="zh-CN"/>
        </w:rPr>
        <w:t xml:space="preserve">    </w:t>
      </w:r>
      <w:r>
        <w:rPr>
          <w:rFonts w:hint="eastAsia" w:ascii="宋体" w:hAnsi="宋体" w:cs="宋体"/>
          <w:bCs/>
          <w:color w:val="auto"/>
          <w:sz w:val="24"/>
          <w:szCs w:val="24"/>
          <w:highlight w:val="none"/>
          <w:lang w:eastAsia="zh-CN"/>
        </w:rPr>
        <w:t>（姓名、职务）代表我方</w:t>
      </w:r>
      <w:r>
        <w:rPr>
          <w:rFonts w:hint="eastAsia" w:ascii="宋体" w:hAnsi="宋体" w:cs="宋体"/>
          <w:bCs/>
          <w:color w:val="auto"/>
          <w:sz w:val="24"/>
          <w:szCs w:val="24"/>
          <w:highlight w:val="none"/>
          <w:u w:val="single"/>
          <w:lang w:eastAsia="zh-CN"/>
        </w:rPr>
        <w:t xml:space="preserve">        </w:t>
      </w:r>
      <w:r>
        <w:rPr>
          <w:rFonts w:hint="eastAsia" w:ascii="宋体" w:hAnsi="宋体" w:cs="宋体"/>
          <w:bCs/>
          <w:color w:val="auto"/>
          <w:sz w:val="24"/>
          <w:szCs w:val="24"/>
          <w:highlight w:val="none"/>
          <w:lang w:eastAsia="zh-CN"/>
        </w:rPr>
        <w:t>（投标人的名称）全权处理本项目投标的有关事宜。</w:t>
      </w:r>
    </w:p>
    <w:p w14:paraId="09D62502">
      <w:pPr>
        <w:pStyle w:val="20"/>
        <w:spacing w:after="0" w:line="520" w:lineRule="exact"/>
        <w:ind w:left="0" w:leftChars="0" w:firstLine="480" w:firstLineChars="200"/>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1、我方自愿按照招标文件规定的各项要求向采购人提供所需服务，</w:t>
      </w:r>
      <w:r>
        <w:rPr>
          <w:rFonts w:hint="eastAsia" w:ascii="宋体" w:hAnsi="宋体" w:cs="宋体"/>
          <w:bCs/>
          <w:color w:val="auto"/>
          <w:sz w:val="24"/>
          <w:szCs w:val="24"/>
          <w:highlight w:val="none"/>
          <w:lang w:val="en-US" w:eastAsia="zh-CN"/>
        </w:rPr>
        <w:t>投标报价为</w:t>
      </w:r>
      <w:r>
        <w:rPr>
          <w:rFonts w:hint="eastAsia" w:ascii="宋体" w:hAnsi="宋体" w:cs="宋体"/>
          <w:bCs/>
          <w:color w:val="auto"/>
          <w:sz w:val="24"/>
          <w:szCs w:val="24"/>
          <w:highlight w:val="none"/>
          <w:u w:val="single"/>
          <w:lang w:val="en-US" w:eastAsia="zh-CN"/>
        </w:rPr>
        <w:t xml:space="preserve">        元</w:t>
      </w:r>
      <w:r>
        <w:rPr>
          <w:rFonts w:hint="eastAsia" w:ascii="宋体" w:hAnsi="宋体" w:cs="宋体"/>
          <w:bCs/>
          <w:color w:val="auto"/>
          <w:sz w:val="24"/>
          <w:szCs w:val="24"/>
          <w:highlight w:val="none"/>
          <w:u w:val="none"/>
          <w:lang w:val="en-US" w:eastAsia="zh-CN"/>
        </w:rPr>
        <w:t>，</w:t>
      </w:r>
      <w:r>
        <w:rPr>
          <w:rFonts w:hint="eastAsia" w:ascii="宋体" w:hAnsi="宋体" w:cs="宋体"/>
          <w:bCs/>
          <w:color w:val="auto"/>
          <w:sz w:val="24"/>
          <w:szCs w:val="24"/>
          <w:highlight w:val="none"/>
          <w:lang w:eastAsia="zh-CN"/>
        </w:rPr>
        <w:t>投标有效期</w:t>
      </w:r>
      <w:r>
        <w:rPr>
          <w:rFonts w:hint="eastAsia" w:ascii="宋体" w:hAnsi="宋体" w:cs="宋体"/>
          <w:bCs/>
          <w:color w:val="auto"/>
          <w:sz w:val="24"/>
          <w:szCs w:val="24"/>
          <w:highlight w:val="none"/>
          <w:u w:val="single"/>
          <w:lang w:eastAsia="zh-CN"/>
        </w:rPr>
        <w:t xml:space="preserve"> 从提交投标文件的截止之日起90天 </w:t>
      </w:r>
      <w:r>
        <w:rPr>
          <w:rFonts w:hint="eastAsia" w:ascii="宋体" w:hAnsi="宋体" w:cs="宋体"/>
          <w:bCs/>
          <w:color w:val="auto"/>
          <w:sz w:val="24"/>
          <w:szCs w:val="24"/>
          <w:highlight w:val="none"/>
          <w:lang w:eastAsia="zh-CN"/>
        </w:rPr>
        <w:t>。</w:t>
      </w:r>
    </w:p>
    <w:p w14:paraId="77567C10">
      <w:pPr>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2、一旦我方成交，我方将严格履行合同规定的责任和义务，服务期为：</w:t>
      </w:r>
      <w:r>
        <w:rPr>
          <w:rFonts w:hint="eastAsia" w:ascii="宋体" w:hAnsi="宋体" w:eastAsia="宋体" w:cs="宋体"/>
          <w:bCs/>
          <w:color w:val="auto"/>
          <w:sz w:val="24"/>
          <w:szCs w:val="24"/>
          <w:highlight w:val="none"/>
          <w:u w:val="single"/>
          <w:lang w:val="en-US" w:eastAsia="zh-CN"/>
        </w:rPr>
        <w:t>自合同签订之日起45日内完成检测、提供各项检测报告</w:t>
      </w:r>
      <w:r>
        <w:rPr>
          <w:rFonts w:hint="eastAsia" w:ascii="宋体" w:hAnsi="宋体" w:eastAsia="宋体" w:cs="宋体"/>
          <w:color w:val="auto"/>
          <w:sz w:val="24"/>
          <w:szCs w:val="24"/>
          <w:highlight w:val="none"/>
          <w:u w:val="single"/>
          <w:lang w:eastAsia="zh-CN"/>
        </w:rPr>
        <w:t>，</w:t>
      </w:r>
      <w:r>
        <w:rPr>
          <w:rFonts w:hint="eastAsia" w:ascii="宋体" w:hAnsi="宋体" w:eastAsia="宋体" w:cs="宋体"/>
          <w:bCs/>
          <w:color w:val="auto"/>
          <w:sz w:val="24"/>
          <w:szCs w:val="24"/>
          <w:highlight w:val="none"/>
          <w:lang w:eastAsia="zh-CN"/>
        </w:rPr>
        <w:t>服务地点为：</w:t>
      </w:r>
      <w:r>
        <w:rPr>
          <w:rFonts w:hint="eastAsia" w:ascii="宋体" w:hAnsi="宋体" w:eastAsia="宋体" w:cs="宋体"/>
          <w:bCs/>
          <w:color w:val="auto"/>
          <w:sz w:val="24"/>
          <w:szCs w:val="24"/>
          <w:highlight w:val="none"/>
          <w:u w:val="single"/>
          <w:lang w:val="en-US" w:eastAsia="zh-CN"/>
        </w:rPr>
        <w:t>新疆职业大学达坂城校区各高压配电室（具体房间待中标后指定）</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质保期：1年，</w:t>
      </w:r>
      <w:r>
        <w:rPr>
          <w:rFonts w:hint="eastAsia" w:ascii="宋体" w:hAnsi="宋体" w:eastAsia="宋体" w:cs="宋体"/>
          <w:bCs/>
          <w:color w:val="auto"/>
          <w:sz w:val="24"/>
          <w:szCs w:val="24"/>
          <w:highlight w:val="none"/>
          <w:lang w:eastAsia="zh-CN"/>
        </w:rPr>
        <w:t>并达到采购人要求。</w:t>
      </w:r>
    </w:p>
    <w:p w14:paraId="4BE276CF">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3、我方同意按照招标文件的要求，向贵单位缴纳人民币</w:t>
      </w:r>
      <w:r>
        <w:rPr>
          <w:rFonts w:hint="eastAsia"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元（大写：</w:t>
      </w:r>
      <w:r>
        <w:rPr>
          <w:rFonts w:hint="eastAsia"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）的投标保证金，并承诺如发生符合“第一章投标人须知”第15.5条的任何情况时，我方将不要求退还投标保证金。</w:t>
      </w:r>
    </w:p>
    <w:p w14:paraId="49F4CCEC">
      <w:pPr>
        <w:pStyle w:val="20"/>
        <w:spacing w:after="0" w:line="520" w:lineRule="exact"/>
        <w:ind w:left="0" w:leftChars="0" w:firstLine="480" w:firstLineChars="200"/>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4、我方提交的投标文件满足招标文件实质性要求。</w:t>
      </w:r>
    </w:p>
    <w:p w14:paraId="4F665EE3">
      <w:pPr>
        <w:pStyle w:val="20"/>
        <w:spacing w:after="0" w:line="520" w:lineRule="exact"/>
        <w:ind w:left="0" w:leftChars="0" w:firstLine="480" w:firstLineChars="200"/>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5、我方愿意提供采购人可能另外要求的，与投标有关的文件资料，并保证我方已提供和将要提供的文件资料是真实、准确的。</w:t>
      </w:r>
    </w:p>
    <w:p w14:paraId="25530C8C">
      <w:pPr>
        <w:pStyle w:val="20"/>
        <w:spacing w:after="0" w:line="520" w:lineRule="exact"/>
        <w:ind w:left="0" w:leftChars="0" w:firstLine="480" w:firstLineChars="200"/>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6、我方完全理解采购人不一定将合同授予最低报价的投标人。</w:t>
      </w:r>
    </w:p>
    <w:p w14:paraId="7E1527C7">
      <w:pPr>
        <w:pStyle w:val="20"/>
        <w:spacing w:after="0" w:line="520" w:lineRule="exact"/>
        <w:ind w:left="0" w:leftChars="0" w:firstLine="3360" w:firstLineChars="1400"/>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投标人名称（盖章）：</w:t>
      </w:r>
    </w:p>
    <w:p w14:paraId="0CA40418">
      <w:pPr>
        <w:pStyle w:val="20"/>
        <w:spacing w:after="0" w:line="520" w:lineRule="exact"/>
        <w:ind w:left="0" w:leftChars="0" w:firstLine="480" w:firstLineChars="200"/>
        <w:jc w:val="center"/>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 xml:space="preserve">            </w:t>
      </w:r>
      <w:r>
        <w:rPr>
          <w:rFonts w:hint="eastAsia" w:ascii="宋体" w:hAnsi="宋体" w:cs="宋体"/>
          <w:bCs/>
          <w:color w:val="auto"/>
          <w:sz w:val="24"/>
          <w:szCs w:val="24"/>
          <w:highlight w:val="none"/>
          <w:lang w:val="en-US" w:eastAsia="zh-CN"/>
        </w:rPr>
        <w:t xml:space="preserve"> </w:t>
      </w:r>
      <w:r>
        <w:rPr>
          <w:rFonts w:hint="eastAsia" w:ascii="宋体" w:hAnsi="宋体" w:cs="宋体"/>
          <w:color w:val="auto"/>
          <w:sz w:val="24"/>
          <w:szCs w:val="24"/>
          <w:highlight w:val="none"/>
          <w:lang w:eastAsia="zh-CN"/>
        </w:rPr>
        <w:t>授权人或被授权人（签字或盖章）</w:t>
      </w:r>
      <w:r>
        <w:rPr>
          <w:rFonts w:hint="eastAsia" w:ascii="宋体" w:hAnsi="宋体" w:cs="宋体"/>
          <w:bCs/>
          <w:color w:val="auto"/>
          <w:sz w:val="24"/>
          <w:szCs w:val="24"/>
          <w:highlight w:val="none"/>
          <w:lang w:eastAsia="zh-CN"/>
        </w:rPr>
        <w:t>：</w:t>
      </w:r>
    </w:p>
    <w:p w14:paraId="0B3DB782">
      <w:pPr>
        <w:pStyle w:val="20"/>
        <w:spacing w:after="0" w:line="520" w:lineRule="exact"/>
        <w:ind w:left="0" w:leftChars="0" w:firstLine="3360" w:firstLineChars="1400"/>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通讯地址：</w:t>
      </w:r>
    </w:p>
    <w:p w14:paraId="59B59ED6">
      <w:pPr>
        <w:pStyle w:val="20"/>
        <w:spacing w:after="0" w:line="520" w:lineRule="exact"/>
        <w:ind w:left="0" w:leftChars="0" w:firstLine="3360" w:firstLineChars="1400"/>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联系电话：</w:t>
      </w:r>
    </w:p>
    <w:p w14:paraId="279B62D1">
      <w:pPr>
        <w:pStyle w:val="20"/>
        <w:spacing w:after="0" w:line="520" w:lineRule="exact"/>
        <w:ind w:left="0" w:leftChars="0" w:firstLine="3360" w:firstLineChars="1400"/>
        <w:rPr>
          <w:rFonts w:hint="eastAsia" w:ascii="宋体" w:hAnsi="宋体" w:cs="宋体"/>
          <w:bCs/>
          <w:color w:val="auto"/>
          <w:sz w:val="24"/>
          <w:szCs w:val="24"/>
          <w:highlight w:val="none"/>
          <w:lang w:eastAsia="zh-CN"/>
        </w:rPr>
      </w:pPr>
      <w:r>
        <w:rPr>
          <w:rFonts w:hint="eastAsia" w:ascii="宋体" w:hAnsi="宋体" w:cs="宋体"/>
          <w:color w:val="auto"/>
          <w:sz w:val="24"/>
          <w:szCs w:val="24"/>
          <w:highlight w:val="none"/>
          <w:lang w:eastAsia="zh-CN"/>
        </w:rPr>
        <w:t>日    期： 年 月 日</w:t>
      </w:r>
    </w:p>
    <w:p w14:paraId="0F2AB50F">
      <w:pPr>
        <w:spacing w:line="560" w:lineRule="exact"/>
        <w:jc w:val="center"/>
        <w:outlineLvl w:val="1"/>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br w:type="page"/>
      </w:r>
      <w:r>
        <w:rPr>
          <w:rFonts w:hint="eastAsia" w:ascii="宋体" w:hAnsi="宋体" w:eastAsia="宋体" w:cs="宋体"/>
          <w:b/>
          <w:bCs/>
          <w:color w:val="auto"/>
          <w:sz w:val="24"/>
          <w:szCs w:val="24"/>
          <w:highlight w:val="none"/>
          <w:lang w:eastAsia="zh-CN"/>
        </w:rPr>
        <w:t>二、报价</w:t>
      </w:r>
      <w:r>
        <w:rPr>
          <w:rFonts w:hint="eastAsia" w:ascii="宋体" w:hAnsi="宋体" w:eastAsia="宋体" w:cs="宋体"/>
          <w:b/>
          <w:bCs/>
          <w:color w:val="auto"/>
          <w:sz w:val="24"/>
          <w:szCs w:val="24"/>
          <w:highlight w:val="none"/>
          <w:lang w:val="en-US" w:eastAsia="zh-CN"/>
        </w:rPr>
        <w:t>一览表</w:t>
      </w:r>
    </w:p>
    <w:p w14:paraId="7470BEB6">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项目名称：</w:t>
      </w:r>
    </w:p>
    <w:p w14:paraId="24514A2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95"/>
        <w:gridCol w:w="1993"/>
        <w:gridCol w:w="1993"/>
        <w:gridCol w:w="1993"/>
      </w:tblGrid>
      <w:tr w14:paraId="7CB3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97" w:type="dxa"/>
            <w:vAlign w:val="center"/>
          </w:tcPr>
          <w:p w14:paraId="5D965B5C">
            <w:pPr>
              <w:widowControl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817" w:type="dxa"/>
            <w:vAlign w:val="center"/>
          </w:tcPr>
          <w:p w14:paraId="6C3BC42B">
            <w:pPr>
              <w:widowControl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服务期限</w:t>
            </w:r>
          </w:p>
        </w:tc>
        <w:tc>
          <w:tcPr>
            <w:tcW w:w="2676" w:type="dxa"/>
            <w:vAlign w:val="center"/>
          </w:tcPr>
          <w:p w14:paraId="1F0C1515">
            <w:pPr>
              <w:widowControl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服务地点</w:t>
            </w:r>
          </w:p>
        </w:tc>
        <w:tc>
          <w:tcPr>
            <w:tcW w:w="2676" w:type="dxa"/>
            <w:vAlign w:val="center"/>
          </w:tcPr>
          <w:p w14:paraId="4BE1871A">
            <w:pPr>
              <w:widowControl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w:t>
            </w:r>
          </w:p>
        </w:tc>
        <w:tc>
          <w:tcPr>
            <w:tcW w:w="2676" w:type="dxa"/>
            <w:vAlign w:val="center"/>
          </w:tcPr>
          <w:p w14:paraId="7BAB619E">
            <w:pPr>
              <w:widowControl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3F25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897" w:type="dxa"/>
            <w:vAlign w:val="center"/>
          </w:tcPr>
          <w:p w14:paraId="5219477A">
            <w:pPr>
              <w:widowControl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2817" w:type="dxa"/>
            <w:vAlign w:val="center"/>
          </w:tcPr>
          <w:p w14:paraId="2ED7F7E0">
            <w:pPr>
              <w:widowControl w:val="0"/>
              <w:spacing w:line="360" w:lineRule="auto"/>
              <w:jc w:val="center"/>
              <w:rPr>
                <w:rFonts w:hint="eastAsia" w:ascii="宋体" w:hAnsi="宋体" w:eastAsia="宋体" w:cs="宋体"/>
                <w:color w:val="auto"/>
                <w:sz w:val="24"/>
                <w:szCs w:val="24"/>
                <w:highlight w:val="none"/>
                <w:lang w:eastAsia="zh-CN"/>
              </w:rPr>
            </w:pPr>
          </w:p>
        </w:tc>
        <w:tc>
          <w:tcPr>
            <w:tcW w:w="2676" w:type="dxa"/>
            <w:vAlign w:val="center"/>
          </w:tcPr>
          <w:p w14:paraId="2E4D1D13">
            <w:pPr>
              <w:widowControl w:val="0"/>
              <w:spacing w:line="360" w:lineRule="auto"/>
              <w:jc w:val="center"/>
              <w:rPr>
                <w:rFonts w:hint="eastAsia" w:ascii="宋体" w:hAnsi="宋体" w:eastAsia="宋体" w:cs="宋体"/>
                <w:color w:val="auto"/>
                <w:sz w:val="24"/>
                <w:szCs w:val="24"/>
                <w:highlight w:val="none"/>
              </w:rPr>
            </w:pPr>
          </w:p>
        </w:tc>
        <w:tc>
          <w:tcPr>
            <w:tcW w:w="2676" w:type="dxa"/>
            <w:vAlign w:val="center"/>
          </w:tcPr>
          <w:p w14:paraId="61C03854">
            <w:pPr>
              <w:widowControl w:val="0"/>
              <w:spacing w:line="360" w:lineRule="auto"/>
              <w:jc w:val="center"/>
              <w:rPr>
                <w:rFonts w:hint="eastAsia" w:ascii="宋体" w:hAnsi="宋体" w:eastAsia="宋体" w:cs="宋体"/>
                <w:color w:val="auto"/>
                <w:sz w:val="24"/>
                <w:szCs w:val="24"/>
                <w:highlight w:val="none"/>
              </w:rPr>
            </w:pPr>
          </w:p>
        </w:tc>
        <w:tc>
          <w:tcPr>
            <w:tcW w:w="2676" w:type="dxa"/>
            <w:vAlign w:val="center"/>
          </w:tcPr>
          <w:p w14:paraId="6D19E143">
            <w:pPr>
              <w:widowControl w:val="0"/>
              <w:spacing w:line="360" w:lineRule="auto"/>
              <w:jc w:val="center"/>
              <w:rPr>
                <w:rFonts w:hint="eastAsia" w:ascii="宋体" w:hAnsi="宋体" w:eastAsia="宋体" w:cs="宋体"/>
                <w:color w:val="auto"/>
                <w:sz w:val="24"/>
                <w:szCs w:val="24"/>
                <w:highlight w:val="none"/>
              </w:rPr>
            </w:pPr>
          </w:p>
        </w:tc>
      </w:tr>
    </w:tbl>
    <w:p w14:paraId="0480B9F1">
      <w:pPr>
        <w:spacing w:line="360" w:lineRule="auto"/>
        <w:rPr>
          <w:rFonts w:hint="eastAsia" w:ascii="宋体" w:hAnsi="宋体" w:eastAsia="宋体" w:cs="宋体"/>
          <w:color w:val="auto"/>
          <w:sz w:val="24"/>
          <w:szCs w:val="24"/>
          <w:highlight w:val="none"/>
        </w:rPr>
      </w:pPr>
    </w:p>
    <w:p w14:paraId="33142D6E">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p>
    <w:p w14:paraId="527ED756">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本项目为交钥匙工程，报价应包含所有</w:t>
      </w:r>
      <w:r>
        <w:rPr>
          <w:rFonts w:hint="eastAsia" w:ascii="宋体" w:hAnsi="宋体" w:eastAsia="宋体" w:cs="宋体"/>
          <w:color w:val="auto"/>
          <w:sz w:val="24"/>
          <w:szCs w:val="24"/>
          <w:highlight w:val="none"/>
          <w:lang w:val="en-US" w:eastAsia="zh-CN"/>
        </w:rPr>
        <w:t>检测及各种检测报告</w:t>
      </w:r>
      <w:r>
        <w:rPr>
          <w:rFonts w:hint="eastAsia" w:ascii="宋体" w:hAnsi="宋体" w:eastAsia="宋体" w:cs="宋体"/>
          <w:color w:val="auto"/>
          <w:sz w:val="24"/>
          <w:szCs w:val="24"/>
          <w:highlight w:val="none"/>
          <w:lang w:eastAsia="zh-CN"/>
        </w:rPr>
        <w:t>税金、人工费、材料设备费、机械使用费、措施费、管理费、利润、风险费用及增值税等</w:t>
      </w:r>
      <w:r>
        <w:rPr>
          <w:rFonts w:hint="eastAsia" w:ascii="宋体" w:hAnsi="宋体" w:eastAsia="宋体" w:cs="宋体"/>
          <w:color w:val="auto"/>
          <w:sz w:val="24"/>
          <w:szCs w:val="24"/>
          <w:highlight w:val="none"/>
          <w:lang w:val="en-US" w:eastAsia="zh-CN"/>
        </w:rPr>
        <w:t>一切全部</w:t>
      </w:r>
      <w:r>
        <w:rPr>
          <w:rFonts w:hint="eastAsia" w:ascii="宋体" w:hAnsi="宋体" w:eastAsia="宋体" w:cs="宋体"/>
          <w:color w:val="auto"/>
          <w:sz w:val="24"/>
          <w:szCs w:val="24"/>
          <w:highlight w:val="none"/>
          <w:lang w:eastAsia="zh-CN"/>
        </w:rPr>
        <w:t>费用。</w:t>
      </w:r>
    </w:p>
    <w:p w14:paraId="6717E0C5">
      <w:pPr>
        <w:spacing w:line="360" w:lineRule="auto"/>
        <w:rPr>
          <w:rFonts w:hint="eastAsia" w:ascii="宋体" w:hAnsi="宋体" w:eastAsia="宋体" w:cs="宋体"/>
          <w:color w:val="auto"/>
          <w:sz w:val="24"/>
          <w:szCs w:val="24"/>
          <w:highlight w:val="none"/>
          <w:lang w:eastAsia="zh-CN"/>
        </w:rPr>
      </w:pPr>
    </w:p>
    <w:p w14:paraId="1A16E04D">
      <w:pPr>
        <w:spacing w:line="360" w:lineRule="auto"/>
        <w:rPr>
          <w:rFonts w:hint="eastAsia" w:ascii="宋体" w:hAnsi="宋体" w:eastAsia="宋体" w:cs="宋体"/>
          <w:color w:val="auto"/>
          <w:sz w:val="24"/>
          <w:szCs w:val="24"/>
          <w:highlight w:val="none"/>
          <w:lang w:eastAsia="zh-CN"/>
        </w:rPr>
      </w:pPr>
    </w:p>
    <w:p w14:paraId="7AA7B1AD">
      <w:pPr>
        <w:spacing w:line="360" w:lineRule="auto"/>
        <w:rPr>
          <w:rFonts w:hint="eastAsia" w:ascii="宋体" w:hAnsi="宋体" w:eastAsia="宋体" w:cs="宋体"/>
          <w:color w:val="auto"/>
          <w:sz w:val="24"/>
          <w:szCs w:val="24"/>
          <w:highlight w:val="none"/>
          <w:lang w:eastAsia="zh-CN"/>
        </w:rPr>
      </w:pPr>
    </w:p>
    <w:p w14:paraId="0E583389">
      <w:pPr>
        <w:pStyle w:val="20"/>
        <w:spacing w:after="0" w:line="360" w:lineRule="auto"/>
        <w:ind w:left="0" w:leftChars="0"/>
        <w:jc w:val="center"/>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 xml:space="preserve">          供应商名称（盖章）：</w:t>
      </w:r>
    </w:p>
    <w:p w14:paraId="68BDC1A5">
      <w:pPr>
        <w:pStyle w:val="20"/>
        <w:spacing w:after="0" w:line="360" w:lineRule="auto"/>
        <w:ind w:left="0" w:leftChars="0"/>
        <w:jc w:val="center"/>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 xml:space="preserve">                          法定代表人或被授权人（签字或盖章）：</w:t>
      </w:r>
    </w:p>
    <w:p w14:paraId="52BABD98">
      <w:pPr>
        <w:pStyle w:val="20"/>
        <w:spacing w:after="0" w:line="360" w:lineRule="auto"/>
        <w:ind w:left="0" w:leftChars="0"/>
        <w:jc w:val="center"/>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 xml:space="preserve">                    日    期：</w:t>
      </w:r>
      <w:r>
        <w:rPr>
          <w:rFonts w:hint="eastAsia" w:ascii="宋体" w:hAnsi="宋体" w:cs="宋体"/>
          <w:color w:val="auto"/>
          <w:sz w:val="24"/>
          <w:szCs w:val="24"/>
          <w:highlight w:val="none"/>
          <w:lang w:eastAsia="zh-CN"/>
        </w:rPr>
        <w:t xml:space="preserve">     年     月    日</w:t>
      </w:r>
    </w:p>
    <w:p w14:paraId="61084436">
      <w:pPr>
        <w:rPr>
          <w:rFonts w:hint="eastAsia" w:ascii="宋体" w:hAnsi="宋体" w:eastAsia="宋体" w:cs="宋体"/>
          <w:b/>
          <w:bCs/>
          <w:color w:val="auto"/>
          <w:sz w:val="24"/>
          <w:szCs w:val="24"/>
          <w:highlight w:val="none"/>
          <w:lang w:eastAsia="zh-CN"/>
        </w:rPr>
      </w:pPr>
    </w:p>
    <w:p w14:paraId="152DBD36">
      <w:pPr>
        <w:spacing w:line="560" w:lineRule="exact"/>
        <w:jc w:val="center"/>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r>
        <w:rPr>
          <w:rFonts w:hint="eastAsia" w:ascii="宋体" w:hAnsi="宋体" w:eastAsia="宋体" w:cs="宋体"/>
          <w:b/>
          <w:bCs/>
          <w:color w:val="auto"/>
          <w:sz w:val="24"/>
          <w:szCs w:val="24"/>
          <w:highlight w:val="none"/>
          <w:lang w:eastAsia="zh-CN"/>
        </w:rPr>
        <w:t>三、身份证明书及授权委托书</w:t>
      </w:r>
    </w:p>
    <w:p w14:paraId="16C0822F">
      <w:pPr>
        <w:spacing w:line="560" w:lineRule="exact"/>
        <w:ind w:firstLine="723" w:firstLineChars="300"/>
        <w:jc w:val="center"/>
        <w:rPr>
          <w:rFonts w:hint="eastAsia" w:ascii="宋体" w:hAnsi="宋体" w:eastAsia="宋体" w:cs="宋体"/>
          <w:bCs/>
          <w:color w:val="auto"/>
          <w:sz w:val="24"/>
          <w:szCs w:val="24"/>
          <w:highlight w:val="none"/>
          <w:lang w:eastAsia="zh-CN"/>
        </w:rPr>
      </w:pPr>
      <w:r>
        <w:rPr>
          <w:rFonts w:hint="eastAsia" w:ascii="宋体" w:hAnsi="宋体" w:eastAsia="宋体" w:cs="宋体"/>
          <w:b/>
          <w:bCs/>
          <w:color w:val="auto"/>
          <w:sz w:val="24"/>
          <w:szCs w:val="24"/>
          <w:highlight w:val="none"/>
          <w:lang w:eastAsia="zh-CN"/>
        </w:rPr>
        <w:t>（一）法定代表人身份证明书</w:t>
      </w:r>
    </w:p>
    <w:p w14:paraId="724EF613">
      <w:pPr>
        <w:spacing w:line="560" w:lineRule="exact"/>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单位名称：</w:t>
      </w:r>
      <w:r>
        <w:rPr>
          <w:rFonts w:hint="eastAsia" w:ascii="宋体" w:hAnsi="宋体" w:eastAsia="宋体" w:cs="宋体"/>
          <w:bCs/>
          <w:color w:val="auto"/>
          <w:sz w:val="24"/>
          <w:szCs w:val="24"/>
          <w:highlight w:val="none"/>
          <w:u w:val="single"/>
          <w:lang w:eastAsia="zh-CN"/>
        </w:rPr>
        <w:t xml:space="preserve">                                             。 </w:t>
      </w:r>
    </w:p>
    <w:p w14:paraId="5A432F29">
      <w:pPr>
        <w:spacing w:line="560" w:lineRule="exact"/>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地    址：</w:t>
      </w:r>
      <w:r>
        <w:rPr>
          <w:rFonts w:hint="eastAsia" w:ascii="宋体" w:hAnsi="宋体" w:eastAsia="宋体" w:cs="宋体"/>
          <w:bCs/>
          <w:color w:val="auto"/>
          <w:sz w:val="24"/>
          <w:szCs w:val="24"/>
          <w:highlight w:val="none"/>
          <w:u w:val="single"/>
          <w:lang w:eastAsia="zh-CN"/>
        </w:rPr>
        <w:t xml:space="preserve">                                             。</w:t>
      </w:r>
    </w:p>
    <w:p w14:paraId="5E752643">
      <w:pPr>
        <w:spacing w:line="560" w:lineRule="exact"/>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姓    名：</w:t>
      </w:r>
      <w:r>
        <w:rPr>
          <w:rFonts w:hint="eastAsia"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性别：</w:t>
      </w:r>
      <w:r>
        <w:rPr>
          <w:rFonts w:hint="eastAsia"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年龄：</w:t>
      </w:r>
      <w:r>
        <w:rPr>
          <w:rFonts w:hint="eastAsia"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职务：</w:t>
      </w:r>
      <w:r>
        <w:rPr>
          <w:rFonts w:hint="eastAsia" w:ascii="宋体" w:hAnsi="宋体" w:eastAsia="宋体" w:cs="宋体"/>
          <w:bCs/>
          <w:color w:val="auto"/>
          <w:sz w:val="24"/>
          <w:szCs w:val="24"/>
          <w:highlight w:val="none"/>
          <w:u w:val="single"/>
          <w:lang w:eastAsia="zh-CN"/>
        </w:rPr>
        <w:t xml:space="preserve">       。</w:t>
      </w:r>
    </w:p>
    <w:p w14:paraId="4F49C788">
      <w:pPr>
        <w:spacing w:line="560" w:lineRule="exact"/>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身份证号码：</w:t>
      </w:r>
      <w:r>
        <w:rPr>
          <w:rFonts w:hint="eastAsia" w:ascii="宋体" w:hAnsi="宋体" w:eastAsia="宋体" w:cs="宋体"/>
          <w:bCs/>
          <w:color w:val="auto"/>
          <w:sz w:val="24"/>
          <w:szCs w:val="24"/>
          <w:highlight w:val="none"/>
          <w:u w:val="single"/>
          <w:lang w:eastAsia="zh-CN"/>
        </w:rPr>
        <w:t xml:space="preserve">                                           。</w:t>
      </w:r>
    </w:p>
    <w:p w14:paraId="5C789B86">
      <w:pPr>
        <w:spacing w:line="56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系</w:t>
      </w:r>
      <w:r>
        <w:rPr>
          <w:rFonts w:hint="eastAsia"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的法定代表人，为具有参加</w:t>
      </w:r>
      <w:r>
        <w:rPr>
          <w:rFonts w:hint="eastAsia"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 xml:space="preserve">（项目名称）的投标、签署上述投标文件、进行合同谈判、签署合同和处理与之有关的一切事务权利的投标人。 </w:t>
      </w:r>
    </w:p>
    <w:p w14:paraId="19F34BD5">
      <w:pPr>
        <w:spacing w:line="56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特此证明。                       </w:t>
      </w:r>
    </w:p>
    <w:p w14:paraId="25B0F04A">
      <w:pPr>
        <w:spacing w:line="56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附：法定代表人身份证正反面。</w:t>
      </w:r>
    </w:p>
    <w:p w14:paraId="0FFF0C6B">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2849245</wp:posOffset>
                </wp:positionH>
                <wp:positionV relativeFrom="paragraph">
                  <wp:posOffset>147320</wp:posOffset>
                </wp:positionV>
                <wp:extent cx="2240915" cy="1086485"/>
                <wp:effectExtent l="4445" t="4445" r="21590" b="13970"/>
                <wp:wrapNone/>
                <wp:docPr id="3" name="文本框 8"/>
                <wp:cNvGraphicFramePr/>
                <a:graphic xmlns:a="http://schemas.openxmlformats.org/drawingml/2006/main">
                  <a:graphicData uri="http://schemas.microsoft.com/office/word/2010/wordprocessingShape">
                    <wps:wsp>
                      <wps:cNvSpPr/>
                      <wps:spPr>
                        <a:xfrm>
                          <a:off x="0" y="0"/>
                          <a:ext cx="2240915" cy="108648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25A8D48">
                            <w:pPr>
                              <w:jc w:val="center"/>
                              <w:rPr>
                                <w:rFonts w:ascii="宋体"/>
                              </w:rPr>
                            </w:pPr>
                          </w:p>
                          <w:p w14:paraId="76EAED1A">
                            <w:pPr>
                              <w:jc w:val="center"/>
                              <w:rPr>
                                <w:rFonts w:ascii="宋体" w:hAnsi="宋体"/>
                                <w:sz w:val="28"/>
                                <w:szCs w:val="28"/>
                                <w:lang w:eastAsia="zh-CN"/>
                              </w:rPr>
                            </w:pPr>
                            <w:r>
                              <w:rPr>
                                <w:rFonts w:hint="eastAsia" w:ascii="宋体" w:hAnsi="宋体"/>
                                <w:sz w:val="28"/>
                                <w:szCs w:val="28"/>
                                <w:lang w:eastAsia="zh-CN"/>
                              </w:rPr>
                              <w:t>法定代表人身份证</w:t>
                            </w:r>
                          </w:p>
                          <w:p w14:paraId="2D96F881">
                            <w:pPr>
                              <w:jc w:val="center"/>
                              <w:rPr>
                                <w:sz w:val="28"/>
                                <w:szCs w:val="28"/>
                                <w:lang w:eastAsia="zh-CN"/>
                              </w:rPr>
                            </w:pPr>
                            <w:r>
                              <w:rPr>
                                <w:rFonts w:hint="eastAsia" w:ascii="宋体" w:hAnsi="宋体"/>
                                <w:sz w:val="28"/>
                                <w:szCs w:val="28"/>
                                <w:lang w:eastAsia="zh-CN"/>
                              </w:rPr>
                              <w:t>（反面）</w:t>
                            </w:r>
                          </w:p>
                        </w:txbxContent>
                      </wps:txbx>
                      <wps:bodyPr upright="1"/>
                    </wps:wsp>
                  </a:graphicData>
                </a:graphic>
              </wp:anchor>
            </w:drawing>
          </mc:Choice>
          <mc:Fallback>
            <w:pict>
              <v:rect id="文本框 8" o:spid="_x0000_s1026" o:spt="1" style="position:absolute;left:0pt;margin-left:224.35pt;margin-top:11.6pt;height:85.55pt;width:176.45pt;z-index:251662336;mso-width-relative:page;mso-height-relative:page;" fillcolor="#FFFFFF" filled="t" stroked="t" coordsize="21600,21600" o:gfxdata="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QVbwNoAAAAKAQAADwAAAAAAAAABACAAAAAiAAAA&#10;ZHJzL2Rvd25yZXYueG1sUEsBAhQAFAAAAAgAh07iQBRmk6UFAgAALAQAAA4AAAAAAAAAAQAgAAAA&#10;KQEAAGRycy9lMm9Eb2MueG1sUEsFBgAAAAAGAAYAWQEAAKAFAAAAAA==&#10;">
                <v:fill on="t" focussize="0,0"/>
                <v:stroke color="#000000" joinstyle="miter" dashstyle="dash"/>
                <v:imagedata o:title=""/>
                <o:lock v:ext="edit" aspectratio="f"/>
                <v:textbox>
                  <w:txbxContent>
                    <w:p w14:paraId="525A8D48">
                      <w:pPr>
                        <w:jc w:val="center"/>
                        <w:rPr>
                          <w:rFonts w:ascii="宋体"/>
                        </w:rPr>
                      </w:pPr>
                    </w:p>
                    <w:p w14:paraId="76EAED1A">
                      <w:pPr>
                        <w:jc w:val="center"/>
                        <w:rPr>
                          <w:rFonts w:ascii="宋体" w:hAnsi="宋体"/>
                          <w:sz w:val="28"/>
                          <w:szCs w:val="28"/>
                          <w:lang w:eastAsia="zh-CN"/>
                        </w:rPr>
                      </w:pPr>
                      <w:r>
                        <w:rPr>
                          <w:rFonts w:hint="eastAsia" w:ascii="宋体" w:hAnsi="宋体"/>
                          <w:sz w:val="28"/>
                          <w:szCs w:val="28"/>
                          <w:lang w:eastAsia="zh-CN"/>
                        </w:rPr>
                        <w:t>法定代表人身份证</w:t>
                      </w:r>
                    </w:p>
                    <w:p w14:paraId="2D96F881">
                      <w:pPr>
                        <w:jc w:val="center"/>
                        <w:rPr>
                          <w:sz w:val="28"/>
                          <w:szCs w:val="28"/>
                          <w:lang w:eastAsia="zh-CN"/>
                        </w:rPr>
                      </w:pPr>
                      <w:r>
                        <w:rPr>
                          <w:rFonts w:hint="eastAsia" w:ascii="宋体" w:hAnsi="宋体"/>
                          <w:sz w:val="28"/>
                          <w:szCs w:val="28"/>
                          <w:lang w:eastAsia="zh-CN"/>
                        </w:rPr>
                        <w:t>（反面）</w:t>
                      </w:r>
                    </w:p>
                  </w:txbxContent>
                </v:textbox>
              </v: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392430</wp:posOffset>
                </wp:positionH>
                <wp:positionV relativeFrom="paragraph">
                  <wp:posOffset>121285</wp:posOffset>
                </wp:positionV>
                <wp:extent cx="2240915" cy="1081405"/>
                <wp:effectExtent l="4445" t="4445" r="21590" b="19050"/>
                <wp:wrapNone/>
                <wp:docPr id="2" name="文本框 15"/>
                <wp:cNvGraphicFramePr/>
                <a:graphic xmlns:a="http://schemas.openxmlformats.org/drawingml/2006/main">
                  <a:graphicData uri="http://schemas.microsoft.com/office/word/2010/wordprocessingShape">
                    <wps:wsp>
                      <wps:cNvSpPr/>
                      <wps:spPr>
                        <a:xfrm>
                          <a:off x="0" y="0"/>
                          <a:ext cx="2240915" cy="108140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4B2000D">
                            <w:pPr>
                              <w:jc w:val="center"/>
                              <w:rPr>
                                <w:rFonts w:ascii="宋体"/>
                              </w:rPr>
                            </w:pPr>
                          </w:p>
                          <w:p w14:paraId="3BB89E1B">
                            <w:pPr>
                              <w:jc w:val="center"/>
                              <w:rPr>
                                <w:rFonts w:ascii="宋体" w:hAnsi="宋体"/>
                                <w:sz w:val="28"/>
                                <w:szCs w:val="28"/>
                                <w:lang w:eastAsia="zh-CN"/>
                              </w:rPr>
                            </w:pPr>
                            <w:r>
                              <w:rPr>
                                <w:rFonts w:hint="eastAsia" w:ascii="宋体" w:hAnsi="宋体"/>
                                <w:sz w:val="28"/>
                                <w:szCs w:val="28"/>
                                <w:lang w:eastAsia="zh-CN"/>
                              </w:rPr>
                              <w:t>法定代表人身份证</w:t>
                            </w:r>
                          </w:p>
                          <w:p w14:paraId="3496522B">
                            <w:pPr>
                              <w:jc w:val="center"/>
                              <w:rPr>
                                <w:sz w:val="28"/>
                                <w:szCs w:val="28"/>
                                <w:lang w:eastAsia="zh-CN"/>
                              </w:rPr>
                            </w:pPr>
                            <w:r>
                              <w:rPr>
                                <w:rFonts w:hint="eastAsia" w:ascii="宋体" w:hAnsi="宋体"/>
                                <w:sz w:val="28"/>
                                <w:szCs w:val="28"/>
                                <w:lang w:eastAsia="zh-CN"/>
                              </w:rPr>
                              <w:t>（正面）</w:t>
                            </w:r>
                          </w:p>
                        </w:txbxContent>
                      </wps:txbx>
                      <wps:bodyPr upright="1"/>
                    </wps:wsp>
                  </a:graphicData>
                </a:graphic>
              </wp:anchor>
            </w:drawing>
          </mc:Choice>
          <mc:Fallback>
            <w:pict>
              <v:rect id="文本框 15" o:spid="_x0000_s1026" o:spt="1" style="position:absolute;left:0pt;margin-left:30.9pt;margin-top:9.55pt;height:85.15pt;width:176.45pt;z-index:251660288;mso-width-relative:page;mso-height-relative:page;" fillcolor="#FFFFFF" filled="t" stroked="t" coordsize="21600,21600" o:gfxdata="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S7SC2QAAAAkBAAAPAAAAAAAAAAEAIAAAACIA&#10;AABkcnMvZG93bnJldi54bWxQSwECFAAUAAAACACHTuJAS2ujJwgCAAAtBAAADgAAAAAAAAABACAA&#10;AAAoAQAAZHJzL2Uyb0RvYy54bWxQSwUGAAAAAAYABgBZAQAAogUAAAAA&#10;">
                <v:fill on="t" focussize="0,0"/>
                <v:stroke color="#000000" joinstyle="miter" dashstyle="dash"/>
                <v:imagedata o:title=""/>
                <o:lock v:ext="edit" aspectratio="f"/>
                <v:textbox>
                  <w:txbxContent>
                    <w:p w14:paraId="04B2000D">
                      <w:pPr>
                        <w:jc w:val="center"/>
                        <w:rPr>
                          <w:rFonts w:ascii="宋体"/>
                        </w:rPr>
                      </w:pPr>
                    </w:p>
                    <w:p w14:paraId="3BB89E1B">
                      <w:pPr>
                        <w:jc w:val="center"/>
                        <w:rPr>
                          <w:rFonts w:ascii="宋体" w:hAnsi="宋体"/>
                          <w:sz w:val="28"/>
                          <w:szCs w:val="28"/>
                          <w:lang w:eastAsia="zh-CN"/>
                        </w:rPr>
                      </w:pPr>
                      <w:r>
                        <w:rPr>
                          <w:rFonts w:hint="eastAsia" w:ascii="宋体" w:hAnsi="宋体"/>
                          <w:sz w:val="28"/>
                          <w:szCs w:val="28"/>
                          <w:lang w:eastAsia="zh-CN"/>
                        </w:rPr>
                        <w:t>法定代表人身份证</w:t>
                      </w:r>
                    </w:p>
                    <w:p w14:paraId="3496522B">
                      <w:pPr>
                        <w:jc w:val="center"/>
                        <w:rPr>
                          <w:sz w:val="28"/>
                          <w:szCs w:val="28"/>
                          <w:lang w:eastAsia="zh-CN"/>
                        </w:rPr>
                      </w:pPr>
                      <w:r>
                        <w:rPr>
                          <w:rFonts w:hint="eastAsia" w:ascii="宋体" w:hAnsi="宋体"/>
                          <w:sz w:val="28"/>
                          <w:szCs w:val="28"/>
                          <w:lang w:eastAsia="zh-CN"/>
                        </w:rPr>
                        <w:t>（正面）</w:t>
                      </w:r>
                    </w:p>
                  </w:txbxContent>
                </v:textbox>
              </v:rect>
            </w:pict>
          </mc:Fallback>
        </mc:AlternateContent>
      </w:r>
    </w:p>
    <w:p w14:paraId="468C2DED">
      <w:pPr>
        <w:spacing w:line="360" w:lineRule="auto"/>
        <w:rPr>
          <w:rFonts w:hint="eastAsia" w:ascii="宋体" w:hAnsi="宋体" w:eastAsia="宋体" w:cs="宋体"/>
          <w:color w:val="auto"/>
          <w:sz w:val="24"/>
          <w:szCs w:val="24"/>
          <w:highlight w:val="none"/>
          <w:lang w:eastAsia="zh-CN"/>
        </w:rPr>
      </w:pPr>
    </w:p>
    <w:p w14:paraId="0ACABAC3">
      <w:pPr>
        <w:spacing w:line="360" w:lineRule="auto"/>
        <w:rPr>
          <w:rFonts w:hint="eastAsia" w:ascii="宋体" w:hAnsi="宋体" w:eastAsia="宋体" w:cs="宋体"/>
          <w:color w:val="auto"/>
          <w:sz w:val="24"/>
          <w:szCs w:val="24"/>
          <w:highlight w:val="none"/>
          <w:lang w:eastAsia="zh-CN"/>
        </w:rPr>
      </w:pPr>
    </w:p>
    <w:p w14:paraId="1E6B8044">
      <w:pPr>
        <w:spacing w:line="360" w:lineRule="auto"/>
        <w:rPr>
          <w:rFonts w:hint="eastAsia" w:ascii="宋体" w:hAnsi="宋体" w:eastAsia="宋体" w:cs="宋体"/>
          <w:color w:val="auto"/>
          <w:sz w:val="24"/>
          <w:szCs w:val="24"/>
          <w:highlight w:val="none"/>
          <w:lang w:eastAsia="zh-CN"/>
        </w:rPr>
      </w:pPr>
    </w:p>
    <w:p w14:paraId="1D2477BD">
      <w:pPr>
        <w:spacing w:line="360" w:lineRule="auto"/>
        <w:rPr>
          <w:rFonts w:hint="eastAsia" w:ascii="宋体" w:hAnsi="宋体" w:eastAsia="宋体" w:cs="宋体"/>
          <w:color w:val="auto"/>
          <w:sz w:val="24"/>
          <w:szCs w:val="24"/>
          <w:highlight w:val="none"/>
          <w:lang w:eastAsia="zh-CN"/>
        </w:rPr>
      </w:pPr>
    </w:p>
    <w:p w14:paraId="1B1248A2">
      <w:pPr>
        <w:spacing w:line="560" w:lineRule="exact"/>
        <w:ind w:firstLine="480" w:firstLineChars="200"/>
        <w:jc w:val="center"/>
        <w:rPr>
          <w:rFonts w:hint="eastAsia" w:ascii="宋体" w:hAnsi="宋体" w:eastAsia="宋体" w:cs="宋体"/>
          <w:bCs/>
          <w:color w:val="auto"/>
          <w:sz w:val="24"/>
          <w:szCs w:val="24"/>
          <w:highlight w:val="none"/>
          <w:lang w:eastAsia="zh-CN"/>
        </w:rPr>
      </w:pPr>
    </w:p>
    <w:p w14:paraId="27792075">
      <w:pPr>
        <w:spacing w:line="560" w:lineRule="exact"/>
        <w:ind w:firstLine="480" w:firstLineChars="200"/>
        <w:jc w:val="center"/>
        <w:rPr>
          <w:rFonts w:hint="eastAsia" w:ascii="宋体" w:hAnsi="宋体" w:eastAsia="宋体" w:cs="宋体"/>
          <w:bCs/>
          <w:color w:val="auto"/>
          <w:sz w:val="24"/>
          <w:szCs w:val="24"/>
          <w:highlight w:val="none"/>
          <w:lang w:eastAsia="zh-CN"/>
        </w:rPr>
      </w:pPr>
    </w:p>
    <w:p w14:paraId="6CDEE56B">
      <w:pPr>
        <w:spacing w:line="560" w:lineRule="exact"/>
        <w:ind w:firstLine="480" w:firstLineChars="200"/>
        <w:jc w:val="center"/>
        <w:rPr>
          <w:rFonts w:hint="eastAsia" w:ascii="宋体" w:hAnsi="宋体" w:eastAsia="宋体" w:cs="宋体"/>
          <w:bCs/>
          <w:color w:val="auto"/>
          <w:sz w:val="24"/>
          <w:szCs w:val="24"/>
          <w:highlight w:val="none"/>
          <w:lang w:eastAsia="zh-CN"/>
        </w:rPr>
      </w:pPr>
    </w:p>
    <w:p w14:paraId="3E142D90">
      <w:pPr>
        <w:spacing w:line="560" w:lineRule="exact"/>
        <w:ind w:firstLine="480" w:firstLineChars="20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                       投标人名称（盖章）：</w:t>
      </w:r>
    </w:p>
    <w:p w14:paraId="2724B22C">
      <w:pPr>
        <w:spacing w:line="560" w:lineRule="exact"/>
        <w:ind w:firstLine="480" w:firstLineChars="20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                          日   期：  年   月   日</w:t>
      </w:r>
    </w:p>
    <w:p w14:paraId="45D4190D">
      <w:pPr>
        <w:spacing w:line="56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74D1E41B">
      <w:pPr>
        <w:spacing w:line="560" w:lineRule="exact"/>
        <w:jc w:val="center"/>
        <w:rPr>
          <w:rFonts w:hint="eastAsia" w:ascii="宋体" w:hAnsi="宋体" w:eastAsia="宋体" w:cs="宋体"/>
          <w:bCs/>
          <w:color w:val="auto"/>
          <w:sz w:val="24"/>
          <w:szCs w:val="24"/>
          <w:highlight w:val="none"/>
          <w:lang w:eastAsia="zh-CN"/>
        </w:rPr>
      </w:pPr>
    </w:p>
    <w:p w14:paraId="3328DE97">
      <w:pPr>
        <w:pStyle w:val="13"/>
        <w:spacing w:line="560" w:lineRule="exact"/>
        <w:ind w:firstLine="0"/>
        <w:jc w:val="center"/>
        <w:rPr>
          <w:rFonts w:hint="eastAsia" w:ascii="宋体" w:hAnsi="宋体" w:cs="宋体"/>
          <w:bCs/>
          <w:color w:val="auto"/>
          <w:sz w:val="24"/>
          <w:szCs w:val="24"/>
          <w:highlight w:val="none"/>
        </w:rPr>
      </w:pPr>
      <w:r>
        <w:rPr>
          <w:rFonts w:hint="eastAsia" w:ascii="宋体" w:hAnsi="宋体" w:cs="宋体"/>
          <w:b/>
          <w:bCs/>
          <w:color w:val="auto"/>
          <w:sz w:val="24"/>
          <w:szCs w:val="24"/>
          <w:highlight w:val="none"/>
        </w:rPr>
        <w:t>（二）法定代表人授权委托书</w:t>
      </w:r>
    </w:p>
    <w:p w14:paraId="41F00738">
      <w:pPr>
        <w:spacing w:line="56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_______（采购人名称）：</w:t>
      </w:r>
    </w:p>
    <w:p w14:paraId="3051CA4F">
      <w:pPr>
        <w:spacing w:line="56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本授权声明：</w:t>
      </w:r>
      <w:r>
        <w:rPr>
          <w:rFonts w:hint="eastAsia"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（投标人名称）</w:t>
      </w:r>
      <w:r>
        <w:rPr>
          <w:rFonts w:hint="eastAsia"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（法定代表人姓名、职务）授权</w:t>
      </w:r>
      <w:r>
        <w:rPr>
          <w:rFonts w:hint="eastAsia"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 xml:space="preserve">（被授权人姓名、职务）为我方 “ </w:t>
      </w:r>
      <w:r>
        <w:rPr>
          <w:rFonts w:hint="eastAsia"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（项目名称、项目编号）”项目投标活动的合法代表，以我方名义全权处理该项目有关谈判、签订合同以及执行合同等一切事宜。</w:t>
      </w:r>
    </w:p>
    <w:p w14:paraId="4CCAFFCE">
      <w:pPr>
        <w:spacing w:line="56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被授权人无权转让本授权，特此声明。</w:t>
      </w:r>
    </w:p>
    <w:p w14:paraId="22C46A23">
      <w:pPr>
        <w:spacing w:line="56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附：法定代表人及被授权人身份证正反面。</w:t>
      </w:r>
    </w:p>
    <w:p w14:paraId="6428948F">
      <w:pPr>
        <w:pStyle w:val="13"/>
        <w:spacing w:line="360" w:lineRule="auto"/>
        <w:ind w:firstLine="0"/>
        <w:rPr>
          <w:rFonts w:hint="eastAsia" w:ascii="宋体" w:hAnsi="宋体" w:cs="宋体"/>
          <w:color w:val="auto"/>
          <w:sz w:val="24"/>
          <w:szCs w:val="24"/>
          <w:highlight w:val="none"/>
        </w:rPr>
      </w:pPr>
    </w:p>
    <w:p w14:paraId="03D8159C">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8480" behindDoc="0" locked="0" layoutInCell="1" allowOverlap="1">
                <wp:simplePos x="0" y="0"/>
                <wp:positionH relativeFrom="column">
                  <wp:posOffset>116205</wp:posOffset>
                </wp:positionH>
                <wp:positionV relativeFrom="paragraph">
                  <wp:posOffset>134620</wp:posOffset>
                </wp:positionV>
                <wp:extent cx="2240915" cy="1081405"/>
                <wp:effectExtent l="4445" t="4445" r="21590" b="19050"/>
                <wp:wrapNone/>
                <wp:docPr id="6" name="文本框 16"/>
                <wp:cNvGraphicFramePr/>
                <a:graphic xmlns:a="http://schemas.openxmlformats.org/drawingml/2006/main">
                  <a:graphicData uri="http://schemas.microsoft.com/office/word/2010/wordprocessingShape">
                    <wps:wsp>
                      <wps:cNvSpPr/>
                      <wps:spPr>
                        <a:xfrm>
                          <a:off x="0" y="0"/>
                          <a:ext cx="2240915" cy="108140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E777CB3">
                            <w:pPr>
                              <w:jc w:val="center"/>
                              <w:rPr>
                                <w:rFonts w:ascii="宋体"/>
                              </w:rPr>
                            </w:pPr>
                          </w:p>
                          <w:p w14:paraId="08F7A77D">
                            <w:pPr>
                              <w:jc w:val="center"/>
                              <w:rPr>
                                <w:rFonts w:ascii="宋体" w:hAnsi="宋体"/>
                                <w:sz w:val="28"/>
                                <w:szCs w:val="28"/>
                                <w:lang w:eastAsia="zh-CN"/>
                              </w:rPr>
                            </w:pPr>
                            <w:r>
                              <w:rPr>
                                <w:rFonts w:hint="eastAsia" w:ascii="宋体" w:hAnsi="宋体"/>
                                <w:sz w:val="28"/>
                                <w:szCs w:val="28"/>
                                <w:lang w:eastAsia="zh-CN"/>
                              </w:rPr>
                              <w:t>法定代表人身份证</w:t>
                            </w:r>
                          </w:p>
                          <w:p w14:paraId="1FE10C53">
                            <w:pPr>
                              <w:jc w:val="center"/>
                              <w:rPr>
                                <w:sz w:val="28"/>
                                <w:szCs w:val="28"/>
                                <w:lang w:eastAsia="zh-CN"/>
                              </w:rPr>
                            </w:pPr>
                            <w:r>
                              <w:rPr>
                                <w:rFonts w:hint="eastAsia" w:ascii="宋体" w:hAnsi="宋体"/>
                                <w:sz w:val="28"/>
                                <w:szCs w:val="28"/>
                                <w:lang w:eastAsia="zh-CN"/>
                              </w:rPr>
                              <w:t>（正面）</w:t>
                            </w:r>
                          </w:p>
                        </w:txbxContent>
                      </wps:txbx>
                      <wps:bodyPr upright="1"/>
                    </wps:wsp>
                  </a:graphicData>
                </a:graphic>
              </wp:anchor>
            </w:drawing>
          </mc:Choice>
          <mc:Fallback>
            <w:pict>
              <v:rect id="文本框 16" o:spid="_x0000_s1026" o:spt="1" style="position:absolute;left:0pt;margin-left:9.15pt;margin-top:10.6pt;height:85.15pt;width:176.45pt;z-index:251668480;mso-width-relative:page;mso-height-relative:page;" fillcolor="#FFFFFF" filled="t" stroked="t" coordsize="21600,21600" o:gfxdata="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td2Yq2AAAAAkBAAAPAAAAAAAAAAEAIAAAACIAAABk&#10;cnMvZG93bnJldi54bWxQSwECFAAUAAAACACHTuJAd9et3gYCAAAtBAAADgAAAAAAAAABACAAAAAn&#10;AQAAZHJzL2Uyb0RvYy54bWxQSwUGAAAAAAYABgBZAQAAnwUAAAAA&#10;">
                <v:fill on="t" focussize="0,0"/>
                <v:stroke color="#000000" joinstyle="miter" dashstyle="dash"/>
                <v:imagedata o:title=""/>
                <o:lock v:ext="edit" aspectratio="f"/>
                <v:textbox>
                  <w:txbxContent>
                    <w:p w14:paraId="3E777CB3">
                      <w:pPr>
                        <w:jc w:val="center"/>
                        <w:rPr>
                          <w:rFonts w:ascii="宋体"/>
                        </w:rPr>
                      </w:pPr>
                    </w:p>
                    <w:p w14:paraId="08F7A77D">
                      <w:pPr>
                        <w:jc w:val="center"/>
                        <w:rPr>
                          <w:rFonts w:ascii="宋体" w:hAnsi="宋体"/>
                          <w:sz w:val="28"/>
                          <w:szCs w:val="28"/>
                          <w:lang w:eastAsia="zh-CN"/>
                        </w:rPr>
                      </w:pPr>
                      <w:r>
                        <w:rPr>
                          <w:rFonts w:hint="eastAsia" w:ascii="宋体" w:hAnsi="宋体"/>
                          <w:sz w:val="28"/>
                          <w:szCs w:val="28"/>
                          <w:lang w:eastAsia="zh-CN"/>
                        </w:rPr>
                        <w:t>法定代表人身份证</w:t>
                      </w:r>
                    </w:p>
                    <w:p w14:paraId="1FE10C53">
                      <w:pPr>
                        <w:jc w:val="center"/>
                        <w:rPr>
                          <w:sz w:val="28"/>
                          <w:szCs w:val="28"/>
                          <w:lang w:eastAsia="zh-CN"/>
                        </w:rPr>
                      </w:pPr>
                      <w:r>
                        <w:rPr>
                          <w:rFonts w:hint="eastAsia" w:ascii="宋体" w:hAnsi="宋体"/>
                          <w:sz w:val="28"/>
                          <w:szCs w:val="28"/>
                          <w:lang w:eastAsia="zh-CN"/>
                        </w:rPr>
                        <w:t>（正面）</w:t>
                      </w:r>
                    </w:p>
                  </w:txbxContent>
                </v:textbox>
              </v: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9504" behindDoc="0" locked="0" layoutInCell="1" allowOverlap="1">
                <wp:simplePos x="0" y="0"/>
                <wp:positionH relativeFrom="column">
                  <wp:posOffset>2573020</wp:posOffset>
                </wp:positionH>
                <wp:positionV relativeFrom="paragraph">
                  <wp:posOffset>160655</wp:posOffset>
                </wp:positionV>
                <wp:extent cx="2240915" cy="1086485"/>
                <wp:effectExtent l="4445" t="4445" r="21590" b="13970"/>
                <wp:wrapNone/>
                <wp:docPr id="7" name="文本框 9"/>
                <wp:cNvGraphicFramePr/>
                <a:graphic xmlns:a="http://schemas.openxmlformats.org/drawingml/2006/main">
                  <a:graphicData uri="http://schemas.microsoft.com/office/word/2010/wordprocessingShape">
                    <wps:wsp>
                      <wps:cNvSpPr/>
                      <wps:spPr>
                        <a:xfrm>
                          <a:off x="0" y="0"/>
                          <a:ext cx="2240915" cy="108648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54298E5">
                            <w:pPr>
                              <w:jc w:val="center"/>
                              <w:rPr>
                                <w:rFonts w:ascii="宋体"/>
                              </w:rPr>
                            </w:pPr>
                          </w:p>
                          <w:p w14:paraId="76F06054">
                            <w:pPr>
                              <w:jc w:val="center"/>
                              <w:rPr>
                                <w:rFonts w:ascii="宋体" w:hAnsi="宋体"/>
                                <w:sz w:val="28"/>
                                <w:szCs w:val="28"/>
                                <w:lang w:eastAsia="zh-CN"/>
                              </w:rPr>
                            </w:pPr>
                            <w:r>
                              <w:rPr>
                                <w:rFonts w:hint="eastAsia" w:ascii="宋体" w:hAnsi="宋体"/>
                                <w:sz w:val="28"/>
                                <w:szCs w:val="28"/>
                                <w:lang w:eastAsia="zh-CN"/>
                              </w:rPr>
                              <w:t>法定代表人身份证</w:t>
                            </w:r>
                          </w:p>
                          <w:p w14:paraId="7EAC803B">
                            <w:pPr>
                              <w:jc w:val="center"/>
                              <w:rPr>
                                <w:sz w:val="28"/>
                                <w:szCs w:val="28"/>
                                <w:lang w:eastAsia="zh-CN"/>
                              </w:rPr>
                            </w:pPr>
                            <w:r>
                              <w:rPr>
                                <w:rFonts w:hint="eastAsia" w:ascii="宋体" w:hAnsi="宋体"/>
                                <w:sz w:val="28"/>
                                <w:szCs w:val="28"/>
                                <w:lang w:eastAsia="zh-CN"/>
                              </w:rPr>
                              <w:t>（反面）</w:t>
                            </w:r>
                          </w:p>
                        </w:txbxContent>
                      </wps:txbx>
                      <wps:bodyPr upright="1"/>
                    </wps:wsp>
                  </a:graphicData>
                </a:graphic>
              </wp:anchor>
            </w:drawing>
          </mc:Choice>
          <mc:Fallback>
            <w:pict>
              <v:rect id="文本框 9" o:spid="_x0000_s1026" o:spt="1" style="position:absolute;left:0pt;margin-left:202.6pt;margin-top:12.65pt;height:85.55pt;width:176.45pt;z-index:251669504;mso-width-relative:page;mso-height-relative:page;" fillcolor="#FFFFFF" filled="t" stroked="t" coordsize="21600,21600" o:gfxdata="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84yi3aAAAACgEAAA8AAAAAAAAAAQAgAAAAIgAA&#10;AGRycy9kb3ducmV2LnhtbFBLAQIUABQAAAAIAIdO4kBPfxAgBgIAACwEAAAOAAAAAAAAAAEAIAAA&#10;ACkBAABkcnMvZTJvRG9jLnhtbFBLBQYAAAAABgAGAFkBAAChBQAAAAA=&#10;">
                <v:fill on="t" focussize="0,0"/>
                <v:stroke color="#000000" joinstyle="miter" dashstyle="dash"/>
                <v:imagedata o:title=""/>
                <o:lock v:ext="edit" aspectratio="f"/>
                <v:textbox>
                  <w:txbxContent>
                    <w:p w14:paraId="554298E5">
                      <w:pPr>
                        <w:jc w:val="center"/>
                        <w:rPr>
                          <w:rFonts w:ascii="宋体"/>
                        </w:rPr>
                      </w:pPr>
                    </w:p>
                    <w:p w14:paraId="76F06054">
                      <w:pPr>
                        <w:jc w:val="center"/>
                        <w:rPr>
                          <w:rFonts w:ascii="宋体" w:hAnsi="宋体"/>
                          <w:sz w:val="28"/>
                          <w:szCs w:val="28"/>
                          <w:lang w:eastAsia="zh-CN"/>
                        </w:rPr>
                      </w:pPr>
                      <w:r>
                        <w:rPr>
                          <w:rFonts w:hint="eastAsia" w:ascii="宋体" w:hAnsi="宋体"/>
                          <w:sz w:val="28"/>
                          <w:szCs w:val="28"/>
                          <w:lang w:eastAsia="zh-CN"/>
                        </w:rPr>
                        <w:t>法定代表人身份证</w:t>
                      </w:r>
                    </w:p>
                    <w:p w14:paraId="7EAC803B">
                      <w:pPr>
                        <w:jc w:val="center"/>
                        <w:rPr>
                          <w:sz w:val="28"/>
                          <w:szCs w:val="28"/>
                          <w:lang w:eastAsia="zh-CN"/>
                        </w:rPr>
                      </w:pPr>
                      <w:r>
                        <w:rPr>
                          <w:rFonts w:hint="eastAsia" w:ascii="宋体" w:hAnsi="宋体"/>
                          <w:sz w:val="28"/>
                          <w:szCs w:val="28"/>
                          <w:lang w:eastAsia="zh-CN"/>
                        </w:rPr>
                        <w:t>（反面）</w:t>
                      </w:r>
                    </w:p>
                  </w:txbxContent>
                </v:textbox>
              </v:rect>
            </w:pict>
          </mc:Fallback>
        </mc:AlternateContent>
      </w:r>
    </w:p>
    <w:p w14:paraId="13C1A51E">
      <w:pPr>
        <w:spacing w:line="360" w:lineRule="auto"/>
        <w:rPr>
          <w:rFonts w:hint="eastAsia" w:ascii="宋体" w:hAnsi="宋体" w:eastAsia="宋体" w:cs="宋体"/>
          <w:color w:val="auto"/>
          <w:sz w:val="24"/>
          <w:szCs w:val="24"/>
          <w:highlight w:val="none"/>
          <w:lang w:eastAsia="zh-CN"/>
        </w:rPr>
      </w:pPr>
    </w:p>
    <w:p w14:paraId="06E82028">
      <w:pPr>
        <w:spacing w:line="360" w:lineRule="auto"/>
        <w:rPr>
          <w:rFonts w:hint="eastAsia" w:ascii="宋体" w:hAnsi="宋体" w:eastAsia="宋体" w:cs="宋体"/>
          <w:color w:val="auto"/>
          <w:sz w:val="24"/>
          <w:szCs w:val="24"/>
          <w:highlight w:val="none"/>
          <w:lang w:eastAsia="zh-CN"/>
        </w:rPr>
      </w:pPr>
    </w:p>
    <w:p w14:paraId="1226511C">
      <w:pPr>
        <w:spacing w:line="360" w:lineRule="auto"/>
        <w:rPr>
          <w:rFonts w:hint="eastAsia" w:ascii="宋体" w:hAnsi="宋体" w:eastAsia="宋体" w:cs="宋体"/>
          <w:color w:val="auto"/>
          <w:sz w:val="24"/>
          <w:szCs w:val="24"/>
          <w:highlight w:val="none"/>
          <w:lang w:eastAsia="zh-CN"/>
        </w:rPr>
      </w:pPr>
    </w:p>
    <w:p w14:paraId="630269F3">
      <w:pPr>
        <w:spacing w:line="360" w:lineRule="auto"/>
        <w:rPr>
          <w:rFonts w:hint="eastAsia" w:ascii="宋体" w:hAnsi="宋体" w:eastAsia="宋体" w:cs="宋体"/>
          <w:color w:val="auto"/>
          <w:sz w:val="24"/>
          <w:szCs w:val="24"/>
          <w:highlight w:val="none"/>
          <w:lang w:eastAsia="zh-CN"/>
        </w:rPr>
      </w:pPr>
    </w:p>
    <w:p w14:paraId="6EA773C1">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2564130</wp:posOffset>
                </wp:positionH>
                <wp:positionV relativeFrom="paragraph">
                  <wp:posOffset>289560</wp:posOffset>
                </wp:positionV>
                <wp:extent cx="2240915" cy="1081405"/>
                <wp:effectExtent l="4445" t="4445" r="21590" b="19050"/>
                <wp:wrapNone/>
                <wp:docPr id="5" name="文本框 17"/>
                <wp:cNvGraphicFramePr/>
                <a:graphic xmlns:a="http://schemas.openxmlformats.org/drawingml/2006/main">
                  <a:graphicData uri="http://schemas.microsoft.com/office/word/2010/wordprocessingShape">
                    <wps:wsp>
                      <wps:cNvSpPr/>
                      <wps:spPr>
                        <a:xfrm>
                          <a:off x="0" y="0"/>
                          <a:ext cx="2240915" cy="108140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7F1FE345">
                            <w:pPr>
                              <w:jc w:val="center"/>
                              <w:rPr>
                                <w:rFonts w:ascii="宋体"/>
                              </w:rPr>
                            </w:pPr>
                          </w:p>
                          <w:p w14:paraId="055ECA9A">
                            <w:pPr>
                              <w:jc w:val="center"/>
                              <w:rPr>
                                <w:rFonts w:ascii="宋体" w:hAnsi="宋体"/>
                                <w:sz w:val="28"/>
                                <w:szCs w:val="28"/>
                                <w:lang w:eastAsia="zh-CN"/>
                              </w:rPr>
                            </w:pPr>
                            <w:r>
                              <w:rPr>
                                <w:rFonts w:hint="eastAsia" w:ascii="宋体" w:hAnsi="宋体"/>
                                <w:sz w:val="28"/>
                                <w:szCs w:val="28"/>
                                <w:lang w:eastAsia="zh-CN"/>
                              </w:rPr>
                              <w:t>授权代表身份证</w:t>
                            </w:r>
                          </w:p>
                          <w:p w14:paraId="208F253A">
                            <w:pPr>
                              <w:jc w:val="center"/>
                              <w:rPr>
                                <w:sz w:val="28"/>
                                <w:szCs w:val="28"/>
                                <w:lang w:eastAsia="zh-CN"/>
                              </w:rPr>
                            </w:pPr>
                            <w:r>
                              <w:rPr>
                                <w:rFonts w:hint="eastAsia" w:ascii="宋体" w:hAnsi="宋体"/>
                                <w:sz w:val="28"/>
                                <w:szCs w:val="28"/>
                                <w:lang w:eastAsia="zh-CN"/>
                              </w:rPr>
                              <w:t>（反面）</w:t>
                            </w:r>
                          </w:p>
                        </w:txbxContent>
                      </wps:txbx>
                      <wps:bodyPr upright="1"/>
                    </wps:wsp>
                  </a:graphicData>
                </a:graphic>
              </wp:anchor>
            </w:drawing>
          </mc:Choice>
          <mc:Fallback>
            <w:pict>
              <v:rect id="文本框 17" o:spid="_x0000_s1026" o:spt="1" style="position:absolute;left:0pt;margin-left:201.9pt;margin-top:22.8pt;height:85.15pt;width:176.45pt;z-index:251666432;mso-width-relative:page;mso-height-relative:page;" fillcolor="#FFFFFF" filled="t" stroked="t" coordsize="21600,21600" o:gfxdata="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3xYWtoAAAAKAQAADwAAAAAAAAABACAAAAAiAAAA&#10;ZHJzL2Rvd25yZXYueG1sUEsBAhQAFAAAAAgAh07iQKyQdZgFAgAALQQAAA4AAAAAAAAAAQAgAAAA&#10;KQEAAGRycy9lMm9Eb2MueG1sUEsFBgAAAAAGAAYAWQEAAKAFAAAAAA==&#10;">
                <v:fill on="t" focussize="0,0"/>
                <v:stroke color="#000000" joinstyle="miter" dashstyle="dash"/>
                <v:imagedata o:title=""/>
                <o:lock v:ext="edit" aspectratio="f"/>
                <v:textbox>
                  <w:txbxContent>
                    <w:p w14:paraId="7F1FE345">
                      <w:pPr>
                        <w:jc w:val="center"/>
                        <w:rPr>
                          <w:rFonts w:ascii="宋体"/>
                        </w:rPr>
                      </w:pPr>
                    </w:p>
                    <w:p w14:paraId="055ECA9A">
                      <w:pPr>
                        <w:jc w:val="center"/>
                        <w:rPr>
                          <w:rFonts w:ascii="宋体" w:hAnsi="宋体"/>
                          <w:sz w:val="28"/>
                          <w:szCs w:val="28"/>
                          <w:lang w:eastAsia="zh-CN"/>
                        </w:rPr>
                      </w:pPr>
                      <w:r>
                        <w:rPr>
                          <w:rFonts w:hint="eastAsia" w:ascii="宋体" w:hAnsi="宋体"/>
                          <w:sz w:val="28"/>
                          <w:szCs w:val="28"/>
                          <w:lang w:eastAsia="zh-CN"/>
                        </w:rPr>
                        <w:t>授权代表身份证</w:t>
                      </w:r>
                    </w:p>
                    <w:p w14:paraId="208F253A">
                      <w:pPr>
                        <w:jc w:val="center"/>
                        <w:rPr>
                          <w:sz w:val="28"/>
                          <w:szCs w:val="28"/>
                          <w:lang w:eastAsia="zh-CN"/>
                        </w:rPr>
                      </w:pPr>
                      <w:r>
                        <w:rPr>
                          <w:rFonts w:hint="eastAsia" w:ascii="宋体" w:hAnsi="宋体"/>
                          <w:sz w:val="28"/>
                          <w:szCs w:val="28"/>
                          <w:lang w:eastAsia="zh-CN"/>
                        </w:rPr>
                        <w:t>（反面）</w:t>
                      </w:r>
                    </w:p>
                  </w:txbxContent>
                </v:textbox>
              </v: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125730</wp:posOffset>
                </wp:positionH>
                <wp:positionV relativeFrom="paragraph">
                  <wp:posOffset>280035</wp:posOffset>
                </wp:positionV>
                <wp:extent cx="2240915" cy="1081405"/>
                <wp:effectExtent l="4445" t="4445" r="21590" b="19050"/>
                <wp:wrapNone/>
                <wp:docPr id="4" name="文本框 18"/>
                <wp:cNvGraphicFramePr/>
                <a:graphic xmlns:a="http://schemas.openxmlformats.org/drawingml/2006/main">
                  <a:graphicData uri="http://schemas.microsoft.com/office/word/2010/wordprocessingShape">
                    <wps:wsp>
                      <wps:cNvSpPr/>
                      <wps:spPr>
                        <a:xfrm>
                          <a:off x="0" y="0"/>
                          <a:ext cx="2240915" cy="108140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7BFDA4CA">
                            <w:pPr>
                              <w:jc w:val="center"/>
                              <w:rPr>
                                <w:rFonts w:ascii="宋体"/>
                              </w:rPr>
                            </w:pPr>
                          </w:p>
                          <w:p w14:paraId="4CA7DF5B">
                            <w:pPr>
                              <w:jc w:val="center"/>
                              <w:rPr>
                                <w:rFonts w:ascii="宋体" w:hAnsi="宋体"/>
                                <w:sz w:val="28"/>
                                <w:szCs w:val="28"/>
                                <w:lang w:eastAsia="zh-CN"/>
                              </w:rPr>
                            </w:pPr>
                            <w:r>
                              <w:rPr>
                                <w:rFonts w:hint="eastAsia" w:ascii="宋体" w:hAnsi="宋体"/>
                                <w:sz w:val="28"/>
                                <w:szCs w:val="28"/>
                                <w:lang w:eastAsia="zh-CN"/>
                              </w:rPr>
                              <w:t>授权代表身份证</w:t>
                            </w:r>
                          </w:p>
                          <w:p w14:paraId="5F307734">
                            <w:pPr>
                              <w:jc w:val="center"/>
                              <w:rPr>
                                <w:sz w:val="28"/>
                                <w:szCs w:val="28"/>
                                <w:lang w:eastAsia="zh-CN"/>
                              </w:rPr>
                            </w:pPr>
                            <w:r>
                              <w:rPr>
                                <w:rFonts w:hint="eastAsia" w:ascii="宋体" w:hAnsi="宋体"/>
                                <w:sz w:val="28"/>
                                <w:szCs w:val="28"/>
                                <w:lang w:eastAsia="zh-CN"/>
                              </w:rPr>
                              <w:t>（正面）</w:t>
                            </w:r>
                          </w:p>
                        </w:txbxContent>
                      </wps:txbx>
                      <wps:bodyPr upright="1"/>
                    </wps:wsp>
                  </a:graphicData>
                </a:graphic>
              </wp:anchor>
            </w:drawing>
          </mc:Choice>
          <mc:Fallback>
            <w:pict>
              <v:rect id="文本框 18" o:spid="_x0000_s1026" o:spt="1" style="position:absolute;left:0pt;margin-left:9.9pt;margin-top:22.05pt;height:85.15pt;width:176.45pt;z-index:251664384;mso-width-relative:page;mso-height-relative:page;" fillcolor="#FFFFFF" filled="t" stroked="t" coordsize="21600,21600" o:gfxdata="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&#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GVRTE2QAAAAkBAAAPAAAAAAAAAAEAIAAAACIAAABk&#10;cnMvZG93bnJldi54bWxQSwECFAAUAAAACACHTuJAZTzZWAUCAAAtBAAADgAAAAAAAAABACAAAAAo&#10;AQAAZHJzL2Uyb0RvYy54bWxQSwUGAAAAAAYABgBZAQAAnwUAAAAA&#10;">
                <v:fill on="t" focussize="0,0"/>
                <v:stroke color="#000000" joinstyle="miter" dashstyle="dash"/>
                <v:imagedata o:title=""/>
                <o:lock v:ext="edit" aspectratio="f"/>
                <v:textbox>
                  <w:txbxContent>
                    <w:p w14:paraId="7BFDA4CA">
                      <w:pPr>
                        <w:jc w:val="center"/>
                        <w:rPr>
                          <w:rFonts w:ascii="宋体"/>
                        </w:rPr>
                      </w:pPr>
                    </w:p>
                    <w:p w14:paraId="4CA7DF5B">
                      <w:pPr>
                        <w:jc w:val="center"/>
                        <w:rPr>
                          <w:rFonts w:ascii="宋体" w:hAnsi="宋体"/>
                          <w:sz w:val="28"/>
                          <w:szCs w:val="28"/>
                          <w:lang w:eastAsia="zh-CN"/>
                        </w:rPr>
                      </w:pPr>
                      <w:r>
                        <w:rPr>
                          <w:rFonts w:hint="eastAsia" w:ascii="宋体" w:hAnsi="宋体"/>
                          <w:sz w:val="28"/>
                          <w:szCs w:val="28"/>
                          <w:lang w:eastAsia="zh-CN"/>
                        </w:rPr>
                        <w:t>授权代表身份证</w:t>
                      </w:r>
                    </w:p>
                    <w:p w14:paraId="5F307734">
                      <w:pPr>
                        <w:jc w:val="center"/>
                        <w:rPr>
                          <w:sz w:val="28"/>
                          <w:szCs w:val="28"/>
                          <w:lang w:eastAsia="zh-CN"/>
                        </w:rPr>
                      </w:pPr>
                      <w:r>
                        <w:rPr>
                          <w:rFonts w:hint="eastAsia" w:ascii="宋体" w:hAnsi="宋体"/>
                          <w:sz w:val="28"/>
                          <w:szCs w:val="28"/>
                          <w:lang w:eastAsia="zh-CN"/>
                        </w:rPr>
                        <w:t>（正面）</w:t>
                      </w:r>
                    </w:p>
                  </w:txbxContent>
                </v:textbox>
              </v:rect>
            </w:pict>
          </mc:Fallback>
        </mc:AlternateContent>
      </w:r>
    </w:p>
    <w:p w14:paraId="2910A335">
      <w:pPr>
        <w:spacing w:line="360" w:lineRule="auto"/>
        <w:jc w:val="center"/>
        <w:rPr>
          <w:rFonts w:hint="eastAsia" w:ascii="宋体" w:hAnsi="宋体" w:eastAsia="宋体" w:cs="宋体"/>
          <w:color w:val="auto"/>
          <w:sz w:val="24"/>
          <w:szCs w:val="24"/>
          <w:highlight w:val="none"/>
          <w:lang w:eastAsia="zh-CN"/>
        </w:rPr>
      </w:pPr>
    </w:p>
    <w:p w14:paraId="7E51F7E6">
      <w:pPr>
        <w:spacing w:line="360" w:lineRule="auto"/>
        <w:jc w:val="center"/>
        <w:rPr>
          <w:rFonts w:hint="eastAsia" w:ascii="宋体" w:hAnsi="宋体" w:eastAsia="宋体" w:cs="宋体"/>
          <w:color w:val="auto"/>
          <w:sz w:val="24"/>
          <w:szCs w:val="24"/>
          <w:highlight w:val="none"/>
          <w:lang w:eastAsia="zh-CN"/>
        </w:rPr>
      </w:pPr>
    </w:p>
    <w:p w14:paraId="29A035FB">
      <w:pPr>
        <w:spacing w:line="360" w:lineRule="auto"/>
        <w:jc w:val="center"/>
        <w:rPr>
          <w:rFonts w:hint="eastAsia" w:ascii="宋体" w:hAnsi="宋体" w:eastAsia="宋体" w:cs="宋体"/>
          <w:color w:val="auto"/>
          <w:sz w:val="24"/>
          <w:szCs w:val="24"/>
          <w:highlight w:val="none"/>
          <w:lang w:eastAsia="zh-CN"/>
        </w:rPr>
      </w:pPr>
    </w:p>
    <w:p w14:paraId="0243A8BE">
      <w:pPr>
        <w:spacing w:line="360" w:lineRule="auto"/>
        <w:jc w:val="center"/>
        <w:rPr>
          <w:rFonts w:hint="eastAsia" w:ascii="宋体" w:hAnsi="宋体" w:eastAsia="宋体" w:cs="宋体"/>
          <w:color w:val="auto"/>
          <w:sz w:val="24"/>
          <w:szCs w:val="24"/>
          <w:highlight w:val="none"/>
          <w:lang w:eastAsia="zh-CN"/>
        </w:rPr>
      </w:pPr>
    </w:p>
    <w:p w14:paraId="78AD2A3B">
      <w:pPr>
        <w:spacing w:line="360" w:lineRule="auto"/>
        <w:jc w:val="center"/>
        <w:rPr>
          <w:rFonts w:hint="eastAsia" w:ascii="宋体" w:hAnsi="宋体" w:eastAsia="宋体" w:cs="宋体"/>
          <w:color w:val="auto"/>
          <w:sz w:val="24"/>
          <w:szCs w:val="24"/>
          <w:highlight w:val="none"/>
          <w:lang w:eastAsia="zh-CN"/>
        </w:rPr>
      </w:pPr>
    </w:p>
    <w:p w14:paraId="263A15E5">
      <w:pPr>
        <w:pStyle w:val="20"/>
        <w:spacing w:after="0" w:line="560" w:lineRule="exact"/>
        <w:ind w:left="0" w:leftChars="0"/>
        <w:jc w:val="center"/>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 xml:space="preserve">          投标人名称（盖章）：</w:t>
      </w:r>
    </w:p>
    <w:p w14:paraId="1D66B15C">
      <w:pPr>
        <w:pStyle w:val="20"/>
        <w:spacing w:after="0" w:line="560" w:lineRule="exact"/>
        <w:ind w:left="0" w:leftChars="0"/>
        <w:jc w:val="center"/>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 xml:space="preserve">                法定代表人（盖章或签字）：</w:t>
      </w:r>
    </w:p>
    <w:p w14:paraId="07AECE9F">
      <w:pPr>
        <w:spacing w:line="560" w:lineRule="exact"/>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     日期： 年 月 日</w:t>
      </w:r>
    </w:p>
    <w:p w14:paraId="58396614">
      <w:pPr>
        <w:pStyle w:val="11"/>
        <w:snapToGrid/>
        <w:spacing w:line="360" w:lineRule="auto"/>
        <w:jc w:val="center"/>
        <w:outlineLvl w:val="1"/>
        <w:rPr>
          <w:rFonts w:hint="eastAsia"/>
          <w:b/>
          <w:bCs/>
          <w:color w:val="auto"/>
          <w:highlight w:val="none"/>
          <w:lang w:eastAsia="zh-CN"/>
        </w:rPr>
      </w:pPr>
      <w:r>
        <w:rPr>
          <w:rFonts w:hint="eastAsia"/>
          <w:b/>
          <w:bCs/>
          <w:color w:val="auto"/>
          <w:highlight w:val="none"/>
          <w:lang w:eastAsia="zh-CN"/>
        </w:rPr>
        <w:br w:type="page"/>
      </w:r>
      <w:r>
        <w:rPr>
          <w:rFonts w:hint="eastAsia"/>
          <w:b/>
          <w:bCs/>
          <w:color w:val="auto"/>
          <w:highlight w:val="none"/>
          <w:lang w:eastAsia="zh-CN"/>
        </w:rPr>
        <w:t>四、投标人承诺函</w:t>
      </w:r>
    </w:p>
    <w:p w14:paraId="2D0DEF93">
      <w:pPr>
        <w:pStyle w:val="11"/>
        <w:snapToGrid/>
        <w:spacing w:line="360" w:lineRule="auto"/>
        <w:jc w:val="center"/>
        <w:rPr>
          <w:rFonts w:hint="eastAsia"/>
          <w:b/>
          <w:bCs/>
          <w:color w:val="auto"/>
          <w:highlight w:val="none"/>
          <w:lang w:eastAsia="zh-CN"/>
        </w:rPr>
      </w:pPr>
    </w:p>
    <w:p w14:paraId="0AAC99DF">
      <w:pPr>
        <w:pStyle w:val="20"/>
        <w:spacing w:after="0" w:line="360" w:lineRule="auto"/>
        <w:ind w:left="0" w:leftChars="0" w:firstLine="480" w:firstLineChars="200"/>
        <w:jc w:val="both"/>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（格式自拟，投标人根据“第四章评标办法”的“资格审查表”，提供相关承诺函）</w:t>
      </w:r>
    </w:p>
    <w:p w14:paraId="1A97ADB8">
      <w:pPr>
        <w:pStyle w:val="20"/>
        <w:spacing w:after="0" w:line="360" w:lineRule="auto"/>
        <w:ind w:left="0" w:leftChars="0" w:firstLine="480" w:firstLineChars="200"/>
        <w:jc w:val="both"/>
        <w:rPr>
          <w:rFonts w:hint="eastAsia" w:ascii="宋体" w:hAnsi="宋体" w:cs="宋体"/>
          <w:bCs/>
          <w:color w:val="auto"/>
          <w:sz w:val="24"/>
          <w:szCs w:val="24"/>
          <w:highlight w:val="none"/>
          <w:lang w:eastAsia="zh-CN"/>
        </w:rPr>
      </w:pPr>
    </w:p>
    <w:p w14:paraId="47F03E0A">
      <w:pPr>
        <w:pStyle w:val="20"/>
        <w:spacing w:after="0" w:line="360" w:lineRule="auto"/>
        <w:ind w:left="0" w:leftChars="0" w:firstLine="480" w:firstLineChars="200"/>
        <w:jc w:val="both"/>
        <w:rPr>
          <w:rFonts w:hint="eastAsia" w:ascii="宋体" w:hAnsi="宋体" w:cs="宋体"/>
          <w:bCs/>
          <w:color w:val="auto"/>
          <w:sz w:val="24"/>
          <w:szCs w:val="24"/>
          <w:highlight w:val="none"/>
          <w:lang w:eastAsia="zh-CN"/>
        </w:rPr>
      </w:pPr>
    </w:p>
    <w:p w14:paraId="6688E96F">
      <w:pPr>
        <w:pStyle w:val="20"/>
        <w:spacing w:after="0" w:line="360" w:lineRule="auto"/>
        <w:ind w:left="0" w:leftChars="0" w:firstLine="480" w:firstLineChars="200"/>
        <w:jc w:val="both"/>
        <w:rPr>
          <w:rFonts w:hint="eastAsia" w:ascii="宋体" w:hAnsi="宋体" w:cs="宋体"/>
          <w:bCs/>
          <w:color w:val="auto"/>
          <w:sz w:val="24"/>
          <w:szCs w:val="24"/>
          <w:highlight w:val="none"/>
          <w:lang w:eastAsia="zh-CN"/>
        </w:rPr>
      </w:pPr>
    </w:p>
    <w:p w14:paraId="2D70456E">
      <w:pPr>
        <w:pStyle w:val="20"/>
        <w:spacing w:after="0" w:line="360" w:lineRule="auto"/>
        <w:ind w:left="0" w:leftChars="0" w:firstLine="480" w:firstLineChars="200"/>
        <w:jc w:val="both"/>
        <w:rPr>
          <w:rFonts w:hint="eastAsia" w:ascii="宋体" w:hAnsi="宋体" w:cs="宋体"/>
          <w:bCs/>
          <w:color w:val="auto"/>
          <w:sz w:val="24"/>
          <w:szCs w:val="24"/>
          <w:highlight w:val="none"/>
          <w:lang w:eastAsia="zh-CN"/>
        </w:rPr>
      </w:pPr>
    </w:p>
    <w:p w14:paraId="47245B56">
      <w:pPr>
        <w:pStyle w:val="20"/>
        <w:spacing w:after="0" w:line="360" w:lineRule="auto"/>
        <w:ind w:left="0" w:leftChars="0" w:firstLine="480" w:firstLineChars="200"/>
        <w:jc w:val="both"/>
        <w:rPr>
          <w:rFonts w:hint="eastAsia" w:ascii="宋体" w:hAnsi="宋体" w:cs="宋体"/>
          <w:bCs/>
          <w:color w:val="auto"/>
          <w:sz w:val="24"/>
          <w:szCs w:val="24"/>
          <w:highlight w:val="none"/>
          <w:lang w:eastAsia="zh-CN"/>
        </w:rPr>
      </w:pPr>
    </w:p>
    <w:p w14:paraId="58D0CBEE">
      <w:pPr>
        <w:pStyle w:val="20"/>
        <w:spacing w:after="0" w:line="360" w:lineRule="auto"/>
        <w:ind w:left="0" w:leftChars="0" w:firstLine="480" w:firstLineChars="200"/>
        <w:jc w:val="both"/>
        <w:rPr>
          <w:rFonts w:hint="eastAsia" w:ascii="宋体" w:hAnsi="宋体" w:cs="宋体"/>
          <w:bCs/>
          <w:color w:val="auto"/>
          <w:sz w:val="24"/>
          <w:szCs w:val="24"/>
          <w:highlight w:val="none"/>
          <w:lang w:eastAsia="zh-CN"/>
        </w:rPr>
      </w:pPr>
    </w:p>
    <w:p w14:paraId="5D2C538F">
      <w:pPr>
        <w:pStyle w:val="20"/>
        <w:spacing w:after="0" w:line="360" w:lineRule="auto"/>
        <w:ind w:left="0" w:leftChars="0" w:firstLine="480" w:firstLineChars="200"/>
        <w:jc w:val="both"/>
        <w:rPr>
          <w:rFonts w:hint="eastAsia" w:ascii="宋体" w:hAnsi="宋体" w:cs="宋体"/>
          <w:bCs/>
          <w:color w:val="auto"/>
          <w:sz w:val="24"/>
          <w:szCs w:val="24"/>
          <w:highlight w:val="none"/>
          <w:lang w:eastAsia="zh-CN"/>
        </w:rPr>
      </w:pPr>
    </w:p>
    <w:p w14:paraId="088E7696">
      <w:pPr>
        <w:pStyle w:val="20"/>
        <w:spacing w:after="0" w:line="360" w:lineRule="auto"/>
        <w:ind w:left="0" w:leftChars="0" w:firstLine="480" w:firstLineChars="200"/>
        <w:jc w:val="both"/>
        <w:rPr>
          <w:rFonts w:hint="eastAsia" w:ascii="宋体" w:hAnsi="宋体" w:cs="宋体"/>
          <w:bCs/>
          <w:color w:val="auto"/>
          <w:sz w:val="24"/>
          <w:szCs w:val="24"/>
          <w:highlight w:val="none"/>
          <w:lang w:eastAsia="zh-CN"/>
        </w:rPr>
      </w:pPr>
    </w:p>
    <w:p w14:paraId="5C67FF9A">
      <w:pPr>
        <w:pStyle w:val="20"/>
        <w:spacing w:after="0" w:line="360" w:lineRule="auto"/>
        <w:ind w:left="0" w:leftChars="0" w:firstLine="480" w:firstLineChars="200"/>
        <w:jc w:val="both"/>
        <w:rPr>
          <w:rFonts w:hint="eastAsia" w:ascii="宋体" w:hAnsi="宋体" w:cs="宋体"/>
          <w:bCs/>
          <w:color w:val="auto"/>
          <w:sz w:val="24"/>
          <w:szCs w:val="24"/>
          <w:highlight w:val="none"/>
          <w:lang w:eastAsia="zh-CN"/>
        </w:rPr>
      </w:pPr>
    </w:p>
    <w:p w14:paraId="1CC5B01B">
      <w:pPr>
        <w:pStyle w:val="20"/>
        <w:spacing w:after="0" w:line="360" w:lineRule="auto"/>
        <w:ind w:left="0" w:leftChars="0" w:firstLine="480" w:firstLineChars="200"/>
        <w:jc w:val="center"/>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 xml:space="preserve">           投标人名称（盖章）：</w:t>
      </w:r>
    </w:p>
    <w:p w14:paraId="6701CAA2">
      <w:pPr>
        <w:pStyle w:val="20"/>
        <w:spacing w:after="0" w:line="360" w:lineRule="auto"/>
        <w:ind w:left="0" w:leftChars="0" w:firstLine="480" w:firstLineChars="200"/>
        <w:jc w:val="center"/>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 xml:space="preserve">                          法定代表人或被授权人（签字或盖章）：</w:t>
      </w:r>
    </w:p>
    <w:p w14:paraId="4AC785FD">
      <w:pPr>
        <w:keepNext/>
        <w:keepLines/>
        <w:spacing w:line="360" w:lineRule="auto"/>
        <w:ind w:firstLine="480" w:firstLineChars="20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日    期：</w:t>
      </w:r>
    </w:p>
    <w:p w14:paraId="636C0C48">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43200A09">
      <w:pPr>
        <w:spacing w:line="560" w:lineRule="exact"/>
        <w:jc w:val="center"/>
        <w:outlineLvl w:val="1"/>
        <w:rPr>
          <w:rFonts w:hint="eastAsia" w:ascii="宋体" w:hAnsi="宋体" w:eastAsia="宋体" w:cs="宋体"/>
          <w:b/>
          <w:bCs/>
          <w:color w:val="auto"/>
          <w:kern w:val="2"/>
          <w:sz w:val="24"/>
          <w:szCs w:val="24"/>
          <w:highlight w:val="none"/>
          <w:lang w:eastAsia="zh-CN"/>
        </w:rPr>
      </w:pPr>
      <w:bookmarkStart w:id="139" w:name="_Toc28653"/>
      <w:r>
        <w:rPr>
          <w:rFonts w:hint="eastAsia" w:ascii="宋体" w:hAnsi="宋体" w:eastAsia="宋体" w:cs="宋体"/>
          <w:b/>
          <w:bCs/>
          <w:color w:val="auto"/>
          <w:kern w:val="2"/>
          <w:sz w:val="24"/>
          <w:szCs w:val="24"/>
          <w:highlight w:val="none"/>
          <w:lang w:eastAsia="zh-CN"/>
        </w:rPr>
        <w:t>五、投标人基本情况表</w:t>
      </w:r>
    </w:p>
    <w:tbl>
      <w:tblPr>
        <w:tblStyle w:val="36"/>
        <w:tblW w:w="9104" w:type="dxa"/>
        <w:jc w:val="center"/>
        <w:tblLayout w:type="fixed"/>
        <w:tblCellMar>
          <w:top w:w="0" w:type="dxa"/>
          <w:left w:w="108" w:type="dxa"/>
          <w:bottom w:w="0" w:type="dxa"/>
          <w:right w:w="108" w:type="dxa"/>
        </w:tblCellMar>
      </w:tblPr>
      <w:tblGrid>
        <w:gridCol w:w="1581"/>
        <w:gridCol w:w="1000"/>
        <w:gridCol w:w="2697"/>
        <w:gridCol w:w="1687"/>
        <w:gridCol w:w="2139"/>
      </w:tblGrid>
      <w:tr w14:paraId="52EB6EC0">
        <w:tblPrEx>
          <w:tblCellMar>
            <w:top w:w="0" w:type="dxa"/>
            <w:left w:w="108" w:type="dxa"/>
            <w:bottom w:w="0" w:type="dxa"/>
            <w:right w:w="108" w:type="dxa"/>
          </w:tblCellMar>
        </w:tblPrEx>
        <w:trPr>
          <w:trHeight w:val="680" w:hRule="exact"/>
          <w:jc w:val="center"/>
        </w:trPr>
        <w:tc>
          <w:tcPr>
            <w:tcW w:w="1581" w:type="dxa"/>
            <w:tcBorders>
              <w:top w:val="single" w:color="auto" w:sz="4" w:space="0"/>
              <w:left w:val="single" w:color="auto" w:sz="4" w:space="0"/>
              <w:bottom w:val="single" w:color="auto" w:sz="4" w:space="0"/>
              <w:right w:val="single" w:color="auto" w:sz="4" w:space="0"/>
            </w:tcBorders>
            <w:vAlign w:val="center"/>
          </w:tcPr>
          <w:p w14:paraId="3F2DD9F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7523" w:type="dxa"/>
            <w:gridSpan w:val="4"/>
            <w:tcBorders>
              <w:top w:val="single" w:color="auto" w:sz="4" w:space="0"/>
              <w:left w:val="nil"/>
              <w:bottom w:val="single" w:color="auto" w:sz="4" w:space="0"/>
              <w:right w:val="single" w:color="auto" w:sz="4" w:space="0"/>
            </w:tcBorders>
            <w:vAlign w:val="center"/>
          </w:tcPr>
          <w:p w14:paraId="5D103C70">
            <w:pPr>
              <w:spacing w:line="360" w:lineRule="auto"/>
              <w:jc w:val="center"/>
              <w:rPr>
                <w:rFonts w:hint="eastAsia" w:ascii="宋体" w:hAnsi="宋体" w:eastAsia="宋体" w:cs="宋体"/>
                <w:color w:val="auto"/>
                <w:sz w:val="24"/>
                <w:szCs w:val="24"/>
                <w:highlight w:val="none"/>
              </w:rPr>
            </w:pPr>
          </w:p>
        </w:tc>
      </w:tr>
      <w:tr w14:paraId="467134B4">
        <w:tblPrEx>
          <w:tblCellMar>
            <w:top w:w="0" w:type="dxa"/>
            <w:left w:w="108" w:type="dxa"/>
            <w:bottom w:w="0" w:type="dxa"/>
            <w:right w:w="108" w:type="dxa"/>
          </w:tblCellMar>
        </w:tblPrEx>
        <w:trPr>
          <w:trHeight w:val="680" w:hRule="exact"/>
          <w:jc w:val="center"/>
        </w:trPr>
        <w:tc>
          <w:tcPr>
            <w:tcW w:w="1581" w:type="dxa"/>
            <w:tcBorders>
              <w:top w:val="nil"/>
              <w:left w:val="single" w:color="auto" w:sz="4" w:space="0"/>
              <w:bottom w:val="single" w:color="auto" w:sz="4" w:space="0"/>
              <w:right w:val="single" w:color="auto" w:sz="4" w:space="0"/>
            </w:tcBorders>
            <w:vAlign w:val="center"/>
          </w:tcPr>
          <w:p w14:paraId="2D04A25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697" w:type="dxa"/>
            <w:gridSpan w:val="2"/>
            <w:tcBorders>
              <w:top w:val="single" w:color="auto" w:sz="4" w:space="0"/>
              <w:left w:val="nil"/>
              <w:bottom w:val="single" w:color="auto" w:sz="4" w:space="0"/>
              <w:right w:val="single" w:color="000000" w:sz="4" w:space="0"/>
            </w:tcBorders>
            <w:vAlign w:val="center"/>
          </w:tcPr>
          <w:p w14:paraId="25D43D8B">
            <w:pPr>
              <w:spacing w:line="360" w:lineRule="auto"/>
              <w:jc w:val="center"/>
              <w:rPr>
                <w:rFonts w:hint="eastAsia" w:ascii="宋体" w:hAnsi="宋体" w:eastAsia="宋体" w:cs="宋体"/>
                <w:color w:val="auto"/>
                <w:sz w:val="24"/>
                <w:szCs w:val="24"/>
                <w:highlight w:val="none"/>
              </w:rPr>
            </w:pPr>
          </w:p>
        </w:tc>
        <w:tc>
          <w:tcPr>
            <w:tcW w:w="1687" w:type="dxa"/>
            <w:tcBorders>
              <w:top w:val="nil"/>
              <w:left w:val="nil"/>
              <w:bottom w:val="single" w:color="auto" w:sz="4" w:space="0"/>
              <w:right w:val="single" w:color="auto" w:sz="4" w:space="0"/>
            </w:tcBorders>
            <w:vAlign w:val="center"/>
          </w:tcPr>
          <w:p w14:paraId="5A49CCD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139" w:type="dxa"/>
            <w:tcBorders>
              <w:top w:val="nil"/>
              <w:left w:val="nil"/>
              <w:bottom w:val="single" w:color="auto" w:sz="4" w:space="0"/>
              <w:right w:val="single" w:color="auto" w:sz="4" w:space="0"/>
            </w:tcBorders>
            <w:vAlign w:val="center"/>
          </w:tcPr>
          <w:p w14:paraId="5C446205">
            <w:pPr>
              <w:spacing w:line="360" w:lineRule="auto"/>
              <w:jc w:val="center"/>
              <w:rPr>
                <w:rFonts w:hint="eastAsia" w:ascii="宋体" w:hAnsi="宋体" w:eastAsia="宋体" w:cs="宋体"/>
                <w:color w:val="auto"/>
                <w:sz w:val="24"/>
                <w:szCs w:val="24"/>
                <w:highlight w:val="none"/>
              </w:rPr>
            </w:pPr>
          </w:p>
        </w:tc>
      </w:tr>
      <w:tr w14:paraId="5E263A1D">
        <w:tblPrEx>
          <w:tblCellMar>
            <w:top w:w="0" w:type="dxa"/>
            <w:left w:w="108" w:type="dxa"/>
            <w:bottom w:w="0" w:type="dxa"/>
            <w:right w:w="108" w:type="dxa"/>
          </w:tblCellMar>
        </w:tblPrEx>
        <w:trPr>
          <w:trHeight w:val="680" w:hRule="exact"/>
          <w:jc w:val="center"/>
        </w:trPr>
        <w:tc>
          <w:tcPr>
            <w:tcW w:w="1581" w:type="dxa"/>
            <w:tcBorders>
              <w:top w:val="nil"/>
              <w:left w:val="single" w:color="auto" w:sz="4" w:space="0"/>
              <w:bottom w:val="single" w:color="auto" w:sz="4" w:space="0"/>
              <w:right w:val="single" w:color="auto" w:sz="4" w:space="0"/>
            </w:tcBorders>
            <w:vAlign w:val="center"/>
          </w:tcPr>
          <w:p w14:paraId="7FFFC3E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3697" w:type="dxa"/>
            <w:gridSpan w:val="2"/>
            <w:tcBorders>
              <w:top w:val="single" w:color="auto" w:sz="4" w:space="0"/>
              <w:left w:val="nil"/>
              <w:bottom w:val="single" w:color="auto" w:sz="4" w:space="0"/>
              <w:right w:val="single" w:color="000000" w:sz="4" w:space="0"/>
            </w:tcBorders>
            <w:vAlign w:val="center"/>
          </w:tcPr>
          <w:p w14:paraId="120AEE41">
            <w:pPr>
              <w:spacing w:line="360" w:lineRule="auto"/>
              <w:jc w:val="center"/>
              <w:rPr>
                <w:rFonts w:hint="eastAsia" w:ascii="宋体" w:hAnsi="宋体" w:eastAsia="宋体" w:cs="宋体"/>
                <w:color w:val="auto"/>
                <w:sz w:val="24"/>
                <w:szCs w:val="24"/>
                <w:highlight w:val="none"/>
              </w:rPr>
            </w:pPr>
          </w:p>
        </w:tc>
        <w:tc>
          <w:tcPr>
            <w:tcW w:w="1687" w:type="dxa"/>
            <w:tcBorders>
              <w:top w:val="nil"/>
              <w:left w:val="nil"/>
              <w:bottom w:val="single" w:color="auto" w:sz="4" w:space="0"/>
              <w:right w:val="single" w:color="auto" w:sz="4" w:space="0"/>
            </w:tcBorders>
            <w:vAlign w:val="center"/>
          </w:tcPr>
          <w:p w14:paraId="4862E0C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企业性质</w:t>
            </w:r>
          </w:p>
        </w:tc>
        <w:tc>
          <w:tcPr>
            <w:tcW w:w="2139" w:type="dxa"/>
            <w:tcBorders>
              <w:top w:val="nil"/>
              <w:left w:val="nil"/>
              <w:bottom w:val="single" w:color="auto" w:sz="4" w:space="0"/>
              <w:right w:val="single" w:color="auto" w:sz="4" w:space="0"/>
            </w:tcBorders>
            <w:vAlign w:val="center"/>
          </w:tcPr>
          <w:p w14:paraId="1456B9E5">
            <w:pPr>
              <w:spacing w:line="360" w:lineRule="auto"/>
              <w:jc w:val="center"/>
              <w:rPr>
                <w:rFonts w:hint="eastAsia" w:ascii="宋体" w:hAnsi="宋体" w:eastAsia="宋体" w:cs="宋体"/>
                <w:color w:val="auto"/>
                <w:sz w:val="24"/>
                <w:szCs w:val="24"/>
                <w:highlight w:val="none"/>
              </w:rPr>
            </w:pPr>
          </w:p>
        </w:tc>
      </w:tr>
      <w:tr w14:paraId="5701C783">
        <w:tblPrEx>
          <w:tblCellMar>
            <w:top w:w="0" w:type="dxa"/>
            <w:left w:w="108" w:type="dxa"/>
            <w:bottom w:w="0" w:type="dxa"/>
            <w:right w:w="108" w:type="dxa"/>
          </w:tblCellMar>
        </w:tblPrEx>
        <w:trPr>
          <w:trHeight w:val="946" w:hRule="exact"/>
          <w:jc w:val="center"/>
        </w:trPr>
        <w:tc>
          <w:tcPr>
            <w:tcW w:w="1581" w:type="dxa"/>
            <w:tcBorders>
              <w:top w:val="nil"/>
              <w:left w:val="single" w:color="auto" w:sz="4" w:space="0"/>
              <w:bottom w:val="single" w:color="auto" w:sz="4" w:space="0"/>
              <w:right w:val="single" w:color="auto" w:sz="4" w:space="0"/>
            </w:tcBorders>
            <w:vAlign w:val="center"/>
          </w:tcPr>
          <w:p w14:paraId="7B90660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社会统一信用代码</w:t>
            </w:r>
          </w:p>
        </w:tc>
        <w:tc>
          <w:tcPr>
            <w:tcW w:w="3697" w:type="dxa"/>
            <w:gridSpan w:val="2"/>
            <w:tcBorders>
              <w:top w:val="single" w:color="auto" w:sz="4" w:space="0"/>
              <w:left w:val="nil"/>
              <w:bottom w:val="single" w:color="auto" w:sz="4" w:space="0"/>
              <w:right w:val="single" w:color="000000" w:sz="4" w:space="0"/>
            </w:tcBorders>
            <w:vAlign w:val="center"/>
          </w:tcPr>
          <w:p w14:paraId="6DA68E7A">
            <w:pPr>
              <w:spacing w:line="360" w:lineRule="auto"/>
              <w:jc w:val="center"/>
              <w:rPr>
                <w:rFonts w:hint="eastAsia" w:ascii="宋体" w:hAnsi="宋体" w:eastAsia="宋体" w:cs="宋体"/>
                <w:color w:val="auto"/>
                <w:sz w:val="24"/>
                <w:szCs w:val="24"/>
                <w:highlight w:val="none"/>
              </w:rPr>
            </w:pPr>
          </w:p>
        </w:tc>
        <w:tc>
          <w:tcPr>
            <w:tcW w:w="1687" w:type="dxa"/>
            <w:tcBorders>
              <w:top w:val="nil"/>
              <w:left w:val="nil"/>
              <w:bottom w:val="single" w:color="auto" w:sz="4" w:space="0"/>
              <w:right w:val="single" w:color="auto" w:sz="4" w:space="0"/>
            </w:tcBorders>
            <w:vAlign w:val="center"/>
          </w:tcPr>
          <w:p w14:paraId="29B4D53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139" w:type="dxa"/>
            <w:tcBorders>
              <w:top w:val="nil"/>
              <w:left w:val="nil"/>
              <w:bottom w:val="single" w:color="auto" w:sz="4" w:space="0"/>
              <w:right w:val="single" w:color="auto" w:sz="4" w:space="0"/>
            </w:tcBorders>
            <w:vAlign w:val="center"/>
          </w:tcPr>
          <w:p w14:paraId="19651C77">
            <w:pPr>
              <w:spacing w:line="360" w:lineRule="auto"/>
              <w:jc w:val="center"/>
              <w:rPr>
                <w:rFonts w:hint="eastAsia" w:ascii="宋体" w:hAnsi="宋体" w:eastAsia="宋体" w:cs="宋体"/>
                <w:color w:val="auto"/>
                <w:sz w:val="24"/>
                <w:szCs w:val="24"/>
                <w:highlight w:val="none"/>
              </w:rPr>
            </w:pPr>
          </w:p>
        </w:tc>
      </w:tr>
      <w:tr w14:paraId="0764CE09">
        <w:tblPrEx>
          <w:tblCellMar>
            <w:top w:w="0" w:type="dxa"/>
            <w:left w:w="108" w:type="dxa"/>
            <w:bottom w:w="0" w:type="dxa"/>
            <w:right w:w="108" w:type="dxa"/>
          </w:tblCellMar>
        </w:tblPrEx>
        <w:trPr>
          <w:trHeight w:val="680" w:hRule="exact"/>
          <w:jc w:val="center"/>
        </w:trPr>
        <w:tc>
          <w:tcPr>
            <w:tcW w:w="1581" w:type="dxa"/>
            <w:tcBorders>
              <w:top w:val="nil"/>
              <w:left w:val="single" w:color="auto" w:sz="4" w:space="0"/>
              <w:bottom w:val="single" w:color="auto" w:sz="4" w:space="0"/>
              <w:right w:val="single" w:color="auto" w:sz="4" w:space="0"/>
            </w:tcBorders>
            <w:vAlign w:val="center"/>
          </w:tcPr>
          <w:p w14:paraId="7A4FD4F6">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资质</w:t>
            </w:r>
          </w:p>
        </w:tc>
        <w:tc>
          <w:tcPr>
            <w:tcW w:w="7523" w:type="dxa"/>
            <w:gridSpan w:val="4"/>
            <w:tcBorders>
              <w:top w:val="nil"/>
              <w:left w:val="nil"/>
              <w:bottom w:val="single" w:color="auto" w:sz="4" w:space="0"/>
              <w:right w:val="single" w:color="auto" w:sz="4" w:space="0"/>
            </w:tcBorders>
            <w:vAlign w:val="center"/>
          </w:tcPr>
          <w:p w14:paraId="63A9E28B">
            <w:pPr>
              <w:spacing w:line="360" w:lineRule="auto"/>
              <w:jc w:val="center"/>
              <w:rPr>
                <w:rFonts w:hint="eastAsia" w:ascii="宋体" w:hAnsi="宋体" w:eastAsia="宋体" w:cs="宋体"/>
                <w:color w:val="auto"/>
                <w:sz w:val="24"/>
                <w:szCs w:val="24"/>
                <w:highlight w:val="none"/>
              </w:rPr>
            </w:pPr>
          </w:p>
        </w:tc>
      </w:tr>
      <w:tr w14:paraId="6E478488">
        <w:tblPrEx>
          <w:tblCellMar>
            <w:top w:w="0" w:type="dxa"/>
            <w:left w:w="108" w:type="dxa"/>
            <w:bottom w:w="0" w:type="dxa"/>
            <w:right w:w="108" w:type="dxa"/>
          </w:tblCellMar>
        </w:tblPrEx>
        <w:trPr>
          <w:trHeight w:val="680" w:hRule="exact"/>
          <w:jc w:val="center"/>
        </w:trPr>
        <w:tc>
          <w:tcPr>
            <w:tcW w:w="1581" w:type="dxa"/>
            <w:tcBorders>
              <w:top w:val="nil"/>
              <w:left w:val="single" w:color="auto" w:sz="4" w:space="0"/>
              <w:bottom w:val="single" w:color="auto" w:sz="4" w:space="0"/>
              <w:right w:val="single" w:color="auto" w:sz="4" w:space="0"/>
            </w:tcBorders>
            <w:vAlign w:val="center"/>
          </w:tcPr>
          <w:p w14:paraId="4140D31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000" w:type="dxa"/>
            <w:tcBorders>
              <w:top w:val="nil"/>
              <w:left w:val="nil"/>
              <w:bottom w:val="single" w:color="auto" w:sz="4" w:space="0"/>
              <w:right w:val="single" w:color="auto" w:sz="4" w:space="0"/>
            </w:tcBorders>
            <w:vAlign w:val="center"/>
          </w:tcPr>
          <w:p w14:paraId="6EEEC61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697" w:type="dxa"/>
            <w:tcBorders>
              <w:top w:val="nil"/>
              <w:left w:val="nil"/>
              <w:bottom w:val="single" w:color="auto" w:sz="4" w:space="0"/>
              <w:right w:val="single" w:color="auto" w:sz="4" w:space="0"/>
            </w:tcBorders>
            <w:vAlign w:val="center"/>
          </w:tcPr>
          <w:p w14:paraId="593224B0">
            <w:pPr>
              <w:spacing w:line="360" w:lineRule="auto"/>
              <w:jc w:val="center"/>
              <w:rPr>
                <w:rFonts w:hint="eastAsia" w:ascii="宋体" w:hAnsi="宋体" w:eastAsia="宋体" w:cs="宋体"/>
                <w:color w:val="auto"/>
                <w:sz w:val="24"/>
                <w:szCs w:val="24"/>
                <w:highlight w:val="none"/>
              </w:rPr>
            </w:pPr>
          </w:p>
        </w:tc>
        <w:tc>
          <w:tcPr>
            <w:tcW w:w="1687" w:type="dxa"/>
            <w:tcBorders>
              <w:top w:val="nil"/>
              <w:left w:val="nil"/>
              <w:bottom w:val="single" w:color="auto" w:sz="4" w:space="0"/>
              <w:right w:val="single" w:color="auto" w:sz="4" w:space="0"/>
            </w:tcBorders>
            <w:vAlign w:val="center"/>
          </w:tcPr>
          <w:p w14:paraId="73B666F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139" w:type="dxa"/>
            <w:tcBorders>
              <w:top w:val="nil"/>
              <w:left w:val="nil"/>
              <w:bottom w:val="single" w:color="auto" w:sz="4" w:space="0"/>
              <w:right w:val="single" w:color="auto" w:sz="4" w:space="0"/>
            </w:tcBorders>
            <w:vAlign w:val="center"/>
          </w:tcPr>
          <w:p w14:paraId="37987183">
            <w:pPr>
              <w:spacing w:line="360" w:lineRule="auto"/>
              <w:jc w:val="center"/>
              <w:rPr>
                <w:rFonts w:hint="eastAsia" w:ascii="宋体" w:hAnsi="宋体" w:eastAsia="宋体" w:cs="宋体"/>
                <w:color w:val="auto"/>
                <w:sz w:val="24"/>
                <w:szCs w:val="24"/>
                <w:highlight w:val="none"/>
              </w:rPr>
            </w:pPr>
          </w:p>
        </w:tc>
      </w:tr>
      <w:tr w14:paraId="25D961B2">
        <w:tblPrEx>
          <w:tblCellMar>
            <w:top w:w="0" w:type="dxa"/>
            <w:left w:w="108" w:type="dxa"/>
            <w:bottom w:w="0" w:type="dxa"/>
            <w:right w:w="108" w:type="dxa"/>
          </w:tblCellMar>
        </w:tblPrEx>
        <w:trPr>
          <w:trHeight w:val="680" w:hRule="exact"/>
          <w:jc w:val="center"/>
        </w:trPr>
        <w:tc>
          <w:tcPr>
            <w:tcW w:w="1581" w:type="dxa"/>
            <w:vMerge w:val="restart"/>
            <w:tcBorders>
              <w:top w:val="nil"/>
              <w:left w:val="single" w:color="auto" w:sz="4" w:space="0"/>
              <w:bottom w:val="single" w:color="auto" w:sz="4" w:space="0"/>
              <w:right w:val="single" w:color="auto" w:sz="4" w:space="0"/>
            </w:tcBorders>
            <w:vAlign w:val="center"/>
          </w:tcPr>
          <w:p w14:paraId="48B43C5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000" w:type="dxa"/>
            <w:tcBorders>
              <w:top w:val="nil"/>
              <w:left w:val="nil"/>
              <w:bottom w:val="single" w:color="auto" w:sz="4" w:space="0"/>
              <w:right w:val="single" w:color="auto" w:sz="4" w:space="0"/>
            </w:tcBorders>
            <w:vAlign w:val="center"/>
          </w:tcPr>
          <w:p w14:paraId="457C5F1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697" w:type="dxa"/>
            <w:tcBorders>
              <w:top w:val="single" w:color="auto" w:sz="4" w:space="0"/>
              <w:left w:val="nil"/>
              <w:bottom w:val="single" w:color="auto" w:sz="4" w:space="0"/>
              <w:right w:val="single" w:color="000000" w:sz="4" w:space="0"/>
            </w:tcBorders>
            <w:vAlign w:val="center"/>
          </w:tcPr>
          <w:p w14:paraId="4F584AF2">
            <w:pPr>
              <w:spacing w:line="360" w:lineRule="auto"/>
              <w:jc w:val="center"/>
              <w:rPr>
                <w:rFonts w:hint="eastAsia" w:ascii="宋体" w:hAnsi="宋体" w:eastAsia="宋体" w:cs="宋体"/>
                <w:color w:val="auto"/>
                <w:sz w:val="24"/>
                <w:szCs w:val="24"/>
                <w:highlight w:val="none"/>
              </w:rPr>
            </w:pPr>
          </w:p>
        </w:tc>
        <w:tc>
          <w:tcPr>
            <w:tcW w:w="1687" w:type="dxa"/>
            <w:tcBorders>
              <w:top w:val="nil"/>
              <w:left w:val="nil"/>
              <w:bottom w:val="single" w:color="auto" w:sz="4" w:space="0"/>
              <w:right w:val="single" w:color="auto" w:sz="4" w:space="0"/>
            </w:tcBorders>
            <w:vAlign w:val="center"/>
          </w:tcPr>
          <w:p w14:paraId="0940071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139" w:type="dxa"/>
            <w:tcBorders>
              <w:top w:val="nil"/>
              <w:left w:val="nil"/>
              <w:bottom w:val="single" w:color="auto" w:sz="4" w:space="0"/>
              <w:right w:val="single" w:color="auto" w:sz="4" w:space="0"/>
            </w:tcBorders>
            <w:vAlign w:val="center"/>
          </w:tcPr>
          <w:p w14:paraId="785D141C">
            <w:pPr>
              <w:spacing w:line="360" w:lineRule="auto"/>
              <w:jc w:val="center"/>
              <w:rPr>
                <w:rFonts w:hint="eastAsia" w:ascii="宋体" w:hAnsi="宋体" w:eastAsia="宋体" w:cs="宋体"/>
                <w:color w:val="auto"/>
                <w:sz w:val="24"/>
                <w:szCs w:val="24"/>
                <w:highlight w:val="none"/>
              </w:rPr>
            </w:pPr>
          </w:p>
        </w:tc>
      </w:tr>
      <w:tr w14:paraId="2424AFE6">
        <w:tblPrEx>
          <w:tblCellMar>
            <w:top w:w="0" w:type="dxa"/>
            <w:left w:w="108" w:type="dxa"/>
            <w:bottom w:w="0" w:type="dxa"/>
            <w:right w:w="108" w:type="dxa"/>
          </w:tblCellMar>
        </w:tblPrEx>
        <w:trPr>
          <w:trHeight w:val="680" w:hRule="exact"/>
          <w:jc w:val="center"/>
        </w:trPr>
        <w:tc>
          <w:tcPr>
            <w:tcW w:w="1581" w:type="dxa"/>
            <w:vMerge w:val="continue"/>
            <w:tcBorders>
              <w:top w:val="nil"/>
              <w:left w:val="single" w:color="auto" w:sz="4" w:space="0"/>
              <w:bottom w:val="single" w:color="auto" w:sz="4" w:space="0"/>
              <w:right w:val="single" w:color="auto" w:sz="4" w:space="0"/>
            </w:tcBorders>
            <w:vAlign w:val="center"/>
          </w:tcPr>
          <w:p w14:paraId="1F85B651">
            <w:pPr>
              <w:spacing w:line="360" w:lineRule="auto"/>
              <w:jc w:val="center"/>
              <w:rPr>
                <w:rFonts w:hint="eastAsia" w:ascii="宋体" w:hAnsi="宋体" w:eastAsia="宋体" w:cs="宋体"/>
                <w:color w:val="auto"/>
                <w:sz w:val="24"/>
                <w:szCs w:val="24"/>
                <w:highlight w:val="none"/>
              </w:rPr>
            </w:pPr>
          </w:p>
        </w:tc>
        <w:tc>
          <w:tcPr>
            <w:tcW w:w="1000" w:type="dxa"/>
            <w:tcBorders>
              <w:top w:val="nil"/>
              <w:left w:val="nil"/>
              <w:bottom w:val="single" w:color="auto" w:sz="4" w:space="0"/>
              <w:right w:val="single" w:color="auto" w:sz="4" w:space="0"/>
            </w:tcBorders>
            <w:vAlign w:val="center"/>
          </w:tcPr>
          <w:p w14:paraId="67B0144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p>
        </w:tc>
        <w:tc>
          <w:tcPr>
            <w:tcW w:w="2697" w:type="dxa"/>
            <w:tcBorders>
              <w:top w:val="single" w:color="auto" w:sz="4" w:space="0"/>
              <w:left w:val="nil"/>
              <w:bottom w:val="single" w:color="auto" w:sz="4" w:space="0"/>
              <w:right w:val="single" w:color="000000" w:sz="4" w:space="0"/>
            </w:tcBorders>
            <w:vAlign w:val="center"/>
          </w:tcPr>
          <w:p w14:paraId="69077D66">
            <w:pPr>
              <w:spacing w:line="360" w:lineRule="auto"/>
              <w:jc w:val="center"/>
              <w:rPr>
                <w:rFonts w:hint="eastAsia" w:ascii="宋体" w:hAnsi="宋体" w:eastAsia="宋体" w:cs="宋体"/>
                <w:color w:val="auto"/>
                <w:sz w:val="24"/>
                <w:szCs w:val="24"/>
                <w:highlight w:val="none"/>
              </w:rPr>
            </w:pPr>
          </w:p>
        </w:tc>
        <w:tc>
          <w:tcPr>
            <w:tcW w:w="1687" w:type="dxa"/>
            <w:tcBorders>
              <w:top w:val="nil"/>
              <w:left w:val="nil"/>
              <w:bottom w:val="single" w:color="auto" w:sz="4" w:space="0"/>
              <w:right w:val="single" w:color="auto" w:sz="4" w:space="0"/>
            </w:tcBorders>
            <w:vAlign w:val="center"/>
          </w:tcPr>
          <w:p w14:paraId="5F62B16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p>
        </w:tc>
        <w:tc>
          <w:tcPr>
            <w:tcW w:w="2139" w:type="dxa"/>
            <w:tcBorders>
              <w:top w:val="nil"/>
              <w:left w:val="nil"/>
              <w:bottom w:val="single" w:color="auto" w:sz="4" w:space="0"/>
              <w:right w:val="single" w:color="auto" w:sz="4" w:space="0"/>
            </w:tcBorders>
            <w:vAlign w:val="center"/>
          </w:tcPr>
          <w:p w14:paraId="683DC112">
            <w:pPr>
              <w:spacing w:line="360" w:lineRule="auto"/>
              <w:jc w:val="center"/>
              <w:rPr>
                <w:rFonts w:hint="eastAsia" w:ascii="宋体" w:hAnsi="宋体" w:eastAsia="宋体" w:cs="宋体"/>
                <w:color w:val="auto"/>
                <w:sz w:val="24"/>
                <w:szCs w:val="24"/>
                <w:highlight w:val="none"/>
              </w:rPr>
            </w:pPr>
          </w:p>
        </w:tc>
      </w:tr>
      <w:tr w14:paraId="1B5EBCD1">
        <w:tblPrEx>
          <w:tblCellMar>
            <w:top w:w="0" w:type="dxa"/>
            <w:left w:w="108" w:type="dxa"/>
            <w:bottom w:w="0" w:type="dxa"/>
            <w:right w:w="108" w:type="dxa"/>
          </w:tblCellMar>
        </w:tblPrEx>
        <w:trPr>
          <w:trHeight w:val="680" w:hRule="exact"/>
          <w:jc w:val="center"/>
        </w:trPr>
        <w:tc>
          <w:tcPr>
            <w:tcW w:w="1581" w:type="dxa"/>
            <w:tcBorders>
              <w:top w:val="nil"/>
              <w:left w:val="single" w:color="auto" w:sz="4" w:space="0"/>
              <w:bottom w:val="single" w:color="auto" w:sz="4" w:space="0"/>
              <w:right w:val="single" w:color="auto" w:sz="4" w:space="0"/>
            </w:tcBorders>
            <w:vAlign w:val="center"/>
          </w:tcPr>
          <w:p w14:paraId="2E7CD4A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3697" w:type="dxa"/>
            <w:gridSpan w:val="2"/>
            <w:tcBorders>
              <w:top w:val="single" w:color="auto" w:sz="4" w:space="0"/>
              <w:left w:val="nil"/>
              <w:bottom w:val="single" w:color="auto" w:sz="4" w:space="0"/>
              <w:right w:val="single" w:color="000000" w:sz="4" w:space="0"/>
            </w:tcBorders>
            <w:vAlign w:val="center"/>
          </w:tcPr>
          <w:p w14:paraId="05F72387">
            <w:pPr>
              <w:spacing w:line="360" w:lineRule="auto"/>
              <w:jc w:val="center"/>
              <w:rPr>
                <w:rFonts w:hint="eastAsia" w:ascii="宋体" w:hAnsi="宋体" w:eastAsia="宋体" w:cs="宋体"/>
                <w:color w:val="auto"/>
                <w:sz w:val="24"/>
                <w:szCs w:val="24"/>
                <w:highlight w:val="none"/>
              </w:rPr>
            </w:pPr>
          </w:p>
        </w:tc>
        <w:tc>
          <w:tcPr>
            <w:tcW w:w="1687" w:type="dxa"/>
            <w:tcBorders>
              <w:top w:val="nil"/>
              <w:left w:val="nil"/>
              <w:bottom w:val="single" w:color="auto" w:sz="4" w:space="0"/>
              <w:right w:val="single" w:color="auto" w:sz="4" w:space="0"/>
            </w:tcBorders>
            <w:vAlign w:val="center"/>
          </w:tcPr>
          <w:p w14:paraId="751A942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2139" w:type="dxa"/>
            <w:tcBorders>
              <w:top w:val="nil"/>
              <w:left w:val="nil"/>
              <w:bottom w:val="single" w:color="auto" w:sz="4" w:space="0"/>
              <w:right w:val="single" w:color="auto" w:sz="4" w:space="0"/>
            </w:tcBorders>
            <w:vAlign w:val="center"/>
          </w:tcPr>
          <w:p w14:paraId="17B1CEFF">
            <w:pPr>
              <w:spacing w:line="360" w:lineRule="auto"/>
              <w:jc w:val="center"/>
              <w:rPr>
                <w:rFonts w:hint="eastAsia" w:ascii="宋体" w:hAnsi="宋体" w:eastAsia="宋体" w:cs="宋体"/>
                <w:color w:val="auto"/>
                <w:sz w:val="24"/>
                <w:szCs w:val="24"/>
                <w:highlight w:val="none"/>
              </w:rPr>
            </w:pPr>
          </w:p>
        </w:tc>
      </w:tr>
      <w:tr w14:paraId="07E6DB40">
        <w:tblPrEx>
          <w:tblCellMar>
            <w:top w:w="0" w:type="dxa"/>
            <w:left w:w="108" w:type="dxa"/>
            <w:bottom w:w="0" w:type="dxa"/>
            <w:right w:w="108" w:type="dxa"/>
          </w:tblCellMar>
        </w:tblPrEx>
        <w:trPr>
          <w:trHeight w:val="680" w:hRule="exact"/>
          <w:jc w:val="center"/>
        </w:trPr>
        <w:tc>
          <w:tcPr>
            <w:tcW w:w="1581" w:type="dxa"/>
            <w:tcBorders>
              <w:top w:val="nil"/>
              <w:left w:val="single" w:color="auto" w:sz="4" w:space="0"/>
              <w:bottom w:val="single" w:color="auto" w:sz="4" w:space="0"/>
              <w:right w:val="single" w:color="auto" w:sz="4" w:space="0"/>
            </w:tcBorders>
            <w:vAlign w:val="center"/>
          </w:tcPr>
          <w:p w14:paraId="1C7E6FE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523" w:type="dxa"/>
            <w:gridSpan w:val="4"/>
            <w:tcBorders>
              <w:top w:val="single" w:color="auto" w:sz="4" w:space="0"/>
              <w:left w:val="nil"/>
              <w:bottom w:val="single" w:color="auto" w:sz="4" w:space="0"/>
              <w:right w:val="single" w:color="000000" w:sz="4" w:space="0"/>
            </w:tcBorders>
            <w:vAlign w:val="center"/>
          </w:tcPr>
          <w:p w14:paraId="39979974">
            <w:pPr>
              <w:spacing w:line="360" w:lineRule="auto"/>
              <w:jc w:val="center"/>
              <w:rPr>
                <w:rFonts w:hint="eastAsia" w:ascii="宋体" w:hAnsi="宋体" w:eastAsia="宋体" w:cs="宋体"/>
                <w:color w:val="auto"/>
                <w:sz w:val="24"/>
                <w:szCs w:val="24"/>
                <w:highlight w:val="none"/>
              </w:rPr>
            </w:pPr>
          </w:p>
        </w:tc>
      </w:tr>
      <w:tr w14:paraId="17AB5449">
        <w:tblPrEx>
          <w:tblCellMar>
            <w:top w:w="0" w:type="dxa"/>
            <w:left w:w="108" w:type="dxa"/>
            <w:bottom w:w="0" w:type="dxa"/>
            <w:right w:w="108" w:type="dxa"/>
          </w:tblCellMar>
        </w:tblPrEx>
        <w:trPr>
          <w:trHeight w:val="680" w:hRule="exact"/>
          <w:jc w:val="center"/>
        </w:trPr>
        <w:tc>
          <w:tcPr>
            <w:tcW w:w="1581" w:type="dxa"/>
            <w:tcBorders>
              <w:top w:val="nil"/>
              <w:left w:val="single" w:color="auto" w:sz="4" w:space="0"/>
              <w:bottom w:val="single" w:color="auto" w:sz="4" w:space="0"/>
              <w:right w:val="single" w:color="auto" w:sz="4" w:space="0"/>
            </w:tcBorders>
            <w:vAlign w:val="center"/>
          </w:tcPr>
          <w:p w14:paraId="3E75CD2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523" w:type="dxa"/>
            <w:gridSpan w:val="4"/>
            <w:tcBorders>
              <w:top w:val="single" w:color="auto" w:sz="4" w:space="0"/>
              <w:left w:val="nil"/>
              <w:bottom w:val="single" w:color="auto" w:sz="4" w:space="0"/>
              <w:right w:val="single" w:color="000000" w:sz="4" w:space="0"/>
            </w:tcBorders>
            <w:vAlign w:val="center"/>
          </w:tcPr>
          <w:p w14:paraId="484B9BF8">
            <w:pPr>
              <w:spacing w:line="360" w:lineRule="auto"/>
              <w:jc w:val="center"/>
              <w:rPr>
                <w:rFonts w:hint="eastAsia" w:ascii="宋体" w:hAnsi="宋体" w:eastAsia="宋体" w:cs="宋体"/>
                <w:color w:val="auto"/>
                <w:sz w:val="24"/>
                <w:szCs w:val="24"/>
                <w:highlight w:val="none"/>
              </w:rPr>
            </w:pPr>
          </w:p>
        </w:tc>
      </w:tr>
      <w:bookmarkEnd w:id="139"/>
    </w:tbl>
    <w:p w14:paraId="228C1925">
      <w:pPr>
        <w:spacing w:line="360" w:lineRule="auto"/>
        <w:rPr>
          <w:rFonts w:hint="eastAsia" w:ascii="宋体" w:hAnsi="宋体" w:eastAsia="宋体" w:cs="宋体"/>
          <w:bCs/>
          <w:color w:val="auto"/>
          <w:sz w:val="24"/>
          <w:szCs w:val="24"/>
          <w:highlight w:val="none"/>
          <w:lang w:eastAsia="zh-CN"/>
        </w:rPr>
      </w:pPr>
    </w:p>
    <w:p w14:paraId="22CD2A2C">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备注：</w:t>
      </w:r>
      <w:r>
        <w:rPr>
          <w:rFonts w:hint="eastAsia" w:ascii="宋体" w:hAnsi="宋体" w:eastAsia="宋体" w:cs="宋体"/>
          <w:color w:val="auto"/>
          <w:sz w:val="24"/>
          <w:szCs w:val="24"/>
          <w:highlight w:val="none"/>
          <w:lang w:eastAsia="zh-CN"/>
        </w:rPr>
        <w:t>后附</w:t>
      </w:r>
      <w:r>
        <w:rPr>
          <w:rFonts w:hint="eastAsia" w:ascii="宋体" w:hAnsi="宋体" w:eastAsia="宋体" w:cs="宋体"/>
          <w:color w:val="auto"/>
          <w:sz w:val="24"/>
          <w:szCs w:val="24"/>
          <w:highlight w:val="none"/>
          <w:lang w:val="en-US" w:eastAsia="zh-CN"/>
        </w:rPr>
        <w:t>供应商相关资格证明材料</w:t>
      </w:r>
      <w:r>
        <w:rPr>
          <w:rFonts w:hint="eastAsia" w:ascii="宋体" w:hAnsi="宋体" w:eastAsia="宋体" w:cs="宋体"/>
          <w:color w:val="auto"/>
          <w:sz w:val="24"/>
          <w:szCs w:val="24"/>
          <w:highlight w:val="none"/>
          <w:lang w:eastAsia="zh-CN"/>
        </w:rPr>
        <w:t>。</w:t>
      </w:r>
    </w:p>
    <w:p w14:paraId="33D78F8F">
      <w:pPr>
        <w:pStyle w:val="13"/>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6FAB35EA">
      <w:pPr>
        <w:spacing w:line="560" w:lineRule="exact"/>
        <w:jc w:val="center"/>
        <w:outlineLvl w:val="1"/>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六、项目负责人</w:t>
      </w:r>
    </w:p>
    <w:p w14:paraId="16405177">
      <w:pPr>
        <w:pStyle w:val="13"/>
        <w:spacing w:line="360" w:lineRule="auto"/>
        <w:ind w:firstLine="0"/>
        <w:jc w:val="center"/>
        <w:rPr>
          <w:rFonts w:hint="eastAsia" w:ascii="宋体" w:hAnsi="宋体" w:cs="宋体"/>
          <w:color w:val="auto"/>
          <w:sz w:val="24"/>
          <w:szCs w:val="24"/>
          <w:highlight w:val="none"/>
        </w:rPr>
      </w:pPr>
      <w:r>
        <w:rPr>
          <w:rFonts w:hint="eastAsia" w:ascii="宋体" w:hAnsi="宋体" w:cs="宋体"/>
          <w:bCs/>
          <w:color w:val="auto"/>
          <w:sz w:val="24"/>
          <w:szCs w:val="24"/>
          <w:highlight w:val="none"/>
        </w:rPr>
        <w:t>项目负责人简介</w:t>
      </w:r>
    </w:p>
    <w:tbl>
      <w:tblPr>
        <w:tblStyle w:val="3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136"/>
        <w:gridCol w:w="1421"/>
        <w:gridCol w:w="1420"/>
        <w:gridCol w:w="1267"/>
        <w:gridCol w:w="2160"/>
      </w:tblGrid>
      <w:tr w14:paraId="540D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3C81F4A8">
            <w:pPr>
              <w:pStyle w:val="13"/>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1136" w:type="dxa"/>
            <w:vAlign w:val="center"/>
          </w:tcPr>
          <w:p w14:paraId="6093B43C">
            <w:pPr>
              <w:pStyle w:val="13"/>
              <w:spacing w:line="360" w:lineRule="auto"/>
              <w:ind w:firstLine="0"/>
              <w:rPr>
                <w:rFonts w:hint="eastAsia" w:ascii="宋体" w:hAnsi="宋体" w:cs="宋体"/>
                <w:color w:val="auto"/>
                <w:sz w:val="24"/>
                <w:szCs w:val="24"/>
                <w:highlight w:val="none"/>
              </w:rPr>
            </w:pPr>
          </w:p>
        </w:tc>
        <w:tc>
          <w:tcPr>
            <w:tcW w:w="1421" w:type="dxa"/>
            <w:vAlign w:val="center"/>
          </w:tcPr>
          <w:p w14:paraId="1D764E85">
            <w:pPr>
              <w:pStyle w:val="13"/>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性别</w:t>
            </w:r>
          </w:p>
        </w:tc>
        <w:tc>
          <w:tcPr>
            <w:tcW w:w="1420" w:type="dxa"/>
            <w:vAlign w:val="center"/>
          </w:tcPr>
          <w:p w14:paraId="5EAF0D4C">
            <w:pPr>
              <w:pStyle w:val="13"/>
              <w:spacing w:line="360" w:lineRule="auto"/>
              <w:ind w:firstLine="0"/>
              <w:rPr>
                <w:rFonts w:hint="eastAsia" w:ascii="宋体" w:hAnsi="宋体" w:cs="宋体"/>
                <w:color w:val="auto"/>
                <w:sz w:val="24"/>
                <w:szCs w:val="24"/>
                <w:highlight w:val="none"/>
              </w:rPr>
            </w:pPr>
          </w:p>
        </w:tc>
        <w:tc>
          <w:tcPr>
            <w:tcW w:w="1267" w:type="dxa"/>
            <w:vAlign w:val="center"/>
          </w:tcPr>
          <w:p w14:paraId="7C9DF34C">
            <w:pPr>
              <w:pStyle w:val="13"/>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年龄</w:t>
            </w:r>
          </w:p>
        </w:tc>
        <w:tc>
          <w:tcPr>
            <w:tcW w:w="2160" w:type="dxa"/>
            <w:vAlign w:val="center"/>
          </w:tcPr>
          <w:p w14:paraId="528BB0E1">
            <w:pPr>
              <w:pStyle w:val="13"/>
              <w:spacing w:line="360" w:lineRule="auto"/>
              <w:ind w:firstLine="0"/>
              <w:rPr>
                <w:rFonts w:hint="eastAsia" w:ascii="宋体" w:hAnsi="宋体" w:cs="宋体"/>
                <w:color w:val="auto"/>
                <w:sz w:val="24"/>
                <w:szCs w:val="24"/>
                <w:highlight w:val="none"/>
              </w:rPr>
            </w:pPr>
          </w:p>
        </w:tc>
      </w:tr>
      <w:tr w14:paraId="77B5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2810BB55">
            <w:pPr>
              <w:pStyle w:val="13"/>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职务</w:t>
            </w:r>
          </w:p>
        </w:tc>
        <w:tc>
          <w:tcPr>
            <w:tcW w:w="1136" w:type="dxa"/>
            <w:vAlign w:val="center"/>
          </w:tcPr>
          <w:p w14:paraId="24EF7217">
            <w:pPr>
              <w:pStyle w:val="13"/>
              <w:spacing w:line="360" w:lineRule="auto"/>
              <w:ind w:firstLine="0"/>
              <w:rPr>
                <w:rFonts w:hint="eastAsia" w:ascii="宋体" w:hAnsi="宋体" w:cs="宋体"/>
                <w:color w:val="auto"/>
                <w:sz w:val="24"/>
                <w:szCs w:val="24"/>
                <w:highlight w:val="none"/>
              </w:rPr>
            </w:pPr>
          </w:p>
        </w:tc>
        <w:tc>
          <w:tcPr>
            <w:tcW w:w="1421" w:type="dxa"/>
            <w:vAlign w:val="center"/>
          </w:tcPr>
          <w:p w14:paraId="10F89767">
            <w:pPr>
              <w:pStyle w:val="13"/>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职称</w:t>
            </w:r>
          </w:p>
        </w:tc>
        <w:tc>
          <w:tcPr>
            <w:tcW w:w="1420" w:type="dxa"/>
            <w:vAlign w:val="center"/>
          </w:tcPr>
          <w:p w14:paraId="2BD502FE">
            <w:pPr>
              <w:pStyle w:val="13"/>
              <w:spacing w:line="360" w:lineRule="auto"/>
              <w:ind w:firstLine="0"/>
              <w:rPr>
                <w:rFonts w:hint="eastAsia" w:ascii="宋体" w:hAnsi="宋体" w:cs="宋体"/>
                <w:color w:val="auto"/>
                <w:sz w:val="24"/>
                <w:szCs w:val="24"/>
                <w:highlight w:val="none"/>
              </w:rPr>
            </w:pPr>
          </w:p>
        </w:tc>
        <w:tc>
          <w:tcPr>
            <w:tcW w:w="1267" w:type="dxa"/>
            <w:vAlign w:val="center"/>
          </w:tcPr>
          <w:p w14:paraId="25E08312">
            <w:pPr>
              <w:pStyle w:val="13"/>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学历</w:t>
            </w:r>
          </w:p>
        </w:tc>
        <w:tc>
          <w:tcPr>
            <w:tcW w:w="2160" w:type="dxa"/>
            <w:vAlign w:val="center"/>
          </w:tcPr>
          <w:p w14:paraId="3111173E">
            <w:pPr>
              <w:pStyle w:val="13"/>
              <w:spacing w:line="360" w:lineRule="auto"/>
              <w:ind w:firstLine="0"/>
              <w:rPr>
                <w:rFonts w:hint="eastAsia" w:ascii="宋体" w:hAnsi="宋体" w:cs="宋体"/>
                <w:color w:val="auto"/>
                <w:sz w:val="24"/>
                <w:szCs w:val="24"/>
                <w:highlight w:val="none"/>
              </w:rPr>
            </w:pPr>
          </w:p>
        </w:tc>
      </w:tr>
      <w:tr w14:paraId="30CE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0537EEC0">
            <w:pPr>
              <w:pStyle w:val="13"/>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57" w:type="dxa"/>
            <w:gridSpan w:val="2"/>
            <w:vAlign w:val="center"/>
          </w:tcPr>
          <w:p w14:paraId="4DCEF3B9">
            <w:pPr>
              <w:pStyle w:val="13"/>
              <w:spacing w:line="360" w:lineRule="auto"/>
              <w:ind w:firstLine="0"/>
              <w:rPr>
                <w:rFonts w:hint="eastAsia" w:ascii="宋体" w:hAnsi="宋体" w:cs="宋体"/>
                <w:color w:val="auto"/>
                <w:sz w:val="24"/>
                <w:szCs w:val="24"/>
                <w:highlight w:val="none"/>
              </w:rPr>
            </w:pPr>
          </w:p>
        </w:tc>
        <w:tc>
          <w:tcPr>
            <w:tcW w:w="2687" w:type="dxa"/>
            <w:gridSpan w:val="2"/>
            <w:vAlign w:val="center"/>
          </w:tcPr>
          <w:p w14:paraId="1768CDFC">
            <w:pPr>
              <w:pStyle w:val="13"/>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p>
        </w:tc>
        <w:tc>
          <w:tcPr>
            <w:tcW w:w="2160" w:type="dxa"/>
            <w:vAlign w:val="center"/>
          </w:tcPr>
          <w:p w14:paraId="2AB304DB">
            <w:pPr>
              <w:pStyle w:val="13"/>
              <w:spacing w:line="360" w:lineRule="auto"/>
              <w:ind w:firstLine="0"/>
              <w:rPr>
                <w:rFonts w:hint="eastAsia" w:ascii="宋体" w:hAnsi="宋体" w:cs="宋体"/>
                <w:color w:val="auto"/>
                <w:sz w:val="24"/>
                <w:szCs w:val="24"/>
                <w:highlight w:val="none"/>
              </w:rPr>
            </w:pPr>
          </w:p>
        </w:tc>
      </w:tr>
      <w:tr w14:paraId="5DF8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6A786D30">
            <w:pPr>
              <w:pStyle w:val="13"/>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参加工作时间</w:t>
            </w:r>
          </w:p>
        </w:tc>
        <w:tc>
          <w:tcPr>
            <w:tcW w:w="2557" w:type="dxa"/>
            <w:gridSpan w:val="2"/>
            <w:vAlign w:val="center"/>
          </w:tcPr>
          <w:p w14:paraId="2901B417">
            <w:pPr>
              <w:pStyle w:val="13"/>
              <w:spacing w:line="360" w:lineRule="auto"/>
              <w:ind w:firstLine="0"/>
              <w:rPr>
                <w:rFonts w:hint="eastAsia" w:ascii="宋体" w:hAnsi="宋体" w:cs="宋体"/>
                <w:color w:val="auto"/>
                <w:sz w:val="24"/>
                <w:szCs w:val="24"/>
                <w:highlight w:val="none"/>
              </w:rPr>
            </w:pPr>
          </w:p>
        </w:tc>
        <w:tc>
          <w:tcPr>
            <w:tcW w:w="2687" w:type="dxa"/>
            <w:gridSpan w:val="2"/>
            <w:vAlign w:val="center"/>
          </w:tcPr>
          <w:p w14:paraId="41668E2D">
            <w:pPr>
              <w:pStyle w:val="13"/>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从事项目管理工作年限</w:t>
            </w:r>
          </w:p>
        </w:tc>
        <w:tc>
          <w:tcPr>
            <w:tcW w:w="2160" w:type="dxa"/>
            <w:vAlign w:val="center"/>
          </w:tcPr>
          <w:p w14:paraId="16693A8D">
            <w:pPr>
              <w:pStyle w:val="13"/>
              <w:spacing w:line="360" w:lineRule="auto"/>
              <w:ind w:firstLine="0"/>
              <w:rPr>
                <w:rFonts w:hint="eastAsia" w:ascii="宋体" w:hAnsi="宋体" w:cs="宋体"/>
                <w:color w:val="auto"/>
                <w:sz w:val="24"/>
                <w:szCs w:val="24"/>
                <w:highlight w:val="none"/>
              </w:rPr>
            </w:pPr>
          </w:p>
        </w:tc>
      </w:tr>
      <w:tr w14:paraId="6173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0EB58086">
            <w:pPr>
              <w:pStyle w:val="13"/>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相关证书</w:t>
            </w:r>
          </w:p>
        </w:tc>
        <w:tc>
          <w:tcPr>
            <w:tcW w:w="7404" w:type="dxa"/>
            <w:gridSpan w:val="5"/>
            <w:vAlign w:val="center"/>
          </w:tcPr>
          <w:p w14:paraId="641053FE">
            <w:pPr>
              <w:pStyle w:val="13"/>
              <w:spacing w:line="360" w:lineRule="auto"/>
              <w:ind w:firstLine="0"/>
              <w:rPr>
                <w:rFonts w:hint="eastAsia" w:ascii="宋体" w:hAnsi="宋体" w:cs="宋体"/>
                <w:color w:val="auto"/>
                <w:sz w:val="24"/>
                <w:szCs w:val="24"/>
                <w:highlight w:val="none"/>
              </w:rPr>
            </w:pPr>
          </w:p>
        </w:tc>
      </w:tr>
    </w:tbl>
    <w:p w14:paraId="0B878A98">
      <w:pPr>
        <w:pStyle w:val="13"/>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注：后附项目负责人相关资料证明。</w:t>
      </w:r>
      <w:bookmarkStart w:id="140" w:name="_Toc22492"/>
    </w:p>
    <w:p w14:paraId="5E397969">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65815C67">
      <w:pPr>
        <w:pStyle w:val="14"/>
        <w:rPr>
          <w:rFonts w:hint="eastAsia"/>
          <w:color w:val="auto"/>
          <w:highlight w:val="none"/>
          <w:lang w:val="en-US" w:eastAsia="zh-CN"/>
        </w:rPr>
      </w:pPr>
    </w:p>
    <w:p w14:paraId="5DF38896">
      <w:pPr>
        <w:spacing w:line="560" w:lineRule="exact"/>
        <w:jc w:val="center"/>
        <w:outlineLvl w:val="1"/>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2"/>
          <w:sz w:val="24"/>
          <w:szCs w:val="24"/>
          <w:highlight w:val="none"/>
          <w:lang w:eastAsia="zh-CN"/>
        </w:rPr>
        <w:t>七、</w:t>
      </w:r>
      <w:r>
        <w:rPr>
          <w:rFonts w:hint="eastAsia" w:ascii="宋体" w:hAnsi="宋体" w:eastAsia="宋体" w:cs="宋体"/>
          <w:b/>
          <w:bCs/>
          <w:color w:val="auto"/>
          <w:sz w:val="24"/>
          <w:szCs w:val="24"/>
          <w:highlight w:val="none"/>
          <w:lang w:eastAsia="zh-CN"/>
        </w:rPr>
        <w:t>拟配备人员情况</w:t>
      </w:r>
      <w:bookmarkEnd w:id="140"/>
    </w:p>
    <w:p w14:paraId="62CBBB5B">
      <w:pPr>
        <w:pStyle w:val="6"/>
        <w:ind w:firstLine="2880" w:firstLineChars="1200"/>
        <w:rPr>
          <w:rFonts w:hint="eastAsia" w:ascii="宋体" w:hAnsi="宋体" w:cs="宋体"/>
          <w:color w:val="auto"/>
          <w:sz w:val="24"/>
          <w:highlight w:val="none"/>
        </w:rPr>
      </w:pPr>
    </w:p>
    <w:p w14:paraId="3CDF7C3C">
      <w:pPr>
        <w:pStyle w:val="6"/>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拟配备人员统计表</w:t>
      </w:r>
    </w:p>
    <w:tbl>
      <w:tblPr>
        <w:tblStyle w:val="36"/>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912"/>
        <w:gridCol w:w="915"/>
        <w:gridCol w:w="993"/>
        <w:gridCol w:w="1327"/>
        <w:gridCol w:w="701"/>
        <w:gridCol w:w="838"/>
        <w:gridCol w:w="955"/>
        <w:gridCol w:w="996"/>
      </w:tblGrid>
      <w:tr w14:paraId="0581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1220" w:type="dxa"/>
            <w:vMerge w:val="restart"/>
            <w:vAlign w:val="center"/>
          </w:tcPr>
          <w:p w14:paraId="64ADCC0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12" w:type="dxa"/>
            <w:vMerge w:val="restart"/>
            <w:vAlign w:val="center"/>
          </w:tcPr>
          <w:p w14:paraId="7A793E9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15" w:type="dxa"/>
            <w:vMerge w:val="restart"/>
            <w:vAlign w:val="center"/>
          </w:tcPr>
          <w:p w14:paraId="1864534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993" w:type="dxa"/>
            <w:vMerge w:val="restart"/>
            <w:vAlign w:val="center"/>
          </w:tcPr>
          <w:p w14:paraId="5BDC561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职称或职务</w:t>
            </w:r>
          </w:p>
        </w:tc>
        <w:tc>
          <w:tcPr>
            <w:tcW w:w="1327" w:type="dxa"/>
            <w:vMerge w:val="restart"/>
            <w:vAlign w:val="center"/>
          </w:tcPr>
          <w:p w14:paraId="2EDE7A48">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拟担任本项目职务/岗位</w:t>
            </w:r>
          </w:p>
        </w:tc>
        <w:tc>
          <w:tcPr>
            <w:tcW w:w="3490" w:type="dxa"/>
            <w:gridSpan w:val="4"/>
            <w:vAlign w:val="center"/>
          </w:tcPr>
          <w:p w14:paraId="2805E72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资格证明</w:t>
            </w:r>
          </w:p>
        </w:tc>
      </w:tr>
      <w:tr w14:paraId="273D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1220" w:type="dxa"/>
            <w:vMerge w:val="continue"/>
            <w:vAlign w:val="center"/>
          </w:tcPr>
          <w:p w14:paraId="62EB0EBC">
            <w:pPr>
              <w:spacing w:line="360" w:lineRule="auto"/>
              <w:jc w:val="center"/>
              <w:rPr>
                <w:rFonts w:hint="eastAsia" w:ascii="宋体" w:hAnsi="宋体" w:eastAsia="宋体" w:cs="宋体"/>
                <w:color w:val="auto"/>
                <w:sz w:val="24"/>
                <w:szCs w:val="24"/>
                <w:highlight w:val="none"/>
              </w:rPr>
            </w:pPr>
          </w:p>
        </w:tc>
        <w:tc>
          <w:tcPr>
            <w:tcW w:w="912" w:type="dxa"/>
            <w:vMerge w:val="continue"/>
            <w:vAlign w:val="center"/>
          </w:tcPr>
          <w:p w14:paraId="6EA1396E">
            <w:pPr>
              <w:spacing w:line="360" w:lineRule="auto"/>
              <w:jc w:val="center"/>
              <w:rPr>
                <w:rFonts w:hint="eastAsia" w:ascii="宋体" w:hAnsi="宋体" w:eastAsia="宋体" w:cs="宋体"/>
                <w:color w:val="auto"/>
                <w:sz w:val="24"/>
                <w:szCs w:val="24"/>
                <w:highlight w:val="none"/>
              </w:rPr>
            </w:pPr>
          </w:p>
        </w:tc>
        <w:tc>
          <w:tcPr>
            <w:tcW w:w="915" w:type="dxa"/>
            <w:vMerge w:val="continue"/>
            <w:vAlign w:val="center"/>
          </w:tcPr>
          <w:p w14:paraId="3A2529D2">
            <w:pPr>
              <w:spacing w:line="360" w:lineRule="auto"/>
              <w:jc w:val="center"/>
              <w:rPr>
                <w:rFonts w:hint="eastAsia" w:ascii="宋体" w:hAnsi="宋体" w:eastAsia="宋体" w:cs="宋体"/>
                <w:color w:val="auto"/>
                <w:sz w:val="24"/>
                <w:szCs w:val="24"/>
                <w:highlight w:val="none"/>
              </w:rPr>
            </w:pPr>
          </w:p>
        </w:tc>
        <w:tc>
          <w:tcPr>
            <w:tcW w:w="993" w:type="dxa"/>
            <w:vMerge w:val="continue"/>
            <w:vAlign w:val="center"/>
          </w:tcPr>
          <w:p w14:paraId="3EC236AE">
            <w:pPr>
              <w:spacing w:line="360" w:lineRule="auto"/>
              <w:jc w:val="center"/>
              <w:rPr>
                <w:rFonts w:hint="eastAsia" w:ascii="宋体" w:hAnsi="宋体" w:eastAsia="宋体" w:cs="宋体"/>
                <w:color w:val="auto"/>
                <w:sz w:val="24"/>
                <w:szCs w:val="24"/>
                <w:highlight w:val="none"/>
              </w:rPr>
            </w:pPr>
          </w:p>
        </w:tc>
        <w:tc>
          <w:tcPr>
            <w:tcW w:w="1327" w:type="dxa"/>
            <w:vMerge w:val="continue"/>
            <w:vAlign w:val="center"/>
          </w:tcPr>
          <w:p w14:paraId="3BB87F70">
            <w:pPr>
              <w:spacing w:line="360" w:lineRule="auto"/>
              <w:jc w:val="center"/>
              <w:rPr>
                <w:rFonts w:hint="eastAsia" w:ascii="宋体" w:hAnsi="宋体" w:eastAsia="宋体" w:cs="宋体"/>
                <w:color w:val="auto"/>
                <w:sz w:val="24"/>
                <w:szCs w:val="24"/>
                <w:highlight w:val="none"/>
              </w:rPr>
            </w:pPr>
          </w:p>
        </w:tc>
        <w:tc>
          <w:tcPr>
            <w:tcW w:w="701" w:type="dxa"/>
            <w:vAlign w:val="center"/>
          </w:tcPr>
          <w:p w14:paraId="2FFDB77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838" w:type="dxa"/>
            <w:vAlign w:val="center"/>
          </w:tcPr>
          <w:p w14:paraId="3373360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955" w:type="dxa"/>
            <w:vAlign w:val="center"/>
          </w:tcPr>
          <w:p w14:paraId="65EC8B6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证书号</w:t>
            </w:r>
          </w:p>
        </w:tc>
        <w:tc>
          <w:tcPr>
            <w:tcW w:w="996" w:type="dxa"/>
            <w:vAlign w:val="center"/>
          </w:tcPr>
          <w:p w14:paraId="3EADA91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r>
      <w:tr w14:paraId="400D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jc w:val="center"/>
        </w:trPr>
        <w:tc>
          <w:tcPr>
            <w:tcW w:w="1220" w:type="dxa"/>
          </w:tcPr>
          <w:p w14:paraId="0603D49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12" w:type="dxa"/>
          </w:tcPr>
          <w:p w14:paraId="5BFEE564">
            <w:pPr>
              <w:spacing w:line="360" w:lineRule="auto"/>
              <w:jc w:val="center"/>
              <w:rPr>
                <w:rFonts w:hint="eastAsia" w:ascii="宋体" w:hAnsi="宋体" w:eastAsia="宋体" w:cs="宋体"/>
                <w:color w:val="auto"/>
                <w:sz w:val="24"/>
                <w:szCs w:val="24"/>
                <w:highlight w:val="none"/>
              </w:rPr>
            </w:pPr>
          </w:p>
        </w:tc>
        <w:tc>
          <w:tcPr>
            <w:tcW w:w="915" w:type="dxa"/>
          </w:tcPr>
          <w:p w14:paraId="5CB30CEF">
            <w:pPr>
              <w:spacing w:line="360" w:lineRule="auto"/>
              <w:jc w:val="center"/>
              <w:rPr>
                <w:rFonts w:hint="eastAsia" w:ascii="宋体" w:hAnsi="宋体" w:eastAsia="宋体" w:cs="宋体"/>
                <w:color w:val="auto"/>
                <w:sz w:val="24"/>
                <w:szCs w:val="24"/>
                <w:highlight w:val="none"/>
              </w:rPr>
            </w:pPr>
          </w:p>
        </w:tc>
        <w:tc>
          <w:tcPr>
            <w:tcW w:w="993" w:type="dxa"/>
          </w:tcPr>
          <w:p w14:paraId="5C042455">
            <w:pPr>
              <w:spacing w:line="360" w:lineRule="auto"/>
              <w:jc w:val="center"/>
              <w:rPr>
                <w:rFonts w:hint="eastAsia" w:ascii="宋体" w:hAnsi="宋体" w:eastAsia="宋体" w:cs="宋体"/>
                <w:color w:val="auto"/>
                <w:sz w:val="24"/>
                <w:szCs w:val="24"/>
                <w:highlight w:val="none"/>
              </w:rPr>
            </w:pPr>
          </w:p>
        </w:tc>
        <w:tc>
          <w:tcPr>
            <w:tcW w:w="1327" w:type="dxa"/>
          </w:tcPr>
          <w:p w14:paraId="25F2C638">
            <w:pPr>
              <w:spacing w:line="360" w:lineRule="auto"/>
              <w:jc w:val="center"/>
              <w:rPr>
                <w:rFonts w:hint="eastAsia" w:ascii="宋体" w:hAnsi="宋体" w:eastAsia="宋体" w:cs="宋体"/>
                <w:color w:val="auto"/>
                <w:sz w:val="24"/>
                <w:szCs w:val="24"/>
                <w:highlight w:val="none"/>
              </w:rPr>
            </w:pPr>
          </w:p>
        </w:tc>
        <w:tc>
          <w:tcPr>
            <w:tcW w:w="701" w:type="dxa"/>
          </w:tcPr>
          <w:p w14:paraId="6DAB170D">
            <w:pPr>
              <w:spacing w:line="360" w:lineRule="auto"/>
              <w:jc w:val="center"/>
              <w:rPr>
                <w:rFonts w:hint="eastAsia" w:ascii="宋体" w:hAnsi="宋体" w:eastAsia="宋体" w:cs="宋体"/>
                <w:color w:val="auto"/>
                <w:sz w:val="24"/>
                <w:szCs w:val="24"/>
                <w:highlight w:val="none"/>
              </w:rPr>
            </w:pPr>
          </w:p>
        </w:tc>
        <w:tc>
          <w:tcPr>
            <w:tcW w:w="838" w:type="dxa"/>
          </w:tcPr>
          <w:p w14:paraId="57A03D37">
            <w:pPr>
              <w:spacing w:line="360" w:lineRule="auto"/>
              <w:jc w:val="center"/>
              <w:rPr>
                <w:rFonts w:hint="eastAsia" w:ascii="宋体" w:hAnsi="宋体" w:eastAsia="宋体" w:cs="宋体"/>
                <w:color w:val="auto"/>
                <w:sz w:val="24"/>
                <w:szCs w:val="24"/>
                <w:highlight w:val="none"/>
              </w:rPr>
            </w:pPr>
          </w:p>
        </w:tc>
        <w:tc>
          <w:tcPr>
            <w:tcW w:w="955" w:type="dxa"/>
          </w:tcPr>
          <w:p w14:paraId="39594B9C">
            <w:pPr>
              <w:spacing w:line="360" w:lineRule="auto"/>
              <w:jc w:val="center"/>
              <w:rPr>
                <w:rFonts w:hint="eastAsia" w:ascii="宋体" w:hAnsi="宋体" w:eastAsia="宋体" w:cs="宋体"/>
                <w:color w:val="auto"/>
                <w:sz w:val="24"/>
                <w:szCs w:val="24"/>
                <w:highlight w:val="none"/>
              </w:rPr>
            </w:pPr>
          </w:p>
        </w:tc>
        <w:tc>
          <w:tcPr>
            <w:tcW w:w="996" w:type="dxa"/>
          </w:tcPr>
          <w:p w14:paraId="31B67757">
            <w:pPr>
              <w:spacing w:line="360" w:lineRule="auto"/>
              <w:jc w:val="center"/>
              <w:rPr>
                <w:rFonts w:hint="eastAsia" w:ascii="宋体" w:hAnsi="宋体" w:eastAsia="宋体" w:cs="宋体"/>
                <w:color w:val="auto"/>
                <w:sz w:val="24"/>
                <w:szCs w:val="24"/>
                <w:highlight w:val="none"/>
              </w:rPr>
            </w:pPr>
          </w:p>
        </w:tc>
      </w:tr>
      <w:tr w14:paraId="58D0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jc w:val="center"/>
        </w:trPr>
        <w:tc>
          <w:tcPr>
            <w:tcW w:w="1220" w:type="dxa"/>
          </w:tcPr>
          <w:p w14:paraId="4F92ACE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12" w:type="dxa"/>
          </w:tcPr>
          <w:p w14:paraId="48FFDD47">
            <w:pPr>
              <w:spacing w:line="360" w:lineRule="auto"/>
              <w:jc w:val="center"/>
              <w:rPr>
                <w:rFonts w:hint="eastAsia" w:ascii="宋体" w:hAnsi="宋体" w:eastAsia="宋体" w:cs="宋体"/>
                <w:color w:val="auto"/>
                <w:sz w:val="24"/>
                <w:szCs w:val="24"/>
                <w:highlight w:val="none"/>
              </w:rPr>
            </w:pPr>
          </w:p>
        </w:tc>
        <w:tc>
          <w:tcPr>
            <w:tcW w:w="915" w:type="dxa"/>
          </w:tcPr>
          <w:p w14:paraId="1AD8D1F3">
            <w:pPr>
              <w:spacing w:line="360" w:lineRule="auto"/>
              <w:jc w:val="center"/>
              <w:rPr>
                <w:rFonts w:hint="eastAsia" w:ascii="宋体" w:hAnsi="宋体" w:eastAsia="宋体" w:cs="宋体"/>
                <w:color w:val="auto"/>
                <w:sz w:val="24"/>
                <w:szCs w:val="24"/>
                <w:highlight w:val="none"/>
              </w:rPr>
            </w:pPr>
          </w:p>
        </w:tc>
        <w:tc>
          <w:tcPr>
            <w:tcW w:w="993" w:type="dxa"/>
          </w:tcPr>
          <w:p w14:paraId="0AFB1300">
            <w:pPr>
              <w:spacing w:line="360" w:lineRule="auto"/>
              <w:jc w:val="center"/>
              <w:rPr>
                <w:rFonts w:hint="eastAsia" w:ascii="宋体" w:hAnsi="宋体" w:eastAsia="宋体" w:cs="宋体"/>
                <w:color w:val="auto"/>
                <w:sz w:val="24"/>
                <w:szCs w:val="24"/>
                <w:highlight w:val="none"/>
              </w:rPr>
            </w:pPr>
          </w:p>
        </w:tc>
        <w:tc>
          <w:tcPr>
            <w:tcW w:w="1327" w:type="dxa"/>
          </w:tcPr>
          <w:p w14:paraId="5D14918F">
            <w:pPr>
              <w:spacing w:line="360" w:lineRule="auto"/>
              <w:jc w:val="center"/>
              <w:rPr>
                <w:rFonts w:hint="eastAsia" w:ascii="宋体" w:hAnsi="宋体" w:eastAsia="宋体" w:cs="宋体"/>
                <w:color w:val="auto"/>
                <w:sz w:val="24"/>
                <w:szCs w:val="24"/>
                <w:highlight w:val="none"/>
              </w:rPr>
            </w:pPr>
          </w:p>
        </w:tc>
        <w:tc>
          <w:tcPr>
            <w:tcW w:w="701" w:type="dxa"/>
          </w:tcPr>
          <w:p w14:paraId="7920FB61">
            <w:pPr>
              <w:spacing w:line="360" w:lineRule="auto"/>
              <w:jc w:val="center"/>
              <w:rPr>
                <w:rFonts w:hint="eastAsia" w:ascii="宋体" w:hAnsi="宋体" w:eastAsia="宋体" w:cs="宋体"/>
                <w:color w:val="auto"/>
                <w:sz w:val="24"/>
                <w:szCs w:val="24"/>
                <w:highlight w:val="none"/>
              </w:rPr>
            </w:pPr>
          </w:p>
        </w:tc>
        <w:tc>
          <w:tcPr>
            <w:tcW w:w="838" w:type="dxa"/>
          </w:tcPr>
          <w:p w14:paraId="0158AFAE">
            <w:pPr>
              <w:spacing w:line="360" w:lineRule="auto"/>
              <w:jc w:val="center"/>
              <w:rPr>
                <w:rFonts w:hint="eastAsia" w:ascii="宋体" w:hAnsi="宋体" w:eastAsia="宋体" w:cs="宋体"/>
                <w:color w:val="auto"/>
                <w:sz w:val="24"/>
                <w:szCs w:val="24"/>
                <w:highlight w:val="none"/>
              </w:rPr>
            </w:pPr>
          </w:p>
        </w:tc>
        <w:tc>
          <w:tcPr>
            <w:tcW w:w="955" w:type="dxa"/>
          </w:tcPr>
          <w:p w14:paraId="42584801">
            <w:pPr>
              <w:spacing w:line="360" w:lineRule="auto"/>
              <w:jc w:val="center"/>
              <w:rPr>
                <w:rFonts w:hint="eastAsia" w:ascii="宋体" w:hAnsi="宋体" w:eastAsia="宋体" w:cs="宋体"/>
                <w:color w:val="auto"/>
                <w:sz w:val="24"/>
                <w:szCs w:val="24"/>
                <w:highlight w:val="none"/>
              </w:rPr>
            </w:pPr>
          </w:p>
        </w:tc>
        <w:tc>
          <w:tcPr>
            <w:tcW w:w="996" w:type="dxa"/>
          </w:tcPr>
          <w:p w14:paraId="4FCF2521">
            <w:pPr>
              <w:spacing w:line="360" w:lineRule="auto"/>
              <w:jc w:val="center"/>
              <w:rPr>
                <w:rFonts w:hint="eastAsia" w:ascii="宋体" w:hAnsi="宋体" w:eastAsia="宋体" w:cs="宋体"/>
                <w:color w:val="auto"/>
                <w:sz w:val="24"/>
                <w:szCs w:val="24"/>
                <w:highlight w:val="none"/>
              </w:rPr>
            </w:pPr>
          </w:p>
        </w:tc>
      </w:tr>
      <w:tr w14:paraId="3040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jc w:val="center"/>
        </w:trPr>
        <w:tc>
          <w:tcPr>
            <w:tcW w:w="1220" w:type="dxa"/>
          </w:tcPr>
          <w:p w14:paraId="4B66586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12" w:type="dxa"/>
          </w:tcPr>
          <w:p w14:paraId="305A1593">
            <w:pPr>
              <w:spacing w:line="360" w:lineRule="auto"/>
              <w:jc w:val="center"/>
              <w:rPr>
                <w:rFonts w:hint="eastAsia" w:ascii="宋体" w:hAnsi="宋体" w:eastAsia="宋体" w:cs="宋体"/>
                <w:color w:val="auto"/>
                <w:sz w:val="24"/>
                <w:szCs w:val="24"/>
                <w:highlight w:val="none"/>
              </w:rPr>
            </w:pPr>
          </w:p>
        </w:tc>
        <w:tc>
          <w:tcPr>
            <w:tcW w:w="915" w:type="dxa"/>
          </w:tcPr>
          <w:p w14:paraId="0AFA7E0D">
            <w:pPr>
              <w:spacing w:line="360" w:lineRule="auto"/>
              <w:jc w:val="center"/>
              <w:rPr>
                <w:rFonts w:hint="eastAsia" w:ascii="宋体" w:hAnsi="宋体" w:eastAsia="宋体" w:cs="宋体"/>
                <w:color w:val="auto"/>
                <w:sz w:val="24"/>
                <w:szCs w:val="24"/>
                <w:highlight w:val="none"/>
              </w:rPr>
            </w:pPr>
          </w:p>
        </w:tc>
        <w:tc>
          <w:tcPr>
            <w:tcW w:w="993" w:type="dxa"/>
          </w:tcPr>
          <w:p w14:paraId="46C25D70">
            <w:pPr>
              <w:spacing w:line="360" w:lineRule="auto"/>
              <w:jc w:val="center"/>
              <w:rPr>
                <w:rFonts w:hint="eastAsia" w:ascii="宋体" w:hAnsi="宋体" w:eastAsia="宋体" w:cs="宋体"/>
                <w:color w:val="auto"/>
                <w:sz w:val="24"/>
                <w:szCs w:val="24"/>
                <w:highlight w:val="none"/>
              </w:rPr>
            </w:pPr>
          </w:p>
        </w:tc>
        <w:tc>
          <w:tcPr>
            <w:tcW w:w="1327" w:type="dxa"/>
          </w:tcPr>
          <w:p w14:paraId="29876BAE">
            <w:pPr>
              <w:spacing w:line="360" w:lineRule="auto"/>
              <w:jc w:val="center"/>
              <w:rPr>
                <w:rFonts w:hint="eastAsia" w:ascii="宋体" w:hAnsi="宋体" w:eastAsia="宋体" w:cs="宋体"/>
                <w:color w:val="auto"/>
                <w:sz w:val="24"/>
                <w:szCs w:val="24"/>
                <w:highlight w:val="none"/>
              </w:rPr>
            </w:pPr>
          </w:p>
        </w:tc>
        <w:tc>
          <w:tcPr>
            <w:tcW w:w="701" w:type="dxa"/>
          </w:tcPr>
          <w:p w14:paraId="4B3AAB75">
            <w:pPr>
              <w:spacing w:line="360" w:lineRule="auto"/>
              <w:jc w:val="center"/>
              <w:rPr>
                <w:rFonts w:hint="eastAsia" w:ascii="宋体" w:hAnsi="宋体" w:eastAsia="宋体" w:cs="宋体"/>
                <w:color w:val="auto"/>
                <w:sz w:val="24"/>
                <w:szCs w:val="24"/>
                <w:highlight w:val="none"/>
              </w:rPr>
            </w:pPr>
          </w:p>
        </w:tc>
        <w:tc>
          <w:tcPr>
            <w:tcW w:w="838" w:type="dxa"/>
          </w:tcPr>
          <w:p w14:paraId="24D078A7">
            <w:pPr>
              <w:spacing w:line="360" w:lineRule="auto"/>
              <w:jc w:val="center"/>
              <w:rPr>
                <w:rFonts w:hint="eastAsia" w:ascii="宋体" w:hAnsi="宋体" w:eastAsia="宋体" w:cs="宋体"/>
                <w:color w:val="auto"/>
                <w:sz w:val="24"/>
                <w:szCs w:val="24"/>
                <w:highlight w:val="none"/>
              </w:rPr>
            </w:pPr>
          </w:p>
        </w:tc>
        <w:tc>
          <w:tcPr>
            <w:tcW w:w="955" w:type="dxa"/>
          </w:tcPr>
          <w:p w14:paraId="6CB16DA4">
            <w:pPr>
              <w:spacing w:line="360" w:lineRule="auto"/>
              <w:jc w:val="center"/>
              <w:rPr>
                <w:rFonts w:hint="eastAsia" w:ascii="宋体" w:hAnsi="宋体" w:eastAsia="宋体" w:cs="宋体"/>
                <w:color w:val="auto"/>
                <w:sz w:val="24"/>
                <w:szCs w:val="24"/>
                <w:highlight w:val="none"/>
              </w:rPr>
            </w:pPr>
          </w:p>
        </w:tc>
        <w:tc>
          <w:tcPr>
            <w:tcW w:w="996" w:type="dxa"/>
          </w:tcPr>
          <w:p w14:paraId="6DC817A6">
            <w:pPr>
              <w:spacing w:line="360" w:lineRule="auto"/>
              <w:jc w:val="center"/>
              <w:rPr>
                <w:rFonts w:hint="eastAsia" w:ascii="宋体" w:hAnsi="宋体" w:eastAsia="宋体" w:cs="宋体"/>
                <w:color w:val="auto"/>
                <w:sz w:val="24"/>
                <w:szCs w:val="24"/>
                <w:highlight w:val="none"/>
              </w:rPr>
            </w:pPr>
          </w:p>
        </w:tc>
      </w:tr>
      <w:tr w14:paraId="7795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exact"/>
          <w:jc w:val="center"/>
        </w:trPr>
        <w:tc>
          <w:tcPr>
            <w:tcW w:w="1220" w:type="dxa"/>
          </w:tcPr>
          <w:p w14:paraId="28B998A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12" w:type="dxa"/>
          </w:tcPr>
          <w:p w14:paraId="73234C16">
            <w:pPr>
              <w:spacing w:line="360" w:lineRule="auto"/>
              <w:jc w:val="center"/>
              <w:rPr>
                <w:rFonts w:hint="eastAsia" w:ascii="宋体" w:hAnsi="宋体" w:eastAsia="宋体" w:cs="宋体"/>
                <w:color w:val="auto"/>
                <w:sz w:val="24"/>
                <w:szCs w:val="24"/>
                <w:highlight w:val="none"/>
              </w:rPr>
            </w:pPr>
          </w:p>
        </w:tc>
        <w:tc>
          <w:tcPr>
            <w:tcW w:w="915" w:type="dxa"/>
          </w:tcPr>
          <w:p w14:paraId="2C2AD204">
            <w:pPr>
              <w:spacing w:line="360" w:lineRule="auto"/>
              <w:jc w:val="center"/>
              <w:rPr>
                <w:rFonts w:hint="eastAsia" w:ascii="宋体" w:hAnsi="宋体" w:eastAsia="宋体" w:cs="宋体"/>
                <w:color w:val="auto"/>
                <w:sz w:val="24"/>
                <w:szCs w:val="24"/>
                <w:highlight w:val="none"/>
              </w:rPr>
            </w:pPr>
          </w:p>
        </w:tc>
        <w:tc>
          <w:tcPr>
            <w:tcW w:w="993" w:type="dxa"/>
          </w:tcPr>
          <w:p w14:paraId="01C7BE32">
            <w:pPr>
              <w:spacing w:line="360" w:lineRule="auto"/>
              <w:jc w:val="center"/>
              <w:rPr>
                <w:rFonts w:hint="eastAsia" w:ascii="宋体" w:hAnsi="宋体" w:eastAsia="宋体" w:cs="宋体"/>
                <w:color w:val="auto"/>
                <w:sz w:val="24"/>
                <w:szCs w:val="24"/>
                <w:highlight w:val="none"/>
              </w:rPr>
            </w:pPr>
          </w:p>
        </w:tc>
        <w:tc>
          <w:tcPr>
            <w:tcW w:w="1327" w:type="dxa"/>
          </w:tcPr>
          <w:p w14:paraId="66D8365D">
            <w:pPr>
              <w:spacing w:line="360" w:lineRule="auto"/>
              <w:jc w:val="center"/>
              <w:rPr>
                <w:rFonts w:hint="eastAsia" w:ascii="宋体" w:hAnsi="宋体" w:eastAsia="宋体" w:cs="宋体"/>
                <w:color w:val="auto"/>
                <w:sz w:val="24"/>
                <w:szCs w:val="24"/>
                <w:highlight w:val="none"/>
              </w:rPr>
            </w:pPr>
          </w:p>
        </w:tc>
        <w:tc>
          <w:tcPr>
            <w:tcW w:w="701" w:type="dxa"/>
          </w:tcPr>
          <w:p w14:paraId="0FAA8274">
            <w:pPr>
              <w:spacing w:line="360" w:lineRule="auto"/>
              <w:jc w:val="center"/>
              <w:rPr>
                <w:rFonts w:hint="eastAsia" w:ascii="宋体" w:hAnsi="宋体" w:eastAsia="宋体" w:cs="宋体"/>
                <w:color w:val="auto"/>
                <w:sz w:val="24"/>
                <w:szCs w:val="24"/>
                <w:highlight w:val="none"/>
              </w:rPr>
            </w:pPr>
          </w:p>
        </w:tc>
        <w:tc>
          <w:tcPr>
            <w:tcW w:w="838" w:type="dxa"/>
          </w:tcPr>
          <w:p w14:paraId="1B5B5F81">
            <w:pPr>
              <w:spacing w:line="360" w:lineRule="auto"/>
              <w:jc w:val="center"/>
              <w:rPr>
                <w:rFonts w:hint="eastAsia" w:ascii="宋体" w:hAnsi="宋体" w:eastAsia="宋体" w:cs="宋体"/>
                <w:color w:val="auto"/>
                <w:sz w:val="24"/>
                <w:szCs w:val="24"/>
                <w:highlight w:val="none"/>
              </w:rPr>
            </w:pPr>
          </w:p>
        </w:tc>
        <w:tc>
          <w:tcPr>
            <w:tcW w:w="955" w:type="dxa"/>
          </w:tcPr>
          <w:p w14:paraId="1B6B96A8">
            <w:pPr>
              <w:spacing w:line="360" w:lineRule="auto"/>
              <w:jc w:val="center"/>
              <w:rPr>
                <w:rFonts w:hint="eastAsia" w:ascii="宋体" w:hAnsi="宋体" w:eastAsia="宋体" w:cs="宋体"/>
                <w:color w:val="auto"/>
                <w:sz w:val="24"/>
                <w:szCs w:val="24"/>
                <w:highlight w:val="none"/>
              </w:rPr>
            </w:pPr>
          </w:p>
        </w:tc>
        <w:tc>
          <w:tcPr>
            <w:tcW w:w="996" w:type="dxa"/>
          </w:tcPr>
          <w:p w14:paraId="097F66C1">
            <w:pPr>
              <w:spacing w:line="360" w:lineRule="auto"/>
              <w:jc w:val="center"/>
              <w:rPr>
                <w:rFonts w:hint="eastAsia" w:ascii="宋体" w:hAnsi="宋体" w:eastAsia="宋体" w:cs="宋体"/>
                <w:color w:val="auto"/>
                <w:sz w:val="24"/>
                <w:szCs w:val="24"/>
                <w:highlight w:val="none"/>
              </w:rPr>
            </w:pPr>
          </w:p>
        </w:tc>
      </w:tr>
      <w:tr w14:paraId="625F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exact"/>
          <w:jc w:val="center"/>
        </w:trPr>
        <w:tc>
          <w:tcPr>
            <w:tcW w:w="1220" w:type="dxa"/>
          </w:tcPr>
          <w:p w14:paraId="42DB3AE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12" w:type="dxa"/>
          </w:tcPr>
          <w:p w14:paraId="6F701A84">
            <w:pPr>
              <w:spacing w:line="360" w:lineRule="auto"/>
              <w:jc w:val="center"/>
              <w:rPr>
                <w:rFonts w:hint="eastAsia" w:ascii="宋体" w:hAnsi="宋体" w:eastAsia="宋体" w:cs="宋体"/>
                <w:color w:val="auto"/>
                <w:sz w:val="24"/>
                <w:szCs w:val="24"/>
                <w:highlight w:val="none"/>
              </w:rPr>
            </w:pPr>
          </w:p>
        </w:tc>
        <w:tc>
          <w:tcPr>
            <w:tcW w:w="915" w:type="dxa"/>
          </w:tcPr>
          <w:p w14:paraId="3AB62F4B">
            <w:pPr>
              <w:spacing w:line="360" w:lineRule="auto"/>
              <w:jc w:val="center"/>
              <w:rPr>
                <w:rFonts w:hint="eastAsia" w:ascii="宋体" w:hAnsi="宋体" w:eastAsia="宋体" w:cs="宋体"/>
                <w:color w:val="auto"/>
                <w:sz w:val="24"/>
                <w:szCs w:val="24"/>
                <w:highlight w:val="none"/>
              </w:rPr>
            </w:pPr>
          </w:p>
        </w:tc>
        <w:tc>
          <w:tcPr>
            <w:tcW w:w="993" w:type="dxa"/>
          </w:tcPr>
          <w:p w14:paraId="7A41151A">
            <w:pPr>
              <w:spacing w:line="360" w:lineRule="auto"/>
              <w:jc w:val="center"/>
              <w:rPr>
                <w:rFonts w:hint="eastAsia" w:ascii="宋体" w:hAnsi="宋体" w:eastAsia="宋体" w:cs="宋体"/>
                <w:color w:val="auto"/>
                <w:sz w:val="24"/>
                <w:szCs w:val="24"/>
                <w:highlight w:val="none"/>
              </w:rPr>
            </w:pPr>
          </w:p>
        </w:tc>
        <w:tc>
          <w:tcPr>
            <w:tcW w:w="1327" w:type="dxa"/>
          </w:tcPr>
          <w:p w14:paraId="2DD383E0">
            <w:pPr>
              <w:spacing w:line="360" w:lineRule="auto"/>
              <w:jc w:val="center"/>
              <w:rPr>
                <w:rFonts w:hint="eastAsia" w:ascii="宋体" w:hAnsi="宋体" w:eastAsia="宋体" w:cs="宋体"/>
                <w:color w:val="auto"/>
                <w:sz w:val="24"/>
                <w:szCs w:val="24"/>
                <w:highlight w:val="none"/>
              </w:rPr>
            </w:pPr>
          </w:p>
        </w:tc>
        <w:tc>
          <w:tcPr>
            <w:tcW w:w="701" w:type="dxa"/>
          </w:tcPr>
          <w:p w14:paraId="267704EA">
            <w:pPr>
              <w:spacing w:line="360" w:lineRule="auto"/>
              <w:jc w:val="center"/>
              <w:rPr>
                <w:rFonts w:hint="eastAsia" w:ascii="宋体" w:hAnsi="宋体" w:eastAsia="宋体" w:cs="宋体"/>
                <w:color w:val="auto"/>
                <w:sz w:val="24"/>
                <w:szCs w:val="24"/>
                <w:highlight w:val="none"/>
              </w:rPr>
            </w:pPr>
          </w:p>
        </w:tc>
        <w:tc>
          <w:tcPr>
            <w:tcW w:w="838" w:type="dxa"/>
          </w:tcPr>
          <w:p w14:paraId="3F0444FF">
            <w:pPr>
              <w:spacing w:line="360" w:lineRule="auto"/>
              <w:jc w:val="center"/>
              <w:rPr>
                <w:rFonts w:hint="eastAsia" w:ascii="宋体" w:hAnsi="宋体" w:eastAsia="宋体" w:cs="宋体"/>
                <w:color w:val="auto"/>
                <w:sz w:val="24"/>
                <w:szCs w:val="24"/>
                <w:highlight w:val="none"/>
              </w:rPr>
            </w:pPr>
          </w:p>
        </w:tc>
        <w:tc>
          <w:tcPr>
            <w:tcW w:w="955" w:type="dxa"/>
          </w:tcPr>
          <w:p w14:paraId="21D7C920">
            <w:pPr>
              <w:spacing w:line="360" w:lineRule="auto"/>
              <w:jc w:val="center"/>
              <w:rPr>
                <w:rFonts w:hint="eastAsia" w:ascii="宋体" w:hAnsi="宋体" w:eastAsia="宋体" w:cs="宋体"/>
                <w:color w:val="auto"/>
                <w:sz w:val="24"/>
                <w:szCs w:val="24"/>
                <w:highlight w:val="none"/>
              </w:rPr>
            </w:pPr>
          </w:p>
        </w:tc>
        <w:tc>
          <w:tcPr>
            <w:tcW w:w="996" w:type="dxa"/>
          </w:tcPr>
          <w:p w14:paraId="6E4B85F9">
            <w:pPr>
              <w:spacing w:line="360" w:lineRule="auto"/>
              <w:jc w:val="center"/>
              <w:rPr>
                <w:rFonts w:hint="eastAsia" w:ascii="宋体" w:hAnsi="宋体" w:eastAsia="宋体" w:cs="宋体"/>
                <w:color w:val="auto"/>
                <w:sz w:val="24"/>
                <w:szCs w:val="24"/>
                <w:highlight w:val="none"/>
              </w:rPr>
            </w:pPr>
          </w:p>
        </w:tc>
      </w:tr>
      <w:tr w14:paraId="3E84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exact"/>
          <w:jc w:val="center"/>
        </w:trPr>
        <w:tc>
          <w:tcPr>
            <w:tcW w:w="1220" w:type="dxa"/>
          </w:tcPr>
          <w:p w14:paraId="05ECCEA2">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w:t>
            </w:r>
          </w:p>
        </w:tc>
        <w:tc>
          <w:tcPr>
            <w:tcW w:w="912" w:type="dxa"/>
          </w:tcPr>
          <w:p w14:paraId="68BFD50C">
            <w:pPr>
              <w:spacing w:line="360" w:lineRule="auto"/>
              <w:jc w:val="center"/>
              <w:rPr>
                <w:rFonts w:hint="eastAsia" w:ascii="宋体" w:hAnsi="宋体" w:eastAsia="宋体" w:cs="宋体"/>
                <w:color w:val="auto"/>
                <w:sz w:val="24"/>
                <w:szCs w:val="24"/>
                <w:highlight w:val="none"/>
              </w:rPr>
            </w:pPr>
          </w:p>
        </w:tc>
        <w:tc>
          <w:tcPr>
            <w:tcW w:w="915" w:type="dxa"/>
          </w:tcPr>
          <w:p w14:paraId="225D100B">
            <w:pPr>
              <w:spacing w:line="360" w:lineRule="auto"/>
              <w:jc w:val="center"/>
              <w:rPr>
                <w:rFonts w:hint="eastAsia" w:ascii="宋体" w:hAnsi="宋体" w:eastAsia="宋体" w:cs="宋体"/>
                <w:color w:val="auto"/>
                <w:sz w:val="24"/>
                <w:szCs w:val="24"/>
                <w:highlight w:val="none"/>
              </w:rPr>
            </w:pPr>
          </w:p>
        </w:tc>
        <w:tc>
          <w:tcPr>
            <w:tcW w:w="993" w:type="dxa"/>
          </w:tcPr>
          <w:p w14:paraId="673D31F0">
            <w:pPr>
              <w:spacing w:line="360" w:lineRule="auto"/>
              <w:jc w:val="center"/>
              <w:rPr>
                <w:rFonts w:hint="eastAsia" w:ascii="宋体" w:hAnsi="宋体" w:eastAsia="宋体" w:cs="宋体"/>
                <w:color w:val="auto"/>
                <w:sz w:val="24"/>
                <w:szCs w:val="24"/>
                <w:highlight w:val="none"/>
              </w:rPr>
            </w:pPr>
          </w:p>
        </w:tc>
        <w:tc>
          <w:tcPr>
            <w:tcW w:w="1327" w:type="dxa"/>
          </w:tcPr>
          <w:p w14:paraId="31B1AA04">
            <w:pPr>
              <w:spacing w:line="360" w:lineRule="auto"/>
              <w:jc w:val="center"/>
              <w:rPr>
                <w:rFonts w:hint="eastAsia" w:ascii="宋体" w:hAnsi="宋体" w:eastAsia="宋体" w:cs="宋体"/>
                <w:color w:val="auto"/>
                <w:sz w:val="24"/>
                <w:szCs w:val="24"/>
                <w:highlight w:val="none"/>
              </w:rPr>
            </w:pPr>
          </w:p>
        </w:tc>
        <w:tc>
          <w:tcPr>
            <w:tcW w:w="701" w:type="dxa"/>
          </w:tcPr>
          <w:p w14:paraId="07D42F87">
            <w:pPr>
              <w:spacing w:line="360" w:lineRule="auto"/>
              <w:jc w:val="center"/>
              <w:rPr>
                <w:rFonts w:hint="eastAsia" w:ascii="宋体" w:hAnsi="宋体" w:eastAsia="宋体" w:cs="宋体"/>
                <w:color w:val="auto"/>
                <w:sz w:val="24"/>
                <w:szCs w:val="24"/>
                <w:highlight w:val="none"/>
              </w:rPr>
            </w:pPr>
          </w:p>
        </w:tc>
        <w:tc>
          <w:tcPr>
            <w:tcW w:w="838" w:type="dxa"/>
          </w:tcPr>
          <w:p w14:paraId="722FF9E0">
            <w:pPr>
              <w:spacing w:line="360" w:lineRule="auto"/>
              <w:jc w:val="center"/>
              <w:rPr>
                <w:rFonts w:hint="eastAsia" w:ascii="宋体" w:hAnsi="宋体" w:eastAsia="宋体" w:cs="宋体"/>
                <w:color w:val="auto"/>
                <w:sz w:val="24"/>
                <w:szCs w:val="24"/>
                <w:highlight w:val="none"/>
              </w:rPr>
            </w:pPr>
          </w:p>
        </w:tc>
        <w:tc>
          <w:tcPr>
            <w:tcW w:w="955" w:type="dxa"/>
          </w:tcPr>
          <w:p w14:paraId="3591EA2E">
            <w:pPr>
              <w:spacing w:line="360" w:lineRule="auto"/>
              <w:jc w:val="center"/>
              <w:rPr>
                <w:rFonts w:hint="eastAsia" w:ascii="宋体" w:hAnsi="宋体" w:eastAsia="宋体" w:cs="宋体"/>
                <w:color w:val="auto"/>
                <w:sz w:val="24"/>
                <w:szCs w:val="24"/>
                <w:highlight w:val="none"/>
              </w:rPr>
            </w:pPr>
          </w:p>
        </w:tc>
        <w:tc>
          <w:tcPr>
            <w:tcW w:w="996" w:type="dxa"/>
          </w:tcPr>
          <w:p w14:paraId="39D1BE74">
            <w:pPr>
              <w:spacing w:line="360" w:lineRule="auto"/>
              <w:jc w:val="center"/>
              <w:rPr>
                <w:rFonts w:hint="eastAsia" w:ascii="宋体" w:hAnsi="宋体" w:eastAsia="宋体" w:cs="宋体"/>
                <w:color w:val="auto"/>
                <w:sz w:val="24"/>
                <w:szCs w:val="24"/>
                <w:highlight w:val="none"/>
              </w:rPr>
            </w:pPr>
          </w:p>
        </w:tc>
      </w:tr>
      <w:tr w14:paraId="2621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exact"/>
          <w:jc w:val="center"/>
        </w:trPr>
        <w:tc>
          <w:tcPr>
            <w:tcW w:w="1220" w:type="dxa"/>
          </w:tcPr>
          <w:p w14:paraId="712C3FA4">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w:t>
            </w:r>
          </w:p>
        </w:tc>
        <w:tc>
          <w:tcPr>
            <w:tcW w:w="912" w:type="dxa"/>
          </w:tcPr>
          <w:p w14:paraId="499260AD">
            <w:pPr>
              <w:spacing w:line="360" w:lineRule="auto"/>
              <w:jc w:val="center"/>
              <w:rPr>
                <w:rFonts w:hint="eastAsia" w:ascii="宋体" w:hAnsi="宋体" w:eastAsia="宋体" w:cs="宋体"/>
                <w:color w:val="auto"/>
                <w:sz w:val="24"/>
                <w:szCs w:val="24"/>
                <w:highlight w:val="none"/>
              </w:rPr>
            </w:pPr>
          </w:p>
        </w:tc>
        <w:tc>
          <w:tcPr>
            <w:tcW w:w="915" w:type="dxa"/>
          </w:tcPr>
          <w:p w14:paraId="0F93AE7C">
            <w:pPr>
              <w:spacing w:line="360" w:lineRule="auto"/>
              <w:jc w:val="center"/>
              <w:rPr>
                <w:rFonts w:hint="eastAsia" w:ascii="宋体" w:hAnsi="宋体" w:eastAsia="宋体" w:cs="宋体"/>
                <w:color w:val="auto"/>
                <w:sz w:val="24"/>
                <w:szCs w:val="24"/>
                <w:highlight w:val="none"/>
              </w:rPr>
            </w:pPr>
          </w:p>
        </w:tc>
        <w:tc>
          <w:tcPr>
            <w:tcW w:w="993" w:type="dxa"/>
          </w:tcPr>
          <w:p w14:paraId="2F997229">
            <w:pPr>
              <w:spacing w:line="360" w:lineRule="auto"/>
              <w:jc w:val="center"/>
              <w:rPr>
                <w:rFonts w:hint="eastAsia" w:ascii="宋体" w:hAnsi="宋体" w:eastAsia="宋体" w:cs="宋体"/>
                <w:color w:val="auto"/>
                <w:sz w:val="24"/>
                <w:szCs w:val="24"/>
                <w:highlight w:val="none"/>
              </w:rPr>
            </w:pPr>
          </w:p>
        </w:tc>
        <w:tc>
          <w:tcPr>
            <w:tcW w:w="1327" w:type="dxa"/>
          </w:tcPr>
          <w:p w14:paraId="2CBD61B1">
            <w:pPr>
              <w:spacing w:line="360" w:lineRule="auto"/>
              <w:jc w:val="center"/>
              <w:rPr>
                <w:rFonts w:hint="eastAsia" w:ascii="宋体" w:hAnsi="宋体" w:eastAsia="宋体" w:cs="宋体"/>
                <w:color w:val="auto"/>
                <w:sz w:val="24"/>
                <w:szCs w:val="24"/>
                <w:highlight w:val="none"/>
              </w:rPr>
            </w:pPr>
          </w:p>
        </w:tc>
        <w:tc>
          <w:tcPr>
            <w:tcW w:w="701" w:type="dxa"/>
          </w:tcPr>
          <w:p w14:paraId="7859921F">
            <w:pPr>
              <w:spacing w:line="360" w:lineRule="auto"/>
              <w:jc w:val="center"/>
              <w:rPr>
                <w:rFonts w:hint="eastAsia" w:ascii="宋体" w:hAnsi="宋体" w:eastAsia="宋体" w:cs="宋体"/>
                <w:color w:val="auto"/>
                <w:sz w:val="24"/>
                <w:szCs w:val="24"/>
                <w:highlight w:val="none"/>
              </w:rPr>
            </w:pPr>
          </w:p>
        </w:tc>
        <w:tc>
          <w:tcPr>
            <w:tcW w:w="838" w:type="dxa"/>
          </w:tcPr>
          <w:p w14:paraId="1F47B2C3">
            <w:pPr>
              <w:spacing w:line="360" w:lineRule="auto"/>
              <w:jc w:val="center"/>
              <w:rPr>
                <w:rFonts w:hint="eastAsia" w:ascii="宋体" w:hAnsi="宋体" w:eastAsia="宋体" w:cs="宋体"/>
                <w:color w:val="auto"/>
                <w:sz w:val="24"/>
                <w:szCs w:val="24"/>
                <w:highlight w:val="none"/>
              </w:rPr>
            </w:pPr>
          </w:p>
        </w:tc>
        <w:tc>
          <w:tcPr>
            <w:tcW w:w="955" w:type="dxa"/>
          </w:tcPr>
          <w:p w14:paraId="1CA1B44A">
            <w:pPr>
              <w:spacing w:line="360" w:lineRule="auto"/>
              <w:jc w:val="center"/>
              <w:rPr>
                <w:rFonts w:hint="eastAsia" w:ascii="宋体" w:hAnsi="宋体" w:eastAsia="宋体" w:cs="宋体"/>
                <w:color w:val="auto"/>
                <w:sz w:val="24"/>
                <w:szCs w:val="24"/>
                <w:highlight w:val="none"/>
              </w:rPr>
            </w:pPr>
          </w:p>
        </w:tc>
        <w:tc>
          <w:tcPr>
            <w:tcW w:w="996" w:type="dxa"/>
          </w:tcPr>
          <w:p w14:paraId="028E3F5F">
            <w:pPr>
              <w:spacing w:line="360" w:lineRule="auto"/>
              <w:jc w:val="center"/>
              <w:rPr>
                <w:rFonts w:hint="eastAsia" w:ascii="宋体" w:hAnsi="宋体" w:eastAsia="宋体" w:cs="宋体"/>
                <w:color w:val="auto"/>
                <w:sz w:val="24"/>
                <w:szCs w:val="24"/>
                <w:highlight w:val="none"/>
              </w:rPr>
            </w:pPr>
          </w:p>
        </w:tc>
      </w:tr>
      <w:tr w14:paraId="192A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exact"/>
          <w:jc w:val="center"/>
        </w:trPr>
        <w:tc>
          <w:tcPr>
            <w:tcW w:w="1220" w:type="dxa"/>
          </w:tcPr>
          <w:p w14:paraId="7AC4C44A">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912" w:type="dxa"/>
          </w:tcPr>
          <w:p w14:paraId="69AB386D">
            <w:pPr>
              <w:spacing w:line="360" w:lineRule="auto"/>
              <w:jc w:val="center"/>
              <w:rPr>
                <w:rFonts w:hint="eastAsia" w:ascii="宋体" w:hAnsi="宋体" w:eastAsia="宋体" w:cs="宋体"/>
                <w:color w:val="auto"/>
                <w:sz w:val="24"/>
                <w:szCs w:val="24"/>
                <w:highlight w:val="none"/>
              </w:rPr>
            </w:pPr>
          </w:p>
        </w:tc>
        <w:tc>
          <w:tcPr>
            <w:tcW w:w="915" w:type="dxa"/>
          </w:tcPr>
          <w:p w14:paraId="68A09D04">
            <w:pPr>
              <w:spacing w:line="360" w:lineRule="auto"/>
              <w:jc w:val="center"/>
              <w:rPr>
                <w:rFonts w:hint="eastAsia" w:ascii="宋体" w:hAnsi="宋体" w:eastAsia="宋体" w:cs="宋体"/>
                <w:color w:val="auto"/>
                <w:sz w:val="24"/>
                <w:szCs w:val="24"/>
                <w:highlight w:val="none"/>
              </w:rPr>
            </w:pPr>
          </w:p>
        </w:tc>
        <w:tc>
          <w:tcPr>
            <w:tcW w:w="993" w:type="dxa"/>
          </w:tcPr>
          <w:p w14:paraId="74B4801C">
            <w:pPr>
              <w:spacing w:line="360" w:lineRule="auto"/>
              <w:jc w:val="center"/>
              <w:rPr>
                <w:rFonts w:hint="eastAsia" w:ascii="宋体" w:hAnsi="宋体" w:eastAsia="宋体" w:cs="宋体"/>
                <w:color w:val="auto"/>
                <w:sz w:val="24"/>
                <w:szCs w:val="24"/>
                <w:highlight w:val="none"/>
              </w:rPr>
            </w:pPr>
          </w:p>
        </w:tc>
        <w:tc>
          <w:tcPr>
            <w:tcW w:w="1327" w:type="dxa"/>
          </w:tcPr>
          <w:p w14:paraId="4BA3B452">
            <w:pPr>
              <w:spacing w:line="360" w:lineRule="auto"/>
              <w:jc w:val="center"/>
              <w:rPr>
                <w:rFonts w:hint="eastAsia" w:ascii="宋体" w:hAnsi="宋体" w:eastAsia="宋体" w:cs="宋体"/>
                <w:color w:val="auto"/>
                <w:sz w:val="24"/>
                <w:szCs w:val="24"/>
                <w:highlight w:val="none"/>
              </w:rPr>
            </w:pPr>
          </w:p>
        </w:tc>
        <w:tc>
          <w:tcPr>
            <w:tcW w:w="701" w:type="dxa"/>
          </w:tcPr>
          <w:p w14:paraId="62499B42">
            <w:pPr>
              <w:spacing w:line="360" w:lineRule="auto"/>
              <w:jc w:val="center"/>
              <w:rPr>
                <w:rFonts w:hint="eastAsia" w:ascii="宋体" w:hAnsi="宋体" w:eastAsia="宋体" w:cs="宋体"/>
                <w:color w:val="auto"/>
                <w:sz w:val="24"/>
                <w:szCs w:val="24"/>
                <w:highlight w:val="none"/>
              </w:rPr>
            </w:pPr>
          </w:p>
        </w:tc>
        <w:tc>
          <w:tcPr>
            <w:tcW w:w="838" w:type="dxa"/>
          </w:tcPr>
          <w:p w14:paraId="3CD61B47">
            <w:pPr>
              <w:spacing w:line="360" w:lineRule="auto"/>
              <w:jc w:val="center"/>
              <w:rPr>
                <w:rFonts w:hint="eastAsia" w:ascii="宋体" w:hAnsi="宋体" w:eastAsia="宋体" w:cs="宋体"/>
                <w:color w:val="auto"/>
                <w:sz w:val="24"/>
                <w:szCs w:val="24"/>
                <w:highlight w:val="none"/>
              </w:rPr>
            </w:pPr>
          </w:p>
        </w:tc>
        <w:tc>
          <w:tcPr>
            <w:tcW w:w="955" w:type="dxa"/>
          </w:tcPr>
          <w:p w14:paraId="7CE146A2">
            <w:pPr>
              <w:spacing w:line="360" w:lineRule="auto"/>
              <w:jc w:val="center"/>
              <w:rPr>
                <w:rFonts w:hint="eastAsia" w:ascii="宋体" w:hAnsi="宋体" w:eastAsia="宋体" w:cs="宋体"/>
                <w:color w:val="auto"/>
                <w:sz w:val="24"/>
                <w:szCs w:val="24"/>
                <w:highlight w:val="none"/>
              </w:rPr>
            </w:pPr>
          </w:p>
        </w:tc>
        <w:tc>
          <w:tcPr>
            <w:tcW w:w="996" w:type="dxa"/>
          </w:tcPr>
          <w:p w14:paraId="695FBEDE">
            <w:pPr>
              <w:spacing w:line="360" w:lineRule="auto"/>
              <w:jc w:val="center"/>
              <w:rPr>
                <w:rFonts w:hint="eastAsia" w:ascii="宋体" w:hAnsi="宋体" w:eastAsia="宋体" w:cs="宋体"/>
                <w:color w:val="auto"/>
                <w:sz w:val="24"/>
                <w:szCs w:val="24"/>
                <w:highlight w:val="none"/>
              </w:rPr>
            </w:pPr>
          </w:p>
        </w:tc>
      </w:tr>
    </w:tbl>
    <w:p w14:paraId="0424FA4A">
      <w:pPr>
        <w:pStyle w:val="13"/>
        <w:ind w:firstLine="0"/>
        <w:rPr>
          <w:rFonts w:hint="eastAsia" w:ascii="宋体" w:hAnsi="宋体" w:cs="宋体"/>
          <w:color w:val="auto"/>
          <w:sz w:val="24"/>
          <w:szCs w:val="24"/>
          <w:highlight w:val="none"/>
        </w:rPr>
      </w:pPr>
    </w:p>
    <w:p w14:paraId="6B06C672">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bCs/>
          <w:color w:val="auto"/>
          <w:sz w:val="24"/>
          <w:szCs w:val="24"/>
          <w:highlight w:val="none"/>
          <w:lang w:eastAsia="zh-CN"/>
        </w:rPr>
        <w:t>后附拟配备人员相关证明材料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br w:type="page"/>
      </w:r>
    </w:p>
    <w:p w14:paraId="1FCA28FE">
      <w:pPr>
        <w:jc w:val="center"/>
        <w:outlineLvl w:val="1"/>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八、拟投入本项目的主要设备设施表</w:t>
      </w:r>
    </w:p>
    <w:tbl>
      <w:tblPr>
        <w:tblStyle w:val="3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657"/>
        <w:gridCol w:w="1217"/>
        <w:gridCol w:w="1217"/>
        <w:gridCol w:w="1218"/>
        <w:gridCol w:w="1218"/>
        <w:gridCol w:w="1218"/>
      </w:tblGrid>
      <w:tr w14:paraId="4B65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2BD856F1">
            <w:pPr>
              <w:widowControl w:val="0"/>
              <w:spacing w:line="360" w:lineRule="auto"/>
              <w:jc w:val="center"/>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序号</w:t>
            </w:r>
          </w:p>
        </w:tc>
        <w:tc>
          <w:tcPr>
            <w:tcW w:w="1657" w:type="dxa"/>
            <w:vAlign w:val="center"/>
          </w:tcPr>
          <w:p w14:paraId="258C2369">
            <w:pPr>
              <w:widowControl w:val="0"/>
              <w:spacing w:line="360" w:lineRule="auto"/>
              <w:jc w:val="center"/>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设备名称</w:t>
            </w:r>
          </w:p>
        </w:tc>
        <w:tc>
          <w:tcPr>
            <w:tcW w:w="1217" w:type="dxa"/>
            <w:vAlign w:val="center"/>
          </w:tcPr>
          <w:p w14:paraId="0C372E0B">
            <w:pPr>
              <w:widowControl w:val="0"/>
              <w:spacing w:line="360" w:lineRule="auto"/>
              <w:jc w:val="center"/>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型号规格</w:t>
            </w:r>
          </w:p>
        </w:tc>
        <w:tc>
          <w:tcPr>
            <w:tcW w:w="1217" w:type="dxa"/>
            <w:vAlign w:val="center"/>
          </w:tcPr>
          <w:p w14:paraId="3BEE06A2">
            <w:pPr>
              <w:widowControl w:val="0"/>
              <w:spacing w:line="360" w:lineRule="auto"/>
              <w:jc w:val="center"/>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w:t>
            </w:r>
          </w:p>
        </w:tc>
        <w:tc>
          <w:tcPr>
            <w:tcW w:w="1218" w:type="dxa"/>
            <w:vAlign w:val="center"/>
          </w:tcPr>
          <w:p w14:paraId="358135E4">
            <w:pPr>
              <w:widowControl w:val="0"/>
              <w:spacing w:line="360" w:lineRule="auto"/>
              <w:jc w:val="center"/>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数量</w:t>
            </w:r>
          </w:p>
        </w:tc>
        <w:tc>
          <w:tcPr>
            <w:tcW w:w="1218" w:type="dxa"/>
            <w:vAlign w:val="center"/>
          </w:tcPr>
          <w:p w14:paraId="38FD38C8">
            <w:pPr>
              <w:widowControl w:val="0"/>
              <w:spacing w:line="360" w:lineRule="auto"/>
              <w:jc w:val="center"/>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制造年份</w:t>
            </w:r>
          </w:p>
        </w:tc>
        <w:tc>
          <w:tcPr>
            <w:tcW w:w="1218" w:type="dxa"/>
            <w:vAlign w:val="center"/>
          </w:tcPr>
          <w:p w14:paraId="65781909">
            <w:pPr>
              <w:widowControl w:val="0"/>
              <w:spacing w:line="360" w:lineRule="auto"/>
              <w:jc w:val="center"/>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p>
        </w:tc>
      </w:tr>
      <w:tr w14:paraId="69B1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0A384D11">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657" w:type="dxa"/>
            <w:vAlign w:val="center"/>
          </w:tcPr>
          <w:p w14:paraId="2CF148D6">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7" w:type="dxa"/>
            <w:vAlign w:val="center"/>
          </w:tcPr>
          <w:p w14:paraId="3F841468">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7" w:type="dxa"/>
            <w:vAlign w:val="center"/>
          </w:tcPr>
          <w:p w14:paraId="490FAB61">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792E7AA8">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072477BF">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1D127F7B">
            <w:pPr>
              <w:widowControl w:val="0"/>
              <w:spacing w:line="360" w:lineRule="auto"/>
              <w:jc w:val="center"/>
              <w:outlineLvl w:val="1"/>
              <w:rPr>
                <w:rFonts w:hint="eastAsia" w:ascii="宋体" w:hAnsi="宋体" w:eastAsia="宋体" w:cs="宋体"/>
                <w:color w:val="auto"/>
                <w:sz w:val="24"/>
                <w:szCs w:val="24"/>
                <w:highlight w:val="none"/>
                <w:lang w:eastAsia="zh-CN"/>
              </w:rPr>
            </w:pPr>
          </w:p>
        </w:tc>
      </w:tr>
      <w:tr w14:paraId="32CE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5035AD63">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657" w:type="dxa"/>
            <w:vAlign w:val="center"/>
          </w:tcPr>
          <w:p w14:paraId="364981FC">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7" w:type="dxa"/>
            <w:vAlign w:val="center"/>
          </w:tcPr>
          <w:p w14:paraId="3D0C8447">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7" w:type="dxa"/>
            <w:vAlign w:val="center"/>
          </w:tcPr>
          <w:p w14:paraId="243B6891">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1627552D">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7DFB524C">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2D911B3B">
            <w:pPr>
              <w:widowControl w:val="0"/>
              <w:spacing w:line="360" w:lineRule="auto"/>
              <w:jc w:val="center"/>
              <w:outlineLvl w:val="1"/>
              <w:rPr>
                <w:rFonts w:hint="eastAsia" w:ascii="宋体" w:hAnsi="宋体" w:eastAsia="宋体" w:cs="宋体"/>
                <w:color w:val="auto"/>
                <w:sz w:val="24"/>
                <w:szCs w:val="24"/>
                <w:highlight w:val="none"/>
                <w:lang w:eastAsia="zh-CN"/>
              </w:rPr>
            </w:pPr>
          </w:p>
        </w:tc>
      </w:tr>
      <w:tr w14:paraId="2599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35A0602C">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657" w:type="dxa"/>
            <w:vAlign w:val="center"/>
          </w:tcPr>
          <w:p w14:paraId="64965844">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7" w:type="dxa"/>
            <w:vAlign w:val="center"/>
          </w:tcPr>
          <w:p w14:paraId="76C51233">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7" w:type="dxa"/>
            <w:vAlign w:val="center"/>
          </w:tcPr>
          <w:p w14:paraId="01582525">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2D959E3C">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5FE43A90">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51A798B1">
            <w:pPr>
              <w:widowControl w:val="0"/>
              <w:spacing w:line="360" w:lineRule="auto"/>
              <w:jc w:val="center"/>
              <w:outlineLvl w:val="1"/>
              <w:rPr>
                <w:rFonts w:hint="eastAsia" w:ascii="宋体" w:hAnsi="宋体" w:eastAsia="宋体" w:cs="宋体"/>
                <w:color w:val="auto"/>
                <w:sz w:val="24"/>
                <w:szCs w:val="24"/>
                <w:highlight w:val="none"/>
                <w:lang w:eastAsia="zh-CN"/>
              </w:rPr>
            </w:pPr>
          </w:p>
        </w:tc>
      </w:tr>
      <w:tr w14:paraId="016E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0F23DDA0">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657" w:type="dxa"/>
            <w:vAlign w:val="center"/>
          </w:tcPr>
          <w:p w14:paraId="6DFA03B6">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7" w:type="dxa"/>
            <w:vAlign w:val="center"/>
          </w:tcPr>
          <w:p w14:paraId="2B6D4CFD">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7" w:type="dxa"/>
            <w:vAlign w:val="center"/>
          </w:tcPr>
          <w:p w14:paraId="1B2F40BB">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7ED30FF6">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02183BE5">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76BE667A">
            <w:pPr>
              <w:widowControl w:val="0"/>
              <w:spacing w:line="360" w:lineRule="auto"/>
              <w:jc w:val="center"/>
              <w:outlineLvl w:val="1"/>
              <w:rPr>
                <w:rFonts w:hint="eastAsia" w:ascii="宋体" w:hAnsi="宋体" w:eastAsia="宋体" w:cs="宋体"/>
                <w:color w:val="auto"/>
                <w:sz w:val="24"/>
                <w:szCs w:val="24"/>
                <w:highlight w:val="none"/>
                <w:lang w:eastAsia="zh-CN"/>
              </w:rPr>
            </w:pPr>
          </w:p>
        </w:tc>
      </w:tr>
      <w:tr w14:paraId="3EA7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7FEEE774">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657" w:type="dxa"/>
            <w:vAlign w:val="center"/>
          </w:tcPr>
          <w:p w14:paraId="0B324A6D">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7" w:type="dxa"/>
            <w:vAlign w:val="center"/>
          </w:tcPr>
          <w:p w14:paraId="235DEB3A">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7" w:type="dxa"/>
            <w:vAlign w:val="center"/>
          </w:tcPr>
          <w:p w14:paraId="6515C950">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0FD8F994">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11EB4B61">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0AB78CF3">
            <w:pPr>
              <w:widowControl w:val="0"/>
              <w:spacing w:line="360" w:lineRule="auto"/>
              <w:jc w:val="center"/>
              <w:outlineLvl w:val="1"/>
              <w:rPr>
                <w:rFonts w:hint="eastAsia" w:ascii="宋体" w:hAnsi="宋体" w:eastAsia="宋体" w:cs="宋体"/>
                <w:color w:val="auto"/>
                <w:sz w:val="24"/>
                <w:szCs w:val="24"/>
                <w:highlight w:val="none"/>
                <w:lang w:eastAsia="zh-CN"/>
              </w:rPr>
            </w:pPr>
          </w:p>
        </w:tc>
      </w:tr>
      <w:tr w14:paraId="6BC6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2A06ED69">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657" w:type="dxa"/>
            <w:vAlign w:val="center"/>
          </w:tcPr>
          <w:p w14:paraId="66CEACCF">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7" w:type="dxa"/>
            <w:vAlign w:val="center"/>
          </w:tcPr>
          <w:p w14:paraId="21C86EF9">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7" w:type="dxa"/>
            <w:vAlign w:val="center"/>
          </w:tcPr>
          <w:p w14:paraId="2155FDE8">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7AFA70A3">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74C028BA">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0AE7702B">
            <w:pPr>
              <w:widowControl w:val="0"/>
              <w:spacing w:line="360" w:lineRule="auto"/>
              <w:jc w:val="center"/>
              <w:outlineLvl w:val="1"/>
              <w:rPr>
                <w:rFonts w:hint="eastAsia" w:ascii="宋体" w:hAnsi="宋体" w:eastAsia="宋体" w:cs="宋体"/>
                <w:color w:val="auto"/>
                <w:sz w:val="24"/>
                <w:szCs w:val="24"/>
                <w:highlight w:val="none"/>
                <w:lang w:eastAsia="zh-CN"/>
              </w:rPr>
            </w:pPr>
          </w:p>
        </w:tc>
      </w:tr>
      <w:tr w14:paraId="08B7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46AD68F6">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657" w:type="dxa"/>
            <w:vAlign w:val="center"/>
          </w:tcPr>
          <w:p w14:paraId="05A07339">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7" w:type="dxa"/>
            <w:vAlign w:val="center"/>
          </w:tcPr>
          <w:p w14:paraId="7770FA9D">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7" w:type="dxa"/>
            <w:vAlign w:val="center"/>
          </w:tcPr>
          <w:p w14:paraId="444B5FFB">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1AADFF45">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2026C0CD">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09BF3DEF">
            <w:pPr>
              <w:widowControl w:val="0"/>
              <w:spacing w:line="360" w:lineRule="auto"/>
              <w:jc w:val="center"/>
              <w:outlineLvl w:val="1"/>
              <w:rPr>
                <w:rFonts w:hint="eastAsia" w:ascii="宋体" w:hAnsi="宋体" w:eastAsia="宋体" w:cs="宋体"/>
                <w:color w:val="auto"/>
                <w:sz w:val="24"/>
                <w:szCs w:val="24"/>
                <w:highlight w:val="none"/>
                <w:lang w:eastAsia="zh-CN"/>
              </w:rPr>
            </w:pPr>
          </w:p>
        </w:tc>
      </w:tr>
      <w:tr w14:paraId="0BE8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0BB0BB6E">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657" w:type="dxa"/>
            <w:vAlign w:val="center"/>
          </w:tcPr>
          <w:p w14:paraId="16132003">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7" w:type="dxa"/>
            <w:vAlign w:val="center"/>
          </w:tcPr>
          <w:p w14:paraId="76BFDDA4">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7" w:type="dxa"/>
            <w:vAlign w:val="center"/>
          </w:tcPr>
          <w:p w14:paraId="39A6D284">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4FE6E832">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6866A2A0">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4479B382">
            <w:pPr>
              <w:widowControl w:val="0"/>
              <w:spacing w:line="360" w:lineRule="auto"/>
              <w:jc w:val="center"/>
              <w:outlineLvl w:val="1"/>
              <w:rPr>
                <w:rFonts w:hint="eastAsia" w:ascii="宋体" w:hAnsi="宋体" w:eastAsia="宋体" w:cs="宋体"/>
                <w:color w:val="auto"/>
                <w:sz w:val="24"/>
                <w:szCs w:val="24"/>
                <w:highlight w:val="none"/>
                <w:lang w:eastAsia="zh-CN"/>
              </w:rPr>
            </w:pPr>
          </w:p>
        </w:tc>
      </w:tr>
      <w:tr w14:paraId="3F2D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6D711AB7">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657" w:type="dxa"/>
            <w:vAlign w:val="center"/>
          </w:tcPr>
          <w:p w14:paraId="271AC86E">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7" w:type="dxa"/>
            <w:vAlign w:val="center"/>
          </w:tcPr>
          <w:p w14:paraId="4987F7CE">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7" w:type="dxa"/>
            <w:vAlign w:val="center"/>
          </w:tcPr>
          <w:p w14:paraId="003A7D7F">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5EED1494">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483B4862">
            <w:pPr>
              <w:widowControl w:val="0"/>
              <w:spacing w:line="360" w:lineRule="auto"/>
              <w:jc w:val="center"/>
              <w:outlineLvl w:val="1"/>
              <w:rPr>
                <w:rFonts w:hint="eastAsia" w:ascii="宋体" w:hAnsi="宋体" w:eastAsia="宋体" w:cs="宋体"/>
                <w:color w:val="auto"/>
                <w:sz w:val="24"/>
                <w:szCs w:val="24"/>
                <w:highlight w:val="none"/>
                <w:lang w:eastAsia="zh-CN"/>
              </w:rPr>
            </w:pPr>
          </w:p>
        </w:tc>
        <w:tc>
          <w:tcPr>
            <w:tcW w:w="1218" w:type="dxa"/>
            <w:vAlign w:val="center"/>
          </w:tcPr>
          <w:p w14:paraId="2554BEEE">
            <w:pPr>
              <w:widowControl w:val="0"/>
              <w:spacing w:line="360" w:lineRule="auto"/>
              <w:jc w:val="center"/>
              <w:outlineLvl w:val="1"/>
              <w:rPr>
                <w:rFonts w:hint="eastAsia" w:ascii="宋体" w:hAnsi="宋体" w:eastAsia="宋体" w:cs="宋体"/>
                <w:color w:val="auto"/>
                <w:sz w:val="24"/>
                <w:szCs w:val="24"/>
                <w:highlight w:val="none"/>
                <w:lang w:eastAsia="zh-CN"/>
              </w:rPr>
            </w:pPr>
          </w:p>
        </w:tc>
      </w:tr>
    </w:tbl>
    <w:p w14:paraId="4E25BFEA">
      <w:pPr>
        <w:jc w:val="both"/>
        <w:rPr>
          <w:rFonts w:hint="eastAsia" w:ascii="宋体" w:hAnsi="宋体" w:eastAsia="宋体" w:cs="宋体"/>
          <w:color w:val="auto"/>
          <w:sz w:val="24"/>
          <w:szCs w:val="24"/>
          <w:highlight w:val="none"/>
          <w:lang w:eastAsia="zh-CN"/>
        </w:rPr>
      </w:pPr>
    </w:p>
    <w:p w14:paraId="19405F4F">
      <w:pPr>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注：后附拟投入本项目的设备设施的购置发票或租赁协议、实物照片。</w:t>
      </w:r>
    </w:p>
    <w:p w14:paraId="5595115F">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52C841C7">
      <w:pPr>
        <w:rPr>
          <w:rFonts w:hint="eastAsia" w:ascii="宋体" w:hAnsi="宋体" w:eastAsia="宋体" w:cs="宋体"/>
          <w:color w:val="auto"/>
          <w:sz w:val="24"/>
          <w:szCs w:val="24"/>
          <w:highlight w:val="none"/>
          <w:lang w:eastAsia="zh-CN"/>
        </w:rPr>
      </w:pPr>
    </w:p>
    <w:p w14:paraId="67904815">
      <w:pPr>
        <w:pStyle w:val="3"/>
        <w:spacing w:before="0" w:after="0" w:line="360" w:lineRule="auto"/>
        <w:jc w:val="center"/>
        <w:rPr>
          <w:rFonts w:hint="eastAsia" w:ascii="宋体" w:hAnsi="宋体" w:eastAsia="宋体" w:cs="宋体"/>
          <w:bCs w:val="0"/>
          <w:color w:val="auto"/>
          <w:sz w:val="24"/>
          <w:szCs w:val="24"/>
          <w:highlight w:val="none"/>
          <w:lang w:eastAsia="zh-CN"/>
        </w:rPr>
      </w:pPr>
      <w:bookmarkStart w:id="141" w:name="_Toc29190"/>
      <w:r>
        <w:rPr>
          <w:rFonts w:hint="eastAsia" w:ascii="宋体" w:hAnsi="宋体" w:eastAsia="宋体" w:cs="宋体"/>
          <w:bCs w:val="0"/>
          <w:color w:val="auto"/>
          <w:sz w:val="24"/>
          <w:szCs w:val="24"/>
          <w:highlight w:val="none"/>
          <w:lang w:eastAsia="zh-CN"/>
        </w:rPr>
        <w:t>九、</w:t>
      </w:r>
      <w:bookmarkEnd w:id="136"/>
      <w:r>
        <w:rPr>
          <w:rFonts w:hint="eastAsia" w:ascii="宋体" w:hAnsi="宋体" w:eastAsia="宋体" w:cs="宋体"/>
          <w:bCs w:val="0"/>
          <w:color w:val="auto"/>
          <w:sz w:val="24"/>
          <w:szCs w:val="24"/>
          <w:highlight w:val="none"/>
          <w:lang w:eastAsia="zh-CN"/>
        </w:rPr>
        <w:t>供应商近年类似业绩情况表</w:t>
      </w:r>
      <w:bookmarkEnd w:id="141"/>
    </w:p>
    <w:p w14:paraId="252A30D6">
      <w:pPr>
        <w:spacing w:line="360" w:lineRule="auto"/>
        <w:rPr>
          <w:rFonts w:hint="eastAsia" w:ascii="宋体" w:hAnsi="宋体" w:eastAsia="宋体" w:cs="宋体"/>
          <w:color w:val="auto"/>
          <w:sz w:val="24"/>
          <w:szCs w:val="24"/>
          <w:highlight w:val="none"/>
          <w:lang w:eastAsia="zh-CN"/>
        </w:rPr>
      </w:pPr>
    </w:p>
    <w:tbl>
      <w:tblPr>
        <w:tblStyle w:val="36"/>
        <w:tblW w:w="872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29"/>
        <w:gridCol w:w="1156"/>
        <w:gridCol w:w="1156"/>
        <w:gridCol w:w="1155"/>
        <w:gridCol w:w="1155"/>
        <w:gridCol w:w="1155"/>
        <w:gridCol w:w="1155"/>
        <w:gridCol w:w="1157"/>
        <w:gridCol w:w="9"/>
      </w:tblGrid>
      <w:tr w14:paraId="619DB1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0" w:hRule="atLeast"/>
          <w:jc w:val="center"/>
        </w:trPr>
        <w:tc>
          <w:tcPr>
            <w:tcW w:w="629" w:type="dxa"/>
            <w:tcBorders>
              <w:top w:val="single" w:color="auto" w:sz="4" w:space="0"/>
            </w:tcBorders>
            <w:vAlign w:val="center"/>
          </w:tcPr>
          <w:p w14:paraId="5EA0481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1156" w:type="dxa"/>
            <w:vAlign w:val="center"/>
          </w:tcPr>
          <w:p w14:paraId="45FAD66D">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采购人</w:t>
            </w:r>
          </w:p>
        </w:tc>
        <w:tc>
          <w:tcPr>
            <w:tcW w:w="1156" w:type="dxa"/>
            <w:vAlign w:val="center"/>
          </w:tcPr>
          <w:p w14:paraId="4300EA4A">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p>
        </w:tc>
        <w:tc>
          <w:tcPr>
            <w:tcW w:w="1155" w:type="dxa"/>
            <w:vAlign w:val="center"/>
          </w:tcPr>
          <w:p w14:paraId="1528F8CB">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p>
        </w:tc>
        <w:tc>
          <w:tcPr>
            <w:tcW w:w="1155" w:type="dxa"/>
            <w:vAlign w:val="center"/>
          </w:tcPr>
          <w:p w14:paraId="5FDD4A67">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tc>
        <w:tc>
          <w:tcPr>
            <w:tcW w:w="1155" w:type="dxa"/>
            <w:vAlign w:val="center"/>
          </w:tcPr>
          <w:p w14:paraId="477C3645">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完成时间</w:t>
            </w:r>
          </w:p>
        </w:tc>
        <w:tc>
          <w:tcPr>
            <w:tcW w:w="1155" w:type="dxa"/>
            <w:vAlign w:val="center"/>
          </w:tcPr>
          <w:p w14:paraId="033AE1A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合同金额</w:t>
            </w:r>
          </w:p>
        </w:tc>
        <w:tc>
          <w:tcPr>
            <w:tcW w:w="1166" w:type="dxa"/>
            <w:gridSpan w:val="2"/>
            <w:tcBorders>
              <w:right w:val="single" w:color="auto" w:sz="4" w:space="0"/>
            </w:tcBorders>
            <w:vAlign w:val="center"/>
          </w:tcPr>
          <w:p w14:paraId="04EF0BA0">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14:paraId="1C548C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0" w:hRule="atLeast"/>
          <w:jc w:val="center"/>
        </w:trPr>
        <w:tc>
          <w:tcPr>
            <w:tcW w:w="629" w:type="dxa"/>
            <w:vAlign w:val="center"/>
          </w:tcPr>
          <w:p w14:paraId="79B6EFD0">
            <w:pPr>
              <w:spacing w:line="360" w:lineRule="auto"/>
              <w:jc w:val="center"/>
              <w:rPr>
                <w:rFonts w:hint="eastAsia" w:ascii="宋体" w:hAnsi="宋体" w:eastAsia="宋体" w:cs="宋体"/>
                <w:color w:val="auto"/>
                <w:sz w:val="24"/>
                <w:szCs w:val="24"/>
                <w:highlight w:val="none"/>
              </w:rPr>
            </w:pPr>
          </w:p>
        </w:tc>
        <w:tc>
          <w:tcPr>
            <w:tcW w:w="1156" w:type="dxa"/>
            <w:vAlign w:val="center"/>
          </w:tcPr>
          <w:p w14:paraId="7A1B00A3">
            <w:pPr>
              <w:spacing w:line="360" w:lineRule="auto"/>
              <w:jc w:val="center"/>
              <w:rPr>
                <w:rFonts w:hint="eastAsia" w:ascii="宋体" w:hAnsi="宋体" w:eastAsia="宋体" w:cs="宋体"/>
                <w:color w:val="auto"/>
                <w:sz w:val="24"/>
                <w:szCs w:val="24"/>
                <w:highlight w:val="none"/>
              </w:rPr>
            </w:pPr>
          </w:p>
        </w:tc>
        <w:tc>
          <w:tcPr>
            <w:tcW w:w="1156" w:type="dxa"/>
            <w:vAlign w:val="center"/>
          </w:tcPr>
          <w:p w14:paraId="78F453A4">
            <w:pPr>
              <w:spacing w:line="360" w:lineRule="auto"/>
              <w:jc w:val="center"/>
              <w:rPr>
                <w:rFonts w:hint="eastAsia" w:ascii="宋体" w:hAnsi="宋体" w:eastAsia="宋体" w:cs="宋体"/>
                <w:color w:val="auto"/>
                <w:sz w:val="24"/>
                <w:szCs w:val="24"/>
                <w:highlight w:val="none"/>
              </w:rPr>
            </w:pPr>
          </w:p>
        </w:tc>
        <w:tc>
          <w:tcPr>
            <w:tcW w:w="1155" w:type="dxa"/>
            <w:vAlign w:val="center"/>
          </w:tcPr>
          <w:p w14:paraId="5039A01B">
            <w:pPr>
              <w:spacing w:line="360" w:lineRule="auto"/>
              <w:jc w:val="center"/>
              <w:rPr>
                <w:rFonts w:hint="eastAsia" w:ascii="宋体" w:hAnsi="宋体" w:eastAsia="宋体" w:cs="宋体"/>
                <w:color w:val="auto"/>
                <w:sz w:val="24"/>
                <w:szCs w:val="24"/>
                <w:highlight w:val="none"/>
              </w:rPr>
            </w:pPr>
          </w:p>
        </w:tc>
        <w:tc>
          <w:tcPr>
            <w:tcW w:w="1155" w:type="dxa"/>
            <w:vAlign w:val="center"/>
          </w:tcPr>
          <w:p w14:paraId="4DC00A71">
            <w:pPr>
              <w:spacing w:line="360" w:lineRule="auto"/>
              <w:jc w:val="center"/>
              <w:rPr>
                <w:rFonts w:hint="eastAsia" w:ascii="宋体" w:hAnsi="宋体" w:eastAsia="宋体" w:cs="宋体"/>
                <w:color w:val="auto"/>
                <w:sz w:val="24"/>
                <w:szCs w:val="24"/>
                <w:highlight w:val="none"/>
              </w:rPr>
            </w:pPr>
          </w:p>
        </w:tc>
        <w:tc>
          <w:tcPr>
            <w:tcW w:w="1155" w:type="dxa"/>
            <w:vAlign w:val="center"/>
          </w:tcPr>
          <w:p w14:paraId="5B5D7AB3">
            <w:pPr>
              <w:spacing w:line="360" w:lineRule="auto"/>
              <w:jc w:val="center"/>
              <w:rPr>
                <w:rFonts w:hint="eastAsia" w:ascii="宋体" w:hAnsi="宋体" w:eastAsia="宋体" w:cs="宋体"/>
                <w:color w:val="auto"/>
                <w:sz w:val="24"/>
                <w:szCs w:val="24"/>
                <w:highlight w:val="none"/>
              </w:rPr>
            </w:pPr>
          </w:p>
        </w:tc>
        <w:tc>
          <w:tcPr>
            <w:tcW w:w="1155" w:type="dxa"/>
            <w:vAlign w:val="center"/>
          </w:tcPr>
          <w:p w14:paraId="2C390337">
            <w:pPr>
              <w:spacing w:line="360" w:lineRule="auto"/>
              <w:jc w:val="center"/>
              <w:rPr>
                <w:rFonts w:hint="eastAsia" w:ascii="宋体" w:hAnsi="宋体" w:eastAsia="宋体" w:cs="宋体"/>
                <w:color w:val="auto"/>
                <w:sz w:val="24"/>
                <w:szCs w:val="24"/>
                <w:highlight w:val="none"/>
              </w:rPr>
            </w:pPr>
          </w:p>
        </w:tc>
        <w:tc>
          <w:tcPr>
            <w:tcW w:w="1166" w:type="dxa"/>
            <w:gridSpan w:val="2"/>
            <w:tcBorders>
              <w:right w:val="single" w:color="auto" w:sz="4" w:space="0"/>
            </w:tcBorders>
            <w:vAlign w:val="center"/>
          </w:tcPr>
          <w:p w14:paraId="223D14D2">
            <w:pPr>
              <w:spacing w:line="360" w:lineRule="auto"/>
              <w:jc w:val="center"/>
              <w:rPr>
                <w:rFonts w:hint="eastAsia" w:ascii="宋体" w:hAnsi="宋体" w:eastAsia="宋体" w:cs="宋体"/>
                <w:color w:val="auto"/>
                <w:sz w:val="24"/>
                <w:szCs w:val="24"/>
                <w:highlight w:val="none"/>
              </w:rPr>
            </w:pPr>
          </w:p>
        </w:tc>
      </w:tr>
      <w:tr w14:paraId="14B3A3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0" w:hRule="atLeast"/>
          <w:jc w:val="center"/>
        </w:trPr>
        <w:tc>
          <w:tcPr>
            <w:tcW w:w="629" w:type="dxa"/>
            <w:vAlign w:val="center"/>
          </w:tcPr>
          <w:p w14:paraId="72ABD1B2">
            <w:pPr>
              <w:spacing w:line="360" w:lineRule="auto"/>
              <w:jc w:val="center"/>
              <w:rPr>
                <w:rFonts w:hint="eastAsia" w:ascii="宋体" w:hAnsi="宋体" w:eastAsia="宋体" w:cs="宋体"/>
                <w:color w:val="auto"/>
                <w:sz w:val="24"/>
                <w:szCs w:val="24"/>
                <w:highlight w:val="none"/>
              </w:rPr>
            </w:pPr>
          </w:p>
        </w:tc>
        <w:tc>
          <w:tcPr>
            <w:tcW w:w="1156" w:type="dxa"/>
            <w:vAlign w:val="center"/>
          </w:tcPr>
          <w:p w14:paraId="44987F58">
            <w:pPr>
              <w:spacing w:line="360" w:lineRule="auto"/>
              <w:jc w:val="center"/>
              <w:rPr>
                <w:rFonts w:hint="eastAsia" w:ascii="宋体" w:hAnsi="宋体" w:eastAsia="宋体" w:cs="宋体"/>
                <w:color w:val="auto"/>
                <w:sz w:val="24"/>
                <w:szCs w:val="24"/>
                <w:highlight w:val="none"/>
              </w:rPr>
            </w:pPr>
          </w:p>
        </w:tc>
        <w:tc>
          <w:tcPr>
            <w:tcW w:w="1156" w:type="dxa"/>
            <w:vAlign w:val="center"/>
          </w:tcPr>
          <w:p w14:paraId="295A192E">
            <w:pPr>
              <w:spacing w:line="360" w:lineRule="auto"/>
              <w:jc w:val="center"/>
              <w:rPr>
                <w:rFonts w:hint="eastAsia" w:ascii="宋体" w:hAnsi="宋体" w:eastAsia="宋体" w:cs="宋体"/>
                <w:color w:val="auto"/>
                <w:sz w:val="24"/>
                <w:szCs w:val="24"/>
                <w:highlight w:val="none"/>
              </w:rPr>
            </w:pPr>
          </w:p>
        </w:tc>
        <w:tc>
          <w:tcPr>
            <w:tcW w:w="1155" w:type="dxa"/>
            <w:vAlign w:val="center"/>
          </w:tcPr>
          <w:p w14:paraId="0084B4C2">
            <w:pPr>
              <w:spacing w:line="360" w:lineRule="auto"/>
              <w:jc w:val="center"/>
              <w:rPr>
                <w:rFonts w:hint="eastAsia" w:ascii="宋体" w:hAnsi="宋体" w:eastAsia="宋体" w:cs="宋体"/>
                <w:color w:val="auto"/>
                <w:sz w:val="24"/>
                <w:szCs w:val="24"/>
                <w:highlight w:val="none"/>
              </w:rPr>
            </w:pPr>
          </w:p>
        </w:tc>
        <w:tc>
          <w:tcPr>
            <w:tcW w:w="1155" w:type="dxa"/>
            <w:vAlign w:val="center"/>
          </w:tcPr>
          <w:p w14:paraId="7E172F0B">
            <w:pPr>
              <w:spacing w:line="360" w:lineRule="auto"/>
              <w:jc w:val="center"/>
              <w:rPr>
                <w:rFonts w:hint="eastAsia" w:ascii="宋体" w:hAnsi="宋体" w:eastAsia="宋体" w:cs="宋体"/>
                <w:color w:val="auto"/>
                <w:sz w:val="24"/>
                <w:szCs w:val="24"/>
                <w:highlight w:val="none"/>
              </w:rPr>
            </w:pPr>
          </w:p>
        </w:tc>
        <w:tc>
          <w:tcPr>
            <w:tcW w:w="1155" w:type="dxa"/>
            <w:vAlign w:val="center"/>
          </w:tcPr>
          <w:p w14:paraId="5A74BE85">
            <w:pPr>
              <w:spacing w:line="360" w:lineRule="auto"/>
              <w:jc w:val="center"/>
              <w:rPr>
                <w:rFonts w:hint="eastAsia" w:ascii="宋体" w:hAnsi="宋体" w:eastAsia="宋体" w:cs="宋体"/>
                <w:color w:val="auto"/>
                <w:sz w:val="24"/>
                <w:szCs w:val="24"/>
                <w:highlight w:val="none"/>
              </w:rPr>
            </w:pPr>
          </w:p>
        </w:tc>
        <w:tc>
          <w:tcPr>
            <w:tcW w:w="1155" w:type="dxa"/>
            <w:vAlign w:val="center"/>
          </w:tcPr>
          <w:p w14:paraId="4BBDCD8E">
            <w:pPr>
              <w:spacing w:line="360" w:lineRule="auto"/>
              <w:jc w:val="center"/>
              <w:rPr>
                <w:rFonts w:hint="eastAsia" w:ascii="宋体" w:hAnsi="宋体" w:eastAsia="宋体" w:cs="宋体"/>
                <w:color w:val="auto"/>
                <w:sz w:val="24"/>
                <w:szCs w:val="24"/>
                <w:highlight w:val="none"/>
              </w:rPr>
            </w:pPr>
          </w:p>
        </w:tc>
        <w:tc>
          <w:tcPr>
            <w:tcW w:w="1166" w:type="dxa"/>
            <w:gridSpan w:val="2"/>
            <w:tcBorders>
              <w:right w:val="single" w:color="auto" w:sz="4" w:space="0"/>
            </w:tcBorders>
            <w:vAlign w:val="center"/>
          </w:tcPr>
          <w:p w14:paraId="4B83A73D">
            <w:pPr>
              <w:spacing w:line="360" w:lineRule="auto"/>
              <w:jc w:val="center"/>
              <w:rPr>
                <w:rFonts w:hint="eastAsia" w:ascii="宋体" w:hAnsi="宋体" w:eastAsia="宋体" w:cs="宋体"/>
                <w:color w:val="auto"/>
                <w:sz w:val="24"/>
                <w:szCs w:val="24"/>
                <w:highlight w:val="none"/>
              </w:rPr>
            </w:pPr>
          </w:p>
        </w:tc>
      </w:tr>
      <w:tr w14:paraId="0C3D4C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0" w:hRule="atLeast"/>
          <w:jc w:val="center"/>
        </w:trPr>
        <w:tc>
          <w:tcPr>
            <w:tcW w:w="629" w:type="dxa"/>
            <w:vAlign w:val="center"/>
          </w:tcPr>
          <w:p w14:paraId="4A8700C2">
            <w:pPr>
              <w:spacing w:line="360" w:lineRule="auto"/>
              <w:jc w:val="center"/>
              <w:rPr>
                <w:rFonts w:hint="eastAsia" w:ascii="宋体" w:hAnsi="宋体" w:eastAsia="宋体" w:cs="宋体"/>
                <w:color w:val="auto"/>
                <w:sz w:val="24"/>
                <w:szCs w:val="24"/>
                <w:highlight w:val="none"/>
              </w:rPr>
            </w:pPr>
          </w:p>
        </w:tc>
        <w:tc>
          <w:tcPr>
            <w:tcW w:w="1156" w:type="dxa"/>
            <w:vAlign w:val="center"/>
          </w:tcPr>
          <w:p w14:paraId="3834FA67">
            <w:pPr>
              <w:spacing w:line="360" w:lineRule="auto"/>
              <w:jc w:val="center"/>
              <w:rPr>
                <w:rFonts w:hint="eastAsia" w:ascii="宋体" w:hAnsi="宋体" w:eastAsia="宋体" w:cs="宋体"/>
                <w:color w:val="auto"/>
                <w:sz w:val="24"/>
                <w:szCs w:val="24"/>
                <w:highlight w:val="none"/>
              </w:rPr>
            </w:pPr>
          </w:p>
        </w:tc>
        <w:tc>
          <w:tcPr>
            <w:tcW w:w="1156" w:type="dxa"/>
            <w:vAlign w:val="center"/>
          </w:tcPr>
          <w:p w14:paraId="637718C8">
            <w:pPr>
              <w:spacing w:line="360" w:lineRule="auto"/>
              <w:jc w:val="center"/>
              <w:rPr>
                <w:rFonts w:hint="eastAsia" w:ascii="宋体" w:hAnsi="宋体" w:eastAsia="宋体" w:cs="宋体"/>
                <w:color w:val="auto"/>
                <w:sz w:val="24"/>
                <w:szCs w:val="24"/>
                <w:highlight w:val="none"/>
              </w:rPr>
            </w:pPr>
          </w:p>
        </w:tc>
        <w:tc>
          <w:tcPr>
            <w:tcW w:w="1155" w:type="dxa"/>
            <w:vAlign w:val="center"/>
          </w:tcPr>
          <w:p w14:paraId="6AFEA8EA">
            <w:pPr>
              <w:spacing w:line="360" w:lineRule="auto"/>
              <w:jc w:val="center"/>
              <w:rPr>
                <w:rFonts w:hint="eastAsia" w:ascii="宋体" w:hAnsi="宋体" w:eastAsia="宋体" w:cs="宋体"/>
                <w:color w:val="auto"/>
                <w:sz w:val="24"/>
                <w:szCs w:val="24"/>
                <w:highlight w:val="none"/>
              </w:rPr>
            </w:pPr>
          </w:p>
        </w:tc>
        <w:tc>
          <w:tcPr>
            <w:tcW w:w="1155" w:type="dxa"/>
            <w:vAlign w:val="center"/>
          </w:tcPr>
          <w:p w14:paraId="46A3074D">
            <w:pPr>
              <w:spacing w:line="360" w:lineRule="auto"/>
              <w:jc w:val="center"/>
              <w:rPr>
                <w:rFonts w:hint="eastAsia" w:ascii="宋体" w:hAnsi="宋体" w:eastAsia="宋体" w:cs="宋体"/>
                <w:color w:val="auto"/>
                <w:sz w:val="24"/>
                <w:szCs w:val="24"/>
                <w:highlight w:val="none"/>
              </w:rPr>
            </w:pPr>
          </w:p>
        </w:tc>
        <w:tc>
          <w:tcPr>
            <w:tcW w:w="1155" w:type="dxa"/>
            <w:vAlign w:val="center"/>
          </w:tcPr>
          <w:p w14:paraId="775BFD32">
            <w:pPr>
              <w:spacing w:line="360" w:lineRule="auto"/>
              <w:jc w:val="center"/>
              <w:rPr>
                <w:rFonts w:hint="eastAsia" w:ascii="宋体" w:hAnsi="宋体" w:eastAsia="宋体" w:cs="宋体"/>
                <w:color w:val="auto"/>
                <w:sz w:val="24"/>
                <w:szCs w:val="24"/>
                <w:highlight w:val="none"/>
              </w:rPr>
            </w:pPr>
          </w:p>
        </w:tc>
        <w:tc>
          <w:tcPr>
            <w:tcW w:w="1155" w:type="dxa"/>
            <w:vAlign w:val="center"/>
          </w:tcPr>
          <w:p w14:paraId="1F0D5A68">
            <w:pPr>
              <w:spacing w:line="360" w:lineRule="auto"/>
              <w:jc w:val="center"/>
              <w:rPr>
                <w:rFonts w:hint="eastAsia" w:ascii="宋体" w:hAnsi="宋体" w:eastAsia="宋体" w:cs="宋体"/>
                <w:color w:val="auto"/>
                <w:sz w:val="24"/>
                <w:szCs w:val="24"/>
                <w:highlight w:val="none"/>
              </w:rPr>
            </w:pPr>
          </w:p>
        </w:tc>
        <w:tc>
          <w:tcPr>
            <w:tcW w:w="1166" w:type="dxa"/>
            <w:gridSpan w:val="2"/>
            <w:tcBorders>
              <w:right w:val="single" w:color="auto" w:sz="4" w:space="0"/>
            </w:tcBorders>
            <w:vAlign w:val="center"/>
          </w:tcPr>
          <w:p w14:paraId="5E520958">
            <w:pPr>
              <w:spacing w:line="360" w:lineRule="auto"/>
              <w:jc w:val="center"/>
              <w:rPr>
                <w:rFonts w:hint="eastAsia" w:ascii="宋体" w:hAnsi="宋体" w:eastAsia="宋体" w:cs="宋体"/>
                <w:color w:val="auto"/>
                <w:sz w:val="24"/>
                <w:szCs w:val="24"/>
                <w:highlight w:val="none"/>
              </w:rPr>
            </w:pPr>
          </w:p>
        </w:tc>
      </w:tr>
      <w:tr w14:paraId="081AD4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0" w:hRule="atLeast"/>
          <w:jc w:val="center"/>
        </w:trPr>
        <w:tc>
          <w:tcPr>
            <w:tcW w:w="629" w:type="dxa"/>
            <w:vAlign w:val="center"/>
          </w:tcPr>
          <w:p w14:paraId="26A65124">
            <w:pPr>
              <w:spacing w:line="360" w:lineRule="auto"/>
              <w:jc w:val="center"/>
              <w:rPr>
                <w:rFonts w:hint="eastAsia" w:ascii="宋体" w:hAnsi="宋体" w:eastAsia="宋体" w:cs="宋体"/>
                <w:color w:val="auto"/>
                <w:sz w:val="24"/>
                <w:szCs w:val="24"/>
                <w:highlight w:val="none"/>
              </w:rPr>
            </w:pPr>
          </w:p>
        </w:tc>
        <w:tc>
          <w:tcPr>
            <w:tcW w:w="1156" w:type="dxa"/>
            <w:tcBorders>
              <w:right w:val="single" w:color="auto" w:sz="4" w:space="0"/>
            </w:tcBorders>
            <w:vAlign w:val="center"/>
          </w:tcPr>
          <w:p w14:paraId="55839A02">
            <w:pPr>
              <w:spacing w:line="360" w:lineRule="auto"/>
              <w:jc w:val="center"/>
              <w:rPr>
                <w:rFonts w:hint="eastAsia" w:ascii="宋体" w:hAnsi="宋体" w:eastAsia="宋体" w:cs="宋体"/>
                <w:color w:val="auto"/>
                <w:sz w:val="24"/>
                <w:szCs w:val="24"/>
                <w:highlight w:val="none"/>
              </w:rPr>
            </w:pPr>
          </w:p>
        </w:tc>
        <w:tc>
          <w:tcPr>
            <w:tcW w:w="1156" w:type="dxa"/>
            <w:tcBorders>
              <w:left w:val="single" w:color="auto" w:sz="4" w:space="0"/>
            </w:tcBorders>
            <w:vAlign w:val="center"/>
          </w:tcPr>
          <w:p w14:paraId="34B826F4">
            <w:pPr>
              <w:spacing w:line="360" w:lineRule="auto"/>
              <w:jc w:val="center"/>
              <w:rPr>
                <w:rFonts w:hint="eastAsia" w:ascii="宋体" w:hAnsi="宋体" w:eastAsia="宋体" w:cs="宋体"/>
                <w:color w:val="auto"/>
                <w:sz w:val="24"/>
                <w:szCs w:val="24"/>
                <w:highlight w:val="none"/>
              </w:rPr>
            </w:pPr>
          </w:p>
        </w:tc>
        <w:tc>
          <w:tcPr>
            <w:tcW w:w="1155" w:type="dxa"/>
            <w:tcBorders>
              <w:left w:val="single" w:color="auto" w:sz="4" w:space="0"/>
            </w:tcBorders>
            <w:vAlign w:val="center"/>
          </w:tcPr>
          <w:p w14:paraId="17BB2B85">
            <w:pPr>
              <w:spacing w:line="360" w:lineRule="auto"/>
              <w:jc w:val="center"/>
              <w:rPr>
                <w:rFonts w:hint="eastAsia" w:ascii="宋体" w:hAnsi="宋体" w:eastAsia="宋体" w:cs="宋体"/>
                <w:color w:val="auto"/>
                <w:sz w:val="24"/>
                <w:szCs w:val="24"/>
                <w:highlight w:val="none"/>
              </w:rPr>
            </w:pPr>
          </w:p>
        </w:tc>
        <w:tc>
          <w:tcPr>
            <w:tcW w:w="1155" w:type="dxa"/>
            <w:tcBorders>
              <w:left w:val="single" w:color="auto" w:sz="4" w:space="0"/>
            </w:tcBorders>
            <w:vAlign w:val="center"/>
          </w:tcPr>
          <w:p w14:paraId="02814EBC">
            <w:pPr>
              <w:spacing w:line="360" w:lineRule="auto"/>
              <w:jc w:val="center"/>
              <w:rPr>
                <w:rFonts w:hint="eastAsia" w:ascii="宋体" w:hAnsi="宋体" w:eastAsia="宋体" w:cs="宋体"/>
                <w:color w:val="auto"/>
                <w:sz w:val="24"/>
                <w:szCs w:val="24"/>
                <w:highlight w:val="none"/>
              </w:rPr>
            </w:pPr>
          </w:p>
        </w:tc>
        <w:tc>
          <w:tcPr>
            <w:tcW w:w="1155" w:type="dxa"/>
            <w:vAlign w:val="center"/>
          </w:tcPr>
          <w:p w14:paraId="35B6255D">
            <w:pPr>
              <w:spacing w:line="360" w:lineRule="auto"/>
              <w:jc w:val="center"/>
              <w:rPr>
                <w:rFonts w:hint="eastAsia" w:ascii="宋体" w:hAnsi="宋体" w:eastAsia="宋体" w:cs="宋体"/>
                <w:color w:val="auto"/>
                <w:sz w:val="24"/>
                <w:szCs w:val="24"/>
                <w:highlight w:val="none"/>
              </w:rPr>
            </w:pPr>
          </w:p>
        </w:tc>
        <w:tc>
          <w:tcPr>
            <w:tcW w:w="1155" w:type="dxa"/>
            <w:vAlign w:val="center"/>
          </w:tcPr>
          <w:p w14:paraId="27C43AEE">
            <w:pPr>
              <w:spacing w:line="360" w:lineRule="auto"/>
              <w:jc w:val="center"/>
              <w:rPr>
                <w:rFonts w:hint="eastAsia" w:ascii="宋体" w:hAnsi="宋体" w:eastAsia="宋体" w:cs="宋体"/>
                <w:color w:val="auto"/>
                <w:sz w:val="24"/>
                <w:szCs w:val="24"/>
                <w:highlight w:val="none"/>
              </w:rPr>
            </w:pPr>
          </w:p>
        </w:tc>
        <w:tc>
          <w:tcPr>
            <w:tcW w:w="1166" w:type="dxa"/>
            <w:gridSpan w:val="2"/>
            <w:tcBorders>
              <w:right w:val="single" w:color="auto" w:sz="4" w:space="0"/>
            </w:tcBorders>
            <w:vAlign w:val="center"/>
          </w:tcPr>
          <w:p w14:paraId="2E157449">
            <w:pPr>
              <w:spacing w:line="360" w:lineRule="auto"/>
              <w:jc w:val="center"/>
              <w:rPr>
                <w:rFonts w:hint="eastAsia" w:ascii="宋体" w:hAnsi="宋体" w:eastAsia="宋体" w:cs="宋体"/>
                <w:color w:val="auto"/>
                <w:sz w:val="24"/>
                <w:szCs w:val="24"/>
                <w:highlight w:val="none"/>
              </w:rPr>
            </w:pPr>
          </w:p>
        </w:tc>
      </w:tr>
      <w:tr w14:paraId="04D12E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0" w:hRule="atLeast"/>
          <w:jc w:val="center"/>
        </w:trPr>
        <w:tc>
          <w:tcPr>
            <w:tcW w:w="629" w:type="dxa"/>
            <w:tcBorders>
              <w:right w:val="single" w:color="auto" w:sz="4" w:space="0"/>
            </w:tcBorders>
            <w:vAlign w:val="center"/>
          </w:tcPr>
          <w:p w14:paraId="08519DF9">
            <w:pPr>
              <w:spacing w:line="360" w:lineRule="auto"/>
              <w:rPr>
                <w:rFonts w:hint="eastAsia" w:ascii="宋体" w:hAnsi="宋体" w:eastAsia="宋体" w:cs="宋体"/>
                <w:color w:val="auto"/>
                <w:sz w:val="24"/>
                <w:szCs w:val="24"/>
                <w:highlight w:val="none"/>
              </w:rPr>
            </w:pPr>
          </w:p>
        </w:tc>
        <w:tc>
          <w:tcPr>
            <w:tcW w:w="1156" w:type="dxa"/>
            <w:tcBorders>
              <w:left w:val="single" w:color="auto" w:sz="4" w:space="0"/>
              <w:right w:val="single" w:color="auto" w:sz="4" w:space="0"/>
            </w:tcBorders>
            <w:vAlign w:val="center"/>
          </w:tcPr>
          <w:p w14:paraId="3E26170C">
            <w:pPr>
              <w:spacing w:line="360" w:lineRule="auto"/>
              <w:rPr>
                <w:rFonts w:hint="eastAsia" w:ascii="宋体" w:hAnsi="宋体" w:eastAsia="宋体" w:cs="宋体"/>
                <w:color w:val="auto"/>
                <w:sz w:val="24"/>
                <w:szCs w:val="24"/>
                <w:highlight w:val="none"/>
              </w:rPr>
            </w:pPr>
          </w:p>
        </w:tc>
        <w:tc>
          <w:tcPr>
            <w:tcW w:w="1156" w:type="dxa"/>
            <w:tcBorders>
              <w:left w:val="single" w:color="auto" w:sz="4" w:space="0"/>
              <w:right w:val="single" w:color="auto" w:sz="4" w:space="0"/>
            </w:tcBorders>
            <w:vAlign w:val="center"/>
          </w:tcPr>
          <w:p w14:paraId="564F0D09">
            <w:pPr>
              <w:spacing w:line="360" w:lineRule="auto"/>
              <w:rPr>
                <w:rFonts w:hint="eastAsia" w:ascii="宋体" w:hAnsi="宋体" w:eastAsia="宋体" w:cs="宋体"/>
                <w:color w:val="auto"/>
                <w:sz w:val="24"/>
                <w:szCs w:val="24"/>
                <w:highlight w:val="none"/>
              </w:rPr>
            </w:pPr>
          </w:p>
        </w:tc>
        <w:tc>
          <w:tcPr>
            <w:tcW w:w="1155" w:type="dxa"/>
            <w:tcBorders>
              <w:left w:val="single" w:color="auto" w:sz="4" w:space="0"/>
              <w:right w:val="single" w:color="auto" w:sz="4" w:space="0"/>
            </w:tcBorders>
            <w:vAlign w:val="center"/>
          </w:tcPr>
          <w:p w14:paraId="31B3FEC4">
            <w:pPr>
              <w:spacing w:line="360" w:lineRule="auto"/>
              <w:rPr>
                <w:rFonts w:hint="eastAsia" w:ascii="宋体" w:hAnsi="宋体" w:eastAsia="宋体" w:cs="宋体"/>
                <w:color w:val="auto"/>
                <w:sz w:val="24"/>
                <w:szCs w:val="24"/>
                <w:highlight w:val="none"/>
              </w:rPr>
            </w:pPr>
          </w:p>
        </w:tc>
        <w:tc>
          <w:tcPr>
            <w:tcW w:w="1155" w:type="dxa"/>
            <w:tcBorders>
              <w:left w:val="single" w:color="auto" w:sz="4" w:space="0"/>
              <w:right w:val="single" w:color="auto" w:sz="4" w:space="0"/>
            </w:tcBorders>
            <w:vAlign w:val="center"/>
          </w:tcPr>
          <w:p w14:paraId="61417FA4">
            <w:pPr>
              <w:spacing w:line="360" w:lineRule="auto"/>
              <w:rPr>
                <w:rFonts w:hint="eastAsia" w:ascii="宋体" w:hAnsi="宋体" w:eastAsia="宋体" w:cs="宋体"/>
                <w:color w:val="auto"/>
                <w:sz w:val="24"/>
                <w:szCs w:val="24"/>
                <w:highlight w:val="none"/>
              </w:rPr>
            </w:pPr>
          </w:p>
        </w:tc>
        <w:tc>
          <w:tcPr>
            <w:tcW w:w="1155" w:type="dxa"/>
            <w:tcBorders>
              <w:left w:val="single" w:color="auto" w:sz="4" w:space="0"/>
              <w:right w:val="single" w:color="auto" w:sz="4" w:space="0"/>
            </w:tcBorders>
            <w:vAlign w:val="center"/>
          </w:tcPr>
          <w:p w14:paraId="28CA99A3">
            <w:pPr>
              <w:spacing w:line="360" w:lineRule="auto"/>
              <w:rPr>
                <w:rFonts w:hint="eastAsia" w:ascii="宋体" w:hAnsi="宋体" w:eastAsia="宋体" w:cs="宋体"/>
                <w:color w:val="auto"/>
                <w:sz w:val="24"/>
                <w:szCs w:val="24"/>
                <w:highlight w:val="none"/>
              </w:rPr>
            </w:pPr>
          </w:p>
        </w:tc>
        <w:tc>
          <w:tcPr>
            <w:tcW w:w="1155" w:type="dxa"/>
            <w:tcBorders>
              <w:left w:val="single" w:color="auto" w:sz="4" w:space="0"/>
              <w:right w:val="single" w:color="auto" w:sz="4" w:space="0"/>
            </w:tcBorders>
            <w:vAlign w:val="center"/>
          </w:tcPr>
          <w:p w14:paraId="7F74BAA2">
            <w:pPr>
              <w:spacing w:line="360" w:lineRule="auto"/>
              <w:rPr>
                <w:rFonts w:hint="eastAsia" w:ascii="宋体" w:hAnsi="宋体" w:eastAsia="宋体" w:cs="宋体"/>
                <w:color w:val="auto"/>
                <w:sz w:val="24"/>
                <w:szCs w:val="24"/>
                <w:highlight w:val="none"/>
              </w:rPr>
            </w:pPr>
          </w:p>
        </w:tc>
        <w:tc>
          <w:tcPr>
            <w:tcW w:w="1166" w:type="dxa"/>
            <w:gridSpan w:val="2"/>
            <w:tcBorders>
              <w:left w:val="single" w:color="auto" w:sz="4" w:space="0"/>
              <w:right w:val="single" w:color="auto" w:sz="4" w:space="0"/>
            </w:tcBorders>
            <w:vAlign w:val="center"/>
          </w:tcPr>
          <w:p w14:paraId="3C28D070">
            <w:pPr>
              <w:spacing w:line="360" w:lineRule="auto"/>
              <w:rPr>
                <w:rFonts w:hint="eastAsia" w:ascii="宋体" w:hAnsi="宋体" w:eastAsia="宋体" w:cs="宋体"/>
                <w:color w:val="auto"/>
                <w:sz w:val="24"/>
                <w:szCs w:val="24"/>
                <w:highlight w:val="none"/>
              </w:rPr>
            </w:pPr>
          </w:p>
        </w:tc>
      </w:tr>
      <w:tr w14:paraId="15AB9F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560" w:hRule="atLeast"/>
          <w:jc w:val="center"/>
        </w:trPr>
        <w:tc>
          <w:tcPr>
            <w:tcW w:w="629" w:type="dxa"/>
            <w:vAlign w:val="center"/>
          </w:tcPr>
          <w:p w14:paraId="67F6BD70">
            <w:pPr>
              <w:spacing w:line="360" w:lineRule="auto"/>
              <w:rPr>
                <w:rFonts w:hint="eastAsia" w:ascii="宋体" w:hAnsi="宋体" w:eastAsia="宋体" w:cs="宋体"/>
                <w:color w:val="auto"/>
                <w:sz w:val="24"/>
                <w:szCs w:val="24"/>
                <w:highlight w:val="none"/>
              </w:rPr>
            </w:pPr>
          </w:p>
        </w:tc>
        <w:tc>
          <w:tcPr>
            <w:tcW w:w="1156" w:type="dxa"/>
            <w:vAlign w:val="center"/>
          </w:tcPr>
          <w:p w14:paraId="7FCE618D">
            <w:pPr>
              <w:spacing w:line="360" w:lineRule="auto"/>
              <w:rPr>
                <w:rFonts w:hint="eastAsia" w:ascii="宋体" w:hAnsi="宋体" w:eastAsia="宋体" w:cs="宋体"/>
                <w:color w:val="auto"/>
                <w:sz w:val="24"/>
                <w:szCs w:val="24"/>
                <w:highlight w:val="none"/>
              </w:rPr>
            </w:pPr>
          </w:p>
        </w:tc>
        <w:tc>
          <w:tcPr>
            <w:tcW w:w="1156" w:type="dxa"/>
            <w:vAlign w:val="center"/>
          </w:tcPr>
          <w:p w14:paraId="2B8165B2">
            <w:pPr>
              <w:spacing w:line="360" w:lineRule="auto"/>
              <w:rPr>
                <w:rFonts w:hint="eastAsia" w:ascii="宋体" w:hAnsi="宋体" w:eastAsia="宋体" w:cs="宋体"/>
                <w:color w:val="auto"/>
                <w:sz w:val="24"/>
                <w:szCs w:val="24"/>
                <w:highlight w:val="none"/>
              </w:rPr>
            </w:pPr>
          </w:p>
        </w:tc>
        <w:tc>
          <w:tcPr>
            <w:tcW w:w="1155" w:type="dxa"/>
            <w:vAlign w:val="center"/>
          </w:tcPr>
          <w:p w14:paraId="1E2720BA">
            <w:pPr>
              <w:spacing w:line="360" w:lineRule="auto"/>
              <w:rPr>
                <w:rFonts w:hint="eastAsia" w:ascii="宋体" w:hAnsi="宋体" w:eastAsia="宋体" w:cs="宋体"/>
                <w:color w:val="auto"/>
                <w:sz w:val="24"/>
                <w:szCs w:val="24"/>
                <w:highlight w:val="none"/>
              </w:rPr>
            </w:pPr>
          </w:p>
        </w:tc>
        <w:tc>
          <w:tcPr>
            <w:tcW w:w="1155" w:type="dxa"/>
            <w:vAlign w:val="center"/>
          </w:tcPr>
          <w:p w14:paraId="5E1F48D9">
            <w:pPr>
              <w:spacing w:line="360" w:lineRule="auto"/>
              <w:rPr>
                <w:rFonts w:hint="eastAsia" w:ascii="宋体" w:hAnsi="宋体" w:eastAsia="宋体" w:cs="宋体"/>
                <w:color w:val="auto"/>
                <w:sz w:val="24"/>
                <w:szCs w:val="24"/>
                <w:highlight w:val="none"/>
              </w:rPr>
            </w:pPr>
          </w:p>
        </w:tc>
        <w:tc>
          <w:tcPr>
            <w:tcW w:w="1155" w:type="dxa"/>
            <w:vAlign w:val="center"/>
          </w:tcPr>
          <w:p w14:paraId="713A9F65">
            <w:pPr>
              <w:spacing w:line="360" w:lineRule="auto"/>
              <w:rPr>
                <w:rFonts w:hint="eastAsia" w:ascii="宋体" w:hAnsi="宋体" w:eastAsia="宋体" w:cs="宋体"/>
                <w:color w:val="auto"/>
                <w:sz w:val="24"/>
                <w:szCs w:val="24"/>
                <w:highlight w:val="none"/>
              </w:rPr>
            </w:pPr>
          </w:p>
        </w:tc>
        <w:tc>
          <w:tcPr>
            <w:tcW w:w="1155" w:type="dxa"/>
            <w:tcBorders>
              <w:right w:val="single" w:color="auto" w:sz="4" w:space="0"/>
            </w:tcBorders>
            <w:vAlign w:val="center"/>
          </w:tcPr>
          <w:p w14:paraId="7101DB7A">
            <w:pPr>
              <w:spacing w:line="360" w:lineRule="auto"/>
              <w:rPr>
                <w:rFonts w:hint="eastAsia" w:ascii="宋体" w:hAnsi="宋体" w:eastAsia="宋体" w:cs="宋体"/>
                <w:color w:val="auto"/>
                <w:sz w:val="24"/>
                <w:szCs w:val="24"/>
                <w:highlight w:val="none"/>
              </w:rPr>
            </w:pPr>
          </w:p>
        </w:tc>
        <w:tc>
          <w:tcPr>
            <w:tcW w:w="1157" w:type="dxa"/>
            <w:tcBorders>
              <w:left w:val="single" w:color="auto" w:sz="4" w:space="0"/>
              <w:right w:val="single" w:color="auto" w:sz="4" w:space="0"/>
            </w:tcBorders>
            <w:vAlign w:val="center"/>
          </w:tcPr>
          <w:p w14:paraId="6F4DC5D6">
            <w:pPr>
              <w:spacing w:line="360" w:lineRule="auto"/>
              <w:rPr>
                <w:rFonts w:hint="eastAsia" w:ascii="宋体" w:hAnsi="宋体" w:eastAsia="宋体" w:cs="宋体"/>
                <w:color w:val="auto"/>
                <w:sz w:val="24"/>
                <w:szCs w:val="24"/>
                <w:highlight w:val="none"/>
              </w:rPr>
            </w:pPr>
          </w:p>
        </w:tc>
      </w:tr>
      <w:tr w14:paraId="37C107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560" w:hRule="atLeast"/>
          <w:jc w:val="center"/>
        </w:trPr>
        <w:tc>
          <w:tcPr>
            <w:tcW w:w="629" w:type="dxa"/>
            <w:vAlign w:val="center"/>
          </w:tcPr>
          <w:p w14:paraId="7423F4D5">
            <w:pPr>
              <w:spacing w:line="360" w:lineRule="auto"/>
              <w:jc w:val="center"/>
              <w:rPr>
                <w:rFonts w:hint="eastAsia" w:ascii="宋体" w:hAnsi="宋体" w:eastAsia="宋体" w:cs="宋体"/>
                <w:color w:val="auto"/>
                <w:sz w:val="24"/>
                <w:szCs w:val="24"/>
                <w:highlight w:val="none"/>
              </w:rPr>
            </w:pPr>
          </w:p>
        </w:tc>
        <w:tc>
          <w:tcPr>
            <w:tcW w:w="1156" w:type="dxa"/>
            <w:vAlign w:val="center"/>
          </w:tcPr>
          <w:p w14:paraId="22747B21">
            <w:pPr>
              <w:spacing w:line="360" w:lineRule="auto"/>
              <w:jc w:val="center"/>
              <w:rPr>
                <w:rFonts w:hint="eastAsia" w:ascii="宋体" w:hAnsi="宋体" w:eastAsia="宋体" w:cs="宋体"/>
                <w:color w:val="auto"/>
                <w:sz w:val="24"/>
                <w:szCs w:val="24"/>
                <w:highlight w:val="none"/>
              </w:rPr>
            </w:pPr>
          </w:p>
        </w:tc>
        <w:tc>
          <w:tcPr>
            <w:tcW w:w="1156" w:type="dxa"/>
            <w:vAlign w:val="center"/>
          </w:tcPr>
          <w:p w14:paraId="69A45C41">
            <w:pPr>
              <w:spacing w:line="360" w:lineRule="auto"/>
              <w:jc w:val="center"/>
              <w:rPr>
                <w:rFonts w:hint="eastAsia" w:ascii="宋体" w:hAnsi="宋体" w:eastAsia="宋体" w:cs="宋体"/>
                <w:color w:val="auto"/>
                <w:sz w:val="24"/>
                <w:szCs w:val="24"/>
                <w:highlight w:val="none"/>
              </w:rPr>
            </w:pPr>
          </w:p>
        </w:tc>
        <w:tc>
          <w:tcPr>
            <w:tcW w:w="1155" w:type="dxa"/>
            <w:vAlign w:val="center"/>
          </w:tcPr>
          <w:p w14:paraId="61741D73">
            <w:pPr>
              <w:spacing w:line="360" w:lineRule="auto"/>
              <w:jc w:val="center"/>
              <w:rPr>
                <w:rFonts w:hint="eastAsia" w:ascii="宋体" w:hAnsi="宋体" w:eastAsia="宋体" w:cs="宋体"/>
                <w:color w:val="auto"/>
                <w:sz w:val="24"/>
                <w:szCs w:val="24"/>
                <w:highlight w:val="none"/>
              </w:rPr>
            </w:pPr>
          </w:p>
        </w:tc>
        <w:tc>
          <w:tcPr>
            <w:tcW w:w="1155" w:type="dxa"/>
            <w:vAlign w:val="center"/>
          </w:tcPr>
          <w:p w14:paraId="3E9ABDF0">
            <w:pPr>
              <w:spacing w:line="360" w:lineRule="auto"/>
              <w:jc w:val="center"/>
              <w:rPr>
                <w:rFonts w:hint="eastAsia" w:ascii="宋体" w:hAnsi="宋体" w:eastAsia="宋体" w:cs="宋体"/>
                <w:color w:val="auto"/>
                <w:sz w:val="24"/>
                <w:szCs w:val="24"/>
                <w:highlight w:val="none"/>
              </w:rPr>
            </w:pPr>
          </w:p>
        </w:tc>
        <w:tc>
          <w:tcPr>
            <w:tcW w:w="1155" w:type="dxa"/>
            <w:vAlign w:val="center"/>
          </w:tcPr>
          <w:p w14:paraId="51756F03">
            <w:pPr>
              <w:spacing w:line="360" w:lineRule="auto"/>
              <w:jc w:val="center"/>
              <w:rPr>
                <w:rFonts w:hint="eastAsia" w:ascii="宋体" w:hAnsi="宋体" w:eastAsia="宋体" w:cs="宋体"/>
                <w:color w:val="auto"/>
                <w:sz w:val="24"/>
                <w:szCs w:val="24"/>
                <w:highlight w:val="none"/>
              </w:rPr>
            </w:pPr>
          </w:p>
        </w:tc>
        <w:tc>
          <w:tcPr>
            <w:tcW w:w="1155" w:type="dxa"/>
            <w:tcBorders>
              <w:right w:val="single" w:color="auto" w:sz="4" w:space="0"/>
            </w:tcBorders>
            <w:vAlign w:val="center"/>
          </w:tcPr>
          <w:p w14:paraId="2130A33A">
            <w:pPr>
              <w:spacing w:line="360" w:lineRule="auto"/>
              <w:jc w:val="center"/>
              <w:rPr>
                <w:rFonts w:hint="eastAsia" w:ascii="宋体" w:hAnsi="宋体" w:eastAsia="宋体" w:cs="宋体"/>
                <w:color w:val="auto"/>
                <w:sz w:val="24"/>
                <w:szCs w:val="24"/>
                <w:highlight w:val="none"/>
              </w:rPr>
            </w:pPr>
          </w:p>
        </w:tc>
        <w:tc>
          <w:tcPr>
            <w:tcW w:w="1157" w:type="dxa"/>
            <w:tcBorders>
              <w:left w:val="single" w:color="auto" w:sz="4" w:space="0"/>
              <w:right w:val="single" w:color="auto" w:sz="4" w:space="0"/>
            </w:tcBorders>
            <w:vAlign w:val="center"/>
          </w:tcPr>
          <w:p w14:paraId="61F2B971">
            <w:pPr>
              <w:spacing w:line="360" w:lineRule="auto"/>
              <w:jc w:val="center"/>
              <w:rPr>
                <w:rFonts w:hint="eastAsia" w:ascii="宋体" w:hAnsi="宋体" w:eastAsia="宋体" w:cs="宋体"/>
                <w:color w:val="auto"/>
                <w:sz w:val="24"/>
                <w:szCs w:val="24"/>
                <w:highlight w:val="none"/>
              </w:rPr>
            </w:pPr>
          </w:p>
        </w:tc>
      </w:tr>
      <w:tr w14:paraId="5AF874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560" w:hRule="atLeast"/>
          <w:jc w:val="center"/>
        </w:trPr>
        <w:tc>
          <w:tcPr>
            <w:tcW w:w="629" w:type="dxa"/>
            <w:vAlign w:val="center"/>
          </w:tcPr>
          <w:p w14:paraId="035A142D">
            <w:pPr>
              <w:spacing w:line="360" w:lineRule="auto"/>
              <w:jc w:val="center"/>
              <w:rPr>
                <w:rFonts w:hint="eastAsia" w:ascii="宋体" w:hAnsi="宋体" w:eastAsia="宋体" w:cs="宋体"/>
                <w:color w:val="auto"/>
                <w:sz w:val="24"/>
                <w:szCs w:val="24"/>
                <w:highlight w:val="none"/>
              </w:rPr>
            </w:pPr>
          </w:p>
        </w:tc>
        <w:tc>
          <w:tcPr>
            <w:tcW w:w="1156" w:type="dxa"/>
            <w:vAlign w:val="center"/>
          </w:tcPr>
          <w:p w14:paraId="31C4A63D">
            <w:pPr>
              <w:spacing w:line="360" w:lineRule="auto"/>
              <w:jc w:val="center"/>
              <w:rPr>
                <w:rFonts w:hint="eastAsia" w:ascii="宋体" w:hAnsi="宋体" w:eastAsia="宋体" w:cs="宋体"/>
                <w:color w:val="auto"/>
                <w:sz w:val="24"/>
                <w:szCs w:val="24"/>
                <w:highlight w:val="none"/>
              </w:rPr>
            </w:pPr>
          </w:p>
        </w:tc>
        <w:tc>
          <w:tcPr>
            <w:tcW w:w="1156" w:type="dxa"/>
            <w:vAlign w:val="center"/>
          </w:tcPr>
          <w:p w14:paraId="602A4C39">
            <w:pPr>
              <w:spacing w:line="360" w:lineRule="auto"/>
              <w:jc w:val="center"/>
              <w:rPr>
                <w:rFonts w:hint="eastAsia" w:ascii="宋体" w:hAnsi="宋体" w:eastAsia="宋体" w:cs="宋体"/>
                <w:color w:val="auto"/>
                <w:sz w:val="24"/>
                <w:szCs w:val="24"/>
                <w:highlight w:val="none"/>
              </w:rPr>
            </w:pPr>
          </w:p>
        </w:tc>
        <w:tc>
          <w:tcPr>
            <w:tcW w:w="1155" w:type="dxa"/>
            <w:vAlign w:val="center"/>
          </w:tcPr>
          <w:p w14:paraId="51BB0D48">
            <w:pPr>
              <w:spacing w:line="360" w:lineRule="auto"/>
              <w:jc w:val="center"/>
              <w:rPr>
                <w:rFonts w:hint="eastAsia" w:ascii="宋体" w:hAnsi="宋体" w:eastAsia="宋体" w:cs="宋体"/>
                <w:color w:val="auto"/>
                <w:sz w:val="24"/>
                <w:szCs w:val="24"/>
                <w:highlight w:val="none"/>
              </w:rPr>
            </w:pPr>
          </w:p>
        </w:tc>
        <w:tc>
          <w:tcPr>
            <w:tcW w:w="1155" w:type="dxa"/>
            <w:vAlign w:val="center"/>
          </w:tcPr>
          <w:p w14:paraId="0FF9768D">
            <w:pPr>
              <w:spacing w:line="360" w:lineRule="auto"/>
              <w:jc w:val="center"/>
              <w:rPr>
                <w:rFonts w:hint="eastAsia" w:ascii="宋体" w:hAnsi="宋体" w:eastAsia="宋体" w:cs="宋体"/>
                <w:color w:val="auto"/>
                <w:sz w:val="24"/>
                <w:szCs w:val="24"/>
                <w:highlight w:val="none"/>
              </w:rPr>
            </w:pPr>
          </w:p>
        </w:tc>
        <w:tc>
          <w:tcPr>
            <w:tcW w:w="1155" w:type="dxa"/>
            <w:vAlign w:val="center"/>
          </w:tcPr>
          <w:p w14:paraId="7045A835">
            <w:pPr>
              <w:spacing w:line="360" w:lineRule="auto"/>
              <w:jc w:val="center"/>
              <w:rPr>
                <w:rFonts w:hint="eastAsia" w:ascii="宋体" w:hAnsi="宋体" w:eastAsia="宋体" w:cs="宋体"/>
                <w:color w:val="auto"/>
                <w:sz w:val="24"/>
                <w:szCs w:val="24"/>
                <w:highlight w:val="none"/>
              </w:rPr>
            </w:pPr>
          </w:p>
        </w:tc>
        <w:tc>
          <w:tcPr>
            <w:tcW w:w="1155" w:type="dxa"/>
            <w:tcBorders>
              <w:right w:val="single" w:color="auto" w:sz="4" w:space="0"/>
            </w:tcBorders>
            <w:vAlign w:val="center"/>
          </w:tcPr>
          <w:p w14:paraId="3B52E0CE">
            <w:pPr>
              <w:spacing w:line="360" w:lineRule="auto"/>
              <w:jc w:val="center"/>
              <w:rPr>
                <w:rFonts w:hint="eastAsia" w:ascii="宋体" w:hAnsi="宋体" w:eastAsia="宋体" w:cs="宋体"/>
                <w:color w:val="auto"/>
                <w:sz w:val="24"/>
                <w:szCs w:val="24"/>
                <w:highlight w:val="none"/>
              </w:rPr>
            </w:pPr>
          </w:p>
        </w:tc>
        <w:tc>
          <w:tcPr>
            <w:tcW w:w="1157" w:type="dxa"/>
            <w:tcBorders>
              <w:left w:val="single" w:color="auto" w:sz="4" w:space="0"/>
              <w:right w:val="single" w:color="auto" w:sz="4" w:space="0"/>
            </w:tcBorders>
            <w:vAlign w:val="center"/>
          </w:tcPr>
          <w:p w14:paraId="758719DF">
            <w:pPr>
              <w:spacing w:line="360" w:lineRule="auto"/>
              <w:jc w:val="center"/>
              <w:rPr>
                <w:rFonts w:hint="eastAsia" w:ascii="宋体" w:hAnsi="宋体" w:eastAsia="宋体" w:cs="宋体"/>
                <w:color w:val="auto"/>
                <w:sz w:val="24"/>
                <w:szCs w:val="24"/>
                <w:highlight w:val="none"/>
              </w:rPr>
            </w:pPr>
          </w:p>
        </w:tc>
      </w:tr>
      <w:tr w14:paraId="4322DC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560" w:hRule="atLeast"/>
          <w:jc w:val="center"/>
        </w:trPr>
        <w:tc>
          <w:tcPr>
            <w:tcW w:w="629" w:type="dxa"/>
            <w:tcBorders>
              <w:bottom w:val="single" w:color="auto" w:sz="4" w:space="0"/>
            </w:tcBorders>
            <w:vAlign w:val="center"/>
          </w:tcPr>
          <w:p w14:paraId="0898441C">
            <w:pPr>
              <w:spacing w:line="360" w:lineRule="auto"/>
              <w:jc w:val="center"/>
              <w:rPr>
                <w:rFonts w:hint="eastAsia" w:ascii="宋体" w:hAnsi="宋体" w:eastAsia="宋体" w:cs="宋体"/>
                <w:color w:val="auto"/>
                <w:sz w:val="24"/>
                <w:szCs w:val="24"/>
                <w:highlight w:val="none"/>
              </w:rPr>
            </w:pPr>
          </w:p>
        </w:tc>
        <w:tc>
          <w:tcPr>
            <w:tcW w:w="1156" w:type="dxa"/>
            <w:tcBorders>
              <w:bottom w:val="single" w:color="auto" w:sz="4" w:space="0"/>
            </w:tcBorders>
            <w:vAlign w:val="center"/>
          </w:tcPr>
          <w:p w14:paraId="5479A1F7">
            <w:pPr>
              <w:spacing w:line="360" w:lineRule="auto"/>
              <w:jc w:val="center"/>
              <w:rPr>
                <w:rFonts w:hint="eastAsia" w:ascii="宋体" w:hAnsi="宋体" w:eastAsia="宋体" w:cs="宋体"/>
                <w:color w:val="auto"/>
                <w:sz w:val="24"/>
                <w:szCs w:val="24"/>
                <w:highlight w:val="none"/>
              </w:rPr>
            </w:pPr>
          </w:p>
        </w:tc>
        <w:tc>
          <w:tcPr>
            <w:tcW w:w="1156" w:type="dxa"/>
            <w:tcBorders>
              <w:bottom w:val="single" w:color="auto" w:sz="4" w:space="0"/>
            </w:tcBorders>
            <w:vAlign w:val="center"/>
          </w:tcPr>
          <w:p w14:paraId="5947589F">
            <w:pPr>
              <w:spacing w:line="360" w:lineRule="auto"/>
              <w:jc w:val="center"/>
              <w:rPr>
                <w:rFonts w:hint="eastAsia" w:ascii="宋体" w:hAnsi="宋体" w:eastAsia="宋体" w:cs="宋体"/>
                <w:color w:val="auto"/>
                <w:sz w:val="24"/>
                <w:szCs w:val="24"/>
                <w:highlight w:val="none"/>
              </w:rPr>
            </w:pPr>
          </w:p>
        </w:tc>
        <w:tc>
          <w:tcPr>
            <w:tcW w:w="1155" w:type="dxa"/>
            <w:tcBorders>
              <w:bottom w:val="single" w:color="auto" w:sz="4" w:space="0"/>
            </w:tcBorders>
            <w:vAlign w:val="center"/>
          </w:tcPr>
          <w:p w14:paraId="211FA813">
            <w:pPr>
              <w:spacing w:line="360" w:lineRule="auto"/>
              <w:jc w:val="center"/>
              <w:rPr>
                <w:rFonts w:hint="eastAsia" w:ascii="宋体" w:hAnsi="宋体" w:eastAsia="宋体" w:cs="宋体"/>
                <w:color w:val="auto"/>
                <w:sz w:val="24"/>
                <w:szCs w:val="24"/>
                <w:highlight w:val="none"/>
              </w:rPr>
            </w:pPr>
          </w:p>
        </w:tc>
        <w:tc>
          <w:tcPr>
            <w:tcW w:w="1155" w:type="dxa"/>
            <w:tcBorders>
              <w:bottom w:val="single" w:color="auto" w:sz="4" w:space="0"/>
            </w:tcBorders>
            <w:vAlign w:val="center"/>
          </w:tcPr>
          <w:p w14:paraId="567FB259">
            <w:pPr>
              <w:spacing w:line="360" w:lineRule="auto"/>
              <w:jc w:val="center"/>
              <w:rPr>
                <w:rFonts w:hint="eastAsia" w:ascii="宋体" w:hAnsi="宋体" w:eastAsia="宋体" w:cs="宋体"/>
                <w:color w:val="auto"/>
                <w:sz w:val="24"/>
                <w:szCs w:val="24"/>
                <w:highlight w:val="none"/>
              </w:rPr>
            </w:pPr>
          </w:p>
        </w:tc>
        <w:tc>
          <w:tcPr>
            <w:tcW w:w="1155" w:type="dxa"/>
            <w:tcBorders>
              <w:bottom w:val="single" w:color="auto" w:sz="4" w:space="0"/>
            </w:tcBorders>
            <w:vAlign w:val="center"/>
          </w:tcPr>
          <w:p w14:paraId="7BE9EB2D">
            <w:pPr>
              <w:spacing w:line="360" w:lineRule="auto"/>
              <w:jc w:val="center"/>
              <w:rPr>
                <w:rFonts w:hint="eastAsia" w:ascii="宋体" w:hAnsi="宋体" w:eastAsia="宋体" w:cs="宋体"/>
                <w:color w:val="auto"/>
                <w:sz w:val="24"/>
                <w:szCs w:val="24"/>
                <w:highlight w:val="none"/>
              </w:rPr>
            </w:pPr>
          </w:p>
        </w:tc>
        <w:tc>
          <w:tcPr>
            <w:tcW w:w="1155" w:type="dxa"/>
            <w:tcBorders>
              <w:bottom w:val="single" w:color="auto" w:sz="4" w:space="0"/>
              <w:right w:val="single" w:color="auto" w:sz="4" w:space="0"/>
            </w:tcBorders>
            <w:vAlign w:val="center"/>
          </w:tcPr>
          <w:p w14:paraId="57F01E4C">
            <w:pPr>
              <w:spacing w:line="360" w:lineRule="auto"/>
              <w:jc w:val="center"/>
              <w:rPr>
                <w:rFonts w:hint="eastAsia" w:ascii="宋体" w:hAnsi="宋体" w:eastAsia="宋体" w:cs="宋体"/>
                <w:color w:val="auto"/>
                <w:sz w:val="24"/>
                <w:szCs w:val="24"/>
                <w:highlight w:val="none"/>
              </w:rPr>
            </w:pPr>
          </w:p>
        </w:tc>
        <w:tc>
          <w:tcPr>
            <w:tcW w:w="1157" w:type="dxa"/>
            <w:tcBorders>
              <w:left w:val="single" w:color="auto" w:sz="4" w:space="0"/>
              <w:bottom w:val="single" w:color="auto" w:sz="4" w:space="0"/>
              <w:right w:val="single" w:color="auto" w:sz="4" w:space="0"/>
            </w:tcBorders>
            <w:vAlign w:val="center"/>
          </w:tcPr>
          <w:p w14:paraId="31C73AAD">
            <w:pPr>
              <w:spacing w:line="360" w:lineRule="auto"/>
              <w:jc w:val="center"/>
              <w:rPr>
                <w:rFonts w:hint="eastAsia" w:ascii="宋体" w:hAnsi="宋体" w:eastAsia="宋体" w:cs="宋体"/>
                <w:color w:val="auto"/>
                <w:sz w:val="24"/>
                <w:szCs w:val="24"/>
                <w:highlight w:val="none"/>
              </w:rPr>
            </w:pPr>
          </w:p>
        </w:tc>
      </w:tr>
      <w:tr w14:paraId="3E1972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560" w:hRule="atLeast"/>
          <w:jc w:val="center"/>
        </w:trPr>
        <w:tc>
          <w:tcPr>
            <w:tcW w:w="629" w:type="dxa"/>
            <w:tcBorders>
              <w:top w:val="single" w:color="auto" w:sz="4" w:space="0"/>
              <w:bottom w:val="single" w:color="auto" w:sz="4" w:space="0"/>
            </w:tcBorders>
            <w:vAlign w:val="center"/>
          </w:tcPr>
          <w:p w14:paraId="2B6C8346">
            <w:pPr>
              <w:spacing w:line="360" w:lineRule="auto"/>
              <w:jc w:val="center"/>
              <w:rPr>
                <w:rFonts w:hint="eastAsia" w:ascii="宋体" w:hAnsi="宋体" w:eastAsia="宋体" w:cs="宋体"/>
                <w:color w:val="auto"/>
                <w:sz w:val="24"/>
                <w:szCs w:val="24"/>
                <w:highlight w:val="none"/>
              </w:rPr>
            </w:pPr>
          </w:p>
        </w:tc>
        <w:tc>
          <w:tcPr>
            <w:tcW w:w="1156" w:type="dxa"/>
            <w:tcBorders>
              <w:top w:val="single" w:color="auto" w:sz="4" w:space="0"/>
              <w:bottom w:val="single" w:color="auto" w:sz="4" w:space="0"/>
            </w:tcBorders>
            <w:vAlign w:val="center"/>
          </w:tcPr>
          <w:p w14:paraId="7CF4E3B3">
            <w:pPr>
              <w:spacing w:line="360" w:lineRule="auto"/>
              <w:jc w:val="center"/>
              <w:rPr>
                <w:rFonts w:hint="eastAsia" w:ascii="宋体" w:hAnsi="宋体" w:eastAsia="宋体" w:cs="宋体"/>
                <w:color w:val="auto"/>
                <w:sz w:val="24"/>
                <w:szCs w:val="24"/>
                <w:highlight w:val="none"/>
              </w:rPr>
            </w:pPr>
          </w:p>
        </w:tc>
        <w:tc>
          <w:tcPr>
            <w:tcW w:w="1156" w:type="dxa"/>
            <w:tcBorders>
              <w:top w:val="single" w:color="auto" w:sz="4" w:space="0"/>
              <w:bottom w:val="single" w:color="auto" w:sz="4" w:space="0"/>
            </w:tcBorders>
            <w:vAlign w:val="center"/>
          </w:tcPr>
          <w:p w14:paraId="59D050F9">
            <w:pPr>
              <w:spacing w:line="360" w:lineRule="auto"/>
              <w:jc w:val="center"/>
              <w:rPr>
                <w:rFonts w:hint="eastAsia" w:ascii="宋体" w:hAnsi="宋体" w:eastAsia="宋体" w:cs="宋体"/>
                <w:color w:val="auto"/>
                <w:sz w:val="24"/>
                <w:szCs w:val="24"/>
                <w:highlight w:val="none"/>
              </w:rPr>
            </w:pPr>
          </w:p>
        </w:tc>
        <w:tc>
          <w:tcPr>
            <w:tcW w:w="1155" w:type="dxa"/>
            <w:tcBorders>
              <w:top w:val="single" w:color="auto" w:sz="4" w:space="0"/>
              <w:bottom w:val="single" w:color="auto" w:sz="4" w:space="0"/>
            </w:tcBorders>
            <w:vAlign w:val="center"/>
          </w:tcPr>
          <w:p w14:paraId="27BF3F8B">
            <w:pPr>
              <w:spacing w:line="360" w:lineRule="auto"/>
              <w:jc w:val="center"/>
              <w:rPr>
                <w:rFonts w:hint="eastAsia" w:ascii="宋体" w:hAnsi="宋体" w:eastAsia="宋体" w:cs="宋体"/>
                <w:color w:val="auto"/>
                <w:sz w:val="24"/>
                <w:szCs w:val="24"/>
                <w:highlight w:val="none"/>
              </w:rPr>
            </w:pPr>
          </w:p>
        </w:tc>
        <w:tc>
          <w:tcPr>
            <w:tcW w:w="1155" w:type="dxa"/>
            <w:tcBorders>
              <w:top w:val="single" w:color="auto" w:sz="4" w:space="0"/>
              <w:bottom w:val="single" w:color="auto" w:sz="4" w:space="0"/>
            </w:tcBorders>
            <w:vAlign w:val="center"/>
          </w:tcPr>
          <w:p w14:paraId="6EF57E3A">
            <w:pPr>
              <w:spacing w:line="360" w:lineRule="auto"/>
              <w:jc w:val="center"/>
              <w:rPr>
                <w:rFonts w:hint="eastAsia" w:ascii="宋体" w:hAnsi="宋体" w:eastAsia="宋体" w:cs="宋体"/>
                <w:color w:val="auto"/>
                <w:sz w:val="24"/>
                <w:szCs w:val="24"/>
                <w:highlight w:val="none"/>
              </w:rPr>
            </w:pPr>
          </w:p>
        </w:tc>
        <w:tc>
          <w:tcPr>
            <w:tcW w:w="1155" w:type="dxa"/>
            <w:tcBorders>
              <w:top w:val="single" w:color="auto" w:sz="4" w:space="0"/>
              <w:bottom w:val="single" w:color="auto" w:sz="4" w:space="0"/>
            </w:tcBorders>
            <w:vAlign w:val="center"/>
          </w:tcPr>
          <w:p w14:paraId="5AF862E4">
            <w:pPr>
              <w:spacing w:line="360" w:lineRule="auto"/>
              <w:jc w:val="center"/>
              <w:rPr>
                <w:rFonts w:hint="eastAsia" w:ascii="宋体" w:hAnsi="宋体" w:eastAsia="宋体" w:cs="宋体"/>
                <w:color w:val="auto"/>
                <w:sz w:val="24"/>
                <w:szCs w:val="24"/>
                <w:highlight w:val="none"/>
              </w:rPr>
            </w:pPr>
          </w:p>
        </w:tc>
        <w:tc>
          <w:tcPr>
            <w:tcW w:w="1155" w:type="dxa"/>
            <w:tcBorders>
              <w:top w:val="single" w:color="auto" w:sz="4" w:space="0"/>
              <w:bottom w:val="single" w:color="auto" w:sz="4" w:space="0"/>
              <w:right w:val="single" w:color="auto" w:sz="4" w:space="0"/>
            </w:tcBorders>
            <w:vAlign w:val="center"/>
          </w:tcPr>
          <w:p w14:paraId="05F6AD5B">
            <w:pPr>
              <w:spacing w:line="360" w:lineRule="auto"/>
              <w:jc w:val="center"/>
              <w:rPr>
                <w:rFonts w:hint="eastAsia" w:ascii="宋体" w:hAnsi="宋体" w:eastAsia="宋体" w:cs="宋体"/>
                <w:color w:val="auto"/>
                <w:sz w:val="24"/>
                <w:szCs w:val="24"/>
                <w:highlight w:val="none"/>
              </w:rPr>
            </w:pPr>
          </w:p>
        </w:tc>
        <w:tc>
          <w:tcPr>
            <w:tcW w:w="1157" w:type="dxa"/>
            <w:tcBorders>
              <w:top w:val="single" w:color="auto" w:sz="4" w:space="0"/>
              <w:left w:val="single" w:color="auto" w:sz="4" w:space="0"/>
              <w:bottom w:val="single" w:color="auto" w:sz="4" w:space="0"/>
              <w:right w:val="single" w:color="auto" w:sz="4" w:space="0"/>
            </w:tcBorders>
            <w:vAlign w:val="center"/>
          </w:tcPr>
          <w:p w14:paraId="63653E71">
            <w:pPr>
              <w:spacing w:line="360" w:lineRule="auto"/>
              <w:jc w:val="center"/>
              <w:rPr>
                <w:rFonts w:hint="eastAsia" w:ascii="宋体" w:hAnsi="宋体" w:eastAsia="宋体" w:cs="宋体"/>
                <w:color w:val="auto"/>
                <w:sz w:val="24"/>
                <w:szCs w:val="24"/>
                <w:highlight w:val="none"/>
              </w:rPr>
            </w:pPr>
          </w:p>
        </w:tc>
      </w:tr>
      <w:tr w14:paraId="120008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560" w:hRule="atLeast"/>
          <w:jc w:val="center"/>
        </w:trPr>
        <w:tc>
          <w:tcPr>
            <w:tcW w:w="629" w:type="dxa"/>
            <w:tcBorders>
              <w:top w:val="single" w:color="auto" w:sz="4" w:space="0"/>
              <w:bottom w:val="single" w:color="auto" w:sz="4" w:space="0"/>
            </w:tcBorders>
            <w:vAlign w:val="center"/>
          </w:tcPr>
          <w:p w14:paraId="715254AE">
            <w:pPr>
              <w:spacing w:line="360" w:lineRule="auto"/>
              <w:jc w:val="center"/>
              <w:rPr>
                <w:rFonts w:hint="eastAsia" w:ascii="宋体" w:hAnsi="宋体" w:eastAsia="宋体" w:cs="宋体"/>
                <w:color w:val="auto"/>
                <w:sz w:val="24"/>
                <w:szCs w:val="24"/>
                <w:highlight w:val="none"/>
              </w:rPr>
            </w:pPr>
          </w:p>
        </w:tc>
        <w:tc>
          <w:tcPr>
            <w:tcW w:w="1156" w:type="dxa"/>
            <w:tcBorders>
              <w:top w:val="single" w:color="auto" w:sz="4" w:space="0"/>
              <w:bottom w:val="single" w:color="auto" w:sz="4" w:space="0"/>
            </w:tcBorders>
            <w:vAlign w:val="center"/>
          </w:tcPr>
          <w:p w14:paraId="7E87899F">
            <w:pPr>
              <w:spacing w:line="360" w:lineRule="auto"/>
              <w:jc w:val="center"/>
              <w:rPr>
                <w:rFonts w:hint="eastAsia" w:ascii="宋体" w:hAnsi="宋体" w:eastAsia="宋体" w:cs="宋体"/>
                <w:color w:val="auto"/>
                <w:sz w:val="24"/>
                <w:szCs w:val="24"/>
                <w:highlight w:val="none"/>
              </w:rPr>
            </w:pPr>
          </w:p>
        </w:tc>
        <w:tc>
          <w:tcPr>
            <w:tcW w:w="1156" w:type="dxa"/>
            <w:tcBorders>
              <w:top w:val="single" w:color="auto" w:sz="4" w:space="0"/>
              <w:bottom w:val="single" w:color="auto" w:sz="4" w:space="0"/>
            </w:tcBorders>
            <w:vAlign w:val="center"/>
          </w:tcPr>
          <w:p w14:paraId="30B7A70D">
            <w:pPr>
              <w:spacing w:line="360" w:lineRule="auto"/>
              <w:jc w:val="center"/>
              <w:rPr>
                <w:rFonts w:hint="eastAsia" w:ascii="宋体" w:hAnsi="宋体" w:eastAsia="宋体" w:cs="宋体"/>
                <w:color w:val="auto"/>
                <w:sz w:val="24"/>
                <w:szCs w:val="24"/>
                <w:highlight w:val="none"/>
              </w:rPr>
            </w:pPr>
          </w:p>
        </w:tc>
        <w:tc>
          <w:tcPr>
            <w:tcW w:w="1155" w:type="dxa"/>
            <w:tcBorders>
              <w:top w:val="single" w:color="auto" w:sz="4" w:space="0"/>
              <w:bottom w:val="single" w:color="auto" w:sz="4" w:space="0"/>
            </w:tcBorders>
            <w:vAlign w:val="center"/>
          </w:tcPr>
          <w:p w14:paraId="1090752B">
            <w:pPr>
              <w:spacing w:line="360" w:lineRule="auto"/>
              <w:jc w:val="center"/>
              <w:rPr>
                <w:rFonts w:hint="eastAsia" w:ascii="宋体" w:hAnsi="宋体" w:eastAsia="宋体" w:cs="宋体"/>
                <w:color w:val="auto"/>
                <w:sz w:val="24"/>
                <w:szCs w:val="24"/>
                <w:highlight w:val="none"/>
              </w:rPr>
            </w:pPr>
          </w:p>
        </w:tc>
        <w:tc>
          <w:tcPr>
            <w:tcW w:w="1155" w:type="dxa"/>
            <w:tcBorders>
              <w:top w:val="single" w:color="auto" w:sz="4" w:space="0"/>
              <w:bottom w:val="single" w:color="auto" w:sz="4" w:space="0"/>
            </w:tcBorders>
            <w:vAlign w:val="center"/>
          </w:tcPr>
          <w:p w14:paraId="10EBA520">
            <w:pPr>
              <w:spacing w:line="360" w:lineRule="auto"/>
              <w:jc w:val="center"/>
              <w:rPr>
                <w:rFonts w:hint="eastAsia" w:ascii="宋体" w:hAnsi="宋体" w:eastAsia="宋体" w:cs="宋体"/>
                <w:color w:val="auto"/>
                <w:sz w:val="24"/>
                <w:szCs w:val="24"/>
                <w:highlight w:val="none"/>
              </w:rPr>
            </w:pPr>
          </w:p>
        </w:tc>
        <w:tc>
          <w:tcPr>
            <w:tcW w:w="1155" w:type="dxa"/>
            <w:tcBorders>
              <w:top w:val="single" w:color="auto" w:sz="4" w:space="0"/>
              <w:bottom w:val="single" w:color="auto" w:sz="4" w:space="0"/>
            </w:tcBorders>
            <w:vAlign w:val="center"/>
          </w:tcPr>
          <w:p w14:paraId="3B2A8070">
            <w:pPr>
              <w:spacing w:line="360" w:lineRule="auto"/>
              <w:jc w:val="center"/>
              <w:rPr>
                <w:rFonts w:hint="eastAsia" w:ascii="宋体" w:hAnsi="宋体" w:eastAsia="宋体" w:cs="宋体"/>
                <w:color w:val="auto"/>
                <w:sz w:val="24"/>
                <w:szCs w:val="24"/>
                <w:highlight w:val="none"/>
              </w:rPr>
            </w:pPr>
          </w:p>
        </w:tc>
        <w:tc>
          <w:tcPr>
            <w:tcW w:w="1155" w:type="dxa"/>
            <w:tcBorders>
              <w:top w:val="single" w:color="auto" w:sz="4" w:space="0"/>
              <w:bottom w:val="single" w:color="auto" w:sz="4" w:space="0"/>
              <w:right w:val="single" w:color="auto" w:sz="4" w:space="0"/>
            </w:tcBorders>
            <w:vAlign w:val="center"/>
          </w:tcPr>
          <w:p w14:paraId="688E0AEC">
            <w:pPr>
              <w:spacing w:line="360" w:lineRule="auto"/>
              <w:jc w:val="center"/>
              <w:rPr>
                <w:rFonts w:hint="eastAsia" w:ascii="宋体" w:hAnsi="宋体" w:eastAsia="宋体" w:cs="宋体"/>
                <w:color w:val="auto"/>
                <w:sz w:val="24"/>
                <w:szCs w:val="24"/>
                <w:highlight w:val="none"/>
              </w:rPr>
            </w:pPr>
          </w:p>
        </w:tc>
        <w:tc>
          <w:tcPr>
            <w:tcW w:w="1157" w:type="dxa"/>
            <w:tcBorders>
              <w:top w:val="single" w:color="auto" w:sz="4" w:space="0"/>
              <w:left w:val="single" w:color="auto" w:sz="4" w:space="0"/>
              <w:bottom w:val="single" w:color="auto" w:sz="4" w:space="0"/>
              <w:right w:val="single" w:color="auto" w:sz="4" w:space="0"/>
            </w:tcBorders>
            <w:vAlign w:val="center"/>
          </w:tcPr>
          <w:p w14:paraId="2C45EF74">
            <w:pPr>
              <w:spacing w:line="360" w:lineRule="auto"/>
              <w:jc w:val="center"/>
              <w:rPr>
                <w:rFonts w:hint="eastAsia" w:ascii="宋体" w:hAnsi="宋体" w:eastAsia="宋体" w:cs="宋体"/>
                <w:color w:val="auto"/>
                <w:sz w:val="24"/>
                <w:szCs w:val="24"/>
                <w:highlight w:val="none"/>
              </w:rPr>
            </w:pPr>
          </w:p>
        </w:tc>
      </w:tr>
      <w:tr w14:paraId="50F5E7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560" w:hRule="atLeast"/>
          <w:jc w:val="center"/>
        </w:trPr>
        <w:tc>
          <w:tcPr>
            <w:tcW w:w="629" w:type="dxa"/>
            <w:tcBorders>
              <w:top w:val="single" w:color="auto" w:sz="4" w:space="0"/>
              <w:bottom w:val="single" w:color="auto" w:sz="4" w:space="0"/>
            </w:tcBorders>
            <w:vAlign w:val="center"/>
          </w:tcPr>
          <w:p w14:paraId="264BB05E">
            <w:pPr>
              <w:spacing w:line="360" w:lineRule="auto"/>
              <w:jc w:val="center"/>
              <w:rPr>
                <w:rFonts w:hint="eastAsia" w:ascii="宋体" w:hAnsi="宋体" w:eastAsia="宋体" w:cs="宋体"/>
                <w:color w:val="auto"/>
                <w:sz w:val="24"/>
                <w:szCs w:val="24"/>
                <w:highlight w:val="none"/>
              </w:rPr>
            </w:pPr>
          </w:p>
        </w:tc>
        <w:tc>
          <w:tcPr>
            <w:tcW w:w="1156" w:type="dxa"/>
            <w:tcBorders>
              <w:top w:val="single" w:color="auto" w:sz="4" w:space="0"/>
              <w:bottom w:val="single" w:color="auto" w:sz="4" w:space="0"/>
            </w:tcBorders>
            <w:vAlign w:val="center"/>
          </w:tcPr>
          <w:p w14:paraId="40B9CEAE">
            <w:pPr>
              <w:spacing w:line="360" w:lineRule="auto"/>
              <w:jc w:val="center"/>
              <w:rPr>
                <w:rFonts w:hint="eastAsia" w:ascii="宋体" w:hAnsi="宋体" w:eastAsia="宋体" w:cs="宋体"/>
                <w:color w:val="auto"/>
                <w:sz w:val="24"/>
                <w:szCs w:val="24"/>
                <w:highlight w:val="none"/>
              </w:rPr>
            </w:pPr>
          </w:p>
        </w:tc>
        <w:tc>
          <w:tcPr>
            <w:tcW w:w="1156" w:type="dxa"/>
            <w:tcBorders>
              <w:top w:val="single" w:color="auto" w:sz="4" w:space="0"/>
              <w:bottom w:val="single" w:color="auto" w:sz="4" w:space="0"/>
            </w:tcBorders>
            <w:vAlign w:val="center"/>
          </w:tcPr>
          <w:p w14:paraId="333ABC75">
            <w:pPr>
              <w:spacing w:line="360" w:lineRule="auto"/>
              <w:jc w:val="center"/>
              <w:rPr>
                <w:rFonts w:hint="eastAsia" w:ascii="宋体" w:hAnsi="宋体" w:eastAsia="宋体" w:cs="宋体"/>
                <w:color w:val="auto"/>
                <w:sz w:val="24"/>
                <w:szCs w:val="24"/>
                <w:highlight w:val="none"/>
              </w:rPr>
            </w:pPr>
          </w:p>
        </w:tc>
        <w:tc>
          <w:tcPr>
            <w:tcW w:w="1155" w:type="dxa"/>
            <w:tcBorders>
              <w:top w:val="single" w:color="auto" w:sz="4" w:space="0"/>
              <w:bottom w:val="single" w:color="auto" w:sz="4" w:space="0"/>
            </w:tcBorders>
            <w:vAlign w:val="center"/>
          </w:tcPr>
          <w:p w14:paraId="6F5CA6C6">
            <w:pPr>
              <w:spacing w:line="360" w:lineRule="auto"/>
              <w:jc w:val="center"/>
              <w:rPr>
                <w:rFonts w:hint="eastAsia" w:ascii="宋体" w:hAnsi="宋体" w:eastAsia="宋体" w:cs="宋体"/>
                <w:color w:val="auto"/>
                <w:sz w:val="24"/>
                <w:szCs w:val="24"/>
                <w:highlight w:val="none"/>
              </w:rPr>
            </w:pPr>
          </w:p>
        </w:tc>
        <w:tc>
          <w:tcPr>
            <w:tcW w:w="1155" w:type="dxa"/>
            <w:tcBorders>
              <w:top w:val="single" w:color="auto" w:sz="4" w:space="0"/>
              <w:bottom w:val="single" w:color="auto" w:sz="4" w:space="0"/>
            </w:tcBorders>
            <w:vAlign w:val="center"/>
          </w:tcPr>
          <w:p w14:paraId="5076E4B4">
            <w:pPr>
              <w:spacing w:line="360" w:lineRule="auto"/>
              <w:jc w:val="center"/>
              <w:rPr>
                <w:rFonts w:hint="eastAsia" w:ascii="宋体" w:hAnsi="宋体" w:eastAsia="宋体" w:cs="宋体"/>
                <w:color w:val="auto"/>
                <w:sz w:val="24"/>
                <w:szCs w:val="24"/>
                <w:highlight w:val="none"/>
              </w:rPr>
            </w:pPr>
          </w:p>
        </w:tc>
        <w:tc>
          <w:tcPr>
            <w:tcW w:w="1155" w:type="dxa"/>
            <w:tcBorders>
              <w:top w:val="single" w:color="auto" w:sz="4" w:space="0"/>
              <w:bottom w:val="single" w:color="auto" w:sz="4" w:space="0"/>
            </w:tcBorders>
            <w:vAlign w:val="center"/>
          </w:tcPr>
          <w:p w14:paraId="7C30A115">
            <w:pPr>
              <w:spacing w:line="360" w:lineRule="auto"/>
              <w:jc w:val="center"/>
              <w:rPr>
                <w:rFonts w:hint="eastAsia" w:ascii="宋体" w:hAnsi="宋体" w:eastAsia="宋体" w:cs="宋体"/>
                <w:color w:val="auto"/>
                <w:sz w:val="24"/>
                <w:szCs w:val="24"/>
                <w:highlight w:val="none"/>
              </w:rPr>
            </w:pPr>
          </w:p>
        </w:tc>
        <w:tc>
          <w:tcPr>
            <w:tcW w:w="1155" w:type="dxa"/>
            <w:tcBorders>
              <w:top w:val="single" w:color="auto" w:sz="4" w:space="0"/>
              <w:bottom w:val="single" w:color="auto" w:sz="4" w:space="0"/>
              <w:right w:val="single" w:color="auto" w:sz="4" w:space="0"/>
            </w:tcBorders>
            <w:vAlign w:val="center"/>
          </w:tcPr>
          <w:p w14:paraId="70A09EB5">
            <w:pPr>
              <w:spacing w:line="360" w:lineRule="auto"/>
              <w:jc w:val="center"/>
              <w:rPr>
                <w:rFonts w:hint="eastAsia" w:ascii="宋体" w:hAnsi="宋体" w:eastAsia="宋体" w:cs="宋体"/>
                <w:color w:val="auto"/>
                <w:sz w:val="24"/>
                <w:szCs w:val="24"/>
                <w:highlight w:val="none"/>
              </w:rPr>
            </w:pPr>
          </w:p>
        </w:tc>
        <w:tc>
          <w:tcPr>
            <w:tcW w:w="1157" w:type="dxa"/>
            <w:tcBorders>
              <w:top w:val="single" w:color="auto" w:sz="4" w:space="0"/>
              <w:left w:val="single" w:color="auto" w:sz="4" w:space="0"/>
              <w:bottom w:val="single" w:color="auto" w:sz="4" w:space="0"/>
              <w:right w:val="single" w:color="auto" w:sz="4" w:space="0"/>
            </w:tcBorders>
            <w:vAlign w:val="center"/>
          </w:tcPr>
          <w:p w14:paraId="5CF57E2A">
            <w:pPr>
              <w:spacing w:line="360" w:lineRule="auto"/>
              <w:jc w:val="center"/>
              <w:rPr>
                <w:rFonts w:hint="eastAsia" w:ascii="宋体" w:hAnsi="宋体" w:eastAsia="宋体" w:cs="宋体"/>
                <w:color w:val="auto"/>
                <w:sz w:val="24"/>
                <w:szCs w:val="24"/>
                <w:highlight w:val="none"/>
              </w:rPr>
            </w:pPr>
          </w:p>
        </w:tc>
      </w:tr>
      <w:tr w14:paraId="6EF66F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560" w:hRule="atLeast"/>
          <w:jc w:val="center"/>
        </w:trPr>
        <w:tc>
          <w:tcPr>
            <w:tcW w:w="629" w:type="dxa"/>
            <w:tcBorders>
              <w:top w:val="single" w:color="auto" w:sz="4" w:space="0"/>
            </w:tcBorders>
            <w:vAlign w:val="center"/>
          </w:tcPr>
          <w:p w14:paraId="04B3767C">
            <w:pPr>
              <w:spacing w:line="360" w:lineRule="auto"/>
              <w:jc w:val="center"/>
              <w:rPr>
                <w:rFonts w:hint="eastAsia" w:ascii="宋体" w:hAnsi="宋体" w:eastAsia="宋体" w:cs="宋体"/>
                <w:color w:val="auto"/>
                <w:sz w:val="24"/>
                <w:szCs w:val="24"/>
                <w:highlight w:val="none"/>
              </w:rPr>
            </w:pPr>
          </w:p>
        </w:tc>
        <w:tc>
          <w:tcPr>
            <w:tcW w:w="1156" w:type="dxa"/>
            <w:tcBorders>
              <w:top w:val="single" w:color="auto" w:sz="4" w:space="0"/>
            </w:tcBorders>
            <w:vAlign w:val="center"/>
          </w:tcPr>
          <w:p w14:paraId="73D5162F">
            <w:pPr>
              <w:spacing w:line="360" w:lineRule="auto"/>
              <w:jc w:val="center"/>
              <w:rPr>
                <w:rFonts w:hint="eastAsia" w:ascii="宋体" w:hAnsi="宋体" w:eastAsia="宋体" w:cs="宋体"/>
                <w:color w:val="auto"/>
                <w:sz w:val="24"/>
                <w:szCs w:val="24"/>
                <w:highlight w:val="none"/>
              </w:rPr>
            </w:pPr>
          </w:p>
        </w:tc>
        <w:tc>
          <w:tcPr>
            <w:tcW w:w="1156" w:type="dxa"/>
            <w:tcBorders>
              <w:top w:val="single" w:color="auto" w:sz="4" w:space="0"/>
            </w:tcBorders>
            <w:vAlign w:val="center"/>
          </w:tcPr>
          <w:p w14:paraId="50C1108B">
            <w:pPr>
              <w:spacing w:line="360" w:lineRule="auto"/>
              <w:jc w:val="center"/>
              <w:rPr>
                <w:rFonts w:hint="eastAsia" w:ascii="宋体" w:hAnsi="宋体" w:eastAsia="宋体" w:cs="宋体"/>
                <w:color w:val="auto"/>
                <w:sz w:val="24"/>
                <w:szCs w:val="24"/>
                <w:highlight w:val="none"/>
              </w:rPr>
            </w:pPr>
          </w:p>
        </w:tc>
        <w:tc>
          <w:tcPr>
            <w:tcW w:w="1155" w:type="dxa"/>
            <w:tcBorders>
              <w:top w:val="single" w:color="auto" w:sz="4" w:space="0"/>
            </w:tcBorders>
            <w:vAlign w:val="center"/>
          </w:tcPr>
          <w:p w14:paraId="19A48DEC">
            <w:pPr>
              <w:spacing w:line="360" w:lineRule="auto"/>
              <w:jc w:val="center"/>
              <w:rPr>
                <w:rFonts w:hint="eastAsia" w:ascii="宋体" w:hAnsi="宋体" w:eastAsia="宋体" w:cs="宋体"/>
                <w:color w:val="auto"/>
                <w:sz w:val="24"/>
                <w:szCs w:val="24"/>
                <w:highlight w:val="none"/>
              </w:rPr>
            </w:pPr>
          </w:p>
        </w:tc>
        <w:tc>
          <w:tcPr>
            <w:tcW w:w="1155" w:type="dxa"/>
            <w:tcBorders>
              <w:top w:val="single" w:color="auto" w:sz="4" w:space="0"/>
            </w:tcBorders>
            <w:vAlign w:val="center"/>
          </w:tcPr>
          <w:p w14:paraId="58E56003">
            <w:pPr>
              <w:spacing w:line="360" w:lineRule="auto"/>
              <w:jc w:val="center"/>
              <w:rPr>
                <w:rFonts w:hint="eastAsia" w:ascii="宋体" w:hAnsi="宋体" w:eastAsia="宋体" w:cs="宋体"/>
                <w:color w:val="auto"/>
                <w:sz w:val="24"/>
                <w:szCs w:val="24"/>
                <w:highlight w:val="none"/>
              </w:rPr>
            </w:pPr>
          </w:p>
        </w:tc>
        <w:tc>
          <w:tcPr>
            <w:tcW w:w="1155" w:type="dxa"/>
            <w:tcBorders>
              <w:top w:val="single" w:color="auto" w:sz="4" w:space="0"/>
            </w:tcBorders>
            <w:vAlign w:val="center"/>
          </w:tcPr>
          <w:p w14:paraId="72A145A7">
            <w:pPr>
              <w:spacing w:line="360" w:lineRule="auto"/>
              <w:jc w:val="center"/>
              <w:rPr>
                <w:rFonts w:hint="eastAsia" w:ascii="宋体" w:hAnsi="宋体" w:eastAsia="宋体" w:cs="宋体"/>
                <w:color w:val="auto"/>
                <w:sz w:val="24"/>
                <w:szCs w:val="24"/>
                <w:highlight w:val="none"/>
              </w:rPr>
            </w:pPr>
          </w:p>
        </w:tc>
        <w:tc>
          <w:tcPr>
            <w:tcW w:w="1155" w:type="dxa"/>
            <w:tcBorders>
              <w:top w:val="single" w:color="auto" w:sz="4" w:space="0"/>
              <w:right w:val="single" w:color="auto" w:sz="4" w:space="0"/>
            </w:tcBorders>
            <w:vAlign w:val="center"/>
          </w:tcPr>
          <w:p w14:paraId="2FFA0D75">
            <w:pPr>
              <w:spacing w:line="360" w:lineRule="auto"/>
              <w:jc w:val="center"/>
              <w:rPr>
                <w:rFonts w:hint="eastAsia" w:ascii="宋体" w:hAnsi="宋体" w:eastAsia="宋体" w:cs="宋体"/>
                <w:color w:val="auto"/>
                <w:sz w:val="24"/>
                <w:szCs w:val="24"/>
                <w:highlight w:val="none"/>
              </w:rPr>
            </w:pPr>
          </w:p>
        </w:tc>
        <w:tc>
          <w:tcPr>
            <w:tcW w:w="1157" w:type="dxa"/>
            <w:tcBorders>
              <w:top w:val="single" w:color="auto" w:sz="4" w:space="0"/>
              <w:left w:val="single" w:color="auto" w:sz="4" w:space="0"/>
              <w:right w:val="single" w:color="auto" w:sz="4" w:space="0"/>
            </w:tcBorders>
            <w:vAlign w:val="center"/>
          </w:tcPr>
          <w:p w14:paraId="26E309A9">
            <w:pPr>
              <w:spacing w:line="360" w:lineRule="auto"/>
              <w:jc w:val="center"/>
              <w:rPr>
                <w:rFonts w:hint="eastAsia" w:ascii="宋体" w:hAnsi="宋体" w:eastAsia="宋体" w:cs="宋体"/>
                <w:color w:val="auto"/>
                <w:sz w:val="24"/>
                <w:szCs w:val="24"/>
                <w:highlight w:val="none"/>
              </w:rPr>
            </w:pPr>
          </w:p>
        </w:tc>
      </w:tr>
    </w:tbl>
    <w:p w14:paraId="43848151">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注：后附供应商近年类似业绩证明材料</w:t>
      </w:r>
    </w:p>
    <w:p w14:paraId="4846EB85">
      <w:pPr>
        <w:spacing w:line="360" w:lineRule="auto"/>
        <w:rPr>
          <w:rFonts w:hint="eastAsia" w:ascii="宋体" w:hAnsi="宋体" w:eastAsia="宋体" w:cs="宋体"/>
          <w:color w:val="auto"/>
          <w:sz w:val="24"/>
          <w:szCs w:val="24"/>
          <w:highlight w:val="none"/>
          <w:lang w:eastAsia="zh-CN"/>
        </w:rPr>
      </w:pPr>
    </w:p>
    <w:p w14:paraId="428E6A13">
      <w:pPr>
        <w:spacing w:line="360" w:lineRule="auto"/>
        <w:rPr>
          <w:rFonts w:hint="eastAsia" w:ascii="宋体" w:hAnsi="宋体" w:eastAsia="宋体" w:cs="宋体"/>
          <w:color w:val="auto"/>
          <w:sz w:val="24"/>
          <w:szCs w:val="24"/>
          <w:highlight w:val="none"/>
          <w:lang w:eastAsia="zh-CN"/>
        </w:rPr>
      </w:pPr>
    </w:p>
    <w:p w14:paraId="42533810">
      <w:pPr>
        <w:spacing w:line="360" w:lineRule="auto"/>
        <w:rPr>
          <w:rFonts w:hint="eastAsia" w:ascii="宋体" w:hAnsi="宋体" w:eastAsia="宋体" w:cs="宋体"/>
          <w:color w:val="auto"/>
          <w:sz w:val="24"/>
          <w:szCs w:val="24"/>
          <w:highlight w:val="none"/>
          <w:lang w:eastAsia="zh-CN"/>
        </w:rPr>
      </w:pPr>
    </w:p>
    <w:p w14:paraId="7FD266AA">
      <w:pPr>
        <w:spacing w:line="360" w:lineRule="auto"/>
        <w:rPr>
          <w:rFonts w:hint="eastAsia" w:ascii="宋体" w:hAnsi="宋体" w:eastAsia="宋体" w:cs="宋体"/>
          <w:color w:val="auto"/>
          <w:sz w:val="24"/>
          <w:szCs w:val="24"/>
          <w:highlight w:val="none"/>
          <w:lang w:eastAsia="zh-CN"/>
        </w:rPr>
      </w:pPr>
    </w:p>
    <w:p w14:paraId="76885DCE">
      <w:pPr>
        <w:spacing w:line="360" w:lineRule="auto"/>
        <w:rPr>
          <w:rFonts w:hint="eastAsia" w:ascii="宋体" w:hAnsi="宋体" w:eastAsia="宋体" w:cs="宋体"/>
          <w:color w:val="auto"/>
          <w:sz w:val="24"/>
          <w:szCs w:val="24"/>
          <w:highlight w:val="none"/>
          <w:lang w:eastAsia="zh-CN"/>
        </w:rPr>
      </w:pPr>
    </w:p>
    <w:p w14:paraId="4D61C97B">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供应商名称（盖章）：</w:t>
      </w:r>
    </w:p>
    <w:p w14:paraId="3B7B5158">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法定代表人或被授权人（签字或盖章）</w:t>
      </w:r>
      <w:r>
        <w:rPr>
          <w:rFonts w:hint="eastAsia" w:ascii="宋体" w:hAnsi="宋体" w:eastAsia="宋体" w:cs="宋体"/>
          <w:bCs/>
          <w:color w:val="auto"/>
          <w:sz w:val="24"/>
          <w:szCs w:val="24"/>
          <w:highlight w:val="none"/>
          <w:lang w:eastAsia="zh-CN"/>
        </w:rPr>
        <w:t>：</w:t>
      </w:r>
    </w:p>
    <w:p w14:paraId="04EC78C3">
      <w:pPr>
        <w:keepNext/>
        <w:keepLines/>
        <w:spacing w:line="360" w:lineRule="auto"/>
        <w:jc w:val="center"/>
        <w:rPr>
          <w:rFonts w:hint="eastAsia" w:ascii="宋体" w:hAnsi="宋体" w:eastAsia="宋体" w:cs="宋体"/>
          <w:bCs/>
          <w:color w:val="auto"/>
          <w:sz w:val="24"/>
          <w:szCs w:val="24"/>
          <w:highlight w:val="none"/>
          <w:lang w:eastAsia="zh-CN"/>
        </w:rPr>
      </w:pPr>
      <w:bookmarkStart w:id="142" w:name="_Toc217446090"/>
      <w:r>
        <w:rPr>
          <w:rFonts w:hint="eastAsia" w:ascii="宋体" w:hAnsi="宋体" w:eastAsia="宋体" w:cs="宋体"/>
          <w:color w:val="auto"/>
          <w:sz w:val="24"/>
          <w:szCs w:val="24"/>
          <w:highlight w:val="none"/>
          <w:lang w:eastAsia="zh-CN"/>
        </w:rPr>
        <w:t xml:space="preserve">        </w:t>
      </w:r>
      <w:r>
        <w:rPr>
          <w:rFonts w:hint="eastAsia" w:ascii="宋体" w:hAnsi="宋体" w:eastAsia="宋体" w:cs="宋体"/>
          <w:bCs/>
          <w:color w:val="auto"/>
          <w:sz w:val="24"/>
          <w:szCs w:val="24"/>
          <w:highlight w:val="none"/>
          <w:lang w:eastAsia="zh-CN"/>
        </w:rPr>
        <w:t xml:space="preserve">  日    期：     年     月    日</w:t>
      </w:r>
    </w:p>
    <w:p w14:paraId="7EE17181">
      <w:pPr>
        <w:pStyle w:val="3"/>
        <w:spacing w:before="0" w:after="0" w:line="360" w:lineRule="auto"/>
        <w:jc w:val="center"/>
        <w:rPr>
          <w:rFonts w:hint="eastAsia" w:ascii="宋体" w:hAnsi="宋体" w:eastAsia="宋体" w:cs="宋体"/>
          <w:bCs w:val="0"/>
          <w:color w:val="auto"/>
          <w:szCs w:val="24"/>
          <w:highlight w:val="none"/>
          <w:lang w:eastAsia="zh-CN"/>
        </w:rPr>
      </w:pPr>
      <w:r>
        <w:rPr>
          <w:rFonts w:hint="eastAsia" w:ascii="宋体" w:hAnsi="宋体" w:eastAsia="宋体" w:cs="宋体"/>
          <w:b w:val="0"/>
          <w:color w:val="auto"/>
          <w:szCs w:val="24"/>
          <w:highlight w:val="none"/>
          <w:lang w:eastAsia="zh-CN"/>
        </w:rPr>
        <w:br w:type="page"/>
      </w:r>
      <w:bookmarkStart w:id="143" w:name="_Toc22499"/>
      <w:r>
        <w:rPr>
          <w:rFonts w:hint="eastAsia" w:ascii="宋体" w:hAnsi="宋体" w:eastAsia="宋体" w:cs="宋体"/>
          <w:bCs w:val="0"/>
          <w:color w:val="auto"/>
          <w:sz w:val="24"/>
          <w:szCs w:val="24"/>
          <w:highlight w:val="none"/>
          <w:lang w:eastAsia="zh-CN"/>
        </w:rPr>
        <w:t>十、</w:t>
      </w:r>
      <w:bookmarkEnd w:id="142"/>
      <w:r>
        <w:rPr>
          <w:rFonts w:hint="eastAsia" w:ascii="宋体" w:hAnsi="宋体" w:eastAsia="宋体" w:cs="宋体"/>
          <w:bCs w:val="0"/>
          <w:color w:val="auto"/>
          <w:sz w:val="24"/>
          <w:szCs w:val="24"/>
          <w:highlight w:val="none"/>
          <w:lang w:eastAsia="zh-CN"/>
        </w:rPr>
        <w:t>商务、</w:t>
      </w:r>
      <w:r>
        <w:rPr>
          <w:rFonts w:hint="eastAsia" w:ascii="宋体" w:hAnsi="宋体" w:eastAsia="宋体" w:cs="宋体"/>
          <w:bCs w:val="0"/>
          <w:color w:val="auto"/>
          <w:sz w:val="24"/>
          <w:szCs w:val="24"/>
          <w:highlight w:val="none"/>
          <w:lang w:val="en-US" w:eastAsia="zh-CN"/>
        </w:rPr>
        <w:t>技术要求</w:t>
      </w:r>
      <w:r>
        <w:rPr>
          <w:rFonts w:hint="eastAsia" w:ascii="宋体" w:hAnsi="宋体" w:eastAsia="宋体" w:cs="宋体"/>
          <w:bCs w:val="0"/>
          <w:color w:val="auto"/>
          <w:sz w:val="24"/>
          <w:szCs w:val="24"/>
          <w:highlight w:val="none"/>
          <w:lang w:eastAsia="zh-CN"/>
        </w:rPr>
        <w:t>偏离表</w:t>
      </w:r>
      <w:bookmarkEnd w:id="143"/>
    </w:p>
    <w:p w14:paraId="29CC698F">
      <w:pPr>
        <w:pStyle w:val="6"/>
        <w:spacing w:line="360" w:lineRule="auto"/>
        <w:ind w:firstLine="2891" w:firstLineChars="1200"/>
        <w:rPr>
          <w:rFonts w:hint="eastAsia" w:ascii="宋体" w:hAnsi="宋体" w:cs="宋体"/>
          <w:b/>
          <w:bCs/>
          <w:color w:val="auto"/>
          <w:sz w:val="24"/>
          <w:highlight w:val="none"/>
        </w:rPr>
      </w:pPr>
      <w:r>
        <w:rPr>
          <w:rFonts w:hint="eastAsia" w:ascii="宋体" w:hAnsi="宋体" w:cs="宋体"/>
          <w:b/>
          <w:bCs/>
          <w:color w:val="auto"/>
          <w:sz w:val="24"/>
          <w:highlight w:val="none"/>
        </w:rPr>
        <w:t>（一）商务条款偏离表</w:t>
      </w:r>
    </w:p>
    <w:tbl>
      <w:tblPr>
        <w:tblStyle w:val="36"/>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14:paraId="2BCC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shd w:val="clear" w:color="auto" w:fill="FFFFFF"/>
            <w:vAlign w:val="center"/>
          </w:tcPr>
          <w:p w14:paraId="21FA6AFE">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5850" w:type="dxa"/>
            <w:shd w:val="clear" w:color="auto" w:fill="FFFFFF"/>
            <w:vAlign w:val="center"/>
          </w:tcPr>
          <w:p w14:paraId="1EE75629">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主要商务条款</w:t>
            </w:r>
          </w:p>
        </w:tc>
        <w:tc>
          <w:tcPr>
            <w:tcW w:w="1008" w:type="dxa"/>
            <w:shd w:val="clear" w:color="auto" w:fill="FFFFFF"/>
            <w:vAlign w:val="center"/>
          </w:tcPr>
          <w:p w14:paraId="2BE12C1A">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w:t>
            </w:r>
          </w:p>
          <w:p w14:paraId="7865A6AD">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w:t>
            </w:r>
          </w:p>
        </w:tc>
        <w:tc>
          <w:tcPr>
            <w:tcW w:w="1164" w:type="dxa"/>
            <w:shd w:val="clear" w:color="auto" w:fill="FFFFFF"/>
            <w:vAlign w:val="center"/>
          </w:tcPr>
          <w:p w14:paraId="6EB834C1">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偏离说明</w:t>
            </w:r>
          </w:p>
        </w:tc>
      </w:tr>
      <w:tr w14:paraId="21C4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68AEA435">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850" w:type="dxa"/>
            <w:vAlign w:val="center"/>
          </w:tcPr>
          <w:p w14:paraId="0EDE8396">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完全理解并接受对合格投标人、合格的服务质量和服务要求；</w:t>
            </w:r>
          </w:p>
        </w:tc>
        <w:tc>
          <w:tcPr>
            <w:tcW w:w="1008" w:type="dxa"/>
            <w:vAlign w:val="center"/>
          </w:tcPr>
          <w:p w14:paraId="096ACE6A">
            <w:pPr>
              <w:pStyle w:val="94"/>
              <w:adjustRightInd/>
              <w:spacing w:before="0" w:after="0" w:line="560" w:lineRule="exact"/>
              <w:textAlignment w:val="auto"/>
              <w:rPr>
                <w:rFonts w:hint="eastAsia" w:ascii="宋体" w:hAnsi="宋体" w:cs="宋体"/>
                <w:color w:val="auto"/>
                <w:spacing w:val="0"/>
                <w:kern w:val="2"/>
                <w:szCs w:val="24"/>
                <w:highlight w:val="none"/>
                <w:lang w:eastAsia="zh-CN"/>
              </w:rPr>
            </w:pPr>
          </w:p>
        </w:tc>
        <w:tc>
          <w:tcPr>
            <w:tcW w:w="1164" w:type="dxa"/>
            <w:vAlign w:val="center"/>
          </w:tcPr>
          <w:p w14:paraId="617D5F78">
            <w:pPr>
              <w:spacing w:line="560" w:lineRule="exact"/>
              <w:jc w:val="center"/>
              <w:rPr>
                <w:rFonts w:hint="eastAsia" w:ascii="宋体" w:hAnsi="宋体" w:eastAsia="宋体" w:cs="宋体"/>
                <w:color w:val="auto"/>
                <w:sz w:val="24"/>
                <w:szCs w:val="24"/>
                <w:highlight w:val="none"/>
                <w:lang w:eastAsia="zh-CN"/>
              </w:rPr>
            </w:pPr>
          </w:p>
        </w:tc>
      </w:tr>
      <w:tr w14:paraId="3831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071C4DFF">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850" w:type="dxa"/>
            <w:vAlign w:val="center"/>
          </w:tcPr>
          <w:p w14:paraId="63E8E5A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完全理解并接受对投标人的各项须知、规约要求和责任义务；</w:t>
            </w:r>
          </w:p>
        </w:tc>
        <w:tc>
          <w:tcPr>
            <w:tcW w:w="1008" w:type="dxa"/>
            <w:vAlign w:val="center"/>
          </w:tcPr>
          <w:p w14:paraId="78BF5CCF">
            <w:pPr>
              <w:spacing w:line="560" w:lineRule="exact"/>
              <w:jc w:val="center"/>
              <w:rPr>
                <w:rFonts w:hint="eastAsia" w:ascii="宋体" w:hAnsi="宋体" w:eastAsia="宋体" w:cs="宋体"/>
                <w:color w:val="auto"/>
                <w:sz w:val="24"/>
                <w:szCs w:val="24"/>
                <w:highlight w:val="none"/>
                <w:lang w:eastAsia="zh-CN"/>
              </w:rPr>
            </w:pPr>
          </w:p>
        </w:tc>
        <w:tc>
          <w:tcPr>
            <w:tcW w:w="1164" w:type="dxa"/>
            <w:vAlign w:val="center"/>
          </w:tcPr>
          <w:p w14:paraId="605857ED">
            <w:pPr>
              <w:spacing w:line="560" w:lineRule="exact"/>
              <w:jc w:val="center"/>
              <w:rPr>
                <w:rFonts w:hint="eastAsia" w:ascii="宋体" w:hAnsi="宋体" w:eastAsia="宋体" w:cs="宋体"/>
                <w:color w:val="auto"/>
                <w:sz w:val="24"/>
                <w:szCs w:val="24"/>
                <w:highlight w:val="none"/>
                <w:lang w:eastAsia="zh-CN"/>
              </w:rPr>
            </w:pPr>
          </w:p>
        </w:tc>
      </w:tr>
      <w:tr w14:paraId="2E3A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7055DECA">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850" w:type="dxa"/>
            <w:vAlign w:val="center"/>
          </w:tcPr>
          <w:p w14:paraId="2950CF90">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同意接受拟签订的合同文本所列述的各项条款；</w:t>
            </w:r>
          </w:p>
        </w:tc>
        <w:tc>
          <w:tcPr>
            <w:tcW w:w="1008" w:type="dxa"/>
            <w:vAlign w:val="center"/>
          </w:tcPr>
          <w:p w14:paraId="1C379B9C">
            <w:pPr>
              <w:spacing w:line="560" w:lineRule="exact"/>
              <w:jc w:val="center"/>
              <w:rPr>
                <w:rFonts w:hint="eastAsia" w:ascii="宋体" w:hAnsi="宋体" w:eastAsia="宋体" w:cs="宋体"/>
                <w:color w:val="auto"/>
                <w:sz w:val="24"/>
                <w:szCs w:val="24"/>
                <w:highlight w:val="none"/>
                <w:lang w:eastAsia="zh-CN"/>
              </w:rPr>
            </w:pPr>
          </w:p>
        </w:tc>
        <w:tc>
          <w:tcPr>
            <w:tcW w:w="1164" w:type="dxa"/>
            <w:vAlign w:val="center"/>
          </w:tcPr>
          <w:p w14:paraId="1C59706A">
            <w:pPr>
              <w:spacing w:line="560" w:lineRule="exact"/>
              <w:jc w:val="center"/>
              <w:rPr>
                <w:rFonts w:hint="eastAsia" w:ascii="宋体" w:hAnsi="宋体" w:eastAsia="宋体" w:cs="宋体"/>
                <w:color w:val="auto"/>
                <w:sz w:val="24"/>
                <w:szCs w:val="24"/>
                <w:highlight w:val="none"/>
                <w:lang w:eastAsia="zh-CN"/>
              </w:rPr>
            </w:pPr>
          </w:p>
        </w:tc>
      </w:tr>
      <w:tr w14:paraId="7533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0C3FAA5C">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850" w:type="dxa"/>
            <w:vAlign w:val="center"/>
          </w:tcPr>
          <w:p w14:paraId="01774F3C">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同意按本项目要求缴付相关款项；</w:t>
            </w:r>
          </w:p>
        </w:tc>
        <w:tc>
          <w:tcPr>
            <w:tcW w:w="1008" w:type="dxa"/>
            <w:vAlign w:val="center"/>
          </w:tcPr>
          <w:p w14:paraId="59277308">
            <w:pPr>
              <w:spacing w:line="560" w:lineRule="exact"/>
              <w:jc w:val="center"/>
              <w:rPr>
                <w:rFonts w:hint="eastAsia" w:ascii="宋体" w:hAnsi="宋体" w:eastAsia="宋体" w:cs="宋体"/>
                <w:color w:val="auto"/>
                <w:sz w:val="24"/>
                <w:szCs w:val="24"/>
                <w:highlight w:val="none"/>
                <w:lang w:eastAsia="zh-CN"/>
              </w:rPr>
            </w:pPr>
          </w:p>
        </w:tc>
        <w:tc>
          <w:tcPr>
            <w:tcW w:w="1164" w:type="dxa"/>
            <w:vAlign w:val="center"/>
          </w:tcPr>
          <w:p w14:paraId="5974E9A0">
            <w:pPr>
              <w:spacing w:line="560" w:lineRule="exact"/>
              <w:jc w:val="center"/>
              <w:rPr>
                <w:rFonts w:hint="eastAsia" w:ascii="宋体" w:hAnsi="宋体" w:eastAsia="宋体" w:cs="宋体"/>
                <w:color w:val="auto"/>
                <w:sz w:val="24"/>
                <w:szCs w:val="24"/>
                <w:highlight w:val="none"/>
                <w:lang w:eastAsia="zh-CN"/>
              </w:rPr>
            </w:pPr>
          </w:p>
        </w:tc>
      </w:tr>
      <w:tr w14:paraId="39E3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3" w:type="dxa"/>
            <w:vAlign w:val="center"/>
          </w:tcPr>
          <w:p w14:paraId="536C6520">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850" w:type="dxa"/>
            <w:vAlign w:val="center"/>
          </w:tcPr>
          <w:p w14:paraId="00705AF7">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投标有效期：从提交投标文件截止之日起90日历天；</w:t>
            </w:r>
          </w:p>
        </w:tc>
        <w:tc>
          <w:tcPr>
            <w:tcW w:w="1008" w:type="dxa"/>
            <w:vAlign w:val="center"/>
          </w:tcPr>
          <w:p w14:paraId="715E5D24">
            <w:pPr>
              <w:spacing w:line="560" w:lineRule="exact"/>
              <w:jc w:val="center"/>
              <w:rPr>
                <w:rFonts w:hint="eastAsia" w:ascii="宋体" w:hAnsi="宋体" w:eastAsia="宋体" w:cs="宋体"/>
                <w:color w:val="auto"/>
                <w:sz w:val="24"/>
                <w:szCs w:val="24"/>
                <w:highlight w:val="none"/>
                <w:lang w:eastAsia="zh-CN"/>
              </w:rPr>
            </w:pPr>
          </w:p>
        </w:tc>
        <w:tc>
          <w:tcPr>
            <w:tcW w:w="1164" w:type="dxa"/>
            <w:vAlign w:val="center"/>
          </w:tcPr>
          <w:p w14:paraId="4C281CBF">
            <w:pPr>
              <w:spacing w:line="560" w:lineRule="exact"/>
              <w:jc w:val="center"/>
              <w:rPr>
                <w:rFonts w:hint="eastAsia" w:ascii="宋体" w:hAnsi="宋体" w:eastAsia="宋体" w:cs="宋体"/>
                <w:color w:val="auto"/>
                <w:sz w:val="24"/>
                <w:szCs w:val="24"/>
                <w:highlight w:val="none"/>
                <w:lang w:eastAsia="zh-CN"/>
              </w:rPr>
            </w:pPr>
          </w:p>
        </w:tc>
      </w:tr>
      <w:tr w14:paraId="6FFE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3" w:type="dxa"/>
            <w:vAlign w:val="center"/>
          </w:tcPr>
          <w:p w14:paraId="70A4CCF1">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850" w:type="dxa"/>
            <w:vAlign w:val="center"/>
          </w:tcPr>
          <w:p w14:paraId="7D57309C">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投标内容均涵盖招标要求及一切费用和伴随服务；</w:t>
            </w:r>
          </w:p>
        </w:tc>
        <w:tc>
          <w:tcPr>
            <w:tcW w:w="1008" w:type="dxa"/>
            <w:vAlign w:val="center"/>
          </w:tcPr>
          <w:p w14:paraId="14F0C2A4">
            <w:pPr>
              <w:spacing w:line="560" w:lineRule="exact"/>
              <w:jc w:val="center"/>
              <w:rPr>
                <w:rFonts w:hint="eastAsia" w:ascii="宋体" w:hAnsi="宋体" w:eastAsia="宋体" w:cs="宋体"/>
                <w:color w:val="auto"/>
                <w:sz w:val="24"/>
                <w:szCs w:val="24"/>
                <w:highlight w:val="none"/>
                <w:lang w:eastAsia="zh-CN"/>
              </w:rPr>
            </w:pPr>
          </w:p>
        </w:tc>
        <w:tc>
          <w:tcPr>
            <w:tcW w:w="1164" w:type="dxa"/>
            <w:vAlign w:val="center"/>
          </w:tcPr>
          <w:p w14:paraId="7367CBB1">
            <w:pPr>
              <w:spacing w:line="560" w:lineRule="exact"/>
              <w:jc w:val="center"/>
              <w:rPr>
                <w:rFonts w:hint="eastAsia" w:ascii="宋体" w:hAnsi="宋体" w:eastAsia="宋体" w:cs="宋体"/>
                <w:color w:val="auto"/>
                <w:sz w:val="24"/>
                <w:szCs w:val="24"/>
                <w:highlight w:val="none"/>
                <w:lang w:eastAsia="zh-CN"/>
              </w:rPr>
            </w:pPr>
          </w:p>
        </w:tc>
      </w:tr>
      <w:tr w14:paraId="7AE5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06533358">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850" w:type="dxa"/>
            <w:vAlign w:val="center"/>
          </w:tcPr>
          <w:p w14:paraId="40E56DBE">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同意接受本项目服务期或相关进度安排要求；</w:t>
            </w:r>
          </w:p>
        </w:tc>
        <w:tc>
          <w:tcPr>
            <w:tcW w:w="1008" w:type="dxa"/>
            <w:vAlign w:val="center"/>
          </w:tcPr>
          <w:p w14:paraId="3CAFE365">
            <w:pPr>
              <w:spacing w:line="560" w:lineRule="exact"/>
              <w:jc w:val="center"/>
              <w:rPr>
                <w:rFonts w:hint="eastAsia" w:ascii="宋体" w:hAnsi="宋体" w:eastAsia="宋体" w:cs="宋体"/>
                <w:color w:val="auto"/>
                <w:sz w:val="24"/>
                <w:szCs w:val="24"/>
                <w:highlight w:val="none"/>
                <w:lang w:eastAsia="zh-CN"/>
              </w:rPr>
            </w:pPr>
          </w:p>
        </w:tc>
        <w:tc>
          <w:tcPr>
            <w:tcW w:w="1164" w:type="dxa"/>
            <w:vAlign w:val="center"/>
          </w:tcPr>
          <w:p w14:paraId="42B37D92">
            <w:pPr>
              <w:pStyle w:val="94"/>
              <w:adjustRightInd/>
              <w:spacing w:before="0" w:after="0" w:line="560" w:lineRule="exact"/>
              <w:textAlignment w:val="auto"/>
              <w:rPr>
                <w:rFonts w:hint="eastAsia" w:ascii="宋体" w:hAnsi="宋体" w:cs="宋体"/>
                <w:color w:val="auto"/>
                <w:spacing w:val="0"/>
                <w:kern w:val="2"/>
                <w:szCs w:val="24"/>
                <w:highlight w:val="none"/>
                <w:lang w:eastAsia="zh-CN"/>
              </w:rPr>
            </w:pPr>
          </w:p>
        </w:tc>
      </w:tr>
      <w:tr w14:paraId="5308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44591801">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850" w:type="dxa"/>
            <w:vAlign w:val="center"/>
          </w:tcPr>
          <w:p w14:paraId="28FAB881">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同意接受本项目的验收</w:t>
            </w:r>
            <w:r>
              <w:rPr>
                <w:rFonts w:hint="eastAsia" w:ascii="宋体" w:hAnsi="宋体" w:eastAsia="宋体" w:cs="宋体"/>
                <w:color w:val="auto"/>
                <w:sz w:val="24"/>
                <w:szCs w:val="24"/>
                <w:highlight w:val="none"/>
                <w:lang w:val="en-US" w:eastAsia="zh-CN"/>
              </w:rPr>
              <w:t>流程</w:t>
            </w:r>
            <w:r>
              <w:rPr>
                <w:rFonts w:hint="eastAsia" w:ascii="宋体" w:hAnsi="宋体" w:eastAsia="宋体" w:cs="宋体"/>
                <w:color w:val="auto"/>
                <w:sz w:val="24"/>
                <w:szCs w:val="24"/>
                <w:highlight w:val="none"/>
                <w:lang w:eastAsia="zh-CN"/>
              </w:rPr>
              <w:t>要求及验收标准；</w:t>
            </w:r>
          </w:p>
        </w:tc>
        <w:tc>
          <w:tcPr>
            <w:tcW w:w="1008" w:type="dxa"/>
            <w:vAlign w:val="center"/>
          </w:tcPr>
          <w:p w14:paraId="3584F40C">
            <w:pPr>
              <w:spacing w:line="560" w:lineRule="exact"/>
              <w:jc w:val="center"/>
              <w:rPr>
                <w:rFonts w:hint="eastAsia" w:ascii="宋体" w:hAnsi="宋体" w:eastAsia="宋体" w:cs="宋体"/>
                <w:color w:val="auto"/>
                <w:sz w:val="24"/>
                <w:szCs w:val="24"/>
                <w:highlight w:val="none"/>
                <w:lang w:eastAsia="zh-CN"/>
              </w:rPr>
            </w:pPr>
          </w:p>
        </w:tc>
        <w:tc>
          <w:tcPr>
            <w:tcW w:w="1164" w:type="dxa"/>
            <w:vAlign w:val="center"/>
          </w:tcPr>
          <w:p w14:paraId="48933944">
            <w:pPr>
              <w:spacing w:line="560" w:lineRule="exact"/>
              <w:jc w:val="center"/>
              <w:rPr>
                <w:rFonts w:hint="eastAsia" w:ascii="宋体" w:hAnsi="宋体" w:eastAsia="宋体" w:cs="宋体"/>
                <w:color w:val="auto"/>
                <w:sz w:val="24"/>
                <w:szCs w:val="24"/>
                <w:highlight w:val="none"/>
                <w:lang w:eastAsia="zh-CN"/>
              </w:rPr>
            </w:pPr>
          </w:p>
        </w:tc>
      </w:tr>
      <w:tr w14:paraId="76AE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1024FAA1">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850" w:type="dxa"/>
            <w:vAlign w:val="center"/>
          </w:tcPr>
          <w:p w14:paraId="75AFB8C5">
            <w:pPr>
              <w:pStyle w:val="25"/>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kern w:val="2"/>
                <w:sz w:val="24"/>
                <w:szCs w:val="24"/>
                <w:highlight w:val="none"/>
                <w:lang w:eastAsia="zh-CN"/>
              </w:rPr>
              <w:t>同意采购人以任何形式对我方的投标文件内容的真实性和有效性进行审查、验证；</w:t>
            </w:r>
          </w:p>
        </w:tc>
        <w:tc>
          <w:tcPr>
            <w:tcW w:w="1008" w:type="dxa"/>
            <w:vAlign w:val="center"/>
          </w:tcPr>
          <w:p w14:paraId="715045F0">
            <w:pPr>
              <w:spacing w:line="560" w:lineRule="exact"/>
              <w:jc w:val="center"/>
              <w:rPr>
                <w:rFonts w:hint="eastAsia" w:ascii="宋体" w:hAnsi="宋体" w:eastAsia="宋体" w:cs="宋体"/>
                <w:color w:val="auto"/>
                <w:sz w:val="24"/>
                <w:szCs w:val="24"/>
                <w:highlight w:val="none"/>
                <w:lang w:eastAsia="zh-CN"/>
              </w:rPr>
            </w:pPr>
          </w:p>
        </w:tc>
        <w:tc>
          <w:tcPr>
            <w:tcW w:w="1164" w:type="dxa"/>
            <w:vAlign w:val="center"/>
          </w:tcPr>
          <w:p w14:paraId="2F980971">
            <w:pPr>
              <w:spacing w:line="560" w:lineRule="exact"/>
              <w:jc w:val="center"/>
              <w:rPr>
                <w:rFonts w:hint="eastAsia" w:ascii="宋体" w:hAnsi="宋体" w:eastAsia="宋体" w:cs="宋体"/>
                <w:color w:val="auto"/>
                <w:sz w:val="24"/>
                <w:szCs w:val="24"/>
                <w:highlight w:val="none"/>
                <w:lang w:eastAsia="zh-CN"/>
              </w:rPr>
            </w:pPr>
          </w:p>
        </w:tc>
      </w:tr>
      <w:tr w14:paraId="67F9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Align w:val="center"/>
          </w:tcPr>
          <w:p w14:paraId="30DDA1BB">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850" w:type="dxa"/>
            <w:vAlign w:val="center"/>
          </w:tcPr>
          <w:p w14:paraId="41925248">
            <w:pPr>
              <w:pStyle w:val="25"/>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kern w:val="2"/>
                <w:sz w:val="24"/>
                <w:szCs w:val="24"/>
                <w:highlight w:val="none"/>
                <w:lang w:eastAsia="zh-CN"/>
              </w:rPr>
              <w:t>同意接受本项目付款的各项要求。</w:t>
            </w:r>
          </w:p>
        </w:tc>
        <w:tc>
          <w:tcPr>
            <w:tcW w:w="1008" w:type="dxa"/>
            <w:vAlign w:val="center"/>
          </w:tcPr>
          <w:p w14:paraId="256B7BB6">
            <w:pPr>
              <w:pStyle w:val="95"/>
              <w:numPr>
                <w:ilvl w:val="1"/>
                <w:numId w:val="0"/>
              </w:numPr>
              <w:spacing w:line="560" w:lineRule="exact"/>
              <w:rPr>
                <w:rFonts w:hint="eastAsia" w:ascii="宋体" w:hAnsi="宋体" w:cs="宋体"/>
                <w:color w:val="auto"/>
                <w:sz w:val="24"/>
                <w:szCs w:val="24"/>
                <w:highlight w:val="none"/>
                <w:lang w:eastAsia="zh-CN"/>
              </w:rPr>
            </w:pPr>
          </w:p>
        </w:tc>
        <w:tc>
          <w:tcPr>
            <w:tcW w:w="1164" w:type="dxa"/>
            <w:vAlign w:val="center"/>
          </w:tcPr>
          <w:p w14:paraId="2775A9A5">
            <w:pPr>
              <w:pStyle w:val="94"/>
              <w:adjustRightInd/>
              <w:spacing w:before="0" w:after="0" w:line="560" w:lineRule="exact"/>
              <w:jc w:val="both"/>
              <w:textAlignment w:val="auto"/>
              <w:rPr>
                <w:rFonts w:hint="eastAsia" w:ascii="宋体" w:hAnsi="宋体" w:cs="宋体"/>
                <w:color w:val="auto"/>
                <w:spacing w:val="0"/>
                <w:kern w:val="2"/>
                <w:szCs w:val="24"/>
                <w:highlight w:val="none"/>
                <w:lang w:eastAsia="zh-CN"/>
              </w:rPr>
            </w:pPr>
          </w:p>
        </w:tc>
      </w:tr>
      <w:tr w14:paraId="520E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Align w:val="center"/>
          </w:tcPr>
          <w:p w14:paraId="4E1F302C">
            <w:pPr>
              <w:spacing w:line="5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5850" w:type="dxa"/>
            <w:vAlign w:val="center"/>
          </w:tcPr>
          <w:p w14:paraId="0223A350">
            <w:pPr>
              <w:pStyle w:val="25"/>
              <w:spacing w:line="240" w:lineRule="auto"/>
              <w:rPr>
                <w:rFonts w:hint="default" w:ascii="宋体" w:hAnsi="宋体" w:eastAsia="宋体" w:cs="宋体"/>
                <w:b w:val="0"/>
                <w:bCs w:val="0"/>
                <w:color w:val="auto"/>
                <w:kern w:val="2"/>
                <w:sz w:val="24"/>
                <w:szCs w:val="24"/>
                <w:highlight w:val="none"/>
                <w:lang w:val="en-US" w:eastAsia="zh-CN"/>
              </w:rPr>
            </w:pPr>
            <w:r>
              <w:rPr>
                <w:rFonts w:hint="default" w:ascii="宋体" w:hAnsi="宋体" w:eastAsia="宋体" w:cs="宋体"/>
                <w:b w:val="0"/>
                <w:bCs w:val="0"/>
                <w:color w:val="auto"/>
                <w:kern w:val="2"/>
                <w:sz w:val="24"/>
                <w:szCs w:val="24"/>
                <w:highlight w:val="none"/>
                <w:lang w:val="en-US" w:eastAsia="zh-CN"/>
              </w:rPr>
              <w:t>同意本</w:t>
            </w:r>
            <w:r>
              <w:rPr>
                <w:rFonts w:hint="eastAsia" w:ascii="宋体" w:hAnsi="宋体" w:eastAsia="宋体" w:cs="宋体"/>
                <w:b w:val="0"/>
                <w:bCs w:val="0"/>
                <w:color w:val="auto"/>
                <w:kern w:val="2"/>
                <w:sz w:val="24"/>
                <w:szCs w:val="24"/>
                <w:highlight w:val="none"/>
                <w:lang w:val="en-US" w:eastAsia="zh-CN"/>
              </w:rPr>
              <w:t>招标</w:t>
            </w:r>
            <w:r>
              <w:rPr>
                <w:rFonts w:hint="default" w:ascii="宋体" w:hAnsi="宋体" w:eastAsia="宋体" w:cs="宋体"/>
                <w:b w:val="0"/>
                <w:bCs w:val="0"/>
                <w:color w:val="auto"/>
                <w:kern w:val="2"/>
                <w:sz w:val="24"/>
                <w:szCs w:val="24"/>
                <w:highlight w:val="none"/>
                <w:lang w:val="en-US" w:eastAsia="zh-CN"/>
              </w:rPr>
              <w:t>文件“第三章服务需求”中“一、商务要求”中的全部内容。</w:t>
            </w:r>
          </w:p>
        </w:tc>
        <w:tc>
          <w:tcPr>
            <w:tcW w:w="1008" w:type="dxa"/>
            <w:vAlign w:val="center"/>
          </w:tcPr>
          <w:p w14:paraId="567E5C38">
            <w:pPr>
              <w:pStyle w:val="95"/>
              <w:numPr>
                <w:ilvl w:val="1"/>
                <w:numId w:val="0"/>
              </w:numPr>
              <w:spacing w:line="560" w:lineRule="exact"/>
              <w:rPr>
                <w:rFonts w:hint="eastAsia" w:ascii="宋体" w:hAnsi="宋体" w:cs="宋体"/>
                <w:color w:val="auto"/>
                <w:sz w:val="24"/>
                <w:szCs w:val="24"/>
                <w:highlight w:val="none"/>
                <w:lang w:eastAsia="zh-CN"/>
              </w:rPr>
            </w:pPr>
          </w:p>
        </w:tc>
        <w:tc>
          <w:tcPr>
            <w:tcW w:w="1164" w:type="dxa"/>
            <w:vAlign w:val="center"/>
          </w:tcPr>
          <w:p w14:paraId="1228E727">
            <w:pPr>
              <w:pStyle w:val="94"/>
              <w:adjustRightInd/>
              <w:spacing w:before="0" w:after="0" w:line="560" w:lineRule="exact"/>
              <w:jc w:val="both"/>
              <w:textAlignment w:val="auto"/>
              <w:rPr>
                <w:rFonts w:hint="eastAsia" w:ascii="宋体" w:hAnsi="宋体" w:cs="宋体"/>
                <w:color w:val="auto"/>
                <w:spacing w:val="0"/>
                <w:kern w:val="2"/>
                <w:szCs w:val="24"/>
                <w:highlight w:val="none"/>
                <w:lang w:eastAsia="zh-CN"/>
              </w:rPr>
            </w:pPr>
          </w:p>
        </w:tc>
      </w:tr>
    </w:tbl>
    <w:p w14:paraId="77EFEE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AA4A968">
      <w:pPr>
        <w:numPr>
          <w:ilvl w:val="0"/>
          <w:numId w:val="4"/>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对于上述要求，如投标人完全响应，则请在“是否响应”栏内打“√”，对打“×”视为偏离，请在“偏离说明”栏内扼要说明偏离情况；</w:t>
      </w:r>
    </w:p>
    <w:p w14:paraId="11EB9EAE">
      <w:pPr>
        <w:numPr>
          <w:ilvl w:val="0"/>
          <w:numId w:val="4"/>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商务条款偏离表中有一项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未响应或者负偏离，均视为未实质性响应投标文件，属于采购人不能接受的附加条件。</w:t>
      </w:r>
    </w:p>
    <w:p w14:paraId="2A03E21C">
      <w:pPr>
        <w:numPr>
          <w:ilvl w:val="0"/>
          <w:numId w:val="4"/>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投标人应认真填写本响应表，若评标委员会在评标期间，发现有虚假填写本响应表的，则将可能被视为存在两个投标方案，评标委员会将按本招标文件相关规定执行；</w:t>
      </w:r>
    </w:p>
    <w:p w14:paraId="72061227">
      <w:pPr>
        <w:numPr>
          <w:ilvl w:val="0"/>
          <w:numId w:val="4"/>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本表内容不得擅自修改。</w:t>
      </w:r>
    </w:p>
    <w:p w14:paraId="6DF35508">
      <w:pPr>
        <w:pStyle w:val="20"/>
        <w:spacing w:after="0" w:line="500" w:lineRule="exact"/>
        <w:ind w:left="0" w:leftChars="0"/>
        <w:jc w:val="center"/>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 xml:space="preserve">              投标人名称（盖章）：</w:t>
      </w:r>
    </w:p>
    <w:p w14:paraId="2B11FF48">
      <w:pPr>
        <w:pStyle w:val="20"/>
        <w:spacing w:after="0" w:line="500" w:lineRule="exact"/>
        <w:ind w:left="0" w:leftChars="0"/>
        <w:jc w:val="center"/>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 xml:space="preserve">                          </w:t>
      </w:r>
      <w:r>
        <w:rPr>
          <w:rFonts w:hint="eastAsia" w:ascii="宋体" w:hAnsi="宋体" w:cs="宋体"/>
          <w:color w:val="auto"/>
          <w:sz w:val="24"/>
          <w:szCs w:val="24"/>
          <w:highlight w:val="none"/>
          <w:lang w:eastAsia="zh-CN"/>
        </w:rPr>
        <w:t>授权人或被授权人（签字或盖章）</w:t>
      </w:r>
      <w:r>
        <w:rPr>
          <w:rFonts w:hint="eastAsia" w:ascii="宋体" w:hAnsi="宋体" w:cs="宋体"/>
          <w:bCs/>
          <w:color w:val="auto"/>
          <w:sz w:val="24"/>
          <w:szCs w:val="24"/>
          <w:highlight w:val="none"/>
          <w:lang w:eastAsia="zh-CN"/>
        </w:rPr>
        <w:t>：</w:t>
      </w:r>
    </w:p>
    <w:p w14:paraId="6C7B2BDE">
      <w:pPr>
        <w:spacing w:line="5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日期： 年 月 日</w:t>
      </w:r>
    </w:p>
    <w:p w14:paraId="12506D2F">
      <w:pPr>
        <w:pStyle w:val="13"/>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3279524E">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eastAsia="zh-CN"/>
        </w:rPr>
        <w:t>技术要求</w:t>
      </w:r>
      <w:r>
        <w:rPr>
          <w:rFonts w:hint="eastAsia" w:ascii="宋体" w:hAnsi="宋体" w:eastAsia="宋体" w:cs="宋体"/>
          <w:color w:val="auto"/>
          <w:sz w:val="24"/>
          <w:szCs w:val="24"/>
          <w:highlight w:val="none"/>
          <w:lang w:eastAsia="zh-CN"/>
        </w:rPr>
        <w:t>偏离表</w:t>
      </w:r>
    </w:p>
    <w:tbl>
      <w:tblPr>
        <w:tblStyle w:val="36"/>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158"/>
        <w:gridCol w:w="1703"/>
        <w:gridCol w:w="1666"/>
        <w:gridCol w:w="1725"/>
        <w:gridCol w:w="743"/>
        <w:gridCol w:w="779"/>
      </w:tblGrid>
      <w:tr w14:paraId="3A2B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743" w:type="dxa"/>
            <w:vAlign w:val="center"/>
          </w:tcPr>
          <w:p w14:paraId="735756F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58" w:type="dxa"/>
            <w:vAlign w:val="center"/>
          </w:tcPr>
          <w:p w14:paraId="78AF6F3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703" w:type="dxa"/>
            <w:vAlign w:val="center"/>
          </w:tcPr>
          <w:p w14:paraId="7D4B2B3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条款号</w:t>
            </w:r>
          </w:p>
        </w:tc>
        <w:tc>
          <w:tcPr>
            <w:tcW w:w="1666" w:type="dxa"/>
            <w:vAlign w:val="center"/>
          </w:tcPr>
          <w:p w14:paraId="47C67FE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的要求</w:t>
            </w:r>
          </w:p>
        </w:tc>
        <w:tc>
          <w:tcPr>
            <w:tcW w:w="1725" w:type="dxa"/>
            <w:vAlign w:val="center"/>
          </w:tcPr>
          <w:p w14:paraId="25268CE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文件的响应</w:t>
            </w:r>
          </w:p>
        </w:tc>
        <w:tc>
          <w:tcPr>
            <w:tcW w:w="743" w:type="dxa"/>
            <w:vAlign w:val="center"/>
          </w:tcPr>
          <w:p w14:paraId="52F9342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779" w:type="dxa"/>
            <w:vAlign w:val="center"/>
          </w:tcPr>
          <w:p w14:paraId="3D5327D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22E9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43" w:type="dxa"/>
          </w:tcPr>
          <w:p w14:paraId="2D2ABDAD">
            <w:pPr>
              <w:spacing w:line="360" w:lineRule="auto"/>
              <w:rPr>
                <w:rFonts w:hint="eastAsia" w:ascii="宋体" w:hAnsi="宋体" w:eastAsia="宋体" w:cs="宋体"/>
                <w:color w:val="auto"/>
                <w:sz w:val="24"/>
                <w:szCs w:val="24"/>
                <w:highlight w:val="none"/>
              </w:rPr>
            </w:pPr>
          </w:p>
        </w:tc>
        <w:tc>
          <w:tcPr>
            <w:tcW w:w="1158" w:type="dxa"/>
          </w:tcPr>
          <w:p w14:paraId="5BBB6439">
            <w:pPr>
              <w:spacing w:line="360" w:lineRule="auto"/>
              <w:rPr>
                <w:rFonts w:hint="eastAsia" w:ascii="宋体" w:hAnsi="宋体" w:eastAsia="宋体" w:cs="宋体"/>
                <w:color w:val="auto"/>
                <w:sz w:val="24"/>
                <w:szCs w:val="24"/>
                <w:highlight w:val="none"/>
              </w:rPr>
            </w:pPr>
          </w:p>
        </w:tc>
        <w:tc>
          <w:tcPr>
            <w:tcW w:w="1703" w:type="dxa"/>
          </w:tcPr>
          <w:p w14:paraId="3F00B866">
            <w:pPr>
              <w:spacing w:line="360" w:lineRule="auto"/>
              <w:rPr>
                <w:rFonts w:hint="eastAsia" w:ascii="宋体" w:hAnsi="宋体" w:eastAsia="宋体" w:cs="宋体"/>
                <w:color w:val="auto"/>
                <w:sz w:val="24"/>
                <w:szCs w:val="24"/>
                <w:highlight w:val="none"/>
              </w:rPr>
            </w:pPr>
          </w:p>
        </w:tc>
        <w:tc>
          <w:tcPr>
            <w:tcW w:w="1666" w:type="dxa"/>
          </w:tcPr>
          <w:p w14:paraId="19AEE4CB">
            <w:pPr>
              <w:spacing w:line="360" w:lineRule="auto"/>
              <w:rPr>
                <w:rFonts w:hint="eastAsia" w:ascii="宋体" w:hAnsi="宋体" w:eastAsia="宋体" w:cs="宋体"/>
                <w:color w:val="auto"/>
                <w:sz w:val="24"/>
                <w:szCs w:val="24"/>
                <w:highlight w:val="none"/>
              </w:rPr>
            </w:pPr>
          </w:p>
        </w:tc>
        <w:tc>
          <w:tcPr>
            <w:tcW w:w="1725" w:type="dxa"/>
          </w:tcPr>
          <w:p w14:paraId="658BFB03">
            <w:pPr>
              <w:spacing w:line="360" w:lineRule="auto"/>
              <w:rPr>
                <w:rFonts w:hint="eastAsia" w:ascii="宋体" w:hAnsi="宋体" w:eastAsia="宋体" w:cs="宋体"/>
                <w:color w:val="auto"/>
                <w:sz w:val="24"/>
                <w:szCs w:val="24"/>
                <w:highlight w:val="none"/>
              </w:rPr>
            </w:pPr>
          </w:p>
        </w:tc>
        <w:tc>
          <w:tcPr>
            <w:tcW w:w="743" w:type="dxa"/>
          </w:tcPr>
          <w:p w14:paraId="462995EE">
            <w:pPr>
              <w:spacing w:line="360" w:lineRule="auto"/>
              <w:rPr>
                <w:rFonts w:hint="eastAsia" w:ascii="宋体" w:hAnsi="宋体" w:eastAsia="宋体" w:cs="宋体"/>
                <w:color w:val="auto"/>
                <w:sz w:val="24"/>
                <w:szCs w:val="24"/>
                <w:highlight w:val="none"/>
              </w:rPr>
            </w:pPr>
          </w:p>
        </w:tc>
        <w:tc>
          <w:tcPr>
            <w:tcW w:w="779" w:type="dxa"/>
          </w:tcPr>
          <w:p w14:paraId="44699E42">
            <w:pPr>
              <w:spacing w:line="360" w:lineRule="auto"/>
              <w:rPr>
                <w:rFonts w:hint="eastAsia" w:ascii="宋体" w:hAnsi="宋体" w:eastAsia="宋体" w:cs="宋体"/>
                <w:color w:val="auto"/>
                <w:sz w:val="24"/>
                <w:szCs w:val="24"/>
                <w:highlight w:val="none"/>
              </w:rPr>
            </w:pPr>
          </w:p>
        </w:tc>
      </w:tr>
      <w:tr w14:paraId="5E33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43" w:type="dxa"/>
          </w:tcPr>
          <w:p w14:paraId="63694D9B">
            <w:pPr>
              <w:spacing w:line="360" w:lineRule="auto"/>
              <w:rPr>
                <w:rFonts w:hint="eastAsia" w:ascii="宋体" w:hAnsi="宋体" w:eastAsia="宋体" w:cs="宋体"/>
                <w:color w:val="auto"/>
                <w:sz w:val="24"/>
                <w:szCs w:val="24"/>
                <w:highlight w:val="none"/>
              </w:rPr>
            </w:pPr>
          </w:p>
        </w:tc>
        <w:tc>
          <w:tcPr>
            <w:tcW w:w="1158" w:type="dxa"/>
          </w:tcPr>
          <w:p w14:paraId="59D32B0B">
            <w:pPr>
              <w:spacing w:line="360" w:lineRule="auto"/>
              <w:rPr>
                <w:rFonts w:hint="eastAsia" w:ascii="宋体" w:hAnsi="宋体" w:eastAsia="宋体" w:cs="宋体"/>
                <w:color w:val="auto"/>
                <w:sz w:val="24"/>
                <w:szCs w:val="24"/>
                <w:highlight w:val="none"/>
              </w:rPr>
            </w:pPr>
          </w:p>
        </w:tc>
        <w:tc>
          <w:tcPr>
            <w:tcW w:w="1703" w:type="dxa"/>
          </w:tcPr>
          <w:p w14:paraId="152728E1">
            <w:pPr>
              <w:spacing w:line="360" w:lineRule="auto"/>
              <w:rPr>
                <w:rFonts w:hint="eastAsia" w:ascii="宋体" w:hAnsi="宋体" w:eastAsia="宋体" w:cs="宋体"/>
                <w:color w:val="auto"/>
                <w:sz w:val="24"/>
                <w:szCs w:val="24"/>
                <w:highlight w:val="none"/>
              </w:rPr>
            </w:pPr>
          </w:p>
        </w:tc>
        <w:tc>
          <w:tcPr>
            <w:tcW w:w="1666" w:type="dxa"/>
          </w:tcPr>
          <w:p w14:paraId="1A57F816">
            <w:pPr>
              <w:spacing w:line="360" w:lineRule="auto"/>
              <w:rPr>
                <w:rFonts w:hint="eastAsia" w:ascii="宋体" w:hAnsi="宋体" w:eastAsia="宋体" w:cs="宋体"/>
                <w:color w:val="auto"/>
                <w:sz w:val="24"/>
                <w:szCs w:val="24"/>
                <w:highlight w:val="none"/>
              </w:rPr>
            </w:pPr>
          </w:p>
        </w:tc>
        <w:tc>
          <w:tcPr>
            <w:tcW w:w="1725" w:type="dxa"/>
          </w:tcPr>
          <w:p w14:paraId="3BD52E3F">
            <w:pPr>
              <w:spacing w:line="360" w:lineRule="auto"/>
              <w:rPr>
                <w:rFonts w:hint="eastAsia" w:ascii="宋体" w:hAnsi="宋体" w:eastAsia="宋体" w:cs="宋体"/>
                <w:color w:val="auto"/>
                <w:sz w:val="24"/>
                <w:szCs w:val="24"/>
                <w:highlight w:val="none"/>
              </w:rPr>
            </w:pPr>
          </w:p>
        </w:tc>
        <w:tc>
          <w:tcPr>
            <w:tcW w:w="743" w:type="dxa"/>
          </w:tcPr>
          <w:p w14:paraId="7C5C00F2">
            <w:pPr>
              <w:spacing w:line="360" w:lineRule="auto"/>
              <w:rPr>
                <w:rFonts w:hint="eastAsia" w:ascii="宋体" w:hAnsi="宋体" w:eastAsia="宋体" w:cs="宋体"/>
                <w:color w:val="auto"/>
                <w:sz w:val="24"/>
                <w:szCs w:val="24"/>
                <w:highlight w:val="none"/>
              </w:rPr>
            </w:pPr>
          </w:p>
        </w:tc>
        <w:tc>
          <w:tcPr>
            <w:tcW w:w="779" w:type="dxa"/>
          </w:tcPr>
          <w:p w14:paraId="709D50DA">
            <w:pPr>
              <w:spacing w:line="360" w:lineRule="auto"/>
              <w:rPr>
                <w:rFonts w:hint="eastAsia" w:ascii="宋体" w:hAnsi="宋体" w:eastAsia="宋体" w:cs="宋体"/>
                <w:color w:val="auto"/>
                <w:sz w:val="24"/>
                <w:szCs w:val="24"/>
                <w:highlight w:val="none"/>
              </w:rPr>
            </w:pPr>
          </w:p>
        </w:tc>
      </w:tr>
      <w:tr w14:paraId="7086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43" w:type="dxa"/>
          </w:tcPr>
          <w:p w14:paraId="7FC05FC9">
            <w:pPr>
              <w:spacing w:line="360" w:lineRule="auto"/>
              <w:rPr>
                <w:rFonts w:hint="eastAsia" w:ascii="宋体" w:hAnsi="宋体" w:eastAsia="宋体" w:cs="宋体"/>
                <w:color w:val="auto"/>
                <w:sz w:val="24"/>
                <w:szCs w:val="24"/>
                <w:highlight w:val="none"/>
              </w:rPr>
            </w:pPr>
          </w:p>
        </w:tc>
        <w:tc>
          <w:tcPr>
            <w:tcW w:w="1158" w:type="dxa"/>
          </w:tcPr>
          <w:p w14:paraId="12278C6C">
            <w:pPr>
              <w:spacing w:line="360" w:lineRule="auto"/>
              <w:rPr>
                <w:rFonts w:hint="eastAsia" w:ascii="宋体" w:hAnsi="宋体" w:eastAsia="宋体" w:cs="宋体"/>
                <w:color w:val="auto"/>
                <w:sz w:val="24"/>
                <w:szCs w:val="24"/>
                <w:highlight w:val="none"/>
              </w:rPr>
            </w:pPr>
          </w:p>
        </w:tc>
        <w:tc>
          <w:tcPr>
            <w:tcW w:w="1703" w:type="dxa"/>
          </w:tcPr>
          <w:p w14:paraId="1242BC04">
            <w:pPr>
              <w:spacing w:line="360" w:lineRule="auto"/>
              <w:rPr>
                <w:rFonts w:hint="eastAsia" w:ascii="宋体" w:hAnsi="宋体" w:eastAsia="宋体" w:cs="宋体"/>
                <w:color w:val="auto"/>
                <w:sz w:val="24"/>
                <w:szCs w:val="24"/>
                <w:highlight w:val="none"/>
              </w:rPr>
            </w:pPr>
          </w:p>
        </w:tc>
        <w:tc>
          <w:tcPr>
            <w:tcW w:w="1666" w:type="dxa"/>
          </w:tcPr>
          <w:p w14:paraId="2533A272">
            <w:pPr>
              <w:spacing w:line="360" w:lineRule="auto"/>
              <w:rPr>
                <w:rFonts w:hint="eastAsia" w:ascii="宋体" w:hAnsi="宋体" w:eastAsia="宋体" w:cs="宋体"/>
                <w:color w:val="auto"/>
                <w:sz w:val="24"/>
                <w:szCs w:val="24"/>
                <w:highlight w:val="none"/>
              </w:rPr>
            </w:pPr>
          </w:p>
        </w:tc>
        <w:tc>
          <w:tcPr>
            <w:tcW w:w="1725" w:type="dxa"/>
          </w:tcPr>
          <w:p w14:paraId="48EBC3B5">
            <w:pPr>
              <w:spacing w:line="360" w:lineRule="auto"/>
              <w:rPr>
                <w:rFonts w:hint="eastAsia" w:ascii="宋体" w:hAnsi="宋体" w:eastAsia="宋体" w:cs="宋体"/>
                <w:color w:val="auto"/>
                <w:sz w:val="24"/>
                <w:szCs w:val="24"/>
                <w:highlight w:val="none"/>
              </w:rPr>
            </w:pPr>
          </w:p>
        </w:tc>
        <w:tc>
          <w:tcPr>
            <w:tcW w:w="743" w:type="dxa"/>
          </w:tcPr>
          <w:p w14:paraId="17BFDDDC">
            <w:pPr>
              <w:spacing w:line="360" w:lineRule="auto"/>
              <w:rPr>
                <w:rFonts w:hint="eastAsia" w:ascii="宋体" w:hAnsi="宋体" w:eastAsia="宋体" w:cs="宋体"/>
                <w:color w:val="auto"/>
                <w:sz w:val="24"/>
                <w:szCs w:val="24"/>
                <w:highlight w:val="none"/>
              </w:rPr>
            </w:pPr>
          </w:p>
        </w:tc>
        <w:tc>
          <w:tcPr>
            <w:tcW w:w="779" w:type="dxa"/>
          </w:tcPr>
          <w:p w14:paraId="36AEF200">
            <w:pPr>
              <w:spacing w:line="360" w:lineRule="auto"/>
              <w:rPr>
                <w:rFonts w:hint="eastAsia" w:ascii="宋体" w:hAnsi="宋体" w:eastAsia="宋体" w:cs="宋体"/>
                <w:color w:val="auto"/>
                <w:sz w:val="24"/>
                <w:szCs w:val="24"/>
                <w:highlight w:val="none"/>
              </w:rPr>
            </w:pPr>
          </w:p>
        </w:tc>
      </w:tr>
      <w:tr w14:paraId="0D91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43" w:type="dxa"/>
          </w:tcPr>
          <w:p w14:paraId="7CEE8275">
            <w:pPr>
              <w:spacing w:line="360" w:lineRule="auto"/>
              <w:rPr>
                <w:rFonts w:hint="eastAsia" w:ascii="宋体" w:hAnsi="宋体" w:eastAsia="宋体" w:cs="宋体"/>
                <w:color w:val="auto"/>
                <w:sz w:val="24"/>
                <w:szCs w:val="24"/>
                <w:highlight w:val="none"/>
              </w:rPr>
            </w:pPr>
          </w:p>
        </w:tc>
        <w:tc>
          <w:tcPr>
            <w:tcW w:w="1158" w:type="dxa"/>
          </w:tcPr>
          <w:p w14:paraId="650FAB2D">
            <w:pPr>
              <w:spacing w:line="360" w:lineRule="auto"/>
              <w:rPr>
                <w:rFonts w:hint="eastAsia" w:ascii="宋体" w:hAnsi="宋体" w:eastAsia="宋体" w:cs="宋体"/>
                <w:color w:val="auto"/>
                <w:sz w:val="24"/>
                <w:szCs w:val="24"/>
                <w:highlight w:val="none"/>
              </w:rPr>
            </w:pPr>
          </w:p>
        </w:tc>
        <w:tc>
          <w:tcPr>
            <w:tcW w:w="1703" w:type="dxa"/>
          </w:tcPr>
          <w:p w14:paraId="2526D41C">
            <w:pPr>
              <w:spacing w:line="360" w:lineRule="auto"/>
              <w:rPr>
                <w:rFonts w:hint="eastAsia" w:ascii="宋体" w:hAnsi="宋体" w:eastAsia="宋体" w:cs="宋体"/>
                <w:color w:val="auto"/>
                <w:sz w:val="24"/>
                <w:szCs w:val="24"/>
                <w:highlight w:val="none"/>
              </w:rPr>
            </w:pPr>
          </w:p>
        </w:tc>
        <w:tc>
          <w:tcPr>
            <w:tcW w:w="1666" w:type="dxa"/>
          </w:tcPr>
          <w:p w14:paraId="5DA40C30">
            <w:pPr>
              <w:spacing w:line="360" w:lineRule="auto"/>
              <w:rPr>
                <w:rFonts w:hint="eastAsia" w:ascii="宋体" w:hAnsi="宋体" w:eastAsia="宋体" w:cs="宋体"/>
                <w:color w:val="auto"/>
                <w:sz w:val="24"/>
                <w:szCs w:val="24"/>
                <w:highlight w:val="none"/>
              </w:rPr>
            </w:pPr>
          </w:p>
        </w:tc>
        <w:tc>
          <w:tcPr>
            <w:tcW w:w="1725" w:type="dxa"/>
          </w:tcPr>
          <w:p w14:paraId="79747B5B">
            <w:pPr>
              <w:spacing w:line="360" w:lineRule="auto"/>
              <w:rPr>
                <w:rFonts w:hint="eastAsia" w:ascii="宋体" w:hAnsi="宋体" w:eastAsia="宋体" w:cs="宋体"/>
                <w:color w:val="auto"/>
                <w:sz w:val="24"/>
                <w:szCs w:val="24"/>
                <w:highlight w:val="none"/>
              </w:rPr>
            </w:pPr>
          </w:p>
        </w:tc>
        <w:tc>
          <w:tcPr>
            <w:tcW w:w="743" w:type="dxa"/>
          </w:tcPr>
          <w:p w14:paraId="04AD3DCF">
            <w:pPr>
              <w:spacing w:line="360" w:lineRule="auto"/>
              <w:rPr>
                <w:rFonts w:hint="eastAsia" w:ascii="宋体" w:hAnsi="宋体" w:eastAsia="宋体" w:cs="宋体"/>
                <w:color w:val="auto"/>
                <w:sz w:val="24"/>
                <w:szCs w:val="24"/>
                <w:highlight w:val="none"/>
              </w:rPr>
            </w:pPr>
          </w:p>
        </w:tc>
        <w:tc>
          <w:tcPr>
            <w:tcW w:w="779" w:type="dxa"/>
          </w:tcPr>
          <w:p w14:paraId="0528E979">
            <w:pPr>
              <w:spacing w:line="360" w:lineRule="auto"/>
              <w:rPr>
                <w:rFonts w:hint="eastAsia" w:ascii="宋体" w:hAnsi="宋体" w:eastAsia="宋体" w:cs="宋体"/>
                <w:color w:val="auto"/>
                <w:sz w:val="24"/>
                <w:szCs w:val="24"/>
                <w:highlight w:val="none"/>
              </w:rPr>
            </w:pPr>
          </w:p>
        </w:tc>
      </w:tr>
      <w:tr w14:paraId="038D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43" w:type="dxa"/>
          </w:tcPr>
          <w:p w14:paraId="1F387B56">
            <w:pPr>
              <w:spacing w:line="360" w:lineRule="auto"/>
              <w:rPr>
                <w:rFonts w:hint="eastAsia" w:ascii="宋体" w:hAnsi="宋体" w:eastAsia="宋体" w:cs="宋体"/>
                <w:color w:val="auto"/>
                <w:sz w:val="24"/>
                <w:szCs w:val="24"/>
                <w:highlight w:val="none"/>
              </w:rPr>
            </w:pPr>
          </w:p>
        </w:tc>
        <w:tc>
          <w:tcPr>
            <w:tcW w:w="1158" w:type="dxa"/>
          </w:tcPr>
          <w:p w14:paraId="54E06111">
            <w:pPr>
              <w:spacing w:line="360" w:lineRule="auto"/>
              <w:rPr>
                <w:rFonts w:hint="eastAsia" w:ascii="宋体" w:hAnsi="宋体" w:eastAsia="宋体" w:cs="宋体"/>
                <w:color w:val="auto"/>
                <w:sz w:val="24"/>
                <w:szCs w:val="24"/>
                <w:highlight w:val="none"/>
              </w:rPr>
            </w:pPr>
          </w:p>
        </w:tc>
        <w:tc>
          <w:tcPr>
            <w:tcW w:w="1703" w:type="dxa"/>
          </w:tcPr>
          <w:p w14:paraId="3EF8A650">
            <w:pPr>
              <w:spacing w:line="360" w:lineRule="auto"/>
              <w:rPr>
                <w:rFonts w:hint="eastAsia" w:ascii="宋体" w:hAnsi="宋体" w:eastAsia="宋体" w:cs="宋体"/>
                <w:color w:val="auto"/>
                <w:sz w:val="24"/>
                <w:szCs w:val="24"/>
                <w:highlight w:val="none"/>
              </w:rPr>
            </w:pPr>
          </w:p>
        </w:tc>
        <w:tc>
          <w:tcPr>
            <w:tcW w:w="1666" w:type="dxa"/>
          </w:tcPr>
          <w:p w14:paraId="64111C6F">
            <w:pPr>
              <w:spacing w:line="360" w:lineRule="auto"/>
              <w:rPr>
                <w:rFonts w:hint="eastAsia" w:ascii="宋体" w:hAnsi="宋体" w:eastAsia="宋体" w:cs="宋体"/>
                <w:color w:val="auto"/>
                <w:sz w:val="24"/>
                <w:szCs w:val="24"/>
                <w:highlight w:val="none"/>
              </w:rPr>
            </w:pPr>
          </w:p>
        </w:tc>
        <w:tc>
          <w:tcPr>
            <w:tcW w:w="1725" w:type="dxa"/>
          </w:tcPr>
          <w:p w14:paraId="7F7CB233">
            <w:pPr>
              <w:spacing w:line="360" w:lineRule="auto"/>
              <w:rPr>
                <w:rFonts w:hint="eastAsia" w:ascii="宋体" w:hAnsi="宋体" w:eastAsia="宋体" w:cs="宋体"/>
                <w:color w:val="auto"/>
                <w:sz w:val="24"/>
                <w:szCs w:val="24"/>
                <w:highlight w:val="none"/>
              </w:rPr>
            </w:pPr>
          </w:p>
        </w:tc>
        <w:tc>
          <w:tcPr>
            <w:tcW w:w="743" w:type="dxa"/>
          </w:tcPr>
          <w:p w14:paraId="6DCD5399">
            <w:pPr>
              <w:spacing w:line="360" w:lineRule="auto"/>
              <w:rPr>
                <w:rFonts w:hint="eastAsia" w:ascii="宋体" w:hAnsi="宋体" w:eastAsia="宋体" w:cs="宋体"/>
                <w:color w:val="auto"/>
                <w:sz w:val="24"/>
                <w:szCs w:val="24"/>
                <w:highlight w:val="none"/>
              </w:rPr>
            </w:pPr>
          </w:p>
        </w:tc>
        <w:tc>
          <w:tcPr>
            <w:tcW w:w="779" w:type="dxa"/>
          </w:tcPr>
          <w:p w14:paraId="790D0532">
            <w:pPr>
              <w:spacing w:line="360" w:lineRule="auto"/>
              <w:rPr>
                <w:rFonts w:hint="eastAsia" w:ascii="宋体" w:hAnsi="宋体" w:eastAsia="宋体" w:cs="宋体"/>
                <w:color w:val="auto"/>
                <w:sz w:val="24"/>
                <w:szCs w:val="24"/>
                <w:highlight w:val="none"/>
              </w:rPr>
            </w:pPr>
          </w:p>
        </w:tc>
      </w:tr>
    </w:tbl>
    <w:p w14:paraId="5F361A60">
      <w:pPr>
        <w:rPr>
          <w:rFonts w:hint="eastAsia" w:ascii="宋体" w:hAnsi="宋体" w:eastAsia="宋体" w:cs="宋体"/>
          <w:color w:val="auto"/>
          <w:sz w:val="24"/>
          <w:szCs w:val="24"/>
          <w:highlight w:val="none"/>
        </w:rPr>
      </w:pPr>
    </w:p>
    <w:p w14:paraId="399ECB1D">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1BE2E324">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1.供应商应对照招标文件“第三章  服务需求”</w:t>
      </w:r>
      <w:r>
        <w:rPr>
          <w:rFonts w:hint="eastAsia" w:ascii="宋体" w:hAnsi="宋体" w:eastAsia="宋体" w:cs="宋体"/>
          <w:color w:val="auto"/>
          <w:sz w:val="24"/>
          <w:szCs w:val="24"/>
          <w:highlight w:val="none"/>
          <w:lang w:val="en-US" w:eastAsia="zh-CN"/>
        </w:rPr>
        <w:t>中的“二、技术要求 设备名称及试验项目”逐项</w:t>
      </w:r>
      <w:r>
        <w:rPr>
          <w:rFonts w:hint="eastAsia" w:ascii="宋体" w:hAnsi="宋体" w:eastAsia="宋体" w:cs="宋体"/>
          <w:color w:val="auto"/>
          <w:sz w:val="24"/>
          <w:szCs w:val="24"/>
          <w:highlight w:val="none"/>
          <w:lang w:eastAsia="zh-CN"/>
        </w:rPr>
        <w:t>填写，在“</w:t>
      </w:r>
      <w:r>
        <w:rPr>
          <w:rFonts w:hint="eastAsia" w:ascii="宋体" w:hAnsi="宋体" w:eastAsia="宋体" w:cs="宋体"/>
          <w:color w:val="auto"/>
          <w:sz w:val="24"/>
          <w:szCs w:val="24"/>
          <w:highlight w:val="none"/>
          <w:lang w:val="en-US" w:eastAsia="zh-CN"/>
        </w:rPr>
        <w:t>技术要求</w:t>
      </w:r>
      <w:r>
        <w:rPr>
          <w:rFonts w:hint="eastAsia" w:ascii="宋体" w:hAnsi="宋体" w:eastAsia="宋体" w:cs="宋体"/>
          <w:color w:val="auto"/>
          <w:sz w:val="24"/>
          <w:szCs w:val="24"/>
          <w:highlight w:val="none"/>
          <w:lang w:eastAsia="zh-CN"/>
        </w:rPr>
        <w:t>偏离表”中的“偏离情况”中注明“正偏离”或“负偏离”或“无偏离”，不得虚假响应。</w:t>
      </w:r>
    </w:p>
    <w:p w14:paraId="00D719A0">
      <w:pPr>
        <w:spacing w:line="560" w:lineRule="exact"/>
        <w:jc w:val="both"/>
        <w:rPr>
          <w:rFonts w:hint="eastAsia"/>
          <w:color w:val="auto"/>
          <w:highlight w:val="none"/>
          <w:lang w:eastAsia="zh-CN"/>
        </w:rPr>
      </w:pP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须提供与服务需求相关的</w:t>
      </w:r>
      <w:r>
        <w:rPr>
          <w:rFonts w:hint="eastAsia" w:ascii="宋体" w:hAnsi="宋体" w:eastAsia="宋体" w:cs="宋体"/>
          <w:bCs/>
          <w:color w:val="auto"/>
          <w:sz w:val="24"/>
          <w:szCs w:val="24"/>
          <w:highlight w:val="none"/>
          <w:lang w:val="en-US" w:eastAsia="zh-CN"/>
        </w:rPr>
        <w:t>成果文件证明材料（例如：试验报告或设备健康评估报告或更新高低压设备台账等）</w:t>
      </w:r>
      <w:r>
        <w:rPr>
          <w:rFonts w:hint="eastAsia" w:ascii="宋体" w:hAnsi="宋体" w:eastAsia="宋体" w:cs="宋体"/>
          <w:bCs/>
          <w:color w:val="auto"/>
          <w:sz w:val="24"/>
          <w:szCs w:val="24"/>
          <w:highlight w:val="none"/>
          <w:lang w:eastAsia="zh-CN"/>
        </w:rPr>
        <w:t xml:space="preserve">，不提供或不清楚或不准确，不予认可。                      </w:t>
      </w:r>
    </w:p>
    <w:p w14:paraId="65955A05">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投标人名称（盖章）：</w:t>
      </w:r>
    </w:p>
    <w:p w14:paraId="2DAB6BF3">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授权人或被授权人（签字或盖章）：</w:t>
      </w:r>
    </w:p>
    <w:p w14:paraId="245925F7">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日期： 年 月 日 </w:t>
      </w:r>
    </w:p>
    <w:p w14:paraId="0B1242A9">
      <w:pPr>
        <w:rPr>
          <w:rFonts w:hint="eastAsia" w:ascii="宋体" w:hAnsi="宋体" w:eastAsia="宋体" w:cs="宋体"/>
          <w:color w:val="auto"/>
          <w:sz w:val="24"/>
          <w:szCs w:val="24"/>
          <w:highlight w:val="none"/>
          <w:lang w:eastAsia="zh-CN"/>
        </w:rPr>
        <w:sectPr>
          <w:footerReference r:id="rId5" w:type="default"/>
          <w:pgSz w:w="11906" w:h="16838"/>
          <w:pgMar w:top="1429" w:right="1553" w:bottom="1378" w:left="1786" w:header="907" w:footer="1134" w:gutter="0"/>
          <w:cols w:space="720" w:num="1"/>
          <w:docGrid w:type="lines" w:linePitch="312" w:charSpace="0"/>
        </w:sectPr>
      </w:pPr>
    </w:p>
    <w:p w14:paraId="5693FD46">
      <w:pPr>
        <w:pStyle w:val="13"/>
        <w:spacing w:line="360" w:lineRule="auto"/>
        <w:ind w:firstLine="0"/>
        <w:jc w:val="center"/>
        <w:outlineLvl w:val="1"/>
        <w:rPr>
          <w:rFonts w:hint="eastAsia" w:ascii="宋体" w:hAnsi="宋体" w:cs="宋体"/>
          <w:b/>
          <w:bCs/>
          <w:color w:val="auto"/>
          <w:sz w:val="24"/>
          <w:szCs w:val="24"/>
          <w:highlight w:val="none"/>
        </w:rPr>
      </w:pPr>
      <w:bookmarkStart w:id="144" w:name="_Toc19183"/>
      <w:r>
        <w:rPr>
          <w:rFonts w:hint="eastAsia" w:ascii="宋体" w:hAnsi="宋体" w:cs="宋体"/>
          <w:b/>
          <w:bCs/>
          <w:color w:val="auto"/>
          <w:sz w:val="24"/>
          <w:szCs w:val="24"/>
          <w:highlight w:val="none"/>
        </w:rPr>
        <w:t>十一、服务方案</w:t>
      </w:r>
      <w:bookmarkEnd w:id="144"/>
    </w:p>
    <w:p w14:paraId="066842E5">
      <w:pPr>
        <w:spacing w:line="360" w:lineRule="auto"/>
        <w:jc w:val="center"/>
        <w:rPr>
          <w:rFonts w:hint="eastAsia" w:ascii="宋体" w:hAnsi="宋体" w:eastAsia="宋体" w:cs="宋体"/>
          <w:color w:val="auto"/>
          <w:kern w:val="44"/>
          <w:sz w:val="24"/>
          <w:szCs w:val="24"/>
          <w:highlight w:val="none"/>
          <w:lang w:eastAsia="zh-CN"/>
        </w:rPr>
      </w:pPr>
    </w:p>
    <w:p w14:paraId="68DB0436">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供应商应根据招标文件要求和本项目的具体情况，自行编制服务方案，格式自拟。</w:t>
      </w:r>
    </w:p>
    <w:p w14:paraId="353D6E39">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p>
    <w:p w14:paraId="10BA5C0C">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5869FBF2">
      <w:pPr>
        <w:pStyle w:val="17"/>
        <w:spacing w:line="560" w:lineRule="exact"/>
        <w:ind w:firstLine="482" w:firstLineChars="200"/>
        <w:jc w:val="center"/>
        <w:outlineLvl w:val="1"/>
        <w:rPr>
          <w:rFonts w:hint="eastAsia" w:hAnsi="宋体"/>
          <w:b/>
          <w:bCs/>
          <w:color w:val="auto"/>
          <w:sz w:val="24"/>
          <w:szCs w:val="24"/>
          <w:highlight w:val="none"/>
        </w:rPr>
      </w:pPr>
      <w:bookmarkStart w:id="145" w:name="_Toc14419"/>
      <w:r>
        <w:rPr>
          <w:rFonts w:hint="eastAsia" w:hAnsi="宋体"/>
          <w:b/>
          <w:bCs/>
          <w:color w:val="auto"/>
          <w:sz w:val="24"/>
          <w:szCs w:val="24"/>
          <w:highlight w:val="none"/>
        </w:rPr>
        <w:t>十二、政府采购政策</w:t>
      </w:r>
      <w:bookmarkEnd w:id="145"/>
    </w:p>
    <w:p w14:paraId="74F3469B">
      <w:pPr>
        <w:pStyle w:val="31"/>
        <w:ind w:left="0" w:lef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（本项目为专门面</w:t>
      </w:r>
      <w:r>
        <w:rPr>
          <w:rFonts w:hint="eastAsia" w:ascii="宋体" w:hAnsi="宋体" w:eastAsia="宋体" w:cs="宋体"/>
          <w:color w:val="auto"/>
          <w:sz w:val="24"/>
          <w:highlight w:val="none"/>
          <w:lang w:val="en-US" w:eastAsia="zh-CN"/>
        </w:rPr>
        <w:t>向</w:t>
      </w:r>
      <w:r>
        <w:rPr>
          <w:rFonts w:hint="eastAsia" w:ascii="宋体" w:hAnsi="宋体" w:eastAsia="宋体" w:cs="宋体"/>
          <w:color w:val="auto"/>
          <w:sz w:val="24"/>
          <w:highlight w:val="none"/>
          <w:lang w:eastAsia="zh-CN"/>
        </w:rPr>
        <w:t>中小企业采购项目（非中小企业可以不用提供）。根据财库〔2020〕46号及自治区相关的规定对小微企业产品的价格给予10%的扣除。如供应商为小微企业需享受价格优惠政策，则填写本声明函。）</w:t>
      </w:r>
    </w:p>
    <w:p w14:paraId="33E8A464">
      <w:pPr>
        <w:pStyle w:val="17"/>
        <w:spacing w:line="560" w:lineRule="exact"/>
        <w:ind w:firstLine="482" w:firstLineChars="200"/>
        <w:jc w:val="center"/>
        <w:outlineLvl w:val="1"/>
        <w:rPr>
          <w:rFonts w:hint="eastAsia" w:hAnsi="宋体"/>
          <w:color w:val="auto"/>
          <w:sz w:val="24"/>
          <w:szCs w:val="24"/>
          <w:highlight w:val="none"/>
        </w:rPr>
      </w:pPr>
      <w:bookmarkStart w:id="146" w:name="_Toc16189"/>
      <w:r>
        <w:rPr>
          <w:rFonts w:hint="eastAsia" w:hAnsi="宋体"/>
          <w:b/>
          <w:bCs/>
          <w:color w:val="auto"/>
          <w:sz w:val="24"/>
          <w:szCs w:val="24"/>
          <w:highlight w:val="none"/>
        </w:rPr>
        <w:t>（一）中小企业声明函</w:t>
      </w:r>
      <w:bookmarkEnd w:id="146"/>
    </w:p>
    <w:p w14:paraId="7AE4057C">
      <w:pPr>
        <w:widowControl/>
        <w:spacing w:line="400" w:lineRule="exact"/>
        <w:jc w:val="center"/>
        <w:rPr>
          <w:rFonts w:hint="eastAsia" w:ascii="宋体" w:hAnsi="宋体" w:cs="方正小标宋_GBK"/>
          <w:color w:val="auto"/>
          <w:sz w:val="36"/>
          <w:highlight w:val="none"/>
        </w:rPr>
      </w:pPr>
    </w:p>
    <w:p w14:paraId="4F003C8B">
      <w:pPr>
        <w:spacing w:line="360" w:lineRule="auto"/>
        <w:ind w:firstLine="480" w:firstLineChars="20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中小企业声明函（工程、服务）</w:t>
      </w:r>
    </w:p>
    <w:p w14:paraId="7378CC4F">
      <w:pPr>
        <w:spacing w:line="360" w:lineRule="auto"/>
        <w:ind w:firstLine="480" w:firstLineChars="200"/>
        <w:rPr>
          <w:rFonts w:hint="eastAsia" w:ascii="宋体" w:hAnsi="宋体" w:cs="宋体"/>
          <w:color w:val="auto"/>
          <w:kern w:val="0"/>
          <w:sz w:val="24"/>
          <w:szCs w:val="24"/>
          <w:highlight w:val="none"/>
        </w:rPr>
      </w:pPr>
    </w:p>
    <w:p w14:paraId="7919DA4C">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F2C5D7F">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 （标的名称） ，属于（采购文件中明确的所属行业）；承建（承接）企业为（企业名称），从业人员人，营业收入为万元，资产总额为万元，属于（中型企业、小型企业、微型企业）；</w:t>
      </w:r>
    </w:p>
    <w:p w14:paraId="2F474329">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 （标的名称） ，属于（采购文件中明确的所属行业）；承建（承接）企业为（企业名称），从业人员人，营业收入为万元，资产总额为万元，属于（中型企业、小型企业、微型企业）；</w:t>
      </w:r>
    </w:p>
    <w:p w14:paraId="612AED2D">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p>
    <w:p w14:paraId="7BA2BDA3">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以上企业，不属于大企业的分支机构，不存在控股股东为大企业的情形，也不存在与大企业的负责人为同一人的情形。</w:t>
      </w:r>
    </w:p>
    <w:p w14:paraId="2B7500F5">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本企业对上述声明内容的真实性负责。如有虚假，将依法承担相应责任。</w:t>
      </w:r>
    </w:p>
    <w:p w14:paraId="5E83DD72">
      <w:pPr>
        <w:spacing w:line="360" w:lineRule="auto"/>
        <w:ind w:firstLine="480" w:firstLineChars="200"/>
        <w:rPr>
          <w:rFonts w:hint="eastAsia" w:ascii="宋体" w:hAnsi="宋体" w:cs="宋体"/>
          <w:color w:val="auto"/>
          <w:kern w:val="0"/>
          <w:sz w:val="24"/>
          <w:szCs w:val="24"/>
          <w:highlight w:val="none"/>
        </w:rPr>
      </w:pPr>
    </w:p>
    <w:p w14:paraId="13CD06FF">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企业名称（盖章）：</w:t>
      </w:r>
    </w:p>
    <w:p w14:paraId="23C8BEC7">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日期：</w:t>
      </w:r>
    </w:p>
    <w:p w14:paraId="687482EC">
      <w:pPr>
        <w:spacing w:line="360" w:lineRule="auto"/>
        <w:ind w:firstLine="480" w:firstLineChars="200"/>
        <w:rPr>
          <w:rFonts w:hint="eastAsia" w:ascii="宋体" w:hAnsi="宋体" w:cs="宋体"/>
          <w:color w:val="auto"/>
          <w:kern w:val="0"/>
          <w:sz w:val="24"/>
          <w:szCs w:val="24"/>
          <w:highlight w:val="none"/>
        </w:rPr>
      </w:pPr>
    </w:p>
    <w:p w14:paraId="3D7A9758">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备注：1、从业人员、营业收入、资产总额填报上一年度数据，无上一年度数据的新成立企业可不填报。</w:t>
      </w:r>
    </w:p>
    <w:p w14:paraId="1DE12FCF">
      <w:pPr>
        <w:widowControl w:val="0"/>
        <w:numPr>
          <w:ilvl w:val="0"/>
          <w:numId w:val="0"/>
        </w:numPr>
        <w:adjustRightInd/>
        <w:snapToGrid/>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snapToGrid w:val="0"/>
          <w:color w:val="auto"/>
          <w:kern w:val="2"/>
          <w:sz w:val="24"/>
          <w:szCs w:val="24"/>
          <w:highlight w:val="none"/>
          <w:lang w:val="en-US" w:eastAsia="zh-CN" w:bidi="ar-SA"/>
        </w:rPr>
        <w:t>2、</w:t>
      </w:r>
      <w:r>
        <w:rPr>
          <w:rFonts w:hint="eastAsia" w:ascii="宋体" w:hAnsi="宋体" w:cs="宋体"/>
          <w:color w:val="auto"/>
          <w:kern w:val="0"/>
          <w:sz w:val="24"/>
          <w:szCs w:val="24"/>
          <w:highlight w:val="none"/>
        </w:rPr>
        <w:t>供应商为小微企业时需提供本声明函，并完整填写从业人员、营业收入、资产总额等内容，否则将不能通过资格审查。</w:t>
      </w:r>
      <w:r>
        <w:rPr>
          <w:rFonts w:hint="eastAsia" w:ascii="宋体" w:hAnsi="宋体" w:eastAsia="宋体" w:cs="宋体"/>
          <w:color w:val="auto"/>
          <w:kern w:val="2"/>
          <w:sz w:val="24"/>
          <w:szCs w:val="24"/>
          <w:highlight w:val="none"/>
          <w:lang w:eastAsia="zh-CN"/>
        </w:rPr>
        <w:br w:type="page"/>
      </w:r>
    </w:p>
    <w:p w14:paraId="37ED4AFE">
      <w:pPr>
        <w:pStyle w:val="11"/>
        <w:spacing w:line="360" w:lineRule="auto"/>
        <w:jc w:val="center"/>
        <w:rPr>
          <w:rFonts w:hint="eastAsia" w:asciiTheme="minorEastAsia" w:hAnsiTheme="minorEastAsia" w:eastAsiaTheme="minorEastAsia" w:cstheme="minorEastAsia"/>
          <w:b/>
          <w:bCs/>
          <w:color w:val="auto"/>
          <w:sz w:val="28"/>
          <w:szCs w:val="36"/>
          <w:highlight w:val="none"/>
          <w:lang w:eastAsia="zh-CN"/>
        </w:rPr>
      </w:pPr>
      <w:r>
        <w:rPr>
          <w:rFonts w:hint="eastAsia" w:asciiTheme="minorEastAsia" w:hAnsiTheme="minorEastAsia" w:eastAsiaTheme="minorEastAsia" w:cstheme="minorEastAsia"/>
          <w:b/>
          <w:bCs/>
          <w:color w:val="auto"/>
          <w:sz w:val="28"/>
          <w:szCs w:val="36"/>
          <w:highlight w:val="none"/>
          <w:lang w:eastAsia="zh-CN"/>
        </w:rPr>
        <w:t>特别说明</w:t>
      </w:r>
    </w:p>
    <w:p w14:paraId="2562CBAA">
      <w:pPr>
        <w:spacing w:line="360" w:lineRule="auto"/>
        <w:ind w:firstLine="480" w:firstLineChars="200"/>
        <w:rPr>
          <w:rFonts w:hint="eastAsia" w:ascii="宋体" w:hAnsi="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rPr>
        <w:t>本项目为</w:t>
      </w:r>
      <w:r>
        <w:rPr>
          <w:rFonts w:hint="eastAsia" w:ascii="宋体" w:hAnsi="宋体" w:cs="宋体"/>
          <w:color w:val="auto"/>
          <w:kern w:val="0"/>
          <w:sz w:val="24"/>
          <w:szCs w:val="24"/>
          <w:highlight w:val="none"/>
          <w:lang w:val="en-US" w:eastAsia="zh-CN"/>
        </w:rPr>
        <w:t>工业</w:t>
      </w:r>
      <w:r>
        <w:rPr>
          <w:rFonts w:hint="eastAsia" w:ascii="宋体" w:hAnsi="宋体" w:cs="宋体"/>
          <w:color w:val="auto"/>
          <w:kern w:val="0"/>
          <w:sz w:val="24"/>
          <w:szCs w:val="24"/>
          <w:highlight w:val="none"/>
          <w:lang w:eastAsia="zh-CN"/>
        </w:rPr>
        <w:t>。</w:t>
      </w:r>
      <w:r>
        <w:rPr>
          <w:rFonts w:hint="eastAsia" w:eastAsia="宋体" w:cs="宋体"/>
          <w:color w:val="auto"/>
          <w:sz w:val="24"/>
          <w:szCs w:val="24"/>
          <w:highlight w:val="none"/>
          <w:shd w:val="clear" w:color="auto" w:fill="FFFFFF"/>
          <w:lang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943944C">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（2）相关中小企业政策，详见本招标文件附件1、附件2及附件3。</w:t>
      </w:r>
    </w:p>
    <w:p w14:paraId="40F04F08">
      <w:pP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br w:type="page"/>
      </w:r>
    </w:p>
    <w:p w14:paraId="047031F1">
      <w:pPr>
        <w:spacing w:line="560" w:lineRule="exact"/>
        <w:jc w:val="center"/>
        <w:outlineLvl w:val="1"/>
        <w:rPr>
          <w:rFonts w:hint="eastAsia" w:ascii="宋体" w:hAnsi="宋体" w:eastAsia="宋体" w:cs="宋体"/>
          <w:b/>
          <w:color w:val="auto"/>
          <w:spacing w:val="6"/>
          <w:sz w:val="24"/>
          <w:szCs w:val="24"/>
          <w:highlight w:val="none"/>
          <w:lang w:eastAsia="zh-CN"/>
        </w:rPr>
      </w:pPr>
      <w:bookmarkStart w:id="147" w:name="_Toc5424"/>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（二）</w:t>
      </w:r>
      <w:r>
        <w:rPr>
          <w:rFonts w:hint="eastAsia" w:ascii="宋体" w:hAnsi="宋体" w:eastAsia="宋体" w:cs="宋体"/>
          <w:b/>
          <w:color w:val="auto"/>
          <w:spacing w:val="6"/>
          <w:sz w:val="24"/>
          <w:szCs w:val="24"/>
          <w:highlight w:val="none"/>
          <w:lang w:eastAsia="zh-CN"/>
        </w:rPr>
        <w:t>残疾人福利性单位声明函</w:t>
      </w:r>
      <w:r>
        <w:rPr>
          <w:rFonts w:hint="eastAsia" w:ascii="宋体" w:hAnsi="宋体" w:eastAsia="宋体" w:cs="宋体"/>
          <w:b/>
          <w:color w:val="auto"/>
          <w:sz w:val="24"/>
          <w:szCs w:val="24"/>
          <w:highlight w:val="none"/>
          <w:lang w:eastAsia="zh-CN"/>
        </w:rPr>
        <w:t>（如有）</w:t>
      </w:r>
      <w:bookmarkEnd w:id="147"/>
    </w:p>
    <w:p w14:paraId="5F38902A">
      <w:pPr>
        <w:spacing w:line="560" w:lineRule="exact"/>
        <w:rPr>
          <w:rFonts w:hint="eastAsia" w:ascii="宋体" w:hAnsi="宋体" w:eastAsia="宋体" w:cs="宋体"/>
          <w:b/>
          <w:color w:val="auto"/>
          <w:spacing w:val="6"/>
          <w:sz w:val="24"/>
          <w:szCs w:val="24"/>
          <w:highlight w:val="none"/>
          <w:lang w:eastAsia="zh-CN"/>
        </w:rPr>
      </w:pPr>
    </w:p>
    <w:p w14:paraId="17FF7C25">
      <w:pPr>
        <w:spacing w:line="560" w:lineRule="exact"/>
        <w:ind w:firstLine="504" w:firstLineChars="200"/>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本单位郑重声明，根据《财政部民政部中国残疾人联合会关于促进残疾人就业政府采购政策的通知》（财库</w:t>
      </w:r>
      <w:r>
        <w:rPr>
          <w:rFonts w:hint="eastAsia" w:ascii="宋体" w:hAnsi="宋体" w:eastAsia="宋体" w:cs="宋体"/>
          <w:color w:val="auto"/>
          <w:sz w:val="24"/>
          <w:szCs w:val="24"/>
          <w:highlight w:val="none"/>
          <w:lang w:eastAsia="zh-CN"/>
        </w:rPr>
        <w:t>〔2017〕 141</w:t>
      </w:r>
      <w:r>
        <w:rPr>
          <w:rFonts w:hint="eastAsia" w:ascii="宋体" w:hAnsi="宋体" w:eastAsia="宋体" w:cs="宋体"/>
          <w:color w:val="auto"/>
          <w:spacing w:val="6"/>
          <w:sz w:val="24"/>
          <w:szCs w:val="24"/>
          <w:highlight w:val="none"/>
          <w:lang w:eastAsia="zh-CN"/>
        </w:rPr>
        <w:t>号）的规定，本单位为符合条件的残疾人福利性单位，且本单位参加</w:t>
      </w:r>
      <w:r>
        <w:rPr>
          <w:rFonts w:hint="eastAsia" w:ascii="宋体" w:hAnsi="宋体" w:eastAsia="宋体" w:cs="宋体"/>
          <w:color w:val="auto"/>
          <w:spacing w:val="6"/>
          <w:sz w:val="24"/>
          <w:szCs w:val="24"/>
          <w:highlight w:val="none"/>
          <w:u w:val="single"/>
          <w:lang w:eastAsia="zh-CN"/>
        </w:rPr>
        <w:t xml:space="preserve">         </w:t>
      </w:r>
      <w:r>
        <w:rPr>
          <w:rFonts w:hint="eastAsia" w:ascii="宋体" w:hAnsi="宋体" w:eastAsia="宋体" w:cs="宋体"/>
          <w:color w:val="auto"/>
          <w:spacing w:val="6"/>
          <w:sz w:val="24"/>
          <w:szCs w:val="24"/>
          <w:highlight w:val="none"/>
          <w:lang w:eastAsia="zh-CN"/>
        </w:rPr>
        <w:t>单位的</w:t>
      </w:r>
      <w:r>
        <w:rPr>
          <w:rFonts w:hint="eastAsia" w:ascii="宋体" w:hAnsi="宋体" w:eastAsia="宋体" w:cs="宋体"/>
          <w:color w:val="auto"/>
          <w:spacing w:val="6"/>
          <w:sz w:val="24"/>
          <w:szCs w:val="24"/>
          <w:highlight w:val="none"/>
          <w:u w:val="single"/>
          <w:lang w:eastAsia="zh-CN"/>
        </w:rPr>
        <w:t xml:space="preserve">      </w:t>
      </w:r>
      <w:r>
        <w:rPr>
          <w:rFonts w:hint="eastAsia" w:ascii="宋体" w:hAnsi="宋体" w:eastAsia="宋体" w:cs="宋体"/>
          <w:color w:val="auto"/>
          <w:spacing w:val="6"/>
          <w:sz w:val="24"/>
          <w:szCs w:val="24"/>
          <w:highlight w:val="none"/>
          <w:lang w:eastAsia="zh-CN"/>
        </w:rPr>
        <w:t>项目投标活动提供本单位制造的货物（由本单位承担工程/提供服务），或者提供其他残疾人福利性单位制造的货物（不包括使用非残疾人福利性单位注册商标的货物）。</w:t>
      </w:r>
    </w:p>
    <w:p w14:paraId="3F4A4599">
      <w:pPr>
        <w:spacing w:line="560" w:lineRule="exact"/>
        <w:ind w:firstLine="504" w:firstLineChars="200"/>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本单位对上述声明的真实性负责。如有虚假，将依法承担相应责任。</w:t>
      </w:r>
    </w:p>
    <w:p w14:paraId="1F5CD43A">
      <w:pPr>
        <w:spacing w:line="560" w:lineRule="exact"/>
        <w:ind w:firstLine="504" w:firstLineChars="200"/>
        <w:rPr>
          <w:rFonts w:hint="eastAsia" w:ascii="宋体" w:hAnsi="宋体" w:eastAsia="宋体" w:cs="宋体"/>
          <w:color w:val="auto"/>
          <w:spacing w:val="6"/>
          <w:sz w:val="24"/>
          <w:szCs w:val="24"/>
          <w:highlight w:val="none"/>
          <w:lang w:eastAsia="zh-CN"/>
        </w:rPr>
      </w:pPr>
    </w:p>
    <w:p w14:paraId="47468026">
      <w:pPr>
        <w:spacing w:line="560" w:lineRule="exact"/>
        <w:ind w:firstLine="504" w:firstLineChars="200"/>
        <w:rPr>
          <w:rFonts w:hint="eastAsia" w:ascii="宋体" w:hAnsi="宋体" w:eastAsia="宋体" w:cs="宋体"/>
          <w:color w:val="auto"/>
          <w:spacing w:val="6"/>
          <w:sz w:val="24"/>
          <w:szCs w:val="24"/>
          <w:highlight w:val="none"/>
          <w:lang w:eastAsia="zh-CN"/>
        </w:rPr>
      </w:pPr>
    </w:p>
    <w:p w14:paraId="76AF0BCA">
      <w:pPr>
        <w:tabs>
          <w:tab w:val="left" w:pos="4860"/>
        </w:tabs>
        <w:spacing w:line="560" w:lineRule="exact"/>
        <w:ind w:firstLine="504" w:firstLineChars="200"/>
        <w:jc w:val="center"/>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 xml:space="preserve">               单位名称（盖章）：</w:t>
      </w:r>
    </w:p>
    <w:p w14:paraId="34644A5B">
      <w:pPr>
        <w:tabs>
          <w:tab w:val="left" w:pos="4860"/>
        </w:tabs>
        <w:spacing w:line="560" w:lineRule="exact"/>
        <w:ind w:firstLine="504" w:firstLineChars="200"/>
        <w:jc w:val="center"/>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 xml:space="preserve">       日  期：</w:t>
      </w:r>
    </w:p>
    <w:p w14:paraId="06855636">
      <w:pPr>
        <w:spacing w:line="560" w:lineRule="exact"/>
        <w:rPr>
          <w:rFonts w:hint="eastAsia" w:ascii="宋体" w:hAnsi="宋体" w:eastAsia="宋体" w:cs="宋体"/>
          <w:color w:val="auto"/>
          <w:sz w:val="24"/>
          <w:szCs w:val="24"/>
          <w:highlight w:val="none"/>
          <w:lang w:eastAsia="zh-CN"/>
        </w:rPr>
      </w:pPr>
    </w:p>
    <w:p w14:paraId="4448FE3A">
      <w:pPr>
        <w:spacing w:line="560" w:lineRule="exact"/>
        <w:rPr>
          <w:rFonts w:hint="eastAsia" w:ascii="宋体" w:hAnsi="宋体" w:eastAsia="宋体" w:cs="宋体"/>
          <w:bCs/>
          <w:color w:val="auto"/>
          <w:sz w:val="24"/>
          <w:szCs w:val="24"/>
          <w:highlight w:val="none"/>
          <w:lang w:eastAsia="zh-CN"/>
        </w:rPr>
      </w:pPr>
    </w:p>
    <w:p w14:paraId="3F4DE225">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备注：须提供证明材料（能反映出企业残疾人的占比等情况的材料及残疾人证等）。</w:t>
      </w:r>
    </w:p>
    <w:p w14:paraId="29E96E93">
      <w:pPr>
        <w:spacing w:line="560" w:lineRule="exact"/>
        <w:jc w:val="center"/>
        <w:rPr>
          <w:rFonts w:hint="eastAsia" w:ascii="宋体" w:hAnsi="宋体" w:eastAsia="宋体" w:cs="宋体"/>
          <w:b/>
          <w:bCs/>
          <w:color w:val="auto"/>
          <w:sz w:val="24"/>
          <w:szCs w:val="24"/>
          <w:highlight w:val="none"/>
          <w:lang w:eastAsia="zh-CN"/>
        </w:rPr>
      </w:pPr>
    </w:p>
    <w:p w14:paraId="7B43BBAA">
      <w:pPr>
        <w:spacing w:line="560" w:lineRule="exact"/>
        <w:jc w:val="center"/>
        <w:rPr>
          <w:rFonts w:hint="eastAsia" w:ascii="宋体" w:hAnsi="宋体" w:eastAsia="宋体" w:cs="宋体"/>
          <w:b/>
          <w:bCs/>
          <w:color w:val="auto"/>
          <w:sz w:val="24"/>
          <w:szCs w:val="24"/>
          <w:highlight w:val="none"/>
          <w:lang w:eastAsia="zh-CN"/>
        </w:rPr>
      </w:pPr>
    </w:p>
    <w:p w14:paraId="708366C9">
      <w:pPr>
        <w:spacing w:line="560" w:lineRule="exact"/>
        <w:jc w:val="center"/>
        <w:outlineLvl w:val="1"/>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eastAsia="zh-CN"/>
        </w:rPr>
        <w:br w:type="page"/>
      </w:r>
      <w:bookmarkStart w:id="148" w:name="_Toc2932"/>
      <w:r>
        <w:rPr>
          <w:rFonts w:hint="eastAsia" w:ascii="宋体" w:hAnsi="宋体" w:eastAsia="宋体" w:cs="宋体"/>
          <w:b/>
          <w:color w:val="auto"/>
          <w:sz w:val="24"/>
          <w:szCs w:val="24"/>
          <w:highlight w:val="none"/>
          <w:lang w:eastAsia="zh-CN"/>
        </w:rPr>
        <w:t>（三）监狱企业证明文件（如有）</w:t>
      </w:r>
      <w:bookmarkEnd w:id="148"/>
    </w:p>
    <w:p w14:paraId="7C0B1AF0">
      <w:pPr>
        <w:spacing w:line="560" w:lineRule="exact"/>
        <w:ind w:firstLine="480" w:firstLineChars="200"/>
        <w:rPr>
          <w:rFonts w:hint="eastAsia" w:ascii="宋体" w:hAnsi="宋体" w:eastAsia="宋体" w:cs="宋体"/>
          <w:color w:val="auto"/>
          <w:sz w:val="24"/>
          <w:szCs w:val="24"/>
          <w:highlight w:val="none"/>
          <w:lang w:eastAsia="zh-CN"/>
        </w:rPr>
      </w:pPr>
    </w:p>
    <w:p w14:paraId="51155502">
      <w:pPr>
        <w:numPr>
          <w:ilvl w:val="0"/>
          <w:numId w:val="5"/>
        </w:num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宋体" w:hAnsi="宋体" w:eastAsia="宋体" w:cs="宋体"/>
          <w:color w:val="auto"/>
          <w:sz w:val="24"/>
          <w:szCs w:val="24"/>
          <w:highlight w:val="none"/>
        </w:rPr>
        <w:t>）</w:t>
      </w:r>
    </w:p>
    <w:p w14:paraId="3A6B1641">
      <w:pPr>
        <w:pStyle w:val="6"/>
        <w:ind w:firstLine="0" w:firstLineChars="0"/>
        <w:rPr>
          <w:rFonts w:hint="eastAsia" w:ascii="宋体" w:hAnsi="宋体" w:cs="宋体"/>
          <w:color w:val="auto"/>
          <w:sz w:val="24"/>
          <w:highlight w:val="none"/>
        </w:rPr>
      </w:pPr>
    </w:p>
    <w:p w14:paraId="39417E00">
      <w:pPr>
        <w:pStyle w:val="6"/>
        <w:spacing w:line="360" w:lineRule="auto"/>
        <w:ind w:firstLine="480"/>
        <w:rPr>
          <w:rFonts w:hint="eastAsia" w:ascii="宋体" w:hAnsi="宋体" w:cs="宋体"/>
          <w:color w:val="auto"/>
          <w:kern w:val="0"/>
          <w:sz w:val="24"/>
          <w:highlight w:val="none"/>
        </w:rPr>
      </w:pPr>
      <w:r>
        <w:rPr>
          <w:rFonts w:hint="eastAsia" w:ascii="宋体" w:hAnsi="宋体" w:cs="宋体"/>
          <w:color w:val="auto"/>
          <w:sz w:val="24"/>
          <w:highlight w:val="none"/>
        </w:rPr>
        <w:t>2.证明材料加盖投标人公章</w:t>
      </w:r>
      <w:r>
        <w:rPr>
          <w:rFonts w:hint="eastAsia" w:ascii="宋体" w:hAnsi="宋体" w:cs="宋体"/>
          <w:color w:val="auto"/>
          <w:kern w:val="0"/>
          <w:sz w:val="24"/>
          <w:highlight w:val="none"/>
        </w:rPr>
        <w:t>。</w:t>
      </w:r>
    </w:p>
    <w:p w14:paraId="208B9D4B">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271E112D">
      <w:pPr>
        <w:rPr>
          <w:rFonts w:hint="eastAsia" w:ascii="宋体" w:hAnsi="宋体" w:eastAsia="宋体" w:cs="宋体"/>
          <w:color w:val="auto"/>
          <w:sz w:val="24"/>
          <w:szCs w:val="24"/>
          <w:highlight w:val="none"/>
          <w:lang w:eastAsia="zh-CN"/>
        </w:rPr>
      </w:pPr>
    </w:p>
    <w:p w14:paraId="4785B766">
      <w:pPr>
        <w:pStyle w:val="17"/>
        <w:spacing w:line="560" w:lineRule="exact"/>
        <w:jc w:val="center"/>
        <w:outlineLvl w:val="1"/>
        <w:rPr>
          <w:rFonts w:hint="eastAsia" w:hAnsi="宋体"/>
          <w:b/>
          <w:bCs/>
          <w:color w:val="auto"/>
          <w:sz w:val="24"/>
          <w:szCs w:val="24"/>
          <w:highlight w:val="none"/>
        </w:rPr>
      </w:pPr>
      <w:bookmarkStart w:id="149" w:name="_Toc22460"/>
      <w:r>
        <w:rPr>
          <w:rFonts w:hint="eastAsia" w:hAnsi="宋体"/>
          <w:b/>
          <w:bCs/>
          <w:color w:val="auto"/>
          <w:sz w:val="24"/>
          <w:szCs w:val="24"/>
          <w:highlight w:val="none"/>
        </w:rPr>
        <w:t>十三、</w:t>
      </w:r>
      <w:bookmarkEnd w:id="149"/>
      <w:bookmarkStart w:id="150" w:name="_Toc7728"/>
      <w:bookmarkStart w:id="151" w:name="_Toc26900"/>
      <w:bookmarkStart w:id="152" w:name="_Toc22023"/>
      <w:r>
        <w:rPr>
          <w:rFonts w:hint="eastAsia" w:hAnsi="宋体"/>
          <w:b/>
          <w:bCs/>
          <w:color w:val="auto"/>
          <w:sz w:val="24"/>
          <w:szCs w:val="24"/>
          <w:highlight w:val="none"/>
        </w:rPr>
        <w:t>投标人认为需要提供的资料</w:t>
      </w:r>
    </w:p>
    <w:p w14:paraId="6FD9ABE7">
      <w:pPr>
        <w:pStyle w:val="17"/>
        <w:spacing w:line="560" w:lineRule="exact"/>
        <w:jc w:val="center"/>
        <w:outlineLvl w:val="2"/>
        <w:rPr>
          <w:rFonts w:hint="eastAsia" w:hAnsi="宋体"/>
          <w:b/>
          <w:bCs/>
          <w:color w:val="auto"/>
          <w:sz w:val="24"/>
          <w:szCs w:val="24"/>
          <w:highlight w:val="none"/>
        </w:rPr>
      </w:pPr>
      <w:r>
        <w:rPr>
          <w:rFonts w:hint="eastAsia" w:hAnsi="宋体"/>
          <w:b/>
          <w:bCs/>
          <w:color w:val="auto"/>
          <w:sz w:val="24"/>
          <w:szCs w:val="24"/>
          <w:highlight w:val="none"/>
        </w:rPr>
        <w:t>（一）投标保证金缴纳凭证</w:t>
      </w:r>
    </w:p>
    <w:p w14:paraId="0CA4B3AF">
      <w:pPr>
        <w:pStyle w:val="17"/>
        <w:spacing w:line="560" w:lineRule="exact"/>
        <w:jc w:val="center"/>
        <w:rPr>
          <w:rFonts w:hint="eastAsia" w:hAnsi="宋体"/>
          <w:color w:val="auto"/>
          <w:sz w:val="24"/>
          <w:szCs w:val="24"/>
          <w:highlight w:val="none"/>
        </w:rPr>
      </w:pPr>
    </w:p>
    <w:tbl>
      <w:tblPr>
        <w:tblStyle w:val="36"/>
        <w:tblW w:w="96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8"/>
      </w:tblGrid>
      <w:tr w14:paraId="5148A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9608" w:type="dxa"/>
            <w:tcBorders>
              <w:top w:val="single" w:color="auto" w:sz="4" w:space="0"/>
              <w:bottom w:val="single" w:color="auto" w:sz="4" w:space="0"/>
            </w:tcBorders>
            <w:vAlign w:val="center"/>
          </w:tcPr>
          <w:p w14:paraId="258DF04E">
            <w:pPr>
              <w:pStyle w:val="17"/>
              <w:spacing w:line="560" w:lineRule="exact"/>
              <w:jc w:val="center"/>
              <w:rPr>
                <w:rFonts w:hint="eastAsia" w:hAnsi="宋体"/>
                <w:color w:val="auto"/>
                <w:sz w:val="24"/>
                <w:szCs w:val="24"/>
                <w:highlight w:val="none"/>
              </w:rPr>
            </w:pPr>
            <w:r>
              <w:rPr>
                <w:rFonts w:hint="eastAsia" w:hAnsi="宋体"/>
                <w:color w:val="auto"/>
                <w:sz w:val="24"/>
                <w:szCs w:val="24"/>
                <w:highlight w:val="none"/>
              </w:rPr>
              <w:t>投标保证金缴纳凭证</w:t>
            </w:r>
          </w:p>
        </w:tc>
      </w:tr>
    </w:tbl>
    <w:p w14:paraId="6C69158C">
      <w:pPr>
        <w:spacing w:line="560" w:lineRule="exact"/>
        <w:ind w:firstLine="480" w:firstLineChars="200"/>
        <w:rPr>
          <w:rFonts w:hint="eastAsia" w:ascii="宋体" w:hAnsi="宋体" w:eastAsia="宋体" w:cs="宋体"/>
          <w:color w:val="auto"/>
          <w:sz w:val="24"/>
          <w:szCs w:val="24"/>
          <w:highlight w:val="none"/>
        </w:rPr>
      </w:pPr>
    </w:p>
    <w:p w14:paraId="166C7DB8">
      <w:pPr>
        <w:pStyle w:val="17"/>
        <w:spacing w:line="560" w:lineRule="exact"/>
        <w:jc w:val="center"/>
        <w:outlineLvl w:val="2"/>
        <w:rPr>
          <w:rFonts w:hint="eastAsia" w:hAnsi="宋体"/>
          <w:b/>
          <w:bCs/>
          <w:color w:val="auto"/>
          <w:sz w:val="24"/>
          <w:szCs w:val="24"/>
          <w:highlight w:val="none"/>
        </w:rPr>
      </w:pPr>
      <w:r>
        <w:rPr>
          <w:rFonts w:hint="eastAsia" w:hAnsi="宋体"/>
          <w:b/>
          <w:bCs/>
          <w:color w:val="auto"/>
          <w:sz w:val="24"/>
          <w:szCs w:val="24"/>
          <w:highlight w:val="none"/>
        </w:rPr>
        <w:t>（二）其他</w:t>
      </w:r>
    </w:p>
    <w:p w14:paraId="5B1FB803">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投标人应当仔细核对招标文件中有关</w:t>
      </w:r>
      <w:r>
        <w:rPr>
          <w:rFonts w:hint="eastAsia" w:ascii="宋体" w:hAnsi="宋体" w:eastAsia="宋体" w:cs="宋体"/>
          <w:b/>
          <w:bCs/>
          <w:color w:val="auto"/>
          <w:sz w:val="24"/>
          <w:szCs w:val="24"/>
          <w:highlight w:val="none"/>
          <w:lang w:eastAsia="zh-CN"/>
        </w:rPr>
        <w:t>“响应无效”、“拒收”</w:t>
      </w:r>
      <w:r>
        <w:rPr>
          <w:rFonts w:hint="eastAsia" w:ascii="宋体" w:hAnsi="宋体" w:eastAsia="宋体" w:cs="宋体"/>
          <w:color w:val="auto"/>
          <w:sz w:val="24"/>
          <w:szCs w:val="24"/>
          <w:highlight w:val="none"/>
          <w:lang w:eastAsia="zh-CN"/>
        </w:rPr>
        <w:t>和评审标准等条款内容，提供投标人认为应当附加的其他内容，以充分证明其投标响应符合招标文件要求，并为评审提供充分依据。</w:t>
      </w:r>
    </w:p>
    <w:bookmarkEnd w:id="150"/>
    <w:bookmarkEnd w:id="151"/>
    <w:bookmarkEnd w:id="152"/>
    <w:p w14:paraId="6AE31F7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bookmarkEnd w:id="137"/>
    <w:p w14:paraId="263AB993">
      <w:pPr>
        <w:pStyle w:val="11"/>
        <w:spacing w:before="155" w:line="219" w:lineRule="auto"/>
        <w:jc w:val="center"/>
        <w:outlineLvl w:val="0"/>
        <w:rPr>
          <w:rFonts w:hint="eastAsia"/>
          <w:color w:val="auto"/>
          <w:highlight w:val="none"/>
          <w:lang w:eastAsia="zh-CN"/>
        </w:rPr>
      </w:pPr>
      <w:bookmarkStart w:id="153" w:name="_Toc14507"/>
      <w:bookmarkStart w:id="154" w:name="_Toc4252"/>
      <w:r>
        <w:rPr>
          <w:rFonts w:hint="eastAsia"/>
          <w:b/>
          <w:bCs/>
          <w:color w:val="auto"/>
          <w:spacing w:val="-3"/>
          <w:highlight w:val="none"/>
          <w:lang w:eastAsia="zh-CN"/>
        </w:rPr>
        <w:t>第三章</w:t>
      </w:r>
      <w:r>
        <w:rPr>
          <w:rFonts w:hint="eastAsia"/>
          <w:color w:val="auto"/>
          <w:spacing w:val="-3"/>
          <w:highlight w:val="none"/>
          <w:lang w:eastAsia="zh-CN"/>
        </w:rPr>
        <w:t xml:space="preserve">  </w:t>
      </w:r>
      <w:r>
        <w:rPr>
          <w:rFonts w:hint="eastAsia"/>
          <w:b/>
          <w:bCs/>
          <w:color w:val="auto"/>
          <w:spacing w:val="-3"/>
          <w:highlight w:val="none"/>
          <w:lang w:eastAsia="zh-CN"/>
        </w:rPr>
        <w:t>服务需求</w:t>
      </w:r>
      <w:bookmarkEnd w:id="153"/>
      <w:bookmarkEnd w:id="154"/>
    </w:p>
    <w:p w14:paraId="35EE0FCC">
      <w:pPr>
        <w:pStyle w:val="16"/>
        <w:spacing w:beforeLines="0" w:afterLines="0"/>
        <w:ind w:left="0" w:leftChars="0" w:firstLine="480" w:firstLineChars="200"/>
        <w:rPr>
          <w:rFonts w:hint="eastAsia" w:ascii="宋体" w:hAnsi="宋体" w:eastAsia="宋体" w:cs="宋体"/>
          <w:bCs/>
          <w:color w:val="auto"/>
          <w:szCs w:val="24"/>
          <w:highlight w:val="none"/>
          <w:lang w:eastAsia="zh-CN"/>
        </w:rPr>
      </w:pPr>
    </w:p>
    <w:p w14:paraId="121AEBCB">
      <w:pPr>
        <w:numPr>
          <w:ilvl w:val="0"/>
          <w:numId w:val="0"/>
        </w:numPr>
        <w:spacing w:line="360" w:lineRule="auto"/>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新疆职业大学高压电气设备招标预防性试验(无故障检测)项目</w:t>
      </w:r>
    </w:p>
    <w:p w14:paraId="5A733C70">
      <w:pPr>
        <w:numPr>
          <w:ilvl w:val="0"/>
          <w:numId w:val="0"/>
        </w:numPr>
        <w:spacing w:line="360" w:lineRule="auto"/>
        <w:ind w:left="0" w:leftChars="0" w:firstLine="480" w:firstLineChars="200"/>
        <w:jc w:val="both"/>
        <w:rPr>
          <w:rFonts w:hint="eastAsia" w:ascii="宋体" w:hAnsi="宋体" w:eastAsia="宋体" w:cs="宋体"/>
          <w:color w:val="auto"/>
          <w:sz w:val="24"/>
          <w:szCs w:val="24"/>
          <w:highlight w:val="none"/>
          <w:lang w:val="en-US" w:eastAsia="zh-CN"/>
        </w:rPr>
      </w:pPr>
    </w:p>
    <w:p w14:paraId="1C857159">
      <w:pPr>
        <w:numPr>
          <w:ilvl w:val="0"/>
          <w:numId w:val="0"/>
        </w:numPr>
        <w:spacing w:line="360" w:lineRule="auto"/>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概述：我校达坂城校区35kV及10kV变配电室是全校教学、科研及师生生活用电的核心保障设施。为严格执行国家《电力设备预防性试验规程》，及时排查消除设备安全隐患，确保供电系统安全、稳定、可靠运行，现需对校区内35kV配电室、所有10kV配电室及配套电气设备开展全面预防性试验和继电保护校验工作。</w:t>
      </w:r>
    </w:p>
    <w:p w14:paraId="7B1693B0">
      <w:pPr>
        <w:numPr>
          <w:ilvl w:val="0"/>
          <w:numId w:val="0"/>
        </w:numPr>
        <w:spacing w:line="360" w:lineRule="auto"/>
        <w:ind w:left="0" w:leftChars="0" w:firstLine="480" w:firstLineChars="20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kV/10kV变压器、高低压开关柜、高低压电缆、避雷器、蓄电池、保护测控装置、全站接地系统及安全工器具检测等。预算：495000.00元（大写：人民币肆拾玖万伍仟元整）。为切实保障校园用电安全，有效防范电气安全事故，确保教学科研秩序正常，保证试验规范、数据真实有效，拟通过招标委托具备相应资质的专业技术单位实施。</w:t>
      </w:r>
    </w:p>
    <w:p w14:paraId="5DE6B914">
      <w:pPr>
        <w:numPr>
          <w:ilvl w:val="0"/>
          <w:numId w:val="0"/>
        </w:numPr>
        <w:spacing w:line="360" w:lineRule="auto"/>
        <w:ind w:left="0" w:leftChars="0" w:firstLine="0" w:firstLineChars="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一、商务要求</w:t>
      </w:r>
    </w:p>
    <w:p w14:paraId="78F176D4">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1、服务期：自合同签订之日起45日内完成检测、提供各项检测报告。</w:t>
      </w:r>
    </w:p>
    <w:p w14:paraId="164D4DA9">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2、服务地点：新疆职业大学达坂城校区各高压配电室（具体房间待中标后指定）。</w:t>
      </w:r>
    </w:p>
    <w:p w14:paraId="1939BE55">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3、试验标准：DL/T 596-2017《电力设备预防性试验规程》。</w:t>
      </w:r>
    </w:p>
    <w:p w14:paraId="42B59879">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4、检测报告（成果文件）要求：两份、盖章、检测完成后一周、隐患告知及整改建议义务。</w:t>
      </w:r>
    </w:p>
    <w:p w14:paraId="2A1E9046">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5、进场人员资格要求：现场人员需持高压电工证、电力试验资格证。</w:t>
      </w:r>
    </w:p>
    <w:p w14:paraId="20BA7810">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6、合同款支付：</w:t>
      </w:r>
      <w:r>
        <w:rPr>
          <w:rFonts w:hint="eastAsia" w:ascii="宋体" w:hAnsi="宋体" w:eastAsia="宋体" w:cs="宋体"/>
          <w:color w:val="auto"/>
          <w:sz w:val="24"/>
          <w:szCs w:val="24"/>
          <w:highlight w:val="none"/>
          <w:u w:val="none"/>
          <w:lang w:eastAsia="zh-CN"/>
        </w:rPr>
        <w:t>合同签订后支付合同总价的</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eastAsia="zh-CN"/>
        </w:rPr>
        <w:t>0%作为预付款；完成全部检测并提交正式检测报告、验收合格后支付至合同总价的97%；剩余3%作为质保金，自验收合格之日起满1年无质量问题无息退还。</w:t>
      </w:r>
    </w:p>
    <w:p w14:paraId="315C30B3">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7、验收标准：合格，各项试验服务与投标文件及合同一致。</w:t>
      </w:r>
    </w:p>
    <w:p w14:paraId="07DD863F">
      <w:pPr>
        <w:numPr>
          <w:ilvl w:val="0"/>
          <w:numId w:val="0"/>
        </w:num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8、验收流程：</w:t>
      </w:r>
      <w:r>
        <w:rPr>
          <w:rFonts w:hint="default" w:ascii="宋体" w:hAnsi="宋体" w:eastAsia="宋体" w:cs="宋体"/>
          <w:color w:val="auto"/>
          <w:sz w:val="24"/>
          <w:szCs w:val="24"/>
          <w:highlight w:val="none"/>
          <w:lang w:val="en-US" w:eastAsia="zh-CN"/>
        </w:rPr>
        <w:t>由后勤综合服务中心组织验收，可邀请专家或第三方机构参与。验收应在交付后10日内完成，出具验收报告。</w:t>
      </w:r>
    </w:p>
    <w:p w14:paraId="26CA63E9">
      <w:pPr>
        <w:numPr>
          <w:ilvl w:val="0"/>
          <w:numId w:val="0"/>
        </w:num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9、质保期：1年</w:t>
      </w:r>
    </w:p>
    <w:p w14:paraId="6996CBC1">
      <w:pPr>
        <w:numPr>
          <w:ilvl w:val="0"/>
          <w:numId w:val="0"/>
        </w:num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default" w:ascii="宋体" w:hAnsi="宋体" w:eastAsia="宋体" w:cs="宋体"/>
          <w:color w:val="auto"/>
          <w:sz w:val="24"/>
          <w:szCs w:val="24"/>
          <w:highlight w:val="none"/>
          <w:lang w:val="en-US" w:eastAsia="zh-CN"/>
        </w:rPr>
        <w:t>发票要求</w:t>
      </w:r>
      <w:r>
        <w:rPr>
          <w:rFonts w:hint="eastAsia" w:ascii="宋体" w:hAnsi="宋体" w:eastAsia="宋体" w:cs="宋体"/>
          <w:color w:val="auto"/>
          <w:sz w:val="24"/>
          <w:szCs w:val="24"/>
          <w:highlight w:val="none"/>
          <w:lang w:val="en-US" w:eastAsia="zh-CN"/>
        </w:rPr>
        <w:t>:普通发票。</w:t>
      </w:r>
    </w:p>
    <w:p w14:paraId="28E33CE3">
      <w:pPr>
        <w:numPr>
          <w:ilvl w:val="0"/>
          <w:numId w:val="0"/>
        </w:num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二、技术要求：</w:t>
      </w:r>
    </w:p>
    <w:p w14:paraId="13E2724B">
      <w:pPr>
        <w:numPr>
          <w:ilvl w:val="0"/>
          <w:numId w:val="0"/>
        </w:num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设备名称及试验项目</w:t>
      </w:r>
    </w:p>
    <w:tbl>
      <w:tblPr>
        <w:tblStyle w:val="37"/>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79"/>
        <w:gridCol w:w="578"/>
        <w:gridCol w:w="5599"/>
        <w:gridCol w:w="786"/>
      </w:tblGrid>
      <w:tr w14:paraId="33F9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60" w:type="dxa"/>
            <w:gridSpan w:val="5"/>
            <w:noWrap w:val="0"/>
            <w:vAlign w:val="center"/>
          </w:tcPr>
          <w:p w14:paraId="289688A5">
            <w:pPr>
              <w:widowControl w:val="0"/>
              <w:numPr>
                <w:ilvl w:val="0"/>
                <w:numId w:val="0"/>
              </w:numPr>
              <w:spacing w:line="360" w:lineRule="auto"/>
              <w:ind w:firstLine="480" w:firstLineChars="200"/>
              <w:jc w:val="both"/>
              <w:rPr>
                <w:rFonts w:hint="eastAsia" w:ascii="宋体" w:hAnsi="宋体" w:eastAsia="宋体"/>
                <w:color w:val="auto"/>
                <w:szCs w:val="21"/>
                <w:highlight w:val="none"/>
              </w:rPr>
            </w:pPr>
            <w:r>
              <w:rPr>
                <w:rFonts w:hint="eastAsia" w:ascii="宋体" w:hAnsi="宋体" w:eastAsia="宋体" w:cs="宋体"/>
                <w:color w:val="auto"/>
                <w:sz w:val="24"/>
                <w:szCs w:val="24"/>
                <w:highlight w:val="none"/>
                <w:lang w:eastAsia="zh-CN"/>
              </w:rPr>
              <w:br w:type="page"/>
            </w:r>
            <w:bookmarkStart w:id="155" w:name="_Hlk142416823"/>
          </w:p>
        </w:tc>
      </w:tr>
      <w:tr w14:paraId="7196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18" w:type="dxa"/>
            <w:noWrap w:val="0"/>
            <w:vAlign w:val="center"/>
          </w:tcPr>
          <w:p w14:paraId="70DF739A">
            <w:pPr>
              <w:widowControl w:val="0"/>
              <w:jc w:val="left"/>
              <w:rPr>
                <w:rFonts w:ascii="宋体" w:hAnsi="宋体" w:eastAsia="宋体"/>
                <w:color w:val="auto"/>
                <w:szCs w:val="21"/>
                <w:highlight w:val="none"/>
              </w:rPr>
            </w:pPr>
            <w:r>
              <w:rPr>
                <w:rFonts w:hint="eastAsia" w:ascii="宋体" w:hAnsi="宋体" w:eastAsia="宋体"/>
                <w:color w:val="auto"/>
                <w:szCs w:val="21"/>
                <w:highlight w:val="none"/>
              </w:rPr>
              <w:t>设备名称</w:t>
            </w:r>
          </w:p>
        </w:tc>
        <w:tc>
          <w:tcPr>
            <w:tcW w:w="579" w:type="dxa"/>
            <w:noWrap w:val="0"/>
            <w:vAlign w:val="center"/>
          </w:tcPr>
          <w:p w14:paraId="6DAF336B">
            <w:pPr>
              <w:widowControl w:val="0"/>
              <w:jc w:val="left"/>
              <w:rPr>
                <w:rFonts w:ascii="宋体" w:hAnsi="宋体" w:eastAsia="宋体"/>
                <w:color w:val="auto"/>
                <w:szCs w:val="21"/>
                <w:highlight w:val="none"/>
              </w:rPr>
            </w:pPr>
            <w:r>
              <w:rPr>
                <w:rFonts w:hint="eastAsia" w:ascii="宋体" w:hAnsi="宋体" w:eastAsia="宋体"/>
                <w:color w:val="auto"/>
                <w:szCs w:val="21"/>
                <w:highlight w:val="none"/>
              </w:rPr>
              <w:t>单位</w:t>
            </w:r>
          </w:p>
        </w:tc>
        <w:tc>
          <w:tcPr>
            <w:tcW w:w="578" w:type="dxa"/>
            <w:noWrap w:val="0"/>
            <w:vAlign w:val="center"/>
          </w:tcPr>
          <w:p w14:paraId="421FC1C1">
            <w:pPr>
              <w:widowControl w:val="0"/>
              <w:jc w:val="left"/>
              <w:rPr>
                <w:rFonts w:ascii="宋体" w:hAnsi="宋体" w:eastAsia="宋体"/>
                <w:color w:val="auto"/>
                <w:szCs w:val="21"/>
                <w:highlight w:val="none"/>
              </w:rPr>
            </w:pPr>
            <w:r>
              <w:rPr>
                <w:rFonts w:hint="eastAsia" w:ascii="宋体" w:hAnsi="宋体" w:eastAsia="宋体"/>
                <w:color w:val="auto"/>
                <w:szCs w:val="21"/>
                <w:highlight w:val="none"/>
              </w:rPr>
              <w:t>数量</w:t>
            </w:r>
          </w:p>
        </w:tc>
        <w:tc>
          <w:tcPr>
            <w:tcW w:w="5599" w:type="dxa"/>
            <w:noWrap w:val="0"/>
            <w:vAlign w:val="center"/>
          </w:tcPr>
          <w:p w14:paraId="1C38B790">
            <w:pPr>
              <w:widowControl w:val="0"/>
              <w:jc w:val="both"/>
              <w:rPr>
                <w:rFonts w:ascii="宋体" w:hAnsi="宋体" w:eastAsia="宋体"/>
                <w:color w:val="auto"/>
                <w:szCs w:val="21"/>
                <w:highlight w:val="none"/>
              </w:rPr>
            </w:pPr>
            <w:r>
              <w:rPr>
                <w:rFonts w:hint="eastAsia" w:ascii="宋体" w:hAnsi="宋体" w:eastAsia="宋体"/>
                <w:color w:val="auto"/>
                <w:szCs w:val="21"/>
                <w:highlight w:val="none"/>
              </w:rPr>
              <w:t>试验项目</w:t>
            </w:r>
          </w:p>
        </w:tc>
        <w:tc>
          <w:tcPr>
            <w:tcW w:w="786" w:type="dxa"/>
            <w:noWrap w:val="0"/>
            <w:vAlign w:val="center"/>
          </w:tcPr>
          <w:p w14:paraId="0459BEE4">
            <w:pPr>
              <w:widowControl w:val="0"/>
              <w:jc w:val="both"/>
              <w:rPr>
                <w:rFonts w:ascii="宋体" w:hAnsi="宋体" w:eastAsia="宋体"/>
                <w:color w:val="auto"/>
                <w:szCs w:val="21"/>
                <w:highlight w:val="none"/>
              </w:rPr>
            </w:pPr>
            <w:r>
              <w:rPr>
                <w:rFonts w:hint="eastAsia" w:ascii="宋体" w:hAnsi="宋体" w:eastAsia="宋体"/>
                <w:color w:val="auto"/>
                <w:szCs w:val="21"/>
                <w:highlight w:val="none"/>
              </w:rPr>
              <w:t>备注</w:t>
            </w:r>
          </w:p>
        </w:tc>
      </w:tr>
      <w:tr w14:paraId="5C38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jc w:val="center"/>
        </w:trPr>
        <w:tc>
          <w:tcPr>
            <w:tcW w:w="1018" w:type="dxa"/>
            <w:noWrap w:val="0"/>
            <w:vAlign w:val="center"/>
          </w:tcPr>
          <w:p w14:paraId="01AC97BC">
            <w:pPr>
              <w:widowControl w:val="0"/>
              <w:jc w:val="both"/>
              <w:rPr>
                <w:rFonts w:ascii="宋体" w:hAnsi="宋体" w:eastAsia="宋体"/>
                <w:color w:val="auto"/>
                <w:szCs w:val="21"/>
                <w:highlight w:val="none"/>
              </w:rPr>
            </w:pPr>
            <w:r>
              <w:rPr>
                <w:rFonts w:ascii="宋体" w:hAnsi="宋体" w:eastAsia="宋体"/>
                <w:color w:val="auto"/>
                <w:szCs w:val="21"/>
                <w:highlight w:val="none"/>
              </w:rPr>
              <w:t>35</w:t>
            </w:r>
            <w:r>
              <w:rPr>
                <w:rFonts w:hint="eastAsia" w:ascii="宋体" w:hAnsi="宋体" w:eastAsia="宋体"/>
                <w:color w:val="auto"/>
                <w:szCs w:val="21"/>
                <w:highlight w:val="none"/>
                <w:lang w:val="en-US" w:eastAsia="zh-CN"/>
              </w:rPr>
              <w:t>k</w:t>
            </w:r>
            <w:r>
              <w:rPr>
                <w:rFonts w:hint="eastAsia" w:ascii="宋体" w:hAnsi="宋体" w:eastAsia="宋体"/>
                <w:color w:val="auto"/>
                <w:szCs w:val="21"/>
                <w:highlight w:val="none"/>
              </w:rPr>
              <w:t>V变压器</w:t>
            </w:r>
          </w:p>
          <w:p w14:paraId="4D45C841">
            <w:pPr>
              <w:widowControl w:val="0"/>
              <w:jc w:val="both"/>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color w:val="auto"/>
                <w:szCs w:val="21"/>
                <w:highlight w:val="none"/>
                <w:lang w:val="en-US" w:eastAsia="zh-CN"/>
              </w:rPr>
              <w:t>25000KVA</w:t>
            </w:r>
            <w:r>
              <w:rPr>
                <w:rFonts w:hint="eastAsia" w:ascii="宋体" w:hAnsi="宋体" w:eastAsia="宋体"/>
                <w:color w:val="auto"/>
                <w:szCs w:val="21"/>
                <w:highlight w:val="none"/>
              </w:rPr>
              <w:t>）</w:t>
            </w:r>
          </w:p>
        </w:tc>
        <w:tc>
          <w:tcPr>
            <w:tcW w:w="579" w:type="dxa"/>
            <w:noWrap w:val="0"/>
            <w:vAlign w:val="center"/>
          </w:tcPr>
          <w:p w14:paraId="42AE6449">
            <w:pPr>
              <w:widowControl w:val="0"/>
              <w:jc w:val="both"/>
              <w:rPr>
                <w:rFonts w:ascii="宋体" w:hAnsi="宋体" w:eastAsia="宋体"/>
                <w:color w:val="auto"/>
                <w:szCs w:val="21"/>
                <w:highlight w:val="none"/>
              </w:rPr>
            </w:pPr>
            <w:r>
              <w:rPr>
                <w:rFonts w:hint="eastAsia" w:ascii="宋体" w:hAnsi="宋体" w:eastAsia="宋体"/>
                <w:color w:val="auto"/>
                <w:szCs w:val="21"/>
                <w:highlight w:val="none"/>
              </w:rPr>
              <w:t>台</w:t>
            </w:r>
          </w:p>
        </w:tc>
        <w:tc>
          <w:tcPr>
            <w:tcW w:w="578" w:type="dxa"/>
            <w:noWrap w:val="0"/>
            <w:vAlign w:val="center"/>
          </w:tcPr>
          <w:p w14:paraId="1C1FE6F7">
            <w:pPr>
              <w:widowControl w:val="0"/>
              <w:jc w:val="both"/>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2</w:t>
            </w:r>
          </w:p>
        </w:tc>
        <w:tc>
          <w:tcPr>
            <w:tcW w:w="5599" w:type="dxa"/>
            <w:noWrap w:val="0"/>
            <w:vAlign w:val="center"/>
          </w:tcPr>
          <w:p w14:paraId="753E966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1.绕组绝缘电阻、吸收比；</w:t>
            </w:r>
          </w:p>
          <w:p w14:paraId="7D32470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2.绕组直流电阻；</w:t>
            </w:r>
          </w:p>
          <w:p w14:paraId="44D8688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3.绕组所有分接的电压比；</w:t>
            </w:r>
          </w:p>
          <w:p w14:paraId="2C888F5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4.绕组的tanδ；检查；</w:t>
            </w:r>
          </w:p>
          <w:p w14:paraId="5CD517D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6.测温装置及其二次回</w:t>
            </w:r>
          </w:p>
          <w:p w14:paraId="323E0C1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5.有载调压装置的试验和路试验；</w:t>
            </w:r>
          </w:p>
          <w:p w14:paraId="1EA561F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7.铁芯绝缘电阻；</w:t>
            </w:r>
          </w:p>
          <w:p w14:paraId="5BADB884">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8</w:t>
            </w:r>
            <w:r>
              <w:rPr>
                <w:rFonts w:hint="eastAsia" w:ascii="宋体" w:hAnsi="宋体" w:eastAsia="宋体" w:cs="宋体"/>
                <w:i w:val="0"/>
                <w:iCs w:val="0"/>
                <w:color w:val="auto"/>
                <w:kern w:val="0"/>
                <w:sz w:val="21"/>
                <w:szCs w:val="21"/>
                <w:highlight w:val="none"/>
                <w:u w:val="none"/>
                <w:lang w:val="en-US" w:eastAsia="zh-CN"/>
              </w:rPr>
              <w:t>.交流耐压试验</w:t>
            </w:r>
          </w:p>
        </w:tc>
        <w:tc>
          <w:tcPr>
            <w:tcW w:w="786" w:type="dxa"/>
            <w:noWrap w:val="0"/>
            <w:vAlign w:val="center"/>
          </w:tcPr>
          <w:p w14:paraId="13C324FB">
            <w:pPr>
              <w:widowControl w:val="0"/>
              <w:jc w:val="both"/>
              <w:rPr>
                <w:rFonts w:ascii="宋体" w:hAnsi="宋体" w:eastAsia="宋体"/>
                <w:color w:val="auto"/>
                <w:szCs w:val="21"/>
                <w:highlight w:val="none"/>
              </w:rPr>
            </w:pPr>
          </w:p>
        </w:tc>
      </w:tr>
      <w:tr w14:paraId="7CC7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3" w:hRule="atLeast"/>
          <w:jc w:val="center"/>
        </w:trPr>
        <w:tc>
          <w:tcPr>
            <w:tcW w:w="1018" w:type="dxa"/>
            <w:noWrap w:val="0"/>
            <w:vAlign w:val="center"/>
          </w:tcPr>
          <w:p w14:paraId="08B0D9CB">
            <w:pPr>
              <w:widowControl w:val="0"/>
              <w:jc w:val="both"/>
              <w:rPr>
                <w:rFonts w:hint="eastAsia" w:ascii="宋体" w:hAnsi="宋体" w:eastAsia="宋体"/>
                <w:color w:val="auto"/>
                <w:szCs w:val="21"/>
                <w:highlight w:val="none"/>
                <w:lang w:eastAsia="zh-CN"/>
              </w:rPr>
            </w:pPr>
            <w:r>
              <w:rPr>
                <w:rFonts w:ascii="宋体" w:hAnsi="宋体" w:eastAsia="宋体"/>
                <w:color w:val="auto"/>
                <w:szCs w:val="21"/>
                <w:highlight w:val="none"/>
              </w:rPr>
              <w:t>35</w:t>
            </w:r>
            <w:r>
              <w:rPr>
                <w:rFonts w:hint="eastAsia" w:ascii="宋体" w:hAnsi="宋体" w:eastAsia="宋体"/>
                <w:color w:val="auto"/>
                <w:szCs w:val="21"/>
                <w:highlight w:val="none"/>
                <w:lang w:val="en-US" w:eastAsia="zh-CN"/>
              </w:rPr>
              <w:t>k</w:t>
            </w:r>
            <w:r>
              <w:rPr>
                <w:rFonts w:hint="eastAsia" w:ascii="宋体" w:hAnsi="宋体" w:eastAsia="宋体"/>
                <w:color w:val="auto"/>
                <w:szCs w:val="21"/>
                <w:highlight w:val="none"/>
              </w:rPr>
              <w:t>V</w:t>
            </w:r>
            <w:r>
              <w:rPr>
                <w:rFonts w:hint="eastAsia" w:ascii="宋体" w:hAnsi="宋体" w:eastAsia="宋体"/>
                <w:color w:val="auto"/>
                <w:szCs w:val="21"/>
                <w:highlight w:val="none"/>
                <w:lang w:eastAsia="zh-CN"/>
              </w:rPr>
              <w:t>高压开关柜</w:t>
            </w:r>
          </w:p>
        </w:tc>
        <w:tc>
          <w:tcPr>
            <w:tcW w:w="579" w:type="dxa"/>
            <w:noWrap w:val="0"/>
            <w:vAlign w:val="center"/>
          </w:tcPr>
          <w:p w14:paraId="45BB174B">
            <w:pPr>
              <w:widowControl w:val="0"/>
              <w:jc w:val="both"/>
              <w:rPr>
                <w:rFonts w:ascii="宋体" w:hAnsi="宋体" w:eastAsia="宋体"/>
                <w:color w:val="auto"/>
                <w:szCs w:val="21"/>
                <w:highlight w:val="none"/>
              </w:rPr>
            </w:pPr>
            <w:r>
              <w:rPr>
                <w:rFonts w:hint="eastAsia" w:ascii="宋体" w:hAnsi="宋体" w:eastAsia="宋体"/>
                <w:color w:val="auto"/>
                <w:szCs w:val="21"/>
                <w:highlight w:val="none"/>
              </w:rPr>
              <w:t>台</w:t>
            </w:r>
          </w:p>
        </w:tc>
        <w:tc>
          <w:tcPr>
            <w:tcW w:w="578" w:type="dxa"/>
            <w:noWrap w:val="0"/>
            <w:vAlign w:val="center"/>
          </w:tcPr>
          <w:p w14:paraId="4854A9DB">
            <w:pPr>
              <w:widowControl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p>
        </w:tc>
        <w:tc>
          <w:tcPr>
            <w:tcW w:w="5599" w:type="dxa"/>
            <w:noWrap w:val="0"/>
            <w:vAlign w:val="center"/>
          </w:tcPr>
          <w:p w14:paraId="04AB1E2F">
            <w:pPr>
              <w:pStyle w:val="120"/>
              <w:widowControl w:val="0"/>
              <w:numPr>
                <w:ilvl w:val="0"/>
                <w:numId w:val="0"/>
              </w:numPr>
              <w:ind w:leftChars="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一、断路器：</w:t>
            </w:r>
          </w:p>
          <w:p w14:paraId="4A8E4895">
            <w:pPr>
              <w:pStyle w:val="120"/>
              <w:widowControl w:val="0"/>
              <w:numPr>
                <w:ilvl w:val="0"/>
                <w:numId w:val="0"/>
              </w:numPr>
              <w:ind w:leftChars="0"/>
              <w:jc w:val="left"/>
              <w:rPr>
                <w:rFonts w:hint="eastAsia" w:ascii="宋体" w:hAnsi="宋体" w:eastAsia="宋体"/>
                <w:color w:val="auto"/>
                <w:szCs w:val="21"/>
                <w:highlight w:val="none"/>
              </w:rPr>
            </w:pPr>
            <w:r>
              <w:rPr>
                <w:rFonts w:hint="eastAsia" w:ascii="宋体" w:hAnsi="宋体" w:eastAsia="宋体"/>
                <w:color w:val="auto"/>
                <w:szCs w:val="21"/>
                <w:highlight w:val="none"/>
              </w:rPr>
              <w:t>1.绝缘电阻；</w:t>
            </w:r>
          </w:p>
          <w:p w14:paraId="6A83E25E">
            <w:pPr>
              <w:pStyle w:val="120"/>
              <w:widowControl w:val="0"/>
              <w:numPr>
                <w:ilvl w:val="0"/>
                <w:numId w:val="0"/>
              </w:numPr>
              <w:ind w:leftChars="0"/>
              <w:jc w:val="left"/>
              <w:rPr>
                <w:rFonts w:hint="eastAsia" w:ascii="宋体" w:hAnsi="宋体" w:eastAsia="宋体"/>
                <w:color w:val="auto"/>
                <w:szCs w:val="21"/>
                <w:highlight w:val="none"/>
              </w:rPr>
            </w:pPr>
            <w:r>
              <w:rPr>
                <w:rFonts w:hint="eastAsia" w:ascii="宋体" w:hAnsi="宋体" w:eastAsia="宋体"/>
                <w:color w:val="auto"/>
                <w:szCs w:val="21"/>
                <w:highlight w:val="none"/>
              </w:rPr>
              <w:t>2.导电回路电阻；</w:t>
            </w:r>
          </w:p>
          <w:p w14:paraId="7A8E8651">
            <w:pPr>
              <w:pStyle w:val="120"/>
              <w:widowControl w:val="0"/>
              <w:numPr>
                <w:ilvl w:val="0"/>
                <w:numId w:val="0"/>
              </w:numPr>
              <w:ind w:leftChars="0"/>
              <w:jc w:val="left"/>
              <w:rPr>
                <w:rFonts w:hint="eastAsia" w:ascii="宋体" w:hAnsi="宋体" w:eastAsia="宋体"/>
                <w:color w:val="auto"/>
                <w:szCs w:val="21"/>
                <w:highlight w:val="none"/>
              </w:rPr>
            </w:pPr>
            <w:r>
              <w:rPr>
                <w:rFonts w:hint="eastAsia" w:ascii="宋体" w:hAnsi="宋体" w:eastAsia="宋体"/>
                <w:color w:val="auto"/>
                <w:szCs w:val="21"/>
                <w:highlight w:val="none"/>
              </w:rPr>
              <w:t>3.机械特性测试、断路器分、合闸电磁铁的动作电压；</w:t>
            </w:r>
          </w:p>
          <w:p w14:paraId="13A26B90">
            <w:pPr>
              <w:pStyle w:val="120"/>
              <w:widowControl w:val="0"/>
              <w:numPr>
                <w:ilvl w:val="0"/>
                <w:numId w:val="0"/>
              </w:numPr>
              <w:ind w:leftChars="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4.</w:t>
            </w:r>
            <w:r>
              <w:rPr>
                <w:rFonts w:hint="eastAsia" w:ascii="宋体" w:hAnsi="宋体" w:eastAsia="宋体"/>
                <w:color w:val="auto"/>
                <w:szCs w:val="21"/>
                <w:highlight w:val="none"/>
                <w:lang w:val="en-US" w:eastAsia="zh-CN"/>
              </w:rPr>
              <w:t>.交流耐压；</w:t>
            </w:r>
          </w:p>
          <w:p w14:paraId="6BB860BA">
            <w:pPr>
              <w:pStyle w:val="120"/>
              <w:widowControl w:val="0"/>
              <w:numPr>
                <w:ilvl w:val="0"/>
                <w:numId w:val="0"/>
              </w:numPr>
              <w:ind w:leftChars="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二、避雷器：</w:t>
            </w:r>
          </w:p>
          <w:p w14:paraId="18CFA476">
            <w:pPr>
              <w:pStyle w:val="120"/>
              <w:widowControl w:val="0"/>
              <w:numPr>
                <w:ilvl w:val="0"/>
                <w:numId w:val="0"/>
              </w:numPr>
              <w:ind w:left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.避雷器绝缘电阻；</w:t>
            </w:r>
          </w:p>
          <w:p w14:paraId="7354CECF">
            <w:pPr>
              <w:pStyle w:val="120"/>
              <w:widowControl w:val="0"/>
              <w:numPr>
                <w:ilvl w:val="0"/>
                <w:numId w:val="0"/>
              </w:numPr>
              <w:ind w:left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.避雷器直流1mA电压(U1mA)及0.75U1mA下的泄漏电流；</w:t>
            </w:r>
          </w:p>
          <w:p w14:paraId="29604170">
            <w:pPr>
              <w:pStyle w:val="120"/>
              <w:widowControl w:val="0"/>
              <w:numPr>
                <w:ilvl w:val="0"/>
                <w:numId w:val="0"/>
              </w:numPr>
              <w:ind w:leftChars="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.避雷器底座绝缘电阻</w:t>
            </w:r>
            <w:r>
              <w:rPr>
                <w:rFonts w:hint="eastAsia" w:ascii="宋体" w:hAnsi="宋体" w:eastAsia="宋体"/>
                <w:color w:val="auto"/>
                <w:szCs w:val="21"/>
                <w:highlight w:val="none"/>
                <w:lang w:eastAsia="zh-CN"/>
              </w:rPr>
              <w:t>；</w:t>
            </w:r>
          </w:p>
          <w:p w14:paraId="0779347F">
            <w:pPr>
              <w:pStyle w:val="120"/>
              <w:widowControl w:val="0"/>
              <w:numPr>
                <w:ilvl w:val="0"/>
                <w:numId w:val="0"/>
              </w:numPr>
              <w:ind w:leftChars="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三、继电保护装置试验；</w:t>
            </w:r>
          </w:p>
          <w:p w14:paraId="72345555">
            <w:pPr>
              <w:pStyle w:val="120"/>
              <w:widowControl w:val="0"/>
              <w:numPr>
                <w:ilvl w:val="0"/>
                <w:numId w:val="0"/>
              </w:numPr>
              <w:ind w:leftChars="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四、电压、电流互感器：</w:t>
            </w:r>
          </w:p>
          <w:p w14:paraId="18E665DA">
            <w:pPr>
              <w:pStyle w:val="120"/>
              <w:widowControl w:val="0"/>
              <w:numPr>
                <w:ilvl w:val="0"/>
                <w:numId w:val="0"/>
              </w:numPr>
              <w:ind w:leftChars="0"/>
              <w:jc w:val="left"/>
              <w:rPr>
                <w:rFonts w:hint="eastAsia" w:ascii="宋体" w:hAnsi="宋体" w:eastAsia="宋体"/>
                <w:color w:val="auto"/>
                <w:szCs w:val="21"/>
                <w:highlight w:val="none"/>
              </w:rPr>
            </w:pPr>
            <w:r>
              <w:rPr>
                <w:rFonts w:hint="eastAsia" w:ascii="宋体" w:hAnsi="宋体" w:eastAsia="宋体"/>
                <w:color w:val="auto"/>
                <w:szCs w:val="21"/>
                <w:highlight w:val="none"/>
              </w:rPr>
              <w:t>1.绝缘电阻；                                                                                                2.绕组直流电阻；</w:t>
            </w:r>
          </w:p>
          <w:p w14:paraId="15AD34B9">
            <w:pPr>
              <w:pStyle w:val="120"/>
              <w:widowControl w:val="0"/>
              <w:numPr>
                <w:ilvl w:val="0"/>
                <w:numId w:val="0"/>
              </w:numPr>
              <w:ind w:leftChars="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3.电压比</w:t>
            </w:r>
            <w:r>
              <w:rPr>
                <w:rFonts w:hint="eastAsia" w:ascii="宋体" w:hAnsi="宋体" w:eastAsia="宋体"/>
                <w:color w:val="auto"/>
                <w:szCs w:val="21"/>
                <w:highlight w:val="none"/>
                <w:lang w:eastAsia="zh-CN"/>
              </w:rPr>
              <w:t>；</w:t>
            </w:r>
          </w:p>
          <w:p w14:paraId="495FBC8E">
            <w:pPr>
              <w:pStyle w:val="120"/>
              <w:widowControl w:val="0"/>
              <w:numPr>
                <w:ilvl w:val="0"/>
                <w:numId w:val="0"/>
              </w:numPr>
              <w:ind w:leftChars="0"/>
              <w:jc w:val="lef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4.励磁特性曲线校核、极性检查、变比检查；</w:t>
            </w:r>
          </w:p>
          <w:p w14:paraId="12670A05">
            <w:pPr>
              <w:pStyle w:val="120"/>
              <w:widowControl w:val="0"/>
              <w:numPr>
                <w:ilvl w:val="0"/>
                <w:numId w:val="0"/>
              </w:numPr>
              <w:ind w:leftChars="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5、交流耐压；</w:t>
            </w:r>
          </w:p>
        </w:tc>
        <w:tc>
          <w:tcPr>
            <w:tcW w:w="786" w:type="dxa"/>
            <w:noWrap w:val="0"/>
            <w:vAlign w:val="center"/>
          </w:tcPr>
          <w:p w14:paraId="439E5759">
            <w:pPr>
              <w:widowControl w:val="0"/>
              <w:jc w:val="left"/>
              <w:rPr>
                <w:rFonts w:ascii="宋体" w:hAnsi="宋体" w:eastAsia="宋体"/>
                <w:color w:val="auto"/>
                <w:szCs w:val="21"/>
                <w:highlight w:val="none"/>
              </w:rPr>
            </w:pPr>
          </w:p>
        </w:tc>
      </w:tr>
      <w:tr w14:paraId="58F8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7" w:hRule="atLeast"/>
          <w:jc w:val="center"/>
        </w:trPr>
        <w:tc>
          <w:tcPr>
            <w:tcW w:w="1018" w:type="dxa"/>
            <w:noWrap w:val="0"/>
            <w:vAlign w:val="center"/>
          </w:tcPr>
          <w:p w14:paraId="280AA8DD">
            <w:pPr>
              <w:widowControl w:val="0"/>
              <w:jc w:val="both"/>
              <w:rPr>
                <w:rFonts w:ascii="宋体" w:hAnsi="宋体" w:eastAsia="宋体"/>
                <w:color w:val="auto"/>
                <w:szCs w:val="21"/>
                <w:highlight w:val="none"/>
              </w:rPr>
            </w:pPr>
            <w:r>
              <w:rPr>
                <w:rFonts w:hint="eastAsia" w:ascii="宋体" w:hAnsi="宋体" w:eastAsia="宋体"/>
                <w:color w:val="auto"/>
                <w:szCs w:val="21"/>
                <w:highlight w:val="none"/>
                <w:lang w:val="en-US" w:eastAsia="zh-CN"/>
              </w:rPr>
              <w:t>10k</w:t>
            </w:r>
            <w:r>
              <w:rPr>
                <w:rFonts w:hint="eastAsia" w:ascii="宋体" w:hAnsi="宋体" w:eastAsia="宋体"/>
                <w:color w:val="auto"/>
                <w:szCs w:val="21"/>
                <w:highlight w:val="none"/>
              </w:rPr>
              <w:t>V</w:t>
            </w:r>
            <w:r>
              <w:rPr>
                <w:rFonts w:hint="eastAsia" w:ascii="宋体" w:hAnsi="宋体" w:eastAsia="宋体"/>
                <w:color w:val="auto"/>
                <w:szCs w:val="21"/>
                <w:highlight w:val="none"/>
                <w:lang w:eastAsia="zh-CN"/>
              </w:rPr>
              <w:t>高压开关柜</w:t>
            </w:r>
          </w:p>
        </w:tc>
        <w:tc>
          <w:tcPr>
            <w:tcW w:w="579" w:type="dxa"/>
            <w:noWrap w:val="0"/>
            <w:vAlign w:val="center"/>
          </w:tcPr>
          <w:p w14:paraId="55F5FB76">
            <w:pPr>
              <w:widowControl w:val="0"/>
              <w:jc w:val="both"/>
              <w:rPr>
                <w:rFonts w:ascii="宋体" w:hAnsi="宋体" w:eastAsia="宋体"/>
                <w:color w:val="auto"/>
                <w:szCs w:val="21"/>
                <w:highlight w:val="none"/>
              </w:rPr>
            </w:pPr>
            <w:r>
              <w:rPr>
                <w:rFonts w:hint="eastAsia" w:ascii="宋体" w:hAnsi="宋体" w:eastAsia="宋体"/>
                <w:color w:val="auto"/>
                <w:szCs w:val="21"/>
                <w:highlight w:val="none"/>
              </w:rPr>
              <w:t>台</w:t>
            </w:r>
          </w:p>
        </w:tc>
        <w:tc>
          <w:tcPr>
            <w:tcW w:w="578" w:type="dxa"/>
            <w:noWrap w:val="0"/>
            <w:vAlign w:val="center"/>
          </w:tcPr>
          <w:p w14:paraId="06B37BB0">
            <w:pPr>
              <w:widowControl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97</w:t>
            </w:r>
          </w:p>
        </w:tc>
        <w:tc>
          <w:tcPr>
            <w:tcW w:w="5599" w:type="dxa"/>
            <w:noWrap w:val="0"/>
            <w:vAlign w:val="center"/>
          </w:tcPr>
          <w:p w14:paraId="070AD125">
            <w:pPr>
              <w:pStyle w:val="120"/>
              <w:widowControl w:val="0"/>
              <w:numPr>
                <w:ilvl w:val="0"/>
                <w:numId w:val="0"/>
              </w:numPr>
              <w:ind w:leftChars="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一、断路器：</w:t>
            </w:r>
          </w:p>
          <w:p w14:paraId="0485FECE">
            <w:pPr>
              <w:pStyle w:val="120"/>
              <w:widowControl w:val="0"/>
              <w:numPr>
                <w:ilvl w:val="0"/>
                <w:numId w:val="0"/>
              </w:numPr>
              <w:ind w:leftChars="0"/>
              <w:jc w:val="left"/>
              <w:rPr>
                <w:rFonts w:hint="eastAsia" w:ascii="宋体" w:hAnsi="宋体" w:eastAsia="宋体"/>
                <w:color w:val="auto"/>
                <w:szCs w:val="21"/>
                <w:highlight w:val="none"/>
              </w:rPr>
            </w:pPr>
            <w:r>
              <w:rPr>
                <w:rFonts w:hint="eastAsia" w:ascii="宋体" w:hAnsi="宋体" w:eastAsia="宋体"/>
                <w:color w:val="auto"/>
                <w:szCs w:val="21"/>
                <w:highlight w:val="none"/>
              </w:rPr>
              <w:t>1.绝缘电阻；</w:t>
            </w:r>
          </w:p>
          <w:p w14:paraId="5C3FA996">
            <w:pPr>
              <w:pStyle w:val="120"/>
              <w:widowControl w:val="0"/>
              <w:numPr>
                <w:ilvl w:val="0"/>
                <w:numId w:val="0"/>
              </w:numPr>
              <w:ind w:leftChars="0"/>
              <w:jc w:val="left"/>
              <w:rPr>
                <w:rFonts w:hint="eastAsia" w:ascii="宋体" w:hAnsi="宋体" w:eastAsia="宋体"/>
                <w:color w:val="auto"/>
                <w:szCs w:val="21"/>
                <w:highlight w:val="none"/>
              </w:rPr>
            </w:pPr>
            <w:r>
              <w:rPr>
                <w:rFonts w:hint="eastAsia" w:ascii="宋体" w:hAnsi="宋体" w:eastAsia="宋体"/>
                <w:color w:val="auto"/>
                <w:szCs w:val="21"/>
                <w:highlight w:val="none"/>
              </w:rPr>
              <w:t>2.导电回路电阻；</w:t>
            </w:r>
          </w:p>
          <w:p w14:paraId="158DC7B0">
            <w:pPr>
              <w:pStyle w:val="120"/>
              <w:widowControl w:val="0"/>
              <w:numPr>
                <w:ilvl w:val="0"/>
                <w:numId w:val="0"/>
              </w:numPr>
              <w:ind w:leftChars="0"/>
              <w:jc w:val="left"/>
              <w:rPr>
                <w:rFonts w:hint="eastAsia" w:ascii="宋体" w:hAnsi="宋体" w:eastAsia="宋体"/>
                <w:color w:val="auto"/>
                <w:szCs w:val="21"/>
                <w:highlight w:val="none"/>
              </w:rPr>
            </w:pPr>
            <w:r>
              <w:rPr>
                <w:rFonts w:hint="eastAsia" w:ascii="宋体" w:hAnsi="宋体" w:eastAsia="宋体"/>
                <w:color w:val="auto"/>
                <w:szCs w:val="21"/>
                <w:highlight w:val="none"/>
              </w:rPr>
              <w:t>3.机械特性测试、断路器分、合闸电磁铁的动作电压；</w:t>
            </w:r>
          </w:p>
          <w:p w14:paraId="16EB94A9">
            <w:pPr>
              <w:pStyle w:val="120"/>
              <w:widowControl w:val="0"/>
              <w:numPr>
                <w:ilvl w:val="0"/>
                <w:numId w:val="0"/>
              </w:numPr>
              <w:ind w:leftChars="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4</w:t>
            </w:r>
            <w:r>
              <w:rPr>
                <w:rFonts w:hint="eastAsia" w:ascii="宋体" w:hAnsi="宋体" w:eastAsia="宋体"/>
                <w:color w:val="auto"/>
                <w:szCs w:val="21"/>
                <w:highlight w:val="none"/>
                <w:lang w:val="en-US" w:eastAsia="zh-CN"/>
              </w:rPr>
              <w:t>.交流耐压；</w:t>
            </w:r>
          </w:p>
          <w:p w14:paraId="3C390019">
            <w:pPr>
              <w:pStyle w:val="120"/>
              <w:widowControl w:val="0"/>
              <w:numPr>
                <w:ilvl w:val="0"/>
                <w:numId w:val="0"/>
              </w:numPr>
              <w:ind w:leftChars="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二、避雷器：</w:t>
            </w:r>
          </w:p>
          <w:p w14:paraId="1F394EED">
            <w:pPr>
              <w:pStyle w:val="120"/>
              <w:widowControl w:val="0"/>
              <w:numPr>
                <w:ilvl w:val="0"/>
                <w:numId w:val="0"/>
              </w:numPr>
              <w:ind w:left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.避雷器绝缘电阻；</w:t>
            </w:r>
          </w:p>
          <w:p w14:paraId="2445CCF8">
            <w:pPr>
              <w:pStyle w:val="120"/>
              <w:widowControl w:val="0"/>
              <w:numPr>
                <w:ilvl w:val="0"/>
                <w:numId w:val="0"/>
              </w:numPr>
              <w:ind w:left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.避雷器直流1mA电压(U1mA)及0.75U1mA下的泄漏电流；</w:t>
            </w:r>
          </w:p>
          <w:p w14:paraId="5C73A8A6">
            <w:pPr>
              <w:pStyle w:val="120"/>
              <w:widowControl w:val="0"/>
              <w:numPr>
                <w:ilvl w:val="0"/>
                <w:numId w:val="0"/>
              </w:numPr>
              <w:ind w:leftChars="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.避雷器底座绝缘电阻</w:t>
            </w:r>
            <w:r>
              <w:rPr>
                <w:rFonts w:hint="eastAsia" w:ascii="宋体" w:hAnsi="宋体" w:eastAsia="宋体"/>
                <w:color w:val="auto"/>
                <w:szCs w:val="21"/>
                <w:highlight w:val="none"/>
                <w:lang w:eastAsia="zh-CN"/>
              </w:rPr>
              <w:t>；</w:t>
            </w:r>
          </w:p>
          <w:p w14:paraId="0DEA36C8">
            <w:pPr>
              <w:pStyle w:val="120"/>
              <w:widowControl w:val="0"/>
              <w:numPr>
                <w:ilvl w:val="0"/>
                <w:numId w:val="0"/>
              </w:numPr>
              <w:ind w:leftChars="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三、继电保护装置；</w:t>
            </w:r>
          </w:p>
          <w:p w14:paraId="72F85F36">
            <w:pPr>
              <w:pStyle w:val="120"/>
              <w:widowControl w:val="0"/>
              <w:numPr>
                <w:ilvl w:val="0"/>
                <w:numId w:val="0"/>
              </w:numPr>
              <w:ind w:leftChars="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四、电压、电流互感器：</w:t>
            </w:r>
          </w:p>
          <w:p w14:paraId="6B743A5D">
            <w:pPr>
              <w:pStyle w:val="120"/>
              <w:widowControl w:val="0"/>
              <w:numPr>
                <w:ilvl w:val="0"/>
                <w:numId w:val="0"/>
              </w:numPr>
              <w:ind w:leftChars="0"/>
              <w:jc w:val="left"/>
              <w:rPr>
                <w:rFonts w:hint="eastAsia" w:ascii="宋体" w:hAnsi="宋体" w:eastAsia="宋体"/>
                <w:color w:val="auto"/>
                <w:szCs w:val="21"/>
                <w:highlight w:val="none"/>
              </w:rPr>
            </w:pPr>
            <w:r>
              <w:rPr>
                <w:rFonts w:hint="eastAsia" w:ascii="宋体" w:hAnsi="宋体" w:eastAsia="宋体"/>
                <w:color w:val="auto"/>
                <w:szCs w:val="21"/>
                <w:highlight w:val="none"/>
              </w:rPr>
              <w:t>1.绝缘电阻；                                                                                                2.绕组直流电阻；</w:t>
            </w:r>
          </w:p>
          <w:p w14:paraId="40ED3EB2">
            <w:pPr>
              <w:pStyle w:val="120"/>
              <w:widowControl w:val="0"/>
              <w:numPr>
                <w:ilvl w:val="0"/>
                <w:numId w:val="0"/>
              </w:numPr>
              <w:ind w:leftChars="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3.电压比</w:t>
            </w:r>
            <w:r>
              <w:rPr>
                <w:rFonts w:hint="eastAsia" w:ascii="宋体" w:hAnsi="宋体" w:eastAsia="宋体"/>
                <w:color w:val="auto"/>
                <w:szCs w:val="21"/>
                <w:highlight w:val="none"/>
                <w:lang w:eastAsia="zh-CN"/>
              </w:rPr>
              <w:t>；</w:t>
            </w:r>
          </w:p>
          <w:p w14:paraId="103EC517">
            <w:pPr>
              <w:pStyle w:val="120"/>
              <w:widowControl w:val="0"/>
              <w:numPr>
                <w:ilvl w:val="0"/>
                <w:numId w:val="0"/>
              </w:numPr>
              <w:ind w:leftChars="0"/>
              <w:jc w:val="lef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4.励磁特性曲线校核、极性检查、变比检查；</w:t>
            </w:r>
          </w:p>
          <w:p w14:paraId="43880271">
            <w:pPr>
              <w:pStyle w:val="120"/>
              <w:widowControl w:val="0"/>
              <w:numPr>
                <w:ilvl w:val="0"/>
                <w:numId w:val="0"/>
              </w:numPr>
              <w:ind w:leftChars="0"/>
              <w:jc w:val="lef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5、交流耐压；</w:t>
            </w:r>
          </w:p>
          <w:p w14:paraId="0124530C">
            <w:pPr>
              <w:pStyle w:val="120"/>
              <w:widowControl w:val="0"/>
              <w:numPr>
                <w:ilvl w:val="0"/>
                <w:numId w:val="0"/>
              </w:numPr>
              <w:ind w:leftChars="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6.除尘</w:t>
            </w:r>
          </w:p>
        </w:tc>
        <w:tc>
          <w:tcPr>
            <w:tcW w:w="786" w:type="dxa"/>
            <w:noWrap w:val="0"/>
            <w:vAlign w:val="center"/>
          </w:tcPr>
          <w:p w14:paraId="241A193E">
            <w:pPr>
              <w:widowControl w:val="0"/>
              <w:jc w:val="left"/>
              <w:rPr>
                <w:rFonts w:ascii="宋体" w:hAnsi="宋体" w:eastAsia="宋体"/>
                <w:color w:val="auto"/>
                <w:szCs w:val="21"/>
                <w:highlight w:val="none"/>
              </w:rPr>
            </w:pPr>
          </w:p>
        </w:tc>
      </w:tr>
      <w:tr w14:paraId="59B6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018" w:type="dxa"/>
            <w:noWrap w:val="0"/>
            <w:vAlign w:val="center"/>
          </w:tcPr>
          <w:p w14:paraId="4EA6FFFB">
            <w:pPr>
              <w:widowControl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低压柜</w:t>
            </w:r>
          </w:p>
        </w:tc>
        <w:tc>
          <w:tcPr>
            <w:tcW w:w="579" w:type="dxa"/>
            <w:noWrap w:val="0"/>
            <w:vAlign w:val="center"/>
          </w:tcPr>
          <w:p w14:paraId="59E4D5CC">
            <w:pPr>
              <w:widowControl w:val="0"/>
              <w:jc w:val="both"/>
              <w:rPr>
                <w:rFonts w:hint="eastAsia" w:ascii="宋体" w:hAnsi="宋体" w:eastAsia="宋体"/>
                <w:color w:val="auto"/>
                <w:szCs w:val="21"/>
                <w:highlight w:val="none"/>
              </w:rPr>
            </w:pPr>
            <w:r>
              <w:rPr>
                <w:rFonts w:hint="eastAsia" w:ascii="宋体" w:hAnsi="宋体" w:eastAsia="宋体"/>
                <w:color w:val="auto"/>
                <w:szCs w:val="21"/>
                <w:highlight w:val="none"/>
              </w:rPr>
              <w:t>台</w:t>
            </w:r>
          </w:p>
        </w:tc>
        <w:tc>
          <w:tcPr>
            <w:tcW w:w="578" w:type="dxa"/>
            <w:noWrap w:val="0"/>
            <w:vAlign w:val="center"/>
          </w:tcPr>
          <w:p w14:paraId="3057E8E9">
            <w:pPr>
              <w:widowControl w:val="0"/>
              <w:jc w:val="both"/>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120</w:t>
            </w:r>
          </w:p>
        </w:tc>
        <w:tc>
          <w:tcPr>
            <w:tcW w:w="5599" w:type="dxa"/>
            <w:noWrap w:val="0"/>
            <w:vAlign w:val="center"/>
          </w:tcPr>
          <w:p w14:paraId="11812047">
            <w:pPr>
              <w:pStyle w:val="120"/>
              <w:widowControl w:val="0"/>
              <w:numPr>
                <w:ilvl w:val="0"/>
                <w:numId w:val="0"/>
              </w:numPr>
              <w:ind w:leftChars="0"/>
              <w:jc w:val="left"/>
              <w:rPr>
                <w:rFonts w:hint="default" w:ascii="宋体" w:hAnsi="宋体"/>
                <w:color w:val="auto"/>
                <w:szCs w:val="21"/>
                <w:highlight w:val="none"/>
                <w:lang w:val="en-US" w:eastAsia="zh-CN"/>
              </w:rPr>
            </w:pPr>
            <w:r>
              <w:rPr>
                <w:rFonts w:hint="eastAsia" w:ascii="宋体" w:hAnsi="宋体" w:eastAsia="宋体"/>
                <w:color w:val="auto"/>
                <w:szCs w:val="21"/>
                <w:highlight w:val="none"/>
                <w:lang w:val="en-US" w:eastAsia="zh-CN"/>
              </w:rPr>
              <w:t>耐压、</w:t>
            </w:r>
            <w:r>
              <w:rPr>
                <w:rFonts w:hint="eastAsia" w:ascii="宋体" w:hAnsi="宋体"/>
                <w:color w:val="auto"/>
                <w:szCs w:val="21"/>
                <w:highlight w:val="none"/>
                <w:lang w:val="en-US" w:eastAsia="zh-CN"/>
              </w:rPr>
              <w:t>绝缘、低压出线绝缘检测、除尘</w:t>
            </w:r>
          </w:p>
        </w:tc>
        <w:tc>
          <w:tcPr>
            <w:tcW w:w="786" w:type="dxa"/>
            <w:noWrap w:val="0"/>
            <w:vAlign w:val="center"/>
          </w:tcPr>
          <w:p w14:paraId="1F48B2EB">
            <w:pPr>
              <w:widowControl w:val="0"/>
              <w:jc w:val="left"/>
              <w:rPr>
                <w:rFonts w:ascii="宋体" w:hAnsi="宋体" w:eastAsia="宋体"/>
                <w:color w:val="auto"/>
                <w:szCs w:val="21"/>
                <w:highlight w:val="none"/>
              </w:rPr>
            </w:pPr>
          </w:p>
        </w:tc>
      </w:tr>
      <w:tr w14:paraId="74C4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1018" w:type="dxa"/>
            <w:noWrap w:val="0"/>
            <w:vAlign w:val="center"/>
          </w:tcPr>
          <w:p w14:paraId="2CC70DBA">
            <w:pPr>
              <w:widowControl w:val="0"/>
              <w:jc w:val="both"/>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10k</w:t>
            </w:r>
            <w:r>
              <w:rPr>
                <w:rFonts w:hint="eastAsia" w:ascii="宋体" w:hAnsi="宋体" w:eastAsia="宋体"/>
                <w:color w:val="auto"/>
                <w:szCs w:val="21"/>
                <w:highlight w:val="none"/>
              </w:rPr>
              <w:t>V</w:t>
            </w:r>
            <w:r>
              <w:rPr>
                <w:rFonts w:hint="eastAsia" w:ascii="宋体" w:hAnsi="宋体" w:eastAsia="宋体"/>
                <w:color w:val="auto"/>
                <w:szCs w:val="21"/>
                <w:highlight w:val="none"/>
                <w:lang w:eastAsia="zh-CN"/>
              </w:rPr>
              <w:t>变压器</w:t>
            </w:r>
          </w:p>
        </w:tc>
        <w:tc>
          <w:tcPr>
            <w:tcW w:w="579" w:type="dxa"/>
            <w:noWrap w:val="0"/>
            <w:vAlign w:val="center"/>
          </w:tcPr>
          <w:p w14:paraId="1995D2D3">
            <w:pPr>
              <w:widowControl w:val="0"/>
              <w:jc w:val="both"/>
              <w:rPr>
                <w:rFonts w:ascii="宋体" w:hAnsi="宋体" w:eastAsia="宋体"/>
                <w:color w:val="auto"/>
                <w:szCs w:val="21"/>
                <w:highlight w:val="none"/>
              </w:rPr>
            </w:pPr>
            <w:r>
              <w:rPr>
                <w:rFonts w:hint="eastAsia" w:ascii="宋体" w:hAnsi="宋体" w:eastAsia="宋体"/>
                <w:color w:val="auto"/>
                <w:szCs w:val="21"/>
                <w:highlight w:val="none"/>
              </w:rPr>
              <w:t>台</w:t>
            </w:r>
          </w:p>
        </w:tc>
        <w:tc>
          <w:tcPr>
            <w:tcW w:w="578" w:type="dxa"/>
            <w:noWrap w:val="0"/>
            <w:vAlign w:val="center"/>
          </w:tcPr>
          <w:p w14:paraId="0415D4C5">
            <w:pPr>
              <w:widowControl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24</w:t>
            </w:r>
          </w:p>
        </w:tc>
        <w:tc>
          <w:tcPr>
            <w:tcW w:w="5599" w:type="dxa"/>
            <w:noWrap w:val="0"/>
            <w:vAlign w:val="center"/>
          </w:tcPr>
          <w:p w14:paraId="4CE34BE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1.绕组绝缘电阻、吸收比；</w:t>
            </w:r>
          </w:p>
          <w:p w14:paraId="46301C2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2.绕组直流电阻；</w:t>
            </w:r>
          </w:p>
          <w:p w14:paraId="0F80091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3.绕组所有分接的电压比；</w:t>
            </w:r>
          </w:p>
          <w:p w14:paraId="63C9F0C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4.铁芯绝缘电阻；</w:t>
            </w:r>
          </w:p>
          <w:p w14:paraId="5A195362">
            <w:pPr>
              <w:pStyle w:val="120"/>
              <w:widowControl w:val="0"/>
              <w:numPr>
                <w:ilvl w:val="0"/>
                <w:numId w:val="0"/>
              </w:numPr>
              <w:ind w:leftChars="0"/>
              <w:jc w:val="left"/>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5.交流耐压试验</w:t>
            </w:r>
          </w:p>
          <w:p w14:paraId="2119C36B">
            <w:pPr>
              <w:pStyle w:val="120"/>
              <w:widowControl w:val="0"/>
              <w:numPr>
                <w:ilvl w:val="0"/>
                <w:numId w:val="0"/>
              </w:numPr>
              <w:ind w:leftChars="0"/>
              <w:jc w:val="left"/>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6.除尘</w:t>
            </w:r>
          </w:p>
        </w:tc>
        <w:tc>
          <w:tcPr>
            <w:tcW w:w="786" w:type="dxa"/>
            <w:noWrap w:val="0"/>
            <w:vAlign w:val="center"/>
          </w:tcPr>
          <w:p w14:paraId="79220465">
            <w:pPr>
              <w:widowControl w:val="0"/>
              <w:jc w:val="left"/>
              <w:rPr>
                <w:rFonts w:hint="default" w:ascii="宋体" w:hAnsi="宋体" w:eastAsia="宋体"/>
                <w:color w:val="auto"/>
                <w:szCs w:val="21"/>
                <w:highlight w:val="none"/>
                <w:lang w:val="en-US" w:eastAsia="zh-CN"/>
              </w:rPr>
            </w:pPr>
          </w:p>
        </w:tc>
      </w:tr>
      <w:tr w14:paraId="420E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18" w:type="dxa"/>
            <w:noWrap w:val="0"/>
            <w:vAlign w:val="center"/>
          </w:tcPr>
          <w:p w14:paraId="773DDA3A">
            <w:pPr>
              <w:widowControl w:val="0"/>
              <w:jc w:val="both"/>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蓄电池</w:t>
            </w:r>
          </w:p>
        </w:tc>
        <w:tc>
          <w:tcPr>
            <w:tcW w:w="579" w:type="dxa"/>
            <w:noWrap w:val="0"/>
            <w:vAlign w:val="center"/>
          </w:tcPr>
          <w:p w14:paraId="6F8B2082">
            <w:pPr>
              <w:widowControl w:val="0"/>
              <w:jc w:val="both"/>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项</w:t>
            </w:r>
          </w:p>
        </w:tc>
        <w:tc>
          <w:tcPr>
            <w:tcW w:w="578" w:type="dxa"/>
            <w:noWrap w:val="0"/>
            <w:vAlign w:val="center"/>
          </w:tcPr>
          <w:p w14:paraId="609A30C8">
            <w:pPr>
              <w:widowControl w:val="0"/>
              <w:jc w:val="both"/>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1</w:t>
            </w:r>
          </w:p>
        </w:tc>
        <w:tc>
          <w:tcPr>
            <w:tcW w:w="5599" w:type="dxa"/>
            <w:noWrap w:val="0"/>
            <w:vAlign w:val="center"/>
          </w:tcPr>
          <w:p w14:paraId="45EA1B12">
            <w:pPr>
              <w:pStyle w:val="120"/>
              <w:widowControl w:val="0"/>
              <w:numPr>
                <w:ilvl w:val="0"/>
                <w:numId w:val="0"/>
              </w:numPr>
              <w:ind w:leftChars="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蓄电池充放电</w:t>
            </w:r>
          </w:p>
        </w:tc>
        <w:tc>
          <w:tcPr>
            <w:tcW w:w="786" w:type="dxa"/>
            <w:noWrap w:val="0"/>
            <w:vAlign w:val="center"/>
          </w:tcPr>
          <w:p w14:paraId="40877B51">
            <w:pPr>
              <w:widowControl w:val="0"/>
              <w:jc w:val="center"/>
              <w:rPr>
                <w:rFonts w:hint="default" w:ascii="宋体" w:hAnsi="宋体" w:eastAsia="宋体"/>
                <w:color w:val="auto"/>
                <w:szCs w:val="21"/>
                <w:highlight w:val="none"/>
                <w:lang w:val="en-US" w:eastAsia="zh-CN"/>
              </w:rPr>
            </w:pPr>
          </w:p>
        </w:tc>
      </w:tr>
      <w:tr w14:paraId="3F92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18" w:type="dxa"/>
            <w:noWrap w:val="0"/>
            <w:vAlign w:val="center"/>
          </w:tcPr>
          <w:p w14:paraId="24FF5AE3">
            <w:pPr>
              <w:widowControl w:val="0"/>
              <w:jc w:val="both"/>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公用测控柜</w:t>
            </w:r>
          </w:p>
        </w:tc>
        <w:tc>
          <w:tcPr>
            <w:tcW w:w="579" w:type="dxa"/>
            <w:noWrap w:val="0"/>
            <w:vAlign w:val="center"/>
          </w:tcPr>
          <w:p w14:paraId="56682E8B">
            <w:pPr>
              <w:widowControl w:val="0"/>
              <w:jc w:val="both"/>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台</w:t>
            </w:r>
          </w:p>
        </w:tc>
        <w:tc>
          <w:tcPr>
            <w:tcW w:w="578" w:type="dxa"/>
            <w:noWrap w:val="0"/>
            <w:vAlign w:val="center"/>
          </w:tcPr>
          <w:p w14:paraId="4631D78C">
            <w:pPr>
              <w:widowControl w:val="0"/>
              <w:jc w:val="both"/>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w:t>
            </w:r>
          </w:p>
        </w:tc>
        <w:tc>
          <w:tcPr>
            <w:tcW w:w="5599" w:type="dxa"/>
            <w:noWrap w:val="0"/>
            <w:vAlign w:val="center"/>
          </w:tcPr>
          <w:p w14:paraId="77F69125">
            <w:pPr>
              <w:pStyle w:val="120"/>
              <w:widowControl w:val="0"/>
              <w:numPr>
                <w:ilvl w:val="0"/>
                <w:numId w:val="0"/>
              </w:numPr>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lang w:eastAsia="zh-CN"/>
              </w:rPr>
              <w:t>公用测控装置校验；</w:t>
            </w:r>
          </w:p>
          <w:p w14:paraId="6BB24D57">
            <w:pPr>
              <w:pStyle w:val="120"/>
              <w:widowControl w:val="0"/>
              <w:numPr>
                <w:ilvl w:val="0"/>
                <w:numId w:val="0"/>
              </w:numPr>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2.辅助、控制回路绝缘电阻；</w:t>
            </w:r>
          </w:p>
        </w:tc>
        <w:tc>
          <w:tcPr>
            <w:tcW w:w="786" w:type="dxa"/>
            <w:noWrap w:val="0"/>
            <w:vAlign w:val="center"/>
          </w:tcPr>
          <w:p w14:paraId="49692152">
            <w:pPr>
              <w:widowControl w:val="0"/>
              <w:jc w:val="left"/>
              <w:rPr>
                <w:rFonts w:ascii="宋体" w:hAnsi="宋体" w:eastAsia="宋体"/>
                <w:color w:val="auto"/>
                <w:szCs w:val="21"/>
                <w:highlight w:val="none"/>
              </w:rPr>
            </w:pPr>
          </w:p>
        </w:tc>
      </w:tr>
      <w:tr w14:paraId="0CF3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18" w:type="dxa"/>
            <w:noWrap w:val="0"/>
            <w:vAlign w:val="center"/>
          </w:tcPr>
          <w:p w14:paraId="66BA5EE1">
            <w:pPr>
              <w:widowControl w:val="0"/>
              <w:jc w:val="both"/>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变压器保护测控柜</w:t>
            </w:r>
          </w:p>
        </w:tc>
        <w:tc>
          <w:tcPr>
            <w:tcW w:w="579" w:type="dxa"/>
            <w:noWrap w:val="0"/>
            <w:vAlign w:val="center"/>
          </w:tcPr>
          <w:p w14:paraId="2538FCCC">
            <w:pPr>
              <w:widowControl w:val="0"/>
              <w:jc w:val="both"/>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台</w:t>
            </w:r>
          </w:p>
        </w:tc>
        <w:tc>
          <w:tcPr>
            <w:tcW w:w="578" w:type="dxa"/>
            <w:noWrap w:val="0"/>
            <w:vAlign w:val="center"/>
          </w:tcPr>
          <w:p w14:paraId="0DB9D083">
            <w:pPr>
              <w:widowControl w:val="0"/>
              <w:jc w:val="both"/>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w:t>
            </w:r>
          </w:p>
        </w:tc>
        <w:tc>
          <w:tcPr>
            <w:tcW w:w="5599" w:type="dxa"/>
            <w:noWrap w:val="0"/>
            <w:vAlign w:val="center"/>
          </w:tcPr>
          <w:p w14:paraId="02BB9066">
            <w:pPr>
              <w:pStyle w:val="120"/>
              <w:widowControl w:val="0"/>
              <w:numPr>
                <w:ilvl w:val="0"/>
                <w:numId w:val="0"/>
              </w:numPr>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lang w:eastAsia="zh-CN"/>
              </w:rPr>
              <w:t>变压器保护测控装置校验；</w:t>
            </w:r>
          </w:p>
          <w:p w14:paraId="48E70E78">
            <w:pPr>
              <w:pStyle w:val="120"/>
              <w:widowControl w:val="0"/>
              <w:numPr>
                <w:ilvl w:val="0"/>
                <w:numId w:val="0"/>
              </w:numPr>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2.辅助、控制回路绝缘电阻；</w:t>
            </w:r>
          </w:p>
        </w:tc>
        <w:tc>
          <w:tcPr>
            <w:tcW w:w="786" w:type="dxa"/>
            <w:noWrap w:val="0"/>
            <w:vAlign w:val="center"/>
          </w:tcPr>
          <w:p w14:paraId="2E77C2B7">
            <w:pPr>
              <w:widowControl w:val="0"/>
              <w:jc w:val="left"/>
              <w:rPr>
                <w:rFonts w:ascii="宋体" w:hAnsi="宋体" w:eastAsia="宋体"/>
                <w:color w:val="auto"/>
                <w:szCs w:val="21"/>
                <w:highlight w:val="none"/>
              </w:rPr>
            </w:pPr>
          </w:p>
        </w:tc>
      </w:tr>
      <w:tr w14:paraId="7EA9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18" w:type="dxa"/>
            <w:noWrap w:val="0"/>
            <w:vAlign w:val="center"/>
          </w:tcPr>
          <w:p w14:paraId="08C40F6E">
            <w:pPr>
              <w:widowControl w:val="0"/>
              <w:jc w:val="both"/>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线路保护测控柜</w:t>
            </w:r>
          </w:p>
        </w:tc>
        <w:tc>
          <w:tcPr>
            <w:tcW w:w="579" w:type="dxa"/>
            <w:noWrap w:val="0"/>
            <w:vAlign w:val="center"/>
          </w:tcPr>
          <w:p w14:paraId="59A9964B">
            <w:pPr>
              <w:widowControl w:val="0"/>
              <w:jc w:val="both"/>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台</w:t>
            </w:r>
          </w:p>
        </w:tc>
        <w:tc>
          <w:tcPr>
            <w:tcW w:w="578" w:type="dxa"/>
            <w:noWrap w:val="0"/>
            <w:vAlign w:val="center"/>
          </w:tcPr>
          <w:p w14:paraId="3ADEC493">
            <w:pPr>
              <w:widowControl w:val="0"/>
              <w:jc w:val="both"/>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w:t>
            </w:r>
          </w:p>
        </w:tc>
        <w:tc>
          <w:tcPr>
            <w:tcW w:w="5599" w:type="dxa"/>
            <w:noWrap w:val="0"/>
            <w:vAlign w:val="center"/>
          </w:tcPr>
          <w:p w14:paraId="33A1269B">
            <w:pPr>
              <w:pStyle w:val="120"/>
              <w:widowControl w:val="0"/>
              <w:numPr>
                <w:ilvl w:val="0"/>
                <w:numId w:val="0"/>
              </w:numPr>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lang w:eastAsia="zh-CN"/>
              </w:rPr>
              <w:t>线路保护测控装置校验；</w:t>
            </w:r>
          </w:p>
          <w:p w14:paraId="39AF4555">
            <w:pPr>
              <w:pStyle w:val="120"/>
              <w:widowControl w:val="0"/>
              <w:numPr>
                <w:ilvl w:val="0"/>
                <w:numId w:val="0"/>
              </w:numPr>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lang w:eastAsia="zh-CN"/>
              </w:rPr>
              <w:t>辅助、控制回路绝缘电阻；</w:t>
            </w:r>
          </w:p>
        </w:tc>
        <w:tc>
          <w:tcPr>
            <w:tcW w:w="786" w:type="dxa"/>
            <w:noWrap w:val="0"/>
            <w:vAlign w:val="center"/>
          </w:tcPr>
          <w:p w14:paraId="61F7599A">
            <w:pPr>
              <w:widowControl w:val="0"/>
              <w:jc w:val="left"/>
              <w:rPr>
                <w:rFonts w:ascii="宋体" w:hAnsi="宋体" w:eastAsia="宋体"/>
                <w:color w:val="auto"/>
                <w:szCs w:val="21"/>
                <w:highlight w:val="none"/>
              </w:rPr>
            </w:pPr>
          </w:p>
        </w:tc>
      </w:tr>
      <w:tr w14:paraId="46D8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8" w:type="dxa"/>
            <w:noWrap w:val="0"/>
            <w:vAlign w:val="center"/>
          </w:tcPr>
          <w:p w14:paraId="50EE5142">
            <w:pPr>
              <w:widowControl w:val="0"/>
              <w:jc w:val="both"/>
              <w:rPr>
                <w:rFonts w:hint="eastAsia" w:ascii="宋体" w:hAnsi="宋体" w:eastAsia="宋体"/>
                <w:color w:val="auto"/>
                <w:szCs w:val="21"/>
                <w:highlight w:val="none"/>
                <w:lang w:eastAsia="zh-CN"/>
              </w:rPr>
            </w:pPr>
            <w:r>
              <w:rPr>
                <w:rFonts w:hint="default" w:ascii="宋体" w:hAnsi="宋体" w:eastAsia="宋体"/>
                <w:color w:val="auto"/>
                <w:szCs w:val="21"/>
                <w:highlight w:val="none"/>
                <w:lang w:val="en-US" w:eastAsia="zh-CN"/>
              </w:rPr>
              <w:t>10kV</w:t>
            </w:r>
            <w:r>
              <w:rPr>
                <w:rFonts w:hint="eastAsia" w:ascii="宋体" w:hAnsi="宋体" w:eastAsia="宋体"/>
                <w:color w:val="auto"/>
                <w:szCs w:val="21"/>
                <w:highlight w:val="none"/>
                <w:lang w:val="en-US" w:eastAsia="zh-CN"/>
              </w:rPr>
              <w:t>电缆</w:t>
            </w:r>
          </w:p>
        </w:tc>
        <w:tc>
          <w:tcPr>
            <w:tcW w:w="579" w:type="dxa"/>
            <w:noWrap w:val="0"/>
            <w:vAlign w:val="center"/>
          </w:tcPr>
          <w:p w14:paraId="7F7FC9C5">
            <w:pPr>
              <w:widowControl w:val="0"/>
              <w:jc w:val="both"/>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根</w:t>
            </w:r>
          </w:p>
        </w:tc>
        <w:tc>
          <w:tcPr>
            <w:tcW w:w="578" w:type="dxa"/>
            <w:noWrap w:val="0"/>
            <w:vAlign w:val="center"/>
          </w:tcPr>
          <w:p w14:paraId="583E0C3E">
            <w:pPr>
              <w:widowControl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32</w:t>
            </w:r>
          </w:p>
        </w:tc>
        <w:tc>
          <w:tcPr>
            <w:tcW w:w="5599" w:type="dxa"/>
            <w:noWrap w:val="0"/>
            <w:vAlign w:val="center"/>
          </w:tcPr>
          <w:p w14:paraId="3188FA1F">
            <w:pPr>
              <w:widowControl w:val="0"/>
              <w:numPr>
                <w:ilvl w:val="0"/>
                <w:numId w:val="0"/>
              </w:numPr>
              <w:jc w:val="left"/>
              <w:rPr>
                <w:rFonts w:hint="eastAsia"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1.</w:t>
            </w:r>
            <w:r>
              <w:rPr>
                <w:rFonts w:hint="eastAsia" w:ascii="宋体" w:hAnsi="宋体" w:eastAsia="宋体"/>
                <w:color w:val="auto"/>
                <w:szCs w:val="21"/>
                <w:highlight w:val="none"/>
                <w:lang w:val="en-US" w:eastAsia="zh-CN"/>
              </w:rPr>
              <w:t>绝缘电阻</w:t>
            </w:r>
          </w:p>
          <w:p w14:paraId="1A2285D1">
            <w:pPr>
              <w:widowControl w:val="0"/>
              <w:numPr>
                <w:ilvl w:val="0"/>
                <w:numId w:val="0"/>
              </w:numPr>
              <w:jc w:val="left"/>
              <w:rPr>
                <w:rFonts w:hint="eastAsia"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2.</w:t>
            </w:r>
            <w:r>
              <w:rPr>
                <w:rFonts w:hint="eastAsia" w:ascii="宋体" w:hAnsi="宋体" w:eastAsia="宋体"/>
                <w:color w:val="auto"/>
                <w:szCs w:val="21"/>
                <w:highlight w:val="none"/>
                <w:lang w:val="en-US" w:eastAsia="zh-CN"/>
              </w:rPr>
              <w:t>交流耐压</w:t>
            </w:r>
          </w:p>
        </w:tc>
        <w:tc>
          <w:tcPr>
            <w:tcW w:w="786" w:type="dxa"/>
            <w:noWrap w:val="0"/>
            <w:vAlign w:val="center"/>
          </w:tcPr>
          <w:p w14:paraId="60A547A7">
            <w:pPr>
              <w:widowControl w:val="0"/>
              <w:jc w:val="left"/>
              <w:rPr>
                <w:rFonts w:ascii="宋体" w:hAnsi="宋体" w:eastAsia="宋体"/>
                <w:color w:val="auto"/>
                <w:szCs w:val="21"/>
                <w:highlight w:val="none"/>
              </w:rPr>
            </w:pPr>
          </w:p>
        </w:tc>
      </w:tr>
      <w:tr w14:paraId="4570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18" w:type="dxa"/>
            <w:noWrap w:val="0"/>
            <w:vAlign w:val="center"/>
          </w:tcPr>
          <w:p w14:paraId="36DC68DB">
            <w:pPr>
              <w:widowControl w:val="0"/>
              <w:jc w:val="both"/>
              <w:rPr>
                <w:rFonts w:hint="eastAsia" w:ascii="宋体" w:hAnsi="宋体" w:eastAsia="宋体"/>
                <w:color w:val="auto"/>
                <w:szCs w:val="21"/>
                <w:highlight w:val="none"/>
                <w:lang w:eastAsia="zh-CN"/>
              </w:rPr>
            </w:pPr>
            <w:r>
              <w:rPr>
                <w:rFonts w:hint="default" w:ascii="宋体" w:hAnsi="宋体" w:eastAsia="宋体"/>
                <w:color w:val="auto"/>
                <w:szCs w:val="21"/>
                <w:highlight w:val="none"/>
                <w:lang w:val="en-US" w:eastAsia="zh-CN"/>
              </w:rPr>
              <w:t>35kV</w:t>
            </w:r>
            <w:r>
              <w:rPr>
                <w:rFonts w:hint="eastAsia" w:ascii="宋体" w:hAnsi="宋体" w:eastAsia="宋体"/>
                <w:color w:val="auto"/>
                <w:szCs w:val="21"/>
                <w:highlight w:val="none"/>
                <w:lang w:val="en-US" w:eastAsia="zh-CN"/>
              </w:rPr>
              <w:t>电缆</w:t>
            </w:r>
          </w:p>
        </w:tc>
        <w:tc>
          <w:tcPr>
            <w:tcW w:w="579" w:type="dxa"/>
            <w:noWrap w:val="0"/>
            <w:vAlign w:val="center"/>
          </w:tcPr>
          <w:p w14:paraId="4E87DA35">
            <w:pPr>
              <w:widowControl w:val="0"/>
              <w:jc w:val="both"/>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根</w:t>
            </w:r>
          </w:p>
        </w:tc>
        <w:tc>
          <w:tcPr>
            <w:tcW w:w="578" w:type="dxa"/>
            <w:noWrap w:val="0"/>
            <w:vAlign w:val="center"/>
          </w:tcPr>
          <w:p w14:paraId="03DB71F1">
            <w:pPr>
              <w:widowControl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5599" w:type="dxa"/>
            <w:noWrap w:val="0"/>
            <w:vAlign w:val="center"/>
          </w:tcPr>
          <w:p w14:paraId="08E2ED32">
            <w:pPr>
              <w:widowControl w:val="0"/>
              <w:numPr>
                <w:ilvl w:val="0"/>
                <w:numId w:val="0"/>
              </w:numPr>
              <w:jc w:val="left"/>
              <w:rPr>
                <w:rFonts w:hint="eastAsia"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1.</w:t>
            </w:r>
            <w:r>
              <w:rPr>
                <w:rFonts w:hint="eastAsia" w:ascii="宋体" w:hAnsi="宋体" w:eastAsia="宋体"/>
                <w:color w:val="auto"/>
                <w:szCs w:val="21"/>
                <w:highlight w:val="none"/>
                <w:lang w:val="en-US" w:eastAsia="zh-CN"/>
              </w:rPr>
              <w:t>绝缘电阻</w:t>
            </w:r>
          </w:p>
          <w:p w14:paraId="6E1EE675">
            <w:pPr>
              <w:widowControl w:val="0"/>
              <w:numPr>
                <w:ilvl w:val="0"/>
                <w:numId w:val="0"/>
              </w:numPr>
              <w:jc w:val="left"/>
              <w:rPr>
                <w:rFonts w:hint="eastAsia"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2.</w:t>
            </w:r>
            <w:r>
              <w:rPr>
                <w:rFonts w:hint="eastAsia" w:ascii="宋体" w:hAnsi="宋体" w:eastAsia="宋体"/>
                <w:color w:val="auto"/>
                <w:szCs w:val="21"/>
                <w:highlight w:val="none"/>
                <w:lang w:val="en-US" w:eastAsia="zh-CN"/>
              </w:rPr>
              <w:t>交流耐压</w:t>
            </w:r>
          </w:p>
        </w:tc>
        <w:tc>
          <w:tcPr>
            <w:tcW w:w="786" w:type="dxa"/>
            <w:noWrap w:val="0"/>
            <w:vAlign w:val="center"/>
          </w:tcPr>
          <w:p w14:paraId="6E5A1D21">
            <w:pPr>
              <w:widowControl w:val="0"/>
              <w:jc w:val="left"/>
              <w:rPr>
                <w:rFonts w:ascii="宋体" w:hAnsi="宋体" w:eastAsia="宋体"/>
                <w:color w:val="auto"/>
                <w:szCs w:val="21"/>
                <w:highlight w:val="none"/>
              </w:rPr>
            </w:pPr>
          </w:p>
        </w:tc>
      </w:tr>
      <w:tr w14:paraId="2CCE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018" w:type="dxa"/>
            <w:noWrap w:val="0"/>
            <w:vAlign w:val="center"/>
          </w:tcPr>
          <w:p w14:paraId="14C5B7D4">
            <w:pPr>
              <w:widowControl w:val="0"/>
              <w:jc w:val="both"/>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全站接地系统</w:t>
            </w:r>
          </w:p>
        </w:tc>
        <w:tc>
          <w:tcPr>
            <w:tcW w:w="579" w:type="dxa"/>
            <w:noWrap w:val="0"/>
            <w:vAlign w:val="center"/>
          </w:tcPr>
          <w:p w14:paraId="53EC27C8">
            <w:pPr>
              <w:widowControl w:val="0"/>
              <w:jc w:val="both"/>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项</w:t>
            </w:r>
          </w:p>
        </w:tc>
        <w:tc>
          <w:tcPr>
            <w:tcW w:w="578" w:type="dxa"/>
            <w:noWrap w:val="0"/>
            <w:vAlign w:val="center"/>
          </w:tcPr>
          <w:p w14:paraId="0F86AADC">
            <w:pPr>
              <w:widowControl w:val="0"/>
              <w:jc w:val="both"/>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w:t>
            </w:r>
          </w:p>
        </w:tc>
        <w:tc>
          <w:tcPr>
            <w:tcW w:w="5599" w:type="dxa"/>
            <w:noWrap w:val="0"/>
            <w:vAlign w:val="center"/>
          </w:tcPr>
          <w:p w14:paraId="13E76B1A">
            <w:pPr>
              <w:pStyle w:val="120"/>
              <w:widowControl w:val="0"/>
              <w:numPr>
                <w:ilvl w:val="0"/>
                <w:numId w:val="0"/>
              </w:numPr>
              <w:jc w:val="lef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1.接地电阻；</w:t>
            </w:r>
          </w:p>
          <w:p w14:paraId="20543E8F">
            <w:pPr>
              <w:pStyle w:val="120"/>
              <w:widowControl w:val="0"/>
              <w:numPr>
                <w:ilvl w:val="0"/>
                <w:numId w:val="0"/>
              </w:numPr>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2.接地导通；</w:t>
            </w:r>
          </w:p>
          <w:p w14:paraId="01171F19">
            <w:pPr>
              <w:pStyle w:val="120"/>
              <w:widowControl w:val="0"/>
              <w:numPr>
                <w:ilvl w:val="0"/>
                <w:numId w:val="0"/>
              </w:numPr>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3.大地网；</w:t>
            </w:r>
          </w:p>
        </w:tc>
        <w:tc>
          <w:tcPr>
            <w:tcW w:w="786" w:type="dxa"/>
            <w:noWrap w:val="0"/>
            <w:vAlign w:val="center"/>
          </w:tcPr>
          <w:p w14:paraId="2C4ABA08">
            <w:pPr>
              <w:widowControl w:val="0"/>
              <w:jc w:val="left"/>
              <w:rPr>
                <w:rFonts w:ascii="宋体" w:hAnsi="宋体" w:eastAsia="宋体"/>
                <w:color w:val="auto"/>
                <w:szCs w:val="21"/>
                <w:highlight w:val="none"/>
              </w:rPr>
            </w:pPr>
          </w:p>
        </w:tc>
      </w:tr>
      <w:tr w14:paraId="61E5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18" w:type="dxa"/>
            <w:noWrap w:val="0"/>
            <w:vAlign w:val="center"/>
          </w:tcPr>
          <w:p w14:paraId="185CE587">
            <w:pPr>
              <w:widowControl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安全工器具检测</w:t>
            </w:r>
          </w:p>
        </w:tc>
        <w:tc>
          <w:tcPr>
            <w:tcW w:w="579" w:type="dxa"/>
            <w:noWrap w:val="0"/>
            <w:vAlign w:val="center"/>
          </w:tcPr>
          <w:p w14:paraId="132FD53E">
            <w:pPr>
              <w:widowControl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olor w:val="auto"/>
                <w:szCs w:val="21"/>
                <w:highlight w:val="none"/>
                <w:lang w:eastAsia="zh-CN"/>
              </w:rPr>
              <w:t>项</w:t>
            </w:r>
          </w:p>
        </w:tc>
        <w:tc>
          <w:tcPr>
            <w:tcW w:w="578" w:type="dxa"/>
            <w:noWrap w:val="0"/>
            <w:vAlign w:val="center"/>
          </w:tcPr>
          <w:p w14:paraId="3FEEF821">
            <w:pPr>
              <w:widowControl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olor w:val="auto"/>
                <w:szCs w:val="21"/>
                <w:highlight w:val="none"/>
                <w:lang w:val="en-US" w:eastAsia="zh-CN"/>
              </w:rPr>
              <w:t>1</w:t>
            </w:r>
          </w:p>
        </w:tc>
        <w:tc>
          <w:tcPr>
            <w:tcW w:w="5599" w:type="dxa"/>
            <w:noWrap w:val="0"/>
            <w:vAlign w:val="center"/>
          </w:tcPr>
          <w:p w14:paraId="25B2D431">
            <w:pPr>
              <w:pStyle w:val="120"/>
              <w:widowControl w:val="0"/>
              <w:numPr>
                <w:ilvl w:val="0"/>
                <w:numId w:val="0"/>
              </w:numPr>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配电室安全工器具检测</w:t>
            </w:r>
          </w:p>
        </w:tc>
        <w:tc>
          <w:tcPr>
            <w:tcW w:w="786" w:type="dxa"/>
            <w:noWrap w:val="0"/>
            <w:vAlign w:val="center"/>
          </w:tcPr>
          <w:p w14:paraId="6ED6113D">
            <w:pPr>
              <w:widowControl w:val="0"/>
              <w:jc w:val="left"/>
              <w:rPr>
                <w:rFonts w:ascii="宋体" w:hAnsi="宋体" w:eastAsia="宋体"/>
                <w:color w:val="auto"/>
                <w:szCs w:val="21"/>
                <w:highlight w:val="none"/>
              </w:rPr>
            </w:pPr>
          </w:p>
        </w:tc>
      </w:tr>
      <w:tr w14:paraId="7AFD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018" w:type="dxa"/>
            <w:noWrap w:val="0"/>
            <w:vAlign w:val="center"/>
          </w:tcPr>
          <w:p w14:paraId="60D80E03">
            <w:pPr>
              <w:widowControl w:val="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其他</w:t>
            </w:r>
          </w:p>
        </w:tc>
        <w:tc>
          <w:tcPr>
            <w:tcW w:w="579" w:type="dxa"/>
            <w:noWrap w:val="0"/>
            <w:vAlign w:val="center"/>
          </w:tcPr>
          <w:p w14:paraId="193338A2">
            <w:pPr>
              <w:widowControl w:val="0"/>
              <w:jc w:val="both"/>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项</w:t>
            </w:r>
          </w:p>
        </w:tc>
        <w:tc>
          <w:tcPr>
            <w:tcW w:w="578" w:type="dxa"/>
            <w:noWrap w:val="0"/>
            <w:vAlign w:val="center"/>
          </w:tcPr>
          <w:p w14:paraId="5D5C1B7D">
            <w:pPr>
              <w:widowControl w:val="0"/>
              <w:jc w:val="both"/>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w:t>
            </w:r>
          </w:p>
        </w:tc>
        <w:tc>
          <w:tcPr>
            <w:tcW w:w="5599" w:type="dxa"/>
            <w:noWrap w:val="0"/>
            <w:vAlign w:val="center"/>
          </w:tcPr>
          <w:p w14:paraId="60933AFB">
            <w:pPr>
              <w:widowControl w:val="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1.网络安全监测装置告警检测</w:t>
            </w:r>
          </w:p>
          <w:p w14:paraId="2D05049C">
            <w:pPr>
              <w:widowControl w:val="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2.两路 104 通道双平面双链路冗余检测；</w:t>
            </w:r>
          </w:p>
          <w:p w14:paraId="77F95E4F">
            <w:pPr>
              <w:widowControl w:val="0"/>
              <w:jc w:val="both"/>
              <w:rPr>
                <w:rFonts w:hint="eastAsia" w:ascii="宋体" w:hAnsi="宋体"/>
                <w:color w:val="auto"/>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3.通信设备设施检测</w:t>
            </w:r>
          </w:p>
        </w:tc>
        <w:tc>
          <w:tcPr>
            <w:tcW w:w="786" w:type="dxa"/>
            <w:noWrap w:val="0"/>
            <w:vAlign w:val="center"/>
          </w:tcPr>
          <w:p w14:paraId="5C23F9F3">
            <w:pPr>
              <w:widowControl w:val="0"/>
              <w:jc w:val="left"/>
              <w:rPr>
                <w:rFonts w:ascii="宋体" w:hAnsi="宋体" w:eastAsia="宋体"/>
                <w:color w:val="auto"/>
                <w:szCs w:val="21"/>
                <w:highlight w:val="none"/>
              </w:rPr>
            </w:pPr>
          </w:p>
        </w:tc>
      </w:tr>
      <w:bookmarkEnd w:id="155"/>
    </w:tbl>
    <w:p w14:paraId="6FBC7802">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default" w:ascii="宋体" w:hAnsi="宋体" w:eastAsia="宋体" w:cs="宋体"/>
          <w:color w:val="auto"/>
          <w:sz w:val="24"/>
          <w:szCs w:val="24"/>
          <w:highlight w:val="none"/>
          <w:lang w:val="en-US" w:eastAsia="zh-CN"/>
        </w:rPr>
        <w:t>本项目为交钥匙工程，报价应包含所有</w:t>
      </w:r>
      <w:r>
        <w:rPr>
          <w:rFonts w:hint="eastAsia" w:ascii="宋体" w:hAnsi="宋体" w:eastAsia="宋体" w:cs="宋体"/>
          <w:color w:val="auto"/>
          <w:sz w:val="24"/>
          <w:szCs w:val="24"/>
          <w:highlight w:val="none"/>
          <w:lang w:val="en-US" w:eastAsia="zh-CN"/>
        </w:rPr>
        <w:t>检测及各种检测报告</w:t>
      </w:r>
      <w:r>
        <w:rPr>
          <w:rFonts w:hint="default" w:ascii="宋体" w:hAnsi="宋体" w:eastAsia="宋体" w:cs="宋体"/>
          <w:color w:val="auto"/>
          <w:sz w:val="24"/>
          <w:szCs w:val="24"/>
          <w:highlight w:val="none"/>
          <w:lang w:val="en-US" w:eastAsia="zh-CN"/>
        </w:rPr>
        <w:t>税金等一切费用。</w:t>
      </w:r>
    </w:p>
    <w:p w14:paraId="5EDA035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7F630703">
      <w:pPr>
        <w:pStyle w:val="11"/>
        <w:spacing w:before="155" w:line="219" w:lineRule="auto"/>
        <w:ind w:left="3726" w:firstLine="235" w:firstLineChars="100"/>
        <w:outlineLvl w:val="0"/>
        <w:rPr>
          <w:rFonts w:hint="eastAsia"/>
          <w:color w:val="auto"/>
          <w:highlight w:val="none"/>
          <w:lang w:eastAsia="zh-CN"/>
        </w:rPr>
      </w:pPr>
      <w:bookmarkStart w:id="156" w:name="_Toc19307"/>
      <w:bookmarkStart w:id="157" w:name="_Toc28549"/>
      <w:r>
        <w:rPr>
          <w:rFonts w:hint="eastAsia"/>
          <w:b/>
          <w:bCs/>
          <w:color w:val="auto"/>
          <w:spacing w:val="-3"/>
          <w:highlight w:val="none"/>
          <w:lang w:eastAsia="zh-CN"/>
        </w:rPr>
        <w:t>第四章</w:t>
      </w:r>
      <w:r>
        <w:rPr>
          <w:rFonts w:hint="eastAsia"/>
          <w:color w:val="auto"/>
          <w:spacing w:val="-3"/>
          <w:highlight w:val="none"/>
          <w:lang w:eastAsia="zh-CN"/>
        </w:rPr>
        <w:t xml:space="preserve"> </w:t>
      </w:r>
      <w:r>
        <w:rPr>
          <w:rFonts w:hint="eastAsia"/>
          <w:b/>
          <w:bCs/>
          <w:color w:val="auto"/>
          <w:spacing w:val="-3"/>
          <w:highlight w:val="none"/>
          <w:lang w:eastAsia="zh-CN"/>
        </w:rPr>
        <w:t>评标办法</w:t>
      </w:r>
      <w:bookmarkEnd w:id="156"/>
      <w:bookmarkEnd w:id="157"/>
    </w:p>
    <w:p w14:paraId="15110B1C">
      <w:pPr>
        <w:spacing w:line="403" w:lineRule="auto"/>
        <w:rPr>
          <w:rFonts w:hint="eastAsia" w:ascii="宋体" w:hAnsi="宋体" w:eastAsia="宋体" w:cs="宋体"/>
          <w:color w:val="auto"/>
          <w:sz w:val="24"/>
          <w:szCs w:val="24"/>
          <w:highlight w:val="none"/>
          <w:lang w:eastAsia="zh-CN"/>
        </w:rPr>
      </w:pPr>
    </w:p>
    <w:p w14:paraId="49E3DEF4">
      <w:pPr>
        <w:spacing w:line="560" w:lineRule="exact"/>
        <w:ind w:firstLine="480" w:firstLineChars="200"/>
        <w:rPr>
          <w:rFonts w:hint="eastAsia" w:ascii="宋体" w:hAnsi="宋体" w:eastAsia="宋体" w:cs="宋体"/>
          <w:color w:val="auto"/>
          <w:sz w:val="24"/>
          <w:szCs w:val="24"/>
          <w:highlight w:val="none"/>
          <w:lang w:eastAsia="zh-CN"/>
        </w:rPr>
      </w:pPr>
      <w:bookmarkStart w:id="158" w:name="_Toc217446099"/>
      <w:r>
        <w:rPr>
          <w:rFonts w:hint="eastAsia" w:ascii="宋体" w:hAnsi="宋体" w:eastAsia="宋体" w:cs="宋体"/>
          <w:color w:val="auto"/>
          <w:sz w:val="24"/>
          <w:szCs w:val="24"/>
          <w:highlight w:val="none"/>
          <w:lang w:eastAsia="zh-CN"/>
        </w:rPr>
        <w:t>1. 总则</w:t>
      </w:r>
    </w:p>
    <w:p w14:paraId="45ED0FCE">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 根据《中华人民共和国政府采购法》《中华人民共和国政府采购法实施条例》和《政府采购货物和服务招标投标管理办法》（财政部第87号令）等法律法规、规章和相关规定，结合招标项目特点制定本评标办法。</w:t>
      </w:r>
    </w:p>
    <w:p w14:paraId="32843185">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1.2 </w:t>
      </w:r>
      <w:r>
        <w:rPr>
          <w:rFonts w:hint="eastAsia" w:ascii="宋体" w:hAnsi="宋体" w:eastAsia="宋体" w:cs="宋体"/>
          <w:bCs/>
          <w:color w:val="auto"/>
          <w:sz w:val="24"/>
          <w:szCs w:val="24"/>
          <w:highlight w:val="none"/>
          <w:lang w:eastAsia="zh-CN"/>
        </w:rPr>
        <w:t>评标工作由采购人负责组织，具体评标工作由采购人依法组建的评标委员会负责。评标委员会由采购人代表和有关技术、经济等方面的专家组成。</w:t>
      </w:r>
    </w:p>
    <w:p w14:paraId="146C936F">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 评标工作应遵循公平、公正、科学及择优的原则。</w:t>
      </w:r>
    </w:p>
    <w:p w14:paraId="2460D42E">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 评标委员会按照招标文件规定的评标方法和标准进行评标，并独立履行下列职责：</w:t>
      </w:r>
    </w:p>
    <w:p w14:paraId="31B8ADCC">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（1）审查投标文件是否符合招标文件要求，并作出评价；</w:t>
      </w:r>
    </w:p>
    <w:p w14:paraId="14F030B9">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（2）要求投标人对投标文件有关事项作出解释或者澄清；</w:t>
      </w:r>
    </w:p>
    <w:p w14:paraId="5D89D2DE">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（3）推荐中标候选投标人名单，或者受采购人委托按照事先确定的办法直接确定中标投标人；</w:t>
      </w:r>
    </w:p>
    <w:p w14:paraId="0B6B6831">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（4）向采购人或者有关部门报告非法干预评标工作的行为。</w:t>
      </w:r>
      <w:bookmarkStart w:id="159" w:name="_Toc217446098"/>
    </w:p>
    <w:p w14:paraId="3288D59A">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 评标过程严格保密。投标人对评标委员会的评标过程或合同授予决定施加影响的任何行为都可能导致其投标被拒绝。</w:t>
      </w:r>
    </w:p>
    <w:p w14:paraId="46773875">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1.6评标委员会决定投标文件的响应性应依据投标文件本身的内容，而不寻求外部的证据。</w:t>
      </w:r>
    </w:p>
    <w:p w14:paraId="66BDAD3A">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1.7评标委员会发现招标文件表述不明确或需要说明的事项，可提请采购人书面解释说明。发现招标文件违反法律、法规、规章和相关规定的，可以拒绝评标，并向采购人书面说明情况。</w:t>
      </w:r>
    </w:p>
    <w:p w14:paraId="15AB8A47">
      <w:pPr>
        <w:spacing w:line="560" w:lineRule="exact"/>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eastAsia="zh-CN"/>
        </w:rPr>
        <w:t>2</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color w:val="auto"/>
          <w:sz w:val="24"/>
          <w:szCs w:val="24"/>
          <w:highlight w:val="none"/>
          <w:lang w:eastAsia="zh-CN"/>
        </w:rPr>
        <w:t>评标方法</w:t>
      </w:r>
    </w:p>
    <w:p w14:paraId="70E47119">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本项目评标方法为：综合评分法。</w:t>
      </w:r>
    </w:p>
    <w:p w14:paraId="06D3CBD7">
      <w:pPr>
        <w:spacing w:line="560" w:lineRule="exact"/>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bCs/>
          <w:color w:val="auto"/>
          <w:sz w:val="24"/>
          <w:szCs w:val="24"/>
          <w:highlight w:val="none"/>
          <w:lang w:eastAsia="zh-CN"/>
        </w:rPr>
        <w:t>3</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color w:val="auto"/>
          <w:sz w:val="24"/>
          <w:szCs w:val="24"/>
          <w:highlight w:val="none"/>
          <w:lang w:eastAsia="zh-CN"/>
        </w:rPr>
        <w:t>评标程序</w:t>
      </w:r>
      <w:bookmarkEnd w:id="159"/>
    </w:p>
    <w:p w14:paraId="063F9F0C">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3.1资格审查</w:t>
      </w:r>
    </w:p>
    <w:p w14:paraId="51C53BB7">
      <w:pPr>
        <w:keepNext/>
        <w:keepLines/>
        <w:spacing w:line="560" w:lineRule="exact"/>
        <w:jc w:val="center"/>
        <w:outlineLvl w:val="1"/>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资格审查表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3863"/>
        <w:gridCol w:w="4205"/>
      </w:tblGrid>
      <w:tr w14:paraId="22CF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07" w:type="pct"/>
            <w:noWrap w:val="0"/>
            <w:vAlign w:val="center"/>
          </w:tcPr>
          <w:p w14:paraId="586D75B2">
            <w:pPr>
              <w:autoSpaceDE w:val="0"/>
              <w:autoSpaceDN w:val="0"/>
              <w:adjustRightInd w:val="0"/>
              <w:snapToGrid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序号</w:t>
            </w:r>
          </w:p>
        </w:tc>
        <w:tc>
          <w:tcPr>
            <w:tcW w:w="2199" w:type="pct"/>
            <w:noWrap w:val="0"/>
            <w:vAlign w:val="center"/>
          </w:tcPr>
          <w:p w14:paraId="6D972029">
            <w:pPr>
              <w:autoSpaceDE w:val="0"/>
              <w:autoSpaceDN w:val="0"/>
              <w:adjustRightInd w:val="0"/>
              <w:snapToGrid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审查内容</w:t>
            </w:r>
          </w:p>
        </w:tc>
        <w:tc>
          <w:tcPr>
            <w:tcW w:w="2393" w:type="pct"/>
            <w:noWrap w:val="0"/>
            <w:vAlign w:val="center"/>
          </w:tcPr>
          <w:p w14:paraId="2718432F">
            <w:pPr>
              <w:autoSpaceDE w:val="0"/>
              <w:autoSpaceDN w:val="0"/>
              <w:adjustRightInd w:val="0"/>
              <w:snapToGrid w:val="0"/>
              <w:spacing w:line="46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审查标准</w:t>
            </w:r>
          </w:p>
        </w:tc>
      </w:tr>
      <w:tr w14:paraId="5D63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07" w:type="pct"/>
            <w:noWrap w:val="0"/>
            <w:vAlign w:val="center"/>
          </w:tcPr>
          <w:p w14:paraId="56297BF0">
            <w:pPr>
              <w:autoSpaceDE w:val="0"/>
              <w:autoSpaceDN w:val="0"/>
              <w:adjustRightInd w:val="0"/>
              <w:snapToGrid w:val="0"/>
              <w:spacing w:line="46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2199" w:type="pct"/>
            <w:noWrap w:val="0"/>
            <w:vAlign w:val="center"/>
          </w:tcPr>
          <w:p w14:paraId="2BB7971B">
            <w:pPr>
              <w:autoSpaceDE w:val="0"/>
              <w:autoSpaceDN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满足《中华人民共和国政府采购法》第二十二条规定；</w:t>
            </w:r>
          </w:p>
          <w:p w14:paraId="755C40D2">
            <w:pPr>
              <w:autoSpaceDE w:val="0"/>
              <w:autoSpaceDN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3B33F71B">
            <w:pPr>
              <w:autoSpaceDE w:val="0"/>
              <w:autoSpaceDN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4182D1B9">
            <w:pPr>
              <w:autoSpaceDE w:val="0"/>
              <w:autoSpaceDN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664613AD">
            <w:pPr>
              <w:autoSpaceDE w:val="0"/>
              <w:autoSpaceDN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6C5FF4D4">
            <w:pPr>
              <w:autoSpaceDE w:val="0"/>
              <w:autoSpaceDN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5FA169F0">
            <w:pPr>
              <w:autoSpaceDE w:val="0"/>
              <w:autoSpaceDN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(6)法律法规相关规定的其他条件</w:t>
            </w:r>
          </w:p>
        </w:tc>
        <w:tc>
          <w:tcPr>
            <w:tcW w:w="2393" w:type="pct"/>
            <w:noWrap w:val="0"/>
            <w:vAlign w:val="center"/>
          </w:tcPr>
          <w:p w14:paraId="1EFC192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为企业（包括合伙企业）的，应提供有效的“营业执照”；供应商为事业单位的，应提供有效的“事业单位法人证书”；供应商是非企业机构的，应提供有效的“执业许可证”、“登记证书”等证明材料;供应商是个体工商户的，应提供有效的“个体工商户营业执照”；供应商是自然人的，应提供有效的自然人身份证明。”</w:t>
            </w:r>
          </w:p>
          <w:p w14:paraId="783283C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分支机构参加投标的，应提供该分支机构或其所属法人/其他组织的相应证明材料；同时还应提供其所属法人/其他组织出具的授权其参与本项目的授权书（格式自拟，须加盖其所属法人/其他组织的公章）；</w:t>
            </w:r>
          </w:p>
          <w:p w14:paraId="3493DE0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良好的商业信誉：凡拟参加本次招标项目的供应商，未在“信用中国”网站（www.creditchina.gov.cn）被列入重大税收违法失信主体、政府采购严重违法失信名单的（尚在处罚期内的）、“中国政府采购网”（www.ccgp.gov.cn）被列入政府采购严重违法失信行为记录名单（尚在处罚期内的）以及未被列入“中国执行信息公开网”（http://zxgk.court.gov.cn/）失信被执行人名单。（以递交截止时间点采购代理机构查询为准，供应商无须提供）</w:t>
            </w:r>
          </w:p>
          <w:p w14:paraId="3C88B14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健全的财务会计制度：须提供本单位上一年度由会计师事务所出具的财务审计报告（当上一年度审计报告未出来时，可提供前一年度审计报告），审计报告须包括资产负债表、利润表、现金流量表、所有者权益变动（如有）及其附注。如供应商无法提供上年度审计报告，则需提供开标日前三个月内银行出具的资信证明。如供应商注册成立不足三个月的则提供承诺书（自拟）。</w:t>
            </w:r>
          </w:p>
          <w:p w14:paraId="4614A56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(3)须提供具备履行合同所必需的设备和专业技术能力的证明材料</w:t>
            </w:r>
            <w:r>
              <w:rPr>
                <w:rFonts w:hint="eastAsia" w:ascii="宋体" w:hAnsi="宋体" w:eastAsia="宋体" w:cs="宋体"/>
                <w:color w:val="auto"/>
                <w:sz w:val="24"/>
                <w:szCs w:val="24"/>
                <w:highlight w:val="none"/>
                <w:lang w:val="en-US" w:eastAsia="zh-CN"/>
              </w:rPr>
              <w:t>或者承诺函</w:t>
            </w:r>
            <w:r>
              <w:rPr>
                <w:rFonts w:hint="eastAsia" w:ascii="宋体" w:hAnsi="宋体" w:eastAsia="宋体" w:cs="宋体"/>
                <w:color w:val="auto"/>
                <w:sz w:val="24"/>
                <w:szCs w:val="24"/>
                <w:highlight w:val="none"/>
              </w:rPr>
              <w:t>。</w:t>
            </w:r>
          </w:p>
          <w:p w14:paraId="179528C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(4)须提供投标文件递交截止日期之前六个月内任意一个月的纳税记录或证明材料（依法免税的应提供相应文件说明），如供应商注册成立不足三个月的则提供承诺书（自拟）原件。</w:t>
            </w:r>
          </w:p>
          <w:p w14:paraId="1902BF3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提供投标文件递交截止日期之前六个月内为员工缴纳社会保障资金的证明材料（任意一个月即可），证明材料是缴纳社会保险的凭据（专用收据或社会保险缴纳清单或银行回单等）（依法不需要缴纳社会保障资金的应提供相应文件说明）；如供应商注册成立不足三个月的则提供承诺书（自拟）。</w:t>
            </w:r>
          </w:p>
          <w:p w14:paraId="74F3B8E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(5)须提供声明函。</w:t>
            </w:r>
          </w:p>
          <w:p w14:paraId="1FCB184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(6)须提供声明函。</w:t>
            </w:r>
          </w:p>
        </w:tc>
      </w:tr>
      <w:tr w14:paraId="2815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07" w:type="pct"/>
            <w:noWrap w:val="0"/>
            <w:vAlign w:val="center"/>
          </w:tcPr>
          <w:p w14:paraId="462C14CF">
            <w:pPr>
              <w:autoSpaceDE w:val="0"/>
              <w:autoSpaceDN w:val="0"/>
              <w:adjustRightInd w:val="0"/>
              <w:snapToGrid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199" w:type="pct"/>
            <w:noWrap w:val="0"/>
            <w:vAlign w:val="center"/>
          </w:tcPr>
          <w:p w14:paraId="40292EAE">
            <w:pPr>
              <w:autoSpaceDE w:val="0"/>
              <w:autoSpaceDN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本项目专门面向中小企业</w:t>
            </w:r>
            <w:r>
              <w:rPr>
                <w:rFonts w:hint="eastAsia" w:ascii="宋体" w:hAnsi="宋体" w:eastAsia="宋体" w:cs="宋体"/>
                <w:color w:val="auto"/>
                <w:sz w:val="24"/>
                <w:szCs w:val="24"/>
                <w:highlight w:val="none"/>
              </w:rPr>
              <w:t>；</w:t>
            </w:r>
          </w:p>
        </w:tc>
        <w:tc>
          <w:tcPr>
            <w:tcW w:w="2393" w:type="pct"/>
            <w:noWrap w:val="0"/>
            <w:vAlign w:val="center"/>
          </w:tcPr>
          <w:p w14:paraId="248B1246">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提供《中小企业声明函》</w:t>
            </w:r>
          </w:p>
        </w:tc>
      </w:tr>
      <w:tr w14:paraId="172B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407" w:type="pct"/>
            <w:noWrap w:val="0"/>
            <w:vAlign w:val="center"/>
          </w:tcPr>
          <w:p w14:paraId="299E1A54">
            <w:pPr>
              <w:autoSpaceDE w:val="0"/>
              <w:autoSpaceDN w:val="0"/>
              <w:adjustRightInd w:val="0"/>
              <w:snapToGrid w:val="0"/>
              <w:spacing w:line="460" w:lineRule="exact"/>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p>
        </w:tc>
        <w:tc>
          <w:tcPr>
            <w:tcW w:w="2199" w:type="pct"/>
            <w:noWrap w:val="0"/>
            <w:vAlign w:val="center"/>
          </w:tcPr>
          <w:p w14:paraId="76B3A805">
            <w:pP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本项目的特定资格要求：具备承装(修、试)电力设施许可证承试类</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级(含)以上许可</w:t>
            </w:r>
            <w:r>
              <w:rPr>
                <w:rFonts w:hint="eastAsia" w:ascii="宋体" w:hAnsi="宋体" w:cs="宋体"/>
                <w:color w:val="auto"/>
                <w:kern w:val="0"/>
                <w:sz w:val="24"/>
                <w:szCs w:val="24"/>
                <w:highlight w:val="none"/>
                <w:lang w:eastAsia="zh-CN"/>
              </w:rPr>
              <w:t>。</w:t>
            </w:r>
          </w:p>
        </w:tc>
        <w:tc>
          <w:tcPr>
            <w:tcW w:w="2393" w:type="pct"/>
            <w:noWrap w:val="0"/>
            <w:vAlign w:val="center"/>
          </w:tcPr>
          <w:p w14:paraId="6A58ED2A">
            <w:pPr>
              <w:numPr>
                <w:ilvl w:val="0"/>
                <w:numId w:val="0"/>
              </w:numPr>
              <w:autoSpaceDE w:val="0"/>
              <w:autoSpaceDN w:val="0"/>
              <w:adjustRightInd w:val="0"/>
              <w:snapToGrid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须同时提供：具备有效期内的承试类三级(含)以上许可证书。</w:t>
            </w:r>
          </w:p>
        </w:tc>
      </w:tr>
      <w:tr w14:paraId="2045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07" w:type="pct"/>
            <w:noWrap w:val="0"/>
            <w:vAlign w:val="center"/>
          </w:tcPr>
          <w:p w14:paraId="65B4395C">
            <w:pPr>
              <w:autoSpaceDE w:val="0"/>
              <w:autoSpaceDN w:val="0"/>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2199" w:type="pct"/>
            <w:noWrap w:val="0"/>
            <w:vAlign w:val="center"/>
          </w:tcPr>
          <w:p w14:paraId="39368C3C">
            <w:pP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本项目不接受联合体投标。</w:t>
            </w:r>
          </w:p>
        </w:tc>
        <w:tc>
          <w:tcPr>
            <w:tcW w:w="2393" w:type="pct"/>
            <w:noWrap w:val="0"/>
            <w:vAlign w:val="center"/>
          </w:tcPr>
          <w:p w14:paraId="24847C42">
            <w:pPr>
              <w:autoSpaceDE w:val="0"/>
              <w:autoSpaceDN w:val="0"/>
              <w:adjustRightInd w:val="0"/>
              <w:snapToGrid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r w14:paraId="3931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000" w:type="pct"/>
            <w:gridSpan w:val="3"/>
            <w:noWrap w:val="0"/>
            <w:vAlign w:val="center"/>
          </w:tcPr>
          <w:p w14:paraId="787FFD84">
            <w:pPr>
              <w:adjustRightInd w:val="0"/>
              <w:snapToGrid w:val="0"/>
              <w:spacing w:line="460" w:lineRule="exact"/>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en-US" w:eastAsia="zh-CN"/>
              </w:rPr>
              <w:t>注：如果资格性审查有一项未通过上述审查标准，评审委员会将认定整个投标文件不响应招标文件而予以无效处理，并且不允许投标供应商通过修改或撤销其不符合要求的差异或 保留，使之成为具有响应性的投标。</w:t>
            </w:r>
          </w:p>
        </w:tc>
      </w:tr>
    </w:tbl>
    <w:p w14:paraId="5E82A1A9">
      <w:pPr>
        <w:spacing w:line="560" w:lineRule="exact"/>
        <w:ind w:firstLine="480" w:firstLineChars="200"/>
        <w:rPr>
          <w:rFonts w:hint="eastAsia" w:ascii="宋体" w:hAnsi="宋体" w:eastAsia="宋体" w:cs="宋体"/>
          <w:color w:val="auto"/>
          <w:sz w:val="24"/>
          <w:szCs w:val="24"/>
          <w:highlight w:val="none"/>
          <w:lang w:eastAsia="zh-CN"/>
        </w:rPr>
      </w:pPr>
    </w:p>
    <w:p w14:paraId="1D995DDA">
      <w:pPr>
        <w:spacing w:line="560" w:lineRule="exact"/>
        <w:ind w:firstLine="480" w:firstLineChars="200"/>
        <w:rPr>
          <w:rFonts w:hint="eastAsia" w:ascii="宋体" w:hAnsi="宋体" w:eastAsia="宋体" w:cs="宋体"/>
          <w:strike/>
          <w:color w:val="auto"/>
          <w:sz w:val="24"/>
          <w:szCs w:val="24"/>
          <w:highlight w:val="none"/>
          <w:lang w:eastAsia="zh-CN"/>
        </w:rPr>
      </w:pPr>
      <w:r>
        <w:rPr>
          <w:rFonts w:hint="eastAsia" w:ascii="宋体" w:hAnsi="宋体" w:eastAsia="宋体" w:cs="宋体"/>
          <w:color w:val="auto"/>
          <w:sz w:val="24"/>
          <w:szCs w:val="24"/>
          <w:highlight w:val="none"/>
          <w:lang w:eastAsia="zh-CN"/>
        </w:rPr>
        <w:t>3.2符合性审查。依据招标文件的规定，从投标文件的有效性、完整性和对招标文件的响应程度进行审查，以确定是否对招标文件的实质性要求作出响应。</w:t>
      </w:r>
    </w:p>
    <w:p w14:paraId="1FB23529">
      <w:pPr>
        <w:spacing w:line="560" w:lineRule="exact"/>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符合性审查表</w:t>
      </w:r>
    </w:p>
    <w:tbl>
      <w:tblPr>
        <w:tblStyle w:val="36"/>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6"/>
        <w:gridCol w:w="8498"/>
      </w:tblGrid>
      <w:tr w14:paraId="3812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686" w:type="dxa"/>
            <w:vMerge w:val="restart"/>
            <w:vAlign w:val="center"/>
          </w:tcPr>
          <w:p w14:paraId="12AE2BE1">
            <w:pPr>
              <w:pStyle w:val="96"/>
              <w:spacing w:line="560" w:lineRule="exact"/>
              <w:jc w:val="center"/>
              <w:textAlignment w:val="center"/>
              <w:rPr>
                <w:rFonts w:hint="eastAsia" w:ascii="宋体" w:hAnsi="宋体" w:cs="宋体"/>
                <w:color w:val="auto"/>
                <w:highlight w:val="none"/>
              </w:rPr>
            </w:pPr>
            <w:r>
              <w:rPr>
                <w:rFonts w:hint="eastAsia" w:ascii="宋体" w:hAnsi="宋体" w:cs="宋体"/>
                <w:color w:val="auto"/>
                <w:highlight w:val="none"/>
              </w:rPr>
              <w:t>序号</w:t>
            </w:r>
          </w:p>
        </w:tc>
        <w:tc>
          <w:tcPr>
            <w:tcW w:w="8498" w:type="dxa"/>
            <w:vMerge w:val="restart"/>
            <w:vAlign w:val="center"/>
          </w:tcPr>
          <w:p w14:paraId="3ED6233E">
            <w:pPr>
              <w:pStyle w:val="96"/>
              <w:spacing w:line="560" w:lineRule="exact"/>
              <w:jc w:val="center"/>
              <w:textAlignment w:val="center"/>
              <w:rPr>
                <w:rFonts w:hint="eastAsia" w:ascii="宋体" w:hAnsi="宋体" w:cs="宋体"/>
                <w:color w:val="auto"/>
                <w:highlight w:val="none"/>
              </w:rPr>
            </w:pPr>
            <w:r>
              <w:rPr>
                <w:rFonts w:hint="eastAsia" w:ascii="宋体" w:hAnsi="宋体" w:cs="宋体"/>
                <w:color w:val="auto"/>
                <w:highlight w:val="none"/>
              </w:rPr>
              <w:t>审   查   标   准</w:t>
            </w:r>
          </w:p>
        </w:tc>
      </w:tr>
      <w:tr w14:paraId="3B67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686" w:type="dxa"/>
            <w:vMerge w:val="continue"/>
            <w:vAlign w:val="center"/>
          </w:tcPr>
          <w:p w14:paraId="4354548A">
            <w:pPr>
              <w:pStyle w:val="96"/>
              <w:spacing w:line="560" w:lineRule="exact"/>
              <w:jc w:val="center"/>
              <w:textAlignment w:val="center"/>
              <w:rPr>
                <w:rFonts w:hint="eastAsia" w:ascii="宋体" w:hAnsi="宋体" w:cs="宋体"/>
                <w:color w:val="auto"/>
                <w:highlight w:val="none"/>
              </w:rPr>
            </w:pPr>
          </w:p>
        </w:tc>
        <w:tc>
          <w:tcPr>
            <w:tcW w:w="8498" w:type="dxa"/>
            <w:vMerge w:val="continue"/>
            <w:vAlign w:val="center"/>
          </w:tcPr>
          <w:p w14:paraId="153C0A67">
            <w:pPr>
              <w:pStyle w:val="96"/>
              <w:spacing w:line="560" w:lineRule="exact"/>
              <w:jc w:val="center"/>
              <w:textAlignment w:val="center"/>
              <w:rPr>
                <w:rFonts w:hint="eastAsia" w:ascii="宋体" w:hAnsi="宋体" w:cs="宋体"/>
                <w:color w:val="auto"/>
                <w:highlight w:val="none"/>
              </w:rPr>
            </w:pPr>
          </w:p>
        </w:tc>
      </w:tr>
      <w:tr w14:paraId="6799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exact"/>
          <w:jc w:val="center"/>
        </w:trPr>
        <w:tc>
          <w:tcPr>
            <w:tcW w:w="686" w:type="dxa"/>
            <w:vAlign w:val="center"/>
          </w:tcPr>
          <w:p w14:paraId="16D118AD">
            <w:pPr>
              <w:pStyle w:val="96"/>
              <w:spacing w:line="560" w:lineRule="exact"/>
              <w:jc w:val="center"/>
              <w:textAlignment w:val="center"/>
              <w:rPr>
                <w:rFonts w:hint="eastAsia" w:ascii="宋体" w:hAnsi="宋体" w:cs="宋体"/>
                <w:color w:val="auto"/>
                <w:highlight w:val="none"/>
              </w:rPr>
            </w:pPr>
            <w:r>
              <w:rPr>
                <w:rFonts w:hint="eastAsia" w:ascii="宋体" w:hAnsi="宋体" w:cs="宋体"/>
                <w:color w:val="auto"/>
                <w:highlight w:val="none"/>
              </w:rPr>
              <w:t>1</w:t>
            </w:r>
          </w:p>
        </w:tc>
        <w:tc>
          <w:tcPr>
            <w:tcW w:w="8498" w:type="dxa"/>
            <w:vAlign w:val="center"/>
          </w:tcPr>
          <w:p w14:paraId="6EAC6B34">
            <w:pPr>
              <w:pStyle w:val="96"/>
              <w:spacing w:line="560" w:lineRule="exact"/>
              <w:textAlignment w:val="center"/>
              <w:rPr>
                <w:rFonts w:hint="eastAsia" w:ascii="宋体" w:hAnsi="宋体" w:cs="宋体"/>
                <w:color w:val="auto"/>
                <w:highlight w:val="none"/>
                <w:lang w:eastAsia="zh-CN"/>
              </w:rPr>
            </w:pPr>
            <w:r>
              <w:rPr>
                <w:rFonts w:hint="eastAsia" w:ascii="宋体" w:hAnsi="宋体" w:cs="宋体"/>
                <w:color w:val="auto"/>
                <w:highlight w:val="none"/>
                <w:lang w:eastAsia="zh-CN"/>
              </w:rPr>
              <w:t>按照招标文件规定的格式要求编制投标文件，实质性响应招标文件内容；</w:t>
            </w:r>
          </w:p>
        </w:tc>
      </w:tr>
      <w:tr w14:paraId="3152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86" w:type="dxa"/>
            <w:vAlign w:val="center"/>
          </w:tcPr>
          <w:p w14:paraId="0A9869A4">
            <w:pPr>
              <w:pStyle w:val="96"/>
              <w:spacing w:line="560" w:lineRule="exact"/>
              <w:jc w:val="center"/>
              <w:textAlignment w:val="center"/>
              <w:rPr>
                <w:rFonts w:hint="eastAsia" w:ascii="宋体" w:hAnsi="宋体" w:cs="宋体"/>
                <w:color w:val="auto"/>
                <w:highlight w:val="none"/>
              </w:rPr>
            </w:pPr>
            <w:r>
              <w:rPr>
                <w:rFonts w:hint="eastAsia" w:ascii="宋体" w:hAnsi="宋体" w:cs="宋体"/>
                <w:color w:val="auto"/>
                <w:highlight w:val="none"/>
              </w:rPr>
              <w:t>2</w:t>
            </w:r>
          </w:p>
        </w:tc>
        <w:tc>
          <w:tcPr>
            <w:tcW w:w="8498" w:type="dxa"/>
            <w:vAlign w:val="center"/>
          </w:tcPr>
          <w:p w14:paraId="14198010">
            <w:pPr>
              <w:pStyle w:val="96"/>
              <w:spacing w:line="560" w:lineRule="exact"/>
              <w:textAlignment w:val="center"/>
              <w:rPr>
                <w:rFonts w:hint="eastAsia" w:ascii="宋体" w:hAnsi="宋体" w:cs="宋体"/>
                <w:color w:val="auto"/>
                <w:highlight w:val="none"/>
                <w:lang w:eastAsia="zh-CN"/>
              </w:rPr>
            </w:pPr>
            <w:r>
              <w:rPr>
                <w:rFonts w:hint="eastAsia" w:ascii="宋体" w:hAnsi="宋体" w:cs="宋体"/>
                <w:color w:val="auto"/>
                <w:highlight w:val="none"/>
                <w:lang w:eastAsia="zh-CN"/>
              </w:rPr>
              <w:t>投标文件按招标文件要求签署、盖章；</w:t>
            </w:r>
          </w:p>
        </w:tc>
      </w:tr>
      <w:tr w14:paraId="060F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exact"/>
          <w:jc w:val="center"/>
        </w:trPr>
        <w:tc>
          <w:tcPr>
            <w:tcW w:w="686" w:type="dxa"/>
            <w:vAlign w:val="center"/>
          </w:tcPr>
          <w:p w14:paraId="4A732AAC">
            <w:pPr>
              <w:pStyle w:val="96"/>
              <w:spacing w:line="560" w:lineRule="exact"/>
              <w:jc w:val="center"/>
              <w:textAlignment w:val="center"/>
              <w:rPr>
                <w:rFonts w:hint="eastAsia" w:ascii="宋体" w:hAnsi="宋体" w:cs="宋体"/>
                <w:color w:val="auto"/>
                <w:highlight w:val="none"/>
              </w:rPr>
            </w:pPr>
            <w:r>
              <w:rPr>
                <w:rFonts w:hint="eastAsia" w:ascii="宋体" w:hAnsi="宋体" w:cs="宋体"/>
                <w:color w:val="auto"/>
                <w:highlight w:val="none"/>
              </w:rPr>
              <w:t>3</w:t>
            </w:r>
          </w:p>
        </w:tc>
        <w:tc>
          <w:tcPr>
            <w:tcW w:w="8498" w:type="dxa"/>
            <w:vAlign w:val="center"/>
          </w:tcPr>
          <w:p w14:paraId="3F38EE03">
            <w:pPr>
              <w:pStyle w:val="96"/>
              <w:spacing w:line="560" w:lineRule="exact"/>
              <w:textAlignment w:val="center"/>
              <w:rPr>
                <w:rFonts w:hint="eastAsia" w:ascii="宋体" w:hAnsi="宋体" w:cs="宋体"/>
                <w:color w:val="auto"/>
                <w:highlight w:val="none"/>
                <w:lang w:eastAsia="zh-CN"/>
              </w:rPr>
            </w:pPr>
            <w:r>
              <w:rPr>
                <w:rFonts w:hint="eastAsia" w:ascii="宋体" w:hAnsi="宋体" w:cs="宋体"/>
                <w:color w:val="auto"/>
                <w:highlight w:val="none"/>
                <w:lang w:eastAsia="zh-CN"/>
              </w:rPr>
              <w:t>按照招标文件的规定提交投标保证金；</w:t>
            </w:r>
          </w:p>
        </w:tc>
      </w:tr>
      <w:tr w14:paraId="66B7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exact"/>
          <w:jc w:val="center"/>
        </w:trPr>
        <w:tc>
          <w:tcPr>
            <w:tcW w:w="686" w:type="dxa"/>
            <w:vAlign w:val="center"/>
          </w:tcPr>
          <w:p w14:paraId="266B0DFD">
            <w:pPr>
              <w:pStyle w:val="96"/>
              <w:spacing w:line="560" w:lineRule="exact"/>
              <w:jc w:val="center"/>
              <w:textAlignment w:val="center"/>
              <w:rPr>
                <w:rFonts w:hint="eastAsia" w:ascii="宋体" w:hAnsi="宋体" w:cs="宋体"/>
                <w:color w:val="auto"/>
                <w:highlight w:val="none"/>
              </w:rPr>
            </w:pPr>
            <w:r>
              <w:rPr>
                <w:rFonts w:hint="eastAsia" w:ascii="宋体" w:hAnsi="宋体" w:cs="宋体"/>
                <w:color w:val="auto"/>
                <w:highlight w:val="none"/>
              </w:rPr>
              <w:t>4</w:t>
            </w:r>
          </w:p>
        </w:tc>
        <w:tc>
          <w:tcPr>
            <w:tcW w:w="8498" w:type="dxa"/>
            <w:vAlign w:val="center"/>
          </w:tcPr>
          <w:p w14:paraId="74045EDA">
            <w:pPr>
              <w:pStyle w:val="96"/>
              <w:textAlignment w:val="center"/>
              <w:rPr>
                <w:rFonts w:hint="eastAsia" w:ascii="宋体" w:hAnsi="宋体" w:cs="宋体"/>
                <w:color w:val="auto"/>
                <w:highlight w:val="none"/>
                <w:lang w:eastAsia="zh-CN"/>
              </w:rPr>
            </w:pPr>
            <w:r>
              <w:rPr>
                <w:rFonts w:hint="eastAsia" w:ascii="宋体" w:hAnsi="宋体" w:cs="宋体"/>
                <w:color w:val="auto"/>
                <w:highlight w:val="none"/>
                <w:lang w:eastAsia="zh-CN"/>
              </w:rPr>
              <w:t>报价未超过招标文件中规定的最高限价，</w:t>
            </w:r>
            <w:r>
              <w:rPr>
                <w:rFonts w:hint="eastAsia" w:ascii="宋体" w:hAnsi="宋体" w:cs="宋体"/>
                <w:color w:val="auto"/>
                <w:highlight w:val="none"/>
                <w:lang w:val="zh-CN" w:eastAsia="zh-CN"/>
              </w:rPr>
              <w:t>任何有选择的报价或有附加条件的报价，视为无效报价</w:t>
            </w:r>
            <w:r>
              <w:rPr>
                <w:rFonts w:hint="eastAsia" w:ascii="宋体" w:hAnsi="宋体" w:cs="宋体"/>
                <w:color w:val="auto"/>
                <w:highlight w:val="none"/>
                <w:lang w:eastAsia="zh-CN"/>
              </w:rPr>
              <w:t>；</w:t>
            </w:r>
          </w:p>
        </w:tc>
      </w:tr>
      <w:tr w14:paraId="37C6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exact"/>
          <w:jc w:val="center"/>
        </w:trPr>
        <w:tc>
          <w:tcPr>
            <w:tcW w:w="686" w:type="dxa"/>
            <w:vAlign w:val="center"/>
          </w:tcPr>
          <w:p w14:paraId="30F53553">
            <w:pPr>
              <w:pStyle w:val="96"/>
              <w:spacing w:line="560" w:lineRule="exact"/>
              <w:jc w:val="center"/>
              <w:textAlignment w:val="center"/>
              <w:rPr>
                <w:rFonts w:hint="eastAsia" w:ascii="宋体" w:hAnsi="宋体" w:cs="宋体"/>
                <w:color w:val="auto"/>
                <w:highlight w:val="none"/>
              </w:rPr>
            </w:pPr>
            <w:r>
              <w:rPr>
                <w:rFonts w:hint="eastAsia" w:ascii="宋体" w:hAnsi="宋体" w:cs="宋体"/>
                <w:color w:val="auto"/>
                <w:highlight w:val="none"/>
              </w:rPr>
              <w:t>5</w:t>
            </w:r>
          </w:p>
        </w:tc>
        <w:tc>
          <w:tcPr>
            <w:tcW w:w="8498" w:type="dxa"/>
            <w:vAlign w:val="center"/>
          </w:tcPr>
          <w:p w14:paraId="4A0B8A51">
            <w:pPr>
              <w:pStyle w:val="96"/>
              <w:spacing w:line="560" w:lineRule="exact"/>
              <w:textAlignment w:val="center"/>
              <w:rPr>
                <w:rFonts w:hint="eastAsia" w:ascii="宋体" w:hAnsi="宋体" w:cs="宋体"/>
                <w:color w:val="auto"/>
                <w:highlight w:val="none"/>
                <w:lang w:eastAsia="zh-CN"/>
              </w:rPr>
            </w:pPr>
            <w:r>
              <w:rPr>
                <w:rFonts w:hint="eastAsia" w:ascii="宋体" w:hAnsi="宋体" w:cs="宋体"/>
                <w:color w:val="auto"/>
                <w:highlight w:val="none"/>
                <w:lang w:eastAsia="zh-CN"/>
              </w:rPr>
              <w:t>服务期、投标有效期符合招标文件要求；</w:t>
            </w:r>
          </w:p>
        </w:tc>
      </w:tr>
      <w:tr w14:paraId="2BC5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jc w:val="center"/>
        </w:trPr>
        <w:tc>
          <w:tcPr>
            <w:tcW w:w="686" w:type="dxa"/>
            <w:vAlign w:val="center"/>
          </w:tcPr>
          <w:p w14:paraId="478A7B4A">
            <w:pPr>
              <w:pStyle w:val="96"/>
              <w:spacing w:line="560" w:lineRule="exact"/>
              <w:jc w:val="center"/>
              <w:textAlignment w:val="center"/>
              <w:rPr>
                <w:rFonts w:hint="eastAsia" w:ascii="宋体" w:hAnsi="宋体" w:cs="宋体"/>
                <w:color w:val="auto"/>
                <w:highlight w:val="none"/>
              </w:rPr>
            </w:pPr>
            <w:r>
              <w:rPr>
                <w:rFonts w:hint="eastAsia" w:ascii="宋体" w:hAnsi="宋体" w:cs="宋体"/>
                <w:color w:val="auto"/>
                <w:highlight w:val="none"/>
              </w:rPr>
              <w:t>6</w:t>
            </w:r>
          </w:p>
        </w:tc>
        <w:tc>
          <w:tcPr>
            <w:tcW w:w="8498" w:type="dxa"/>
            <w:vAlign w:val="center"/>
          </w:tcPr>
          <w:p w14:paraId="26A890BD">
            <w:pPr>
              <w:pStyle w:val="96"/>
              <w:spacing w:line="560" w:lineRule="exact"/>
              <w:textAlignment w:val="center"/>
              <w:rPr>
                <w:rFonts w:hint="eastAsia" w:ascii="宋体" w:hAnsi="宋体" w:cs="宋体"/>
                <w:color w:val="auto"/>
                <w:highlight w:val="none"/>
                <w:lang w:eastAsia="zh-CN"/>
              </w:rPr>
            </w:pPr>
            <w:r>
              <w:rPr>
                <w:rFonts w:hint="eastAsia" w:ascii="宋体" w:hAnsi="宋体" w:cs="宋体"/>
                <w:color w:val="auto"/>
                <w:highlight w:val="none"/>
                <w:lang w:eastAsia="zh-CN"/>
              </w:rPr>
              <w:t>投标文件不存在采购人不能接受的附加条件。</w:t>
            </w:r>
          </w:p>
        </w:tc>
      </w:tr>
      <w:tr w14:paraId="121D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exact"/>
          <w:jc w:val="center"/>
        </w:trPr>
        <w:tc>
          <w:tcPr>
            <w:tcW w:w="9184" w:type="dxa"/>
            <w:gridSpan w:val="2"/>
            <w:vAlign w:val="center"/>
          </w:tcPr>
          <w:p w14:paraId="4F29CFFF">
            <w:pPr>
              <w:pStyle w:val="96"/>
              <w:textAlignment w:val="center"/>
              <w:rPr>
                <w:rFonts w:hint="eastAsia" w:ascii="宋体" w:hAnsi="宋体" w:cs="宋体"/>
                <w:color w:val="auto"/>
                <w:highlight w:val="none"/>
                <w:lang w:eastAsia="zh-CN"/>
              </w:rPr>
            </w:pPr>
            <w:r>
              <w:rPr>
                <w:rFonts w:hint="eastAsia" w:ascii="宋体" w:hAnsi="宋体" w:cs="宋体"/>
                <w:color w:val="auto"/>
                <w:highlight w:val="none"/>
                <w:lang w:eastAsia="zh-CN"/>
              </w:rPr>
              <w:t>注：如果符合性审查中有一项未通过上述审查标准，评审委员会将认定整个投标文件不响应招标文件而予以无效处理，并且不允许投标供应商通过修改或撤销其不符合要求的差异或保留，使之成为具有响应性的投标。</w:t>
            </w:r>
          </w:p>
        </w:tc>
      </w:tr>
    </w:tbl>
    <w:p w14:paraId="0639E1F0">
      <w:pPr>
        <w:pStyle w:val="12"/>
        <w:tabs>
          <w:tab w:val="left" w:pos="600"/>
        </w:tabs>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3.2.1在投标文件符合性审查过程中，如果出现评标委员会成员意见不一致的情况，按照少数服从多数的原则确定，但不得违背政府采购基本原则和招标文件规定。</w:t>
      </w:r>
    </w:p>
    <w:p w14:paraId="759D69FC">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3.3澄清有关问题。对投标文件中含义不明确、同类问题表述不一致或者有明显文字和计算错误的内容，评标委员会可以书面形式（应当由评标委员会签字）要求投标人作出必要的澄清、说明或者补正。投标人的澄清、说明或者补正应当采用书面形式，由其授权人或者被授权人签字，并不得超出投标文件的范围或者改变投标文件的实质性内容。</w:t>
      </w:r>
    </w:p>
    <w:p w14:paraId="32F7D26C">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3.4比较与评价。按招标文件中规定的评标方法和标准，对符合性审查合格的投标文件进行综合比较与评价。</w:t>
      </w:r>
    </w:p>
    <w:p w14:paraId="68504609">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3.5推荐中标候选人名单。中标候选人数量应当根据招标文件确定，但必须按顺序排列中标候选人。</w:t>
      </w:r>
    </w:p>
    <w:p w14:paraId="6A9BA813">
      <w:pPr>
        <w:pStyle w:val="92"/>
        <w:spacing w:line="560" w:lineRule="exact"/>
        <w:rPr>
          <w:rFonts w:hint="eastAsia" w:ascii="宋体" w:hAnsi="宋体" w:eastAsia="宋体" w:cs="宋体"/>
          <w:b/>
          <w:bCs/>
          <w:color w:val="auto"/>
          <w:szCs w:val="24"/>
          <w:highlight w:val="none"/>
          <w:lang w:eastAsia="zh-CN"/>
        </w:rPr>
      </w:pPr>
      <w:r>
        <w:rPr>
          <w:rFonts w:hint="eastAsia" w:ascii="宋体" w:hAnsi="宋体" w:eastAsia="宋体" w:cs="宋体"/>
          <w:color w:val="auto"/>
          <w:szCs w:val="24"/>
          <w:highlight w:val="none"/>
          <w:lang w:eastAsia="zh-CN"/>
        </w:rPr>
        <w:t>3.5.1评标委员会根据综合评分情况，按照评标得分由高到低顺序推荐3名中标候选人，并编写评标报告。得分相同的，按投标报价由低到高顺序排列。得分且投标报价相同的</w:t>
      </w:r>
      <w:r>
        <w:rPr>
          <w:rFonts w:hint="eastAsia" w:ascii="宋体" w:hAnsi="宋体" w:eastAsia="宋体" w:cs="宋体"/>
          <w:color w:val="auto"/>
          <w:szCs w:val="24"/>
          <w:highlight w:val="none"/>
          <w:shd w:val="clear" w:color="auto" w:fill="FAFAFA"/>
          <w:lang w:eastAsia="zh-CN"/>
        </w:rPr>
        <w:t>，按照技术指标优劣顺序推荐</w:t>
      </w:r>
      <w:r>
        <w:rPr>
          <w:rFonts w:hint="eastAsia" w:ascii="宋体" w:hAnsi="宋体" w:eastAsia="宋体" w:cs="宋体"/>
          <w:color w:val="auto"/>
          <w:szCs w:val="24"/>
          <w:highlight w:val="none"/>
          <w:lang w:eastAsia="zh-CN"/>
        </w:rPr>
        <w:t>。</w:t>
      </w:r>
    </w:p>
    <w:p w14:paraId="708BD4D0">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3.6编写评标报告。评标报告是评标委员会根据评标委员成员签字的原始评标记录和评标结果编写的报告，其主要内容包括：</w:t>
      </w:r>
    </w:p>
    <w:p w14:paraId="3F702FB1">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（1）项目概况、开标日期和地点；</w:t>
      </w:r>
    </w:p>
    <w:p w14:paraId="4DE26427">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（2）参与竞争的的投标人名单和评标委员会成员名单；</w:t>
      </w:r>
    </w:p>
    <w:p w14:paraId="0129179F">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（3）评审因素和评分标准；</w:t>
      </w:r>
    </w:p>
    <w:p w14:paraId="207BCE02">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（4）开标记录和评标情况及说明，包括投标无效投标人名单及原因；</w:t>
      </w:r>
    </w:p>
    <w:p w14:paraId="489AF2C0">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（5）评标结果和中标候选人排序。</w:t>
      </w:r>
    </w:p>
    <w:p w14:paraId="7B5F94CA">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 评标细则及标准</w:t>
      </w:r>
    </w:p>
    <w:p w14:paraId="1CDBF43C">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 评标委员会只对通过符合性审查的投标文件，根据招标文件的要求采用相同的评标程序、评分办法及标准进行评价和比较。</w:t>
      </w:r>
    </w:p>
    <w:p w14:paraId="3D35562C">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4.2 本次综合评分的因素是：商务、价格、技术服务、业绩、对招标文件的响应程度以及投标文件规范性等。</w:t>
      </w:r>
    </w:p>
    <w:p w14:paraId="4237AE8D">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 除价格因素外，评标委员会成员应依据投标文件规定的评审因素和评分标准进行比较打分。</w:t>
      </w:r>
    </w:p>
    <w:p w14:paraId="6D302585">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4.4 评标细则及标准的制定以科学合理、降低评标委员会自由裁量权为原则。</w:t>
      </w:r>
    </w:p>
    <w:p w14:paraId="6B1C5866">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4.5 评标委员会将按照下述评分标准对通过符合性审查的投标文件进行详细评标，投标人评标得分等于所有评委评分的算术平均值，结果保留两位小数。</w:t>
      </w:r>
    </w:p>
    <w:p w14:paraId="39782F46">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评审因素权重表</w:t>
      </w:r>
    </w:p>
    <w:tbl>
      <w:tblPr>
        <w:tblStyle w:val="36"/>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2225"/>
        <w:gridCol w:w="2527"/>
        <w:gridCol w:w="3042"/>
      </w:tblGrid>
      <w:tr w14:paraId="253A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10" w:type="dxa"/>
            <w:tcBorders>
              <w:top w:val="single" w:color="auto" w:sz="4" w:space="0"/>
              <w:left w:val="single" w:color="auto" w:sz="4" w:space="0"/>
              <w:bottom w:val="single" w:color="auto" w:sz="4" w:space="0"/>
              <w:right w:val="single" w:color="auto" w:sz="4" w:space="0"/>
            </w:tcBorders>
            <w:vAlign w:val="center"/>
          </w:tcPr>
          <w:p w14:paraId="52BA71C3">
            <w:pPr>
              <w:spacing w:line="56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序号</w:t>
            </w:r>
          </w:p>
        </w:tc>
        <w:tc>
          <w:tcPr>
            <w:tcW w:w="2225" w:type="dxa"/>
            <w:tcBorders>
              <w:top w:val="single" w:color="auto" w:sz="4" w:space="0"/>
              <w:left w:val="single" w:color="auto" w:sz="4" w:space="0"/>
              <w:bottom w:val="single" w:color="auto" w:sz="4" w:space="0"/>
              <w:right w:val="single" w:color="auto" w:sz="4" w:space="0"/>
            </w:tcBorders>
            <w:vAlign w:val="center"/>
          </w:tcPr>
          <w:p w14:paraId="55AB1DCE">
            <w:pPr>
              <w:spacing w:line="56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w:t>
            </w:r>
          </w:p>
        </w:tc>
        <w:tc>
          <w:tcPr>
            <w:tcW w:w="2527" w:type="dxa"/>
            <w:tcBorders>
              <w:top w:val="single" w:color="auto" w:sz="4" w:space="0"/>
              <w:left w:val="single" w:color="auto" w:sz="4" w:space="0"/>
              <w:bottom w:val="single" w:color="auto" w:sz="4" w:space="0"/>
              <w:right w:val="single" w:color="auto" w:sz="4" w:space="0"/>
            </w:tcBorders>
            <w:vAlign w:val="center"/>
          </w:tcPr>
          <w:p w14:paraId="20A34B1E">
            <w:pPr>
              <w:spacing w:line="56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w:t>
            </w:r>
          </w:p>
        </w:tc>
        <w:tc>
          <w:tcPr>
            <w:tcW w:w="3042" w:type="dxa"/>
            <w:tcBorders>
              <w:top w:val="single" w:color="auto" w:sz="4" w:space="0"/>
              <w:left w:val="single" w:color="auto" w:sz="4" w:space="0"/>
              <w:bottom w:val="single" w:color="auto" w:sz="4" w:space="0"/>
              <w:right w:val="single" w:color="auto" w:sz="4" w:space="0"/>
            </w:tcBorders>
            <w:vAlign w:val="center"/>
          </w:tcPr>
          <w:p w14:paraId="33858B3A">
            <w:pPr>
              <w:spacing w:line="56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w:t>
            </w:r>
          </w:p>
        </w:tc>
      </w:tr>
      <w:tr w14:paraId="65D0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10" w:type="dxa"/>
            <w:tcBorders>
              <w:top w:val="single" w:color="auto" w:sz="4" w:space="0"/>
              <w:left w:val="single" w:color="auto" w:sz="4" w:space="0"/>
              <w:bottom w:val="single" w:color="auto" w:sz="4" w:space="0"/>
              <w:right w:val="single" w:color="auto" w:sz="4" w:space="0"/>
            </w:tcBorders>
            <w:vAlign w:val="center"/>
          </w:tcPr>
          <w:p w14:paraId="61D32587">
            <w:pPr>
              <w:spacing w:line="56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评审因素</w:t>
            </w:r>
          </w:p>
        </w:tc>
        <w:tc>
          <w:tcPr>
            <w:tcW w:w="2225" w:type="dxa"/>
            <w:tcBorders>
              <w:top w:val="single" w:color="auto" w:sz="4" w:space="0"/>
              <w:left w:val="single" w:color="auto" w:sz="4" w:space="0"/>
              <w:bottom w:val="single" w:color="auto" w:sz="4" w:space="0"/>
              <w:right w:val="single" w:color="auto" w:sz="4" w:space="0"/>
            </w:tcBorders>
            <w:vAlign w:val="center"/>
          </w:tcPr>
          <w:p w14:paraId="7C53886D">
            <w:pPr>
              <w:spacing w:line="56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投标报价</w:t>
            </w:r>
          </w:p>
        </w:tc>
        <w:tc>
          <w:tcPr>
            <w:tcW w:w="2527" w:type="dxa"/>
            <w:tcBorders>
              <w:top w:val="single" w:color="auto" w:sz="4" w:space="0"/>
              <w:left w:val="single" w:color="auto" w:sz="4" w:space="0"/>
              <w:bottom w:val="single" w:color="auto" w:sz="4" w:space="0"/>
              <w:right w:val="single" w:color="auto" w:sz="4" w:space="0"/>
            </w:tcBorders>
            <w:vAlign w:val="center"/>
          </w:tcPr>
          <w:p w14:paraId="2BA5BC61">
            <w:pPr>
              <w:spacing w:line="56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技术、商务部分</w:t>
            </w:r>
          </w:p>
        </w:tc>
        <w:tc>
          <w:tcPr>
            <w:tcW w:w="3042" w:type="dxa"/>
            <w:tcBorders>
              <w:top w:val="single" w:color="auto" w:sz="4" w:space="0"/>
              <w:left w:val="single" w:color="auto" w:sz="4" w:space="0"/>
              <w:bottom w:val="single" w:color="auto" w:sz="4" w:space="0"/>
              <w:right w:val="single" w:color="auto" w:sz="4" w:space="0"/>
            </w:tcBorders>
            <w:vAlign w:val="center"/>
          </w:tcPr>
          <w:p w14:paraId="1038959B">
            <w:pPr>
              <w:spacing w:line="56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合计</w:t>
            </w:r>
          </w:p>
        </w:tc>
      </w:tr>
      <w:tr w14:paraId="3D71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810" w:type="dxa"/>
            <w:tcBorders>
              <w:top w:val="single" w:color="auto" w:sz="4" w:space="0"/>
              <w:left w:val="single" w:color="auto" w:sz="4" w:space="0"/>
              <w:bottom w:val="single" w:color="auto" w:sz="4" w:space="0"/>
              <w:right w:val="single" w:color="auto" w:sz="4" w:space="0"/>
            </w:tcBorders>
            <w:vAlign w:val="center"/>
          </w:tcPr>
          <w:p w14:paraId="79FF24C0">
            <w:pPr>
              <w:spacing w:line="56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权重</w:t>
            </w:r>
          </w:p>
        </w:tc>
        <w:tc>
          <w:tcPr>
            <w:tcW w:w="2225" w:type="dxa"/>
            <w:tcBorders>
              <w:top w:val="single" w:color="auto" w:sz="4" w:space="0"/>
              <w:left w:val="single" w:color="auto" w:sz="4" w:space="0"/>
              <w:bottom w:val="single" w:color="auto" w:sz="4" w:space="0"/>
              <w:right w:val="single" w:color="auto" w:sz="4" w:space="0"/>
            </w:tcBorders>
            <w:vAlign w:val="center"/>
          </w:tcPr>
          <w:p w14:paraId="4C31C20D">
            <w:pPr>
              <w:spacing w:line="56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lang w:eastAsia="zh-CN"/>
              </w:rPr>
              <w:t>0</w:t>
            </w:r>
            <w:r>
              <w:rPr>
                <w:rFonts w:hint="eastAsia" w:ascii="宋体" w:hAnsi="宋体" w:eastAsia="宋体" w:cs="宋体"/>
                <w:color w:val="auto"/>
                <w:spacing w:val="6"/>
                <w:sz w:val="24"/>
                <w:szCs w:val="24"/>
                <w:highlight w:val="none"/>
              </w:rPr>
              <w:t>%</w:t>
            </w:r>
          </w:p>
        </w:tc>
        <w:tc>
          <w:tcPr>
            <w:tcW w:w="2527" w:type="dxa"/>
            <w:tcBorders>
              <w:top w:val="single" w:color="auto" w:sz="4" w:space="0"/>
              <w:left w:val="single" w:color="auto" w:sz="4" w:space="0"/>
              <w:bottom w:val="single" w:color="auto" w:sz="4" w:space="0"/>
              <w:right w:val="single" w:color="auto" w:sz="4" w:space="0"/>
            </w:tcBorders>
            <w:vAlign w:val="center"/>
          </w:tcPr>
          <w:p w14:paraId="2BEE4092">
            <w:pPr>
              <w:spacing w:line="56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8</w:t>
            </w:r>
            <w:r>
              <w:rPr>
                <w:rFonts w:hint="eastAsia" w:ascii="宋体" w:hAnsi="宋体" w:eastAsia="宋体" w:cs="宋体"/>
                <w:color w:val="auto"/>
                <w:spacing w:val="6"/>
                <w:sz w:val="24"/>
                <w:szCs w:val="24"/>
                <w:highlight w:val="none"/>
              </w:rPr>
              <w:t>0%</w:t>
            </w:r>
          </w:p>
        </w:tc>
        <w:tc>
          <w:tcPr>
            <w:tcW w:w="3042" w:type="dxa"/>
            <w:tcBorders>
              <w:top w:val="single" w:color="auto" w:sz="4" w:space="0"/>
              <w:left w:val="single" w:color="auto" w:sz="4" w:space="0"/>
              <w:bottom w:val="single" w:color="auto" w:sz="4" w:space="0"/>
              <w:right w:val="single" w:color="auto" w:sz="4" w:space="0"/>
            </w:tcBorders>
            <w:vAlign w:val="center"/>
          </w:tcPr>
          <w:p w14:paraId="6E2FDE54">
            <w:pPr>
              <w:spacing w:line="56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100%</w:t>
            </w:r>
          </w:p>
        </w:tc>
      </w:tr>
    </w:tbl>
    <w:p w14:paraId="39CC0C44">
      <w:pPr>
        <w:spacing w:line="5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63FF6C9C">
      <w:pPr>
        <w:pStyle w:val="12"/>
        <w:tabs>
          <w:tab w:val="left" w:pos="600"/>
        </w:tabs>
        <w:spacing w:line="560" w:lineRule="exact"/>
        <w:ind w:firstLine="0"/>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商务、技术部分评审标准（</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0分）</w:t>
      </w:r>
    </w:p>
    <w:p w14:paraId="115E50C4">
      <w:pPr>
        <w:pStyle w:val="13"/>
        <w:rPr>
          <w:color w:val="auto"/>
          <w:highlight w:val="none"/>
        </w:rPr>
      </w:pPr>
    </w:p>
    <w:tbl>
      <w:tblPr>
        <w:tblStyle w:val="36"/>
        <w:tblW w:w="10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606"/>
        <w:gridCol w:w="877"/>
        <w:gridCol w:w="795"/>
        <w:gridCol w:w="7520"/>
      </w:tblGrid>
      <w:tr w14:paraId="26FE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20" w:type="dxa"/>
            <w:tcBorders>
              <w:top w:val="single" w:color="auto" w:sz="4" w:space="0"/>
              <w:left w:val="single" w:color="auto" w:sz="4" w:space="0"/>
              <w:right w:val="single" w:color="auto" w:sz="4" w:space="0"/>
            </w:tcBorders>
            <w:vAlign w:val="center"/>
          </w:tcPr>
          <w:p w14:paraId="58F689B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w:t>
            </w:r>
          </w:p>
        </w:tc>
        <w:tc>
          <w:tcPr>
            <w:tcW w:w="606" w:type="dxa"/>
            <w:tcBorders>
              <w:top w:val="single" w:color="auto" w:sz="4" w:space="0"/>
              <w:left w:val="single" w:color="auto" w:sz="4" w:space="0"/>
              <w:right w:val="single" w:color="auto" w:sz="4" w:space="0"/>
            </w:tcBorders>
            <w:vAlign w:val="center"/>
          </w:tcPr>
          <w:p w14:paraId="050D302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77" w:type="dxa"/>
            <w:tcBorders>
              <w:top w:val="single" w:color="auto" w:sz="4" w:space="0"/>
              <w:left w:val="single" w:color="auto" w:sz="4" w:space="0"/>
              <w:bottom w:val="single" w:color="auto" w:sz="4" w:space="0"/>
              <w:right w:val="single" w:color="auto" w:sz="4" w:space="0"/>
            </w:tcBorders>
            <w:vAlign w:val="center"/>
          </w:tcPr>
          <w:p w14:paraId="65FD34B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评审项目</w:t>
            </w:r>
          </w:p>
        </w:tc>
        <w:tc>
          <w:tcPr>
            <w:tcW w:w="795" w:type="dxa"/>
            <w:tcBorders>
              <w:top w:val="single" w:color="auto" w:sz="4" w:space="0"/>
              <w:left w:val="single" w:color="auto" w:sz="4" w:space="0"/>
              <w:bottom w:val="single" w:color="auto" w:sz="4" w:space="0"/>
              <w:right w:val="single" w:color="auto" w:sz="4" w:space="0"/>
            </w:tcBorders>
            <w:vAlign w:val="center"/>
          </w:tcPr>
          <w:p w14:paraId="65F1231C">
            <w:pP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0分）</w:t>
            </w:r>
          </w:p>
        </w:tc>
        <w:tc>
          <w:tcPr>
            <w:tcW w:w="7520" w:type="dxa"/>
            <w:tcBorders>
              <w:top w:val="single" w:color="auto" w:sz="4" w:space="0"/>
              <w:left w:val="single" w:color="auto" w:sz="4" w:space="0"/>
              <w:bottom w:val="single" w:color="auto" w:sz="4" w:space="0"/>
              <w:right w:val="single" w:color="auto" w:sz="4" w:space="0"/>
            </w:tcBorders>
            <w:vAlign w:val="center"/>
          </w:tcPr>
          <w:p w14:paraId="6EDCC85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49EB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20" w:type="dxa"/>
            <w:vMerge w:val="restart"/>
            <w:tcBorders>
              <w:left w:val="single" w:color="auto" w:sz="4" w:space="0"/>
              <w:right w:val="single" w:color="auto" w:sz="4" w:space="0"/>
            </w:tcBorders>
            <w:vAlign w:val="center"/>
          </w:tcPr>
          <w:p w14:paraId="00E73F8C">
            <w:pPr>
              <w:spacing w:line="240" w:lineRule="auto"/>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商务部分</w:t>
            </w:r>
          </w:p>
        </w:tc>
        <w:tc>
          <w:tcPr>
            <w:tcW w:w="606" w:type="dxa"/>
            <w:tcBorders>
              <w:left w:val="single" w:color="auto" w:sz="4" w:space="0"/>
              <w:right w:val="single" w:color="auto" w:sz="4" w:space="0"/>
            </w:tcBorders>
            <w:vAlign w:val="center"/>
          </w:tcPr>
          <w:p w14:paraId="427D80ED">
            <w:pPr>
              <w:spacing w:line="240" w:lineRule="auto"/>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w:t>
            </w:r>
          </w:p>
        </w:tc>
        <w:tc>
          <w:tcPr>
            <w:tcW w:w="877" w:type="dxa"/>
            <w:tcBorders>
              <w:top w:val="single" w:color="auto" w:sz="4" w:space="0"/>
              <w:left w:val="single" w:color="auto" w:sz="4" w:space="0"/>
              <w:bottom w:val="single" w:color="auto" w:sz="4" w:space="0"/>
              <w:right w:val="single" w:color="auto" w:sz="4" w:space="0"/>
            </w:tcBorders>
            <w:vAlign w:val="center"/>
          </w:tcPr>
          <w:p w14:paraId="63C7DE3C">
            <w:pPr>
              <w:spacing w:line="240" w:lineRule="auto"/>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类似业绩</w:t>
            </w:r>
          </w:p>
        </w:tc>
        <w:tc>
          <w:tcPr>
            <w:tcW w:w="795" w:type="dxa"/>
            <w:tcBorders>
              <w:top w:val="single" w:color="auto" w:sz="4" w:space="0"/>
              <w:left w:val="single" w:color="auto" w:sz="4" w:space="0"/>
              <w:bottom w:val="single" w:color="auto" w:sz="4" w:space="0"/>
              <w:right w:val="single" w:color="auto" w:sz="4" w:space="0"/>
            </w:tcBorders>
            <w:vAlign w:val="center"/>
          </w:tcPr>
          <w:p w14:paraId="05A59CCF">
            <w:pPr>
              <w:spacing w:line="240" w:lineRule="auto"/>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7520" w:type="dxa"/>
            <w:tcBorders>
              <w:top w:val="single" w:color="auto" w:sz="4" w:space="0"/>
              <w:left w:val="single" w:color="auto" w:sz="4" w:space="0"/>
              <w:bottom w:val="single" w:color="auto" w:sz="4" w:space="0"/>
              <w:right w:val="single" w:color="auto" w:sz="4" w:space="0"/>
            </w:tcBorders>
            <w:vAlign w:val="center"/>
          </w:tcPr>
          <w:p w14:paraId="3D7D7216">
            <w:pPr>
              <w:spacing w:line="240" w:lineRule="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根据供应商</w:t>
            </w:r>
            <w:r>
              <w:rPr>
                <w:rFonts w:hint="eastAsia" w:ascii="宋体" w:hAnsi="宋体" w:eastAsia="宋体" w:cs="宋体"/>
                <w:color w:val="auto"/>
                <w:sz w:val="24"/>
                <w:szCs w:val="24"/>
                <w:highlight w:val="none"/>
                <w:lang w:eastAsia="zh-CN"/>
              </w:rPr>
              <w:t>近三年（202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年01月01日-至今）完成的</w:t>
            </w:r>
            <w:r>
              <w:rPr>
                <w:rFonts w:hint="eastAsia" w:ascii="宋体" w:hAnsi="宋体" w:eastAsia="宋体" w:cs="宋体"/>
                <w:color w:val="auto"/>
                <w:sz w:val="24"/>
                <w:szCs w:val="24"/>
                <w:highlight w:val="none"/>
                <w:lang w:val="en-US" w:eastAsia="zh-CN"/>
              </w:rPr>
              <w:t>同类业绩</w:t>
            </w:r>
            <w:r>
              <w:rPr>
                <w:rFonts w:hint="eastAsia" w:ascii="宋体" w:hAnsi="宋体" w:eastAsia="宋体" w:cs="宋体"/>
                <w:color w:val="auto"/>
                <w:sz w:val="24"/>
                <w:szCs w:val="24"/>
                <w:highlight w:val="none"/>
                <w:lang w:eastAsia="zh-CN"/>
              </w:rPr>
              <w:t>进行评审，每提供一项得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分，最高得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未提供</w:t>
            </w:r>
            <w:r>
              <w:rPr>
                <w:rFonts w:hint="eastAsia" w:ascii="宋体" w:hAnsi="宋体" w:eastAsia="宋体" w:cs="宋体"/>
                <w:color w:val="auto"/>
                <w:sz w:val="24"/>
                <w:szCs w:val="24"/>
                <w:highlight w:val="none"/>
                <w:lang w:eastAsia="zh-CN"/>
              </w:rPr>
              <w:t>不得分。</w:t>
            </w:r>
          </w:p>
          <w:p w14:paraId="7D57605A">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注：投标人须提供服务合同(合同至少包含合同首页、关键页、签订时间、双方签章页等)，业绩认定日期以合同签订日期为准。</w:t>
            </w:r>
          </w:p>
        </w:tc>
      </w:tr>
      <w:tr w14:paraId="14FE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620" w:type="dxa"/>
            <w:vMerge w:val="continue"/>
            <w:tcBorders>
              <w:left w:val="single" w:color="auto" w:sz="4" w:space="0"/>
              <w:right w:val="single" w:color="auto" w:sz="4" w:space="0"/>
            </w:tcBorders>
            <w:vAlign w:val="center"/>
          </w:tcPr>
          <w:p w14:paraId="653A6F46">
            <w:pPr>
              <w:spacing w:line="240" w:lineRule="auto"/>
              <w:jc w:val="center"/>
              <w:rPr>
                <w:rFonts w:hint="eastAsia" w:ascii="宋体" w:hAnsi="宋体" w:eastAsia="宋体" w:cs="宋体"/>
                <w:color w:val="auto"/>
                <w:spacing w:val="6"/>
                <w:sz w:val="24"/>
                <w:szCs w:val="24"/>
                <w:highlight w:val="none"/>
                <w:lang w:eastAsia="zh-CN"/>
              </w:rPr>
            </w:pPr>
          </w:p>
        </w:tc>
        <w:tc>
          <w:tcPr>
            <w:tcW w:w="606" w:type="dxa"/>
            <w:tcBorders>
              <w:left w:val="single" w:color="auto" w:sz="4" w:space="0"/>
              <w:right w:val="single" w:color="auto" w:sz="4" w:space="0"/>
            </w:tcBorders>
            <w:vAlign w:val="center"/>
          </w:tcPr>
          <w:p w14:paraId="0DCBB1FD">
            <w:pPr>
              <w:spacing w:line="240" w:lineRule="auto"/>
              <w:jc w:val="center"/>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2</w:t>
            </w:r>
          </w:p>
        </w:tc>
        <w:tc>
          <w:tcPr>
            <w:tcW w:w="877" w:type="dxa"/>
            <w:tcBorders>
              <w:top w:val="single" w:color="auto" w:sz="4" w:space="0"/>
              <w:left w:val="single" w:color="auto" w:sz="4" w:space="0"/>
              <w:bottom w:val="single" w:color="auto" w:sz="4" w:space="0"/>
              <w:right w:val="single" w:color="auto" w:sz="4" w:space="0"/>
            </w:tcBorders>
            <w:vAlign w:val="center"/>
          </w:tcPr>
          <w:p w14:paraId="5A77FD6B">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项目负责人</w:t>
            </w:r>
          </w:p>
        </w:tc>
        <w:tc>
          <w:tcPr>
            <w:tcW w:w="795" w:type="dxa"/>
            <w:tcBorders>
              <w:top w:val="single" w:color="auto" w:sz="4" w:space="0"/>
              <w:left w:val="single" w:color="auto" w:sz="4" w:space="0"/>
              <w:bottom w:val="single" w:color="auto" w:sz="4" w:space="0"/>
              <w:right w:val="single" w:color="auto" w:sz="4" w:space="0"/>
            </w:tcBorders>
            <w:vAlign w:val="center"/>
          </w:tcPr>
          <w:p w14:paraId="4841C8C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9分</w:t>
            </w:r>
          </w:p>
        </w:tc>
        <w:tc>
          <w:tcPr>
            <w:tcW w:w="7520" w:type="dxa"/>
            <w:tcBorders>
              <w:top w:val="single" w:color="auto" w:sz="4" w:space="0"/>
              <w:left w:val="single" w:color="auto" w:sz="4" w:space="0"/>
              <w:bottom w:val="single" w:color="auto" w:sz="4" w:space="0"/>
              <w:right w:val="single" w:color="auto" w:sz="4" w:space="0"/>
            </w:tcBorders>
            <w:vAlign w:val="center"/>
          </w:tcPr>
          <w:p w14:paraId="324D78B6">
            <w:pPr>
              <w:numPr>
                <w:ilvl w:val="0"/>
                <w:numId w:val="0"/>
              </w:num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bidi="ar-SA"/>
              </w:rPr>
              <w:t>（1）</w:t>
            </w:r>
            <w:r>
              <w:rPr>
                <w:rFonts w:hint="eastAsia" w:ascii="宋体" w:hAnsi="宋体" w:eastAsia="宋体" w:cs="宋体"/>
                <w:color w:val="auto"/>
                <w:sz w:val="24"/>
                <w:szCs w:val="24"/>
                <w:highlight w:val="none"/>
                <w:lang w:val="en-US" w:eastAsia="zh-CN"/>
              </w:rPr>
              <w:t>项目负责人近三年类似服务业绩，每提供一项得2分，最高得4分，未提供不得分。</w:t>
            </w:r>
          </w:p>
          <w:p w14:paraId="2AF81A0A">
            <w:pPr>
              <w:numPr>
                <w:ilvl w:val="0"/>
                <w:numId w:val="0"/>
              </w:num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【须提供：服务合同(合同至少包含合同首页、关键页、签订时间、双方签章页等)，业绩认定日期以合同签订日期为准，业绩须反映项目负责人】</w:t>
            </w:r>
          </w:p>
          <w:p w14:paraId="5890496A">
            <w:pPr>
              <w:numPr>
                <w:ilvl w:val="0"/>
                <w:numId w:val="0"/>
              </w:numPr>
              <w:spacing w:line="24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rPr>
              <w:t>项目负责人须具有电力设施安装管理三年以上工作经验，提供证明材料得2分，未提供不得分。</w:t>
            </w:r>
          </w:p>
          <w:p w14:paraId="4F53CFE1">
            <w:pPr>
              <w:numPr>
                <w:ilvl w:val="0"/>
                <w:numId w:val="0"/>
              </w:numPr>
              <w:spacing w:line="24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须提供：项目负责人身份证、相关专业的职业或职称或注册证书或岗位证、劳动合同、工资发放证明(非本单位或以个人名义缴纳的不予认可)，日期以相关证书初始取得年限或中标通知书或合同签订日期为准，未提供的不得分。】</w:t>
            </w:r>
          </w:p>
          <w:p w14:paraId="2DFE8AEF">
            <w:pPr>
              <w:numPr>
                <w:ilvl w:val="0"/>
                <w:numId w:val="0"/>
              </w:numPr>
              <w:spacing w:line="24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bidi="ar-SA"/>
              </w:rPr>
              <w:t>（3）</w:t>
            </w:r>
            <w:r>
              <w:rPr>
                <w:rFonts w:hint="eastAsia" w:ascii="宋体" w:hAnsi="宋体" w:eastAsia="宋体" w:cs="宋体"/>
                <w:color w:val="auto"/>
                <w:sz w:val="24"/>
                <w:szCs w:val="24"/>
                <w:highlight w:val="none"/>
                <w:lang w:val="en-US" w:eastAsia="zh-CN"/>
              </w:rPr>
              <w:t>项目负责人须具有中级及以上职称，提供证明材料得3分，未提供不得分。</w:t>
            </w:r>
          </w:p>
          <w:p w14:paraId="512E8F77">
            <w:pPr>
              <w:numPr>
                <w:ilvl w:val="0"/>
                <w:numId w:val="0"/>
              </w:numPr>
              <w:spacing w:line="24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【须提供：项目负责人职称证书】</w:t>
            </w:r>
          </w:p>
        </w:tc>
      </w:tr>
      <w:tr w14:paraId="46D5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20" w:type="dxa"/>
            <w:vMerge w:val="continue"/>
            <w:tcBorders>
              <w:left w:val="single" w:color="auto" w:sz="4" w:space="0"/>
              <w:right w:val="single" w:color="auto" w:sz="4" w:space="0"/>
            </w:tcBorders>
            <w:vAlign w:val="center"/>
          </w:tcPr>
          <w:p w14:paraId="764108E4">
            <w:pPr>
              <w:spacing w:line="240" w:lineRule="auto"/>
              <w:jc w:val="center"/>
              <w:rPr>
                <w:rFonts w:hint="eastAsia" w:ascii="宋体" w:hAnsi="宋体" w:eastAsia="宋体" w:cs="宋体"/>
                <w:color w:val="auto"/>
                <w:spacing w:val="6"/>
                <w:sz w:val="24"/>
                <w:szCs w:val="24"/>
                <w:highlight w:val="none"/>
                <w:lang w:eastAsia="zh-CN"/>
              </w:rPr>
            </w:pPr>
          </w:p>
        </w:tc>
        <w:tc>
          <w:tcPr>
            <w:tcW w:w="606" w:type="dxa"/>
            <w:tcBorders>
              <w:left w:val="single" w:color="auto" w:sz="4" w:space="0"/>
              <w:right w:val="single" w:color="auto" w:sz="4" w:space="0"/>
            </w:tcBorders>
            <w:vAlign w:val="center"/>
          </w:tcPr>
          <w:p w14:paraId="37FF0325">
            <w:pPr>
              <w:spacing w:line="240" w:lineRule="auto"/>
              <w:jc w:val="center"/>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3</w:t>
            </w:r>
          </w:p>
        </w:tc>
        <w:tc>
          <w:tcPr>
            <w:tcW w:w="877" w:type="dxa"/>
            <w:tcBorders>
              <w:top w:val="single" w:color="auto" w:sz="4" w:space="0"/>
              <w:left w:val="single" w:color="auto" w:sz="4" w:space="0"/>
              <w:bottom w:val="single" w:color="auto" w:sz="4" w:space="0"/>
              <w:right w:val="single" w:color="auto" w:sz="4" w:space="0"/>
            </w:tcBorders>
            <w:vAlign w:val="center"/>
          </w:tcPr>
          <w:p w14:paraId="4D28871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拟配备人员</w:t>
            </w:r>
          </w:p>
        </w:tc>
        <w:tc>
          <w:tcPr>
            <w:tcW w:w="795" w:type="dxa"/>
            <w:tcBorders>
              <w:top w:val="single" w:color="auto" w:sz="4" w:space="0"/>
              <w:left w:val="single" w:color="auto" w:sz="4" w:space="0"/>
              <w:bottom w:val="single" w:color="auto" w:sz="4" w:space="0"/>
              <w:right w:val="single" w:color="auto" w:sz="4" w:space="0"/>
            </w:tcBorders>
            <w:vAlign w:val="center"/>
          </w:tcPr>
          <w:p w14:paraId="26D2953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12</w:t>
            </w:r>
            <w:r>
              <w:rPr>
                <w:rFonts w:hint="eastAsia" w:ascii="宋体" w:hAnsi="宋体" w:eastAsia="宋体" w:cs="宋体"/>
                <w:color w:val="auto"/>
                <w:sz w:val="24"/>
                <w:szCs w:val="24"/>
                <w:highlight w:val="none"/>
              </w:rPr>
              <w:t>分</w:t>
            </w:r>
          </w:p>
        </w:tc>
        <w:tc>
          <w:tcPr>
            <w:tcW w:w="7520" w:type="dxa"/>
            <w:tcBorders>
              <w:top w:val="single" w:color="auto" w:sz="4" w:space="0"/>
              <w:left w:val="single" w:color="auto" w:sz="4" w:space="0"/>
              <w:bottom w:val="single" w:color="auto" w:sz="4" w:space="0"/>
              <w:right w:val="single" w:color="auto" w:sz="4" w:space="0"/>
            </w:tcBorders>
            <w:vAlign w:val="center"/>
          </w:tcPr>
          <w:p w14:paraId="01918631">
            <w:pPr>
              <w:pStyle w:val="11"/>
              <w:spacing w:line="240" w:lineRule="auto"/>
              <w:rPr>
                <w:color w:val="auto"/>
                <w:spacing w:val="-3"/>
                <w:highlight w:val="none"/>
              </w:rPr>
            </w:pPr>
            <w:r>
              <w:rPr>
                <w:rFonts w:hint="eastAsia" w:ascii="宋体" w:hAnsi="宋体" w:eastAsia="宋体" w:cs="宋体"/>
                <w:color w:val="auto"/>
                <w:sz w:val="24"/>
                <w:szCs w:val="24"/>
                <w:highlight w:val="none"/>
                <w:lang w:val="en-US" w:eastAsia="zh-CN"/>
              </w:rPr>
              <w:t>根据</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拟配备</w:t>
            </w:r>
            <w:r>
              <w:rPr>
                <w:color w:val="auto"/>
                <w:spacing w:val="-3"/>
                <w:highlight w:val="none"/>
              </w:rPr>
              <w:t>的</w:t>
            </w:r>
            <w:r>
              <w:rPr>
                <w:rFonts w:hint="eastAsia"/>
                <w:color w:val="auto"/>
                <w:spacing w:val="-3"/>
                <w:highlight w:val="none"/>
                <w:lang w:val="en-US" w:eastAsia="zh-CN"/>
              </w:rPr>
              <w:t>检测技术人员进行评审</w:t>
            </w:r>
            <w:r>
              <w:rPr>
                <w:color w:val="auto"/>
                <w:spacing w:val="-3"/>
                <w:highlight w:val="none"/>
              </w:rPr>
              <w:t>(包括但不限于</w:t>
            </w:r>
            <w:r>
              <w:rPr>
                <w:rFonts w:hint="eastAsia"/>
                <w:color w:val="auto"/>
                <w:spacing w:val="-4"/>
                <w:highlight w:val="none"/>
                <w:lang w:val="en-US" w:eastAsia="zh-CN"/>
              </w:rPr>
              <w:t>高电力试验人员、高压电工、特种作业操作人员、安全员人</w:t>
            </w:r>
            <w:r>
              <w:rPr>
                <w:color w:val="auto"/>
                <w:spacing w:val="-4"/>
                <w:highlight w:val="none"/>
              </w:rPr>
              <w:t>员等)，每配备</w:t>
            </w:r>
            <w:r>
              <w:rPr>
                <w:rFonts w:hint="eastAsia"/>
                <w:color w:val="auto"/>
                <w:spacing w:val="-4"/>
                <w:highlight w:val="none"/>
                <w:lang w:val="en-US" w:eastAsia="zh-CN"/>
              </w:rPr>
              <w:t>一类</w:t>
            </w:r>
            <w:r>
              <w:rPr>
                <w:color w:val="auto"/>
                <w:spacing w:val="-3"/>
                <w:highlight w:val="none"/>
              </w:rPr>
              <w:t>得</w:t>
            </w:r>
            <w:r>
              <w:rPr>
                <w:rFonts w:hint="eastAsia"/>
                <w:color w:val="auto"/>
                <w:spacing w:val="-3"/>
                <w:highlight w:val="none"/>
                <w:lang w:val="en-US" w:eastAsia="zh-CN"/>
              </w:rPr>
              <w:t>2</w:t>
            </w:r>
            <w:r>
              <w:rPr>
                <w:color w:val="auto"/>
                <w:spacing w:val="-3"/>
                <w:highlight w:val="none"/>
              </w:rPr>
              <w:t>分，</w:t>
            </w:r>
            <w:r>
              <w:rPr>
                <w:rFonts w:hint="eastAsia"/>
                <w:color w:val="auto"/>
                <w:spacing w:val="-3"/>
                <w:highlight w:val="none"/>
                <w:lang w:val="en-US" w:eastAsia="zh-CN"/>
              </w:rPr>
              <w:t>满分12</w:t>
            </w:r>
            <w:r>
              <w:rPr>
                <w:color w:val="auto"/>
                <w:spacing w:val="-3"/>
                <w:highlight w:val="none"/>
              </w:rPr>
              <w:t>分；未提供不得分。</w:t>
            </w:r>
          </w:p>
          <w:p w14:paraId="0E825D57">
            <w:pPr>
              <w:pStyle w:val="11"/>
              <w:spacing w:line="240" w:lineRule="auto"/>
              <w:rPr>
                <w:rFonts w:hint="eastAsia"/>
                <w:color w:val="auto"/>
                <w:spacing w:val="-3"/>
                <w:highlight w:val="none"/>
                <w:lang w:eastAsia="zh-CN"/>
              </w:rPr>
            </w:pPr>
            <w:r>
              <w:rPr>
                <w:rFonts w:hint="eastAsia"/>
                <w:color w:val="auto"/>
                <w:spacing w:val="-3"/>
                <w:highlight w:val="none"/>
                <w:lang w:val="en-US" w:eastAsia="zh-CN"/>
              </w:rPr>
              <w:t>注：</w:t>
            </w:r>
            <w:r>
              <w:rPr>
                <w:rFonts w:hint="eastAsia" w:eastAsia="宋体"/>
                <w:color w:val="auto"/>
                <w:spacing w:val="-3"/>
                <w:highlight w:val="none"/>
                <w:lang w:val="en-US" w:eastAsia="zh-CN"/>
              </w:rPr>
              <w:t>拟配备人员须同时提供身份证、相关专业的职业或职称或注册证书或岗位证、劳动合同、工资发放证明(非本单位或以个人名义缴纳的不予认可)，未提供的不得分</w:t>
            </w:r>
            <w:r>
              <w:rPr>
                <w:rFonts w:hint="eastAsia"/>
                <w:color w:val="auto"/>
                <w:spacing w:val="-3"/>
                <w:highlight w:val="none"/>
                <w:lang w:val="en-US" w:eastAsia="zh-CN"/>
              </w:rPr>
              <w:t>。</w:t>
            </w:r>
          </w:p>
        </w:tc>
      </w:tr>
      <w:tr w14:paraId="28D8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20" w:type="dxa"/>
            <w:vMerge w:val="restart"/>
            <w:tcBorders>
              <w:left w:val="single" w:color="auto" w:sz="4" w:space="0"/>
              <w:right w:val="single" w:color="auto" w:sz="4" w:space="0"/>
            </w:tcBorders>
            <w:vAlign w:val="center"/>
          </w:tcPr>
          <w:p w14:paraId="5D2EE6AF">
            <w:pPr>
              <w:spacing w:line="240" w:lineRule="auto"/>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技术部分</w:t>
            </w:r>
          </w:p>
        </w:tc>
        <w:tc>
          <w:tcPr>
            <w:tcW w:w="606" w:type="dxa"/>
            <w:tcBorders>
              <w:left w:val="single" w:color="auto" w:sz="4" w:space="0"/>
              <w:right w:val="single" w:color="auto" w:sz="4" w:space="0"/>
            </w:tcBorders>
            <w:vAlign w:val="center"/>
          </w:tcPr>
          <w:p w14:paraId="6B54B5B7">
            <w:pPr>
              <w:spacing w:line="240" w:lineRule="auto"/>
              <w:jc w:val="center"/>
              <w:rPr>
                <w:rFonts w:hint="default"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4</w:t>
            </w:r>
          </w:p>
        </w:tc>
        <w:tc>
          <w:tcPr>
            <w:tcW w:w="877" w:type="dxa"/>
            <w:tcBorders>
              <w:top w:val="single" w:color="auto" w:sz="4" w:space="0"/>
              <w:left w:val="single" w:color="auto" w:sz="4" w:space="0"/>
              <w:bottom w:val="single" w:color="auto" w:sz="4" w:space="0"/>
              <w:right w:val="single" w:color="auto" w:sz="4" w:space="0"/>
            </w:tcBorders>
            <w:vAlign w:val="center"/>
          </w:tcPr>
          <w:p w14:paraId="2BCC2E22">
            <w:pPr>
              <w:spacing w:line="240" w:lineRule="auto"/>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lang w:val="en-US" w:eastAsia="zh-CN"/>
              </w:rPr>
              <w:t>技术要求</w:t>
            </w:r>
            <w:r>
              <w:rPr>
                <w:rFonts w:hint="eastAsia" w:ascii="宋体" w:hAnsi="宋体" w:eastAsia="宋体" w:cs="宋体"/>
                <w:color w:val="auto"/>
                <w:sz w:val="24"/>
                <w:szCs w:val="24"/>
                <w:highlight w:val="none"/>
              </w:rPr>
              <w:t>符合程度</w:t>
            </w:r>
          </w:p>
        </w:tc>
        <w:tc>
          <w:tcPr>
            <w:tcW w:w="795" w:type="dxa"/>
            <w:tcBorders>
              <w:top w:val="single" w:color="auto" w:sz="4" w:space="0"/>
              <w:left w:val="single" w:color="auto" w:sz="4" w:space="0"/>
              <w:bottom w:val="single" w:color="auto" w:sz="4" w:space="0"/>
              <w:right w:val="single" w:color="auto" w:sz="4" w:space="0"/>
            </w:tcBorders>
            <w:vAlign w:val="center"/>
          </w:tcPr>
          <w:p w14:paraId="5312A38B">
            <w:pPr>
              <w:spacing w:line="240" w:lineRule="auto"/>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分</w:t>
            </w:r>
          </w:p>
        </w:tc>
        <w:tc>
          <w:tcPr>
            <w:tcW w:w="7520" w:type="dxa"/>
            <w:tcBorders>
              <w:top w:val="single" w:color="auto" w:sz="4" w:space="0"/>
              <w:left w:val="single" w:color="auto" w:sz="4" w:space="0"/>
              <w:bottom w:val="single" w:color="auto" w:sz="4" w:space="0"/>
              <w:right w:val="single" w:color="auto" w:sz="4" w:space="0"/>
            </w:tcBorders>
            <w:vAlign w:val="center"/>
          </w:tcPr>
          <w:p w14:paraId="0D18F97F">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w:t>
            </w:r>
            <w:r>
              <w:rPr>
                <w:rFonts w:hint="eastAsia" w:ascii="宋体" w:hAnsi="宋体" w:eastAsia="宋体" w:cs="宋体"/>
                <w:color w:val="auto"/>
                <w:sz w:val="24"/>
                <w:szCs w:val="24"/>
                <w:highlight w:val="none"/>
                <w:lang w:val="en-US" w:eastAsia="zh-CN"/>
              </w:rPr>
              <w:t>技术要求</w:t>
            </w:r>
            <w:r>
              <w:rPr>
                <w:rFonts w:hint="eastAsia" w:ascii="宋体" w:hAnsi="宋体" w:eastAsia="宋体" w:cs="宋体"/>
                <w:color w:val="auto"/>
                <w:sz w:val="24"/>
                <w:szCs w:val="24"/>
                <w:highlight w:val="none"/>
                <w:lang w:eastAsia="zh-CN"/>
              </w:rPr>
              <w:t>偏离表”进行评分，基础分</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分。“负偏离”一项扣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分，扣完为止。</w:t>
            </w:r>
          </w:p>
          <w:p w14:paraId="12282321">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注：供应商</w:t>
            </w:r>
            <w:r>
              <w:rPr>
                <w:rFonts w:hint="eastAsia" w:ascii="宋体" w:hAnsi="宋体" w:eastAsia="宋体" w:cs="宋体"/>
                <w:color w:val="auto"/>
                <w:sz w:val="24"/>
                <w:szCs w:val="24"/>
                <w:highlight w:val="none"/>
                <w:lang w:eastAsia="zh-CN"/>
              </w:rPr>
              <w:t>须提供与服务需求相关的</w:t>
            </w:r>
            <w:r>
              <w:rPr>
                <w:rFonts w:hint="eastAsia" w:ascii="宋体" w:hAnsi="宋体" w:eastAsia="宋体" w:cs="宋体"/>
                <w:color w:val="auto"/>
                <w:sz w:val="24"/>
                <w:szCs w:val="24"/>
                <w:highlight w:val="none"/>
                <w:lang w:val="en-US" w:eastAsia="zh-CN"/>
              </w:rPr>
              <w:t>成果文件证明材料（例如：试验报告或设备健康评估报告或更新高低压设备台账等）</w:t>
            </w:r>
            <w:r>
              <w:rPr>
                <w:rFonts w:hint="eastAsia" w:ascii="宋体" w:hAnsi="宋体" w:eastAsia="宋体" w:cs="宋体"/>
                <w:color w:val="auto"/>
                <w:sz w:val="24"/>
                <w:szCs w:val="24"/>
                <w:highlight w:val="none"/>
                <w:lang w:eastAsia="zh-CN"/>
              </w:rPr>
              <w:t>，不提供或不清楚或不准确，不予认可。</w:t>
            </w:r>
          </w:p>
        </w:tc>
      </w:tr>
      <w:tr w14:paraId="0A99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620" w:type="dxa"/>
            <w:vMerge w:val="continue"/>
            <w:tcBorders>
              <w:left w:val="single" w:color="auto" w:sz="4" w:space="0"/>
              <w:right w:val="single" w:color="auto" w:sz="4" w:space="0"/>
            </w:tcBorders>
            <w:vAlign w:val="center"/>
          </w:tcPr>
          <w:p w14:paraId="0FE72CD4">
            <w:pPr>
              <w:spacing w:line="240" w:lineRule="auto"/>
              <w:jc w:val="center"/>
              <w:rPr>
                <w:rFonts w:hint="eastAsia" w:ascii="宋体" w:hAnsi="宋体" w:eastAsia="宋体" w:cs="宋体"/>
                <w:color w:val="auto"/>
                <w:spacing w:val="6"/>
                <w:sz w:val="24"/>
                <w:szCs w:val="24"/>
                <w:highlight w:val="none"/>
                <w:lang w:eastAsia="zh-CN"/>
              </w:rPr>
            </w:pPr>
          </w:p>
        </w:tc>
        <w:tc>
          <w:tcPr>
            <w:tcW w:w="606" w:type="dxa"/>
            <w:tcBorders>
              <w:left w:val="single" w:color="auto" w:sz="4" w:space="0"/>
              <w:right w:val="single" w:color="auto" w:sz="4" w:space="0"/>
            </w:tcBorders>
            <w:vAlign w:val="center"/>
          </w:tcPr>
          <w:p w14:paraId="32AF722B">
            <w:pPr>
              <w:spacing w:line="240" w:lineRule="auto"/>
              <w:jc w:val="center"/>
              <w:rPr>
                <w:rFonts w:hint="default"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5</w:t>
            </w:r>
          </w:p>
        </w:tc>
        <w:tc>
          <w:tcPr>
            <w:tcW w:w="877" w:type="dxa"/>
            <w:tcBorders>
              <w:top w:val="single" w:color="auto" w:sz="4" w:space="0"/>
              <w:left w:val="single" w:color="auto" w:sz="4" w:space="0"/>
              <w:bottom w:val="single" w:color="auto" w:sz="4" w:space="0"/>
              <w:right w:val="single" w:color="auto" w:sz="4" w:space="0"/>
            </w:tcBorders>
            <w:vAlign w:val="center"/>
          </w:tcPr>
          <w:p w14:paraId="0FBBBB75">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检测服务方案</w:t>
            </w:r>
          </w:p>
        </w:tc>
        <w:tc>
          <w:tcPr>
            <w:tcW w:w="795" w:type="dxa"/>
            <w:tcBorders>
              <w:top w:val="single" w:color="auto" w:sz="4" w:space="0"/>
              <w:left w:val="single" w:color="auto" w:sz="4" w:space="0"/>
              <w:bottom w:val="single" w:color="auto" w:sz="4" w:space="0"/>
              <w:right w:val="single" w:color="auto" w:sz="4" w:space="0"/>
            </w:tcBorders>
            <w:vAlign w:val="center"/>
          </w:tcPr>
          <w:p w14:paraId="30133732">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21分</w:t>
            </w:r>
          </w:p>
        </w:tc>
        <w:tc>
          <w:tcPr>
            <w:tcW w:w="7520" w:type="dxa"/>
            <w:tcBorders>
              <w:top w:val="single" w:color="auto" w:sz="4" w:space="0"/>
              <w:left w:val="single" w:color="auto" w:sz="4" w:space="0"/>
              <w:bottom w:val="single" w:color="auto" w:sz="4" w:space="0"/>
              <w:right w:val="single" w:color="auto" w:sz="4" w:space="0"/>
            </w:tcBorders>
            <w:vAlign w:val="center"/>
          </w:tcPr>
          <w:p w14:paraId="7529ED9B">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根据供应商提供检测服务方案进行评审，包括但不限于：</w:t>
            </w:r>
          </w:p>
          <w:p w14:paraId="304D8223">
            <w:pPr>
              <w:numPr>
                <w:ilvl w:val="0"/>
                <w:numId w:val="0"/>
              </w:numPr>
              <w:spacing w:line="240" w:lineRule="auto"/>
              <w:rPr>
                <w:rFonts w:hint="default" w:ascii="宋体" w:hAnsi="宋体" w:eastAsia="宋体" w:cs="宋体"/>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bidi="ar-SA"/>
              </w:rPr>
              <w:t>1.</w:t>
            </w:r>
            <w:r>
              <w:rPr>
                <w:rFonts w:hint="eastAsia" w:ascii="宋体" w:hAnsi="宋体" w:eastAsia="宋体" w:cs="宋体"/>
                <w:color w:val="auto"/>
                <w:sz w:val="24"/>
                <w:szCs w:val="24"/>
                <w:highlight w:val="none"/>
                <w:lang w:val="en-US" w:eastAsia="zh-CN"/>
              </w:rPr>
              <w:t>电力设备设施及系统检测方案（3分）：①校园不停电/错峰停电（1分）、②教学科研保供电特殊需求（1分）、③点位排查、设备摸底（1分）；</w:t>
            </w:r>
          </w:p>
          <w:p w14:paraId="6AB70720">
            <w:pPr>
              <w:numPr>
                <w:ilvl w:val="0"/>
                <w:numId w:val="0"/>
              </w:numPr>
              <w:spacing w:line="24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2.试验范围及执行标准使用方案（3分）：①明确试验设备清单（1分）、②电压等级（1分）、③试验项目全覆盖（交接/预防性试验规范项目不缺项）（1分）；</w:t>
            </w:r>
          </w:p>
          <w:p w14:paraId="4B20F62D">
            <w:pPr>
              <w:numPr>
                <w:ilvl w:val="0"/>
                <w:numId w:val="0"/>
              </w:num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3.试验检测方案及组织流程（3分）：①工序衔接、各专业人员分工（1分）、②设备进场、仪器调配（1分）、③现场管控流程（1分）；</w:t>
            </w:r>
          </w:p>
          <w:p w14:paraId="1037A6E2">
            <w:pPr>
              <w:numPr>
                <w:ilvl w:val="0"/>
                <w:numId w:val="0"/>
              </w:numPr>
              <w:spacing w:line="24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4.检测服务分项试验技术工艺及方法（3分）：①需分设备逐一写清试验项目（1分）、②试验方法、仪器配置（1分）、③合格判定标准、数据记录要求（1分）；</w:t>
            </w:r>
          </w:p>
          <w:p w14:paraId="6005AF48">
            <w:pPr>
              <w:numPr>
                <w:ilvl w:val="0"/>
                <w:numId w:val="0"/>
              </w:numPr>
              <w:spacing w:line="24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质量保证体系及试验质控方案（3分）：①质量管理架构、岗位职责、复核制度（1分）、②试验数据真实性、原始记录留存、数据异常复核、复检机制（1分）、③成果报告标准化编制、台账更新、试验档案归档（1分）；</w:t>
            </w:r>
          </w:p>
          <w:p w14:paraId="76889B8D">
            <w:pPr>
              <w:numPr>
                <w:ilvl w:val="0"/>
                <w:numId w:val="0"/>
              </w:numPr>
              <w:spacing w:line="24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工期进度计划及保障方案（3分）：①各点位/配电室分段工期、横道图/进度计划（1分）、②错峰作业工期保障，人员、仪器后备保障（1分）、③遇教学活动、突发用电任务的工期可调、顺延及衔接方案（1分）；</w:t>
            </w:r>
          </w:p>
          <w:p w14:paraId="44C98414">
            <w:pPr>
              <w:numPr>
                <w:ilvl w:val="0"/>
                <w:numId w:val="0"/>
              </w:numPr>
              <w:spacing w:line="24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安全文明施工及校园专项安全管控方案（3分）：①高压作业安全规程，挂牌上锁等管控方案（1分）、②密集区域、教学楼、宿舍、实验室周边作业隔离、警示围挡、交通疏导（1分）、③防触电、防高空坠落、防火、作业降噪等措施（1分）。</w:t>
            </w:r>
          </w:p>
          <w:p w14:paraId="0F5D53D4">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每缺少一项内容扣1分；有一项内容存在缺陷的扣1分。扣完21分为止。</w:t>
            </w:r>
          </w:p>
          <w:p w14:paraId="54CA59BA">
            <w:pPr>
              <w:numPr>
                <w:ilvl w:val="0"/>
                <w:numId w:val="0"/>
              </w:numPr>
              <w:spacing w:line="24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注明：</w:t>
            </w:r>
            <w:r>
              <w:rPr>
                <w:rFonts w:hint="eastAsia" w:ascii="宋体" w:hAnsi="宋体" w:eastAsia="宋体" w:cs="宋体"/>
                <w:color w:val="auto"/>
                <w:kern w:val="2"/>
                <w:sz w:val="24"/>
                <w:szCs w:val="24"/>
                <w:highlight w:val="none"/>
                <w:lang w:val="en-US" w:eastAsia="zh-CN" w:bidi="ar"/>
              </w:rPr>
              <w:t>本评审内容中“缺陷”是指</w:t>
            </w:r>
            <w:r>
              <w:rPr>
                <w:rFonts w:hint="eastAsia" w:ascii="宋体" w:hAnsi="宋体" w:eastAsia="宋体" w:cs="宋体"/>
                <w:color w:val="auto"/>
                <w:sz w:val="24"/>
                <w:szCs w:val="24"/>
                <w:highlight w:val="none"/>
              </w:rPr>
              <w:t>：①方案生搬硬套，与实际情况明显不符；②或存在与项目明显无关的文字内容；③或内容不适用项目的实际情况；④或对采购需求理解缺位混乱；⑤或描述的内容混乱，重点不突出；⑥或内容缺失不完善，可操作性较差；⑦或凭空编造，内容矛盾，前后逻辑错误；⑧或适用〈引用&gt;的规范及标准错误或已废止； ⑨或地点区域错误；⑩或项名称错误等。</w:t>
            </w:r>
          </w:p>
        </w:tc>
      </w:tr>
      <w:tr w14:paraId="5760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620" w:type="dxa"/>
            <w:vMerge w:val="continue"/>
            <w:tcBorders>
              <w:left w:val="single" w:color="auto" w:sz="4" w:space="0"/>
              <w:right w:val="single" w:color="auto" w:sz="4" w:space="0"/>
            </w:tcBorders>
            <w:vAlign w:val="center"/>
          </w:tcPr>
          <w:p w14:paraId="3288820B">
            <w:pPr>
              <w:spacing w:line="240" w:lineRule="auto"/>
              <w:jc w:val="center"/>
              <w:rPr>
                <w:rFonts w:hint="eastAsia" w:ascii="宋体" w:hAnsi="宋体" w:eastAsia="宋体" w:cs="宋体"/>
                <w:color w:val="auto"/>
                <w:spacing w:val="6"/>
                <w:sz w:val="24"/>
                <w:szCs w:val="24"/>
                <w:highlight w:val="none"/>
                <w:lang w:eastAsia="zh-CN"/>
              </w:rPr>
            </w:pPr>
          </w:p>
        </w:tc>
        <w:tc>
          <w:tcPr>
            <w:tcW w:w="606" w:type="dxa"/>
            <w:tcBorders>
              <w:left w:val="single" w:color="auto" w:sz="4" w:space="0"/>
              <w:right w:val="single" w:color="auto" w:sz="4" w:space="0"/>
            </w:tcBorders>
            <w:vAlign w:val="center"/>
          </w:tcPr>
          <w:p w14:paraId="0E046D77">
            <w:pPr>
              <w:spacing w:line="240" w:lineRule="auto"/>
              <w:jc w:val="center"/>
              <w:rPr>
                <w:rFonts w:hint="default"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6</w:t>
            </w:r>
          </w:p>
        </w:tc>
        <w:tc>
          <w:tcPr>
            <w:tcW w:w="877" w:type="dxa"/>
            <w:tcBorders>
              <w:top w:val="single" w:color="auto" w:sz="4" w:space="0"/>
              <w:left w:val="single" w:color="auto" w:sz="4" w:space="0"/>
              <w:bottom w:val="single" w:color="auto" w:sz="4" w:space="0"/>
              <w:right w:val="single" w:color="auto" w:sz="4" w:space="0"/>
            </w:tcBorders>
            <w:vAlign w:val="center"/>
          </w:tcPr>
          <w:p w14:paraId="2654CC75">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应急风险防控方案</w:t>
            </w:r>
          </w:p>
        </w:tc>
        <w:tc>
          <w:tcPr>
            <w:tcW w:w="795" w:type="dxa"/>
            <w:tcBorders>
              <w:top w:val="single" w:color="auto" w:sz="4" w:space="0"/>
              <w:left w:val="single" w:color="auto" w:sz="4" w:space="0"/>
              <w:bottom w:val="single" w:color="auto" w:sz="4" w:space="0"/>
              <w:right w:val="single" w:color="auto" w:sz="4" w:space="0"/>
            </w:tcBorders>
            <w:vAlign w:val="center"/>
          </w:tcPr>
          <w:p w14:paraId="40C333EF">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7520" w:type="dxa"/>
            <w:tcBorders>
              <w:top w:val="single" w:color="auto" w:sz="4" w:space="0"/>
              <w:left w:val="single" w:color="auto" w:sz="4" w:space="0"/>
              <w:bottom w:val="single" w:color="auto" w:sz="4" w:space="0"/>
              <w:right w:val="single" w:color="auto" w:sz="4" w:space="0"/>
            </w:tcBorders>
            <w:vAlign w:val="center"/>
          </w:tcPr>
          <w:p w14:paraId="5DE3C382">
            <w:pPr>
              <w:spacing w:line="240" w:lineRule="auto"/>
              <w:rPr>
                <w:rFonts w:hint="eastAsia" w:ascii="宋体" w:hAnsi="宋体" w:eastAsia="宋体" w:cs="宋体"/>
                <w:color w:val="auto"/>
                <w:spacing w:val="-2"/>
                <w:sz w:val="24"/>
                <w:szCs w:val="24"/>
                <w:highlight w:val="none"/>
                <w:lang w:val="zh-CN" w:eastAsia="zh-CN"/>
              </w:rPr>
            </w:pPr>
            <w:r>
              <w:rPr>
                <w:rFonts w:hint="eastAsia" w:ascii="宋体" w:hAnsi="宋体" w:eastAsia="宋体" w:cs="宋体"/>
                <w:color w:val="auto"/>
                <w:spacing w:val="-2"/>
                <w:sz w:val="24"/>
                <w:szCs w:val="24"/>
                <w:highlight w:val="none"/>
                <w:lang w:val="zh-CN" w:eastAsia="zh-CN"/>
              </w:rPr>
              <w:t>根据</w:t>
            </w:r>
            <w:r>
              <w:rPr>
                <w:rFonts w:hint="eastAsia" w:ascii="宋体" w:hAnsi="宋体" w:eastAsia="宋体" w:cs="宋体"/>
                <w:color w:val="auto"/>
                <w:sz w:val="24"/>
                <w:szCs w:val="24"/>
                <w:highlight w:val="none"/>
                <w:lang w:val="en-US" w:eastAsia="zh-CN"/>
              </w:rPr>
              <w:t>投标人应急风险防控</w:t>
            </w:r>
            <w:r>
              <w:rPr>
                <w:rFonts w:hint="eastAsia" w:ascii="宋体" w:hAnsi="宋体" w:eastAsia="宋体" w:cs="宋体"/>
                <w:color w:val="auto"/>
                <w:spacing w:val="-2"/>
                <w:sz w:val="24"/>
                <w:szCs w:val="24"/>
                <w:highlight w:val="none"/>
                <w:lang w:val="zh-CN" w:eastAsia="zh-CN"/>
              </w:rPr>
              <w:t>方案进行评审，包括但不限于：</w:t>
            </w:r>
          </w:p>
          <w:p w14:paraId="173D3116">
            <w:pPr>
              <w:numPr>
                <w:ilvl w:val="0"/>
                <w:numId w:val="0"/>
              </w:numPr>
              <w:spacing w:line="240" w:lineRule="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1.应急预案（3分）：</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pacing w:val="-2"/>
                <w:sz w:val="24"/>
                <w:szCs w:val="24"/>
                <w:highlight w:val="none"/>
                <w:lang w:val="en-US" w:eastAsia="zh-CN"/>
              </w:rPr>
              <w:t>突发供电中断及其他应急事件（例如：火情或地震等）（1分）、</w:t>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pacing w:val="-2"/>
                <w:sz w:val="24"/>
                <w:szCs w:val="24"/>
                <w:highlight w:val="none"/>
                <w:lang w:val="en-US" w:eastAsia="zh-CN"/>
              </w:rPr>
              <w:t>试验发现隐性隐患处置（1分）、</w:t>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pacing w:val="-2"/>
                <w:sz w:val="24"/>
                <w:szCs w:val="24"/>
                <w:highlight w:val="none"/>
                <w:lang w:val="en-US" w:eastAsia="zh-CN"/>
              </w:rPr>
              <w:t>设备轻微异常预判处理（1分）；</w:t>
            </w:r>
          </w:p>
          <w:p w14:paraId="555CE8D6">
            <w:pPr>
              <w:numPr>
                <w:ilvl w:val="0"/>
                <w:numId w:val="0"/>
              </w:numPr>
              <w:spacing w:line="240" w:lineRule="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2.风险防控（3分）：</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pacing w:val="-2"/>
                <w:sz w:val="24"/>
                <w:szCs w:val="24"/>
                <w:highlight w:val="none"/>
                <w:lang w:val="en-US" w:eastAsia="zh-CN"/>
              </w:rPr>
              <w:t>人身安全（1分）、</w:t>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pacing w:val="-2"/>
                <w:sz w:val="24"/>
                <w:szCs w:val="24"/>
                <w:highlight w:val="none"/>
                <w:lang w:val="en-US" w:eastAsia="zh-CN"/>
              </w:rPr>
              <w:t>设备安全（1分）、</w:t>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pacing w:val="-2"/>
                <w:sz w:val="24"/>
                <w:szCs w:val="24"/>
                <w:highlight w:val="none"/>
                <w:lang w:val="en-US" w:eastAsia="zh-CN"/>
              </w:rPr>
              <w:t>校园用电保障应急方案（1分）。</w:t>
            </w:r>
          </w:p>
          <w:p w14:paraId="70DF6E07">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每缺少一项内容扣1分；有一项内容存在缺陷的扣1分。扣完6分为止。</w:t>
            </w:r>
          </w:p>
          <w:p w14:paraId="7D6DDB21">
            <w:pPr>
              <w:rPr>
                <w:color w:val="auto"/>
                <w:highlight w:val="none"/>
              </w:rPr>
            </w:pPr>
            <w:r>
              <w:rPr>
                <w:rFonts w:hint="eastAsia" w:ascii="宋体" w:hAnsi="宋体" w:eastAsia="宋体" w:cs="宋体"/>
                <w:color w:val="auto"/>
                <w:sz w:val="24"/>
                <w:szCs w:val="24"/>
                <w:highlight w:val="none"/>
                <w:lang w:val="en-US" w:eastAsia="zh-CN"/>
              </w:rPr>
              <w:t>注明：</w:t>
            </w:r>
            <w:r>
              <w:rPr>
                <w:rFonts w:hint="eastAsia" w:ascii="宋体" w:hAnsi="宋体" w:eastAsia="宋体" w:cs="宋体"/>
                <w:color w:val="auto"/>
                <w:kern w:val="2"/>
                <w:sz w:val="24"/>
                <w:szCs w:val="24"/>
                <w:highlight w:val="none"/>
                <w:lang w:val="en-US" w:eastAsia="zh-CN" w:bidi="ar"/>
              </w:rPr>
              <w:t>本评审内容中“缺陷”是指</w:t>
            </w:r>
            <w:r>
              <w:rPr>
                <w:rFonts w:hint="eastAsia" w:ascii="宋体" w:hAnsi="宋体" w:eastAsia="宋体" w:cs="宋体"/>
                <w:color w:val="auto"/>
                <w:sz w:val="24"/>
                <w:szCs w:val="24"/>
                <w:highlight w:val="none"/>
              </w:rPr>
              <w:t>：①方案生搬硬套，与实际情况明显不符；②或存在与项目明显无关的文字内容；③或内容不适用项目的实际情况；④或对采购需求理解缺位混乱；⑤或描述的内容混乱，重点不突出；⑥或内容缺失不完善，可操作性较差；⑦或凭空编造，内容矛盾，前后逻辑错误；⑧或适用〈引用&gt;的规范及标准错误或已废止； ⑨或地点区域错误；⑩或项名称错误等。</w:t>
            </w:r>
          </w:p>
          <w:p w14:paraId="09BF1E17">
            <w:pPr>
              <w:rPr>
                <w:color w:val="auto"/>
                <w:highlight w:val="none"/>
              </w:rPr>
            </w:pPr>
          </w:p>
          <w:p w14:paraId="62FA71BC">
            <w:pPr>
              <w:numPr>
                <w:ilvl w:val="0"/>
                <w:numId w:val="0"/>
              </w:numPr>
              <w:spacing w:line="240" w:lineRule="auto"/>
              <w:rPr>
                <w:rFonts w:hint="eastAsia" w:ascii="宋体" w:hAnsi="宋体" w:eastAsia="宋体" w:cs="宋体"/>
                <w:color w:val="auto"/>
                <w:sz w:val="24"/>
                <w:szCs w:val="24"/>
                <w:highlight w:val="none"/>
                <w:lang w:val="en-US" w:eastAsia="zh-CN"/>
              </w:rPr>
            </w:pPr>
          </w:p>
        </w:tc>
      </w:tr>
      <w:tr w14:paraId="37B5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620" w:type="dxa"/>
            <w:vMerge w:val="continue"/>
            <w:tcBorders>
              <w:left w:val="single" w:color="auto" w:sz="4" w:space="0"/>
              <w:right w:val="single" w:color="auto" w:sz="4" w:space="0"/>
            </w:tcBorders>
            <w:vAlign w:val="center"/>
          </w:tcPr>
          <w:p w14:paraId="3FE271D2">
            <w:pPr>
              <w:spacing w:line="240" w:lineRule="auto"/>
              <w:jc w:val="center"/>
              <w:rPr>
                <w:rFonts w:hint="eastAsia" w:ascii="宋体" w:hAnsi="宋体" w:eastAsia="宋体" w:cs="宋体"/>
                <w:color w:val="auto"/>
                <w:spacing w:val="6"/>
                <w:sz w:val="24"/>
                <w:szCs w:val="24"/>
                <w:highlight w:val="none"/>
                <w:lang w:eastAsia="zh-CN"/>
              </w:rPr>
            </w:pPr>
          </w:p>
        </w:tc>
        <w:tc>
          <w:tcPr>
            <w:tcW w:w="606" w:type="dxa"/>
            <w:tcBorders>
              <w:left w:val="single" w:color="auto" w:sz="4" w:space="0"/>
              <w:right w:val="single" w:color="auto" w:sz="4" w:space="0"/>
            </w:tcBorders>
            <w:vAlign w:val="center"/>
          </w:tcPr>
          <w:p w14:paraId="7F66E71A">
            <w:pPr>
              <w:spacing w:line="240" w:lineRule="auto"/>
              <w:jc w:val="center"/>
              <w:rPr>
                <w:rFonts w:hint="default"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7</w:t>
            </w:r>
          </w:p>
        </w:tc>
        <w:tc>
          <w:tcPr>
            <w:tcW w:w="877" w:type="dxa"/>
            <w:tcBorders>
              <w:top w:val="single" w:color="auto" w:sz="4" w:space="0"/>
              <w:left w:val="single" w:color="auto" w:sz="4" w:space="0"/>
              <w:bottom w:val="single" w:color="auto" w:sz="4" w:space="0"/>
              <w:right w:val="single" w:color="auto" w:sz="4" w:space="0"/>
            </w:tcBorders>
            <w:vAlign w:val="center"/>
          </w:tcPr>
          <w:p w14:paraId="1EB4FBD0">
            <w:pPr>
              <w:spacing w:line="240" w:lineRule="auto"/>
              <w:jc w:val="center"/>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w:t>
            </w:r>
          </w:p>
        </w:tc>
        <w:tc>
          <w:tcPr>
            <w:tcW w:w="795" w:type="dxa"/>
            <w:tcBorders>
              <w:top w:val="single" w:color="auto" w:sz="4" w:space="0"/>
              <w:left w:val="single" w:color="auto" w:sz="4" w:space="0"/>
              <w:bottom w:val="single" w:color="auto" w:sz="4" w:space="0"/>
              <w:right w:val="single" w:color="auto" w:sz="4" w:space="0"/>
            </w:tcBorders>
            <w:vAlign w:val="center"/>
          </w:tcPr>
          <w:p w14:paraId="4B1BA44D">
            <w:pPr>
              <w:spacing w:line="240" w:lineRule="auto"/>
              <w:jc w:val="center"/>
              <w:rPr>
                <w:rFonts w:hint="default" w:ascii="宋体" w:hAnsi="宋体" w:eastAsia="宋体" w:cs="宋体"/>
                <w:color w:val="auto"/>
                <w:spacing w:val="6"/>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7520" w:type="dxa"/>
            <w:tcBorders>
              <w:top w:val="single" w:color="auto" w:sz="4" w:space="0"/>
              <w:left w:val="single" w:color="auto" w:sz="4" w:space="0"/>
              <w:bottom w:val="single" w:color="auto" w:sz="4" w:space="0"/>
              <w:right w:val="single" w:color="auto" w:sz="4" w:space="0"/>
            </w:tcBorders>
            <w:vAlign w:val="center"/>
          </w:tcPr>
          <w:p w14:paraId="576040D3">
            <w:pPr>
              <w:spacing w:line="240" w:lineRule="auto"/>
              <w:rPr>
                <w:rFonts w:hint="eastAsia" w:ascii="宋体" w:hAnsi="宋体" w:eastAsia="宋体" w:cs="宋体"/>
                <w:color w:val="auto"/>
                <w:spacing w:val="-2"/>
                <w:sz w:val="24"/>
                <w:szCs w:val="24"/>
                <w:highlight w:val="none"/>
                <w:lang w:val="zh-CN" w:eastAsia="zh-CN"/>
              </w:rPr>
            </w:pPr>
            <w:r>
              <w:rPr>
                <w:rFonts w:hint="eastAsia" w:ascii="宋体" w:hAnsi="宋体" w:eastAsia="宋体" w:cs="宋体"/>
                <w:color w:val="auto"/>
                <w:spacing w:val="-2"/>
                <w:sz w:val="24"/>
                <w:szCs w:val="24"/>
                <w:highlight w:val="none"/>
                <w:lang w:val="zh-CN" w:eastAsia="zh-CN"/>
              </w:rPr>
              <w:t>根据</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pacing w:val="-2"/>
                <w:sz w:val="24"/>
                <w:szCs w:val="24"/>
                <w:highlight w:val="none"/>
                <w:lang w:val="zh-CN" w:eastAsia="zh-CN"/>
              </w:rPr>
              <w:t>售后服务方案进行评审，包括但不限于：</w:t>
            </w:r>
          </w:p>
          <w:p w14:paraId="1199B937">
            <w:pPr>
              <w:numPr>
                <w:ilvl w:val="0"/>
                <w:numId w:val="0"/>
              </w:numPr>
              <w:spacing w:line="240" w:lineRule="auto"/>
              <w:rPr>
                <w:rFonts w:hint="default" w:ascii="宋体" w:hAnsi="宋体" w:eastAsia="宋体" w:cs="宋体"/>
                <w:color w:val="auto"/>
                <w:spacing w:val="-2"/>
                <w:sz w:val="24"/>
                <w:szCs w:val="24"/>
                <w:highlight w:val="none"/>
                <w:lang w:val="en-US" w:eastAsia="zh-CN"/>
              </w:rPr>
            </w:pPr>
            <w:r>
              <w:rPr>
                <w:rFonts w:hint="eastAsia" w:ascii="宋体" w:hAnsi="宋体" w:eastAsia="宋体" w:cs="宋体"/>
                <w:snapToGrid w:val="0"/>
                <w:color w:val="auto"/>
                <w:spacing w:val="-2"/>
                <w:sz w:val="24"/>
                <w:szCs w:val="24"/>
                <w:highlight w:val="none"/>
                <w:lang w:val="en-US" w:eastAsia="zh-CN" w:bidi="ar-SA"/>
              </w:rPr>
              <w:t>1.</w:t>
            </w:r>
            <w:r>
              <w:rPr>
                <w:rFonts w:hint="eastAsia" w:ascii="宋体" w:hAnsi="宋体" w:eastAsia="宋体" w:cs="宋体"/>
                <w:color w:val="auto"/>
                <w:spacing w:val="-2"/>
                <w:sz w:val="24"/>
                <w:szCs w:val="24"/>
                <w:highlight w:val="none"/>
                <w:lang w:val="en-US" w:eastAsia="zh-CN"/>
              </w:rPr>
              <w:t>售后服务计划</w:t>
            </w:r>
            <w:r>
              <w:rPr>
                <w:rFonts w:hint="eastAsia" w:ascii="宋体" w:hAnsi="宋体" w:eastAsia="宋体" w:cs="宋体"/>
                <w:color w:val="auto"/>
                <w:sz w:val="24"/>
                <w:szCs w:val="24"/>
                <w:highlight w:val="none"/>
                <w:lang w:val="en-US" w:eastAsia="zh-CN"/>
              </w:rPr>
              <w:t>（3分）：①试验成果质保周期（1分）、②隐患跟踪回访、（1分）、③免费技术咨询（1分）；</w:t>
            </w:r>
          </w:p>
          <w:p w14:paraId="6960FC02">
            <w:pPr>
              <w:numPr>
                <w:ilvl w:val="0"/>
                <w:numId w:val="0"/>
              </w:num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lang w:val="en-US" w:eastAsia="zh-CN"/>
              </w:rPr>
              <w:t>2.售后服务措施</w:t>
            </w:r>
            <w:r>
              <w:rPr>
                <w:rFonts w:hint="eastAsia" w:ascii="宋体" w:hAnsi="宋体" w:eastAsia="宋体" w:cs="宋体"/>
                <w:color w:val="auto"/>
                <w:sz w:val="24"/>
                <w:szCs w:val="24"/>
                <w:highlight w:val="none"/>
                <w:lang w:val="en-US" w:eastAsia="zh-CN"/>
              </w:rPr>
              <w:t>（3分）：①协助高校建立设备试验台账（1分）、②、周期维保计划（1分）、③隐患整改措施（1分）；</w:t>
            </w:r>
          </w:p>
          <w:p w14:paraId="41539570">
            <w:pPr>
              <w:numPr>
                <w:ilvl w:val="0"/>
                <w:numId w:val="0"/>
              </w:num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lang w:val="en-US" w:eastAsia="zh-CN"/>
              </w:rPr>
              <w:t>3.后续技术支持方案</w:t>
            </w:r>
            <w:r>
              <w:rPr>
                <w:rFonts w:hint="eastAsia" w:ascii="宋体" w:hAnsi="宋体" w:eastAsia="宋体" w:cs="宋体"/>
                <w:color w:val="auto"/>
                <w:sz w:val="24"/>
                <w:szCs w:val="24"/>
                <w:highlight w:val="none"/>
                <w:lang w:val="en-US" w:eastAsia="zh-CN"/>
              </w:rPr>
              <w:t>（3分）：①后期复检（1分）、②年度预试衔接（1分）、③技术培训交底服务（1分）；</w:t>
            </w:r>
          </w:p>
          <w:p w14:paraId="0C756DD1">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每缺少一项内容扣1分；有一项内容存在缺陷的扣1分。扣完9分为止。</w:t>
            </w:r>
          </w:p>
          <w:p w14:paraId="77362F8E">
            <w:pPr>
              <w:rPr>
                <w:color w:val="auto"/>
                <w:highlight w:val="none"/>
              </w:rPr>
            </w:pPr>
            <w:r>
              <w:rPr>
                <w:rFonts w:hint="eastAsia" w:ascii="宋体" w:hAnsi="宋体" w:eastAsia="宋体" w:cs="宋体"/>
                <w:color w:val="auto"/>
                <w:sz w:val="24"/>
                <w:szCs w:val="24"/>
                <w:highlight w:val="none"/>
                <w:lang w:val="en-US" w:eastAsia="zh-CN"/>
              </w:rPr>
              <w:t>注明：</w:t>
            </w:r>
            <w:r>
              <w:rPr>
                <w:rFonts w:hint="eastAsia" w:ascii="宋体" w:hAnsi="宋体" w:eastAsia="宋体" w:cs="宋体"/>
                <w:color w:val="auto"/>
                <w:kern w:val="2"/>
                <w:sz w:val="24"/>
                <w:szCs w:val="24"/>
                <w:highlight w:val="none"/>
                <w:lang w:val="en-US" w:eastAsia="zh-CN" w:bidi="ar"/>
              </w:rPr>
              <w:t>本评审内容中“缺陷”是指</w:t>
            </w:r>
            <w:r>
              <w:rPr>
                <w:rFonts w:hint="eastAsia" w:ascii="宋体" w:hAnsi="宋体" w:eastAsia="宋体" w:cs="宋体"/>
                <w:color w:val="auto"/>
                <w:sz w:val="24"/>
                <w:szCs w:val="24"/>
                <w:highlight w:val="none"/>
              </w:rPr>
              <w:t>：①方案生搬硬套，与实际情况明显不符；②或存在与项目明显无关的文字内容；③或内容不适用项目的实际情况；④或对采购需求理解缺位混乱；⑤或描述的内容混乱，重点不突出；⑥或内容缺失不完善，可操作性较差；⑦或凭空编造，内容矛盾，前后逻辑错误；⑧或适用〈引用&gt;的规范及标准错误或已废止； ⑨或地点区域错误；⑩或项名称错误等。</w:t>
            </w:r>
          </w:p>
          <w:p w14:paraId="340D1AA8">
            <w:pPr>
              <w:rPr>
                <w:color w:val="auto"/>
                <w:highlight w:val="none"/>
              </w:rPr>
            </w:pPr>
          </w:p>
          <w:p w14:paraId="0A9D28FC">
            <w:pPr>
              <w:spacing w:line="240" w:lineRule="auto"/>
              <w:rPr>
                <w:rFonts w:hint="eastAsia" w:ascii="宋体" w:hAnsi="宋体" w:eastAsia="宋体" w:cs="宋体"/>
                <w:color w:val="auto"/>
                <w:sz w:val="24"/>
                <w:szCs w:val="24"/>
                <w:highlight w:val="none"/>
                <w:lang w:eastAsia="zh-CN"/>
              </w:rPr>
            </w:pPr>
          </w:p>
        </w:tc>
      </w:tr>
    </w:tbl>
    <w:p w14:paraId="67A46472">
      <w:pPr>
        <w:spacing w:line="56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28AE468D">
      <w:pPr>
        <w:spacing w:line="560" w:lineRule="exact"/>
        <w:jc w:val="center"/>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报价部分评</w:t>
      </w:r>
      <w:r>
        <w:rPr>
          <w:rFonts w:hint="eastAsia" w:ascii="宋体" w:hAnsi="宋体" w:eastAsia="宋体" w:cs="宋体"/>
          <w:b/>
          <w:bCs/>
          <w:color w:val="auto"/>
          <w:sz w:val="24"/>
          <w:szCs w:val="24"/>
          <w:highlight w:val="none"/>
          <w:lang w:val="zh-CN" w:eastAsia="zh-CN"/>
        </w:rPr>
        <w:t>审</w:t>
      </w:r>
      <w:r>
        <w:rPr>
          <w:rFonts w:hint="eastAsia" w:ascii="宋体" w:hAnsi="宋体" w:eastAsia="宋体" w:cs="宋体"/>
          <w:b/>
          <w:bCs/>
          <w:color w:val="auto"/>
          <w:sz w:val="24"/>
          <w:szCs w:val="24"/>
          <w:highlight w:val="none"/>
          <w:lang w:eastAsia="zh-CN"/>
        </w:rPr>
        <w:t>标准（</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0分）</w:t>
      </w:r>
    </w:p>
    <w:tbl>
      <w:tblPr>
        <w:tblStyle w:val="3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429"/>
        <w:gridCol w:w="6518"/>
      </w:tblGrid>
      <w:tr w14:paraId="37ED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75" w:type="dxa"/>
            <w:vAlign w:val="center"/>
          </w:tcPr>
          <w:p w14:paraId="40D56098">
            <w:pPr>
              <w:spacing w:line="560" w:lineRule="exact"/>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序号</w:t>
            </w:r>
          </w:p>
        </w:tc>
        <w:tc>
          <w:tcPr>
            <w:tcW w:w="1429" w:type="dxa"/>
            <w:vAlign w:val="center"/>
          </w:tcPr>
          <w:p w14:paraId="54E78B19">
            <w:pPr>
              <w:spacing w:line="560" w:lineRule="exact"/>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评标项目</w:t>
            </w:r>
          </w:p>
        </w:tc>
        <w:tc>
          <w:tcPr>
            <w:tcW w:w="6518" w:type="dxa"/>
            <w:vAlign w:val="center"/>
          </w:tcPr>
          <w:p w14:paraId="51D01CCA">
            <w:pPr>
              <w:spacing w:line="560" w:lineRule="exact"/>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评分标准</w:t>
            </w:r>
          </w:p>
        </w:tc>
      </w:tr>
      <w:tr w14:paraId="7A75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75" w:type="dxa"/>
            <w:vAlign w:val="center"/>
          </w:tcPr>
          <w:p w14:paraId="28D57411">
            <w:pPr>
              <w:spacing w:line="560" w:lineRule="exact"/>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w:t>
            </w:r>
          </w:p>
        </w:tc>
        <w:tc>
          <w:tcPr>
            <w:tcW w:w="1429" w:type="dxa"/>
            <w:vAlign w:val="center"/>
          </w:tcPr>
          <w:p w14:paraId="1FD27064">
            <w:pPr>
              <w:spacing w:line="56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投标报价</w:t>
            </w:r>
          </w:p>
        </w:tc>
        <w:tc>
          <w:tcPr>
            <w:tcW w:w="6518" w:type="dxa"/>
            <w:vAlign w:val="center"/>
          </w:tcPr>
          <w:p w14:paraId="039C0D4D">
            <w:pPr>
              <w:spacing w:line="5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价格分统一采用</w:t>
            </w:r>
            <w:r>
              <w:rPr>
                <w:rFonts w:hint="eastAsia" w:ascii="宋体" w:hAnsi="宋体" w:eastAsia="宋体" w:cs="宋体"/>
                <w:color w:val="auto"/>
                <w:sz w:val="24"/>
                <w:szCs w:val="24"/>
                <w:highlight w:val="none"/>
                <w:lang w:eastAsia="zh-CN"/>
              </w:rPr>
              <w:t>低价</w:t>
            </w:r>
            <w:r>
              <w:rPr>
                <w:rFonts w:hint="eastAsia" w:ascii="宋体" w:hAnsi="宋体" w:eastAsia="宋体" w:cs="宋体"/>
                <w:color w:val="auto"/>
                <w:sz w:val="24"/>
                <w:szCs w:val="24"/>
                <w:highlight w:val="none"/>
                <w:lang w:val="zh-CN" w:eastAsia="zh-CN"/>
              </w:rPr>
              <w:t>优先法计算，即满足招标文件要求且投标单价合计金额最低</w:t>
            </w:r>
            <w:r>
              <w:rPr>
                <w:rFonts w:hint="eastAsia" w:ascii="宋体" w:hAnsi="宋体" w:eastAsia="宋体" w:cs="宋体"/>
                <w:color w:val="auto"/>
                <w:sz w:val="24"/>
                <w:szCs w:val="24"/>
                <w:highlight w:val="none"/>
                <w:lang w:val="en-US" w:eastAsia="zh-CN"/>
              </w:rPr>
              <w:t>的投标</w:t>
            </w:r>
            <w:r>
              <w:rPr>
                <w:rFonts w:hint="eastAsia" w:ascii="宋体" w:hAnsi="宋体" w:eastAsia="宋体" w:cs="宋体"/>
                <w:color w:val="auto"/>
                <w:sz w:val="24"/>
                <w:szCs w:val="24"/>
                <w:highlight w:val="none"/>
                <w:lang w:val="zh-CN" w:eastAsia="zh-CN"/>
              </w:rPr>
              <w:t>报价为评标基准价，其价格分为满分；</w:t>
            </w:r>
          </w:p>
          <w:p w14:paraId="16BFE0C3">
            <w:pPr>
              <w:spacing w:line="5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其他投标人的价格分统一按照下列公式计算：</w:t>
            </w:r>
          </w:p>
          <w:p w14:paraId="0BC0F472">
            <w:pPr>
              <w:spacing w:line="5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投标报价得分=（评标基准价/投标报价）×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0；</w:t>
            </w:r>
          </w:p>
          <w:p w14:paraId="370F2751">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项目评审过程中，不得去掉最后报价中的最高报价和最低报价。</w:t>
            </w:r>
          </w:p>
        </w:tc>
      </w:tr>
      <w:tr w14:paraId="42BA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5" w:type="dxa"/>
            <w:vMerge w:val="restart"/>
            <w:vAlign w:val="center"/>
          </w:tcPr>
          <w:p w14:paraId="185EDFEB">
            <w:pPr>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政府采购政策说明</w:t>
            </w:r>
          </w:p>
        </w:tc>
        <w:tc>
          <w:tcPr>
            <w:tcW w:w="1429" w:type="dxa"/>
            <w:vMerge w:val="restart"/>
            <w:vAlign w:val="center"/>
          </w:tcPr>
          <w:p w14:paraId="0AC10886">
            <w:pPr>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中小企业</w:t>
            </w:r>
          </w:p>
        </w:tc>
        <w:tc>
          <w:tcPr>
            <w:tcW w:w="6518" w:type="dxa"/>
            <w:vAlign w:val="center"/>
          </w:tcPr>
          <w:p w14:paraId="2A70C177">
            <w:pPr>
              <w:spacing w:line="5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根据工信部等部委发布的《关于印发中小企业划型标准规定的通知》（工信部联企业〔2011〕300号），按照本次</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lang w:val="zh-CN" w:eastAsia="zh-CN"/>
              </w:rPr>
              <w:t>标的所属行业的划型标准（</w:t>
            </w:r>
            <w:r>
              <w:rPr>
                <w:rFonts w:hint="eastAsia" w:ascii="宋体" w:hAnsi="宋体" w:eastAsia="宋体" w:cs="宋体"/>
                <w:color w:val="auto"/>
                <w:sz w:val="24"/>
                <w:szCs w:val="24"/>
                <w:highlight w:val="none"/>
                <w:lang w:eastAsia="zh-CN"/>
              </w:rPr>
              <w:t>招标文件载明的行业）</w:t>
            </w:r>
            <w:r>
              <w:rPr>
                <w:rFonts w:hint="eastAsia" w:ascii="宋体" w:hAnsi="宋体" w:eastAsia="宋体" w:cs="宋体"/>
                <w:color w:val="auto"/>
                <w:sz w:val="24"/>
                <w:szCs w:val="24"/>
                <w:highlight w:val="none"/>
                <w:lang w:val="zh-CN" w:eastAsia="zh-CN"/>
              </w:rPr>
              <w:t>，符合条件的中小企业须提供</w:t>
            </w:r>
            <w:r>
              <w:rPr>
                <w:rFonts w:hint="eastAsia" w:ascii="宋体" w:hAnsi="宋体" w:eastAsia="宋体" w:cs="宋体"/>
                <w:color w:val="auto"/>
                <w:sz w:val="24"/>
                <w:szCs w:val="24"/>
                <w:highlight w:val="none"/>
                <w:lang w:eastAsia="zh-CN"/>
              </w:rPr>
              <w:t>招标文件提供格式的</w:t>
            </w:r>
            <w:r>
              <w:rPr>
                <w:rFonts w:hint="eastAsia" w:ascii="宋体" w:hAnsi="宋体" w:eastAsia="宋体" w:cs="宋体"/>
                <w:color w:val="auto"/>
                <w:sz w:val="24"/>
                <w:szCs w:val="24"/>
                <w:highlight w:val="none"/>
                <w:lang w:val="zh-CN" w:eastAsia="zh-CN"/>
              </w:rPr>
              <w:t>《中小企业声明函》。投标人应当对其出具的《中小企业声明函》真实性负责，投标人出具的《中小企业声明函》内容不实的，属于提供虚假材料谋取中标，依照《中华人民共和国政府采购法》等国家有关规定追究相应责任。</w:t>
            </w:r>
          </w:p>
        </w:tc>
      </w:tr>
      <w:tr w14:paraId="2082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5" w:type="dxa"/>
            <w:vMerge w:val="continue"/>
            <w:vAlign w:val="center"/>
          </w:tcPr>
          <w:p w14:paraId="11BDF107">
            <w:pPr>
              <w:spacing w:line="560" w:lineRule="exact"/>
              <w:rPr>
                <w:rFonts w:hint="eastAsia" w:ascii="宋体" w:hAnsi="宋体" w:eastAsia="宋体" w:cs="宋体"/>
                <w:color w:val="auto"/>
                <w:sz w:val="24"/>
                <w:szCs w:val="24"/>
                <w:highlight w:val="none"/>
                <w:lang w:val="zh-CN" w:eastAsia="zh-CN"/>
              </w:rPr>
            </w:pPr>
          </w:p>
        </w:tc>
        <w:tc>
          <w:tcPr>
            <w:tcW w:w="1429" w:type="dxa"/>
            <w:vMerge w:val="continue"/>
            <w:vAlign w:val="center"/>
          </w:tcPr>
          <w:p w14:paraId="3ED44B39">
            <w:pPr>
              <w:spacing w:line="560" w:lineRule="exact"/>
              <w:rPr>
                <w:rFonts w:hint="eastAsia" w:ascii="宋体" w:hAnsi="宋体" w:eastAsia="宋体" w:cs="宋体"/>
                <w:color w:val="auto"/>
                <w:sz w:val="24"/>
                <w:szCs w:val="24"/>
                <w:highlight w:val="none"/>
                <w:lang w:val="zh-CN" w:eastAsia="zh-CN"/>
              </w:rPr>
            </w:pPr>
          </w:p>
        </w:tc>
        <w:tc>
          <w:tcPr>
            <w:tcW w:w="6518" w:type="dxa"/>
            <w:vAlign w:val="center"/>
          </w:tcPr>
          <w:p w14:paraId="71568D97">
            <w:pPr>
              <w:spacing w:line="5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w:t>
            </w:r>
            <w:r>
              <w:rPr>
                <w:rFonts w:hint="eastAsia" w:ascii="宋体" w:hAnsi="宋体" w:eastAsia="宋体" w:cs="宋体"/>
                <w:color w:val="auto"/>
                <w:sz w:val="24"/>
                <w:szCs w:val="24"/>
                <w:highlight w:val="none"/>
                <w:lang w:eastAsia="zh-CN"/>
              </w:rPr>
              <w:t>对于预留份额的政府采购项目，不执行价格评审政策优惠</w:t>
            </w:r>
            <w:r>
              <w:rPr>
                <w:rFonts w:hint="eastAsia" w:ascii="宋体" w:hAnsi="宋体" w:eastAsia="宋体" w:cs="宋体"/>
                <w:color w:val="auto"/>
                <w:sz w:val="24"/>
                <w:szCs w:val="24"/>
                <w:highlight w:val="none"/>
                <w:lang w:val="zh-CN" w:eastAsia="zh-CN"/>
              </w:rPr>
              <w:t>。</w:t>
            </w:r>
          </w:p>
        </w:tc>
      </w:tr>
      <w:tr w14:paraId="4615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75" w:type="dxa"/>
            <w:vMerge w:val="continue"/>
            <w:vAlign w:val="center"/>
          </w:tcPr>
          <w:p w14:paraId="54761FE8">
            <w:pPr>
              <w:spacing w:line="560" w:lineRule="exact"/>
              <w:rPr>
                <w:rFonts w:hint="eastAsia" w:ascii="宋体" w:hAnsi="宋体" w:eastAsia="宋体" w:cs="宋体"/>
                <w:color w:val="auto"/>
                <w:sz w:val="24"/>
                <w:szCs w:val="24"/>
                <w:highlight w:val="none"/>
                <w:lang w:val="zh-CN" w:eastAsia="zh-CN"/>
              </w:rPr>
            </w:pPr>
          </w:p>
        </w:tc>
        <w:tc>
          <w:tcPr>
            <w:tcW w:w="1429" w:type="dxa"/>
            <w:vAlign w:val="center"/>
          </w:tcPr>
          <w:p w14:paraId="52B2E1CB">
            <w:pPr>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监狱企业</w:t>
            </w:r>
          </w:p>
        </w:tc>
        <w:tc>
          <w:tcPr>
            <w:tcW w:w="6518" w:type="dxa"/>
            <w:vAlign w:val="center"/>
          </w:tcPr>
          <w:p w14:paraId="338D12C5">
            <w:pPr>
              <w:spacing w:line="5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根据财库〔2014〕68号《财政部司法部关于政府采购支持监狱企业发展有关问题的通知》，能够提供由省级以上监狱管理局、戒毒管理局（含新疆生产建设兵团）出具的“属于监狱企业的证明文件”的监狱企业，视同小型、微型企业，享受预留份额、评审中价格扣除等政府采购促进中小企业发展的政府采购政策。</w:t>
            </w:r>
            <w:r>
              <w:rPr>
                <w:rFonts w:hint="eastAsia" w:ascii="宋体" w:hAnsi="宋体" w:eastAsia="宋体" w:cs="宋体"/>
                <w:color w:val="auto"/>
                <w:sz w:val="24"/>
                <w:szCs w:val="24"/>
                <w:highlight w:val="none"/>
                <w:lang w:eastAsia="zh-CN"/>
              </w:rPr>
              <w:t>对于预留份额的政府采购项目，不执行价格评审政策优惠。</w:t>
            </w:r>
          </w:p>
        </w:tc>
      </w:tr>
      <w:tr w14:paraId="1309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75" w:type="dxa"/>
            <w:vMerge w:val="continue"/>
            <w:vAlign w:val="center"/>
          </w:tcPr>
          <w:p w14:paraId="51C7AB08">
            <w:pPr>
              <w:spacing w:line="560" w:lineRule="exact"/>
              <w:rPr>
                <w:rFonts w:hint="eastAsia" w:ascii="宋体" w:hAnsi="宋体" w:eastAsia="宋体" w:cs="宋体"/>
                <w:color w:val="auto"/>
                <w:sz w:val="24"/>
                <w:szCs w:val="24"/>
                <w:highlight w:val="none"/>
                <w:lang w:val="zh-CN" w:eastAsia="zh-CN"/>
              </w:rPr>
            </w:pPr>
          </w:p>
        </w:tc>
        <w:tc>
          <w:tcPr>
            <w:tcW w:w="1429" w:type="dxa"/>
            <w:vAlign w:val="center"/>
          </w:tcPr>
          <w:p w14:paraId="73F92453">
            <w:pPr>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福利企业</w:t>
            </w:r>
          </w:p>
        </w:tc>
        <w:tc>
          <w:tcPr>
            <w:tcW w:w="6518" w:type="dxa"/>
            <w:vAlign w:val="center"/>
          </w:tcPr>
          <w:p w14:paraId="37F37CDD">
            <w:pPr>
              <w:spacing w:line="5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根据财库〔2017〕141号《财政部民政部中国残疾人联合会关于促进残疾人就业政府采购政策的通知》，符合享受政府采购支持政策的残疾人福利性单位条件且提供自拟格式的《残疾人福利性单位声明函》的残疾人福利性单位，视同中小企业。向残疾人福利性单位采购的金额，计入面向中小企业采购的统计数据。残疾人福利性单位属于小型、微型企业的，不重复享受政策。</w:t>
            </w:r>
          </w:p>
        </w:tc>
      </w:tr>
      <w:tr w14:paraId="7BDE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75" w:type="dxa"/>
            <w:vMerge w:val="continue"/>
            <w:vAlign w:val="center"/>
          </w:tcPr>
          <w:p w14:paraId="00252A22">
            <w:pPr>
              <w:spacing w:line="560" w:lineRule="exact"/>
              <w:rPr>
                <w:rFonts w:hint="eastAsia" w:ascii="宋体" w:hAnsi="宋体" w:eastAsia="宋体" w:cs="宋体"/>
                <w:color w:val="auto"/>
                <w:sz w:val="24"/>
                <w:szCs w:val="24"/>
                <w:highlight w:val="none"/>
                <w:lang w:val="zh-CN" w:eastAsia="zh-CN"/>
              </w:rPr>
            </w:pPr>
          </w:p>
        </w:tc>
        <w:tc>
          <w:tcPr>
            <w:tcW w:w="1429" w:type="dxa"/>
            <w:vAlign w:val="center"/>
          </w:tcPr>
          <w:p w14:paraId="2CCDFEFE">
            <w:pPr>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特别说明</w:t>
            </w:r>
          </w:p>
        </w:tc>
        <w:tc>
          <w:tcPr>
            <w:tcW w:w="6518" w:type="dxa"/>
            <w:vAlign w:val="center"/>
          </w:tcPr>
          <w:p w14:paraId="75BC294B">
            <w:pPr>
              <w:spacing w:line="5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zh-CN" w:eastAsia="zh-CN"/>
              </w:rPr>
              <w:t>）</w:t>
            </w:r>
            <w:r>
              <w:rPr>
                <w:rFonts w:hint="eastAsia" w:ascii="宋体" w:hAnsi="宋体" w:eastAsia="宋体" w:cs="宋体"/>
                <w:bCs/>
                <w:color w:val="auto"/>
                <w:sz w:val="24"/>
                <w:szCs w:val="24"/>
                <w:highlight w:val="none"/>
                <w:lang w:eastAsia="zh-CN"/>
              </w:rPr>
              <w:t>按照《政府采购促进中小企业发展管理办法》（财库〔2020〕46号，以下称《办法》）规定，在货物采购项目中，货物由中小企业制造（货物由中小企业生产且使用该中小企业商号或者注册商标）的，可享受中小企业扶持政策。如果一个采购项目或采购包含有多个采购标的的，则每个采购标的均应由中小企业制造。采购项目或者采购包中，大型企业提供的所有采购标的均为小微企业制造的，可享受价格评审优惠政策。</w:t>
            </w:r>
          </w:p>
          <w:p w14:paraId="4E89145C">
            <w:pPr>
              <w:spacing w:line="5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（2）对于预留份额的政府采购项目，不执行价格评审政策优惠。</w:t>
            </w:r>
          </w:p>
        </w:tc>
      </w:tr>
    </w:tbl>
    <w:p w14:paraId="35099C98">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4.5.1投标人总分=报价部分得分+技术、商务部分</w:t>
      </w:r>
      <w:r>
        <w:rPr>
          <w:rFonts w:hint="eastAsia" w:ascii="宋体" w:hAnsi="宋体" w:eastAsia="宋体" w:cs="宋体"/>
          <w:color w:val="auto"/>
          <w:sz w:val="24"/>
          <w:szCs w:val="24"/>
          <w:highlight w:val="none"/>
          <w:lang w:eastAsia="zh-CN"/>
        </w:rPr>
        <w:t>得分，结果保留两位小数。</w:t>
      </w:r>
    </w:p>
    <w:p w14:paraId="4CC943C4">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 终止招标</w:t>
      </w:r>
    </w:p>
    <w:p w14:paraId="60399A28">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采购人、采购代理机构在发布招标公告、资格预审公告或者发出投标邀请书后，除因重大变故采购任务取消情况外，不得擅自终止招标活动。</w:t>
      </w:r>
    </w:p>
    <w:p w14:paraId="1CDBD636">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38B59BC0">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 定标</w:t>
      </w:r>
    </w:p>
    <w:p w14:paraId="2A24EF31">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6.1. 定标原则：本项目根据评标委员会推荐的中标候选人名单，按顺序确定中标人。</w:t>
      </w:r>
    </w:p>
    <w:p w14:paraId="65F8E77E">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6.2. 定标程序</w:t>
      </w:r>
    </w:p>
    <w:p w14:paraId="18D5AB8F">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6.2.1 评标委员会将评标情况写出书面报告，推荐中标候选人，并按照综合得分高低标明排列顺序。本项目采用综合评分法，评标结果按评标后得分由高到低顺序排列。得分相同的，按投标报价由低到高顺序排列。得分且投标报价相同的按照技术指标优劣顺序推荐。</w:t>
      </w:r>
    </w:p>
    <w:p w14:paraId="58235E2C">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6.2.2 采购代理机构在评标结束后两个工作日内将评标报告送至采购人。</w:t>
      </w:r>
    </w:p>
    <w:p w14:paraId="5FE093ED">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6.2.3 采购人应当自收到评标报告之日起5个工作日内在评标报告推荐的中标候选人中按顺序确定中标人。</w:t>
      </w:r>
    </w:p>
    <w:p w14:paraId="4597D20D">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6.2.4 根据采购人确定的中标人，采购人在招标公告发布的媒体上发布中标公告，同时向中标人发出中标通知书。</w:t>
      </w:r>
    </w:p>
    <w:p w14:paraId="6C62063A">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6.2.5 采购人不退回投标文件和其他投标资料。</w:t>
      </w:r>
    </w:p>
    <w:p w14:paraId="0795C02E">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 评标专家在政府采购活动中承担以下义务：</w:t>
      </w:r>
    </w:p>
    <w:p w14:paraId="16FA67C6">
      <w:pPr>
        <w:spacing w:line="560" w:lineRule="exact"/>
        <w:ind w:firstLine="480" w:firstLineChars="200"/>
        <w:textAlignment w:val="bottom"/>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7.1 遵纪守法，客观、公正、廉洁地履行职责。</w:t>
      </w:r>
    </w:p>
    <w:p w14:paraId="1F6BE036">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7.2 按照政府采购相关法律法规和招标文件的规定对投标人的资格条件和投标人提供的商务、价格、技术服务、业绩、对招标文件的响应程度以及投标文件规范性等方面进行评价，提供科学合理、公平公正的评标意见，参与起草评标报告，并予签字确认。</w:t>
      </w:r>
    </w:p>
    <w:p w14:paraId="088543D3">
      <w:pPr>
        <w:spacing w:line="560" w:lineRule="exact"/>
        <w:ind w:firstLine="480" w:firstLineChars="200"/>
        <w:textAlignment w:val="bottom"/>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7.3 保守秘密。不得透露招标项目情况，不得泄漏投标人的投标文件及知悉的商业秘密，不得向投标人透露评标情况。</w:t>
      </w:r>
    </w:p>
    <w:p w14:paraId="7B879EB6">
      <w:pPr>
        <w:spacing w:line="560" w:lineRule="exact"/>
        <w:ind w:firstLine="480" w:firstLineChars="200"/>
        <w:textAlignment w:val="bottom"/>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7.4 发现投标人在政府采购活动中有不正当竞争或恶意串通等违规行为，及时向政府采购评标工作的组织者或财政部门报告并加以制止。</w:t>
      </w:r>
    </w:p>
    <w:p w14:paraId="1CE09AA4">
      <w:pPr>
        <w:spacing w:line="560" w:lineRule="exact"/>
        <w:ind w:firstLine="480" w:firstLineChars="200"/>
        <w:textAlignment w:val="bottom"/>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发现采购人、采购代理机构及其工作人员在招标活动中有干预评标、发表倾向性和歧视性言论、受贿或者接受投标人的其他好处及其他违法违规行为，及时向财政部门报告。</w:t>
      </w:r>
    </w:p>
    <w:p w14:paraId="6F99360E">
      <w:pPr>
        <w:spacing w:line="560" w:lineRule="exact"/>
        <w:ind w:firstLine="480" w:firstLineChars="200"/>
        <w:textAlignment w:val="bottom"/>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7.5 配合采购人或者采购代理机构答复投标人质疑，配合投诉处理工作等事宜。</w:t>
      </w:r>
    </w:p>
    <w:p w14:paraId="63BBA4EE">
      <w:pPr>
        <w:spacing w:line="560" w:lineRule="exact"/>
        <w:ind w:firstLine="480" w:firstLineChars="200"/>
        <w:textAlignment w:val="bottom"/>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7.6 法律、法规和规章规定的其他义务。</w:t>
      </w:r>
    </w:p>
    <w:p w14:paraId="30B32364">
      <w:pPr>
        <w:spacing w:line="560" w:lineRule="exact"/>
        <w:ind w:firstLine="482" w:firstLineChars="200"/>
        <w:textAlignment w:val="bottom"/>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8</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color w:val="auto"/>
          <w:sz w:val="24"/>
          <w:szCs w:val="24"/>
          <w:highlight w:val="none"/>
          <w:lang w:eastAsia="zh-CN"/>
        </w:rPr>
        <w:t>评标专家在招标活动中应当遵守以下工作纪律：</w:t>
      </w:r>
    </w:p>
    <w:p w14:paraId="63618081">
      <w:pPr>
        <w:spacing w:line="560" w:lineRule="exact"/>
        <w:ind w:firstLine="480" w:firstLineChars="200"/>
        <w:textAlignment w:val="bottom"/>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8.1 应邀按时参加评标活动。遇特殊情况不能出席或途中遇阻不能按时参加评标的，应及时告知财政部门或者采购人或者采购代理机构，不得私自转托他人。</w:t>
      </w:r>
    </w:p>
    <w:p w14:paraId="2E8BB227">
      <w:pPr>
        <w:spacing w:line="560" w:lineRule="exact"/>
        <w:ind w:firstLine="480" w:firstLineChars="200"/>
        <w:textAlignment w:val="bottom"/>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8.2 不得参加与自己有利害关系的招标项目的评标活动。对与自己有利害关系的评标项目，如受到邀请，应主动提出回避。财政部门、采购人或采购代理机构也可要求该评标专家回避。</w:t>
      </w:r>
    </w:p>
    <w:p w14:paraId="403E3B1D">
      <w:pPr>
        <w:spacing w:line="560" w:lineRule="exact"/>
        <w:ind w:firstLine="480" w:firstLineChars="200"/>
        <w:textAlignment w:val="bottom"/>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有利害关系主要是指三年内曾在参加该招标项目投标人中任职(包括一般工作）或担任顾问，配偶或直系亲属在参加该招标项目的投标人中任职或担任顾问，与参加该招标项目投标人发生过法律纠纷，以及其他可能影响公正评标的情况。</w:t>
      </w:r>
    </w:p>
    <w:p w14:paraId="2E6EA32D">
      <w:pPr>
        <w:spacing w:line="560" w:lineRule="exact"/>
        <w:ind w:firstLine="480" w:firstLineChars="200"/>
        <w:textAlignment w:val="bottom"/>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8.3 评标过程中关闭通讯设备，不得与外界联系。</w:t>
      </w:r>
    </w:p>
    <w:p w14:paraId="6576AE71">
      <w:pPr>
        <w:spacing w:line="560" w:lineRule="exact"/>
        <w:ind w:firstLine="480" w:firstLineChars="200"/>
        <w:textAlignment w:val="bottom"/>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8.4 评标过程中，不得发表影响评标公正的倾向性、歧视性言论；不得以任何明示或暗示的方式要求参加该招标项目的投标人以澄清、说明或补正为借口，表达与其原投标文件原意不同的新意见；不得以招标文件没有规定的方法和标准作为评标的依据；不得违反规定的评标格式评分和撰写评标意见；不得拒绝对自己的评标意见签字确认。</w:t>
      </w:r>
    </w:p>
    <w:p w14:paraId="150F0EA1">
      <w:pPr>
        <w:tabs>
          <w:tab w:val="left" w:pos="5400"/>
        </w:tabs>
        <w:spacing w:before="240" w:beforeLines="100" w:after="240" w:afterLines="100" w:line="48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color w:val="auto"/>
          <w:sz w:val="24"/>
          <w:szCs w:val="24"/>
          <w:highlight w:val="none"/>
          <w:lang w:eastAsia="zh-CN"/>
        </w:rPr>
        <w:br w:type="page"/>
      </w:r>
      <w:bookmarkEnd w:id="158"/>
    </w:p>
    <w:p w14:paraId="7DB0E757">
      <w:pPr>
        <w:pStyle w:val="2"/>
        <w:spacing w:line="560" w:lineRule="exact"/>
        <w:rPr>
          <w:rFonts w:hint="eastAsia" w:ascii="宋体" w:hAnsi="宋体" w:eastAsia="宋体" w:cs="宋体"/>
          <w:color w:val="auto"/>
          <w:sz w:val="24"/>
          <w:szCs w:val="24"/>
          <w:highlight w:val="none"/>
        </w:rPr>
      </w:pPr>
      <w:bookmarkStart w:id="160" w:name="_Toc3792"/>
      <w:bookmarkStart w:id="161" w:name="_Toc2856"/>
      <w:bookmarkStart w:id="162" w:name="_Toc5378"/>
      <w:r>
        <w:rPr>
          <w:rFonts w:hint="eastAsia" w:ascii="宋体" w:hAnsi="宋体" w:eastAsia="宋体" w:cs="宋体"/>
          <w:color w:val="auto"/>
          <w:sz w:val="24"/>
          <w:szCs w:val="24"/>
          <w:highlight w:val="none"/>
        </w:rPr>
        <w:t>第五章  拟签订的合同文本</w:t>
      </w:r>
      <w:bookmarkEnd w:id="160"/>
      <w:bookmarkEnd w:id="161"/>
      <w:bookmarkEnd w:id="162"/>
    </w:p>
    <w:p w14:paraId="712020B5">
      <w:pPr>
        <w:shd w:val="clear" w:color="auto" w:fill="FFFFFF"/>
        <w:spacing w:line="560" w:lineRule="exact"/>
        <w:jc w:val="center"/>
        <w:rPr>
          <w:rFonts w:hint="eastAsia" w:ascii="宋体" w:hAnsi="宋体" w:eastAsia="宋体" w:cs="宋体"/>
          <w:color w:val="auto"/>
          <w:sz w:val="24"/>
          <w:szCs w:val="24"/>
          <w:highlight w:val="none"/>
          <w:lang w:eastAsia="zh-CN"/>
        </w:rPr>
      </w:pPr>
      <w:bookmarkStart w:id="163" w:name="_Toc30479"/>
      <w:r>
        <w:rPr>
          <w:rFonts w:hint="eastAsia" w:ascii="宋体" w:hAnsi="宋体" w:eastAsia="宋体" w:cs="宋体"/>
          <w:color w:val="auto"/>
          <w:sz w:val="24"/>
          <w:szCs w:val="24"/>
          <w:highlight w:val="none"/>
          <w:lang w:eastAsia="zh-CN"/>
        </w:rPr>
        <w:t>（仅供参考，具体合同条款以最终签订为准）</w:t>
      </w:r>
    </w:p>
    <w:p w14:paraId="26DA8DA2">
      <w:pPr>
        <w:spacing w:line="240" w:lineRule="auto"/>
        <w:jc w:val="center"/>
        <w:outlineLvl w:val="9"/>
        <w:rPr>
          <w:rFonts w:ascii="宋体" w:hAnsi="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电力设备</w:t>
      </w:r>
      <w:r>
        <w:rPr>
          <w:rFonts w:ascii="宋体" w:hAnsi="宋体" w:cs="宋体"/>
          <w:b/>
          <w:bCs/>
          <w:color w:val="auto"/>
          <w:sz w:val="36"/>
          <w:szCs w:val="36"/>
          <w:highlight w:val="none"/>
        </w:rPr>
        <w:t>检验测试合同</w:t>
      </w:r>
    </w:p>
    <w:p w14:paraId="403A05F7">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2" w:firstLineChars="200"/>
        <w:textAlignment w:val="auto"/>
        <w:rPr>
          <w:rFonts w:hint="eastAsia" w:ascii="宋体" w:hAnsi="宋体" w:eastAsia="宋体" w:cs="宋体"/>
          <w:b/>
          <w:bCs/>
          <w:color w:val="auto"/>
          <w:sz w:val="21"/>
          <w:szCs w:val="21"/>
          <w:highlight w:val="none"/>
        </w:rPr>
      </w:pPr>
    </w:p>
    <w:p w14:paraId="7EA9FA43">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甲方（委托人）：</w:t>
      </w:r>
      <w:r>
        <w:rPr>
          <w:rFonts w:hint="eastAsia" w:ascii="宋体" w:hAnsi="宋体" w:eastAsia="宋体" w:cs="宋体"/>
          <w:b/>
          <w:bCs/>
          <w:color w:val="auto"/>
          <w:sz w:val="21"/>
          <w:szCs w:val="21"/>
          <w:highlight w:val="none"/>
          <w:lang w:val="en-US" w:eastAsia="zh-CN"/>
        </w:rPr>
        <w:t>___________________</w:t>
      </w:r>
    </w:p>
    <w:p w14:paraId="7820183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b/>
          <w:bCs/>
          <w:color w:val="auto"/>
          <w:sz w:val="21"/>
          <w:szCs w:val="21"/>
          <w:highlight w:val="none"/>
          <w:lang w:val="en-US" w:eastAsia="zh-CN"/>
        </w:rPr>
        <w:t>___________________</w:t>
      </w:r>
    </w:p>
    <w:p w14:paraId="23D24AD6">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乙方（检测人）：</w:t>
      </w:r>
      <w:r>
        <w:rPr>
          <w:rFonts w:hint="eastAsia" w:ascii="宋体" w:hAnsi="宋体" w:eastAsia="宋体" w:cs="宋体"/>
          <w:b/>
          <w:bCs/>
          <w:color w:val="auto"/>
          <w:sz w:val="21"/>
          <w:szCs w:val="21"/>
          <w:highlight w:val="none"/>
          <w:lang w:val="en-US" w:eastAsia="zh-CN"/>
        </w:rPr>
        <w:t>___________________</w:t>
      </w:r>
    </w:p>
    <w:p w14:paraId="4FB88BA9">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b/>
          <w:bCs/>
          <w:color w:val="auto"/>
          <w:sz w:val="21"/>
          <w:szCs w:val="21"/>
          <w:highlight w:val="none"/>
          <w:lang w:val="en-US" w:eastAsia="zh-CN"/>
        </w:rPr>
        <w:t>___________________</w:t>
      </w:r>
    </w:p>
    <w:p w14:paraId="69125BD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eastAsia" w:ascii="宋体" w:hAnsi="宋体" w:eastAsia="宋体" w:cs="宋体"/>
          <w:color w:val="auto"/>
          <w:sz w:val="21"/>
          <w:szCs w:val="21"/>
          <w:highlight w:val="none"/>
        </w:rPr>
      </w:pPr>
    </w:p>
    <w:p w14:paraId="3DCB8C9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甲乙双方经友好协商，就甲方委托乙方检验测试事宜达成以下协议，以便共同遵守。</w:t>
      </w:r>
    </w:p>
    <w:p w14:paraId="1EA32607">
      <w:pPr>
        <w:pStyle w:val="121"/>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检测产品样本情况</w:t>
      </w:r>
    </w:p>
    <w:tbl>
      <w:tblPr>
        <w:tblStyle w:val="36"/>
        <w:tblW w:w="0" w:type="auto"/>
        <w:tblInd w:w="0" w:type="dxa"/>
        <w:tblLayout w:type="autofit"/>
        <w:tblCellMar>
          <w:top w:w="15" w:type="dxa"/>
          <w:left w:w="15" w:type="dxa"/>
          <w:bottom w:w="15" w:type="dxa"/>
          <w:right w:w="15" w:type="dxa"/>
        </w:tblCellMar>
      </w:tblPr>
      <w:tblGrid>
        <w:gridCol w:w="870"/>
        <w:gridCol w:w="870"/>
        <w:gridCol w:w="870"/>
        <w:gridCol w:w="870"/>
        <w:gridCol w:w="3822"/>
        <w:gridCol w:w="900"/>
      </w:tblGrid>
      <w:tr w14:paraId="114792BC">
        <w:tblPrEx>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vAlign w:val="center"/>
          </w:tcPr>
          <w:p w14:paraId="26AD69AB">
            <w:pPr>
              <w:spacing w:line="240" w:lineRule="auto"/>
              <w:jc w:val="center"/>
              <w:rPr>
                <w:rFonts w:ascii="宋体" w:hAnsi="宋体" w:cs="宋体"/>
                <w:color w:val="auto"/>
                <w:sz w:val="21"/>
                <w:szCs w:val="21"/>
                <w:highlight w:val="none"/>
              </w:rPr>
            </w:pPr>
            <w:r>
              <w:rPr>
                <w:rFonts w:ascii="宋体" w:hAnsi="宋体" w:cs="宋体"/>
                <w:color w:val="auto"/>
                <w:sz w:val="21"/>
                <w:szCs w:val="21"/>
                <w:highlight w:val="none"/>
              </w:rPr>
              <w:t>产品名称</w:t>
            </w:r>
          </w:p>
        </w:tc>
        <w:tc>
          <w:tcPr>
            <w:tcW w:w="0" w:type="auto"/>
            <w:tcBorders>
              <w:top w:val="single" w:color="000000" w:sz="6" w:space="0"/>
              <w:left w:val="single" w:color="000000" w:sz="6" w:space="0"/>
              <w:bottom w:val="single" w:color="000000" w:sz="6" w:space="0"/>
              <w:right w:val="single" w:color="000000" w:sz="6" w:space="0"/>
            </w:tcBorders>
            <w:vAlign w:val="center"/>
          </w:tcPr>
          <w:p w14:paraId="3C0542FD">
            <w:pPr>
              <w:spacing w:line="240" w:lineRule="auto"/>
              <w:jc w:val="center"/>
              <w:rPr>
                <w:rFonts w:ascii="宋体" w:hAnsi="宋体" w:cs="宋体"/>
                <w:color w:val="auto"/>
                <w:sz w:val="21"/>
                <w:szCs w:val="21"/>
                <w:highlight w:val="none"/>
              </w:rPr>
            </w:pPr>
            <w:r>
              <w:rPr>
                <w:rFonts w:ascii="宋体" w:hAnsi="宋体" w:cs="宋体"/>
                <w:color w:val="auto"/>
                <w:sz w:val="21"/>
                <w:szCs w:val="21"/>
                <w:highlight w:val="none"/>
              </w:rPr>
              <w:t>规格型号</w:t>
            </w:r>
          </w:p>
        </w:tc>
        <w:tc>
          <w:tcPr>
            <w:tcW w:w="0" w:type="auto"/>
            <w:tcBorders>
              <w:top w:val="single" w:color="000000" w:sz="6" w:space="0"/>
              <w:left w:val="single" w:color="000000" w:sz="6" w:space="0"/>
              <w:bottom w:val="single" w:color="000000" w:sz="6" w:space="0"/>
              <w:right w:val="single" w:color="000000" w:sz="6" w:space="0"/>
            </w:tcBorders>
            <w:vAlign w:val="center"/>
          </w:tcPr>
          <w:p w14:paraId="4EDC2E5F">
            <w:pPr>
              <w:spacing w:line="240" w:lineRule="auto"/>
              <w:jc w:val="center"/>
              <w:rPr>
                <w:rFonts w:ascii="宋体" w:hAnsi="宋体" w:cs="宋体"/>
                <w:color w:val="auto"/>
                <w:sz w:val="21"/>
                <w:szCs w:val="21"/>
                <w:highlight w:val="none"/>
              </w:rPr>
            </w:pPr>
            <w:r>
              <w:rPr>
                <w:rFonts w:ascii="宋体" w:hAnsi="宋体" w:cs="宋体"/>
                <w:color w:val="auto"/>
                <w:sz w:val="21"/>
                <w:szCs w:val="21"/>
                <w:highlight w:val="none"/>
              </w:rPr>
              <w:t>品牌商标</w:t>
            </w:r>
          </w:p>
        </w:tc>
        <w:tc>
          <w:tcPr>
            <w:tcW w:w="0" w:type="auto"/>
            <w:tcBorders>
              <w:top w:val="single" w:color="000000" w:sz="6" w:space="0"/>
              <w:left w:val="single" w:color="000000" w:sz="6" w:space="0"/>
              <w:bottom w:val="single" w:color="000000" w:sz="6" w:space="0"/>
              <w:right w:val="single" w:color="000000" w:sz="6" w:space="0"/>
            </w:tcBorders>
            <w:vAlign w:val="center"/>
          </w:tcPr>
          <w:p w14:paraId="1E6C5741">
            <w:pPr>
              <w:spacing w:line="240" w:lineRule="auto"/>
              <w:jc w:val="center"/>
              <w:rPr>
                <w:rFonts w:ascii="宋体" w:hAnsi="宋体" w:cs="宋体"/>
                <w:color w:val="auto"/>
                <w:sz w:val="21"/>
                <w:szCs w:val="21"/>
                <w:highlight w:val="none"/>
              </w:rPr>
            </w:pPr>
            <w:r>
              <w:rPr>
                <w:rFonts w:ascii="宋体" w:hAnsi="宋体" w:cs="宋体"/>
                <w:color w:val="auto"/>
                <w:sz w:val="21"/>
                <w:szCs w:val="21"/>
                <w:highlight w:val="none"/>
              </w:rPr>
              <w:t>样本数量</w:t>
            </w:r>
          </w:p>
        </w:tc>
        <w:tc>
          <w:tcPr>
            <w:tcW w:w="3822" w:type="dxa"/>
            <w:tcBorders>
              <w:top w:val="single" w:color="000000" w:sz="6" w:space="0"/>
              <w:left w:val="single" w:color="000000" w:sz="6" w:space="0"/>
              <w:bottom w:val="single" w:color="000000" w:sz="6" w:space="0"/>
              <w:right w:val="single" w:color="000000" w:sz="6" w:space="0"/>
            </w:tcBorders>
            <w:vAlign w:val="center"/>
          </w:tcPr>
          <w:p w14:paraId="27644D40">
            <w:pPr>
              <w:spacing w:line="240" w:lineRule="auto"/>
              <w:jc w:val="center"/>
              <w:rPr>
                <w:rFonts w:ascii="宋体" w:hAnsi="宋体" w:cs="宋体"/>
                <w:color w:val="auto"/>
                <w:sz w:val="21"/>
                <w:szCs w:val="21"/>
                <w:highlight w:val="none"/>
              </w:rPr>
            </w:pPr>
            <w:r>
              <w:rPr>
                <w:rFonts w:ascii="宋体" w:hAnsi="宋体" w:cs="宋体"/>
                <w:color w:val="auto"/>
                <w:sz w:val="21"/>
                <w:szCs w:val="21"/>
                <w:highlight w:val="none"/>
              </w:rPr>
              <w:t>样本状态（商品／研发产品／中间产品）</w:t>
            </w:r>
          </w:p>
        </w:tc>
        <w:tc>
          <w:tcPr>
            <w:tcW w:w="900" w:type="dxa"/>
            <w:tcBorders>
              <w:top w:val="single" w:color="000000" w:sz="6" w:space="0"/>
              <w:left w:val="single" w:color="000000" w:sz="6" w:space="0"/>
              <w:bottom w:val="single" w:color="000000" w:sz="6" w:space="0"/>
              <w:right w:val="single" w:color="000000" w:sz="6" w:space="0"/>
            </w:tcBorders>
            <w:vAlign w:val="center"/>
          </w:tcPr>
          <w:p w14:paraId="279D289D">
            <w:pPr>
              <w:spacing w:line="240" w:lineRule="auto"/>
              <w:jc w:val="center"/>
              <w:rPr>
                <w:rFonts w:ascii="宋体" w:hAnsi="宋体" w:cs="宋体"/>
                <w:color w:val="auto"/>
                <w:sz w:val="21"/>
                <w:szCs w:val="21"/>
                <w:highlight w:val="none"/>
              </w:rPr>
            </w:pPr>
            <w:r>
              <w:rPr>
                <w:rFonts w:ascii="宋体" w:hAnsi="宋体" w:cs="宋体"/>
                <w:color w:val="auto"/>
                <w:sz w:val="21"/>
                <w:szCs w:val="21"/>
                <w:highlight w:val="none"/>
              </w:rPr>
              <w:t>样本编号</w:t>
            </w:r>
          </w:p>
        </w:tc>
      </w:tr>
      <w:tr w14:paraId="7DD55520">
        <w:tblPrEx>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vAlign w:val="top"/>
          </w:tcPr>
          <w:p w14:paraId="5B1553AD">
            <w:pPr>
              <w:spacing w:before="100" w:beforeAutospacing="1" w:after="100" w:afterAutospacing="1" w:line="240" w:lineRule="auto"/>
              <w:jc w:val="center"/>
              <w:rPr>
                <w:rFonts w:ascii="宋体" w:hAnsi="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vAlign w:val="top"/>
          </w:tcPr>
          <w:p w14:paraId="079FAAA4">
            <w:pPr>
              <w:spacing w:before="100" w:beforeAutospacing="1" w:after="100" w:afterAutospacing="1" w:line="240" w:lineRule="auto"/>
              <w:jc w:val="center"/>
              <w:rPr>
                <w:rFonts w:ascii="宋体" w:hAnsi="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vAlign w:val="top"/>
          </w:tcPr>
          <w:p w14:paraId="614056D4">
            <w:pPr>
              <w:spacing w:before="100" w:beforeAutospacing="1" w:after="100" w:afterAutospacing="1" w:line="240" w:lineRule="auto"/>
              <w:jc w:val="center"/>
              <w:rPr>
                <w:rFonts w:ascii="宋体" w:hAnsi="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vAlign w:val="top"/>
          </w:tcPr>
          <w:p w14:paraId="6B414D04">
            <w:pPr>
              <w:spacing w:before="100" w:beforeAutospacing="1" w:after="100" w:afterAutospacing="1" w:line="240" w:lineRule="auto"/>
              <w:jc w:val="center"/>
              <w:rPr>
                <w:rFonts w:ascii="宋体" w:hAnsi="宋体" w:cs="宋体"/>
                <w:color w:val="auto"/>
                <w:sz w:val="21"/>
                <w:szCs w:val="21"/>
                <w:highlight w:val="none"/>
              </w:rPr>
            </w:pPr>
          </w:p>
        </w:tc>
        <w:tc>
          <w:tcPr>
            <w:tcW w:w="3822" w:type="dxa"/>
            <w:tcBorders>
              <w:top w:val="single" w:color="000000" w:sz="6" w:space="0"/>
              <w:left w:val="single" w:color="000000" w:sz="6" w:space="0"/>
              <w:bottom w:val="single" w:color="000000" w:sz="6" w:space="0"/>
              <w:right w:val="single" w:color="000000" w:sz="6" w:space="0"/>
            </w:tcBorders>
            <w:vAlign w:val="top"/>
          </w:tcPr>
          <w:p w14:paraId="7259054B">
            <w:pPr>
              <w:spacing w:before="100" w:beforeAutospacing="1" w:after="100" w:afterAutospacing="1" w:line="240" w:lineRule="auto"/>
              <w:jc w:val="center"/>
              <w:rPr>
                <w:rFonts w:ascii="宋体" w:hAnsi="宋体" w:cs="宋体"/>
                <w:color w:val="auto"/>
                <w:sz w:val="21"/>
                <w:szCs w:val="21"/>
                <w:highlight w:val="none"/>
              </w:rPr>
            </w:pPr>
          </w:p>
        </w:tc>
        <w:tc>
          <w:tcPr>
            <w:tcW w:w="900" w:type="dxa"/>
            <w:tcBorders>
              <w:top w:val="single" w:color="000000" w:sz="6" w:space="0"/>
              <w:left w:val="single" w:color="000000" w:sz="6" w:space="0"/>
              <w:bottom w:val="single" w:color="000000" w:sz="6" w:space="0"/>
              <w:right w:val="single" w:color="000000" w:sz="6" w:space="0"/>
            </w:tcBorders>
            <w:vAlign w:val="top"/>
          </w:tcPr>
          <w:p w14:paraId="577EB373">
            <w:pPr>
              <w:spacing w:before="100" w:beforeAutospacing="1" w:after="100" w:afterAutospacing="1" w:line="240" w:lineRule="auto"/>
              <w:jc w:val="center"/>
              <w:rPr>
                <w:rFonts w:ascii="宋体" w:hAnsi="宋体" w:cs="宋体"/>
                <w:color w:val="auto"/>
                <w:sz w:val="21"/>
                <w:szCs w:val="21"/>
                <w:highlight w:val="none"/>
              </w:rPr>
            </w:pPr>
          </w:p>
        </w:tc>
      </w:tr>
      <w:tr w14:paraId="09F742EA">
        <w:tblPrEx>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vAlign w:val="top"/>
          </w:tcPr>
          <w:p w14:paraId="61C63AD9">
            <w:pPr>
              <w:spacing w:before="100" w:beforeAutospacing="1" w:after="100" w:afterAutospacing="1" w:line="240" w:lineRule="auto"/>
              <w:jc w:val="center"/>
              <w:rPr>
                <w:rFonts w:ascii="宋体" w:hAnsi="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vAlign w:val="top"/>
          </w:tcPr>
          <w:p w14:paraId="73D990D2">
            <w:pPr>
              <w:spacing w:before="100" w:beforeAutospacing="1" w:after="100" w:afterAutospacing="1" w:line="240" w:lineRule="auto"/>
              <w:jc w:val="center"/>
              <w:rPr>
                <w:rFonts w:ascii="宋体" w:hAnsi="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vAlign w:val="top"/>
          </w:tcPr>
          <w:p w14:paraId="71C553BE">
            <w:pPr>
              <w:spacing w:before="100" w:beforeAutospacing="1" w:after="100" w:afterAutospacing="1" w:line="240" w:lineRule="auto"/>
              <w:jc w:val="center"/>
              <w:rPr>
                <w:rFonts w:ascii="宋体" w:hAnsi="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vAlign w:val="top"/>
          </w:tcPr>
          <w:p w14:paraId="4CF7D618">
            <w:pPr>
              <w:spacing w:before="100" w:beforeAutospacing="1" w:after="100" w:afterAutospacing="1" w:line="240" w:lineRule="auto"/>
              <w:jc w:val="center"/>
              <w:rPr>
                <w:rFonts w:ascii="宋体" w:hAnsi="宋体" w:cs="宋体"/>
                <w:color w:val="auto"/>
                <w:sz w:val="21"/>
                <w:szCs w:val="21"/>
                <w:highlight w:val="none"/>
              </w:rPr>
            </w:pPr>
          </w:p>
        </w:tc>
        <w:tc>
          <w:tcPr>
            <w:tcW w:w="3822" w:type="dxa"/>
            <w:tcBorders>
              <w:top w:val="single" w:color="000000" w:sz="6" w:space="0"/>
              <w:left w:val="single" w:color="000000" w:sz="6" w:space="0"/>
              <w:bottom w:val="single" w:color="000000" w:sz="6" w:space="0"/>
              <w:right w:val="single" w:color="000000" w:sz="6" w:space="0"/>
            </w:tcBorders>
            <w:vAlign w:val="top"/>
          </w:tcPr>
          <w:p w14:paraId="5CA140F5">
            <w:pPr>
              <w:spacing w:before="100" w:beforeAutospacing="1" w:after="100" w:afterAutospacing="1" w:line="240" w:lineRule="auto"/>
              <w:jc w:val="center"/>
              <w:rPr>
                <w:rFonts w:ascii="宋体" w:hAnsi="宋体" w:cs="宋体"/>
                <w:color w:val="auto"/>
                <w:sz w:val="21"/>
                <w:szCs w:val="21"/>
                <w:highlight w:val="none"/>
              </w:rPr>
            </w:pPr>
          </w:p>
        </w:tc>
        <w:tc>
          <w:tcPr>
            <w:tcW w:w="900" w:type="dxa"/>
            <w:tcBorders>
              <w:top w:val="single" w:color="000000" w:sz="6" w:space="0"/>
              <w:left w:val="single" w:color="000000" w:sz="6" w:space="0"/>
              <w:bottom w:val="single" w:color="000000" w:sz="6" w:space="0"/>
              <w:right w:val="single" w:color="000000" w:sz="6" w:space="0"/>
            </w:tcBorders>
            <w:vAlign w:val="top"/>
          </w:tcPr>
          <w:p w14:paraId="0B7081CC">
            <w:pPr>
              <w:spacing w:before="100" w:beforeAutospacing="1" w:after="100" w:afterAutospacing="1" w:line="240" w:lineRule="auto"/>
              <w:jc w:val="center"/>
              <w:rPr>
                <w:rFonts w:ascii="宋体" w:hAnsi="宋体" w:cs="宋体"/>
                <w:color w:val="auto"/>
                <w:sz w:val="21"/>
                <w:szCs w:val="21"/>
                <w:highlight w:val="none"/>
              </w:rPr>
            </w:pPr>
          </w:p>
        </w:tc>
      </w:tr>
      <w:tr w14:paraId="4986A423">
        <w:tblPrEx>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vAlign w:val="top"/>
          </w:tcPr>
          <w:p w14:paraId="740A7203">
            <w:pPr>
              <w:spacing w:before="100" w:beforeAutospacing="1" w:after="100" w:afterAutospacing="1" w:line="240" w:lineRule="auto"/>
              <w:jc w:val="center"/>
              <w:rPr>
                <w:rFonts w:ascii="宋体" w:hAnsi="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vAlign w:val="top"/>
          </w:tcPr>
          <w:p w14:paraId="0E9634EA">
            <w:pPr>
              <w:spacing w:before="100" w:beforeAutospacing="1" w:after="100" w:afterAutospacing="1" w:line="240" w:lineRule="auto"/>
              <w:jc w:val="center"/>
              <w:rPr>
                <w:rFonts w:ascii="宋体" w:hAnsi="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vAlign w:val="top"/>
          </w:tcPr>
          <w:p w14:paraId="4F5FC8BE">
            <w:pPr>
              <w:spacing w:before="100" w:beforeAutospacing="1" w:after="100" w:afterAutospacing="1" w:line="240" w:lineRule="auto"/>
              <w:jc w:val="center"/>
              <w:rPr>
                <w:rFonts w:ascii="宋体" w:hAnsi="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vAlign w:val="top"/>
          </w:tcPr>
          <w:p w14:paraId="3295BC16">
            <w:pPr>
              <w:spacing w:before="100" w:beforeAutospacing="1" w:after="100" w:afterAutospacing="1" w:line="240" w:lineRule="auto"/>
              <w:jc w:val="center"/>
              <w:rPr>
                <w:rFonts w:ascii="宋体" w:hAnsi="宋体" w:cs="宋体"/>
                <w:color w:val="auto"/>
                <w:sz w:val="21"/>
                <w:szCs w:val="21"/>
                <w:highlight w:val="none"/>
              </w:rPr>
            </w:pPr>
          </w:p>
        </w:tc>
        <w:tc>
          <w:tcPr>
            <w:tcW w:w="3822" w:type="dxa"/>
            <w:tcBorders>
              <w:top w:val="single" w:color="000000" w:sz="6" w:space="0"/>
              <w:left w:val="single" w:color="000000" w:sz="6" w:space="0"/>
              <w:bottom w:val="single" w:color="000000" w:sz="6" w:space="0"/>
              <w:right w:val="single" w:color="000000" w:sz="6" w:space="0"/>
            </w:tcBorders>
            <w:vAlign w:val="top"/>
          </w:tcPr>
          <w:p w14:paraId="2FD025B7">
            <w:pPr>
              <w:spacing w:before="100" w:beforeAutospacing="1" w:after="100" w:afterAutospacing="1" w:line="240" w:lineRule="auto"/>
              <w:jc w:val="center"/>
              <w:rPr>
                <w:rFonts w:ascii="宋体" w:hAnsi="宋体" w:cs="宋体"/>
                <w:color w:val="auto"/>
                <w:sz w:val="21"/>
                <w:szCs w:val="21"/>
                <w:highlight w:val="none"/>
              </w:rPr>
            </w:pPr>
          </w:p>
        </w:tc>
        <w:tc>
          <w:tcPr>
            <w:tcW w:w="900" w:type="dxa"/>
            <w:tcBorders>
              <w:top w:val="single" w:color="000000" w:sz="6" w:space="0"/>
              <w:left w:val="single" w:color="000000" w:sz="6" w:space="0"/>
              <w:bottom w:val="single" w:color="000000" w:sz="6" w:space="0"/>
              <w:right w:val="single" w:color="000000" w:sz="6" w:space="0"/>
            </w:tcBorders>
            <w:vAlign w:val="top"/>
          </w:tcPr>
          <w:p w14:paraId="15075B09">
            <w:pPr>
              <w:spacing w:before="100" w:beforeAutospacing="1" w:after="100" w:afterAutospacing="1" w:line="240" w:lineRule="auto"/>
              <w:jc w:val="center"/>
              <w:rPr>
                <w:rFonts w:ascii="宋体" w:hAnsi="宋体" w:cs="宋体"/>
                <w:color w:val="auto"/>
                <w:sz w:val="21"/>
                <w:szCs w:val="21"/>
                <w:highlight w:val="none"/>
              </w:rPr>
            </w:pPr>
          </w:p>
        </w:tc>
      </w:tr>
    </w:tbl>
    <w:p w14:paraId="0662A87C">
      <w:pPr>
        <w:pStyle w:val="121"/>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检测目的</w:t>
      </w:r>
    </w:p>
    <w:p w14:paraId="708CA9D7">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                </w:t>
      </w:r>
      <w:r>
        <w:rPr>
          <w:rFonts w:hint="eastAsia" w:ascii="宋体" w:hAnsi="宋体" w:eastAsia="宋体" w:cs="宋体"/>
          <w:b/>
          <w:bCs/>
          <w:color w:val="auto"/>
          <w:sz w:val="21"/>
          <w:szCs w:val="21"/>
          <w:highlight w:val="none"/>
        </w:rPr>
        <w:t>。</w:t>
      </w:r>
    </w:p>
    <w:p w14:paraId="55E13356">
      <w:pPr>
        <w:pStyle w:val="121"/>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检测项目范围、标准、依据和方法</w:t>
      </w:r>
    </w:p>
    <w:p w14:paraId="3124DBB2">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                </w:t>
      </w:r>
      <w:r>
        <w:rPr>
          <w:rFonts w:hint="eastAsia" w:ascii="宋体" w:hAnsi="宋体" w:eastAsia="宋体" w:cs="宋体"/>
          <w:b/>
          <w:bCs/>
          <w:color w:val="auto"/>
          <w:sz w:val="21"/>
          <w:szCs w:val="21"/>
          <w:highlight w:val="none"/>
        </w:rPr>
        <w:t>。</w:t>
      </w:r>
    </w:p>
    <w:p w14:paraId="3452F934">
      <w:pPr>
        <w:pStyle w:val="121"/>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检测地点</w:t>
      </w:r>
    </w:p>
    <w:p w14:paraId="1EFC7D2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B9CD7DB">
      <w:pPr>
        <w:pStyle w:val="121"/>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检测报告提交</w:t>
      </w:r>
    </w:p>
    <w:p w14:paraId="24D6C7C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本合同产品检测周期为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个工作日，自甲方将样品交付乙方之日起算。</w:t>
      </w:r>
    </w:p>
    <w:p w14:paraId="34900F47">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检测期满，乙方应向甲方提交书面检测报告。提交方式为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（甲方自取／邮寄／快递／电子邮件）。</w:t>
      </w:r>
    </w:p>
    <w:p w14:paraId="02CA2E44">
      <w:pPr>
        <w:pStyle w:val="121"/>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样本处置</w:t>
      </w:r>
    </w:p>
    <w:p w14:paraId="52C8C0A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检测结束后，甲方应取回送检样本。如逾期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日不予领取，则视为甲方放弃样本，乙方有权自行处置样本。</w:t>
      </w:r>
    </w:p>
    <w:p w14:paraId="4AE037F7">
      <w:pPr>
        <w:pStyle w:val="121"/>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检测费用及其支付</w:t>
      </w:r>
    </w:p>
    <w:p w14:paraId="1E223FE9">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本合同检测费用共计（人民币）</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元，由甲方于本合同生效之日起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日内</w:t>
      </w:r>
      <w:r>
        <w:rPr>
          <w:rFonts w:hint="eastAsia" w:ascii="宋体" w:hAnsi="宋体" w:eastAsia="宋体" w:cs="宋体"/>
          <w:color w:val="auto"/>
          <w:sz w:val="21"/>
          <w:szCs w:val="21"/>
          <w:highlight w:val="none"/>
          <w:lang w:val="en-US" w:eastAsia="zh-CN"/>
        </w:rPr>
        <w:t xml:space="preserve">      支付。</w:t>
      </w:r>
      <w:r>
        <w:rPr>
          <w:rFonts w:hint="eastAsia" w:ascii="宋体" w:hAnsi="宋体" w:eastAsia="宋体" w:cs="宋体"/>
          <w:color w:val="auto"/>
          <w:sz w:val="21"/>
          <w:szCs w:val="21"/>
          <w:highlight w:val="none"/>
        </w:rPr>
        <w:t>。</w:t>
      </w:r>
    </w:p>
    <w:p w14:paraId="74F82A78">
      <w:pPr>
        <w:pStyle w:val="121"/>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知识产权归属及保密条款</w:t>
      </w:r>
    </w:p>
    <w:p w14:paraId="22C22EC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本合同项下甲方委托检测的产品由（甲方／</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）享有知识产权。</w:t>
      </w:r>
    </w:p>
    <w:p w14:paraId="7BEACA50">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乙方对甲方委托检测的产品内容、相关技术信息及检测结果，应负保密义务，非经甲方书面同意，不得擅自利用或对外发表或披露。法律、法规另有规定或双方另有约定的除外。</w:t>
      </w:r>
    </w:p>
    <w:p w14:paraId="2658842C">
      <w:pPr>
        <w:pStyle w:val="121"/>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复检</w:t>
      </w:r>
    </w:p>
    <w:p w14:paraId="3F298D0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甲方如对检验结果有异议的，须在</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日内凭检验证书原件向乙方要求复检，乙方应于</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日内安排复检。复检结果维持原检验结果的，甲方须按规定向乙方支付复检费。复检结果确认原检验结果有误的，乙方不再收取复检费。</w:t>
      </w:r>
    </w:p>
    <w:p w14:paraId="138E91BA">
      <w:pPr>
        <w:pStyle w:val="121"/>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违约责任</w:t>
      </w:r>
    </w:p>
    <w:p w14:paraId="6BDA13BF">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乙方未能按时完成检测并提交检测报告的，每逾期1日，应按检测费总额的千分之</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支付给甲方违约金。</w:t>
      </w:r>
    </w:p>
    <w:p w14:paraId="64940DC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甲方未能按期支付检测费的，每逾期1日，应按检测费总额的千分之</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支付给乙方违约金。逾期支付检测费达</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日的，乙方有权解除合同。</w:t>
      </w:r>
    </w:p>
    <w:p w14:paraId="00E131A8">
      <w:pPr>
        <w:pStyle w:val="121"/>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其他约定事项</w:t>
      </w:r>
    </w:p>
    <w:p w14:paraId="203C7978">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06EE6C6">
      <w:pPr>
        <w:pStyle w:val="121"/>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争议的解决</w:t>
      </w:r>
    </w:p>
    <w:p w14:paraId="09EE0BA9">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因本合同引起的或与本合同有关的任何争议，均提请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仲裁委员会按照该会仲裁规则进行仲裁。仲裁裁决是终局的，对双方均有约束力。</w:t>
      </w:r>
    </w:p>
    <w:p w14:paraId="0D60C268">
      <w:pPr>
        <w:pStyle w:val="121"/>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合同生效</w:t>
      </w:r>
    </w:p>
    <w:p w14:paraId="7A2FD064">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本合同经双方当事人签字并盖章之日起生效。</w:t>
      </w:r>
    </w:p>
    <w:p w14:paraId="59C3A6F4">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份。正本</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份，双方各执</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份，双方各执</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份。正副文本具有同等法律效力。</w:t>
      </w:r>
    </w:p>
    <w:p w14:paraId="19D47B27">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本合同及补充约定中未涉及的事项，均遵照中华人民共和国有关法律、法规和政策执行。</w:t>
      </w:r>
    </w:p>
    <w:p w14:paraId="136042E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eastAsia" w:ascii="宋体" w:hAnsi="宋体" w:eastAsia="宋体" w:cs="宋体"/>
          <w:color w:val="auto"/>
          <w:sz w:val="21"/>
          <w:szCs w:val="21"/>
          <w:highlight w:val="none"/>
        </w:rPr>
      </w:pPr>
    </w:p>
    <w:p w14:paraId="5AB8FFE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签署时间：</w:t>
      </w:r>
      <w:r>
        <w:rPr>
          <w:rFonts w:hint="eastAsia" w:ascii="宋体" w:hAnsi="宋体" w:cs="宋体"/>
          <w:b/>
          <w:bCs/>
          <w:color w:val="auto"/>
          <w:sz w:val="21"/>
          <w:szCs w:val="21"/>
          <w:highlight w:val="none"/>
          <w:lang w:val="en-US" w:eastAsia="zh-CN"/>
        </w:rPr>
        <w:t>____</w:t>
      </w:r>
      <w:r>
        <w:rPr>
          <w:rFonts w:hint="eastAsia" w:ascii="宋体" w:hAnsi="宋体" w:eastAsia="宋体" w:cs="宋体"/>
          <w:color w:val="auto"/>
          <w:sz w:val="21"/>
          <w:szCs w:val="21"/>
          <w:highlight w:val="none"/>
        </w:rPr>
        <w:t>年</w:t>
      </w:r>
      <w:r>
        <w:rPr>
          <w:rFonts w:hint="eastAsia" w:ascii="宋体" w:hAnsi="宋体" w:cs="宋体"/>
          <w:b/>
          <w:bCs/>
          <w:color w:val="auto"/>
          <w:sz w:val="21"/>
          <w:szCs w:val="21"/>
          <w:highlight w:val="none"/>
          <w:lang w:val="en-US" w:eastAsia="zh-CN"/>
        </w:rPr>
        <w:t>____</w:t>
      </w:r>
      <w:r>
        <w:rPr>
          <w:rFonts w:hint="eastAsia" w:ascii="宋体" w:hAnsi="宋体" w:eastAsia="宋体" w:cs="宋体"/>
          <w:color w:val="auto"/>
          <w:sz w:val="21"/>
          <w:szCs w:val="21"/>
          <w:highlight w:val="none"/>
        </w:rPr>
        <w:t>月</w:t>
      </w:r>
      <w:r>
        <w:rPr>
          <w:rFonts w:hint="eastAsia" w:ascii="宋体" w:hAnsi="宋体" w:cs="宋体"/>
          <w:b/>
          <w:bCs/>
          <w:color w:val="auto"/>
          <w:sz w:val="21"/>
          <w:szCs w:val="21"/>
          <w:highlight w:val="none"/>
          <w:lang w:val="en-US" w:eastAsia="zh-CN"/>
        </w:rPr>
        <w:t>____</w:t>
      </w:r>
      <w:r>
        <w:rPr>
          <w:rFonts w:hint="eastAsia" w:ascii="宋体" w:hAnsi="宋体" w:eastAsia="宋体" w:cs="宋体"/>
          <w:color w:val="auto"/>
          <w:sz w:val="21"/>
          <w:szCs w:val="21"/>
          <w:highlight w:val="none"/>
        </w:rPr>
        <w:t>日</w:t>
      </w:r>
    </w:p>
    <w:p w14:paraId="07E01F0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textWrapping"/>
      </w:r>
    </w:p>
    <w:p w14:paraId="22666A6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甲方（盖章）：</w:t>
      </w:r>
      <w:r>
        <w:rPr>
          <w:rFonts w:hint="eastAsia" w:ascii="宋体" w:hAnsi="宋体" w:cs="宋体"/>
          <w:b/>
          <w:bCs/>
          <w:color w:val="auto"/>
          <w:sz w:val="21"/>
          <w:szCs w:val="21"/>
          <w:highlight w:val="none"/>
          <w:lang w:val="en-US" w:eastAsia="zh-CN"/>
        </w:rPr>
        <w:t>________________________</w:t>
      </w:r>
    </w:p>
    <w:p w14:paraId="5B217020">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r>
        <w:rPr>
          <w:rFonts w:hint="eastAsia" w:ascii="宋体" w:hAnsi="宋体" w:cs="宋体"/>
          <w:b/>
          <w:bCs/>
          <w:color w:val="auto"/>
          <w:sz w:val="21"/>
          <w:szCs w:val="21"/>
          <w:highlight w:val="none"/>
          <w:lang w:val="en-US" w:eastAsia="zh-CN"/>
        </w:rPr>
        <w:t>____________________________</w:t>
      </w:r>
    </w:p>
    <w:p w14:paraId="7A167584">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textWrapping"/>
      </w:r>
    </w:p>
    <w:p w14:paraId="7ED1C3D6">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乙方（盖章）：</w:t>
      </w:r>
      <w:r>
        <w:rPr>
          <w:rFonts w:hint="eastAsia" w:ascii="宋体" w:hAnsi="宋体" w:cs="宋体"/>
          <w:b/>
          <w:bCs/>
          <w:color w:val="auto"/>
          <w:sz w:val="21"/>
          <w:szCs w:val="21"/>
          <w:highlight w:val="none"/>
          <w:lang w:val="en-US" w:eastAsia="zh-CN"/>
        </w:rPr>
        <w:t>________________________</w:t>
      </w:r>
    </w:p>
    <w:p w14:paraId="0A260459">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r>
        <w:rPr>
          <w:rFonts w:hint="eastAsia" w:ascii="宋体" w:hAnsi="宋体" w:cs="宋体"/>
          <w:b/>
          <w:bCs/>
          <w:color w:val="auto"/>
          <w:sz w:val="21"/>
          <w:szCs w:val="21"/>
          <w:highlight w:val="none"/>
          <w:lang w:val="en-US" w:eastAsia="zh-CN"/>
        </w:rPr>
        <w:t>____________________________</w:t>
      </w:r>
    </w:p>
    <w:p w14:paraId="2922C6A2">
      <w:pPr>
        <w:spacing w:line="360" w:lineRule="auto"/>
        <w:rPr>
          <w:rFonts w:hint="eastAsia" w:ascii="宋体" w:hAnsi="宋体" w:eastAsia="宋体" w:cs="宋体"/>
          <w:color w:val="auto"/>
          <w:sz w:val="24"/>
          <w:szCs w:val="24"/>
          <w:highlight w:val="none"/>
          <w:lang w:eastAsia="zh-CN"/>
        </w:rPr>
      </w:pPr>
    </w:p>
    <w:p w14:paraId="1C36FC5D">
      <w:pPr>
        <w:jc w:val="both"/>
        <w:outlineLvl w:val="0"/>
        <w:rPr>
          <w:rFonts w:hint="eastAsia" w:ascii="宋体" w:hAnsi="宋体" w:eastAsia="宋体" w:cs="宋体"/>
          <w:color w:val="auto"/>
          <w:spacing w:val="-9"/>
          <w:sz w:val="24"/>
          <w:szCs w:val="24"/>
          <w:highlight w:val="none"/>
          <w:lang w:eastAsia="zh-CN"/>
        </w:rPr>
      </w:pPr>
      <w:bookmarkStart w:id="164" w:name="_Toc17279"/>
      <w:r>
        <w:rPr>
          <w:rFonts w:hint="eastAsia" w:ascii="宋体" w:hAnsi="宋体" w:eastAsia="宋体" w:cs="宋体"/>
          <w:color w:val="auto"/>
          <w:sz w:val="24"/>
          <w:szCs w:val="24"/>
          <w:highlight w:val="none"/>
          <w:lang w:eastAsia="zh-CN"/>
        </w:rPr>
        <w:br w:type="page"/>
      </w:r>
      <w:bookmarkStart w:id="165" w:name="_Toc12965"/>
      <w:r>
        <w:rPr>
          <w:rFonts w:hint="eastAsia" w:ascii="宋体" w:hAnsi="宋体" w:eastAsia="宋体" w:cs="宋体"/>
          <w:color w:val="auto"/>
          <w:spacing w:val="-9"/>
          <w:sz w:val="24"/>
          <w:szCs w:val="24"/>
          <w:highlight w:val="none"/>
          <w:lang w:eastAsia="zh-CN"/>
        </w:rPr>
        <w:t>附件1：政府采购促进中小企业发展管理办法</w:t>
      </w:r>
      <w:bookmarkEnd w:id="163"/>
      <w:bookmarkEnd w:id="164"/>
      <w:bookmarkEnd w:id="165"/>
    </w:p>
    <w:p w14:paraId="047C4272">
      <w:pPr>
        <w:spacing w:line="560" w:lineRule="exact"/>
        <w:jc w:val="center"/>
        <w:rPr>
          <w:rFonts w:hint="eastAsia" w:ascii="宋体" w:hAnsi="宋体" w:eastAsia="宋体" w:cs="宋体"/>
          <w:b/>
          <w:bCs/>
          <w:color w:val="auto"/>
          <w:spacing w:val="-9"/>
          <w:sz w:val="24"/>
          <w:szCs w:val="24"/>
          <w:highlight w:val="none"/>
          <w:lang w:eastAsia="zh-CN"/>
        </w:rPr>
      </w:pPr>
      <w:r>
        <w:rPr>
          <w:rFonts w:hint="eastAsia" w:ascii="宋体" w:hAnsi="宋体" w:eastAsia="宋体" w:cs="宋体"/>
          <w:b/>
          <w:bCs/>
          <w:color w:val="auto"/>
          <w:spacing w:val="-9"/>
          <w:sz w:val="24"/>
          <w:szCs w:val="24"/>
          <w:highlight w:val="none"/>
          <w:lang w:eastAsia="zh-CN"/>
        </w:rPr>
        <w:t>政府采购促进中小企业发展管理办法</w:t>
      </w:r>
    </w:p>
    <w:p w14:paraId="2E0DCDE8">
      <w:pPr>
        <w:spacing w:line="560" w:lineRule="exact"/>
        <w:ind w:firstLine="700"/>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6"/>
          <w:sz w:val="24"/>
          <w:szCs w:val="24"/>
          <w:highlight w:val="none"/>
          <w:lang w:eastAsia="zh-CN"/>
        </w:rPr>
        <w:t>第一条  为了发挥政府采购的政策功能，</w:t>
      </w:r>
      <w:r>
        <w:rPr>
          <w:rFonts w:hint="eastAsia" w:ascii="宋体" w:hAnsi="宋体" w:eastAsia="宋体" w:cs="宋体"/>
          <w:color w:val="auto"/>
          <w:spacing w:val="5"/>
          <w:sz w:val="24"/>
          <w:szCs w:val="24"/>
          <w:highlight w:val="none"/>
          <w:lang w:eastAsia="zh-CN"/>
        </w:rPr>
        <w:t>促进中小企业</w:t>
      </w:r>
      <w:r>
        <w:rPr>
          <w:rFonts w:hint="eastAsia" w:ascii="宋体" w:hAnsi="宋体" w:eastAsia="宋体" w:cs="宋体"/>
          <w:color w:val="auto"/>
          <w:spacing w:val="-3"/>
          <w:sz w:val="24"/>
          <w:szCs w:val="24"/>
          <w:highlight w:val="none"/>
          <w:lang w:eastAsia="zh-CN"/>
        </w:rPr>
        <w:t>健康发展，根据《中华人民共和国政府采购法</w:t>
      </w:r>
      <w:r>
        <w:rPr>
          <w:rFonts w:hint="eastAsia" w:ascii="宋体" w:hAnsi="宋体" w:eastAsia="宋体" w:cs="宋体"/>
          <w:color w:val="auto"/>
          <w:spacing w:val="-4"/>
          <w:sz w:val="24"/>
          <w:szCs w:val="24"/>
          <w:highlight w:val="none"/>
          <w:lang w:eastAsia="zh-CN"/>
        </w:rPr>
        <w:t>》、《中华人民</w:t>
      </w:r>
      <w:r>
        <w:rPr>
          <w:rFonts w:hint="eastAsia" w:ascii="宋体" w:hAnsi="宋体" w:eastAsia="宋体" w:cs="宋体"/>
          <w:color w:val="auto"/>
          <w:spacing w:val="8"/>
          <w:sz w:val="24"/>
          <w:szCs w:val="24"/>
          <w:highlight w:val="none"/>
          <w:lang w:eastAsia="zh-CN"/>
        </w:rPr>
        <w:t>共和国中小企业促进法》等有关法律法规，制定本办法。</w:t>
      </w:r>
    </w:p>
    <w:p w14:paraId="62A1037D">
      <w:pPr>
        <w:spacing w:line="560" w:lineRule="exact"/>
        <w:ind w:firstLine="7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第二条  本办法所称中小企业，是指在中华人民共和国</w:t>
      </w:r>
      <w:r>
        <w:rPr>
          <w:rFonts w:hint="eastAsia" w:ascii="宋体" w:hAnsi="宋体" w:eastAsia="宋体" w:cs="宋体"/>
          <w:color w:val="auto"/>
          <w:spacing w:val="8"/>
          <w:sz w:val="24"/>
          <w:szCs w:val="24"/>
          <w:highlight w:val="none"/>
          <w:lang w:eastAsia="zh-CN"/>
        </w:rPr>
        <w:t>境内依法设立，依据国务院批准的中小企业划分标准确定的中型企业、小型企业和微型企业，但与大企业的负责人为同一人，或者与大企业存在直接控股、管理关系的除外。</w:t>
      </w:r>
    </w:p>
    <w:p w14:paraId="560FB3D1">
      <w:pPr>
        <w:spacing w:line="560" w:lineRule="exact"/>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position w:val="15"/>
          <w:sz w:val="24"/>
          <w:szCs w:val="24"/>
          <w:highlight w:val="none"/>
          <w:lang w:eastAsia="zh-CN"/>
        </w:rPr>
        <w:t>符合中小企业划分标准的个体工商户，在政府采购活动</w:t>
      </w:r>
    </w:p>
    <w:p w14:paraId="337237DC">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中视同中小企业。</w:t>
      </w:r>
    </w:p>
    <w:p w14:paraId="3FD5D215">
      <w:pPr>
        <w:spacing w:line="560" w:lineRule="exact"/>
        <w:ind w:firstLine="69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第三条  采购人在政府采购活动中应当通过</w:t>
      </w:r>
      <w:r>
        <w:rPr>
          <w:rFonts w:hint="eastAsia" w:ascii="宋体" w:hAnsi="宋体" w:eastAsia="宋体" w:cs="宋体"/>
          <w:color w:val="auto"/>
          <w:spacing w:val="18"/>
          <w:sz w:val="24"/>
          <w:szCs w:val="24"/>
          <w:highlight w:val="none"/>
          <w:lang w:eastAsia="zh-CN"/>
        </w:rPr>
        <w:t>加强采购</w:t>
      </w:r>
      <w:r>
        <w:rPr>
          <w:rFonts w:hint="eastAsia" w:ascii="宋体" w:hAnsi="宋体" w:eastAsia="宋体" w:cs="宋体"/>
          <w:color w:val="auto"/>
          <w:spacing w:val="8"/>
          <w:sz w:val="24"/>
          <w:szCs w:val="24"/>
          <w:highlight w:val="none"/>
          <w:lang w:eastAsia="zh-CN"/>
        </w:rPr>
        <w:t>需求管理，落实预留采购份额、价格评审优惠、优先采购等措施，提高中小企业在政府采购中的份额，支持中小企业发</w:t>
      </w:r>
      <w:r>
        <w:rPr>
          <w:rFonts w:hint="eastAsia" w:ascii="宋体" w:hAnsi="宋体" w:eastAsia="宋体" w:cs="宋体"/>
          <w:color w:val="auto"/>
          <w:spacing w:val="-7"/>
          <w:sz w:val="24"/>
          <w:szCs w:val="24"/>
          <w:highlight w:val="none"/>
          <w:lang w:eastAsia="zh-CN"/>
        </w:rPr>
        <w:t>展。</w:t>
      </w:r>
    </w:p>
    <w:p w14:paraId="08E93D55">
      <w:pPr>
        <w:spacing w:line="560" w:lineRule="exact"/>
        <w:ind w:firstLine="6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第四条  在政府采购活动中，供应商提供的货物、工程</w:t>
      </w:r>
      <w:r>
        <w:rPr>
          <w:rFonts w:hint="eastAsia" w:ascii="宋体" w:hAnsi="宋体" w:eastAsia="宋体" w:cs="宋体"/>
          <w:color w:val="auto"/>
          <w:spacing w:val="8"/>
          <w:sz w:val="24"/>
          <w:szCs w:val="24"/>
          <w:highlight w:val="none"/>
          <w:lang w:eastAsia="zh-CN"/>
        </w:rPr>
        <w:t>或者服务符合下列情形的，享受本办法规定的中小企业扶持</w:t>
      </w:r>
      <w:r>
        <w:rPr>
          <w:rFonts w:hint="eastAsia" w:ascii="宋体" w:hAnsi="宋体" w:eastAsia="宋体" w:cs="宋体"/>
          <w:color w:val="auto"/>
          <w:spacing w:val="-2"/>
          <w:sz w:val="24"/>
          <w:szCs w:val="24"/>
          <w:highlight w:val="none"/>
          <w:lang w:eastAsia="zh-CN"/>
        </w:rPr>
        <w:t>政策：</w:t>
      </w:r>
    </w:p>
    <w:p w14:paraId="76E2A737">
      <w:pPr>
        <w:spacing w:line="560" w:lineRule="exact"/>
        <w:ind w:firstLine="500" w:firstLineChars="200"/>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（一）在货物采购项目中，货物由中小企业制造，即货</w:t>
      </w:r>
    </w:p>
    <w:p w14:paraId="7035D1CD">
      <w:pPr>
        <w:spacing w:line="560" w:lineRule="exact"/>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物由中小企业生产且使用该中小企业商号或者注册商标；</w:t>
      </w:r>
    </w:p>
    <w:p w14:paraId="5BBEAA2B">
      <w:pPr>
        <w:spacing w:line="560" w:lineRule="exact"/>
        <w:ind w:firstLine="500" w:firstLineChars="200"/>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（二）在工程采购项目中，工程由中小企业承建，即工</w:t>
      </w:r>
    </w:p>
    <w:p w14:paraId="3C9327D6">
      <w:pPr>
        <w:spacing w:line="560" w:lineRule="exact"/>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程施工单位为中小企业；</w:t>
      </w:r>
    </w:p>
    <w:p w14:paraId="746C0C03">
      <w:pPr>
        <w:spacing w:line="560" w:lineRule="exact"/>
        <w:ind w:firstLine="694"/>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（三）在服务采购项目中，服务由中小企业承接，即提供服务的人员为中小企业依照《中华人民共和国劳动合同法》订立劳动合同的从业人员。</w:t>
      </w:r>
    </w:p>
    <w:p w14:paraId="7015D608">
      <w:pPr>
        <w:spacing w:line="560" w:lineRule="exact"/>
        <w:ind w:firstLine="694"/>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在货物采购项目中，供应商提供的货物既有中小企业制造货物，也有大型企业制造货物的，不享受本办法规定的中小企业扶持政策。</w:t>
      </w:r>
    </w:p>
    <w:p w14:paraId="10C0F65B">
      <w:pPr>
        <w:spacing w:line="560" w:lineRule="exact"/>
        <w:ind w:firstLine="6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以联合体形式参加政府采购活动，联合体各方均为中小企业的，联合体视同中小企业。其中，联合体各方</w:t>
      </w:r>
      <w:r>
        <w:rPr>
          <w:rFonts w:hint="eastAsia" w:ascii="宋体" w:hAnsi="宋体" w:eastAsia="宋体" w:cs="宋体"/>
          <w:color w:val="auto"/>
          <w:spacing w:val="8"/>
          <w:sz w:val="24"/>
          <w:szCs w:val="24"/>
          <w:highlight w:val="none"/>
          <w:lang w:eastAsia="zh-CN"/>
        </w:rPr>
        <w:t>均为小微</w:t>
      </w:r>
      <w:r>
        <w:rPr>
          <w:rFonts w:hint="eastAsia" w:ascii="宋体" w:hAnsi="宋体" w:eastAsia="宋体" w:cs="宋体"/>
          <w:color w:val="auto"/>
          <w:spacing w:val="7"/>
          <w:sz w:val="24"/>
          <w:szCs w:val="24"/>
          <w:highlight w:val="none"/>
          <w:lang w:eastAsia="zh-CN"/>
        </w:rPr>
        <w:t>企业的，联合体视同小微企业。</w:t>
      </w:r>
    </w:p>
    <w:p w14:paraId="55B7C7DD">
      <w:pPr>
        <w:spacing w:line="560" w:lineRule="exact"/>
        <w:ind w:firstLine="69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第五条  采购人在政府采购活动中应当合理</w:t>
      </w:r>
      <w:r>
        <w:rPr>
          <w:rFonts w:hint="eastAsia" w:ascii="宋体" w:hAnsi="宋体" w:eastAsia="宋体" w:cs="宋体"/>
          <w:color w:val="auto"/>
          <w:spacing w:val="18"/>
          <w:sz w:val="24"/>
          <w:szCs w:val="24"/>
          <w:highlight w:val="none"/>
          <w:lang w:eastAsia="zh-CN"/>
        </w:rPr>
        <w:t>确定采购</w:t>
      </w:r>
      <w:r>
        <w:rPr>
          <w:rFonts w:hint="eastAsia" w:ascii="宋体" w:hAnsi="宋体" w:eastAsia="宋体" w:cs="宋体"/>
          <w:color w:val="auto"/>
          <w:spacing w:val="8"/>
          <w:sz w:val="24"/>
          <w:szCs w:val="24"/>
          <w:highlight w:val="none"/>
          <w:lang w:eastAsia="zh-CN"/>
        </w:rPr>
        <w:t>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067B5C14">
      <w:pPr>
        <w:spacing w:line="560" w:lineRule="exact"/>
        <w:ind w:firstLine="69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第六条  主管预算单位应当组织评估本部门</w:t>
      </w:r>
      <w:r>
        <w:rPr>
          <w:rFonts w:hint="eastAsia" w:ascii="宋体" w:hAnsi="宋体" w:eastAsia="宋体" w:cs="宋体"/>
          <w:color w:val="auto"/>
          <w:spacing w:val="18"/>
          <w:sz w:val="24"/>
          <w:szCs w:val="24"/>
          <w:highlight w:val="none"/>
          <w:lang w:eastAsia="zh-CN"/>
        </w:rPr>
        <w:t>及所属单</w:t>
      </w:r>
      <w:r>
        <w:rPr>
          <w:rFonts w:hint="eastAsia" w:ascii="宋体" w:hAnsi="宋体" w:eastAsia="宋体" w:cs="宋体"/>
          <w:color w:val="auto"/>
          <w:spacing w:val="8"/>
          <w:sz w:val="24"/>
          <w:szCs w:val="24"/>
          <w:highlight w:val="none"/>
          <w:lang w:eastAsia="zh-CN"/>
        </w:rPr>
        <w:t>位政府采购项目，统筹制定面向中小企业预留采购份额的具体方案，对适宜由中小企业提供的采购项目和采购包，预留采购份额专门面向中小企业采购，并在政府采购预算中单独</w:t>
      </w:r>
      <w:r>
        <w:rPr>
          <w:rFonts w:hint="eastAsia" w:ascii="宋体" w:hAnsi="宋体" w:eastAsia="宋体" w:cs="宋体"/>
          <w:color w:val="auto"/>
          <w:spacing w:val="-4"/>
          <w:sz w:val="24"/>
          <w:szCs w:val="24"/>
          <w:highlight w:val="none"/>
          <w:lang w:eastAsia="zh-CN"/>
        </w:rPr>
        <w:t>列示。</w:t>
      </w:r>
    </w:p>
    <w:p w14:paraId="4588293B">
      <w:pPr>
        <w:spacing w:line="560" w:lineRule="exact"/>
        <w:ind w:firstLine="556" w:firstLineChars="200"/>
        <w:rPr>
          <w:rFonts w:hint="eastAsia" w:ascii="宋体" w:hAnsi="宋体" w:eastAsia="宋体" w:cs="宋体"/>
          <w:color w:val="auto"/>
          <w:spacing w:val="19"/>
          <w:sz w:val="24"/>
          <w:szCs w:val="24"/>
          <w:highlight w:val="none"/>
          <w:lang w:eastAsia="zh-CN"/>
        </w:rPr>
      </w:pPr>
      <w:r>
        <w:rPr>
          <w:rFonts w:hint="eastAsia" w:ascii="宋体" w:hAnsi="宋体" w:eastAsia="宋体" w:cs="宋体"/>
          <w:color w:val="auto"/>
          <w:spacing w:val="19"/>
          <w:sz w:val="24"/>
          <w:szCs w:val="24"/>
          <w:highlight w:val="none"/>
          <w:lang w:eastAsia="zh-CN"/>
        </w:rPr>
        <w:t>符合下列情形之一的，可不专门面向中小企业预留采购份额：</w:t>
      </w:r>
    </w:p>
    <w:p w14:paraId="13A29E98">
      <w:pPr>
        <w:spacing w:line="560" w:lineRule="exact"/>
        <w:ind w:firstLine="556" w:firstLineChars="200"/>
        <w:rPr>
          <w:rFonts w:hint="eastAsia" w:ascii="宋体" w:hAnsi="宋体" w:eastAsia="宋体" w:cs="宋体"/>
          <w:color w:val="auto"/>
          <w:spacing w:val="19"/>
          <w:sz w:val="24"/>
          <w:szCs w:val="24"/>
          <w:highlight w:val="none"/>
          <w:lang w:eastAsia="zh-CN"/>
        </w:rPr>
      </w:pPr>
      <w:r>
        <w:rPr>
          <w:rFonts w:hint="eastAsia" w:ascii="宋体" w:hAnsi="宋体" w:eastAsia="宋体" w:cs="宋体"/>
          <w:color w:val="auto"/>
          <w:spacing w:val="19"/>
          <w:sz w:val="24"/>
          <w:szCs w:val="24"/>
          <w:highlight w:val="none"/>
          <w:lang w:eastAsia="zh-CN"/>
        </w:rPr>
        <w:t>（一）法律法规和国家有关政策明确规定优先或者应当面向事业单位、社会组织等非企业主体采购的；</w:t>
      </w:r>
    </w:p>
    <w:p w14:paraId="60AADEBF">
      <w:pPr>
        <w:spacing w:line="560" w:lineRule="exact"/>
        <w:ind w:firstLine="698"/>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（二）因确需使用不可替代的专利、专有技术，基础设施限制，或者提供特定公共服务等原因，只能从中小企业之外的供应商处采购的；</w:t>
      </w:r>
    </w:p>
    <w:p w14:paraId="163021B4">
      <w:pPr>
        <w:spacing w:line="560" w:lineRule="exact"/>
        <w:ind w:firstLine="698"/>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（三）按照本办法规定预留采购份额无法确保充分供应、充分竞争，或者存在可能影响政府采购目标实现的情形；</w:t>
      </w:r>
    </w:p>
    <w:p w14:paraId="4F89A179">
      <w:pPr>
        <w:spacing w:line="560" w:lineRule="exact"/>
        <w:ind w:firstLine="698"/>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（四）框架协议采购项目；</w:t>
      </w:r>
    </w:p>
    <w:p w14:paraId="6E0489CD">
      <w:pPr>
        <w:spacing w:line="560" w:lineRule="exact"/>
        <w:ind w:firstLine="698"/>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（五）省级以上人民政府财政部门规定的其他情形。</w:t>
      </w:r>
    </w:p>
    <w:p w14:paraId="3F277E6D">
      <w:pPr>
        <w:spacing w:line="560" w:lineRule="exact"/>
        <w:ind w:firstLine="698"/>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除上述情形外，其他均为适宜由中小企业提供的情形。</w:t>
      </w:r>
    </w:p>
    <w:p w14:paraId="6929E64D">
      <w:pPr>
        <w:spacing w:line="560" w:lineRule="exact"/>
        <w:ind w:firstLine="69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第七条  采购限额标准以上，200</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万元以下的货物和服</w:t>
      </w:r>
      <w:r>
        <w:rPr>
          <w:rFonts w:hint="eastAsia" w:ascii="宋体" w:hAnsi="宋体" w:eastAsia="宋体" w:cs="宋体"/>
          <w:color w:val="auto"/>
          <w:spacing w:val="9"/>
          <w:sz w:val="24"/>
          <w:szCs w:val="24"/>
          <w:highlight w:val="none"/>
          <w:lang w:eastAsia="zh-CN"/>
        </w:rPr>
        <w:t>务采购项目、400</w:t>
      </w:r>
      <w:r>
        <w:rPr>
          <w:rFonts w:hint="eastAsia" w:ascii="宋体" w:hAnsi="宋体" w:eastAsia="宋体" w:cs="宋体"/>
          <w:color w:val="auto"/>
          <w:spacing w:val="-31"/>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万元以下的工程采购项目，适宜由中小企</w:t>
      </w:r>
      <w:r>
        <w:rPr>
          <w:rFonts w:hint="eastAsia" w:ascii="宋体" w:hAnsi="宋体" w:eastAsia="宋体" w:cs="宋体"/>
          <w:color w:val="auto"/>
          <w:spacing w:val="8"/>
          <w:sz w:val="24"/>
          <w:szCs w:val="24"/>
          <w:highlight w:val="none"/>
          <w:lang w:eastAsia="zh-CN"/>
        </w:rPr>
        <w:t>业提供的，采购人应当专门面向中小企业采购。</w:t>
      </w:r>
    </w:p>
    <w:p w14:paraId="0774F57D">
      <w:pPr>
        <w:spacing w:line="560" w:lineRule="exact"/>
        <w:ind w:firstLine="7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5"/>
          <w:sz w:val="24"/>
          <w:szCs w:val="24"/>
          <w:highlight w:val="none"/>
          <w:lang w:eastAsia="zh-CN"/>
        </w:rPr>
        <w:t>第八条  超过</w:t>
      </w:r>
      <w:r>
        <w:rPr>
          <w:rFonts w:hint="eastAsia" w:ascii="宋体" w:hAnsi="宋体" w:eastAsia="宋体" w:cs="宋体"/>
          <w:color w:val="auto"/>
          <w:spacing w:val="-37"/>
          <w:sz w:val="24"/>
          <w:szCs w:val="24"/>
          <w:highlight w:val="none"/>
          <w:lang w:eastAsia="zh-CN"/>
        </w:rPr>
        <w:t xml:space="preserve"> </w:t>
      </w:r>
      <w:r>
        <w:rPr>
          <w:rFonts w:hint="eastAsia" w:ascii="宋体" w:hAnsi="宋体" w:eastAsia="宋体" w:cs="宋体"/>
          <w:color w:val="auto"/>
          <w:spacing w:val="15"/>
          <w:sz w:val="24"/>
          <w:szCs w:val="24"/>
          <w:highlight w:val="none"/>
          <w:lang w:eastAsia="zh-CN"/>
        </w:rPr>
        <w:t>200</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15"/>
          <w:sz w:val="24"/>
          <w:szCs w:val="24"/>
          <w:highlight w:val="none"/>
          <w:lang w:eastAsia="zh-CN"/>
        </w:rPr>
        <w:t>万元的货物和服务采购项目、超过</w:t>
      </w:r>
      <w:r>
        <w:rPr>
          <w:rFonts w:hint="eastAsia" w:ascii="宋体" w:hAnsi="宋体" w:eastAsia="宋体" w:cs="宋体"/>
          <w:color w:val="auto"/>
          <w:spacing w:val="10"/>
          <w:sz w:val="24"/>
          <w:szCs w:val="24"/>
          <w:highlight w:val="none"/>
          <w:lang w:eastAsia="zh-CN"/>
        </w:rPr>
        <w:t>400</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万元的工程采购项目中适宜由中小企业提供的，预留该</w:t>
      </w:r>
      <w:r>
        <w:rPr>
          <w:rFonts w:hint="eastAsia" w:ascii="宋体" w:hAnsi="宋体" w:eastAsia="宋体" w:cs="宋体"/>
          <w:color w:val="auto"/>
          <w:spacing w:val="11"/>
          <w:sz w:val="24"/>
          <w:szCs w:val="24"/>
          <w:highlight w:val="none"/>
          <w:lang w:eastAsia="zh-CN"/>
        </w:rPr>
        <w:t>部分采购项目预算总额的</w:t>
      </w:r>
      <w:r>
        <w:rPr>
          <w:rFonts w:hint="eastAsia" w:ascii="宋体" w:hAnsi="宋体" w:eastAsia="宋体" w:cs="宋体"/>
          <w:color w:val="auto"/>
          <w:spacing w:val="-55"/>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30%以上专门面向</w:t>
      </w:r>
      <w:r>
        <w:rPr>
          <w:rFonts w:hint="eastAsia" w:ascii="宋体" w:hAnsi="宋体" w:eastAsia="宋体" w:cs="宋体"/>
          <w:color w:val="auto"/>
          <w:spacing w:val="10"/>
          <w:sz w:val="24"/>
          <w:szCs w:val="24"/>
          <w:highlight w:val="none"/>
          <w:lang w:eastAsia="zh-CN"/>
        </w:rPr>
        <w:t>中小企业采购，</w:t>
      </w:r>
      <w:r>
        <w:rPr>
          <w:rFonts w:hint="eastAsia" w:ascii="宋体" w:hAnsi="宋体" w:eastAsia="宋体" w:cs="宋体"/>
          <w:color w:val="auto"/>
          <w:spacing w:val="11"/>
          <w:sz w:val="24"/>
          <w:szCs w:val="24"/>
          <w:highlight w:val="none"/>
          <w:lang w:eastAsia="zh-CN"/>
        </w:rPr>
        <w:t>其中预留给小微企业的比例不低于</w:t>
      </w:r>
      <w:r>
        <w:rPr>
          <w:rFonts w:hint="eastAsia" w:ascii="宋体" w:hAnsi="宋体" w:eastAsia="宋体" w:cs="宋体"/>
          <w:color w:val="auto"/>
          <w:spacing w:val="-59"/>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60%。预留份额通</w:t>
      </w:r>
      <w:r>
        <w:rPr>
          <w:rFonts w:hint="eastAsia" w:ascii="宋体" w:hAnsi="宋体" w:eastAsia="宋体" w:cs="宋体"/>
          <w:color w:val="auto"/>
          <w:spacing w:val="10"/>
          <w:sz w:val="24"/>
          <w:szCs w:val="24"/>
          <w:highlight w:val="none"/>
          <w:lang w:eastAsia="zh-CN"/>
        </w:rPr>
        <w:t>过下列</w:t>
      </w:r>
      <w:r>
        <w:rPr>
          <w:rFonts w:hint="eastAsia" w:ascii="宋体" w:hAnsi="宋体" w:eastAsia="宋体" w:cs="宋体"/>
          <w:color w:val="auto"/>
          <w:spacing w:val="3"/>
          <w:sz w:val="24"/>
          <w:szCs w:val="24"/>
          <w:highlight w:val="none"/>
          <w:lang w:eastAsia="zh-CN"/>
        </w:rPr>
        <w:t>措施进行：</w:t>
      </w:r>
    </w:p>
    <w:p w14:paraId="2CFA63E6">
      <w:pPr>
        <w:spacing w:line="560" w:lineRule="exact"/>
        <w:ind w:firstLine="520" w:firstLineChars="20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（一）将采购项目整体或者设置采购包专门面向中小企业采购；</w:t>
      </w:r>
    </w:p>
    <w:p w14:paraId="1CD73DD5">
      <w:pPr>
        <w:spacing w:line="560" w:lineRule="exact"/>
        <w:ind w:firstLine="520" w:firstLineChars="20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（二）要求供应商以联合体形式参加采购活动，且联合体中中小企业承担的部分达到一定比例；</w:t>
      </w:r>
    </w:p>
    <w:p w14:paraId="086BCE9A">
      <w:pPr>
        <w:spacing w:line="560" w:lineRule="exact"/>
        <w:ind w:firstLine="520" w:firstLineChars="20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（三）要求获得采购合同的供应商将采购项目中的一定比例分包给一家或者多家中小企业。组成联合体或者接受分包合同的中小企业与联合体内其他企业、分包企业之间不得存在直接控股、管理关系。</w:t>
      </w:r>
    </w:p>
    <w:p w14:paraId="2AE1A298">
      <w:pPr>
        <w:spacing w:line="560" w:lineRule="exact"/>
        <w:ind w:firstLine="69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第九条  对于经主管预算单位统筹后未预留</w:t>
      </w:r>
      <w:r>
        <w:rPr>
          <w:rFonts w:hint="eastAsia" w:ascii="宋体" w:hAnsi="宋体" w:eastAsia="宋体" w:cs="宋体"/>
          <w:color w:val="auto"/>
          <w:spacing w:val="18"/>
          <w:sz w:val="24"/>
          <w:szCs w:val="24"/>
          <w:highlight w:val="none"/>
          <w:lang w:eastAsia="zh-CN"/>
        </w:rPr>
        <w:t>份额专门</w:t>
      </w:r>
      <w:r>
        <w:rPr>
          <w:rFonts w:hint="eastAsia" w:ascii="宋体" w:hAnsi="宋体" w:eastAsia="宋体" w:cs="宋体"/>
          <w:color w:val="auto"/>
          <w:spacing w:val="8"/>
          <w:sz w:val="24"/>
          <w:szCs w:val="24"/>
          <w:highlight w:val="none"/>
          <w:lang w:eastAsia="zh-CN"/>
        </w:rPr>
        <w:t>面向中小企业采购的采购项目，以及预留份额项目中的非预留部分采购包，采购人、采购代理机构应当对符合本办法规</w:t>
      </w:r>
      <w:r>
        <w:rPr>
          <w:rFonts w:hint="eastAsia" w:ascii="宋体" w:hAnsi="宋体" w:eastAsia="宋体" w:cs="宋体"/>
          <w:color w:val="auto"/>
          <w:spacing w:val="5"/>
          <w:sz w:val="24"/>
          <w:szCs w:val="24"/>
          <w:highlight w:val="none"/>
          <w:lang w:eastAsia="zh-CN"/>
        </w:rPr>
        <w:t>定的小微企业报价给予</w:t>
      </w:r>
      <w:r>
        <w:rPr>
          <w:rFonts w:hint="eastAsia" w:ascii="宋体" w:hAnsi="宋体" w:eastAsia="宋体" w:cs="宋体"/>
          <w:color w:val="auto"/>
          <w:spacing w:val="-59"/>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6%—</w:t>
      </w:r>
      <w:r>
        <w:rPr>
          <w:rFonts w:hint="eastAsia" w:ascii="宋体" w:hAnsi="宋体" w:eastAsia="宋体" w:cs="宋体"/>
          <w:color w:val="auto"/>
          <w:spacing w:val="-121"/>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10%（工程项</w:t>
      </w:r>
      <w:r>
        <w:rPr>
          <w:rFonts w:hint="eastAsia" w:ascii="宋体" w:hAnsi="宋体" w:eastAsia="宋体" w:cs="宋体"/>
          <w:color w:val="auto"/>
          <w:spacing w:val="4"/>
          <w:sz w:val="24"/>
          <w:szCs w:val="24"/>
          <w:highlight w:val="none"/>
          <w:lang w:eastAsia="zh-CN"/>
        </w:rPr>
        <w:t>目为3%—5%）的扣</w:t>
      </w:r>
      <w:r>
        <w:rPr>
          <w:rFonts w:hint="eastAsia" w:ascii="宋体" w:hAnsi="宋体" w:eastAsia="宋体" w:cs="宋体"/>
          <w:color w:val="auto"/>
          <w:spacing w:val="8"/>
          <w:sz w:val="24"/>
          <w:szCs w:val="24"/>
          <w:highlight w:val="none"/>
          <w:lang w:eastAsia="zh-CN"/>
        </w:rPr>
        <w:t>除，用扣除后的价格参加评审。适用招标投标法的政府采购</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工程建设项目，采用综合评估法但未采用低价优先法计算价格分的，评标时应当在采用原报价进行评分的基础上增加其</w:t>
      </w:r>
      <w:r>
        <w:rPr>
          <w:rFonts w:hint="eastAsia" w:ascii="宋体" w:hAnsi="宋体" w:eastAsia="宋体" w:cs="宋体"/>
          <w:color w:val="auto"/>
          <w:spacing w:val="5"/>
          <w:sz w:val="24"/>
          <w:szCs w:val="24"/>
          <w:highlight w:val="none"/>
          <w:lang w:eastAsia="zh-CN"/>
        </w:rPr>
        <w:t>价格得分的</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3%—5%作为其价格分。</w:t>
      </w:r>
    </w:p>
    <w:p w14:paraId="2D2760FC">
      <w:pPr>
        <w:spacing w:line="560" w:lineRule="exact"/>
        <w:ind w:firstLine="7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接受大中型企业与小微企业组成联合体或者允许大中</w:t>
      </w:r>
      <w:r>
        <w:rPr>
          <w:rFonts w:hint="eastAsia" w:ascii="宋体" w:hAnsi="宋体" w:eastAsia="宋体" w:cs="宋体"/>
          <w:color w:val="auto"/>
          <w:spacing w:val="8"/>
          <w:sz w:val="24"/>
          <w:szCs w:val="24"/>
          <w:highlight w:val="none"/>
          <w:lang w:eastAsia="zh-CN"/>
        </w:rPr>
        <w:t>型企业向一家或者多家小微企业分包的采购项目，对于联合</w:t>
      </w:r>
      <w:r>
        <w:rPr>
          <w:rFonts w:hint="eastAsia" w:ascii="宋体" w:hAnsi="宋体" w:eastAsia="宋体" w:cs="宋体"/>
          <w:color w:val="auto"/>
          <w:spacing w:val="21"/>
          <w:sz w:val="24"/>
          <w:szCs w:val="24"/>
          <w:highlight w:val="none"/>
          <w:lang w:eastAsia="zh-CN"/>
        </w:rPr>
        <w:t>协议或者分包意向协议约定小微企业的合同份额占到合同</w:t>
      </w:r>
      <w:r>
        <w:rPr>
          <w:rFonts w:hint="eastAsia" w:ascii="宋体" w:hAnsi="宋体" w:eastAsia="宋体" w:cs="宋体"/>
          <w:color w:val="auto"/>
          <w:spacing w:val="10"/>
          <w:sz w:val="24"/>
          <w:szCs w:val="24"/>
          <w:highlight w:val="none"/>
          <w:lang w:eastAsia="zh-CN"/>
        </w:rPr>
        <w:t>总金额</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30%以上的，采购人、采购代理机构应当对联合体或</w:t>
      </w:r>
      <w:r>
        <w:rPr>
          <w:rFonts w:hint="eastAsia" w:ascii="宋体" w:hAnsi="宋体" w:eastAsia="宋体" w:cs="宋体"/>
          <w:color w:val="auto"/>
          <w:spacing w:val="5"/>
          <w:sz w:val="24"/>
          <w:szCs w:val="24"/>
          <w:highlight w:val="none"/>
          <w:lang w:eastAsia="zh-CN"/>
        </w:rPr>
        <w:t>者大中型企业的报价给予</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2%-3%（工程项目为</w:t>
      </w:r>
      <w:r>
        <w:rPr>
          <w:rFonts w:hint="eastAsia" w:ascii="宋体" w:hAnsi="宋体" w:eastAsia="宋体" w:cs="宋体"/>
          <w:color w:val="auto"/>
          <w:spacing w:val="-39"/>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1%—2%）的扣</w:t>
      </w:r>
      <w:r>
        <w:rPr>
          <w:rFonts w:hint="eastAsia" w:ascii="宋体" w:hAnsi="宋体" w:eastAsia="宋体" w:cs="宋体"/>
          <w:color w:val="auto"/>
          <w:spacing w:val="8"/>
          <w:sz w:val="24"/>
          <w:szCs w:val="24"/>
          <w:highlight w:val="none"/>
          <w:lang w:eastAsia="zh-CN"/>
        </w:rPr>
        <w:t>除，用扣除后的价格参加评审。适用招标投标法的政府采购工程建设项目，采用综合评估法但未采用低价优先法计算价格分的，评标时应当在采用原报价进行评分的基础上增加其</w:t>
      </w:r>
      <w:r>
        <w:rPr>
          <w:rFonts w:hint="eastAsia" w:ascii="宋体" w:hAnsi="宋体" w:eastAsia="宋体" w:cs="宋体"/>
          <w:color w:val="auto"/>
          <w:spacing w:val="4"/>
          <w:sz w:val="24"/>
          <w:szCs w:val="24"/>
          <w:highlight w:val="none"/>
          <w:lang w:eastAsia="zh-CN"/>
        </w:rPr>
        <w:t>价格得分的</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1%—2%作为其价格分。组成联合</w:t>
      </w:r>
      <w:r>
        <w:rPr>
          <w:rFonts w:hint="eastAsia" w:ascii="宋体" w:hAnsi="宋体" w:eastAsia="宋体" w:cs="宋体"/>
          <w:color w:val="auto"/>
          <w:spacing w:val="3"/>
          <w:sz w:val="24"/>
          <w:szCs w:val="24"/>
          <w:highlight w:val="none"/>
          <w:lang w:eastAsia="zh-CN"/>
        </w:rPr>
        <w:t>体或者接受分包</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的小微企业与联合体内其他企业、分包企业之间存在直接控股、管理关系的，不享受价格扣除优惠政策。</w:t>
      </w:r>
    </w:p>
    <w:p w14:paraId="5AC06D20">
      <w:pPr>
        <w:spacing w:line="560" w:lineRule="exact"/>
        <w:ind w:firstLine="70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价格扣除比例或者价格分加分比例对小型企业和微型</w:t>
      </w:r>
      <w:r>
        <w:rPr>
          <w:rFonts w:hint="eastAsia" w:ascii="宋体" w:hAnsi="宋体" w:eastAsia="宋体" w:cs="宋体"/>
          <w:color w:val="auto"/>
          <w:spacing w:val="8"/>
          <w:sz w:val="24"/>
          <w:szCs w:val="24"/>
          <w:highlight w:val="none"/>
          <w:lang w:eastAsia="zh-CN"/>
        </w:rPr>
        <w:t>企业同等对待，不作区分。具体采购项目的价格扣除比例或者价格分加分比例，由采购人根据采购标的相关行业平均利润率、市场竞争状况等，在本办法规定的幅度内确定。</w:t>
      </w:r>
    </w:p>
    <w:p w14:paraId="23274CB4">
      <w:pPr>
        <w:spacing w:line="560" w:lineRule="exact"/>
        <w:ind w:firstLine="69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第十条  采购人应当严格按照本办法规定和</w:t>
      </w:r>
      <w:r>
        <w:rPr>
          <w:rFonts w:hint="eastAsia" w:ascii="宋体" w:hAnsi="宋体" w:eastAsia="宋体" w:cs="宋体"/>
          <w:color w:val="auto"/>
          <w:spacing w:val="18"/>
          <w:sz w:val="24"/>
          <w:szCs w:val="24"/>
          <w:highlight w:val="none"/>
          <w:lang w:eastAsia="zh-CN"/>
        </w:rPr>
        <w:t>主管预算</w:t>
      </w:r>
      <w:r>
        <w:rPr>
          <w:rFonts w:hint="eastAsia" w:ascii="宋体" w:hAnsi="宋体" w:eastAsia="宋体" w:cs="宋体"/>
          <w:color w:val="auto"/>
          <w:spacing w:val="8"/>
          <w:sz w:val="24"/>
          <w:szCs w:val="24"/>
          <w:highlight w:val="none"/>
          <w:lang w:eastAsia="zh-CN"/>
        </w:rPr>
        <w:t>单位制定的预留采购份额具体方案开展采购活动。预留份额的采购项目或者采购包，通过发布公告方式邀请供应商后，</w:t>
      </w:r>
      <w:r>
        <w:rPr>
          <w:rFonts w:hint="eastAsia" w:ascii="宋体" w:hAnsi="宋体" w:eastAsia="宋体" w:cs="宋体"/>
          <w:color w:val="auto"/>
          <w:spacing w:val="6"/>
          <w:sz w:val="24"/>
          <w:szCs w:val="24"/>
          <w:highlight w:val="none"/>
          <w:lang w:eastAsia="zh-CN"/>
        </w:rPr>
        <w:t>符合资格条件的中小企业数量不足</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3</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家的，应当中止采购活</w:t>
      </w:r>
      <w:r>
        <w:rPr>
          <w:rFonts w:hint="eastAsia" w:ascii="宋体" w:hAnsi="宋体" w:eastAsia="宋体" w:cs="宋体"/>
          <w:color w:val="auto"/>
          <w:spacing w:val="8"/>
          <w:sz w:val="24"/>
          <w:szCs w:val="24"/>
          <w:highlight w:val="none"/>
          <w:lang w:eastAsia="zh-CN"/>
        </w:rPr>
        <w:t>动，视同未预留份额的采购项目或者采购包，按照本办法第</w:t>
      </w:r>
      <w:r>
        <w:rPr>
          <w:rFonts w:hint="eastAsia" w:ascii="宋体" w:hAnsi="宋体" w:eastAsia="宋体" w:cs="宋体"/>
          <w:color w:val="auto"/>
          <w:spacing w:val="7"/>
          <w:sz w:val="24"/>
          <w:szCs w:val="24"/>
          <w:highlight w:val="none"/>
          <w:lang w:eastAsia="zh-CN"/>
        </w:rPr>
        <w:t>九条有关规定重新组织采购活动。</w:t>
      </w:r>
    </w:p>
    <w:p w14:paraId="35B65455">
      <w:pPr>
        <w:spacing w:line="560" w:lineRule="exact"/>
        <w:ind w:firstLine="699"/>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3"/>
          <w:sz w:val="24"/>
          <w:szCs w:val="24"/>
          <w:highlight w:val="none"/>
          <w:lang w:eastAsia="zh-CN"/>
        </w:rPr>
        <w:t>第十一条</w:t>
      </w:r>
      <w:r>
        <w:rPr>
          <w:rFonts w:hint="eastAsia" w:ascii="宋体" w:hAnsi="宋体" w:eastAsia="宋体" w:cs="宋体"/>
          <w:color w:val="auto"/>
          <w:spacing w:val="37"/>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中小企业参加政府采购活动，应当出具本办</w:t>
      </w:r>
      <w:r>
        <w:rPr>
          <w:rFonts w:hint="eastAsia" w:ascii="宋体" w:hAnsi="宋体" w:eastAsia="宋体" w:cs="宋体"/>
          <w:color w:val="auto"/>
          <w:spacing w:val="2"/>
          <w:sz w:val="24"/>
          <w:szCs w:val="24"/>
          <w:highlight w:val="none"/>
          <w:lang w:eastAsia="zh-CN"/>
        </w:rPr>
        <w:t>法规定的《中小企业声明函》（附</w:t>
      </w:r>
      <w:r>
        <w:rPr>
          <w:rFonts w:hint="eastAsia" w:ascii="宋体" w:hAnsi="宋体" w:eastAsia="宋体" w:cs="宋体"/>
          <w:color w:val="auto"/>
          <w:spacing w:val="-3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1</w:t>
      </w:r>
      <w:r>
        <w:rPr>
          <w:rFonts w:hint="eastAsia" w:ascii="宋体" w:hAnsi="宋体" w:eastAsia="宋体" w:cs="宋体"/>
          <w:color w:val="auto"/>
          <w:spacing w:val="-50"/>
          <w:sz w:val="24"/>
          <w:szCs w:val="24"/>
          <w:highlight w:val="none"/>
          <w:lang w:eastAsia="zh-CN"/>
        </w:rPr>
        <w:t>），</w:t>
      </w:r>
      <w:r>
        <w:rPr>
          <w:rFonts w:hint="eastAsia" w:ascii="宋体" w:hAnsi="宋体" w:eastAsia="宋体" w:cs="宋体"/>
          <w:color w:val="auto"/>
          <w:spacing w:val="2"/>
          <w:sz w:val="24"/>
          <w:szCs w:val="24"/>
          <w:highlight w:val="none"/>
          <w:lang w:eastAsia="zh-CN"/>
        </w:rPr>
        <w:t>否则不得享受相关中</w:t>
      </w:r>
      <w:r>
        <w:rPr>
          <w:rFonts w:hint="eastAsia" w:ascii="宋体" w:hAnsi="宋体" w:eastAsia="宋体" w:cs="宋体"/>
          <w:color w:val="auto"/>
          <w:spacing w:val="8"/>
          <w:sz w:val="24"/>
          <w:szCs w:val="24"/>
          <w:highlight w:val="none"/>
          <w:lang w:eastAsia="zh-CN"/>
        </w:rPr>
        <w:t>小企业扶持政策。任何单位和个人不得要求供应商提供《中小企业声明函》之外的中小企业身份证明文件。</w:t>
      </w:r>
    </w:p>
    <w:p w14:paraId="2ECE0A89">
      <w:pPr>
        <w:spacing w:line="560" w:lineRule="exact"/>
        <w:ind w:firstLine="69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3"/>
          <w:sz w:val="24"/>
          <w:szCs w:val="24"/>
          <w:highlight w:val="none"/>
          <w:lang w:eastAsia="zh-CN"/>
        </w:rPr>
        <w:t xml:space="preserve">第十二条  </w:t>
      </w:r>
      <w:r>
        <w:rPr>
          <w:rFonts w:hint="eastAsia" w:ascii="宋体" w:hAnsi="宋体" w:eastAsia="宋体" w:cs="宋体"/>
          <w:color w:val="auto"/>
          <w:spacing w:val="2"/>
          <w:sz w:val="24"/>
          <w:szCs w:val="24"/>
          <w:highlight w:val="none"/>
          <w:lang w:eastAsia="zh-CN"/>
        </w:rPr>
        <w:t>采购项目涉及中小企业采购的，采购文件应当明确以下内容：</w:t>
      </w:r>
    </w:p>
    <w:p w14:paraId="3176F274">
      <w:pPr>
        <w:spacing w:line="560" w:lineRule="exact"/>
        <w:ind w:firstLine="70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（一）预留份额的采购项目或者采购包，明确该项目或</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相关采购包专门面向中小企业采购，以及相关标的及预算金</w:t>
      </w:r>
      <w:r>
        <w:rPr>
          <w:rFonts w:hint="eastAsia" w:ascii="宋体" w:hAnsi="宋体" w:eastAsia="宋体" w:cs="宋体"/>
          <w:color w:val="auto"/>
          <w:spacing w:val="-6"/>
          <w:sz w:val="24"/>
          <w:szCs w:val="24"/>
          <w:highlight w:val="none"/>
          <w:lang w:eastAsia="zh-CN"/>
        </w:rPr>
        <w:t>额；</w:t>
      </w:r>
    </w:p>
    <w:p w14:paraId="3B4006F6">
      <w:pPr>
        <w:spacing w:line="560" w:lineRule="exact"/>
        <w:ind w:firstLine="709"/>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（二）要求以联合体形式参加或者合同分包的，明确联 合协议或者分包意向协议中中小企业合同金额应当达到的比例，并作为供应商资格条件；</w:t>
      </w:r>
    </w:p>
    <w:p w14:paraId="2257D566">
      <w:pPr>
        <w:spacing w:line="560" w:lineRule="exact"/>
        <w:ind w:firstLine="709"/>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（三）非预留份额的采购项目或者采购包，明确有关价格扣除比例或者价格分加分比例；</w:t>
      </w:r>
    </w:p>
    <w:p w14:paraId="1EA26F37">
      <w:pPr>
        <w:spacing w:line="560" w:lineRule="exact"/>
        <w:ind w:firstLine="709"/>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（四）规定依据本办法规定享受扶持政策获得政府采购合同的，小微企业不得将合同分包给大中型企业，中型企业不得将合同分包给大型企业；</w:t>
      </w:r>
    </w:p>
    <w:p w14:paraId="58915D8E">
      <w:pPr>
        <w:spacing w:line="560" w:lineRule="exact"/>
        <w:ind w:firstLine="709"/>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（五）采购人认为具备相关条件的，明确对中小企业在资金支付期限、预付款比例等方面的优惠措施；</w:t>
      </w:r>
    </w:p>
    <w:p w14:paraId="5BBF02DA">
      <w:pPr>
        <w:spacing w:line="560" w:lineRule="exact"/>
        <w:ind w:firstLine="709"/>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（六）明确采购标的对应的中小企业划分标准所属行业；</w:t>
      </w:r>
    </w:p>
    <w:p w14:paraId="49DD3F1C">
      <w:pPr>
        <w:spacing w:line="560" w:lineRule="exact"/>
        <w:ind w:firstLine="709"/>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（七）法律法规和省级以上人民政府财政部门规定的其他事项。</w:t>
      </w:r>
    </w:p>
    <w:p w14:paraId="47CAEDD0">
      <w:pPr>
        <w:spacing w:line="560" w:lineRule="exact"/>
        <w:ind w:firstLine="703"/>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3"/>
          <w:sz w:val="24"/>
          <w:szCs w:val="24"/>
          <w:highlight w:val="none"/>
          <w:lang w:eastAsia="zh-CN"/>
        </w:rPr>
        <w:t>第十三条</w:t>
      </w:r>
      <w:r>
        <w:rPr>
          <w:rFonts w:hint="eastAsia" w:ascii="宋体" w:hAnsi="宋体" w:eastAsia="宋体" w:cs="宋体"/>
          <w:color w:val="auto"/>
          <w:spacing w:val="36"/>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中标、成交供应商享受本办法规定的中小企业扶持政策的，采购人、采购代理机构应当随中标、成交结果公开中标、成交供应商的《中小企业声明函》。</w:t>
      </w:r>
    </w:p>
    <w:p w14:paraId="4F1219D5">
      <w:pPr>
        <w:spacing w:line="560" w:lineRule="exact"/>
        <w:ind w:firstLine="70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适用招标投标法的政府采购工程建设项目，应当在公示中标候选人时公开中标候选</w:t>
      </w:r>
      <w:r>
        <w:rPr>
          <w:rFonts w:hint="eastAsia" w:ascii="宋体" w:hAnsi="宋体" w:eastAsia="宋体" w:cs="宋体"/>
          <w:color w:val="auto"/>
          <w:spacing w:val="2"/>
          <w:sz w:val="24"/>
          <w:szCs w:val="24"/>
          <w:highlight w:val="none"/>
          <w:lang w:eastAsia="zh-CN"/>
        </w:rPr>
        <w:t>人的《中小企业声明函》。</w:t>
      </w:r>
    </w:p>
    <w:p w14:paraId="0475CEFC">
      <w:pPr>
        <w:spacing w:line="560" w:lineRule="exact"/>
        <w:ind w:firstLine="69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第十四条  对于通过预留采购项目、预留专门采购包、</w:t>
      </w:r>
      <w:r>
        <w:rPr>
          <w:rFonts w:hint="eastAsia" w:ascii="宋体" w:hAnsi="宋体" w:eastAsia="宋体" w:cs="宋体"/>
          <w:color w:val="auto"/>
          <w:spacing w:val="21"/>
          <w:sz w:val="24"/>
          <w:szCs w:val="24"/>
          <w:highlight w:val="none"/>
          <w:lang w:eastAsia="zh-CN"/>
        </w:rPr>
        <w:t>要求以联合体形式参加或者合同分包等措施签订的采购合</w:t>
      </w:r>
      <w:r>
        <w:rPr>
          <w:rFonts w:hint="eastAsia" w:ascii="宋体" w:hAnsi="宋体" w:eastAsia="宋体" w:cs="宋体"/>
          <w:color w:val="auto"/>
          <w:spacing w:val="8"/>
          <w:sz w:val="24"/>
          <w:szCs w:val="24"/>
          <w:highlight w:val="none"/>
          <w:lang w:eastAsia="zh-CN"/>
        </w:rPr>
        <w:t>同，应当明确标注本合同为中小企业预留合同。其中，要求以联合体形式参加采购活动或者合同分包的，应当将联合协议或者分包意向协议作为采购合同的组成部分。</w:t>
      </w:r>
    </w:p>
    <w:p w14:paraId="36923B6A">
      <w:pPr>
        <w:spacing w:line="560" w:lineRule="exact"/>
        <w:ind w:firstLine="69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第十五条  鼓励各地区、各部门在采购活动中允许中小</w:t>
      </w:r>
      <w:r>
        <w:rPr>
          <w:rFonts w:hint="eastAsia" w:ascii="宋体" w:hAnsi="宋体" w:eastAsia="宋体" w:cs="宋体"/>
          <w:color w:val="auto"/>
          <w:spacing w:val="8"/>
          <w:sz w:val="24"/>
          <w:szCs w:val="24"/>
          <w:highlight w:val="none"/>
          <w:lang w:eastAsia="zh-CN"/>
        </w:rPr>
        <w:t>企业引入信用担保手段，为中小企业在投标（响应）保证、履约保证等方面提供专业化服务。鼓励中小企业依法合规通</w:t>
      </w:r>
      <w:r>
        <w:rPr>
          <w:rFonts w:hint="eastAsia" w:ascii="宋体" w:hAnsi="宋体" w:eastAsia="宋体" w:cs="宋体"/>
          <w:color w:val="auto"/>
          <w:spacing w:val="6"/>
          <w:sz w:val="24"/>
          <w:szCs w:val="24"/>
          <w:highlight w:val="none"/>
          <w:lang w:eastAsia="zh-CN"/>
        </w:rPr>
        <w:t>过政府采购合同融资。</w:t>
      </w:r>
    </w:p>
    <w:p w14:paraId="22FE2F3F">
      <w:pPr>
        <w:spacing w:line="560" w:lineRule="exact"/>
        <w:ind w:firstLine="69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第十六条  政府采购监督检查、投诉处理及政府采购行</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政处罚中对中小企业的认定，由货物制造商或者工程、服务</w:t>
      </w:r>
      <w:r>
        <w:rPr>
          <w:rFonts w:hint="eastAsia" w:ascii="宋体" w:hAnsi="宋体" w:eastAsia="宋体" w:cs="宋体"/>
          <w:color w:val="auto"/>
          <w:spacing w:val="21"/>
          <w:sz w:val="24"/>
          <w:szCs w:val="24"/>
          <w:highlight w:val="none"/>
          <w:lang w:eastAsia="zh-CN"/>
        </w:rPr>
        <w:t>供应商注册登记所在地的县级以上人民政府中小企业主管</w:t>
      </w:r>
      <w:r>
        <w:rPr>
          <w:rFonts w:hint="eastAsia" w:ascii="宋体" w:hAnsi="宋体" w:eastAsia="宋体" w:cs="宋体"/>
          <w:color w:val="auto"/>
          <w:spacing w:val="3"/>
          <w:sz w:val="24"/>
          <w:szCs w:val="24"/>
          <w:highlight w:val="none"/>
          <w:lang w:eastAsia="zh-CN"/>
        </w:rPr>
        <w:t>部门负责。</w:t>
      </w:r>
    </w:p>
    <w:p w14:paraId="0C674048">
      <w:pPr>
        <w:spacing w:line="560" w:lineRule="exact"/>
        <w:ind w:firstLine="750"/>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17"/>
          <w:sz w:val="24"/>
          <w:szCs w:val="24"/>
          <w:highlight w:val="none"/>
          <w:lang w:eastAsia="zh-CN"/>
        </w:rPr>
        <w:t>中小企业主管部门应当在收到财政部门或者有关招标</w:t>
      </w:r>
      <w:r>
        <w:rPr>
          <w:rFonts w:hint="eastAsia" w:ascii="宋体" w:hAnsi="宋体" w:eastAsia="宋体" w:cs="宋体"/>
          <w:color w:val="auto"/>
          <w:spacing w:val="11"/>
          <w:sz w:val="24"/>
          <w:szCs w:val="24"/>
          <w:highlight w:val="none"/>
          <w:lang w:eastAsia="zh-CN"/>
        </w:rPr>
        <w:t>投标行政监督部门关于协助开展中小企业认定函后10</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个工</w:t>
      </w:r>
      <w:r>
        <w:rPr>
          <w:rFonts w:hint="eastAsia" w:ascii="宋体" w:hAnsi="宋体" w:eastAsia="宋体" w:cs="宋体"/>
          <w:color w:val="auto"/>
          <w:spacing w:val="6"/>
          <w:sz w:val="24"/>
          <w:szCs w:val="24"/>
          <w:highlight w:val="none"/>
          <w:lang w:eastAsia="zh-CN"/>
        </w:rPr>
        <w:t>作日内做出书面答复。</w:t>
      </w:r>
    </w:p>
    <w:p w14:paraId="7019CD11">
      <w:pPr>
        <w:spacing w:line="560" w:lineRule="exact"/>
        <w:ind w:firstLine="750"/>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5"/>
          <w:sz w:val="24"/>
          <w:szCs w:val="24"/>
          <w:highlight w:val="none"/>
          <w:lang w:eastAsia="zh-CN"/>
        </w:rPr>
        <w:t xml:space="preserve">第十七条 </w:t>
      </w:r>
      <w:r>
        <w:rPr>
          <w:rFonts w:hint="eastAsia" w:ascii="宋体" w:hAnsi="宋体" w:eastAsia="宋体" w:cs="宋体"/>
          <w:color w:val="auto"/>
          <w:spacing w:val="17"/>
          <w:sz w:val="24"/>
          <w:szCs w:val="24"/>
          <w:highlight w:val="none"/>
          <w:lang w:eastAsia="zh-CN"/>
        </w:rPr>
        <w:t xml:space="preserve"> 各地区、各部门应当对涉及中小企业采购的预算项目实施全过</w:t>
      </w:r>
      <w:r>
        <w:rPr>
          <w:rFonts w:hint="eastAsia" w:ascii="宋体" w:hAnsi="宋体" w:eastAsia="宋体" w:cs="宋体"/>
          <w:color w:val="auto"/>
          <w:spacing w:val="8"/>
          <w:sz w:val="24"/>
          <w:szCs w:val="24"/>
          <w:highlight w:val="none"/>
          <w:lang w:eastAsia="zh-CN"/>
        </w:rPr>
        <w:t>程绩效管理，合理设置绩效目标和指标，落实扶持中小企业有关政策要求，定期开展绩效监控和评价，强化绩效评价结果应用。</w:t>
      </w:r>
    </w:p>
    <w:p w14:paraId="28DCE6E2">
      <w:pPr>
        <w:spacing w:line="560" w:lineRule="exact"/>
        <w:ind w:firstLine="512" w:firstLineChars="200"/>
        <w:rPr>
          <w:rFonts w:hint="eastAsia" w:ascii="宋体" w:hAnsi="宋体" w:eastAsia="宋体" w:cs="宋体"/>
          <w:color w:val="auto"/>
          <w:spacing w:val="8"/>
          <w:position w:val="18"/>
          <w:sz w:val="24"/>
          <w:szCs w:val="24"/>
          <w:highlight w:val="none"/>
          <w:lang w:eastAsia="zh-CN"/>
        </w:rPr>
      </w:pPr>
      <w:r>
        <w:rPr>
          <w:rFonts w:hint="eastAsia" w:ascii="宋体" w:hAnsi="宋体" w:eastAsia="宋体" w:cs="宋体"/>
          <w:color w:val="auto"/>
          <w:spacing w:val="8"/>
          <w:position w:val="18"/>
          <w:sz w:val="24"/>
          <w:szCs w:val="24"/>
          <w:highlight w:val="none"/>
          <w:lang w:eastAsia="zh-CN"/>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3D92408C">
      <w:pPr>
        <w:spacing w:line="560" w:lineRule="exact"/>
        <w:ind w:firstLine="55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第十九条  采购人未按本办法规定为中小企</w:t>
      </w:r>
      <w:r>
        <w:rPr>
          <w:rFonts w:hint="eastAsia" w:ascii="宋体" w:hAnsi="宋体" w:eastAsia="宋体" w:cs="宋体"/>
          <w:color w:val="auto"/>
          <w:spacing w:val="18"/>
          <w:sz w:val="24"/>
          <w:szCs w:val="24"/>
          <w:highlight w:val="none"/>
          <w:lang w:eastAsia="zh-CN"/>
        </w:rPr>
        <w:t>业预留采</w:t>
      </w:r>
      <w:r>
        <w:rPr>
          <w:rFonts w:hint="eastAsia" w:ascii="宋体" w:hAnsi="宋体" w:eastAsia="宋体" w:cs="宋体"/>
          <w:color w:val="auto"/>
          <w:spacing w:val="8"/>
          <w:sz w:val="24"/>
          <w:szCs w:val="24"/>
          <w:highlight w:val="none"/>
          <w:lang w:eastAsia="zh-CN"/>
        </w:rPr>
        <w:t>购份额，采购人、采购代理机构未按照本办法规定要求实施价格扣除或者价格分加分的，属于未按照规定执行政府采购政策，依照《中华人民共和国政府采购法》等国家有关规定</w:t>
      </w:r>
      <w:r>
        <w:rPr>
          <w:rFonts w:hint="eastAsia" w:ascii="宋体" w:hAnsi="宋体" w:eastAsia="宋体" w:cs="宋体"/>
          <w:color w:val="auto"/>
          <w:spacing w:val="5"/>
          <w:sz w:val="24"/>
          <w:szCs w:val="24"/>
          <w:highlight w:val="none"/>
          <w:lang w:eastAsia="zh-CN"/>
        </w:rPr>
        <w:t>追究法律责任。</w:t>
      </w:r>
    </w:p>
    <w:p w14:paraId="2EC30989">
      <w:pPr>
        <w:spacing w:line="560" w:lineRule="exact"/>
        <w:ind w:firstLine="69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第二十条  供应商按照本办法规定提供声明</w:t>
      </w:r>
      <w:r>
        <w:rPr>
          <w:rFonts w:hint="eastAsia" w:ascii="宋体" w:hAnsi="宋体" w:eastAsia="宋体" w:cs="宋体"/>
          <w:color w:val="auto"/>
          <w:spacing w:val="18"/>
          <w:sz w:val="24"/>
          <w:szCs w:val="24"/>
          <w:highlight w:val="none"/>
          <w:lang w:eastAsia="zh-CN"/>
        </w:rPr>
        <w:t>函内容不</w:t>
      </w:r>
      <w:r>
        <w:rPr>
          <w:rFonts w:hint="eastAsia" w:ascii="宋体" w:hAnsi="宋体" w:eastAsia="宋体" w:cs="宋体"/>
          <w:color w:val="auto"/>
          <w:spacing w:val="8"/>
          <w:sz w:val="24"/>
          <w:szCs w:val="24"/>
          <w:highlight w:val="none"/>
          <w:lang w:eastAsia="zh-CN"/>
        </w:rPr>
        <w:t>实的，属于提供虚假材料谋取中标、成交，依照《中华人民共和国政府采购法》等国家有关规定追究相应责任。</w:t>
      </w:r>
    </w:p>
    <w:p w14:paraId="0B519BF9">
      <w:pPr>
        <w:spacing w:line="560" w:lineRule="exact"/>
        <w:ind w:firstLine="63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适用招标投标法的政府采购工程建设项目，投标人按照本办法规定提供声明函内容不实的，属于弄虚作假骗取</w:t>
      </w:r>
      <w:r>
        <w:rPr>
          <w:rFonts w:hint="eastAsia" w:ascii="宋体" w:hAnsi="宋体" w:eastAsia="宋体" w:cs="宋体"/>
          <w:color w:val="auto"/>
          <w:spacing w:val="5"/>
          <w:sz w:val="24"/>
          <w:szCs w:val="24"/>
          <w:highlight w:val="none"/>
          <w:lang w:eastAsia="zh-CN"/>
        </w:rPr>
        <w:t>中标，</w:t>
      </w:r>
      <w:r>
        <w:rPr>
          <w:rFonts w:hint="eastAsia" w:ascii="宋体" w:hAnsi="宋体" w:eastAsia="宋体" w:cs="宋体"/>
          <w:color w:val="auto"/>
          <w:spacing w:val="8"/>
          <w:sz w:val="24"/>
          <w:szCs w:val="24"/>
          <w:highlight w:val="none"/>
          <w:lang w:eastAsia="zh-CN"/>
        </w:rPr>
        <w:t>依照《中华人民共和国招标投标法》等国家有关规定追究相</w:t>
      </w:r>
      <w:r>
        <w:rPr>
          <w:rFonts w:hint="eastAsia" w:ascii="宋体" w:hAnsi="宋体" w:eastAsia="宋体" w:cs="宋体"/>
          <w:color w:val="auto"/>
          <w:spacing w:val="2"/>
          <w:sz w:val="24"/>
          <w:szCs w:val="24"/>
          <w:highlight w:val="none"/>
          <w:lang w:eastAsia="zh-CN"/>
        </w:rPr>
        <w:t>应责任。</w:t>
      </w:r>
    </w:p>
    <w:p w14:paraId="54D952B5">
      <w:pPr>
        <w:spacing w:line="560" w:lineRule="exact"/>
        <w:ind w:firstLine="70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第二十一条  财政部门、中小企业主管部门及其工作人</w:t>
      </w:r>
      <w:r>
        <w:rPr>
          <w:rFonts w:hint="eastAsia" w:ascii="宋体" w:hAnsi="宋体" w:eastAsia="宋体" w:cs="宋体"/>
          <w:color w:val="auto"/>
          <w:spacing w:val="8"/>
          <w:sz w:val="24"/>
          <w:szCs w:val="24"/>
          <w:highlight w:val="none"/>
          <w:lang w:eastAsia="zh-CN"/>
        </w:rPr>
        <w:t>员在履行职责中违反本办法规定及存在其他滥用职权、玩忽职守、徇私舞弊等违法违纪行为的，依照《</w:t>
      </w:r>
      <w:r>
        <w:rPr>
          <w:color w:val="auto"/>
          <w:highlight w:val="none"/>
        </w:rPr>
        <w:fldChar w:fldCharType="begin"/>
      </w:r>
      <w:r>
        <w:rPr>
          <w:color w:val="auto"/>
          <w:highlight w:val="none"/>
        </w:rPr>
        <w:instrText xml:space="preserve"> HYPERLINK "http://10.162.100.18:168/golaw?dbnm=gjfg&amp;flid=1116012014128049" </w:instrText>
      </w:r>
      <w:r>
        <w:rPr>
          <w:color w:val="auto"/>
          <w:highlight w:val="none"/>
        </w:rPr>
        <w:fldChar w:fldCharType="separate"/>
      </w:r>
      <w:r>
        <w:rPr>
          <w:rFonts w:hint="eastAsia" w:ascii="宋体" w:hAnsi="宋体" w:eastAsia="宋体" w:cs="宋体"/>
          <w:color w:val="auto"/>
          <w:spacing w:val="8"/>
          <w:sz w:val="24"/>
          <w:szCs w:val="24"/>
          <w:highlight w:val="none"/>
          <w:lang w:eastAsia="zh-CN"/>
        </w:rPr>
        <w:t>中华人民共和国</w:t>
      </w:r>
      <w:r>
        <w:rPr>
          <w:rFonts w:hint="eastAsia" w:ascii="宋体" w:hAnsi="宋体" w:eastAsia="宋体" w:cs="宋体"/>
          <w:color w:val="auto"/>
          <w:spacing w:val="8"/>
          <w:sz w:val="24"/>
          <w:szCs w:val="24"/>
          <w:highlight w:val="none"/>
          <w:lang w:eastAsia="zh-CN"/>
        </w:rPr>
        <w:fldChar w:fldCharType="end"/>
      </w:r>
      <w:r>
        <w:rPr>
          <w:rFonts w:hint="eastAsia" w:ascii="宋体" w:hAnsi="宋体" w:eastAsia="宋体" w:cs="宋体"/>
          <w:color w:val="auto"/>
          <w:spacing w:val="-14"/>
          <w:sz w:val="24"/>
          <w:szCs w:val="24"/>
          <w:highlight w:val="none"/>
          <w:lang w:eastAsia="zh-CN"/>
        </w:rPr>
        <w:t>政府采购法》、《</w:t>
      </w:r>
      <w:r>
        <w:rPr>
          <w:color w:val="auto"/>
          <w:highlight w:val="none"/>
        </w:rPr>
        <w:fldChar w:fldCharType="begin"/>
      </w:r>
      <w:r>
        <w:rPr>
          <w:color w:val="auto"/>
          <w:highlight w:val="none"/>
        </w:rPr>
        <w:instrText xml:space="preserve"> HYPERLINK "http://10.162.100.18:168/golaw?dbnm=gjfg&amp;flid=111601200501" </w:instrText>
      </w:r>
      <w:r>
        <w:rPr>
          <w:color w:val="auto"/>
          <w:highlight w:val="none"/>
        </w:rPr>
        <w:fldChar w:fldCharType="separate"/>
      </w:r>
      <w:r>
        <w:rPr>
          <w:rFonts w:hint="eastAsia" w:ascii="宋体" w:hAnsi="宋体" w:eastAsia="宋体" w:cs="宋体"/>
          <w:color w:val="auto"/>
          <w:spacing w:val="-14"/>
          <w:sz w:val="24"/>
          <w:szCs w:val="24"/>
          <w:highlight w:val="none"/>
          <w:lang w:eastAsia="zh-CN"/>
        </w:rPr>
        <w:t>中华人民共和国公务员法</w:t>
      </w:r>
      <w:r>
        <w:rPr>
          <w:rFonts w:hint="eastAsia" w:ascii="宋体" w:hAnsi="宋体" w:eastAsia="宋体" w:cs="宋体"/>
          <w:color w:val="auto"/>
          <w:spacing w:val="-14"/>
          <w:sz w:val="24"/>
          <w:szCs w:val="24"/>
          <w:highlight w:val="none"/>
          <w:lang w:eastAsia="zh-CN"/>
        </w:rPr>
        <w:fldChar w:fldCharType="end"/>
      </w:r>
      <w:r>
        <w:rPr>
          <w:rFonts w:hint="eastAsia" w:ascii="宋体" w:hAnsi="宋体" w:eastAsia="宋体" w:cs="宋体"/>
          <w:color w:val="auto"/>
          <w:spacing w:val="-14"/>
          <w:sz w:val="24"/>
          <w:szCs w:val="24"/>
          <w:highlight w:val="none"/>
          <w:lang w:eastAsia="zh-CN"/>
        </w:rPr>
        <w:t>》、《</w:t>
      </w:r>
      <w:r>
        <w:rPr>
          <w:color w:val="auto"/>
          <w:highlight w:val="none"/>
        </w:rPr>
        <w:fldChar w:fldCharType="begin"/>
      </w:r>
      <w:r>
        <w:rPr>
          <w:color w:val="auto"/>
          <w:highlight w:val="none"/>
        </w:rPr>
        <w:instrText xml:space="preserve"> HYPERLINK "http://10.162.100.18:168/golaw?dbnm=gjfg&amp;flid=1117032010100014" </w:instrText>
      </w:r>
      <w:r>
        <w:rPr>
          <w:color w:val="auto"/>
          <w:highlight w:val="none"/>
        </w:rPr>
        <w:fldChar w:fldCharType="separate"/>
      </w:r>
      <w:r>
        <w:rPr>
          <w:rFonts w:hint="eastAsia" w:ascii="宋体" w:hAnsi="宋体" w:eastAsia="宋体" w:cs="宋体"/>
          <w:color w:val="auto"/>
          <w:spacing w:val="-14"/>
          <w:sz w:val="24"/>
          <w:szCs w:val="24"/>
          <w:highlight w:val="none"/>
          <w:lang w:eastAsia="zh-CN"/>
        </w:rPr>
        <w:t>中华人民共和</w:t>
      </w:r>
      <w:r>
        <w:rPr>
          <w:rFonts w:hint="eastAsia" w:ascii="宋体" w:hAnsi="宋体" w:eastAsia="宋体" w:cs="宋体"/>
          <w:color w:val="auto"/>
          <w:spacing w:val="-14"/>
          <w:sz w:val="24"/>
          <w:szCs w:val="24"/>
          <w:highlight w:val="none"/>
          <w:lang w:eastAsia="zh-CN"/>
        </w:rPr>
        <w:fldChar w:fldCharType="end"/>
      </w:r>
      <w:r>
        <w:rPr>
          <w:rFonts w:hint="eastAsia" w:ascii="宋体" w:hAnsi="宋体" w:eastAsia="宋体" w:cs="宋体"/>
          <w:color w:val="auto"/>
          <w:spacing w:val="-3"/>
          <w:sz w:val="24"/>
          <w:szCs w:val="24"/>
          <w:highlight w:val="none"/>
          <w:lang w:eastAsia="zh-CN"/>
        </w:rPr>
        <w:t>国监察法》、《</w:t>
      </w:r>
      <w:r>
        <w:rPr>
          <w:color w:val="auto"/>
          <w:highlight w:val="none"/>
        </w:rPr>
        <w:fldChar w:fldCharType="begin"/>
      </w:r>
      <w:r>
        <w:rPr>
          <w:color w:val="auto"/>
          <w:highlight w:val="none"/>
        </w:rPr>
        <w:instrText xml:space="preserve"> HYPERLINK "http://10.162.100.18:168/golaw?dbnm=gjfg&amp;flid=1129012015130679" </w:instrText>
      </w:r>
      <w:r>
        <w:rPr>
          <w:color w:val="auto"/>
          <w:highlight w:val="none"/>
        </w:rPr>
        <w:fldChar w:fldCharType="separate"/>
      </w:r>
      <w:r>
        <w:rPr>
          <w:rFonts w:hint="eastAsia" w:ascii="宋体" w:hAnsi="宋体" w:eastAsia="宋体" w:cs="宋体"/>
          <w:color w:val="auto"/>
          <w:spacing w:val="-3"/>
          <w:sz w:val="24"/>
          <w:szCs w:val="24"/>
          <w:highlight w:val="none"/>
          <w:lang w:eastAsia="zh-CN"/>
        </w:rPr>
        <w:t>中华人民共和国政府采购法实施条例</w:t>
      </w:r>
      <w:r>
        <w:rPr>
          <w:rFonts w:hint="eastAsia" w:ascii="宋体" w:hAnsi="宋体" w:eastAsia="宋体" w:cs="宋体"/>
          <w:color w:val="auto"/>
          <w:spacing w:val="-3"/>
          <w:sz w:val="24"/>
          <w:szCs w:val="24"/>
          <w:highlight w:val="none"/>
          <w:lang w:eastAsia="zh-CN"/>
        </w:rPr>
        <w:fldChar w:fldCharType="end"/>
      </w:r>
      <w:r>
        <w:rPr>
          <w:rFonts w:hint="eastAsia" w:ascii="宋体" w:hAnsi="宋体" w:eastAsia="宋体" w:cs="宋体"/>
          <w:color w:val="auto"/>
          <w:spacing w:val="-3"/>
          <w:sz w:val="24"/>
          <w:szCs w:val="24"/>
          <w:highlight w:val="none"/>
          <w:lang w:eastAsia="zh-CN"/>
        </w:rPr>
        <w:t>》等</w:t>
      </w:r>
      <w:r>
        <w:rPr>
          <w:rFonts w:hint="eastAsia" w:ascii="宋体" w:hAnsi="宋体" w:eastAsia="宋体" w:cs="宋体"/>
          <w:color w:val="auto"/>
          <w:spacing w:val="-4"/>
          <w:sz w:val="24"/>
          <w:szCs w:val="24"/>
          <w:highlight w:val="none"/>
          <w:lang w:eastAsia="zh-CN"/>
        </w:rPr>
        <w:t>国家</w:t>
      </w:r>
      <w:r>
        <w:rPr>
          <w:rFonts w:hint="eastAsia" w:ascii="宋体" w:hAnsi="宋体" w:eastAsia="宋体" w:cs="宋体"/>
          <w:color w:val="auto"/>
          <w:spacing w:val="9"/>
          <w:sz w:val="24"/>
          <w:szCs w:val="24"/>
          <w:highlight w:val="none"/>
          <w:lang w:eastAsia="zh-CN"/>
        </w:rPr>
        <w:t>有关规定追究相应责任；涉嫌犯罪的，依法</w:t>
      </w:r>
      <w:r>
        <w:rPr>
          <w:rFonts w:hint="eastAsia" w:ascii="宋体" w:hAnsi="宋体" w:eastAsia="宋体" w:cs="宋体"/>
          <w:color w:val="auto"/>
          <w:spacing w:val="8"/>
          <w:sz w:val="24"/>
          <w:szCs w:val="24"/>
          <w:highlight w:val="none"/>
          <w:lang w:eastAsia="zh-CN"/>
        </w:rPr>
        <w:t>移送有关国家机</w:t>
      </w:r>
      <w:r>
        <w:rPr>
          <w:rFonts w:hint="eastAsia" w:ascii="宋体" w:hAnsi="宋体" w:eastAsia="宋体" w:cs="宋体"/>
          <w:color w:val="auto"/>
          <w:spacing w:val="-1"/>
          <w:sz w:val="24"/>
          <w:szCs w:val="24"/>
          <w:highlight w:val="none"/>
          <w:lang w:eastAsia="zh-CN"/>
        </w:rPr>
        <w:t>关处理。</w:t>
      </w:r>
    </w:p>
    <w:p w14:paraId="3046CCE3">
      <w:pPr>
        <w:spacing w:line="560" w:lineRule="exact"/>
        <w:ind w:firstLine="50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第二十二条</w:t>
      </w:r>
      <w:r>
        <w:rPr>
          <w:rFonts w:hint="eastAsia" w:ascii="宋体" w:hAnsi="宋体" w:eastAsia="宋体" w:cs="宋体"/>
          <w:b/>
          <w:bCs/>
          <w:color w:val="auto"/>
          <w:spacing w:val="8"/>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对外援助项目、国家相关资格或者资质管理制度另有规定的项目，不适用本办法。</w:t>
      </w:r>
    </w:p>
    <w:p w14:paraId="272EDFDB">
      <w:pPr>
        <w:spacing w:line="560" w:lineRule="exact"/>
        <w:rPr>
          <w:rFonts w:hint="eastAsia" w:ascii="宋体" w:hAnsi="宋体" w:eastAsia="宋体" w:cs="宋体"/>
          <w:color w:val="auto"/>
          <w:sz w:val="24"/>
          <w:szCs w:val="24"/>
          <w:highlight w:val="none"/>
          <w:lang w:eastAsia="zh-CN"/>
        </w:rPr>
        <w:sectPr>
          <w:headerReference r:id="rId6" w:type="default"/>
          <w:footerReference r:id="rId7" w:type="default"/>
          <w:pgSz w:w="11906" w:h="16839"/>
          <w:pgMar w:top="1429" w:right="1553" w:bottom="1378" w:left="1786" w:header="907" w:footer="1134" w:gutter="0"/>
          <w:cols w:space="720" w:num="1"/>
        </w:sectPr>
      </w:pPr>
    </w:p>
    <w:p w14:paraId="4C4EA1A9">
      <w:pPr>
        <w:spacing w:line="560" w:lineRule="exact"/>
        <w:ind w:firstLine="500" w:firstLineChars="200"/>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5"/>
          <w:sz w:val="24"/>
          <w:szCs w:val="24"/>
          <w:highlight w:val="none"/>
          <w:lang w:eastAsia="zh-CN"/>
        </w:rPr>
        <w:t>第二十三条</w:t>
      </w:r>
      <w:r>
        <w:rPr>
          <w:rFonts w:hint="eastAsia" w:ascii="宋体" w:hAnsi="宋体" w:eastAsia="宋体" w:cs="宋体"/>
          <w:color w:val="auto"/>
          <w:spacing w:val="8"/>
          <w:sz w:val="24"/>
          <w:szCs w:val="24"/>
          <w:highlight w:val="none"/>
          <w:lang w:eastAsia="zh-CN"/>
        </w:rPr>
        <w:t xml:space="preserve">  关于视同中小企业的其他主体的政府采</w:t>
      </w:r>
    </w:p>
    <w:p w14:paraId="7F9CA6B5">
      <w:pPr>
        <w:spacing w:line="560" w:lineRule="exact"/>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购扶持政策，由财政部会同有关部门另行规定。</w:t>
      </w:r>
    </w:p>
    <w:p w14:paraId="37B4778C">
      <w:pPr>
        <w:spacing w:line="560" w:lineRule="exact"/>
        <w:ind w:firstLine="500" w:firstLineChars="200"/>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5"/>
          <w:sz w:val="24"/>
          <w:szCs w:val="24"/>
          <w:highlight w:val="none"/>
          <w:lang w:eastAsia="zh-CN"/>
        </w:rPr>
        <w:t>第二十四条</w:t>
      </w:r>
      <w:r>
        <w:rPr>
          <w:rFonts w:hint="eastAsia" w:ascii="宋体" w:hAnsi="宋体" w:eastAsia="宋体" w:cs="宋体"/>
          <w:color w:val="auto"/>
          <w:spacing w:val="8"/>
          <w:sz w:val="24"/>
          <w:szCs w:val="24"/>
          <w:highlight w:val="none"/>
          <w:lang w:eastAsia="zh-CN"/>
        </w:rPr>
        <w:t xml:space="preserve">  省级财政部门可以会同中小企业主管部门根据本办法的规定制定具体实施办法。</w:t>
      </w:r>
    </w:p>
    <w:p w14:paraId="215B1133">
      <w:pPr>
        <w:spacing w:line="560" w:lineRule="exact"/>
        <w:ind w:firstLine="500" w:firstLineChars="200"/>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5"/>
          <w:sz w:val="24"/>
          <w:szCs w:val="24"/>
          <w:highlight w:val="none"/>
          <w:lang w:eastAsia="zh-CN"/>
        </w:rPr>
        <w:t>第二十五条</w:t>
      </w:r>
      <w:r>
        <w:rPr>
          <w:rFonts w:hint="eastAsia" w:ascii="宋体" w:hAnsi="宋体" w:eastAsia="宋体" w:cs="宋体"/>
          <w:color w:val="auto"/>
          <w:spacing w:val="8"/>
          <w:sz w:val="24"/>
          <w:szCs w:val="24"/>
          <w:highlight w:val="none"/>
          <w:lang w:eastAsia="zh-CN"/>
        </w:rPr>
        <w:t xml:space="preserve">  本办法自2021年1月1日起施行。《财政部工业和信息化部关于印发〈政府采购促进中小企业发展暂行办法〉的通知》（财库（2011﹞181号）同时废止。</w:t>
      </w:r>
    </w:p>
    <w:p w14:paraId="3DAF951D">
      <w:pPr>
        <w:spacing w:line="560" w:lineRule="exact"/>
        <w:rPr>
          <w:rFonts w:hint="eastAsia" w:ascii="宋体" w:hAnsi="宋体" w:eastAsia="宋体" w:cs="宋体"/>
          <w:color w:val="auto"/>
          <w:sz w:val="24"/>
          <w:szCs w:val="24"/>
          <w:highlight w:val="none"/>
          <w:lang w:eastAsia="zh-CN"/>
        </w:rPr>
      </w:pPr>
    </w:p>
    <w:p w14:paraId="13F84D3C">
      <w:pPr>
        <w:spacing w:line="560" w:lineRule="exact"/>
        <w:rPr>
          <w:rFonts w:hint="eastAsia" w:ascii="宋体" w:hAnsi="宋体" w:eastAsia="宋体" w:cs="宋体"/>
          <w:color w:val="auto"/>
          <w:sz w:val="24"/>
          <w:szCs w:val="24"/>
          <w:highlight w:val="none"/>
          <w:lang w:eastAsia="zh-CN"/>
        </w:rPr>
      </w:pPr>
    </w:p>
    <w:p w14:paraId="37B7A627">
      <w:pPr>
        <w:spacing w:line="560" w:lineRule="exact"/>
        <w:rPr>
          <w:rFonts w:hint="eastAsia" w:ascii="宋体" w:hAnsi="宋体" w:eastAsia="宋体" w:cs="宋体"/>
          <w:color w:val="auto"/>
          <w:sz w:val="24"/>
          <w:szCs w:val="24"/>
          <w:highlight w:val="none"/>
          <w:lang w:eastAsia="zh-CN"/>
        </w:rPr>
        <w:sectPr>
          <w:pgSz w:w="11906" w:h="16839"/>
          <w:pgMar w:top="1429" w:right="1553" w:bottom="1378" w:left="1786" w:header="907" w:footer="0" w:gutter="0"/>
          <w:cols w:space="720" w:num="1"/>
        </w:sectPr>
      </w:pPr>
    </w:p>
    <w:p w14:paraId="1B6DF838">
      <w:pPr>
        <w:spacing w:line="360" w:lineRule="auto"/>
        <w:outlineLvl w:val="0"/>
        <w:rPr>
          <w:rFonts w:hint="eastAsia" w:ascii="宋体" w:hAnsi="宋体" w:eastAsia="宋体" w:cs="宋体"/>
          <w:color w:val="auto"/>
          <w:spacing w:val="-9"/>
          <w:sz w:val="24"/>
          <w:szCs w:val="24"/>
          <w:highlight w:val="none"/>
          <w:lang w:eastAsia="zh-CN"/>
        </w:rPr>
      </w:pPr>
      <w:bookmarkStart w:id="166" w:name="_Toc30184"/>
      <w:bookmarkStart w:id="167" w:name="_Toc6728"/>
      <w:bookmarkStart w:id="168" w:name="_Toc25114"/>
      <w:r>
        <w:rPr>
          <w:rFonts w:hint="eastAsia" w:ascii="宋体" w:hAnsi="宋体" w:eastAsia="宋体" w:cs="宋体"/>
          <w:color w:val="auto"/>
          <w:spacing w:val="-9"/>
          <w:sz w:val="24"/>
          <w:szCs w:val="24"/>
          <w:highlight w:val="none"/>
          <w:lang w:eastAsia="zh-CN"/>
        </w:rPr>
        <w:t>附件2：关于进一步加大政府采购支持中小企业力度的通知</w:t>
      </w:r>
      <w:bookmarkEnd w:id="166"/>
      <w:bookmarkEnd w:id="167"/>
      <w:bookmarkEnd w:id="168"/>
    </w:p>
    <w:p w14:paraId="64D82BD9">
      <w:pPr>
        <w:shd w:val="clear" w:color="auto" w:fill="FFFFFF"/>
        <w:spacing w:beforeAutospacing="1" w:afterAutospacing="1"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shd w:val="clear" w:color="auto" w:fill="FFFFFF"/>
          <w:lang w:eastAsia="zh-CN"/>
        </w:rPr>
        <w:t>关于进一步加大政府采购支持中小企业力度的通知</w:t>
      </w:r>
    </w:p>
    <w:p w14:paraId="541703D0">
      <w:pPr>
        <w:shd w:val="clear" w:color="auto" w:fill="FFFFFF"/>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shd w:val="clear" w:color="auto" w:fill="FFFFFF"/>
          <w:lang w:eastAsia="zh-CN"/>
        </w:rPr>
        <w:t>财库〔2022〕19号</w:t>
      </w:r>
    </w:p>
    <w:p w14:paraId="11FA368E">
      <w:pPr>
        <w:pStyle w:val="34"/>
        <w:spacing w:before="0" w:beforeAutospacing="0" w:after="210" w:afterAutospacing="0" w:line="360" w:lineRule="auto"/>
        <w:jc w:val="both"/>
        <w:rPr>
          <w:rFonts w:hint="eastAsia" w:eastAsia="宋体" w:cs="宋体"/>
          <w:color w:val="auto"/>
          <w:sz w:val="24"/>
          <w:szCs w:val="24"/>
          <w:highlight w:val="none"/>
          <w:lang w:eastAsia="zh-CN"/>
        </w:rPr>
      </w:pPr>
      <w:r>
        <w:rPr>
          <w:rFonts w:hint="eastAsia" w:eastAsia="宋体" w:cs="宋体"/>
          <w:color w:val="auto"/>
          <w:sz w:val="24"/>
          <w:szCs w:val="24"/>
          <w:highlight w:val="none"/>
          <w:shd w:val="clear" w:color="auto" w:fill="FFFFFF"/>
          <w:lang w:eastAsia="zh-CN"/>
        </w:rPr>
        <w:t>各中央预算单位，各省、自治区、直辖市、计划单列市财政厅（局），新疆生产建设兵团财政局：</w:t>
      </w:r>
    </w:p>
    <w:p w14:paraId="470B9FF4">
      <w:pPr>
        <w:pStyle w:val="34"/>
        <w:spacing w:before="0" w:beforeAutospacing="0" w:after="210" w:afterAutospacing="0" w:line="360" w:lineRule="auto"/>
        <w:jc w:val="both"/>
        <w:rPr>
          <w:rFonts w:hint="eastAsia" w:eastAsia="宋体" w:cs="宋体"/>
          <w:color w:val="auto"/>
          <w:sz w:val="24"/>
          <w:szCs w:val="24"/>
          <w:highlight w:val="none"/>
          <w:lang w:eastAsia="zh-CN"/>
        </w:rPr>
      </w:pPr>
      <w:r>
        <w:rPr>
          <w:rFonts w:hint="eastAsia" w:eastAsia="宋体" w:cs="宋体"/>
          <w:color w:val="auto"/>
          <w:sz w:val="24"/>
          <w:szCs w:val="24"/>
          <w:highlight w:val="none"/>
          <w:shd w:val="clear" w:color="auto" w:fill="FFFFFF"/>
          <w:lang w:eastAsia="zh-CN"/>
        </w:rPr>
        <w:t>　　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24044097">
      <w:pPr>
        <w:pStyle w:val="34"/>
        <w:spacing w:before="0" w:beforeAutospacing="0" w:after="210" w:afterAutospacing="0" w:line="360" w:lineRule="auto"/>
        <w:jc w:val="both"/>
        <w:rPr>
          <w:rFonts w:hint="eastAsia" w:eastAsia="宋体" w:cs="宋体"/>
          <w:color w:val="auto"/>
          <w:sz w:val="24"/>
          <w:szCs w:val="24"/>
          <w:highlight w:val="none"/>
          <w:lang w:eastAsia="zh-CN"/>
        </w:rPr>
      </w:pPr>
      <w:r>
        <w:rPr>
          <w:rFonts w:hint="eastAsia" w:eastAsia="宋体" w:cs="宋体"/>
          <w:color w:val="auto"/>
          <w:sz w:val="24"/>
          <w:szCs w:val="24"/>
          <w:highlight w:val="none"/>
          <w:shd w:val="clear" w:color="auto" w:fill="FFFFFF"/>
          <w:lang w:eastAsia="zh-CN"/>
        </w:rPr>
        <w:t>　　</w:t>
      </w:r>
      <w:r>
        <w:rPr>
          <w:rFonts w:hint="eastAsia" w:eastAsia="宋体" w:cs="宋体"/>
          <w:b/>
          <w:bCs/>
          <w:color w:val="auto"/>
          <w:sz w:val="24"/>
          <w:szCs w:val="24"/>
          <w:highlight w:val="none"/>
          <w:shd w:val="clear" w:color="auto" w:fill="FFFFFF"/>
          <w:lang w:eastAsia="zh-CN"/>
        </w:rPr>
        <w:t>一、严格落实支持中小企业政府采购政策。</w:t>
      </w:r>
      <w:r>
        <w:rPr>
          <w:rFonts w:hint="eastAsia" w:eastAsia="宋体" w:cs="宋体"/>
          <w:color w:val="auto"/>
          <w:sz w:val="24"/>
          <w:szCs w:val="24"/>
          <w:highlight w:val="none"/>
          <w:shd w:val="clear" w:color="auto" w:fill="FFFFFF"/>
          <w:lang w:eastAsia="zh-CN"/>
        </w:rPr>
        <w:t>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522E9860">
      <w:pPr>
        <w:pStyle w:val="34"/>
        <w:spacing w:before="0" w:beforeAutospacing="0" w:after="210" w:afterAutospacing="0" w:line="360" w:lineRule="auto"/>
        <w:jc w:val="both"/>
        <w:rPr>
          <w:rFonts w:hint="eastAsia" w:eastAsia="宋体" w:cs="宋体"/>
          <w:color w:val="auto"/>
          <w:sz w:val="24"/>
          <w:szCs w:val="24"/>
          <w:highlight w:val="none"/>
          <w:lang w:eastAsia="zh-CN"/>
        </w:rPr>
      </w:pPr>
      <w:r>
        <w:rPr>
          <w:rFonts w:hint="eastAsia" w:eastAsia="宋体" w:cs="宋体"/>
          <w:color w:val="auto"/>
          <w:sz w:val="24"/>
          <w:szCs w:val="24"/>
          <w:highlight w:val="none"/>
          <w:shd w:val="clear" w:color="auto" w:fill="FFFFFF"/>
          <w:lang w:eastAsia="zh-CN"/>
        </w:rPr>
        <w:t>　　</w:t>
      </w:r>
      <w:r>
        <w:rPr>
          <w:rFonts w:hint="eastAsia" w:eastAsia="宋体" w:cs="宋体"/>
          <w:b/>
          <w:bCs/>
          <w:color w:val="auto"/>
          <w:sz w:val="24"/>
          <w:szCs w:val="24"/>
          <w:highlight w:val="none"/>
          <w:shd w:val="clear" w:color="auto" w:fill="FFFFFF"/>
          <w:lang w:eastAsia="zh-CN"/>
        </w:rPr>
        <w:t>二、调整对小微企业的价格评审优惠幅度。</w:t>
      </w:r>
      <w:r>
        <w:rPr>
          <w:rFonts w:hint="eastAsia" w:eastAsia="宋体" w:cs="宋体"/>
          <w:color w:val="auto"/>
          <w:sz w:val="24"/>
          <w:szCs w:val="24"/>
          <w:highlight w:val="none"/>
          <w:shd w:val="clear" w:color="auto" w:fill="FFFFFF"/>
          <w:lang w:eastAsia="zh-CN"/>
        </w:rPr>
        <w:t>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60988B91">
      <w:pPr>
        <w:pStyle w:val="34"/>
        <w:spacing w:before="0" w:beforeAutospacing="0" w:after="210" w:afterAutospacing="0" w:line="360" w:lineRule="auto"/>
        <w:jc w:val="both"/>
        <w:rPr>
          <w:rFonts w:hint="eastAsia" w:eastAsia="宋体" w:cs="宋体"/>
          <w:color w:val="auto"/>
          <w:sz w:val="24"/>
          <w:szCs w:val="24"/>
          <w:highlight w:val="none"/>
          <w:lang w:eastAsia="zh-CN"/>
        </w:rPr>
      </w:pPr>
      <w:r>
        <w:rPr>
          <w:rFonts w:hint="eastAsia" w:eastAsia="宋体" w:cs="宋体"/>
          <w:color w:val="auto"/>
          <w:sz w:val="24"/>
          <w:szCs w:val="24"/>
          <w:highlight w:val="none"/>
          <w:shd w:val="clear" w:color="auto" w:fill="FFFFFF"/>
          <w:lang w:eastAsia="zh-CN"/>
        </w:rPr>
        <w:t>　　</w:t>
      </w:r>
      <w:r>
        <w:rPr>
          <w:rFonts w:hint="eastAsia" w:eastAsia="宋体" w:cs="宋体"/>
          <w:b/>
          <w:bCs/>
          <w:color w:val="auto"/>
          <w:sz w:val="24"/>
          <w:szCs w:val="24"/>
          <w:highlight w:val="none"/>
          <w:shd w:val="clear" w:color="auto" w:fill="FFFFFF"/>
          <w:lang w:eastAsia="zh-CN"/>
        </w:rPr>
        <w:t>三、提高政府采购工程面向中小企业预留份额。</w:t>
      </w:r>
      <w:r>
        <w:rPr>
          <w:rFonts w:hint="eastAsia" w:eastAsia="宋体" w:cs="宋体"/>
          <w:color w:val="auto"/>
          <w:sz w:val="24"/>
          <w:szCs w:val="24"/>
          <w:highlight w:val="none"/>
          <w:shd w:val="clear" w:color="auto" w:fill="FFFFFF"/>
          <w:lang w:eastAsia="zh-CN"/>
        </w:rPr>
        <w:t>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572F1AB5">
      <w:pPr>
        <w:pStyle w:val="34"/>
        <w:spacing w:before="0" w:beforeAutospacing="0" w:after="210" w:afterAutospacing="0" w:line="360" w:lineRule="auto"/>
        <w:jc w:val="both"/>
        <w:rPr>
          <w:rFonts w:hint="eastAsia" w:eastAsia="宋体" w:cs="宋体"/>
          <w:color w:val="auto"/>
          <w:sz w:val="24"/>
          <w:szCs w:val="24"/>
          <w:highlight w:val="none"/>
          <w:lang w:eastAsia="zh-CN"/>
        </w:rPr>
      </w:pPr>
      <w:r>
        <w:rPr>
          <w:rFonts w:hint="eastAsia" w:eastAsia="宋体" w:cs="宋体"/>
          <w:color w:val="auto"/>
          <w:sz w:val="24"/>
          <w:szCs w:val="24"/>
          <w:highlight w:val="none"/>
          <w:shd w:val="clear" w:color="auto" w:fill="FFFFFF"/>
          <w:lang w:eastAsia="zh-CN"/>
        </w:rPr>
        <w:t>　　</w:t>
      </w:r>
      <w:r>
        <w:rPr>
          <w:rFonts w:hint="eastAsia" w:eastAsia="宋体" w:cs="宋体"/>
          <w:b/>
          <w:bCs/>
          <w:color w:val="auto"/>
          <w:sz w:val="24"/>
          <w:szCs w:val="24"/>
          <w:highlight w:val="none"/>
          <w:shd w:val="clear" w:color="auto" w:fill="FFFFFF"/>
          <w:lang w:eastAsia="zh-CN"/>
        </w:rPr>
        <w:t>四、认真做好组织实施。</w:t>
      </w:r>
      <w:r>
        <w:rPr>
          <w:rFonts w:hint="eastAsia" w:eastAsia="宋体" w:cs="宋体"/>
          <w:color w:val="auto"/>
          <w:sz w:val="24"/>
          <w:szCs w:val="24"/>
          <w:highlight w:val="none"/>
          <w:shd w:val="clear" w:color="auto" w:fill="FFFFFF"/>
          <w:lang w:eastAsia="zh-CN"/>
        </w:rPr>
        <w:t>各地区、各部门应当加强组织领导，明确工作责任，细化执行要求，强化监督检查，确保国务院部署落实到位，对通知执行中出现的问题要及时向财政部报告。</w:t>
      </w:r>
    </w:p>
    <w:p w14:paraId="45207436">
      <w:pPr>
        <w:pStyle w:val="34"/>
        <w:spacing w:before="0" w:beforeAutospacing="0" w:after="210" w:afterAutospacing="0" w:line="360" w:lineRule="auto"/>
        <w:jc w:val="both"/>
        <w:rPr>
          <w:rFonts w:hint="eastAsia" w:eastAsia="宋体" w:cs="宋体"/>
          <w:color w:val="auto"/>
          <w:sz w:val="24"/>
          <w:szCs w:val="24"/>
          <w:highlight w:val="none"/>
          <w:lang w:eastAsia="zh-CN"/>
        </w:rPr>
      </w:pPr>
      <w:r>
        <w:rPr>
          <w:rFonts w:hint="eastAsia" w:eastAsia="宋体" w:cs="宋体"/>
          <w:color w:val="auto"/>
          <w:sz w:val="24"/>
          <w:szCs w:val="24"/>
          <w:highlight w:val="none"/>
          <w:shd w:val="clear" w:color="auto" w:fill="FFFFFF"/>
          <w:lang w:eastAsia="zh-CN"/>
        </w:rPr>
        <w:t>　　本通知自2022年7月1日起执行。</w:t>
      </w:r>
    </w:p>
    <w:p w14:paraId="09170906">
      <w:pPr>
        <w:pStyle w:val="34"/>
        <w:spacing w:before="0" w:beforeAutospacing="0" w:after="210" w:afterAutospacing="0" w:line="360" w:lineRule="auto"/>
        <w:jc w:val="right"/>
        <w:rPr>
          <w:rFonts w:hint="eastAsia" w:eastAsia="宋体" w:cs="宋体"/>
          <w:color w:val="auto"/>
          <w:sz w:val="24"/>
          <w:szCs w:val="24"/>
          <w:highlight w:val="none"/>
          <w:lang w:eastAsia="zh-CN"/>
        </w:rPr>
      </w:pPr>
      <w:r>
        <w:rPr>
          <w:rFonts w:hint="eastAsia" w:eastAsia="宋体" w:cs="宋体"/>
          <w:color w:val="auto"/>
          <w:sz w:val="24"/>
          <w:szCs w:val="24"/>
          <w:highlight w:val="none"/>
          <w:shd w:val="clear" w:color="auto" w:fill="FFFFFF"/>
          <w:lang w:eastAsia="zh-CN"/>
        </w:rPr>
        <w:t>　　财 政 部</w:t>
      </w:r>
    </w:p>
    <w:p w14:paraId="53C1D0A5">
      <w:pPr>
        <w:pStyle w:val="34"/>
        <w:spacing w:before="0" w:beforeAutospacing="0" w:after="210" w:afterAutospacing="0" w:line="360" w:lineRule="auto"/>
        <w:jc w:val="right"/>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　　2022年5月30日</w:t>
      </w:r>
    </w:p>
    <w:p w14:paraId="4D6E1CE3">
      <w:pPr>
        <w:spacing w:line="360" w:lineRule="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br w:type="page"/>
      </w:r>
    </w:p>
    <w:p w14:paraId="14570D3B">
      <w:pPr>
        <w:spacing w:line="360" w:lineRule="auto"/>
        <w:outlineLvl w:val="0"/>
        <w:rPr>
          <w:rFonts w:hint="eastAsia" w:ascii="宋体" w:hAnsi="宋体" w:eastAsia="宋体" w:cs="宋体"/>
          <w:color w:val="auto"/>
          <w:spacing w:val="-9"/>
          <w:sz w:val="24"/>
          <w:szCs w:val="24"/>
          <w:highlight w:val="none"/>
          <w:lang w:eastAsia="zh-CN"/>
        </w:rPr>
      </w:pPr>
      <w:bookmarkStart w:id="169" w:name="_Toc21105"/>
      <w:bookmarkStart w:id="170" w:name="_Toc11667"/>
      <w:bookmarkStart w:id="171" w:name="_Toc21087"/>
      <w:r>
        <w:rPr>
          <w:rFonts w:hint="eastAsia" w:ascii="宋体" w:hAnsi="宋体" w:eastAsia="宋体" w:cs="宋体"/>
          <w:color w:val="auto"/>
          <w:spacing w:val="-9"/>
          <w:sz w:val="24"/>
          <w:szCs w:val="24"/>
          <w:highlight w:val="none"/>
          <w:lang w:eastAsia="zh-CN"/>
        </w:rPr>
        <w:t>附件3：关于印发中小企业划型标准规定的通知</w:t>
      </w:r>
      <w:bookmarkEnd w:id="169"/>
      <w:bookmarkEnd w:id="170"/>
      <w:bookmarkEnd w:id="171"/>
    </w:p>
    <w:p w14:paraId="6AA33EF6">
      <w:pPr>
        <w:shd w:val="clear" w:color="auto" w:fill="FFFFFF"/>
        <w:spacing w:beforeAutospacing="1" w:afterAutospacing="1"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shd w:val="clear" w:color="auto" w:fill="FFFFFF"/>
          <w:lang w:eastAsia="zh-CN"/>
        </w:rPr>
        <w:t>关于印发中小企业划型标准规定的通知</w:t>
      </w:r>
    </w:p>
    <w:p w14:paraId="13B35BDB">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shd w:val="clear" w:color="auto" w:fill="FFFFFF"/>
          <w:lang w:eastAsia="zh-CN"/>
        </w:rPr>
        <w:t>工信部联企业〔2011〕300号</w:t>
      </w:r>
    </w:p>
    <w:p w14:paraId="62D79708">
      <w:pPr>
        <w:pStyle w:val="34"/>
        <w:spacing w:before="0" w:beforeAutospacing="0" w:after="0" w:afterAutospacing="0" w:line="360" w:lineRule="auto"/>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各省、自治区、直辖市人民政府，国务院各部委、各直属机构及有关单位：</w:t>
      </w:r>
    </w:p>
    <w:p w14:paraId="03C9E9C6">
      <w:pPr>
        <w:pStyle w:val="34"/>
        <w:spacing w:before="0" w:beforeAutospacing="0" w:after="0" w:afterAutospacing="0" w:line="360" w:lineRule="auto"/>
        <w:rPr>
          <w:rFonts w:hint="eastAsia" w:eastAsia="宋体" w:cs="宋体"/>
          <w:color w:val="auto"/>
          <w:sz w:val="24"/>
          <w:szCs w:val="24"/>
          <w:highlight w:val="none"/>
          <w:lang w:eastAsia="zh-CN"/>
        </w:rPr>
      </w:pPr>
      <w:r>
        <w:rPr>
          <w:rFonts w:hint="eastAsia" w:eastAsia="宋体" w:cs="宋体"/>
          <w:color w:val="auto"/>
          <w:sz w:val="24"/>
          <w:szCs w:val="24"/>
          <w:highlight w:val="none"/>
          <w:shd w:val="clear" w:color="auto" w:fill="FFFFFF"/>
          <w:lang w:eastAsia="zh-CN"/>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419F890">
      <w:pPr>
        <w:pStyle w:val="34"/>
        <w:spacing w:before="0" w:beforeAutospacing="0" w:after="0" w:afterAutospacing="0" w:line="360" w:lineRule="auto"/>
        <w:jc w:val="right"/>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工业和信息化部</w:t>
      </w:r>
    </w:p>
    <w:p w14:paraId="2361AFE3">
      <w:pPr>
        <w:pStyle w:val="34"/>
        <w:spacing w:before="0" w:beforeAutospacing="0" w:after="0" w:afterAutospacing="0" w:line="360" w:lineRule="auto"/>
        <w:jc w:val="right"/>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国家统计局</w:t>
      </w:r>
    </w:p>
    <w:p w14:paraId="75A56FCD">
      <w:pPr>
        <w:pStyle w:val="34"/>
        <w:spacing w:before="0" w:beforeAutospacing="0" w:after="0" w:afterAutospacing="0" w:line="360" w:lineRule="auto"/>
        <w:jc w:val="right"/>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国家发展和改革委员会</w:t>
      </w:r>
    </w:p>
    <w:p w14:paraId="66BF1198">
      <w:pPr>
        <w:pStyle w:val="34"/>
        <w:spacing w:before="0" w:beforeAutospacing="0" w:after="0" w:afterAutospacing="0" w:line="360" w:lineRule="auto"/>
        <w:jc w:val="right"/>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财政部</w:t>
      </w:r>
    </w:p>
    <w:p w14:paraId="4B12D374">
      <w:pPr>
        <w:pStyle w:val="34"/>
        <w:spacing w:before="0" w:beforeAutospacing="0" w:after="0" w:afterAutospacing="0" w:line="360" w:lineRule="auto"/>
        <w:jc w:val="right"/>
        <w:rPr>
          <w:rFonts w:hint="eastAsia" w:eastAsia="宋体" w:cs="宋体"/>
          <w:color w:val="auto"/>
          <w:sz w:val="24"/>
          <w:szCs w:val="24"/>
          <w:highlight w:val="none"/>
          <w:lang w:eastAsia="zh-CN"/>
        </w:rPr>
      </w:pPr>
      <w:r>
        <w:rPr>
          <w:rFonts w:hint="eastAsia" w:eastAsia="宋体" w:cs="宋体"/>
          <w:color w:val="auto"/>
          <w:sz w:val="24"/>
          <w:szCs w:val="24"/>
          <w:highlight w:val="none"/>
          <w:shd w:val="clear" w:color="auto" w:fill="FFFFFF"/>
          <w:lang w:eastAsia="zh-CN"/>
        </w:rPr>
        <w:t>二○一一年六月十八日</w:t>
      </w:r>
    </w:p>
    <w:p w14:paraId="2C46DDD0">
      <w:pPr>
        <w:pStyle w:val="34"/>
        <w:spacing w:before="0" w:beforeAutospacing="0" w:after="0" w:afterAutospacing="0" w:line="360" w:lineRule="auto"/>
        <w:jc w:val="center"/>
        <w:rPr>
          <w:rFonts w:hint="eastAsia" w:eastAsia="宋体" w:cs="宋体"/>
          <w:color w:val="auto"/>
          <w:sz w:val="24"/>
          <w:szCs w:val="24"/>
          <w:highlight w:val="none"/>
          <w:lang w:eastAsia="zh-CN"/>
        </w:rPr>
      </w:pPr>
      <w:r>
        <w:rPr>
          <w:rStyle w:val="39"/>
          <w:rFonts w:hint="eastAsia" w:eastAsia="宋体" w:cs="宋体"/>
          <w:color w:val="auto"/>
          <w:sz w:val="24"/>
          <w:szCs w:val="24"/>
          <w:highlight w:val="none"/>
          <w:shd w:val="clear" w:color="auto" w:fill="FFFFFF"/>
          <w:lang w:eastAsia="zh-CN"/>
        </w:rPr>
        <w:t>中小企业划型标准规定</w:t>
      </w:r>
    </w:p>
    <w:p w14:paraId="35B831C8">
      <w:pPr>
        <w:pStyle w:val="34"/>
        <w:spacing w:before="0" w:beforeAutospacing="0" w:after="0" w:afterAutospacing="0" w:line="360" w:lineRule="auto"/>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　　一、根据《中华人民共和国中小企业促进法》和《国务院关于进一步促进中小企业发展的若干意见》(国发〔2009〕36号)，制定本规定。</w:t>
      </w:r>
    </w:p>
    <w:p w14:paraId="765A887D">
      <w:pPr>
        <w:pStyle w:val="34"/>
        <w:spacing w:before="0" w:beforeAutospacing="0" w:after="0" w:afterAutospacing="0" w:line="360" w:lineRule="auto"/>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　　二、中小企业划分为中型、小型、微型三种类型，具体标准根据企业从业人员、营业收入、资产总额等指标，结合行业特点制定。</w:t>
      </w:r>
    </w:p>
    <w:p w14:paraId="0A332484">
      <w:pPr>
        <w:pStyle w:val="34"/>
        <w:spacing w:before="0" w:beforeAutospacing="0" w:after="0" w:afterAutospacing="0" w:line="360" w:lineRule="auto"/>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70C8E3A">
      <w:pPr>
        <w:pStyle w:val="34"/>
        <w:spacing w:before="0" w:beforeAutospacing="0" w:after="0" w:afterAutospacing="0" w:line="360" w:lineRule="auto"/>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　　四、各行业划型标准为：</w:t>
      </w:r>
    </w:p>
    <w:p w14:paraId="67B942B3">
      <w:pPr>
        <w:pStyle w:val="34"/>
        <w:spacing w:before="0" w:beforeAutospacing="0" w:after="0" w:afterAutospacing="0" w:line="360" w:lineRule="auto"/>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　　（一）农、林、牧、渔业。营业收入20000万元以下的为中小微型企业。其中，营业收入500万元及以上的为中型企业，营业收入50万元及以上的为小型企业，营业收入50万元以下的为微型企业。</w:t>
      </w:r>
    </w:p>
    <w:p w14:paraId="4940C1FD">
      <w:pPr>
        <w:pStyle w:val="34"/>
        <w:spacing w:before="0" w:beforeAutospacing="0" w:after="0" w:afterAutospacing="0" w:line="360" w:lineRule="auto"/>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45EF581">
      <w:pPr>
        <w:pStyle w:val="34"/>
        <w:spacing w:before="0" w:beforeAutospacing="0" w:after="0" w:afterAutospacing="0" w:line="360" w:lineRule="auto"/>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9FD3399">
      <w:pPr>
        <w:pStyle w:val="34"/>
        <w:spacing w:before="0" w:beforeAutospacing="0" w:after="0" w:afterAutospacing="0" w:line="360" w:lineRule="auto"/>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1B15756">
      <w:pPr>
        <w:pStyle w:val="34"/>
        <w:spacing w:before="0" w:beforeAutospacing="0" w:after="0" w:afterAutospacing="0" w:line="360" w:lineRule="auto"/>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B706784">
      <w:pPr>
        <w:pStyle w:val="34"/>
        <w:spacing w:before="0" w:beforeAutospacing="0" w:after="0" w:afterAutospacing="0" w:line="360" w:lineRule="auto"/>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24014A9">
      <w:pPr>
        <w:pStyle w:val="34"/>
        <w:spacing w:before="0" w:beforeAutospacing="0" w:after="0" w:afterAutospacing="0" w:line="360" w:lineRule="auto"/>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F656BD6">
      <w:pPr>
        <w:pStyle w:val="34"/>
        <w:spacing w:before="0" w:beforeAutospacing="0" w:after="0" w:afterAutospacing="0" w:line="360" w:lineRule="auto"/>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0E6E5C7">
      <w:pPr>
        <w:pStyle w:val="34"/>
        <w:spacing w:before="0" w:beforeAutospacing="0" w:after="0" w:afterAutospacing="0" w:line="360" w:lineRule="auto"/>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509F901">
      <w:pPr>
        <w:pStyle w:val="34"/>
        <w:spacing w:before="0" w:beforeAutospacing="0" w:after="0" w:afterAutospacing="0" w:line="360" w:lineRule="auto"/>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AA282FD">
      <w:pPr>
        <w:pStyle w:val="34"/>
        <w:spacing w:before="0" w:beforeAutospacing="0" w:after="0" w:afterAutospacing="0" w:line="360" w:lineRule="auto"/>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78805C4">
      <w:pPr>
        <w:pStyle w:val="34"/>
        <w:spacing w:before="0" w:beforeAutospacing="0" w:after="0" w:afterAutospacing="0" w:line="360" w:lineRule="auto"/>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8521296">
      <w:pPr>
        <w:pStyle w:val="34"/>
        <w:spacing w:before="0" w:beforeAutospacing="0" w:after="0" w:afterAutospacing="0" w:line="360" w:lineRule="auto"/>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F9FCAED">
      <w:pPr>
        <w:pStyle w:val="34"/>
        <w:spacing w:before="0" w:beforeAutospacing="0" w:after="0" w:afterAutospacing="0" w:line="360" w:lineRule="auto"/>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038B60C">
      <w:pPr>
        <w:pStyle w:val="34"/>
        <w:spacing w:before="0" w:beforeAutospacing="0" w:after="0" w:afterAutospacing="0" w:line="360" w:lineRule="auto"/>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AACBCEF">
      <w:pPr>
        <w:pStyle w:val="34"/>
        <w:spacing w:before="0" w:beforeAutospacing="0" w:after="0" w:afterAutospacing="0" w:line="360" w:lineRule="auto"/>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　　（十六）其他未列明行业。从业人员300人以下的为中小微型企业。其中，从业人员100人及以上的为中型企业；从业人员10人及以上的为小型企业；从业人员10人以下的为微型企业。</w:t>
      </w:r>
    </w:p>
    <w:p w14:paraId="3FD8D6BE">
      <w:pPr>
        <w:pStyle w:val="34"/>
        <w:spacing w:before="0" w:beforeAutospacing="0" w:after="0" w:afterAutospacing="0" w:line="360" w:lineRule="auto"/>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　　五、企业类型的划分以统计部门的统计数据为依据。</w:t>
      </w:r>
    </w:p>
    <w:p w14:paraId="7CB32085">
      <w:pPr>
        <w:pStyle w:val="34"/>
        <w:spacing w:before="0" w:beforeAutospacing="0" w:after="0" w:afterAutospacing="0" w:line="360" w:lineRule="auto"/>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　　六、本规定适用于在中华人民共和国境内依法设立的各类所有制和各种组织形式的企业。个体工商户和本规定以外的行业，参照本规定进行划型。</w:t>
      </w:r>
    </w:p>
    <w:p w14:paraId="7EF384ED">
      <w:pPr>
        <w:pStyle w:val="34"/>
        <w:spacing w:before="0" w:beforeAutospacing="0" w:after="0" w:afterAutospacing="0" w:line="360" w:lineRule="auto"/>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　　七、本规定的中型企业标准上限即为大型企业标准的下限，国家统计部门据此制定大中小微型企业的统计分类。国务院有关部门据此进行相关数据分析，不得制定与本规定不一致的企业划型标准。</w:t>
      </w:r>
    </w:p>
    <w:p w14:paraId="5F3F669E">
      <w:pPr>
        <w:pStyle w:val="34"/>
        <w:spacing w:before="0" w:beforeAutospacing="0" w:after="0" w:afterAutospacing="0" w:line="360" w:lineRule="auto"/>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　　八、本规定由工业和信息化部、国家统计局会同有关部门根据《国民经济行业分类》修订情况和企业发展变化情况适时修订。</w:t>
      </w:r>
    </w:p>
    <w:p w14:paraId="1E50923E">
      <w:pPr>
        <w:pStyle w:val="34"/>
        <w:spacing w:before="0" w:beforeAutospacing="0" w:after="0" w:afterAutospacing="0" w:line="360" w:lineRule="auto"/>
        <w:rPr>
          <w:rFonts w:hint="eastAsia" w:eastAsia="宋体" w:cs="宋体"/>
          <w:color w:val="auto"/>
          <w:sz w:val="24"/>
          <w:szCs w:val="24"/>
          <w:highlight w:val="none"/>
          <w:shd w:val="clear" w:color="auto" w:fill="FFFFFF"/>
          <w:lang w:eastAsia="zh-CN"/>
        </w:rPr>
      </w:pPr>
      <w:r>
        <w:rPr>
          <w:rFonts w:hint="eastAsia" w:eastAsia="宋体" w:cs="宋体"/>
          <w:color w:val="auto"/>
          <w:sz w:val="24"/>
          <w:szCs w:val="24"/>
          <w:highlight w:val="none"/>
          <w:shd w:val="clear" w:color="auto" w:fill="FFFFFF"/>
          <w:lang w:eastAsia="zh-CN"/>
        </w:rPr>
        <w:t>　　九、本规定由工业和信息化部、国家统计局会同有关部门负责解释。</w:t>
      </w:r>
    </w:p>
    <w:p w14:paraId="14071C02">
      <w:pPr>
        <w:pStyle w:val="34"/>
        <w:spacing w:before="0" w:beforeAutospacing="0" w:after="0" w:afterAutospacing="0" w:line="360" w:lineRule="auto"/>
        <w:rPr>
          <w:rFonts w:hint="eastAsia" w:eastAsia="宋体" w:cs="宋体"/>
          <w:color w:val="auto"/>
          <w:sz w:val="24"/>
          <w:szCs w:val="24"/>
          <w:highlight w:val="none"/>
          <w:lang w:eastAsia="zh-CN"/>
        </w:rPr>
      </w:pPr>
      <w:r>
        <w:rPr>
          <w:rFonts w:hint="eastAsia" w:eastAsia="宋体" w:cs="宋体"/>
          <w:color w:val="auto"/>
          <w:sz w:val="24"/>
          <w:szCs w:val="24"/>
          <w:highlight w:val="none"/>
          <w:shd w:val="clear" w:color="auto" w:fill="FFFFFF"/>
          <w:lang w:eastAsia="zh-CN"/>
        </w:rPr>
        <w:t>　　十、本规定自发布之日起执行，原国家经贸委、原国家计委、财政部和国家统计局2003年颁布的《中小企业标准暂行规定》同时废止。</w:t>
      </w:r>
    </w:p>
    <w:p w14:paraId="6FCA3724">
      <w:pPr>
        <w:spacing w:line="360" w:lineRule="auto"/>
        <w:rPr>
          <w:rFonts w:hint="eastAsia" w:ascii="宋体" w:hAnsi="宋体" w:eastAsia="宋体" w:cs="宋体"/>
          <w:color w:val="auto"/>
          <w:sz w:val="24"/>
          <w:szCs w:val="24"/>
          <w:highlight w:val="none"/>
          <w:lang w:eastAsia="zh-CN"/>
        </w:rPr>
      </w:pPr>
    </w:p>
    <w:sectPr>
      <w:pgSz w:w="11906" w:h="16839"/>
      <w:pgMar w:top="1429" w:right="1553" w:bottom="1378" w:left="1786" w:header="907" w:footer="9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dobe 仿宋 Std R">
    <w:altName w:val="仿宋"/>
    <w:panose1 w:val="00000000000000000000"/>
    <w:charset w:val="86"/>
    <w:family w:val="auto"/>
    <w:pitch w:val="default"/>
    <w:sig w:usb0="00000000" w:usb1="00000000" w:usb2="00000016" w:usb3="00000000" w:csb0="00060007"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8A317">
    <w:pPr>
      <w:pStyle w:val="2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A091392">
                          <w:pPr>
                            <w:pStyle w:val="2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19"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CUmZQXxQEAAJADAAAOAAAAAAAAAAEAIAAAAB8BAABkcnMvZTJvRG9jLnht&#10;bFBLBQYAAAAABgAGAFkBAABWBQAAAAA=&#10;">
              <v:fill on="f" focussize="0,0"/>
              <v:stroke on="f"/>
              <v:imagedata o:title=""/>
              <o:lock v:ext="edit" aspectratio="f"/>
              <v:textbox inset="0mm,0mm,0mm,0mm" style="mso-fit-shape-to-text:t;">
                <w:txbxContent>
                  <w:p w14:paraId="4A091392">
                    <w:pPr>
                      <w:pStyle w:val="21"/>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691B7">
    <w:pPr>
      <w:pStyle w:val="21"/>
      <w:tabs>
        <w:tab w:val="center" w:pos="4153"/>
        <w:tab w:val="right" w:pos="8306"/>
        <w:tab w:val="clear" w:pos="4140"/>
        <w:tab w:val="clear" w:pos="8300"/>
      </w:tabs>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12CF3CA">
                          <w:pPr>
                            <w:pStyle w:val="21"/>
                            <w:tabs>
                              <w:tab w:val="center" w:pos="4153"/>
                              <w:tab w:val="right" w:pos="8306"/>
                              <w:tab w:val="clear" w:pos="4140"/>
                              <w:tab w:val="clear" w:pos="8300"/>
                            </w:tabs>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VSFFPEAQAAkQ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yBInLN345cf3y8/fl1/f&#10;2HKVDOoDVtT3GB5gypDCpHZowaY36WBDNvV8NVUNkUkqLter9bokcElnc0I4xdPnATDeKW9ZCmoO&#10;dGvZTHH6iHFsnVvSNOdvtTFUF5VxfxUIM1WKxHjkmKI47IeJ+N43Z9Lb04XX3NF+c2buHfmZdmMO&#10;YA72c3AMoA8dUVtmXhg+HCORyNzShBF2Gkw3ldVNW5VW4Xmeu57+pO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VSFFPEAQAAkQMAAA4AAAAAAAAAAQAgAAAAHwEAAGRycy9lMm9Eb2MueG1s&#10;UEsFBgAAAAAGAAYAWQEAAFUFAAAAAA==&#10;">
              <v:fill on="f" focussize="0,0"/>
              <v:stroke on="f"/>
              <v:imagedata o:title=""/>
              <o:lock v:ext="edit" aspectratio="f"/>
              <v:textbox inset="0mm,0mm,0mm,0mm" style="mso-fit-shape-to-text:t;">
                <w:txbxContent>
                  <w:p w14:paraId="212CF3CA">
                    <w:pPr>
                      <w:pStyle w:val="21"/>
                      <w:tabs>
                        <w:tab w:val="center" w:pos="4153"/>
                        <w:tab w:val="right" w:pos="8306"/>
                        <w:tab w:val="clear" w:pos="4140"/>
                        <w:tab w:val="clear" w:pos="8300"/>
                      </w:tabs>
                    </w:pPr>
                    <w:r>
                      <w:fldChar w:fldCharType="begin"/>
                    </w:r>
                    <w:r>
                      <w:instrText xml:space="preserve"> PAGE  \* MERGEFORMAT </w:instrText>
                    </w:r>
                    <w:r>
                      <w:fldChar w:fldCharType="separate"/>
                    </w:r>
                    <w:r>
                      <w:t>10</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1831D">
    <w:pPr>
      <w:spacing w:line="171" w:lineRule="auto"/>
      <w:ind w:left="4559"/>
      <w:rPr>
        <w:rFonts w:hint="eastAsia"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6484A31">
                          <w:pPr>
                            <w:pStyle w:val="21"/>
                            <w:tabs>
                              <w:tab w:val="center" w:pos="4153"/>
                              <w:tab w:val="right" w:pos="8306"/>
                              <w:tab w:val="clear" w:pos="4140"/>
                              <w:tab w:val="clear" w:pos="8300"/>
                            </w:tabs>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YPZ+rAAQAAjQMAAA4AAABkcnMvZTJvRG9jLnhtbK1TzWrbQBC+F/IO&#10;y95jyS4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Yb2oQVZ05YuvFfX7///PGNvU/m&#10;9AEr6nkOTzBlSGFSOrRg05s0sCEber4YqobIJBWX69V6XZLXks7mhHCKl88DYLxX3rIU1BzoxrKR&#10;4vSAcWydW9I05++0MVQXlXF/FQgzVYrEeOSYojjsh4n43jdn0trTZdfc0W5zZj468jLtxRzAHOzn&#10;4BhAHzqitsy8MNweI5HI3NKEEXYaTLeU1U0bldbgzzx3vfxF2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pg9n6sABAACNAwAADgAAAAAAAAABACAAAAAfAQAAZHJzL2Uyb0RvYy54bWxQSwUG&#10;AAAAAAYABgBZAQAAUQUAAAAA&#10;">
              <v:fill on="f" focussize="0,0"/>
              <v:stroke on="f"/>
              <v:imagedata o:title=""/>
              <o:lock v:ext="edit" aspectratio="f"/>
              <v:textbox inset="0mm,0mm,0mm,0mm" style="mso-fit-shape-to-text:t;">
                <w:txbxContent>
                  <w:p w14:paraId="66484A31">
                    <w:pPr>
                      <w:pStyle w:val="21"/>
                      <w:tabs>
                        <w:tab w:val="center" w:pos="4153"/>
                        <w:tab w:val="right" w:pos="8306"/>
                        <w:tab w:val="clear" w:pos="4140"/>
                        <w:tab w:val="clear" w:pos="8300"/>
                      </w:tabs>
                    </w:pPr>
                    <w:r>
                      <w:fldChar w:fldCharType="begin"/>
                    </w:r>
                    <w:r>
                      <w:instrText xml:space="preserve"> PAGE  \* MERGEFORMAT </w:instrText>
                    </w:r>
                    <w:r>
                      <w:fldChar w:fldCharType="separate"/>
                    </w:r>
                    <w:r>
                      <w:t>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6594F">
    <w:pPr>
      <w:pStyle w:val="23"/>
      <w:jc w:val="right"/>
      <w:rPr>
        <w:lang w:eastAsia="zh-CN"/>
      </w:rPr>
    </w:pPr>
    <w:r>
      <w:rPr>
        <w:sz w:val="21"/>
      </w:rPr>
      <w:drawing>
        <wp:anchor distT="0" distB="0" distL="114300" distR="114300" simplePos="0" relativeHeight="251661312" behindDoc="0" locked="0" layoutInCell="1" allowOverlap="1">
          <wp:simplePos x="0" y="0"/>
          <wp:positionH relativeFrom="column">
            <wp:posOffset>95250</wp:posOffset>
          </wp:positionH>
          <wp:positionV relativeFrom="paragraph">
            <wp:posOffset>-91440</wp:posOffset>
          </wp:positionV>
          <wp:extent cx="405130" cy="360045"/>
          <wp:effectExtent l="0" t="0" r="13970" b="1905"/>
          <wp:wrapSquare wrapText="bothSides"/>
          <wp:docPr id="101453166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531662" name="图片 5"/>
                  <pic:cNvPicPr>
                    <a:picLocks noChangeAspect="1"/>
                  </pic:cNvPicPr>
                </pic:nvPicPr>
                <pic:blipFill>
                  <a:blip r:embed="rId1">
                    <a:lum/>
                  </a:blip>
                  <a:stretch>
                    <a:fillRect/>
                  </a:stretch>
                </pic:blipFill>
                <pic:spPr>
                  <a:xfrm>
                    <a:off x="0" y="0"/>
                    <a:ext cx="405130" cy="360045"/>
                  </a:xfrm>
                  <a:prstGeom prst="rect">
                    <a:avLst/>
                  </a:prstGeom>
                  <a:noFill/>
                  <a:ln>
                    <a:noFill/>
                  </a:ln>
                </pic:spPr>
              </pic:pic>
            </a:graphicData>
          </a:graphic>
        </wp:anchor>
      </w:drawing>
    </w:r>
    <w:r>
      <w:rPr>
        <w:rFonts w:hint="eastAsia"/>
        <w:sz w:val="21"/>
        <w:lang w:eastAsia="zh-CN"/>
      </w:rPr>
      <w:t>新疆金正建设工程管理有限公司</w:t>
    </w:r>
  </w:p>
  <w:p w14:paraId="2CECE82B">
    <w:pPr>
      <w:pStyle w:val="23"/>
      <w:pBdr>
        <w:bottom w:val="single" w:color="auto" w:sz="4" w:space="1"/>
      </w:pBdr>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47654">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19F25"/>
    <w:multiLevelType w:val="singleLevel"/>
    <w:tmpl w:val="89919F25"/>
    <w:lvl w:ilvl="0" w:tentative="0">
      <w:start w:val="1"/>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740"/>
        </w:tabs>
        <w:ind w:left="1081" w:hanging="1081"/>
      </w:pPr>
      <w:rPr>
        <w:rFonts w:hint="default"/>
      </w:rPr>
    </w:lvl>
    <w:lvl w:ilvl="1" w:tentative="0">
      <w:start w:val="1"/>
      <w:numFmt w:val="decimal"/>
      <w:pStyle w:val="95"/>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A26EEE9"/>
    <w:multiLevelType w:val="singleLevel"/>
    <w:tmpl w:val="2A26EEE9"/>
    <w:lvl w:ilvl="0" w:tentative="0">
      <w:start w:val="1"/>
      <w:numFmt w:val="decimal"/>
      <w:suff w:val="nothing"/>
      <w:lvlText w:val="%1、"/>
      <w:lvlJc w:val="left"/>
    </w:lvl>
  </w:abstractNum>
  <w:abstractNum w:abstractNumId="3">
    <w:nsid w:val="4A86FF8E"/>
    <w:multiLevelType w:val="singleLevel"/>
    <w:tmpl w:val="4A86FF8E"/>
    <w:lvl w:ilvl="0" w:tentative="0">
      <w:start w:val="1"/>
      <w:numFmt w:val="chineseCountingThousand"/>
      <w:suff w:val="space"/>
      <w:lvlText w:val="第%1条 "/>
      <w:lvlJc w:val="left"/>
      <w:pPr>
        <w:ind w:left="85" w:leftChars="0" w:hanging="85" w:firstLineChars="0"/>
      </w:pPr>
      <w:rPr>
        <w:rFonts w:hint="eastAsia"/>
        <w:b/>
      </w:rPr>
    </w:lvl>
  </w:abstractNum>
  <w:abstractNum w:abstractNumId="4">
    <w:nsid w:val="682A92D2"/>
    <w:multiLevelType w:val="singleLevel"/>
    <w:tmpl w:val="682A92D2"/>
    <w:lvl w:ilvl="0" w:tentative="0">
      <w:start w:val="1"/>
      <w:numFmt w:val="decimal"/>
      <w:pStyle w:val="27"/>
      <w:lvlText w:val="%1."/>
      <w:lvlJc w:val="left"/>
      <w:pPr>
        <w:tabs>
          <w:tab w:val="left" w:pos="2040"/>
        </w:tabs>
        <w:ind w:left="2040" w:hanging="360"/>
      </w:pPr>
    </w:lvl>
  </w:abstractNum>
  <w:abstractNum w:abstractNumId="5">
    <w:nsid w:val="7AA165CB"/>
    <w:multiLevelType w:val="singleLevel"/>
    <w:tmpl w:val="7AA165CB"/>
    <w:lvl w:ilvl="0" w:tentative="0">
      <w:start w:val="1"/>
      <w:numFmt w:val="decimal"/>
      <w:suff w:val="space"/>
      <w:lvlText w:val="%1."/>
      <w:lvlJc w:val="left"/>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displayBackgroundShape w:val="1"/>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spaceForUL/>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B82"/>
    <w:rsid w:val="001838B7"/>
    <w:rsid w:val="001A14FA"/>
    <w:rsid w:val="00242CF5"/>
    <w:rsid w:val="002C1D27"/>
    <w:rsid w:val="002F7FBB"/>
    <w:rsid w:val="00312148"/>
    <w:rsid w:val="003B1119"/>
    <w:rsid w:val="003B768E"/>
    <w:rsid w:val="004432BA"/>
    <w:rsid w:val="0044747A"/>
    <w:rsid w:val="006B2064"/>
    <w:rsid w:val="006C2330"/>
    <w:rsid w:val="006E45B9"/>
    <w:rsid w:val="006F348A"/>
    <w:rsid w:val="00730C33"/>
    <w:rsid w:val="00777A7E"/>
    <w:rsid w:val="007900E7"/>
    <w:rsid w:val="00800436"/>
    <w:rsid w:val="008D5A2B"/>
    <w:rsid w:val="00903A8D"/>
    <w:rsid w:val="009B0034"/>
    <w:rsid w:val="009E76F6"/>
    <w:rsid w:val="00B05646"/>
    <w:rsid w:val="00C44B2C"/>
    <w:rsid w:val="00C57F97"/>
    <w:rsid w:val="00D86B82"/>
    <w:rsid w:val="00DB319D"/>
    <w:rsid w:val="00DB33D6"/>
    <w:rsid w:val="00DE7F51"/>
    <w:rsid w:val="00E033CA"/>
    <w:rsid w:val="00E32D47"/>
    <w:rsid w:val="00E41BCA"/>
    <w:rsid w:val="00ED1EC9"/>
    <w:rsid w:val="00EE2C13"/>
    <w:rsid w:val="00EE5710"/>
    <w:rsid w:val="00EF555A"/>
    <w:rsid w:val="00F46433"/>
    <w:rsid w:val="00FE485E"/>
    <w:rsid w:val="022C0730"/>
    <w:rsid w:val="02D84414"/>
    <w:rsid w:val="033C4AE1"/>
    <w:rsid w:val="03806D9C"/>
    <w:rsid w:val="042E1877"/>
    <w:rsid w:val="04871596"/>
    <w:rsid w:val="088274F0"/>
    <w:rsid w:val="08E16B89"/>
    <w:rsid w:val="09697C41"/>
    <w:rsid w:val="09704E33"/>
    <w:rsid w:val="09A11A04"/>
    <w:rsid w:val="0A56459C"/>
    <w:rsid w:val="0A766000"/>
    <w:rsid w:val="0ABA3719"/>
    <w:rsid w:val="0AF46D16"/>
    <w:rsid w:val="0CA470DC"/>
    <w:rsid w:val="0CBF4F97"/>
    <w:rsid w:val="0E031902"/>
    <w:rsid w:val="0E59678C"/>
    <w:rsid w:val="0E70334B"/>
    <w:rsid w:val="0E9B7FA1"/>
    <w:rsid w:val="0EC028E8"/>
    <w:rsid w:val="0EE65B3E"/>
    <w:rsid w:val="0F136006"/>
    <w:rsid w:val="0F494A67"/>
    <w:rsid w:val="0F5B30F3"/>
    <w:rsid w:val="0F956327"/>
    <w:rsid w:val="1056677F"/>
    <w:rsid w:val="10A2675E"/>
    <w:rsid w:val="10B352EB"/>
    <w:rsid w:val="10C87F96"/>
    <w:rsid w:val="11052878"/>
    <w:rsid w:val="117368F4"/>
    <w:rsid w:val="12580CBB"/>
    <w:rsid w:val="135676CC"/>
    <w:rsid w:val="13573133"/>
    <w:rsid w:val="13E40B45"/>
    <w:rsid w:val="14780883"/>
    <w:rsid w:val="14E21E98"/>
    <w:rsid w:val="14F22D30"/>
    <w:rsid w:val="151F44BC"/>
    <w:rsid w:val="155E69FB"/>
    <w:rsid w:val="161539CC"/>
    <w:rsid w:val="16716F40"/>
    <w:rsid w:val="16C8160F"/>
    <w:rsid w:val="16DB6903"/>
    <w:rsid w:val="16EE2A35"/>
    <w:rsid w:val="172F711F"/>
    <w:rsid w:val="17367C2F"/>
    <w:rsid w:val="17FD6CA6"/>
    <w:rsid w:val="18EC1753"/>
    <w:rsid w:val="19481E9C"/>
    <w:rsid w:val="1963464B"/>
    <w:rsid w:val="19DF2749"/>
    <w:rsid w:val="1A8269ED"/>
    <w:rsid w:val="1A9C0BE5"/>
    <w:rsid w:val="1B530454"/>
    <w:rsid w:val="1B6607FA"/>
    <w:rsid w:val="1E537319"/>
    <w:rsid w:val="1E7D6144"/>
    <w:rsid w:val="2015528C"/>
    <w:rsid w:val="206574AC"/>
    <w:rsid w:val="21840170"/>
    <w:rsid w:val="21D84D33"/>
    <w:rsid w:val="227B0BEC"/>
    <w:rsid w:val="23251F96"/>
    <w:rsid w:val="23D52676"/>
    <w:rsid w:val="244871F4"/>
    <w:rsid w:val="24F10D15"/>
    <w:rsid w:val="259D695D"/>
    <w:rsid w:val="265757DF"/>
    <w:rsid w:val="27114127"/>
    <w:rsid w:val="275251D0"/>
    <w:rsid w:val="27547C5E"/>
    <w:rsid w:val="28514D40"/>
    <w:rsid w:val="288D53BF"/>
    <w:rsid w:val="296949CB"/>
    <w:rsid w:val="2A32072A"/>
    <w:rsid w:val="2AF8735D"/>
    <w:rsid w:val="2B12230A"/>
    <w:rsid w:val="2BBE65D0"/>
    <w:rsid w:val="2C47664F"/>
    <w:rsid w:val="2CBA4A07"/>
    <w:rsid w:val="2E052244"/>
    <w:rsid w:val="2E461C94"/>
    <w:rsid w:val="2E8E05D3"/>
    <w:rsid w:val="2EBA0CEE"/>
    <w:rsid w:val="2FB63264"/>
    <w:rsid w:val="30CE282F"/>
    <w:rsid w:val="30D979C9"/>
    <w:rsid w:val="31425A60"/>
    <w:rsid w:val="318873D1"/>
    <w:rsid w:val="31D16A7B"/>
    <w:rsid w:val="31D23BDE"/>
    <w:rsid w:val="32780CA4"/>
    <w:rsid w:val="330B1455"/>
    <w:rsid w:val="33C3738B"/>
    <w:rsid w:val="349F0531"/>
    <w:rsid w:val="352960C1"/>
    <w:rsid w:val="35E268E3"/>
    <w:rsid w:val="368B7AB6"/>
    <w:rsid w:val="36C7044C"/>
    <w:rsid w:val="37344974"/>
    <w:rsid w:val="385C2E16"/>
    <w:rsid w:val="39876FB9"/>
    <w:rsid w:val="39C365DE"/>
    <w:rsid w:val="39C5070E"/>
    <w:rsid w:val="39D77BF9"/>
    <w:rsid w:val="3A6D130B"/>
    <w:rsid w:val="3A7163DF"/>
    <w:rsid w:val="3B84690C"/>
    <w:rsid w:val="3C7A4305"/>
    <w:rsid w:val="3D4C5378"/>
    <w:rsid w:val="3D793FF8"/>
    <w:rsid w:val="3E484375"/>
    <w:rsid w:val="3EB1788B"/>
    <w:rsid w:val="3F2E44BF"/>
    <w:rsid w:val="409D5BB6"/>
    <w:rsid w:val="40E57E4D"/>
    <w:rsid w:val="40EC45B3"/>
    <w:rsid w:val="41EA67C9"/>
    <w:rsid w:val="42265973"/>
    <w:rsid w:val="422C0992"/>
    <w:rsid w:val="44986723"/>
    <w:rsid w:val="44A973E3"/>
    <w:rsid w:val="44E139C6"/>
    <w:rsid w:val="45231231"/>
    <w:rsid w:val="4609564A"/>
    <w:rsid w:val="47511D2E"/>
    <w:rsid w:val="490C6E6F"/>
    <w:rsid w:val="49467FBD"/>
    <w:rsid w:val="49696BE2"/>
    <w:rsid w:val="4A246471"/>
    <w:rsid w:val="4A3B1E3A"/>
    <w:rsid w:val="4AC05487"/>
    <w:rsid w:val="4B1418D3"/>
    <w:rsid w:val="4B173A8B"/>
    <w:rsid w:val="4B866465"/>
    <w:rsid w:val="4B9E3DEF"/>
    <w:rsid w:val="4BE53146"/>
    <w:rsid w:val="4BF278C2"/>
    <w:rsid w:val="4C7D2C3B"/>
    <w:rsid w:val="4CFB09F8"/>
    <w:rsid w:val="4D1A2C2C"/>
    <w:rsid w:val="4DF23BA9"/>
    <w:rsid w:val="4DFF1AA1"/>
    <w:rsid w:val="4FE258E6"/>
    <w:rsid w:val="50A10F5A"/>
    <w:rsid w:val="50A70C7B"/>
    <w:rsid w:val="50DA79B7"/>
    <w:rsid w:val="52470D8A"/>
    <w:rsid w:val="52B943A9"/>
    <w:rsid w:val="53456D9A"/>
    <w:rsid w:val="56635ECC"/>
    <w:rsid w:val="56F260C8"/>
    <w:rsid w:val="570B1E41"/>
    <w:rsid w:val="575635E0"/>
    <w:rsid w:val="585137CE"/>
    <w:rsid w:val="586B7701"/>
    <w:rsid w:val="58FB7741"/>
    <w:rsid w:val="59BA59D7"/>
    <w:rsid w:val="59DB5690"/>
    <w:rsid w:val="59F91B3E"/>
    <w:rsid w:val="5A3115B5"/>
    <w:rsid w:val="5A3A5DEB"/>
    <w:rsid w:val="5A745D75"/>
    <w:rsid w:val="5BB36E20"/>
    <w:rsid w:val="5BEC1C38"/>
    <w:rsid w:val="5BF907F8"/>
    <w:rsid w:val="5C764E81"/>
    <w:rsid w:val="5CEB059C"/>
    <w:rsid w:val="5D355860"/>
    <w:rsid w:val="5D8339C6"/>
    <w:rsid w:val="5D977C4D"/>
    <w:rsid w:val="5DF179D9"/>
    <w:rsid w:val="5E0E3C9B"/>
    <w:rsid w:val="5EDF3CD6"/>
    <w:rsid w:val="5FE2291B"/>
    <w:rsid w:val="600405B2"/>
    <w:rsid w:val="60745CAD"/>
    <w:rsid w:val="608A1D2F"/>
    <w:rsid w:val="60DD09F9"/>
    <w:rsid w:val="61734BA9"/>
    <w:rsid w:val="61C25EF3"/>
    <w:rsid w:val="626F2BE1"/>
    <w:rsid w:val="62EA31DF"/>
    <w:rsid w:val="62F3224A"/>
    <w:rsid w:val="63A53E53"/>
    <w:rsid w:val="641A1849"/>
    <w:rsid w:val="64591E34"/>
    <w:rsid w:val="6534525A"/>
    <w:rsid w:val="65D06126"/>
    <w:rsid w:val="65F033B1"/>
    <w:rsid w:val="6606704B"/>
    <w:rsid w:val="662B15AE"/>
    <w:rsid w:val="66E03E29"/>
    <w:rsid w:val="671366CD"/>
    <w:rsid w:val="67AC2BC3"/>
    <w:rsid w:val="687F677F"/>
    <w:rsid w:val="68E65C61"/>
    <w:rsid w:val="690900DD"/>
    <w:rsid w:val="69192B7D"/>
    <w:rsid w:val="69BC559F"/>
    <w:rsid w:val="69D32689"/>
    <w:rsid w:val="69D87D83"/>
    <w:rsid w:val="6A4E1D0F"/>
    <w:rsid w:val="6A694D9B"/>
    <w:rsid w:val="6A8D15B6"/>
    <w:rsid w:val="6B91205F"/>
    <w:rsid w:val="6B9E4641"/>
    <w:rsid w:val="6BAC75D4"/>
    <w:rsid w:val="6C762039"/>
    <w:rsid w:val="6D8B4BB1"/>
    <w:rsid w:val="6EAB5982"/>
    <w:rsid w:val="6F096ACE"/>
    <w:rsid w:val="6F327E52"/>
    <w:rsid w:val="6F3F60CB"/>
    <w:rsid w:val="6FF375E1"/>
    <w:rsid w:val="70893AA1"/>
    <w:rsid w:val="70C97301"/>
    <w:rsid w:val="725063A3"/>
    <w:rsid w:val="7285473C"/>
    <w:rsid w:val="72BC7172"/>
    <w:rsid w:val="72C9287B"/>
    <w:rsid w:val="73AB0F34"/>
    <w:rsid w:val="73FE09B4"/>
    <w:rsid w:val="7443282E"/>
    <w:rsid w:val="74507025"/>
    <w:rsid w:val="74620891"/>
    <w:rsid w:val="74C45312"/>
    <w:rsid w:val="74CB5835"/>
    <w:rsid w:val="74CE23CA"/>
    <w:rsid w:val="7551440A"/>
    <w:rsid w:val="764327B9"/>
    <w:rsid w:val="76DD1A43"/>
    <w:rsid w:val="76EE28B0"/>
    <w:rsid w:val="77812872"/>
    <w:rsid w:val="77D13620"/>
    <w:rsid w:val="77F2017E"/>
    <w:rsid w:val="780A196C"/>
    <w:rsid w:val="782F5BF9"/>
    <w:rsid w:val="78D73621"/>
    <w:rsid w:val="795972A5"/>
    <w:rsid w:val="799D6DC8"/>
    <w:rsid w:val="79C2318F"/>
    <w:rsid w:val="7B3D346C"/>
    <w:rsid w:val="7BB73BB8"/>
    <w:rsid w:val="7C847C5A"/>
    <w:rsid w:val="7C976E5F"/>
    <w:rsid w:val="7CAF0C65"/>
    <w:rsid w:val="7D987CE9"/>
    <w:rsid w:val="7EA03CCE"/>
    <w:rsid w:val="7EB85585"/>
    <w:rsid w:val="7EC34622"/>
    <w:rsid w:val="7EDC35D5"/>
    <w:rsid w:val="7F2923C6"/>
    <w:rsid w:val="7F7E0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106"/>
    <w:qFormat/>
    <w:uiPriority w:val="0"/>
    <w:pPr>
      <w:keepNext/>
      <w:keepLines/>
      <w:widowControl w:val="0"/>
      <w:jc w:val="center"/>
      <w:outlineLvl w:val="0"/>
    </w:pPr>
    <w:rPr>
      <w:rFonts w:ascii="仿宋" w:hAnsi="仿宋" w:eastAsia="仿宋" w:cs="仿宋"/>
      <w:b/>
      <w:bCs/>
      <w:kern w:val="44"/>
      <w:sz w:val="32"/>
      <w:szCs w:val="44"/>
      <w:lang w:eastAsia="zh-CN"/>
    </w:rPr>
  </w:style>
  <w:style w:type="paragraph" w:styleId="3">
    <w:name w:val="heading 2"/>
    <w:basedOn w:val="1"/>
    <w:next w:val="1"/>
    <w:link w:val="107"/>
    <w:qFormat/>
    <w:uiPriority w:val="0"/>
    <w:pPr>
      <w:keepNext/>
      <w:keepLines/>
      <w:spacing w:before="260" w:after="260" w:line="416" w:lineRule="auto"/>
      <w:outlineLvl w:val="1"/>
    </w:pPr>
    <w:rPr>
      <w:rFonts w:eastAsia="黑体" w:cs="Times New Roman"/>
      <w:b/>
      <w:bCs/>
      <w:sz w:val="32"/>
      <w:szCs w:val="32"/>
    </w:rPr>
  </w:style>
  <w:style w:type="paragraph" w:styleId="4">
    <w:name w:val="heading 3"/>
    <w:basedOn w:val="5"/>
    <w:next w:val="5"/>
    <w:qFormat/>
    <w:uiPriority w:val="0"/>
    <w:pPr>
      <w:spacing w:before="150" w:after="150" w:line="360" w:lineRule="atLeast"/>
      <w:jc w:val="center"/>
      <w:outlineLvl w:val="2"/>
    </w:pPr>
    <w:rPr>
      <w:rFonts w:ascii="宋体" w:hAnsi="宋体" w:eastAsia="宋体" w:cs="宋体"/>
      <w:b/>
      <w:bCs/>
      <w:sz w:val="27"/>
      <w:szCs w:val="27"/>
      <w:lang w:eastAsia="zh-CN"/>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widowControl/>
      <w:kinsoku w:val="0"/>
      <w:autoSpaceDE w:val="0"/>
      <w:autoSpaceDN w:val="0"/>
      <w:adjustRightInd w:val="0"/>
      <w:snapToGrid w:val="0"/>
      <w:ind w:left="200" w:leftChars="200"/>
      <w:jc w:val="left"/>
      <w:textAlignment w:val="baseline"/>
    </w:pPr>
    <w:rPr>
      <w:rFonts w:ascii="Arial" w:hAnsi="Arial" w:eastAsia="Arial" w:cs="Arial"/>
      <w:snapToGrid w:val="0"/>
      <w:color w:val="000000"/>
      <w:kern w:val="0"/>
      <w:szCs w:val="21"/>
      <w:lang w:eastAsia="en-US"/>
    </w:rPr>
  </w:style>
  <w:style w:type="paragraph" w:styleId="6">
    <w:name w:val="Normal Indent"/>
    <w:basedOn w:val="1"/>
    <w:next w:val="1"/>
    <w:qFormat/>
    <w:uiPriority w:val="0"/>
    <w:pPr>
      <w:widowControl w:val="0"/>
      <w:ind w:firstLine="420" w:firstLineChars="200"/>
      <w:jc w:val="both"/>
    </w:pPr>
    <w:rPr>
      <w:rFonts w:ascii="Times New Roman" w:hAnsi="Times New Roman" w:eastAsia="宋体" w:cs="Times New Roman"/>
      <w:kern w:val="2"/>
      <w:szCs w:val="24"/>
      <w:lang w:eastAsia="zh-CN"/>
    </w:rPr>
  </w:style>
  <w:style w:type="paragraph" w:styleId="7">
    <w:name w:val="caption"/>
    <w:basedOn w:val="1"/>
    <w:next w:val="1"/>
    <w:qFormat/>
    <w:uiPriority w:val="0"/>
    <w:rPr>
      <w:rFonts w:eastAsia="黑体"/>
      <w:sz w:val="20"/>
      <w:szCs w:val="20"/>
    </w:rPr>
  </w:style>
  <w:style w:type="paragraph" w:styleId="8">
    <w:name w:val="index 5"/>
    <w:basedOn w:val="1"/>
    <w:next w:val="1"/>
    <w:qFormat/>
    <w:uiPriority w:val="0"/>
    <w:pPr>
      <w:widowControl w:val="0"/>
      <w:ind w:left="1680"/>
      <w:jc w:val="both"/>
    </w:pPr>
    <w:rPr>
      <w:rFonts w:ascii="Calibri" w:hAnsi="Calibri" w:eastAsia="宋体" w:cs="Times New Roman"/>
      <w:kern w:val="2"/>
      <w:szCs w:val="24"/>
      <w:lang w:eastAsia="zh-CN"/>
    </w:rPr>
  </w:style>
  <w:style w:type="paragraph" w:styleId="9">
    <w:name w:val="toa heading"/>
    <w:basedOn w:val="1"/>
    <w:next w:val="1"/>
    <w:qFormat/>
    <w:uiPriority w:val="0"/>
    <w:pPr>
      <w:widowControl w:val="0"/>
      <w:spacing w:before="120"/>
      <w:jc w:val="both"/>
    </w:pPr>
    <w:rPr>
      <w:rFonts w:eastAsia="宋体"/>
      <w:kern w:val="2"/>
      <w:sz w:val="24"/>
      <w:szCs w:val="24"/>
      <w:lang w:eastAsia="zh-CN"/>
    </w:rPr>
  </w:style>
  <w:style w:type="paragraph" w:styleId="10">
    <w:name w:val="annotation text"/>
    <w:basedOn w:val="1"/>
    <w:qFormat/>
    <w:uiPriority w:val="0"/>
    <w:rPr>
      <w:rFonts w:ascii="Times New Roman" w:hAnsi="Times New Roman" w:eastAsia="宋体" w:cs="Times New Roman"/>
    </w:rPr>
  </w:style>
  <w:style w:type="paragraph" w:styleId="11">
    <w:name w:val="Body Text"/>
    <w:basedOn w:val="1"/>
    <w:qFormat/>
    <w:uiPriority w:val="0"/>
    <w:rPr>
      <w:rFonts w:ascii="宋体" w:hAnsi="宋体" w:eastAsia="宋体" w:cs="宋体"/>
      <w:sz w:val="24"/>
      <w:szCs w:val="24"/>
    </w:rPr>
  </w:style>
  <w:style w:type="paragraph" w:styleId="12">
    <w:name w:val="Body Text Indent"/>
    <w:basedOn w:val="1"/>
    <w:next w:val="13"/>
    <w:qFormat/>
    <w:uiPriority w:val="0"/>
    <w:pPr>
      <w:widowControl w:val="0"/>
      <w:ind w:firstLine="620"/>
      <w:jc w:val="both"/>
    </w:pPr>
    <w:rPr>
      <w:rFonts w:ascii="Times New Roman" w:hAnsi="Times New Roman" w:eastAsia="楷体_GB2312" w:cs="Times New Roman"/>
      <w:sz w:val="30"/>
      <w:szCs w:val="20"/>
      <w:lang w:eastAsia="zh-CN"/>
    </w:rPr>
  </w:style>
  <w:style w:type="paragraph" w:styleId="13">
    <w:name w:val="Body Text First Indent 2"/>
    <w:basedOn w:val="12"/>
    <w:next w:val="14"/>
    <w:qFormat/>
    <w:uiPriority w:val="0"/>
    <w:pPr>
      <w:ind w:firstLine="420"/>
    </w:pPr>
    <w:rPr>
      <w:rFonts w:eastAsia="宋体"/>
    </w:rPr>
  </w:style>
  <w:style w:type="paragraph" w:styleId="14">
    <w:name w:val="Body Text First Indent"/>
    <w:basedOn w:val="11"/>
    <w:next w:val="15"/>
    <w:qFormat/>
    <w:uiPriority w:val="0"/>
    <w:pPr>
      <w:widowControl w:val="0"/>
      <w:spacing w:line="360" w:lineRule="auto"/>
      <w:ind w:firstLine="420" w:firstLineChars="200"/>
    </w:pPr>
    <w:rPr>
      <w:rFonts w:ascii="Arial" w:hAnsi="Arial" w:eastAsia="黑体" w:cs="Arial"/>
      <w:szCs w:val="21"/>
      <w:lang w:eastAsia="zh-CN"/>
    </w:rPr>
  </w:style>
  <w:style w:type="paragraph" w:styleId="15">
    <w:name w:val="toc 6"/>
    <w:next w:val="1"/>
    <w:unhideWhenUsed/>
    <w:qFormat/>
    <w:uiPriority w:val="39"/>
    <w:pPr>
      <w:widowControl w:val="0"/>
      <w:ind w:left="2100" w:leftChars="1000"/>
      <w:jc w:val="both"/>
    </w:pPr>
    <w:rPr>
      <w:rFonts w:ascii="Calibri" w:hAnsi="Calibri" w:eastAsia="宋体" w:cs="Times New Roman"/>
      <w:kern w:val="2"/>
      <w:sz w:val="21"/>
      <w:szCs w:val="22"/>
      <w:lang w:val="en-US" w:eastAsia="zh-CN" w:bidi="ar-SA"/>
    </w:rPr>
  </w:style>
  <w:style w:type="paragraph" w:styleId="16">
    <w:name w:val="List 2"/>
    <w:basedOn w:val="1"/>
    <w:next w:val="17"/>
    <w:qFormat/>
    <w:uiPriority w:val="0"/>
    <w:pPr>
      <w:spacing w:beforeLines="50" w:afterLines="50" w:line="360" w:lineRule="auto"/>
      <w:ind w:left="100" w:leftChars="200" w:hanging="200" w:hangingChars="200"/>
    </w:pPr>
    <w:rPr>
      <w:sz w:val="24"/>
    </w:rPr>
  </w:style>
  <w:style w:type="paragraph" w:styleId="17">
    <w:name w:val="Plain Text"/>
    <w:basedOn w:val="1"/>
    <w:qFormat/>
    <w:uiPriority w:val="0"/>
    <w:pPr>
      <w:widowControl w:val="0"/>
      <w:jc w:val="both"/>
    </w:pPr>
    <w:rPr>
      <w:rFonts w:ascii="宋体" w:hAnsi="Courier New" w:eastAsia="宋体" w:cs="宋体"/>
      <w:sz w:val="20"/>
      <w:szCs w:val="20"/>
      <w:lang w:eastAsia="zh-CN"/>
    </w:rPr>
  </w:style>
  <w:style w:type="paragraph" w:styleId="18">
    <w:name w:val="toc 5"/>
    <w:basedOn w:val="1"/>
    <w:next w:val="1"/>
    <w:qFormat/>
    <w:uiPriority w:val="0"/>
    <w:pPr>
      <w:ind w:left="840"/>
    </w:pPr>
    <w:rPr>
      <w:rFonts w:ascii="Calibri" w:hAnsi="Calibri"/>
      <w:sz w:val="18"/>
      <w:szCs w:val="18"/>
    </w:rPr>
  </w:style>
  <w:style w:type="paragraph" w:styleId="19">
    <w:name w:val="toc 3"/>
    <w:basedOn w:val="1"/>
    <w:next w:val="1"/>
    <w:qFormat/>
    <w:uiPriority w:val="0"/>
    <w:pPr>
      <w:ind w:left="840" w:leftChars="400"/>
    </w:pPr>
  </w:style>
  <w:style w:type="paragraph" w:styleId="20">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21">
    <w:name w:val="footer"/>
    <w:basedOn w:val="1"/>
    <w:qFormat/>
    <w:uiPriority w:val="0"/>
    <w:pPr>
      <w:widowControl w:val="0"/>
      <w:tabs>
        <w:tab w:val="center" w:pos="4140"/>
        <w:tab w:val="right" w:pos="8300"/>
      </w:tabs>
    </w:pPr>
    <w:rPr>
      <w:rFonts w:ascii="Times New Roman" w:hAnsi="Times New Roman" w:eastAsia="宋体" w:cs="Times New Roman"/>
      <w:sz w:val="18"/>
      <w:szCs w:val="18"/>
      <w:lang w:eastAsia="zh-CN"/>
    </w:rPr>
  </w:style>
  <w:style w:type="paragraph" w:styleId="22">
    <w:name w:val="envelope return"/>
    <w:basedOn w:val="1"/>
    <w:qFormat/>
    <w:uiPriority w:val="0"/>
    <w:rPr>
      <w:rFonts w:eastAsia="宋体"/>
    </w:rPr>
  </w:style>
  <w:style w:type="paragraph" w:styleId="2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24">
    <w:name w:val="toc 1"/>
    <w:basedOn w:val="1"/>
    <w:next w:val="1"/>
    <w:qFormat/>
    <w:uiPriority w:val="0"/>
  </w:style>
  <w:style w:type="paragraph" w:styleId="25">
    <w:name w:val="index heading"/>
    <w:basedOn w:val="1"/>
    <w:next w:val="26"/>
    <w:qFormat/>
    <w:uiPriority w:val="0"/>
    <w:pPr>
      <w:spacing w:line="312" w:lineRule="atLeast"/>
    </w:pPr>
    <w:rPr>
      <w:rFonts w:eastAsia="仿宋"/>
      <w:b/>
      <w:bCs/>
      <w:sz w:val="32"/>
      <w:szCs w:val="20"/>
    </w:rPr>
  </w:style>
  <w:style w:type="paragraph" w:styleId="26">
    <w:name w:val="index 1"/>
    <w:basedOn w:val="1"/>
    <w:next w:val="1"/>
    <w:qFormat/>
    <w:uiPriority w:val="0"/>
    <w:rPr>
      <w:rFonts w:ascii="Times New Roman" w:hAnsi="Times New Roman" w:eastAsia="宋体" w:cs="Times New Roman"/>
    </w:rPr>
  </w:style>
  <w:style w:type="paragraph" w:styleId="27">
    <w:name w:val="List Number 5"/>
    <w:basedOn w:val="1"/>
    <w:qFormat/>
    <w:uiPriority w:val="0"/>
    <w:pPr>
      <w:numPr>
        <w:ilvl w:val="0"/>
        <w:numId w:val="1"/>
      </w:numPr>
    </w:pPr>
  </w:style>
  <w:style w:type="paragraph" w:styleId="28">
    <w:name w:val="footnote text"/>
    <w:basedOn w:val="1"/>
    <w:unhideWhenUsed/>
    <w:qFormat/>
    <w:uiPriority w:val="99"/>
    <w:rPr>
      <w:sz w:val="18"/>
      <w:szCs w:val="18"/>
    </w:rPr>
  </w:style>
  <w:style w:type="paragraph" w:styleId="29">
    <w:name w:val="List 5"/>
    <w:basedOn w:val="1"/>
    <w:qFormat/>
    <w:uiPriority w:val="0"/>
    <w:pPr>
      <w:ind w:left="2100" w:hanging="420"/>
    </w:pPr>
    <w:rPr>
      <w:rFonts w:ascii="Times New Roman" w:hAnsi="Times New Roman" w:eastAsia="楷体_GB2312" w:cs="Times New Roman"/>
      <w:sz w:val="32"/>
      <w:szCs w:val="20"/>
    </w:rPr>
  </w:style>
  <w:style w:type="paragraph" w:styleId="30">
    <w:name w:val="Body Text Indent 3"/>
    <w:basedOn w:val="1"/>
    <w:qFormat/>
    <w:uiPriority w:val="0"/>
    <w:pPr>
      <w:spacing w:after="120"/>
      <w:ind w:left="420" w:leftChars="200"/>
    </w:pPr>
    <w:rPr>
      <w:rFonts w:ascii="Times New Roman" w:hAnsi="Times New Roman"/>
      <w:spacing w:val="20"/>
      <w:sz w:val="16"/>
      <w:szCs w:val="16"/>
    </w:rPr>
  </w:style>
  <w:style w:type="paragraph" w:styleId="31">
    <w:name w:val="index 7"/>
    <w:basedOn w:val="1"/>
    <w:next w:val="1"/>
    <w:qFormat/>
    <w:uiPriority w:val="0"/>
    <w:pPr>
      <w:adjustRightInd/>
      <w:ind w:left="1200" w:leftChars="1200"/>
    </w:pPr>
    <w:rPr>
      <w:color w:val="auto"/>
      <w:kern w:val="2"/>
      <w:szCs w:val="24"/>
    </w:rPr>
  </w:style>
  <w:style w:type="paragraph" w:styleId="32">
    <w:name w:val="toc 2"/>
    <w:basedOn w:val="1"/>
    <w:next w:val="1"/>
    <w:qFormat/>
    <w:uiPriority w:val="0"/>
    <w:pPr>
      <w:ind w:left="420" w:leftChars="200"/>
    </w:pPr>
  </w:style>
  <w:style w:type="paragraph" w:styleId="33">
    <w:name w:val="Body Text 2"/>
    <w:basedOn w:val="1"/>
    <w:qFormat/>
    <w:uiPriority w:val="0"/>
    <w:pPr>
      <w:jc w:val="center"/>
    </w:pPr>
    <w:rPr>
      <w:rFonts w:ascii="黑体" w:eastAsia="黑体"/>
      <w:b/>
      <w:bCs/>
      <w:sz w:val="84"/>
    </w:rPr>
  </w:style>
  <w:style w:type="paragraph" w:styleId="34">
    <w:name w:val="Normal (Web)"/>
    <w:basedOn w:val="1"/>
    <w:qFormat/>
    <w:uiPriority w:val="0"/>
    <w:pPr>
      <w:spacing w:before="100" w:beforeAutospacing="1" w:after="100" w:afterAutospacing="1"/>
    </w:pPr>
    <w:rPr>
      <w:rFonts w:ascii="宋体" w:hAnsi="宋体"/>
      <w:sz w:val="18"/>
      <w:szCs w:val="18"/>
    </w:rPr>
  </w:style>
  <w:style w:type="paragraph" w:styleId="35">
    <w:name w:val="Title"/>
    <w:basedOn w:val="1"/>
    <w:next w:val="1"/>
    <w:qFormat/>
    <w:uiPriority w:val="10"/>
    <w:pPr>
      <w:spacing w:before="240" w:after="60"/>
      <w:jc w:val="center"/>
      <w:outlineLvl w:val="0"/>
    </w:pPr>
    <w:rPr>
      <w:rFonts w:ascii="Cambria" w:hAnsi="Cambria"/>
      <w:b/>
      <w:bCs/>
      <w:sz w:val="32"/>
      <w:szCs w:val="32"/>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22"/>
    <w:rPr>
      <w:b/>
      <w:bCs/>
    </w:rPr>
  </w:style>
  <w:style w:type="character" w:styleId="40">
    <w:name w:val="Hyperlink"/>
    <w:basedOn w:val="38"/>
    <w:qFormat/>
    <w:uiPriority w:val="0"/>
    <w:rPr>
      <w:color w:val="0000FF"/>
      <w:u w:val="single"/>
    </w:rPr>
  </w:style>
  <w:style w:type="character" w:styleId="41">
    <w:name w:val="annotation reference"/>
    <w:qFormat/>
    <w:uiPriority w:val="0"/>
    <w:rPr>
      <w:rFonts w:ascii="Times New Roman" w:hAnsi="Times New Roman" w:eastAsia="宋体"/>
      <w:sz w:val="21"/>
      <w:szCs w:val="21"/>
    </w:rPr>
  </w:style>
  <w:style w:type="character" w:styleId="42">
    <w:name w:val="footnote reference"/>
    <w:basedOn w:val="38"/>
    <w:unhideWhenUsed/>
    <w:qFormat/>
    <w:uiPriority w:val="99"/>
    <w:rPr>
      <w:vertAlign w:val="superscript"/>
    </w:rPr>
  </w:style>
  <w:style w:type="paragraph" w:customStyle="1" w:styleId="43">
    <w:name w:val="Default"/>
    <w:basedOn w:val="35"/>
    <w:next w:val="44"/>
    <w:qFormat/>
    <w:uiPriority w:val="99"/>
    <w:rPr>
      <w:rFonts w:ascii="宋体" w:hAnsi="Times New Roman" w:cs="宋体"/>
      <w:sz w:val="24"/>
      <w:szCs w:val="24"/>
    </w:rPr>
  </w:style>
  <w:style w:type="paragraph" w:customStyle="1" w:styleId="44">
    <w:name w:val="大标题"/>
    <w:basedOn w:val="1"/>
    <w:next w:val="13"/>
    <w:qFormat/>
    <w:uiPriority w:val="0"/>
    <w:pPr>
      <w:jc w:val="center"/>
    </w:pPr>
    <w:rPr>
      <w:b/>
      <w:sz w:val="28"/>
    </w:rPr>
  </w:style>
  <w:style w:type="paragraph" w:customStyle="1" w:styleId="45">
    <w:name w:val="正文（首行缩进2字符）"/>
    <w:basedOn w:val="1"/>
    <w:next w:val="1"/>
    <w:qFormat/>
    <w:uiPriority w:val="0"/>
    <w:pPr>
      <w:ind w:firstLine="420" w:firstLineChars="200"/>
    </w:pPr>
    <w:rPr>
      <w:kern w:val="2"/>
    </w:rPr>
  </w:style>
  <w:style w:type="paragraph" w:customStyle="1" w:styleId="46">
    <w:name w:val="Table Text"/>
    <w:basedOn w:val="1"/>
    <w:semiHidden/>
    <w:qFormat/>
    <w:uiPriority w:val="0"/>
    <w:rPr>
      <w:rFonts w:ascii="宋体" w:hAnsi="宋体" w:eastAsia="宋体" w:cs="宋体"/>
      <w:sz w:val="24"/>
      <w:szCs w:val="24"/>
    </w:rPr>
  </w:style>
  <w:style w:type="paragraph" w:customStyle="1" w:styleId="47">
    <w:name w:val="正文_2_0"/>
    <w:basedOn w:val="48"/>
    <w:next w:val="73"/>
    <w:qFormat/>
    <w:uiPriority w:val="0"/>
    <w:rPr>
      <w:szCs w:val="22"/>
    </w:rPr>
  </w:style>
  <w:style w:type="paragraph" w:customStyle="1" w:styleId="48">
    <w:name w:val="正文_2_1"/>
    <w:basedOn w:val="49"/>
    <w:next w:val="70"/>
    <w:qFormat/>
    <w:uiPriority w:val="0"/>
    <w:rPr>
      <w:szCs w:val="24"/>
    </w:rPr>
  </w:style>
  <w:style w:type="paragraph" w:customStyle="1" w:styleId="49">
    <w:name w:val="正文_3_0"/>
    <w:basedOn w:val="50"/>
    <w:next w:val="53"/>
    <w:qFormat/>
    <w:uiPriority w:val="0"/>
  </w:style>
  <w:style w:type="paragraph" w:customStyle="1" w:styleId="50">
    <w:name w:val="Normal_0_0"/>
    <w:next w:val="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Body Text_0"/>
    <w:basedOn w:val="52"/>
    <w:qFormat/>
    <w:uiPriority w:val="0"/>
    <w:pPr>
      <w:spacing w:after="120"/>
    </w:pPr>
  </w:style>
  <w:style w:type="paragraph" w:customStyle="1" w:styleId="52">
    <w:name w:val="Normal_1"/>
    <w:next w:val="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缩进_0_0_1"/>
    <w:basedOn w:val="54"/>
    <w:unhideWhenUsed/>
    <w:qFormat/>
    <w:uiPriority w:val="0"/>
    <w:pPr>
      <w:ind w:firstLine="420" w:firstLineChars="200"/>
    </w:pPr>
  </w:style>
  <w:style w:type="paragraph" w:customStyle="1" w:styleId="54">
    <w:name w:val="正文_0_1_1"/>
    <w:basedOn w:val="55"/>
    <w:next w:val="67"/>
    <w:qFormat/>
    <w:uiPriority w:val="0"/>
    <w:rPr>
      <w:rFonts w:eastAsia="Calibri"/>
    </w:rPr>
  </w:style>
  <w:style w:type="paragraph" w:customStyle="1" w:styleId="55">
    <w:name w:val="正文_3_1"/>
    <w:basedOn w:val="56"/>
    <w:next w:val="59"/>
    <w:qFormat/>
    <w:uiPriority w:val="0"/>
    <w:rPr>
      <w:rFonts w:ascii="Calibri" w:hAnsi="Calibri"/>
      <w:sz w:val="21"/>
      <w:szCs w:val="22"/>
    </w:rPr>
  </w:style>
  <w:style w:type="paragraph" w:customStyle="1" w:styleId="56">
    <w:name w:val="Normal_0_1"/>
    <w:basedOn w:val="57"/>
    <w:qFormat/>
    <w:uiPriority w:val="0"/>
    <w:rPr>
      <w:rFonts w:ascii="黑体" w:hAnsi="黑体" w:eastAsia="黑体"/>
      <w:b/>
      <w:sz w:val="32"/>
      <w:szCs w:val="24"/>
    </w:rPr>
  </w:style>
  <w:style w:type="paragraph" w:customStyle="1" w:styleId="57">
    <w:name w:val="Normal_2"/>
    <w:next w:val="5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Body Text_1"/>
    <w:basedOn w:val="57"/>
    <w:qFormat/>
    <w:uiPriority w:val="0"/>
    <w:pPr>
      <w:spacing w:after="120"/>
    </w:pPr>
  </w:style>
  <w:style w:type="paragraph" w:customStyle="1" w:styleId="59">
    <w:name w:val="正文缩进_0_0_0"/>
    <w:basedOn w:val="60"/>
    <w:unhideWhenUsed/>
    <w:qFormat/>
    <w:uiPriority w:val="0"/>
    <w:pPr>
      <w:ind w:firstLine="420" w:firstLineChars="200"/>
    </w:pPr>
  </w:style>
  <w:style w:type="paragraph" w:customStyle="1" w:styleId="60">
    <w:name w:val="正文_0_1_0"/>
    <w:basedOn w:val="61"/>
    <w:next w:val="62"/>
    <w:qFormat/>
    <w:uiPriority w:val="0"/>
    <w:rPr>
      <w:rFonts w:eastAsia="Calibri"/>
    </w:rPr>
  </w:style>
  <w:style w:type="paragraph" w:customStyle="1" w:styleId="61">
    <w:name w:val="正文_1_1"/>
    <w:next w:val="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脚注文本_0"/>
    <w:basedOn w:val="63"/>
    <w:next w:val="65"/>
    <w:unhideWhenUsed/>
    <w:qFormat/>
    <w:uiPriority w:val="99"/>
    <w:pPr>
      <w:snapToGrid w:val="0"/>
      <w:jc w:val="left"/>
    </w:pPr>
    <w:rPr>
      <w:rFonts w:ascii="Calibri" w:hAnsi="Calibri" w:eastAsia="Calibri"/>
      <w:sz w:val="18"/>
    </w:rPr>
  </w:style>
  <w:style w:type="paragraph" w:customStyle="1" w:styleId="63">
    <w:name w:val="正文_0_2"/>
    <w:next w:val="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页脚_0_0"/>
    <w:basedOn w:val="63"/>
    <w:unhideWhenUsed/>
    <w:qFormat/>
    <w:uiPriority w:val="99"/>
    <w:pPr>
      <w:tabs>
        <w:tab w:val="center" w:pos="4153"/>
        <w:tab w:val="right" w:pos="8306"/>
      </w:tabs>
      <w:snapToGrid w:val="0"/>
      <w:jc w:val="left"/>
    </w:pPr>
    <w:rPr>
      <w:sz w:val="18"/>
      <w:szCs w:val="18"/>
    </w:rPr>
  </w:style>
  <w:style w:type="paragraph" w:customStyle="1" w:styleId="65">
    <w:name w:val="正文_2"/>
    <w:next w:val="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正文文本_0"/>
    <w:basedOn w:val="47"/>
    <w:qFormat/>
    <w:uiPriority w:val="0"/>
  </w:style>
  <w:style w:type="paragraph" w:customStyle="1" w:styleId="67">
    <w:name w:val="脚注文本1"/>
    <w:basedOn w:val="68"/>
    <w:next w:val="69"/>
    <w:unhideWhenUsed/>
    <w:qFormat/>
    <w:uiPriority w:val="0"/>
    <w:pPr>
      <w:snapToGrid w:val="0"/>
      <w:jc w:val="left"/>
    </w:pPr>
    <w:rPr>
      <w:kern w:val="0"/>
      <w:sz w:val="18"/>
      <w:szCs w:val="18"/>
    </w:rPr>
  </w:style>
  <w:style w:type="paragraph" w:customStyle="1" w:styleId="68">
    <w:name w:val="正文_1_0"/>
    <w:next w:val="67"/>
    <w:qFormat/>
    <w:uiPriority w:val="0"/>
    <w:pPr>
      <w:widowControl w:val="0"/>
      <w:jc w:val="both"/>
    </w:pPr>
    <w:rPr>
      <w:rFonts w:ascii="Calibri" w:hAnsi="Calibri" w:eastAsia="宋体" w:cs="Times New Roman"/>
      <w:kern w:val="2"/>
      <w:sz w:val="21"/>
      <w:szCs w:val="24"/>
      <w:lang w:val="en-US" w:eastAsia="zh-CN" w:bidi="ar-SA"/>
    </w:rPr>
  </w:style>
  <w:style w:type="paragraph" w:customStyle="1" w:styleId="69">
    <w:name w:val="索引 51"/>
    <w:basedOn w:val="68"/>
    <w:next w:val="68"/>
    <w:unhideWhenUsed/>
    <w:qFormat/>
    <w:uiPriority w:val="99"/>
    <w:pPr>
      <w:ind w:left="1680"/>
    </w:pPr>
  </w:style>
  <w:style w:type="paragraph" w:customStyle="1" w:styleId="70">
    <w:name w:val="No Spacing_0"/>
    <w:basedOn w:val="71"/>
    <w:qFormat/>
    <w:uiPriority w:val="1"/>
  </w:style>
  <w:style w:type="paragraph" w:customStyle="1" w:styleId="71">
    <w:name w:val="正文_5"/>
    <w:basedOn w:val="65"/>
    <w:next w:val="72"/>
    <w:qFormat/>
    <w:uiPriority w:val="0"/>
    <w:rPr>
      <w:rFonts w:ascii="Calibri" w:hAnsi="Calibri"/>
      <w:szCs w:val="22"/>
    </w:rPr>
  </w:style>
  <w:style w:type="paragraph" w:customStyle="1" w:styleId="72">
    <w:name w:val="段_0"/>
    <w:next w:val="71"/>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73">
    <w:name w:val="正文1_0"/>
    <w:basedOn w:val="74"/>
    <w:qFormat/>
    <w:uiPriority w:val="0"/>
    <w:pPr>
      <w:widowControl/>
      <w:spacing w:before="120" w:after="120"/>
      <w:ind w:firstLine="200" w:firstLineChars="200"/>
      <w:jc w:val="left"/>
    </w:pPr>
    <w:rPr>
      <w:rFonts w:ascii="Times New Roman" w:hAnsi="Times New Roman" w:eastAsia="Adobe 仿宋 Std R"/>
    </w:rPr>
  </w:style>
  <w:style w:type="paragraph" w:customStyle="1" w:styleId="74">
    <w:name w:val="正文_3"/>
    <w:basedOn w:val="75"/>
    <w:next w:val="77"/>
    <w:qFormat/>
    <w:uiPriority w:val="0"/>
  </w:style>
  <w:style w:type="paragraph" w:customStyle="1" w:styleId="75">
    <w:name w:val="Normal_0"/>
    <w:basedOn w:val="76"/>
    <w:next w:val="13"/>
    <w:qFormat/>
    <w:uiPriority w:val="0"/>
    <w:rPr>
      <w:rFonts w:ascii="Calibri" w:hAnsi="Calibri"/>
      <w:sz w:val="21"/>
    </w:rPr>
  </w:style>
  <w:style w:type="paragraph" w:customStyle="1" w:styleId="76">
    <w:name w:val="正文1"/>
    <w:next w:val="1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7">
    <w:name w:val="正文缩进_0_0"/>
    <w:basedOn w:val="78"/>
    <w:unhideWhenUsed/>
    <w:qFormat/>
    <w:uiPriority w:val="0"/>
    <w:pPr>
      <w:ind w:firstLine="420" w:firstLineChars="200"/>
    </w:pPr>
  </w:style>
  <w:style w:type="paragraph" w:customStyle="1" w:styleId="78">
    <w:name w:val="正文_2_0_0"/>
    <w:basedOn w:val="79"/>
    <w:next w:val="83"/>
    <w:qFormat/>
    <w:uiPriority w:val="0"/>
    <w:rPr>
      <w:rFonts w:cs="Calibri"/>
      <w:szCs w:val="21"/>
    </w:rPr>
  </w:style>
  <w:style w:type="paragraph" w:customStyle="1" w:styleId="79">
    <w:name w:val="正文_3_0_0"/>
    <w:basedOn w:val="80"/>
    <w:next w:val="81"/>
    <w:qFormat/>
    <w:uiPriority w:val="0"/>
    <w:rPr>
      <w:rFonts w:ascii="Calibri" w:hAnsi="Calibri"/>
    </w:rPr>
  </w:style>
  <w:style w:type="paragraph" w:customStyle="1" w:styleId="80">
    <w:name w:val="Normal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正文文本_1_0_0"/>
    <w:basedOn w:val="82"/>
    <w:qFormat/>
    <w:uiPriority w:val="0"/>
    <w:pPr>
      <w:spacing w:after="120"/>
    </w:pPr>
  </w:style>
  <w:style w:type="paragraph" w:customStyle="1" w:styleId="82">
    <w:name w:val="正文_2_0_0_0_0"/>
    <w:next w:val="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正文首行缩进 2_4"/>
    <w:basedOn w:val="84"/>
    <w:unhideWhenUsed/>
    <w:qFormat/>
    <w:uiPriority w:val="99"/>
    <w:pPr>
      <w:ind w:firstLine="420" w:firstLineChars="200"/>
    </w:pPr>
  </w:style>
  <w:style w:type="paragraph" w:customStyle="1" w:styleId="84">
    <w:name w:val="正文文本缩进_5"/>
    <w:basedOn w:val="85"/>
    <w:qFormat/>
    <w:uiPriority w:val="0"/>
    <w:pPr>
      <w:spacing w:line="500" w:lineRule="exact"/>
      <w:ind w:left="1588" w:leftChars="832" w:firstLine="433" w:firstLineChars="196"/>
    </w:pPr>
    <w:rPr>
      <w:kern w:val="0"/>
      <w:sz w:val="24"/>
    </w:rPr>
  </w:style>
  <w:style w:type="paragraph" w:customStyle="1" w:styleId="85">
    <w:name w:val="正文_2_0_0_0"/>
    <w:next w:val="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7">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88">
    <w:name w:val="UserStyle_5"/>
    <w:basedOn w:val="1"/>
    <w:link w:val="105"/>
    <w:qFormat/>
    <w:uiPriority w:val="0"/>
    <w:pPr>
      <w:spacing w:after="160" w:line="240" w:lineRule="exact"/>
    </w:pPr>
  </w:style>
  <w:style w:type="paragraph" w:customStyle="1" w:styleId="89">
    <w:name w:val="UserStyle_20"/>
    <w:basedOn w:val="1"/>
    <w:qFormat/>
    <w:uiPriority w:val="0"/>
    <w:pPr>
      <w:spacing w:after="160" w:line="240" w:lineRule="exact"/>
    </w:pPr>
    <w:rPr>
      <w:rFonts w:ascii="Verdana" w:hAnsi="Verdana" w:eastAsia="仿宋_GB2312"/>
      <w:sz w:val="24"/>
      <w:szCs w:val="20"/>
    </w:rPr>
  </w:style>
  <w:style w:type="paragraph" w:customStyle="1" w:styleId="90">
    <w:name w:val="无间隔1"/>
    <w:next w:val="1"/>
    <w:qFormat/>
    <w:uiPriority w:val="1"/>
    <w:pPr>
      <w:widowControl w:val="0"/>
    </w:pPr>
    <w:rPr>
      <w:rFonts w:ascii="Calibri" w:hAnsi="Calibri" w:eastAsia="仿宋_GB2312" w:cs="Times New Roman"/>
      <w:kern w:val="2"/>
      <w:sz w:val="28"/>
      <w:szCs w:val="21"/>
      <w:lang w:val="en-US" w:eastAsia="zh-CN" w:bidi="ar-SA"/>
    </w:rPr>
  </w:style>
  <w:style w:type="paragraph" w:customStyle="1" w:styleId="91">
    <w:name w:val="正文缩进1"/>
    <w:basedOn w:val="1"/>
    <w:qFormat/>
    <w:uiPriority w:val="0"/>
    <w:pPr>
      <w:ind w:firstLine="420" w:firstLineChars="200"/>
    </w:pPr>
  </w:style>
  <w:style w:type="paragraph" w:customStyle="1" w:styleId="92">
    <w:name w:val="4正文"/>
    <w:basedOn w:val="1"/>
    <w:qFormat/>
    <w:uiPriority w:val="0"/>
    <w:pPr>
      <w:spacing w:line="360" w:lineRule="auto"/>
      <w:ind w:firstLine="480" w:firstLineChars="200"/>
    </w:pPr>
    <w:rPr>
      <w:rFonts w:eastAsia="仿宋"/>
      <w:sz w:val="24"/>
    </w:rPr>
  </w:style>
  <w:style w:type="paragraph" w:customStyle="1" w:styleId="93">
    <w:name w:val="UserStyle_0"/>
    <w:basedOn w:val="1"/>
    <w:qFormat/>
    <w:uiPriority w:val="0"/>
    <w:rPr>
      <w:rFonts w:ascii="Courier New" w:hAnsi="Courier New" w:eastAsia="宋体" w:cs="Times New Roman"/>
      <w:sz w:val="20"/>
    </w:rPr>
  </w:style>
  <w:style w:type="paragraph" w:customStyle="1" w:styleId="94">
    <w:name w:val="图"/>
    <w:basedOn w:val="1"/>
    <w:qFormat/>
    <w:uiPriority w:val="0"/>
    <w:pPr>
      <w:keepNext/>
      <w:spacing w:before="60" w:after="60" w:line="300" w:lineRule="auto"/>
      <w:jc w:val="center"/>
      <w:textAlignment w:val="center"/>
    </w:pPr>
    <w:rPr>
      <w:rFonts w:ascii="Times New Roman" w:hAnsi="Times New Roman" w:eastAsia="宋体" w:cs="Times New Roman"/>
      <w:spacing w:val="20"/>
      <w:sz w:val="24"/>
      <w:szCs w:val="20"/>
    </w:rPr>
  </w:style>
  <w:style w:type="paragraph" w:customStyle="1" w:styleId="95">
    <w:name w:val="题注5"/>
    <w:basedOn w:val="1"/>
    <w:next w:val="7"/>
    <w:qFormat/>
    <w:uiPriority w:val="0"/>
    <w:pPr>
      <w:numPr>
        <w:ilvl w:val="1"/>
        <w:numId w:val="2"/>
      </w:numPr>
      <w:tabs>
        <w:tab w:val="left" w:pos="0"/>
        <w:tab w:val="left" w:pos="720"/>
        <w:tab w:val="left" w:pos="740"/>
      </w:tabs>
      <w:spacing w:line="360" w:lineRule="auto"/>
      <w:ind w:left="720" w:hanging="720"/>
    </w:pPr>
    <w:rPr>
      <w:rFonts w:ascii="Times New Roman" w:hAnsi="Times New Roman" w:eastAsia="宋体" w:cs="Times New Roman"/>
      <w:b/>
      <w:sz w:val="28"/>
      <w:szCs w:val="28"/>
    </w:rPr>
  </w:style>
  <w:style w:type="paragraph" w:customStyle="1" w:styleId="96">
    <w:name w:val="WPS Plain"/>
    <w:basedOn w:val="1"/>
    <w:qFormat/>
    <w:uiPriority w:val="0"/>
    <w:pPr>
      <w:adjustRightInd/>
      <w:textAlignment w:val="auto"/>
    </w:pPr>
    <w:rPr>
      <w:rFonts w:ascii="Times New Roman" w:hAnsi="Times New Roman" w:eastAsia="宋体" w:cs="Times New Roman"/>
      <w:sz w:val="24"/>
      <w:szCs w:val="24"/>
    </w:rPr>
  </w:style>
  <w:style w:type="paragraph" w:customStyle="1" w:styleId="97">
    <w:name w:val="c"/>
    <w:qFormat/>
    <w:uiPriority w:val="0"/>
    <w:pPr>
      <w:widowControl w:val="0"/>
      <w:autoSpaceDE w:val="0"/>
      <w:autoSpaceDN w:val="0"/>
      <w:adjustRightInd w:val="0"/>
      <w:jc w:val="both"/>
    </w:pPr>
    <w:rPr>
      <w:rFonts w:ascii="Arial" w:hAnsi="Arial" w:eastAsia="宋体" w:cs="黑体"/>
      <w:sz w:val="24"/>
      <w:szCs w:val="24"/>
      <w:lang w:val="en-US" w:eastAsia="zh-CN" w:bidi="ar-SA"/>
    </w:rPr>
  </w:style>
  <w:style w:type="paragraph" w:customStyle="1" w:styleId="98">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9">
    <w:name w:val="首行缩进:  0.85 厘米"/>
    <w:basedOn w:val="1"/>
    <w:qFormat/>
    <w:uiPriority w:val="0"/>
    <w:pPr>
      <w:spacing w:after="100" w:line="360" w:lineRule="auto"/>
      <w:ind w:firstLine="482"/>
    </w:pPr>
    <w:rPr>
      <w:sz w:val="24"/>
    </w:rPr>
  </w:style>
  <w:style w:type="paragraph" w:customStyle="1" w:styleId="100">
    <w:name w:val="普通(网站)4"/>
    <w:basedOn w:val="1"/>
    <w:qFormat/>
    <w:uiPriority w:val="0"/>
    <w:rPr>
      <w:sz w:val="24"/>
    </w:rPr>
  </w:style>
  <w:style w:type="paragraph" w:customStyle="1" w:styleId="101">
    <w:name w:val="Body text|1"/>
    <w:basedOn w:val="1"/>
    <w:qFormat/>
    <w:uiPriority w:val="0"/>
    <w:pPr>
      <w:spacing w:line="290" w:lineRule="auto"/>
      <w:ind w:firstLine="400"/>
    </w:pPr>
    <w:rPr>
      <w:rFonts w:ascii="宋体" w:hAnsi="宋体" w:cs="宋体"/>
      <w:sz w:val="22"/>
      <w:szCs w:val="22"/>
      <w:lang w:val="zh-CN" w:bidi="zh-CN"/>
    </w:rPr>
  </w:style>
  <w:style w:type="paragraph" w:customStyle="1" w:styleId="102">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103">
    <w:name w:val="ParaAttribute5"/>
    <w:qFormat/>
    <w:uiPriority w:val="0"/>
    <w:pPr>
      <w:widowControl w:val="0"/>
      <w:wordWrap w:val="0"/>
      <w:spacing w:line="5040" w:lineRule="exact"/>
    </w:pPr>
    <w:rPr>
      <w:rFonts w:ascii="Times New Roman" w:hAnsi="Times New Roman" w:eastAsia="宋体" w:cs="Times New Roman"/>
      <w:lang w:val="en-US" w:eastAsia="zh-CN" w:bidi="ar-SA"/>
    </w:rPr>
  </w:style>
  <w:style w:type="character" w:customStyle="1" w:styleId="104">
    <w:name w:val="UserStyle_3"/>
    <w:qFormat/>
    <w:uiPriority w:val="0"/>
    <w:rPr>
      <w:rFonts w:ascii="宋体" w:hAnsi="宋体" w:eastAsia="宋体" w:cs="Times New Roman"/>
      <w:b/>
      <w:sz w:val="32"/>
      <w:szCs w:val="32"/>
    </w:rPr>
  </w:style>
  <w:style w:type="character" w:customStyle="1" w:styleId="105">
    <w:name w:val="NormalCharacter"/>
    <w:link w:val="88"/>
    <w:qFormat/>
    <w:uiPriority w:val="0"/>
    <w:rPr>
      <w:rFonts w:ascii="Verdana" w:hAnsi="Verdana" w:eastAsia="仿宋_GB2312"/>
      <w:kern w:val="0"/>
      <w:sz w:val="24"/>
      <w:szCs w:val="20"/>
      <w:lang w:eastAsia="en-US"/>
    </w:rPr>
  </w:style>
  <w:style w:type="character" w:customStyle="1" w:styleId="106">
    <w:name w:val="标题 1 字符"/>
    <w:link w:val="2"/>
    <w:qFormat/>
    <w:uiPriority w:val="0"/>
    <w:rPr>
      <w:rFonts w:ascii="仿宋" w:hAnsi="仿宋" w:eastAsia="仿宋" w:cs="仿宋"/>
      <w:b/>
      <w:bCs/>
      <w:kern w:val="44"/>
      <w:sz w:val="32"/>
      <w:szCs w:val="44"/>
      <w:lang w:val="en-US" w:eastAsia="zh-CN" w:bidi="ar-SA"/>
    </w:rPr>
  </w:style>
  <w:style w:type="character" w:customStyle="1" w:styleId="107">
    <w:name w:val="标题 2 字符"/>
    <w:link w:val="3"/>
    <w:qFormat/>
    <w:uiPriority w:val="0"/>
    <w:rPr>
      <w:rFonts w:ascii="Arial" w:hAnsi="Arial" w:eastAsia="黑体" w:cs="Times New Roman"/>
      <w:b/>
      <w:bCs/>
      <w:sz w:val="32"/>
      <w:szCs w:val="32"/>
    </w:rPr>
  </w:style>
  <w:style w:type="character" w:customStyle="1" w:styleId="108">
    <w:name w:val="font81"/>
    <w:basedOn w:val="38"/>
    <w:qFormat/>
    <w:uiPriority w:val="0"/>
    <w:rPr>
      <w:rFonts w:ascii="黑体" w:hAnsi="宋体" w:eastAsia="黑体" w:cs="黑体"/>
      <w:b/>
      <w:bCs/>
      <w:color w:val="000000"/>
      <w:sz w:val="20"/>
      <w:szCs w:val="20"/>
      <w:u w:val="none"/>
    </w:rPr>
  </w:style>
  <w:style w:type="character" w:customStyle="1" w:styleId="109">
    <w:name w:val="font91"/>
    <w:basedOn w:val="38"/>
    <w:qFormat/>
    <w:uiPriority w:val="0"/>
    <w:rPr>
      <w:rFonts w:ascii="黑体" w:hAnsi="宋体" w:eastAsia="黑体" w:cs="黑体"/>
      <w:color w:val="000000"/>
      <w:sz w:val="10"/>
      <w:szCs w:val="10"/>
      <w:u w:val="none"/>
    </w:rPr>
  </w:style>
  <w:style w:type="character" w:customStyle="1" w:styleId="110">
    <w:name w:val="font101"/>
    <w:basedOn w:val="38"/>
    <w:qFormat/>
    <w:uiPriority w:val="0"/>
    <w:rPr>
      <w:rFonts w:ascii="宋体" w:hAnsi="宋体" w:eastAsia="宋体" w:cs="宋体"/>
      <w:color w:val="000000"/>
      <w:sz w:val="14"/>
      <w:szCs w:val="14"/>
      <w:u w:val="none"/>
    </w:rPr>
  </w:style>
  <w:style w:type="character" w:customStyle="1" w:styleId="111">
    <w:name w:val="font112"/>
    <w:basedOn w:val="38"/>
    <w:qFormat/>
    <w:uiPriority w:val="0"/>
    <w:rPr>
      <w:rFonts w:ascii="宋体" w:hAnsi="宋体" w:eastAsia="宋体" w:cs="宋体"/>
      <w:color w:val="000000"/>
      <w:sz w:val="8"/>
      <w:szCs w:val="8"/>
      <w:u w:val="none"/>
    </w:rPr>
  </w:style>
  <w:style w:type="character" w:customStyle="1" w:styleId="112">
    <w:name w:val="font121"/>
    <w:basedOn w:val="38"/>
    <w:qFormat/>
    <w:uiPriority w:val="0"/>
    <w:rPr>
      <w:rFonts w:ascii="宋体" w:hAnsi="宋体" w:eastAsia="宋体" w:cs="宋体"/>
      <w:color w:val="000000"/>
      <w:sz w:val="8"/>
      <w:szCs w:val="8"/>
      <w:u w:val="single"/>
    </w:rPr>
  </w:style>
  <w:style w:type="character" w:customStyle="1" w:styleId="113">
    <w:name w:val="font131"/>
    <w:basedOn w:val="38"/>
    <w:qFormat/>
    <w:uiPriority w:val="0"/>
    <w:rPr>
      <w:rFonts w:ascii="宋体" w:hAnsi="宋体" w:eastAsia="宋体" w:cs="宋体"/>
      <w:color w:val="000000"/>
      <w:sz w:val="14"/>
      <w:szCs w:val="14"/>
      <w:u w:val="single"/>
    </w:rPr>
  </w:style>
  <w:style w:type="character" w:customStyle="1" w:styleId="114">
    <w:name w:val="font141"/>
    <w:basedOn w:val="38"/>
    <w:qFormat/>
    <w:uiPriority w:val="0"/>
    <w:rPr>
      <w:rFonts w:ascii="宋体" w:hAnsi="宋体" w:eastAsia="宋体" w:cs="宋体"/>
      <w:color w:val="000000"/>
      <w:sz w:val="12"/>
      <w:szCs w:val="12"/>
      <w:u w:val="none"/>
    </w:rPr>
  </w:style>
  <w:style w:type="character" w:customStyle="1" w:styleId="115">
    <w:name w:val="font51"/>
    <w:basedOn w:val="38"/>
    <w:qFormat/>
    <w:uiPriority w:val="0"/>
    <w:rPr>
      <w:rFonts w:ascii="宋体" w:hAnsi="宋体" w:eastAsia="宋体" w:cs="宋体"/>
      <w:color w:val="505060"/>
      <w:sz w:val="12"/>
      <w:szCs w:val="12"/>
      <w:u w:val="none"/>
    </w:rPr>
  </w:style>
  <w:style w:type="character" w:customStyle="1" w:styleId="116">
    <w:name w:val="font61"/>
    <w:basedOn w:val="38"/>
    <w:qFormat/>
    <w:uiPriority w:val="0"/>
    <w:rPr>
      <w:rFonts w:ascii="宋体" w:hAnsi="宋体" w:eastAsia="宋体" w:cs="宋体"/>
      <w:color w:val="605060"/>
      <w:sz w:val="12"/>
      <w:szCs w:val="12"/>
      <w:u w:val="none"/>
    </w:rPr>
  </w:style>
  <w:style w:type="character" w:customStyle="1" w:styleId="117">
    <w:name w:val="font71"/>
    <w:basedOn w:val="38"/>
    <w:qFormat/>
    <w:uiPriority w:val="0"/>
    <w:rPr>
      <w:rFonts w:ascii="宋体" w:hAnsi="宋体" w:eastAsia="宋体" w:cs="宋体"/>
      <w:color w:val="505050"/>
      <w:sz w:val="12"/>
      <w:szCs w:val="12"/>
      <w:u w:val="none"/>
    </w:rPr>
  </w:style>
  <w:style w:type="table" w:customStyle="1" w:styleId="118">
    <w:name w:val="Table Normal"/>
    <w:unhideWhenUsed/>
    <w:qFormat/>
    <w:uiPriority w:val="0"/>
    <w:tblPr>
      <w:tblCellMar>
        <w:top w:w="0" w:type="dxa"/>
        <w:left w:w="0" w:type="dxa"/>
        <w:bottom w:w="0" w:type="dxa"/>
        <w:right w:w="0" w:type="dxa"/>
      </w:tblCellMar>
    </w:tblPr>
  </w:style>
  <w:style w:type="paragraph" w:customStyle="1" w:styleId="119">
    <w:name w:val="首行缩进"/>
    <w:basedOn w:val="1"/>
    <w:qFormat/>
    <w:uiPriority w:val="0"/>
    <w:pPr>
      <w:ind w:firstLine="480" w:firstLineChars="200"/>
    </w:pPr>
    <w:rPr>
      <w:lang w:val="zh-CN"/>
    </w:rPr>
  </w:style>
  <w:style w:type="paragraph" w:styleId="120">
    <w:name w:val="List Paragraph"/>
    <w:basedOn w:val="1"/>
    <w:qFormat/>
    <w:uiPriority w:val="34"/>
    <w:pPr>
      <w:ind w:firstLine="420"/>
    </w:pPr>
  </w:style>
  <w:style w:type="paragraph" w:customStyle="1" w:styleId="121">
    <w:name w:val="稻壳合同样式 1级"/>
    <w:basedOn w:val="1"/>
    <w:qFormat/>
    <w:uiPriority w:val="0"/>
    <w:pPr>
      <w:spacing w:before="100" w:line="400" w:lineRule="exact"/>
      <w:ind w:left="85" w:hanging="85"/>
      <w:outlineLvl w:val="0"/>
    </w:pPr>
    <w:rPr>
      <w:rFonts w:hint="eastAsia" w:ascii="宋体" w:hAnsi="宋体" w:eastAsia="宋体" w:cs="宋体"/>
      <w:b/>
      <w:color w:val="000000"/>
      <w:sz w:val="26"/>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14476</Words>
  <Characters>15643</Characters>
  <Lines>1501</Lines>
  <Paragraphs>1282</Paragraphs>
  <TotalTime>264</TotalTime>
  <ScaleCrop>false</ScaleCrop>
  <LinksUpToDate>false</LinksUpToDate>
  <CharactersWithSpaces>16601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2025-02-25T01:28:00Z</dcterms:created>
  <dc:creator>user</dc:creator>
  <cp:lastModifiedBy>SPF-ei</cp:lastModifiedBy>
  <dcterms:modified xsi:type="dcterms:W3CDTF">2026-05-22T08:10:14Z</dcterms:modified>
  <dc:title>乌鲁木齐市市政工程建设处2015年度建设项目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2025-03-09T17:05:00Z</vt:filetime>
  </property>
  <property fmtid="{D5CDD505-2E9C-101B-9397-08002B2CF9AE}" pid="4" name="KSOTemplateDocerSaveRecord">
    <vt:lpwstr>eyJoZGlkIjoiYzZkNzQ4ZWFiZmQ4NTRhOWRkZTk3YTMwMjlmMmZhYmUiLCJ1c2VySWQiOiI1Mzc2NTA0MTIifQ==</vt:lpwstr>
  </property>
  <property fmtid="{D5CDD505-2E9C-101B-9397-08002B2CF9AE}" pid="5" name="KSOProductBuildVer">
    <vt:lpwstr>2052-12.1.0.26375</vt:lpwstr>
  </property>
  <property fmtid="{D5CDD505-2E9C-101B-9397-08002B2CF9AE}" pid="6" name="ICV">
    <vt:lpwstr>8C7701472F4E446CAA9F6ACFF5B5B0C8_13</vt:lpwstr>
  </property>
</Properties>
</file>