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69545">
      <w:pPr>
        <w:jc w:val="center"/>
        <w:rPr>
          <w:rFonts w:hint="eastAsia" w:ascii="宋体" w:hAnsi="宋体" w:eastAsia="宋体" w:cs="宋体"/>
          <w:b/>
          <w:bCs/>
          <w:sz w:val="52"/>
          <w:szCs w:val="52"/>
          <w:highlight w:val="none"/>
        </w:rPr>
      </w:pPr>
    </w:p>
    <w:p w14:paraId="42261E1C">
      <w:pPr>
        <w:jc w:val="center"/>
        <w:rPr>
          <w:rFonts w:hint="eastAsia" w:ascii="宋体" w:hAnsi="宋体" w:eastAsia="宋体" w:cs="宋体"/>
          <w:b/>
          <w:bCs/>
          <w:sz w:val="52"/>
          <w:szCs w:val="52"/>
          <w:highlight w:val="none"/>
          <w:lang w:eastAsia="zh-CN"/>
        </w:rPr>
      </w:pPr>
      <w:r>
        <w:rPr>
          <w:rFonts w:hint="eastAsia" w:ascii="宋体" w:hAnsi="宋体" w:eastAsia="宋体" w:cs="宋体"/>
          <w:b/>
          <w:bCs/>
          <w:sz w:val="56"/>
          <w:szCs w:val="56"/>
          <w:highlight w:val="none"/>
          <w:lang w:eastAsia="zh-CN"/>
        </w:rPr>
        <w:t>保山市隆阳区瓦房乡中心学校校园安全安保服务</w:t>
      </w:r>
    </w:p>
    <w:p w14:paraId="2F6407AC">
      <w:pPr>
        <w:rPr>
          <w:rFonts w:hint="eastAsia" w:ascii="宋体" w:hAnsi="宋体" w:eastAsia="宋体" w:cs="宋体"/>
          <w:highlight w:val="none"/>
        </w:rPr>
      </w:pPr>
    </w:p>
    <w:p w14:paraId="31EE5EDA">
      <w:pPr>
        <w:rPr>
          <w:rFonts w:hint="eastAsia" w:ascii="宋体" w:hAnsi="宋体" w:eastAsia="宋体" w:cs="宋体"/>
          <w:highlight w:val="none"/>
        </w:rPr>
      </w:pPr>
    </w:p>
    <w:p w14:paraId="555D77AE">
      <w:pPr>
        <w:rPr>
          <w:rFonts w:hint="eastAsia" w:ascii="宋体" w:hAnsi="宋体" w:eastAsia="宋体" w:cs="宋体"/>
          <w:highlight w:val="none"/>
          <w:lang w:val="en-US" w:eastAsia="zh-CN"/>
        </w:rPr>
      </w:pPr>
    </w:p>
    <w:p w14:paraId="3D00A057">
      <w:pPr>
        <w:rPr>
          <w:rFonts w:hint="eastAsia" w:ascii="宋体" w:hAnsi="宋体" w:eastAsia="宋体" w:cs="宋体"/>
          <w:highlight w:val="none"/>
          <w:lang w:val="en-US" w:eastAsia="zh-CN"/>
        </w:rPr>
      </w:pPr>
    </w:p>
    <w:p w14:paraId="07A220E4">
      <w:pPr>
        <w:rPr>
          <w:rFonts w:hint="eastAsia" w:ascii="宋体" w:hAnsi="宋体" w:eastAsia="宋体" w:cs="宋体"/>
          <w:highlight w:val="none"/>
          <w:lang w:val="en-US" w:eastAsia="zh-CN"/>
        </w:rPr>
      </w:pPr>
    </w:p>
    <w:p w14:paraId="67E0F1B5">
      <w:pPr>
        <w:rPr>
          <w:rFonts w:hint="eastAsia" w:ascii="宋体" w:hAnsi="宋体" w:eastAsia="宋体" w:cs="宋体"/>
          <w:highlight w:val="none"/>
          <w:lang w:val="en-US" w:eastAsia="zh-CN"/>
        </w:rPr>
      </w:pPr>
    </w:p>
    <w:p w14:paraId="34973AAB">
      <w:pPr>
        <w:jc w:val="center"/>
        <w:rPr>
          <w:rFonts w:hint="eastAsia" w:ascii="宋体" w:hAnsi="宋体" w:eastAsia="宋体" w:cs="宋体"/>
          <w:sz w:val="52"/>
          <w:szCs w:val="52"/>
          <w:highlight w:val="none"/>
          <w:lang w:val="en-US" w:eastAsia="zh-CN"/>
        </w:rPr>
      </w:pPr>
    </w:p>
    <w:p w14:paraId="4A63C165">
      <w:pPr>
        <w:jc w:val="center"/>
        <w:rPr>
          <w:rFonts w:hint="eastAsia" w:ascii="宋体" w:hAnsi="宋体" w:eastAsia="宋体" w:cs="宋体"/>
          <w:sz w:val="52"/>
          <w:szCs w:val="52"/>
          <w:highlight w:val="none"/>
          <w:lang w:val="en-US" w:eastAsia="zh-CN"/>
        </w:rPr>
      </w:pPr>
    </w:p>
    <w:p w14:paraId="25245BF2">
      <w:pPr>
        <w:jc w:val="center"/>
        <w:rPr>
          <w:rFonts w:hint="eastAsia" w:ascii="宋体" w:hAnsi="宋体" w:eastAsia="宋体" w:cs="宋体"/>
          <w:b/>
          <w:bCs/>
          <w:sz w:val="96"/>
          <w:szCs w:val="96"/>
          <w:highlight w:val="none"/>
          <w:lang w:val="en-US" w:eastAsia="zh-CN"/>
        </w:rPr>
      </w:pPr>
      <w:r>
        <w:rPr>
          <w:rFonts w:hint="eastAsia" w:ascii="宋体" w:hAnsi="宋体" w:eastAsia="宋体" w:cs="宋体"/>
          <w:b/>
          <w:bCs/>
          <w:sz w:val="96"/>
          <w:szCs w:val="96"/>
          <w:highlight w:val="none"/>
          <w:lang w:val="en-US" w:eastAsia="zh-CN"/>
        </w:rPr>
        <w:t>竞争性磋商文件</w:t>
      </w:r>
    </w:p>
    <w:p w14:paraId="5C2BE667">
      <w:pPr>
        <w:rPr>
          <w:rFonts w:hint="eastAsia" w:ascii="宋体" w:hAnsi="宋体" w:eastAsia="宋体" w:cs="宋体"/>
          <w:highlight w:val="none"/>
          <w:lang w:val="en-US" w:eastAsia="zh-CN"/>
        </w:rPr>
      </w:pPr>
    </w:p>
    <w:p w14:paraId="19F32943">
      <w:pPr>
        <w:rPr>
          <w:rFonts w:hint="eastAsia" w:ascii="宋体" w:hAnsi="宋体" w:eastAsia="宋体" w:cs="宋体"/>
          <w:sz w:val="28"/>
          <w:szCs w:val="28"/>
          <w:highlight w:val="none"/>
          <w:lang w:val="en-US" w:eastAsia="zh-CN"/>
        </w:rPr>
      </w:pPr>
    </w:p>
    <w:p w14:paraId="314C76C7">
      <w:pPr>
        <w:ind w:left="0" w:leftChars="0" w:firstLine="1680" w:firstLineChars="6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项目编号:YNRTZB-2026-006</w:t>
      </w:r>
    </w:p>
    <w:p w14:paraId="4CE1AD37">
      <w:pPr>
        <w:ind w:left="0" w:leftChars="0" w:firstLine="1680" w:firstLineChars="6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政采云项目编号：BSZC2026-C3-00414-YNRT-0001</w:t>
      </w:r>
    </w:p>
    <w:p w14:paraId="5B3F435C">
      <w:pPr>
        <w:rPr>
          <w:rFonts w:hint="eastAsia" w:ascii="宋体" w:hAnsi="宋体" w:eastAsia="宋体" w:cs="宋体"/>
          <w:sz w:val="28"/>
          <w:szCs w:val="28"/>
          <w:highlight w:val="none"/>
          <w:lang w:val="en-US" w:eastAsia="zh-CN"/>
        </w:rPr>
      </w:pPr>
    </w:p>
    <w:p w14:paraId="7F1DB46A">
      <w:pPr>
        <w:rPr>
          <w:rFonts w:hint="eastAsia" w:ascii="宋体" w:hAnsi="宋体" w:eastAsia="宋体" w:cs="宋体"/>
          <w:sz w:val="28"/>
          <w:szCs w:val="28"/>
          <w:highlight w:val="none"/>
          <w:lang w:val="en-US" w:eastAsia="zh-CN"/>
        </w:rPr>
      </w:pPr>
    </w:p>
    <w:p w14:paraId="5B4C6065">
      <w:pPr>
        <w:pStyle w:val="2"/>
        <w:rPr>
          <w:rFonts w:hint="eastAsia"/>
          <w:lang w:val="en-US" w:eastAsia="zh-CN"/>
        </w:rPr>
      </w:pPr>
    </w:p>
    <w:p w14:paraId="3EFCB48E">
      <w:pPr>
        <w:rPr>
          <w:rFonts w:hint="eastAsia" w:ascii="宋体" w:hAnsi="宋体" w:eastAsia="宋体" w:cs="宋体"/>
          <w:sz w:val="28"/>
          <w:szCs w:val="28"/>
          <w:highlight w:val="none"/>
          <w:lang w:val="en-US" w:eastAsia="zh-CN"/>
        </w:rPr>
      </w:pPr>
    </w:p>
    <w:p w14:paraId="50006E7B">
      <w:pPr>
        <w:ind w:left="0" w:leftChars="0" w:firstLine="1680" w:firstLineChars="6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采购人：保山市隆阳区瓦房乡中心学校</w:t>
      </w:r>
    </w:p>
    <w:p w14:paraId="6013E31A">
      <w:pPr>
        <w:ind w:left="0" w:leftChars="0" w:firstLine="1680" w:firstLineChars="6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采购代理机构：云南润腾招标咨询有限公司</w:t>
      </w:r>
    </w:p>
    <w:p w14:paraId="7A08B9AC">
      <w:pPr>
        <w:ind w:left="0" w:leftChars="0" w:firstLine="1680" w:firstLineChars="600"/>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2026年5月</w:t>
      </w:r>
    </w:p>
    <w:p w14:paraId="6CE239BC">
      <w:pPr>
        <w:rPr>
          <w:highlight w:val="none"/>
        </w:rPr>
      </w:pPr>
      <w:r>
        <w:rPr>
          <w:highlight w:val="none"/>
        </w:rPr>
        <w:br w:type="page"/>
      </w:r>
    </w:p>
    <w:p w14:paraId="0D84817D">
      <w:pPr>
        <w:jc w:val="center"/>
        <w:rPr>
          <w:b/>
          <w:color w:val="auto"/>
          <w:sz w:val="36"/>
          <w:highlight w:val="none"/>
        </w:rPr>
      </w:pPr>
      <w:r>
        <w:rPr>
          <w:rFonts w:hint="eastAsia"/>
          <w:b/>
          <w:color w:val="auto"/>
          <w:sz w:val="36"/>
          <w:highlight w:val="none"/>
        </w:rPr>
        <w:t>注</w:t>
      </w:r>
      <w:r>
        <w:rPr>
          <w:b/>
          <w:color w:val="auto"/>
          <w:sz w:val="36"/>
          <w:highlight w:val="none"/>
        </w:rPr>
        <w:t xml:space="preserve">   </w:t>
      </w:r>
      <w:r>
        <w:rPr>
          <w:rFonts w:hint="eastAsia"/>
          <w:b/>
          <w:color w:val="auto"/>
          <w:sz w:val="36"/>
          <w:highlight w:val="none"/>
        </w:rPr>
        <w:t>意</w:t>
      </w:r>
      <w:r>
        <w:rPr>
          <w:b/>
          <w:color w:val="auto"/>
          <w:sz w:val="36"/>
          <w:highlight w:val="none"/>
        </w:rPr>
        <w:t xml:space="preserve">   </w:t>
      </w:r>
      <w:r>
        <w:rPr>
          <w:rFonts w:hint="eastAsia"/>
          <w:b/>
          <w:color w:val="auto"/>
          <w:sz w:val="36"/>
          <w:highlight w:val="none"/>
        </w:rPr>
        <w:t>事</w:t>
      </w:r>
      <w:r>
        <w:rPr>
          <w:b/>
          <w:color w:val="auto"/>
          <w:sz w:val="36"/>
          <w:highlight w:val="none"/>
        </w:rPr>
        <w:t xml:space="preserve">   </w:t>
      </w:r>
      <w:r>
        <w:rPr>
          <w:rFonts w:hint="eastAsia"/>
          <w:b/>
          <w:color w:val="auto"/>
          <w:sz w:val="36"/>
          <w:highlight w:val="none"/>
        </w:rPr>
        <w:t>项</w:t>
      </w:r>
    </w:p>
    <w:p w14:paraId="7F65ECE1">
      <w:pPr>
        <w:autoSpaceDE w:val="0"/>
        <w:autoSpaceDN w:val="0"/>
        <w:adjustRightInd w:val="0"/>
        <w:snapToGrid w:val="0"/>
        <w:spacing w:line="360" w:lineRule="auto"/>
        <w:ind w:firstLine="420" w:firstLineChars="200"/>
        <w:jc w:val="left"/>
        <w:rPr>
          <w:rFonts w:ascii="宋体" w:hAnsi="宋体" w:cs="宋体"/>
          <w:color w:val="auto"/>
          <w:kern w:val="0"/>
          <w:sz w:val="21"/>
          <w:szCs w:val="21"/>
          <w:highlight w:val="none"/>
        </w:rPr>
      </w:pPr>
    </w:p>
    <w:p w14:paraId="3339612B">
      <w:pPr>
        <w:autoSpaceDE w:val="0"/>
        <w:autoSpaceDN w:val="0"/>
        <w:adjustRightInd w:val="0"/>
        <w:snapToGrid w:val="0"/>
        <w:spacing w:line="360" w:lineRule="auto"/>
        <w:ind w:firstLine="420" w:firstLineChars="200"/>
        <w:jc w:val="left"/>
        <w:rPr>
          <w:rFonts w:ascii="宋体" w:hAnsi="宋体" w:cs="宋体"/>
          <w:color w:val="auto"/>
          <w:kern w:val="0"/>
          <w:sz w:val="21"/>
          <w:szCs w:val="21"/>
          <w:highlight w:val="none"/>
        </w:rPr>
      </w:pPr>
    </w:p>
    <w:p w14:paraId="594C5431">
      <w:pPr>
        <w:autoSpaceDE w:val="0"/>
        <w:autoSpaceDN w:val="0"/>
        <w:adjustRightInd w:val="0"/>
        <w:snapToGrid w:val="0"/>
        <w:spacing w:line="360" w:lineRule="auto"/>
        <w:ind w:firstLine="420" w:firstLineChars="200"/>
        <w:jc w:val="left"/>
        <w:rPr>
          <w:rFonts w:ascii="宋体" w:hAnsi="宋体" w:cs="宋体"/>
          <w:color w:val="auto"/>
          <w:kern w:val="0"/>
          <w:sz w:val="21"/>
          <w:szCs w:val="21"/>
          <w:highlight w:val="none"/>
        </w:rPr>
      </w:pPr>
      <w:r>
        <w:rPr>
          <w:rFonts w:ascii="宋体" w:hAnsi="宋体" w:cs="宋体"/>
          <w:color w:val="auto"/>
          <w:kern w:val="0"/>
          <w:sz w:val="21"/>
          <w:szCs w:val="21"/>
          <w:highlight w:val="none"/>
        </w:rPr>
        <w:t>1</w:t>
      </w:r>
      <w:r>
        <w:rPr>
          <w:rFonts w:hint="eastAsia" w:ascii="宋体" w:hAnsi="宋体" w:cs="宋体"/>
          <w:color w:val="auto"/>
          <w:kern w:val="0"/>
          <w:sz w:val="21"/>
          <w:szCs w:val="21"/>
          <w:highlight w:val="none"/>
        </w:rPr>
        <w:t>、电子响应文件的制作应使用“政采云投标客户端”，供应商下载“政采云投标客户端”，通过“政采云投标客户端”编制并生成加密的响应文件。</w:t>
      </w:r>
    </w:p>
    <w:p w14:paraId="05B7E6CA">
      <w:pPr>
        <w:autoSpaceDE w:val="0"/>
        <w:autoSpaceDN w:val="0"/>
        <w:adjustRightInd w:val="0"/>
        <w:snapToGrid w:val="0"/>
        <w:spacing w:line="360" w:lineRule="auto"/>
        <w:ind w:firstLine="420" w:firstLineChars="200"/>
        <w:jc w:val="left"/>
        <w:rPr>
          <w:rFonts w:ascii="宋体" w:hAnsi="宋体" w:cs="宋体"/>
          <w:color w:val="auto"/>
          <w:kern w:val="0"/>
          <w:sz w:val="21"/>
          <w:szCs w:val="21"/>
          <w:highlight w:val="none"/>
        </w:rPr>
      </w:pP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、“政采云投标客户端”提供数字证书（</w:t>
      </w:r>
      <w:r>
        <w:rPr>
          <w:rFonts w:ascii="宋体" w:hAnsi="宋体" w:cs="宋体"/>
          <w:color w:val="auto"/>
          <w:kern w:val="0"/>
          <w:sz w:val="21"/>
          <w:szCs w:val="21"/>
          <w:highlight w:val="none"/>
        </w:rPr>
        <w:t>CA</w:t>
      </w:r>
      <w:r>
        <w:rPr>
          <w:rFonts w:hint="eastAsia" w:ascii="宋体" w:hAnsi="宋体" w:cs="宋体"/>
          <w:color w:val="auto"/>
          <w:kern w:val="0"/>
          <w:sz w:val="21"/>
          <w:szCs w:val="21"/>
          <w:highlight w:val="none"/>
        </w:rPr>
        <w:t>）对响应文件进行加密功能。供应商对网上递交的响应文件应加密。如果供应商使用某个数字证书（</w:t>
      </w:r>
      <w:r>
        <w:rPr>
          <w:rFonts w:ascii="宋体" w:hAnsi="宋体" w:cs="宋体"/>
          <w:color w:val="auto"/>
          <w:kern w:val="0"/>
          <w:sz w:val="21"/>
          <w:szCs w:val="21"/>
          <w:highlight w:val="none"/>
        </w:rPr>
        <w:t>CA</w:t>
      </w:r>
      <w:r>
        <w:rPr>
          <w:rFonts w:hint="eastAsia" w:ascii="宋体" w:hAnsi="宋体" w:cs="宋体"/>
          <w:color w:val="auto"/>
          <w:kern w:val="0"/>
          <w:sz w:val="21"/>
          <w:szCs w:val="21"/>
          <w:highlight w:val="none"/>
        </w:rPr>
        <w:t>）对响应文件进行了数字证书（</w:t>
      </w:r>
      <w:r>
        <w:rPr>
          <w:rFonts w:ascii="宋体" w:hAnsi="宋体" w:cs="宋体"/>
          <w:color w:val="auto"/>
          <w:kern w:val="0"/>
          <w:sz w:val="21"/>
          <w:szCs w:val="21"/>
          <w:highlight w:val="none"/>
        </w:rPr>
        <w:t>CA</w:t>
      </w:r>
      <w:r>
        <w:rPr>
          <w:rFonts w:hint="eastAsia" w:ascii="宋体" w:hAnsi="宋体" w:cs="宋体"/>
          <w:color w:val="auto"/>
          <w:kern w:val="0"/>
          <w:sz w:val="21"/>
          <w:szCs w:val="21"/>
          <w:highlight w:val="none"/>
        </w:rPr>
        <w:t>）加密，需要在开标时使用该数字证书（</w:t>
      </w:r>
      <w:r>
        <w:rPr>
          <w:rFonts w:ascii="宋体" w:hAnsi="宋体" w:cs="宋体"/>
          <w:color w:val="auto"/>
          <w:kern w:val="0"/>
          <w:sz w:val="21"/>
          <w:szCs w:val="21"/>
          <w:highlight w:val="none"/>
        </w:rPr>
        <w:t>CA</w:t>
      </w:r>
      <w:r>
        <w:rPr>
          <w:rFonts w:hint="eastAsia" w:ascii="宋体" w:hAnsi="宋体" w:cs="宋体"/>
          <w:color w:val="auto"/>
          <w:kern w:val="0"/>
          <w:sz w:val="21"/>
          <w:szCs w:val="21"/>
          <w:highlight w:val="none"/>
        </w:rPr>
        <w:t>）进行解密，才能读取或导入响应文件，因供应商原因造成响应文件未解密的，视为撤回其响应文件。</w:t>
      </w:r>
    </w:p>
    <w:p w14:paraId="6E74A9A1">
      <w:pPr>
        <w:autoSpaceDE w:val="0"/>
        <w:autoSpaceDN w:val="0"/>
        <w:adjustRightInd w:val="0"/>
        <w:snapToGrid w:val="0"/>
        <w:spacing w:line="360" w:lineRule="auto"/>
        <w:ind w:firstLine="420" w:firstLineChars="200"/>
        <w:jc w:val="left"/>
        <w:rPr>
          <w:rFonts w:ascii="宋体" w:hAnsi="宋体" w:cs="宋体"/>
          <w:color w:val="auto"/>
          <w:kern w:val="0"/>
          <w:sz w:val="21"/>
          <w:szCs w:val="21"/>
          <w:highlight w:val="none"/>
        </w:rPr>
      </w:pPr>
      <w:r>
        <w:rPr>
          <w:rFonts w:ascii="宋体" w:hAnsi="宋体" w:cs="宋体"/>
          <w:color w:val="auto"/>
          <w:kern w:val="0"/>
          <w:sz w:val="21"/>
          <w:szCs w:val="21"/>
          <w:highlight w:val="none"/>
        </w:rPr>
        <w:t>3</w:t>
      </w:r>
      <w:r>
        <w:rPr>
          <w:rFonts w:hint="eastAsia" w:ascii="宋体" w:hAnsi="宋体" w:cs="宋体"/>
          <w:color w:val="auto"/>
          <w:kern w:val="0"/>
          <w:sz w:val="21"/>
          <w:szCs w:val="21"/>
          <w:highlight w:val="none"/>
        </w:rPr>
        <w:t>、网上递交响应文件应根据采购文件要求，在响应文件开启时间前将电子响应文件通过政采云电子交易系统（网址：</w:t>
      </w:r>
      <w:r>
        <w:rPr>
          <w:rFonts w:ascii="宋体" w:hAnsi="宋体" w:cs="ArialMT"/>
          <w:color w:val="auto"/>
          <w:kern w:val="0"/>
          <w:sz w:val="21"/>
          <w:szCs w:val="21"/>
          <w:highlight w:val="none"/>
        </w:rPr>
        <w:t>https://www.zcygov.com</w:t>
      </w:r>
      <w:r>
        <w:rPr>
          <w:rFonts w:hint="eastAsia" w:ascii="宋体" w:hAnsi="宋体" w:cs="宋体"/>
          <w:color w:val="auto"/>
          <w:kern w:val="0"/>
          <w:sz w:val="21"/>
          <w:szCs w:val="21"/>
          <w:highlight w:val="none"/>
        </w:rPr>
        <w:t>）上传至对应的项目，系统自动生成投标回执，以表明上传成功。</w:t>
      </w:r>
    </w:p>
    <w:p w14:paraId="282E666E">
      <w:pPr>
        <w:widowControl/>
        <w:spacing w:line="360" w:lineRule="auto"/>
        <w:ind w:firstLine="420" w:firstLineChars="200"/>
        <w:jc w:val="left"/>
        <w:rPr>
          <w:rFonts w:ascii="宋体" w:hAnsi="宋体" w:eastAsia="宋体" w:cs="宋体"/>
          <w:sz w:val="36"/>
          <w:szCs w:val="36"/>
          <w:highlight w:val="none"/>
        </w:rPr>
      </w:pPr>
      <w:r>
        <w:rPr>
          <w:rFonts w:ascii="宋体" w:hAnsi="宋体" w:cs="宋体"/>
          <w:color w:val="auto"/>
          <w:kern w:val="0"/>
          <w:sz w:val="21"/>
          <w:szCs w:val="21"/>
          <w:highlight w:val="none"/>
        </w:rPr>
        <w:t>4</w:t>
      </w:r>
      <w:r>
        <w:rPr>
          <w:rFonts w:hint="eastAsia" w:ascii="宋体" w:hAnsi="宋体" w:cs="宋体"/>
          <w:color w:val="auto"/>
          <w:kern w:val="0"/>
          <w:sz w:val="21"/>
          <w:szCs w:val="21"/>
          <w:highlight w:val="none"/>
        </w:rPr>
        <w:t>、该响应文件制作要求如果与采购文件规定不一致，以此响应文件制作要求为准。“政采云投标客户端”及 CA 驱动下载网址：https://customer.zcygov.cn/CA-driver-download?utm=web-login-front.509b3709.0.0.e255f790230811efbf73dbb54403f078</w:t>
      </w:r>
      <w:r>
        <w:rPr>
          <w:rFonts w:hint="eastAsia" w:ascii="宋体" w:hAnsi="宋体" w:cs="宋体"/>
          <w:color w:val="auto"/>
          <w:kern w:val="0"/>
          <w:sz w:val="21"/>
          <w:szCs w:val="21"/>
          <w:highlight w:val="none"/>
          <w:lang w:val="en-US" w:eastAsia="zh-CN"/>
        </w:rPr>
        <w:t>。</w:t>
      </w:r>
      <w:r>
        <w:rPr>
          <w:rFonts w:hint="eastAsia" w:ascii="宋体" w:hAnsi="宋体" w:eastAsia="宋体" w:cs="宋体"/>
          <w:highlight w:val="none"/>
        </w:rPr>
        <w:br w:type="page"/>
      </w:r>
    </w:p>
    <w:p w14:paraId="50579423">
      <w:pPr>
        <w:jc w:val="center"/>
        <w:rPr>
          <w:rFonts w:ascii="宋体" w:hAnsi="宋体" w:eastAsia="宋体" w:cs="宋体"/>
          <w:b/>
          <w:sz w:val="36"/>
          <w:szCs w:val="36"/>
          <w:highlight w:val="none"/>
        </w:rPr>
      </w:pPr>
      <w:r>
        <w:rPr>
          <w:rFonts w:hint="eastAsia" w:ascii="宋体" w:hAnsi="宋体" w:eastAsia="宋体" w:cs="宋体"/>
          <w:b/>
          <w:sz w:val="36"/>
          <w:szCs w:val="36"/>
          <w:highlight w:val="none"/>
        </w:rPr>
        <w:t>目  录</w:t>
      </w:r>
    </w:p>
    <w:p w14:paraId="5BE0C077">
      <w:pPr>
        <w:tabs>
          <w:tab w:val="left" w:pos="7869"/>
        </w:tabs>
        <w:rPr>
          <w:rFonts w:ascii="宋体" w:hAnsi="宋体" w:eastAsia="宋体" w:cs="宋体"/>
          <w:highlight w:val="none"/>
        </w:rPr>
      </w:pPr>
      <w:r>
        <w:rPr>
          <w:rFonts w:hint="eastAsia" w:ascii="宋体" w:hAnsi="宋体" w:eastAsia="宋体" w:cs="宋体"/>
          <w:highlight w:val="none"/>
        </w:rPr>
        <w:tab/>
      </w:r>
    </w:p>
    <w:p w14:paraId="76D70AF4">
      <w:pPr>
        <w:pStyle w:val="21"/>
        <w:tabs>
          <w:tab w:val="right" w:leader="dot" w:pos="10070"/>
        </w:tabs>
        <w:spacing w:line="600" w:lineRule="exact"/>
        <w:rPr>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TOC  \* MERGEFORMAT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TOC  \* MERGEFORMAT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竞争性磋商公告</w:t>
      </w:r>
      <w:r>
        <w:rPr>
          <w:sz w:val="24"/>
          <w:szCs w:val="24"/>
          <w:highlight w:val="none"/>
        </w:rPr>
        <w:tab/>
      </w:r>
      <w:r>
        <w:rPr>
          <w:sz w:val="24"/>
          <w:szCs w:val="24"/>
          <w:highlight w:val="none"/>
        </w:rPr>
        <w:fldChar w:fldCharType="begin"/>
      </w:r>
      <w:r>
        <w:rPr>
          <w:sz w:val="24"/>
          <w:szCs w:val="24"/>
          <w:highlight w:val="none"/>
        </w:rPr>
        <w:instrText xml:space="preserve"> PAGEREF _Toc119421965 \h </w:instrText>
      </w:r>
      <w:r>
        <w:rPr>
          <w:sz w:val="24"/>
          <w:szCs w:val="24"/>
          <w:highlight w:val="none"/>
        </w:rPr>
        <w:fldChar w:fldCharType="separate"/>
      </w:r>
      <w:r>
        <w:rPr>
          <w:sz w:val="24"/>
          <w:szCs w:val="24"/>
          <w:highlight w:val="none"/>
        </w:rPr>
        <w:t>3</w:t>
      </w:r>
      <w:r>
        <w:rPr>
          <w:sz w:val="24"/>
          <w:szCs w:val="24"/>
          <w:highlight w:val="none"/>
        </w:rPr>
        <w:fldChar w:fldCharType="end"/>
      </w:r>
    </w:p>
    <w:p w14:paraId="7480E2AB">
      <w:pPr>
        <w:pStyle w:val="21"/>
        <w:tabs>
          <w:tab w:val="right" w:leader="dot" w:pos="10070"/>
        </w:tabs>
        <w:spacing w:line="600" w:lineRule="exact"/>
        <w:rPr>
          <w:sz w:val="24"/>
          <w:szCs w:val="24"/>
          <w:highlight w:val="none"/>
        </w:rPr>
      </w:pPr>
      <w:r>
        <w:rPr>
          <w:rFonts w:hint="eastAsia" w:ascii="宋体" w:hAnsi="宋体" w:eastAsia="宋体" w:cs="宋体"/>
          <w:sz w:val="24"/>
          <w:szCs w:val="24"/>
          <w:highlight w:val="none"/>
        </w:rPr>
        <w:t>第二章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磋商申请人须知</w:t>
      </w:r>
      <w:r>
        <w:rPr>
          <w:sz w:val="24"/>
          <w:szCs w:val="24"/>
          <w:highlight w:val="none"/>
        </w:rPr>
        <w:tab/>
      </w:r>
      <w:r>
        <w:rPr>
          <w:sz w:val="24"/>
          <w:szCs w:val="24"/>
          <w:highlight w:val="none"/>
        </w:rPr>
        <w:fldChar w:fldCharType="begin"/>
      </w:r>
      <w:r>
        <w:rPr>
          <w:sz w:val="24"/>
          <w:szCs w:val="24"/>
          <w:highlight w:val="none"/>
        </w:rPr>
        <w:instrText xml:space="preserve"> PAGEREF _Toc119421966 \h </w:instrText>
      </w:r>
      <w:r>
        <w:rPr>
          <w:sz w:val="24"/>
          <w:szCs w:val="24"/>
          <w:highlight w:val="none"/>
        </w:rPr>
        <w:fldChar w:fldCharType="separate"/>
      </w:r>
      <w:r>
        <w:rPr>
          <w:sz w:val="24"/>
          <w:szCs w:val="24"/>
          <w:highlight w:val="none"/>
        </w:rPr>
        <w:t>8</w:t>
      </w:r>
      <w:r>
        <w:rPr>
          <w:sz w:val="24"/>
          <w:szCs w:val="24"/>
          <w:highlight w:val="none"/>
        </w:rPr>
        <w:fldChar w:fldCharType="end"/>
      </w:r>
    </w:p>
    <w:p w14:paraId="75E4F6F0">
      <w:pPr>
        <w:pStyle w:val="23"/>
        <w:tabs>
          <w:tab w:val="right" w:leader="dot" w:pos="10070"/>
        </w:tabs>
        <w:spacing w:line="600" w:lineRule="exact"/>
        <w:rPr>
          <w:sz w:val="24"/>
          <w:szCs w:val="24"/>
          <w:highlight w:val="none"/>
        </w:rPr>
      </w:pPr>
      <w:r>
        <w:rPr>
          <w:rFonts w:hint="eastAsia" w:ascii="宋体" w:hAnsi="宋体" w:eastAsia="宋体" w:cs="宋体"/>
          <w:sz w:val="24"/>
          <w:szCs w:val="24"/>
          <w:highlight w:val="none"/>
        </w:rPr>
        <w:t>磋商申请人须知前附表</w:t>
      </w:r>
      <w:r>
        <w:rPr>
          <w:sz w:val="24"/>
          <w:szCs w:val="24"/>
          <w:highlight w:val="none"/>
        </w:rPr>
        <w:tab/>
      </w:r>
      <w:r>
        <w:rPr>
          <w:sz w:val="24"/>
          <w:szCs w:val="24"/>
          <w:highlight w:val="none"/>
        </w:rPr>
        <w:fldChar w:fldCharType="begin"/>
      </w:r>
      <w:r>
        <w:rPr>
          <w:sz w:val="24"/>
          <w:szCs w:val="24"/>
          <w:highlight w:val="none"/>
        </w:rPr>
        <w:instrText xml:space="preserve"> PAGEREF _Toc119421967 \h </w:instrText>
      </w:r>
      <w:r>
        <w:rPr>
          <w:sz w:val="24"/>
          <w:szCs w:val="24"/>
          <w:highlight w:val="none"/>
        </w:rPr>
        <w:fldChar w:fldCharType="separate"/>
      </w:r>
      <w:r>
        <w:rPr>
          <w:sz w:val="24"/>
          <w:szCs w:val="24"/>
          <w:highlight w:val="none"/>
        </w:rPr>
        <w:t>8</w:t>
      </w:r>
      <w:r>
        <w:rPr>
          <w:sz w:val="24"/>
          <w:szCs w:val="24"/>
          <w:highlight w:val="none"/>
        </w:rPr>
        <w:fldChar w:fldCharType="end"/>
      </w:r>
    </w:p>
    <w:p w14:paraId="1E8C37D8">
      <w:pPr>
        <w:pStyle w:val="23"/>
        <w:tabs>
          <w:tab w:val="right" w:leader="dot" w:pos="10070"/>
        </w:tabs>
        <w:spacing w:line="600" w:lineRule="exact"/>
        <w:rPr>
          <w:rFonts w:hint="default" w:eastAsiaTheme="minorEastAsia"/>
          <w:sz w:val="24"/>
          <w:szCs w:val="24"/>
          <w:highlight w:val="none"/>
          <w:lang w:val="en-US" w:eastAsia="zh-CN"/>
        </w:rPr>
      </w:pPr>
      <w:r>
        <w:rPr>
          <w:rFonts w:hint="eastAsia" w:ascii="宋体" w:hAnsi="宋体" w:eastAsia="宋体" w:cs="宋体"/>
          <w:sz w:val="24"/>
          <w:szCs w:val="24"/>
          <w:highlight w:val="none"/>
        </w:rPr>
        <w:t>一、总则</w:t>
      </w:r>
      <w:r>
        <w:rPr>
          <w:sz w:val="24"/>
          <w:szCs w:val="24"/>
          <w:highlight w:val="none"/>
        </w:rPr>
        <w:tab/>
      </w:r>
      <w:r>
        <w:rPr>
          <w:rFonts w:hint="eastAsia"/>
          <w:sz w:val="24"/>
          <w:szCs w:val="24"/>
          <w:highlight w:val="none"/>
          <w:lang w:val="en-US" w:eastAsia="zh-CN"/>
        </w:rPr>
        <w:t>10</w:t>
      </w:r>
    </w:p>
    <w:p w14:paraId="3EA05DC2">
      <w:pPr>
        <w:pStyle w:val="23"/>
        <w:tabs>
          <w:tab w:val="right" w:leader="dot" w:pos="10070"/>
        </w:tabs>
        <w:spacing w:line="600" w:lineRule="exact"/>
        <w:rPr>
          <w:rFonts w:hint="default" w:eastAsiaTheme="minorEastAsia"/>
          <w:sz w:val="24"/>
          <w:szCs w:val="24"/>
          <w:highlight w:val="none"/>
          <w:lang w:val="en-US" w:eastAsia="zh-CN"/>
        </w:rPr>
      </w:pPr>
      <w:r>
        <w:rPr>
          <w:rFonts w:hint="eastAsia" w:ascii="宋体" w:hAnsi="宋体" w:eastAsia="宋体" w:cs="宋体"/>
          <w:sz w:val="24"/>
          <w:szCs w:val="24"/>
          <w:highlight w:val="none"/>
        </w:rPr>
        <w:t>二、磋商文件</w:t>
      </w:r>
      <w:r>
        <w:rPr>
          <w:sz w:val="24"/>
          <w:szCs w:val="24"/>
          <w:highlight w:val="none"/>
        </w:rPr>
        <w:tab/>
      </w:r>
      <w:r>
        <w:rPr>
          <w:rFonts w:hint="eastAsia"/>
          <w:sz w:val="24"/>
          <w:szCs w:val="24"/>
          <w:highlight w:val="none"/>
          <w:lang w:val="en-US" w:eastAsia="zh-CN"/>
        </w:rPr>
        <w:t>10</w:t>
      </w:r>
    </w:p>
    <w:p w14:paraId="250ED97E">
      <w:pPr>
        <w:pStyle w:val="23"/>
        <w:tabs>
          <w:tab w:val="right" w:leader="dot" w:pos="10070"/>
        </w:tabs>
        <w:spacing w:line="600" w:lineRule="exact"/>
        <w:rPr>
          <w:sz w:val="24"/>
          <w:szCs w:val="24"/>
          <w:highlight w:val="none"/>
        </w:rPr>
      </w:pPr>
      <w:r>
        <w:rPr>
          <w:rFonts w:hint="eastAsia" w:ascii="宋体" w:hAnsi="宋体" w:eastAsia="宋体" w:cs="宋体"/>
          <w:sz w:val="24"/>
          <w:szCs w:val="24"/>
          <w:highlight w:val="none"/>
        </w:rPr>
        <w:t>三、响应文件</w:t>
      </w:r>
      <w:r>
        <w:rPr>
          <w:sz w:val="24"/>
          <w:szCs w:val="24"/>
          <w:highlight w:val="none"/>
        </w:rPr>
        <w:tab/>
      </w:r>
      <w:r>
        <w:rPr>
          <w:sz w:val="24"/>
          <w:szCs w:val="24"/>
          <w:highlight w:val="none"/>
        </w:rPr>
        <w:fldChar w:fldCharType="begin"/>
      </w:r>
      <w:r>
        <w:rPr>
          <w:sz w:val="24"/>
          <w:szCs w:val="24"/>
          <w:highlight w:val="none"/>
        </w:rPr>
        <w:instrText xml:space="preserve"> PAGEREF _Toc119421970 \h </w:instrText>
      </w:r>
      <w:r>
        <w:rPr>
          <w:sz w:val="24"/>
          <w:szCs w:val="24"/>
          <w:highlight w:val="none"/>
        </w:rPr>
        <w:fldChar w:fldCharType="separate"/>
      </w:r>
      <w:r>
        <w:rPr>
          <w:sz w:val="24"/>
          <w:szCs w:val="24"/>
          <w:highlight w:val="none"/>
        </w:rPr>
        <w:t>14</w:t>
      </w:r>
      <w:r>
        <w:rPr>
          <w:sz w:val="24"/>
          <w:szCs w:val="24"/>
          <w:highlight w:val="none"/>
        </w:rPr>
        <w:fldChar w:fldCharType="end"/>
      </w:r>
    </w:p>
    <w:p w14:paraId="055BB04F">
      <w:pPr>
        <w:pStyle w:val="23"/>
        <w:tabs>
          <w:tab w:val="right" w:leader="dot" w:pos="10070"/>
        </w:tabs>
        <w:spacing w:line="600" w:lineRule="exact"/>
        <w:rPr>
          <w:sz w:val="24"/>
          <w:szCs w:val="24"/>
          <w:highlight w:val="none"/>
        </w:rPr>
      </w:pPr>
      <w:r>
        <w:rPr>
          <w:rFonts w:hint="eastAsia" w:ascii="宋体" w:hAnsi="宋体" w:eastAsia="宋体" w:cs="宋体"/>
          <w:sz w:val="24"/>
          <w:szCs w:val="24"/>
          <w:highlight w:val="none"/>
        </w:rPr>
        <w:t>四、响应文件的提交</w:t>
      </w:r>
      <w:r>
        <w:rPr>
          <w:sz w:val="24"/>
          <w:szCs w:val="24"/>
          <w:highlight w:val="none"/>
        </w:rPr>
        <w:tab/>
      </w:r>
      <w:r>
        <w:rPr>
          <w:sz w:val="24"/>
          <w:szCs w:val="24"/>
          <w:highlight w:val="none"/>
        </w:rPr>
        <w:fldChar w:fldCharType="begin"/>
      </w:r>
      <w:r>
        <w:rPr>
          <w:sz w:val="24"/>
          <w:szCs w:val="24"/>
          <w:highlight w:val="none"/>
        </w:rPr>
        <w:instrText xml:space="preserve"> PAGEREF _Toc119421971 \h </w:instrText>
      </w:r>
      <w:r>
        <w:rPr>
          <w:sz w:val="24"/>
          <w:szCs w:val="24"/>
          <w:highlight w:val="none"/>
        </w:rPr>
        <w:fldChar w:fldCharType="separate"/>
      </w:r>
      <w:r>
        <w:rPr>
          <w:sz w:val="24"/>
          <w:szCs w:val="24"/>
          <w:highlight w:val="none"/>
        </w:rPr>
        <w:t>16</w:t>
      </w:r>
      <w:r>
        <w:rPr>
          <w:sz w:val="24"/>
          <w:szCs w:val="24"/>
          <w:highlight w:val="none"/>
        </w:rPr>
        <w:fldChar w:fldCharType="end"/>
      </w:r>
    </w:p>
    <w:p w14:paraId="6A61DBCE">
      <w:pPr>
        <w:pStyle w:val="23"/>
        <w:tabs>
          <w:tab w:val="right" w:leader="dot" w:pos="10070"/>
        </w:tabs>
        <w:spacing w:line="600" w:lineRule="exact"/>
        <w:rPr>
          <w:sz w:val="24"/>
          <w:szCs w:val="24"/>
          <w:highlight w:val="none"/>
        </w:rPr>
      </w:pPr>
      <w:r>
        <w:rPr>
          <w:rFonts w:hint="eastAsia" w:ascii="宋体" w:hAnsi="宋体" w:eastAsia="宋体" w:cs="宋体"/>
          <w:sz w:val="24"/>
          <w:szCs w:val="24"/>
          <w:highlight w:val="none"/>
        </w:rPr>
        <w:t>五、磋商</w:t>
      </w:r>
      <w:r>
        <w:rPr>
          <w:sz w:val="24"/>
          <w:szCs w:val="24"/>
          <w:highlight w:val="none"/>
        </w:rPr>
        <w:tab/>
      </w:r>
      <w:r>
        <w:rPr>
          <w:sz w:val="24"/>
          <w:szCs w:val="24"/>
          <w:highlight w:val="none"/>
        </w:rPr>
        <w:fldChar w:fldCharType="begin"/>
      </w:r>
      <w:r>
        <w:rPr>
          <w:sz w:val="24"/>
          <w:szCs w:val="24"/>
          <w:highlight w:val="none"/>
        </w:rPr>
        <w:instrText xml:space="preserve"> PAGEREF _Toc119421972 \h </w:instrText>
      </w:r>
      <w:r>
        <w:rPr>
          <w:sz w:val="24"/>
          <w:szCs w:val="24"/>
          <w:highlight w:val="none"/>
        </w:rPr>
        <w:fldChar w:fldCharType="separate"/>
      </w:r>
      <w:r>
        <w:rPr>
          <w:sz w:val="24"/>
          <w:szCs w:val="24"/>
          <w:highlight w:val="none"/>
        </w:rPr>
        <w:t>17</w:t>
      </w:r>
      <w:r>
        <w:rPr>
          <w:sz w:val="24"/>
          <w:szCs w:val="24"/>
          <w:highlight w:val="none"/>
        </w:rPr>
        <w:fldChar w:fldCharType="end"/>
      </w:r>
    </w:p>
    <w:p w14:paraId="51BE0B4F">
      <w:pPr>
        <w:pStyle w:val="23"/>
        <w:tabs>
          <w:tab w:val="right" w:leader="dot" w:pos="10070"/>
        </w:tabs>
        <w:spacing w:line="600" w:lineRule="exact"/>
        <w:rPr>
          <w:sz w:val="24"/>
          <w:szCs w:val="24"/>
          <w:highlight w:val="none"/>
        </w:rPr>
      </w:pPr>
      <w:r>
        <w:rPr>
          <w:rFonts w:hint="eastAsia" w:ascii="宋体" w:hAnsi="宋体" w:eastAsia="宋体" w:cs="宋体"/>
          <w:sz w:val="24"/>
          <w:szCs w:val="24"/>
          <w:highlight w:val="none"/>
        </w:rPr>
        <w:t>六、成交结果</w:t>
      </w:r>
      <w:r>
        <w:rPr>
          <w:sz w:val="24"/>
          <w:szCs w:val="24"/>
          <w:highlight w:val="none"/>
        </w:rPr>
        <w:tab/>
      </w:r>
      <w:r>
        <w:rPr>
          <w:sz w:val="24"/>
          <w:szCs w:val="24"/>
          <w:highlight w:val="none"/>
        </w:rPr>
        <w:fldChar w:fldCharType="begin"/>
      </w:r>
      <w:r>
        <w:rPr>
          <w:sz w:val="24"/>
          <w:szCs w:val="24"/>
          <w:highlight w:val="none"/>
        </w:rPr>
        <w:instrText xml:space="preserve"> PAGEREF _Toc119421973 \h </w:instrText>
      </w:r>
      <w:r>
        <w:rPr>
          <w:sz w:val="24"/>
          <w:szCs w:val="24"/>
          <w:highlight w:val="none"/>
        </w:rPr>
        <w:fldChar w:fldCharType="separate"/>
      </w:r>
      <w:r>
        <w:rPr>
          <w:sz w:val="24"/>
          <w:szCs w:val="24"/>
          <w:highlight w:val="none"/>
        </w:rPr>
        <w:t>18</w:t>
      </w:r>
      <w:r>
        <w:rPr>
          <w:sz w:val="24"/>
          <w:szCs w:val="24"/>
          <w:highlight w:val="none"/>
        </w:rPr>
        <w:fldChar w:fldCharType="end"/>
      </w:r>
    </w:p>
    <w:p w14:paraId="7D28D3AB">
      <w:pPr>
        <w:pStyle w:val="23"/>
        <w:tabs>
          <w:tab w:val="right" w:leader="dot" w:pos="10070"/>
        </w:tabs>
        <w:spacing w:line="600" w:lineRule="exact"/>
        <w:rPr>
          <w:sz w:val="24"/>
          <w:szCs w:val="24"/>
          <w:highlight w:val="none"/>
        </w:rPr>
      </w:pPr>
      <w:r>
        <w:rPr>
          <w:rFonts w:hint="eastAsia" w:ascii="宋体" w:hAnsi="宋体" w:eastAsia="宋体" w:cs="宋体"/>
          <w:sz w:val="24"/>
          <w:szCs w:val="24"/>
          <w:highlight w:val="none"/>
        </w:rPr>
        <w:t>七、其他事项</w:t>
      </w:r>
      <w:r>
        <w:rPr>
          <w:sz w:val="24"/>
          <w:szCs w:val="24"/>
          <w:highlight w:val="none"/>
        </w:rPr>
        <w:tab/>
      </w:r>
      <w:r>
        <w:rPr>
          <w:sz w:val="24"/>
          <w:szCs w:val="24"/>
          <w:highlight w:val="none"/>
        </w:rPr>
        <w:fldChar w:fldCharType="begin"/>
      </w:r>
      <w:r>
        <w:rPr>
          <w:sz w:val="24"/>
          <w:szCs w:val="24"/>
          <w:highlight w:val="none"/>
        </w:rPr>
        <w:instrText xml:space="preserve"> PAGEREF _Toc119421974 \h </w:instrText>
      </w:r>
      <w:r>
        <w:rPr>
          <w:sz w:val="24"/>
          <w:szCs w:val="24"/>
          <w:highlight w:val="none"/>
        </w:rPr>
        <w:fldChar w:fldCharType="separate"/>
      </w:r>
      <w:r>
        <w:rPr>
          <w:sz w:val="24"/>
          <w:szCs w:val="24"/>
          <w:highlight w:val="none"/>
        </w:rPr>
        <w:t>19</w:t>
      </w:r>
      <w:r>
        <w:rPr>
          <w:sz w:val="24"/>
          <w:szCs w:val="24"/>
          <w:highlight w:val="none"/>
        </w:rPr>
        <w:fldChar w:fldCharType="end"/>
      </w:r>
    </w:p>
    <w:p w14:paraId="5902827E">
      <w:pPr>
        <w:pStyle w:val="21"/>
        <w:tabs>
          <w:tab w:val="right" w:leader="dot" w:pos="10070"/>
        </w:tabs>
        <w:spacing w:line="600" w:lineRule="exact"/>
        <w:rPr>
          <w:sz w:val="24"/>
          <w:szCs w:val="24"/>
          <w:highlight w:val="none"/>
        </w:rPr>
      </w:pPr>
      <w:r>
        <w:rPr>
          <w:rFonts w:hint="eastAsia" w:ascii="宋体" w:hAnsi="宋体" w:eastAsia="宋体" w:cs="宋体"/>
          <w:sz w:val="24"/>
          <w:szCs w:val="24"/>
          <w:highlight w:val="none"/>
        </w:rPr>
        <w:t>第三章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合同书样式（参考文本）</w:t>
      </w:r>
      <w:r>
        <w:rPr>
          <w:sz w:val="24"/>
          <w:szCs w:val="24"/>
          <w:highlight w:val="none"/>
        </w:rPr>
        <w:tab/>
      </w:r>
      <w:r>
        <w:rPr>
          <w:sz w:val="24"/>
          <w:szCs w:val="24"/>
          <w:highlight w:val="none"/>
        </w:rPr>
        <w:fldChar w:fldCharType="begin"/>
      </w:r>
      <w:r>
        <w:rPr>
          <w:sz w:val="24"/>
          <w:szCs w:val="24"/>
          <w:highlight w:val="none"/>
        </w:rPr>
        <w:instrText xml:space="preserve"> PAGEREF _Toc119421975 \h </w:instrText>
      </w:r>
      <w:r>
        <w:rPr>
          <w:sz w:val="24"/>
          <w:szCs w:val="24"/>
          <w:highlight w:val="none"/>
        </w:rPr>
        <w:fldChar w:fldCharType="separate"/>
      </w:r>
      <w:r>
        <w:rPr>
          <w:sz w:val="24"/>
          <w:szCs w:val="24"/>
          <w:highlight w:val="none"/>
        </w:rPr>
        <w:t>21</w:t>
      </w:r>
      <w:r>
        <w:rPr>
          <w:sz w:val="24"/>
          <w:szCs w:val="24"/>
          <w:highlight w:val="none"/>
        </w:rPr>
        <w:fldChar w:fldCharType="end"/>
      </w:r>
    </w:p>
    <w:p w14:paraId="0EA7F921">
      <w:pPr>
        <w:pStyle w:val="21"/>
        <w:tabs>
          <w:tab w:val="right" w:leader="dot" w:pos="10070"/>
        </w:tabs>
        <w:spacing w:line="600" w:lineRule="exact"/>
        <w:rPr>
          <w:sz w:val="24"/>
          <w:szCs w:val="24"/>
          <w:highlight w:val="none"/>
        </w:rPr>
      </w:pPr>
      <w:r>
        <w:rPr>
          <w:rFonts w:hint="eastAsia" w:ascii="宋体" w:hAnsi="宋体" w:eastAsia="宋体" w:cs="宋体"/>
          <w:sz w:val="24"/>
          <w:szCs w:val="24"/>
          <w:highlight w:val="none"/>
        </w:rPr>
        <w:t>第四章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响应文件格式</w:t>
      </w:r>
      <w:r>
        <w:rPr>
          <w:sz w:val="24"/>
          <w:szCs w:val="24"/>
          <w:highlight w:val="none"/>
        </w:rPr>
        <w:tab/>
      </w:r>
      <w:r>
        <w:rPr>
          <w:sz w:val="24"/>
          <w:szCs w:val="24"/>
          <w:highlight w:val="none"/>
        </w:rPr>
        <w:fldChar w:fldCharType="begin"/>
      </w:r>
      <w:r>
        <w:rPr>
          <w:sz w:val="24"/>
          <w:szCs w:val="24"/>
          <w:highlight w:val="none"/>
        </w:rPr>
        <w:instrText xml:space="preserve"> PAGEREF _Toc119421995 \h </w:instrText>
      </w:r>
      <w:r>
        <w:rPr>
          <w:sz w:val="24"/>
          <w:szCs w:val="24"/>
          <w:highlight w:val="none"/>
        </w:rPr>
        <w:fldChar w:fldCharType="separate"/>
      </w:r>
      <w:r>
        <w:rPr>
          <w:sz w:val="24"/>
          <w:szCs w:val="24"/>
          <w:highlight w:val="none"/>
        </w:rPr>
        <w:t>27</w:t>
      </w:r>
      <w:r>
        <w:rPr>
          <w:sz w:val="24"/>
          <w:szCs w:val="24"/>
          <w:highlight w:val="none"/>
        </w:rPr>
        <w:fldChar w:fldCharType="end"/>
      </w:r>
    </w:p>
    <w:p w14:paraId="7EE911D3">
      <w:pPr>
        <w:pStyle w:val="21"/>
        <w:tabs>
          <w:tab w:val="right" w:leader="dot" w:pos="10070"/>
        </w:tabs>
        <w:spacing w:line="600" w:lineRule="exact"/>
        <w:rPr>
          <w:sz w:val="24"/>
          <w:szCs w:val="24"/>
          <w:highlight w:val="none"/>
        </w:rPr>
      </w:pPr>
      <w:r>
        <w:rPr>
          <w:rFonts w:hint="eastAsia" w:ascii="宋体" w:hAnsi="宋体" w:eastAsia="宋体" w:cs="宋体"/>
          <w:sz w:val="24"/>
          <w:szCs w:val="24"/>
          <w:highlight w:val="none"/>
        </w:rPr>
        <w:t>第五章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采购需求</w:t>
      </w:r>
      <w:r>
        <w:rPr>
          <w:sz w:val="24"/>
          <w:szCs w:val="24"/>
          <w:highlight w:val="none"/>
        </w:rPr>
        <w:tab/>
      </w:r>
      <w:r>
        <w:rPr>
          <w:sz w:val="24"/>
          <w:szCs w:val="24"/>
          <w:highlight w:val="none"/>
        </w:rPr>
        <w:fldChar w:fldCharType="begin"/>
      </w:r>
      <w:r>
        <w:rPr>
          <w:sz w:val="24"/>
          <w:szCs w:val="24"/>
          <w:highlight w:val="none"/>
        </w:rPr>
        <w:instrText xml:space="preserve"> PAGEREF _Toc119422008 \h </w:instrText>
      </w:r>
      <w:r>
        <w:rPr>
          <w:sz w:val="24"/>
          <w:szCs w:val="24"/>
          <w:highlight w:val="none"/>
        </w:rPr>
        <w:fldChar w:fldCharType="separate"/>
      </w:r>
      <w:r>
        <w:rPr>
          <w:sz w:val="24"/>
          <w:szCs w:val="24"/>
          <w:highlight w:val="none"/>
        </w:rPr>
        <w:t>47</w:t>
      </w:r>
      <w:r>
        <w:rPr>
          <w:sz w:val="24"/>
          <w:szCs w:val="24"/>
          <w:highlight w:val="none"/>
        </w:rPr>
        <w:fldChar w:fldCharType="end"/>
      </w:r>
    </w:p>
    <w:p w14:paraId="55C17A66">
      <w:pPr>
        <w:pStyle w:val="21"/>
        <w:tabs>
          <w:tab w:val="right" w:leader="dot" w:pos="10070"/>
        </w:tabs>
        <w:spacing w:line="600" w:lineRule="exact"/>
        <w:rPr>
          <w:sz w:val="24"/>
          <w:szCs w:val="24"/>
          <w:highlight w:val="none"/>
        </w:rPr>
      </w:pPr>
      <w:r>
        <w:rPr>
          <w:rFonts w:hint="eastAsia" w:ascii="宋体" w:hAnsi="宋体" w:eastAsia="宋体" w:cs="宋体"/>
          <w:sz w:val="24"/>
          <w:szCs w:val="24"/>
          <w:highlight w:val="none"/>
        </w:rPr>
        <w:t>第六章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磋商程序和方法</w:t>
      </w:r>
      <w:r>
        <w:rPr>
          <w:sz w:val="24"/>
          <w:szCs w:val="24"/>
          <w:highlight w:val="none"/>
        </w:rPr>
        <w:tab/>
      </w:r>
      <w:r>
        <w:rPr>
          <w:sz w:val="24"/>
          <w:szCs w:val="24"/>
          <w:highlight w:val="none"/>
        </w:rPr>
        <w:fldChar w:fldCharType="begin"/>
      </w:r>
      <w:r>
        <w:rPr>
          <w:sz w:val="24"/>
          <w:szCs w:val="24"/>
          <w:highlight w:val="none"/>
        </w:rPr>
        <w:instrText xml:space="preserve"> PAGEREF _Toc119422009 \h </w:instrText>
      </w:r>
      <w:r>
        <w:rPr>
          <w:sz w:val="24"/>
          <w:szCs w:val="24"/>
          <w:highlight w:val="none"/>
        </w:rPr>
        <w:fldChar w:fldCharType="separate"/>
      </w:r>
      <w:r>
        <w:rPr>
          <w:sz w:val="24"/>
          <w:szCs w:val="24"/>
          <w:highlight w:val="none"/>
        </w:rPr>
        <w:t>57</w:t>
      </w:r>
      <w:r>
        <w:rPr>
          <w:sz w:val="24"/>
          <w:szCs w:val="24"/>
          <w:highlight w:val="none"/>
        </w:rPr>
        <w:fldChar w:fldCharType="end"/>
      </w:r>
    </w:p>
    <w:p w14:paraId="05AB417C">
      <w:pPr>
        <w:pStyle w:val="23"/>
        <w:tabs>
          <w:tab w:val="right" w:leader="dot" w:pos="10070"/>
        </w:tabs>
        <w:spacing w:line="600" w:lineRule="exact"/>
        <w:ind w:left="0" w:leftChars="0" w:firstLine="480" w:firstLineChars="200"/>
        <w:rPr>
          <w:sz w:val="24"/>
          <w:szCs w:val="24"/>
          <w:highlight w:val="none"/>
        </w:rPr>
      </w:pPr>
      <w:r>
        <w:rPr>
          <w:rFonts w:hint="eastAsia" w:ascii="宋体" w:hAnsi="宋体" w:eastAsia="宋体" w:cs="宋体"/>
          <w:sz w:val="24"/>
          <w:szCs w:val="24"/>
          <w:highlight w:val="none"/>
          <w:lang w:val="zh-CN"/>
        </w:rPr>
        <w:t>磋商程序和方法前附表</w:t>
      </w:r>
      <w:r>
        <w:rPr>
          <w:sz w:val="24"/>
          <w:szCs w:val="24"/>
          <w:highlight w:val="none"/>
        </w:rPr>
        <w:tab/>
      </w:r>
      <w:r>
        <w:rPr>
          <w:sz w:val="24"/>
          <w:szCs w:val="24"/>
          <w:highlight w:val="none"/>
        </w:rPr>
        <w:fldChar w:fldCharType="begin"/>
      </w:r>
      <w:r>
        <w:rPr>
          <w:sz w:val="24"/>
          <w:szCs w:val="24"/>
          <w:highlight w:val="none"/>
        </w:rPr>
        <w:instrText xml:space="preserve"> PAGEREF _Toc119422010 \h </w:instrText>
      </w:r>
      <w:r>
        <w:rPr>
          <w:sz w:val="24"/>
          <w:szCs w:val="24"/>
          <w:highlight w:val="none"/>
        </w:rPr>
        <w:fldChar w:fldCharType="separate"/>
      </w:r>
      <w:r>
        <w:rPr>
          <w:sz w:val="24"/>
          <w:szCs w:val="24"/>
          <w:highlight w:val="none"/>
        </w:rPr>
        <w:t>57</w:t>
      </w:r>
      <w:r>
        <w:rPr>
          <w:sz w:val="24"/>
          <w:szCs w:val="24"/>
          <w:highlight w:val="none"/>
        </w:rPr>
        <w:fldChar w:fldCharType="end"/>
      </w:r>
    </w:p>
    <w:p w14:paraId="29D0E23A">
      <w:pPr>
        <w:spacing w:line="600" w:lineRule="exact"/>
        <w:rPr>
          <w:rFonts w:ascii="宋体" w:hAnsi="宋体" w:eastAsia="宋体" w:cs="宋体"/>
          <w:highlight w:val="none"/>
        </w:rPr>
      </w:pPr>
      <w:r>
        <w:rPr>
          <w:rFonts w:hint="eastAsia" w:ascii="宋体" w:hAnsi="宋体" w:eastAsia="宋体" w:cs="宋体"/>
          <w:sz w:val="24"/>
          <w:szCs w:val="24"/>
          <w:highlight w:val="none"/>
        </w:rPr>
        <w:fldChar w:fldCharType="end"/>
      </w:r>
    </w:p>
    <w:p w14:paraId="3AF3A858">
      <w:pPr>
        <w:pStyle w:val="23"/>
        <w:tabs>
          <w:tab w:val="right" w:leader="dot" w:pos="10070"/>
        </w:tabs>
        <w:spacing w:line="600" w:lineRule="exact"/>
        <w:ind w:left="0" w:leftChars="0"/>
        <w:rPr>
          <w:sz w:val="24"/>
          <w:szCs w:val="24"/>
          <w:highlight w:val="none"/>
        </w:rPr>
      </w:pPr>
    </w:p>
    <w:p w14:paraId="33539B82">
      <w:pPr>
        <w:spacing w:line="600" w:lineRule="exact"/>
        <w:rPr>
          <w:rFonts w:ascii="宋体" w:hAnsi="宋体" w:eastAsia="宋体" w:cs="宋体"/>
          <w:highlight w:val="none"/>
        </w:rPr>
      </w:pPr>
      <w:r>
        <w:rPr>
          <w:rFonts w:hint="eastAsia" w:ascii="宋体" w:hAnsi="宋体" w:eastAsia="宋体" w:cs="宋体"/>
          <w:sz w:val="24"/>
          <w:szCs w:val="24"/>
          <w:highlight w:val="none"/>
        </w:rPr>
        <w:fldChar w:fldCharType="end"/>
      </w:r>
    </w:p>
    <w:p w14:paraId="460A7C8F">
      <w:pPr>
        <w:rPr>
          <w:rFonts w:ascii="宋体" w:hAnsi="宋体" w:eastAsia="宋体" w:cs="宋体"/>
          <w:highlight w:val="none"/>
        </w:rPr>
      </w:pPr>
    </w:p>
    <w:p w14:paraId="44DAAD0F">
      <w:pPr>
        <w:rPr>
          <w:rFonts w:ascii="宋体" w:hAnsi="宋体" w:eastAsia="宋体" w:cs="宋体"/>
          <w:highlight w:val="none"/>
        </w:rPr>
        <w:sectPr>
          <w:headerReference r:id="rId4" w:type="first"/>
          <w:headerReference r:id="rId3" w:type="default"/>
          <w:footerReference r:id="rId5" w:type="default"/>
          <w:pgSz w:w="11906" w:h="16838"/>
          <w:pgMar w:top="936" w:right="892" w:bottom="1089" w:left="934" w:header="737" w:footer="992" w:gutter="0"/>
          <w:pgNumType w:start="0"/>
          <w:cols w:space="425" w:num="1"/>
          <w:docGrid w:type="lines" w:linePitch="312" w:charSpace="0"/>
        </w:sectPr>
      </w:pPr>
    </w:p>
    <w:p w14:paraId="43F69E05">
      <w:pPr>
        <w:pStyle w:val="3"/>
        <w:spacing w:line="360" w:lineRule="auto"/>
        <w:jc w:val="center"/>
        <w:rPr>
          <w:rFonts w:ascii="宋体" w:hAnsi="宋体" w:eastAsia="宋体" w:cs="宋体"/>
          <w:color w:val="auto"/>
          <w:sz w:val="32"/>
          <w:szCs w:val="32"/>
          <w:highlight w:val="none"/>
        </w:rPr>
      </w:pPr>
      <w:bookmarkStart w:id="0" w:name="_Toc119421965"/>
      <w:bookmarkStart w:id="1" w:name="_Toc39092128"/>
      <w:r>
        <w:rPr>
          <w:rFonts w:hint="eastAsia" w:ascii="宋体" w:hAnsi="宋体" w:eastAsia="宋体" w:cs="宋体"/>
          <w:color w:val="auto"/>
          <w:sz w:val="32"/>
          <w:szCs w:val="32"/>
          <w:highlight w:val="none"/>
        </w:rPr>
        <w:t>第一章 竞争性磋商公告</w:t>
      </w:r>
      <w:bookmarkEnd w:id="0"/>
      <w:bookmarkEnd w:id="1"/>
    </w:p>
    <w:p w14:paraId="2157A596">
      <w:pPr>
        <w:widowControl/>
        <w:spacing w:line="360" w:lineRule="auto"/>
        <w:jc w:val="center"/>
        <w:rPr>
          <w:rFonts w:hint="eastAsia" w:ascii="宋体" w:hAnsi="宋体" w:eastAsia="宋体" w:cs="宋体"/>
          <w:b/>
          <w:bCs/>
          <w:kern w:val="0"/>
          <w:sz w:val="32"/>
          <w:szCs w:val="32"/>
          <w:highlight w:val="none"/>
          <w:lang w:eastAsia="zh-CN"/>
        </w:rPr>
      </w:pPr>
      <w:r>
        <w:rPr>
          <w:rFonts w:hint="eastAsia" w:ascii="宋体" w:hAnsi="宋体" w:eastAsia="宋体" w:cs="宋体"/>
          <w:b/>
          <w:bCs/>
          <w:kern w:val="0"/>
          <w:sz w:val="32"/>
          <w:szCs w:val="32"/>
          <w:highlight w:val="none"/>
          <w:lang w:eastAsia="zh-CN"/>
        </w:rPr>
        <w:t>保山市隆阳区瓦房乡中心学校校园安全安保服务</w:t>
      </w:r>
    </w:p>
    <w:p w14:paraId="3D520750">
      <w:pPr>
        <w:widowControl/>
        <w:spacing w:line="360" w:lineRule="auto"/>
        <w:jc w:val="center"/>
        <w:rPr>
          <w:rFonts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竞争性磋商公告</w:t>
      </w:r>
    </w:p>
    <w:p w14:paraId="60258CE8">
      <w:pPr>
        <w:keepLines w:val="0"/>
        <w:pageBreakBefore w:val="0"/>
        <w:pBdr>
          <w:top w:val="single" w:color="auto" w:sz="4" w:space="1"/>
          <w:left w:val="single" w:color="auto" w:sz="4" w:space="0"/>
          <w:bottom w:val="single" w:color="auto" w:sz="4" w:space="1"/>
          <w:right w:val="single" w:color="auto" w:sz="4" w:space="0"/>
        </w:pBdr>
        <w:kinsoku/>
        <w:overflowPunct/>
        <w:autoSpaceDE/>
        <w:autoSpaceDN/>
        <w:bidi w:val="0"/>
        <w:adjustRightInd/>
        <w:spacing w:line="530" w:lineRule="exact"/>
        <w:ind w:firstLine="422" w:firstLineChars="200"/>
        <w:textAlignment w:val="auto"/>
        <w:rPr>
          <w:rFonts w:ascii="宋体" w:hAnsi="宋体" w:eastAsia="宋体" w:cs="宋体"/>
          <w:b/>
          <w:szCs w:val="21"/>
          <w:highlight w:val="none"/>
        </w:rPr>
      </w:pPr>
      <w:r>
        <w:rPr>
          <w:rFonts w:hint="eastAsia" w:ascii="宋体" w:hAnsi="宋体" w:eastAsia="宋体" w:cs="宋体"/>
          <w:b/>
          <w:szCs w:val="21"/>
          <w:highlight w:val="none"/>
        </w:rPr>
        <w:t>项目概况</w:t>
      </w:r>
    </w:p>
    <w:p w14:paraId="0ECE3B79">
      <w:pPr>
        <w:keepLines w:val="0"/>
        <w:pageBreakBefore w:val="0"/>
        <w:pBdr>
          <w:top w:val="single" w:color="auto" w:sz="4" w:space="1"/>
          <w:left w:val="single" w:color="auto" w:sz="4" w:space="0"/>
          <w:bottom w:val="single" w:color="auto" w:sz="4" w:space="1"/>
          <w:right w:val="single" w:color="auto" w:sz="4" w:space="0"/>
        </w:pBdr>
        <w:kinsoku/>
        <w:wordWrap w:val="0"/>
        <w:overflowPunct/>
        <w:autoSpaceDE/>
        <w:autoSpaceDN/>
        <w:bidi w:val="0"/>
        <w:adjustRightInd/>
        <w:spacing w:line="530" w:lineRule="exact"/>
        <w:ind w:firstLine="420" w:firstLineChars="200"/>
        <w:jc w:val="left"/>
        <w:textAlignment w:val="auto"/>
        <w:rPr>
          <w:rFonts w:ascii="宋体" w:hAnsi="宋体" w:eastAsia="宋体" w:cs="宋体"/>
          <w:szCs w:val="21"/>
          <w:highlight w:val="none"/>
        </w:rPr>
      </w:pPr>
      <w:r>
        <w:rPr>
          <w:rFonts w:hint="eastAsia" w:ascii="宋体" w:hAnsi="宋体" w:eastAsia="宋体" w:cs="宋体"/>
          <w:szCs w:val="21"/>
          <w:highlight w:val="none"/>
          <w:u w:val="single"/>
          <w:lang w:eastAsia="zh-CN"/>
        </w:rPr>
        <w:t>保山市隆阳区瓦房乡中心学校校园安全安保服务</w:t>
      </w:r>
      <w:r>
        <w:rPr>
          <w:rFonts w:hint="eastAsia" w:ascii="宋体" w:hAnsi="宋体" w:eastAsia="宋体" w:cs="宋体"/>
          <w:szCs w:val="21"/>
          <w:highlight w:val="none"/>
        </w:rPr>
        <w:t>采购的潜在磋商申请人应在</w:t>
      </w:r>
      <w:r>
        <w:rPr>
          <w:rFonts w:hint="eastAsia" w:ascii="宋体" w:hAnsi="宋体" w:eastAsia="宋体" w:cs="宋体"/>
          <w:kern w:val="0"/>
          <w:highlight w:val="none"/>
          <w:u w:val="single"/>
        </w:rPr>
        <w:t>政府采购云平台（www.zcygov.cn）</w:t>
      </w:r>
      <w:r>
        <w:rPr>
          <w:rFonts w:hint="eastAsia" w:ascii="宋体" w:hAnsi="宋体" w:eastAsia="宋体" w:cs="宋体"/>
          <w:szCs w:val="21"/>
          <w:highlight w:val="none"/>
        </w:rPr>
        <w:t>获取采购文件，并于</w:t>
      </w:r>
      <w:r>
        <w:rPr>
          <w:rFonts w:hint="eastAsia" w:ascii="宋体" w:hAnsi="宋体" w:eastAsia="宋体" w:cs="宋体"/>
          <w:szCs w:val="21"/>
          <w:highlight w:val="none"/>
          <w:u w:val="single"/>
          <w:lang w:eastAsia="zh-CN"/>
        </w:rPr>
        <w:t>2026年05月19日</w:t>
      </w:r>
      <w:r>
        <w:rPr>
          <w:rFonts w:hint="eastAsia" w:ascii="宋体" w:hAnsi="宋体" w:eastAsia="宋体" w:cs="宋体"/>
          <w:szCs w:val="21"/>
          <w:highlight w:val="none"/>
          <w:u w:val="single"/>
          <w:lang w:val="en-US" w:eastAsia="zh-CN"/>
        </w:rPr>
        <w:t>15</w:t>
      </w:r>
      <w:r>
        <w:rPr>
          <w:rFonts w:hint="eastAsia" w:ascii="宋体" w:hAnsi="宋体" w:eastAsia="宋体" w:cs="宋体"/>
          <w:szCs w:val="21"/>
          <w:highlight w:val="none"/>
          <w:u w:val="single"/>
        </w:rPr>
        <w:t>时00分</w:t>
      </w:r>
      <w:r>
        <w:rPr>
          <w:rFonts w:hint="eastAsia" w:ascii="宋体" w:hAnsi="宋体" w:eastAsia="宋体" w:cs="宋体"/>
          <w:bCs/>
          <w:szCs w:val="21"/>
          <w:highlight w:val="none"/>
        </w:rPr>
        <w:t>（北京时间）前提交响应文件</w:t>
      </w:r>
      <w:r>
        <w:rPr>
          <w:rFonts w:hint="eastAsia" w:ascii="宋体" w:hAnsi="宋体" w:eastAsia="宋体" w:cs="宋体"/>
          <w:szCs w:val="21"/>
          <w:highlight w:val="none"/>
        </w:rPr>
        <w:t>。</w:t>
      </w:r>
    </w:p>
    <w:p w14:paraId="6241A865">
      <w:pPr>
        <w:keepLines w:val="0"/>
        <w:pageBreakBefore w:val="0"/>
        <w:widowControl/>
        <w:kinsoku/>
        <w:overflowPunct/>
        <w:autoSpaceDE/>
        <w:autoSpaceDN/>
        <w:bidi w:val="0"/>
        <w:adjustRightInd/>
        <w:spacing w:line="530" w:lineRule="exact"/>
        <w:textAlignment w:val="auto"/>
        <w:rPr>
          <w:rFonts w:ascii="宋体" w:hAnsi="宋体" w:eastAsia="宋体" w:cs="宋体"/>
          <w:b/>
          <w:kern w:val="0"/>
          <w:highlight w:val="none"/>
        </w:rPr>
      </w:pPr>
      <w:r>
        <w:rPr>
          <w:rFonts w:hint="eastAsia" w:ascii="宋体" w:hAnsi="宋体" w:eastAsia="宋体" w:cs="宋体"/>
          <w:b/>
          <w:kern w:val="0"/>
          <w:highlight w:val="none"/>
        </w:rPr>
        <w:t>一、项目基本情况</w:t>
      </w:r>
    </w:p>
    <w:p w14:paraId="657302FE">
      <w:pPr>
        <w:keepLines w:val="0"/>
        <w:pageBreakBefore w:val="0"/>
        <w:widowControl/>
        <w:kinsoku/>
        <w:overflowPunct/>
        <w:autoSpaceDE/>
        <w:autoSpaceDN/>
        <w:bidi w:val="0"/>
        <w:adjustRightInd/>
        <w:spacing w:line="530" w:lineRule="exact"/>
        <w:ind w:firstLine="424" w:firstLineChars="202"/>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1.项目编号：</w:t>
      </w:r>
      <w:r>
        <w:rPr>
          <w:rFonts w:hint="eastAsia" w:ascii="宋体" w:hAnsi="宋体" w:eastAsia="宋体" w:cs="宋体"/>
          <w:kern w:val="0"/>
          <w:szCs w:val="21"/>
          <w:highlight w:val="none"/>
          <w:lang w:eastAsia="zh-CN"/>
        </w:rPr>
        <w:t>YNRTZB-2026-006</w:t>
      </w:r>
    </w:p>
    <w:p w14:paraId="32A24D86">
      <w:pPr>
        <w:keepLines w:val="0"/>
        <w:pageBreakBefore w:val="0"/>
        <w:widowControl/>
        <w:kinsoku/>
        <w:overflowPunct/>
        <w:autoSpaceDE/>
        <w:autoSpaceDN/>
        <w:bidi w:val="0"/>
        <w:adjustRightInd/>
        <w:spacing w:line="530" w:lineRule="exact"/>
        <w:ind w:firstLine="424" w:firstLineChars="202"/>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2.项目名称：</w:t>
      </w:r>
      <w:r>
        <w:rPr>
          <w:rFonts w:hint="eastAsia" w:ascii="宋体" w:hAnsi="宋体" w:eastAsia="宋体" w:cs="宋体"/>
          <w:kern w:val="0"/>
          <w:szCs w:val="21"/>
          <w:highlight w:val="none"/>
          <w:lang w:eastAsia="zh-CN"/>
        </w:rPr>
        <w:t>保山市隆阳区瓦房乡中心学校校园安全安保服务</w:t>
      </w:r>
    </w:p>
    <w:p w14:paraId="7FCEA61E">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3.采购方式：竞争性磋商</w:t>
      </w:r>
    </w:p>
    <w:p w14:paraId="1A4376D3">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4.预算金额：¥</w:t>
      </w:r>
      <w:r>
        <w:rPr>
          <w:rFonts w:hint="eastAsia" w:ascii="宋体" w:hAnsi="宋体" w:eastAsia="宋体" w:cs="宋体"/>
          <w:kern w:val="0"/>
          <w:szCs w:val="21"/>
          <w:highlight w:val="none"/>
          <w:lang w:val="en-US" w:eastAsia="zh-CN"/>
        </w:rPr>
        <w:t>840000.00</w:t>
      </w:r>
      <w:r>
        <w:rPr>
          <w:rFonts w:hint="eastAsia" w:ascii="宋体" w:hAnsi="宋体" w:eastAsia="宋体" w:cs="宋体"/>
          <w:kern w:val="0"/>
          <w:szCs w:val="21"/>
          <w:highlight w:val="none"/>
        </w:rPr>
        <w:t>元。</w:t>
      </w:r>
    </w:p>
    <w:p w14:paraId="354EB12D">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5.最高限价：¥</w:t>
      </w:r>
      <w:r>
        <w:rPr>
          <w:rFonts w:hint="eastAsia" w:ascii="宋体" w:hAnsi="宋体" w:eastAsia="宋体" w:cs="宋体"/>
          <w:kern w:val="0"/>
          <w:szCs w:val="21"/>
          <w:highlight w:val="none"/>
          <w:lang w:val="en-US" w:eastAsia="zh-CN"/>
        </w:rPr>
        <w:t>840000.00</w:t>
      </w:r>
      <w:r>
        <w:rPr>
          <w:rFonts w:hint="eastAsia" w:ascii="宋体" w:hAnsi="宋体" w:eastAsia="宋体" w:cs="宋体"/>
          <w:kern w:val="0"/>
          <w:szCs w:val="21"/>
          <w:highlight w:val="none"/>
        </w:rPr>
        <w:t>元。</w:t>
      </w:r>
    </w:p>
    <w:p w14:paraId="063678AA">
      <w:pPr>
        <w:keepLines w:val="0"/>
        <w:pageBreakBefore w:val="0"/>
        <w:widowControl/>
        <w:kinsoku/>
        <w:overflowPunct/>
        <w:autoSpaceDE/>
        <w:autoSpaceDN/>
        <w:bidi w:val="0"/>
        <w:adjustRightInd/>
        <w:spacing w:line="53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6.采购内容：</w:t>
      </w:r>
      <w:r>
        <w:rPr>
          <w:rFonts w:hint="eastAsia" w:ascii="宋体" w:hAnsi="宋体" w:eastAsia="宋体" w:cs="宋体"/>
          <w:kern w:val="0"/>
          <w:szCs w:val="21"/>
          <w:highlight w:val="none"/>
          <w:lang w:eastAsia="zh-CN"/>
        </w:rPr>
        <w:t>安保人员28人，</w:t>
      </w:r>
      <w:r>
        <w:rPr>
          <w:rFonts w:hint="eastAsia" w:ascii="宋体" w:hAnsi="宋体" w:eastAsia="宋体" w:cs="宋体"/>
          <w:highlight w:val="none"/>
          <w:lang w:val="en-US" w:eastAsia="zh-CN"/>
        </w:rPr>
        <w:t>详见磋商文件第五章采购需求</w:t>
      </w:r>
      <w:r>
        <w:rPr>
          <w:rFonts w:hint="eastAsia" w:ascii="宋体" w:hAnsi="宋体" w:eastAsia="宋体" w:cs="宋体"/>
          <w:highlight w:val="none"/>
        </w:rPr>
        <w:t>。</w:t>
      </w:r>
    </w:p>
    <w:p w14:paraId="437EBFB1">
      <w:pPr>
        <w:keepLines w:val="0"/>
        <w:pageBreakBefore w:val="0"/>
        <w:widowControl/>
        <w:kinsoku/>
        <w:overflowPunct/>
        <w:autoSpaceDE/>
        <w:autoSpaceDN/>
        <w:bidi w:val="0"/>
        <w:adjustRightInd/>
        <w:spacing w:line="53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eastAsia="zh-CN"/>
        </w:rPr>
        <w:t>服务地点：采购人指定的地点</w:t>
      </w:r>
      <w:r>
        <w:rPr>
          <w:rFonts w:hint="eastAsia" w:ascii="宋体" w:hAnsi="宋体" w:eastAsia="宋体" w:cs="宋体"/>
          <w:highlight w:val="none"/>
        </w:rPr>
        <w:t>。</w:t>
      </w:r>
    </w:p>
    <w:p w14:paraId="3C693A12">
      <w:pPr>
        <w:keepLines w:val="0"/>
        <w:pageBreakBefore w:val="0"/>
        <w:widowControl/>
        <w:kinsoku/>
        <w:overflowPunct/>
        <w:autoSpaceDE/>
        <w:autoSpaceDN/>
        <w:bidi w:val="0"/>
        <w:adjustRightInd/>
        <w:spacing w:line="530" w:lineRule="exact"/>
        <w:ind w:firstLine="420" w:firstLineChars="200"/>
        <w:textAlignment w:val="auto"/>
        <w:rPr>
          <w:rFonts w:ascii="宋体" w:hAnsi="宋体" w:eastAsia="宋体" w:cs="宋体"/>
          <w:kern w:val="0"/>
          <w:highlight w:val="none"/>
        </w:rPr>
      </w:pPr>
      <w:r>
        <w:rPr>
          <w:rFonts w:hint="eastAsia" w:ascii="宋体" w:hAnsi="宋体" w:eastAsia="宋体" w:cs="宋体"/>
          <w:kern w:val="0"/>
          <w:highlight w:val="none"/>
        </w:rPr>
        <w:t>8.</w:t>
      </w:r>
      <w:r>
        <w:rPr>
          <w:rFonts w:hint="eastAsia" w:ascii="宋体" w:hAnsi="宋体" w:eastAsia="宋体" w:cs="宋体"/>
          <w:highlight w:val="none"/>
          <w:lang w:val="en-US" w:eastAsia="zh-CN"/>
        </w:rPr>
        <w:t>服务期限：一年</w:t>
      </w:r>
      <w:r>
        <w:rPr>
          <w:rFonts w:hint="eastAsia" w:ascii="宋体" w:hAnsi="宋体" w:eastAsia="宋体" w:cs="宋体"/>
          <w:kern w:val="0"/>
          <w:highlight w:val="none"/>
        </w:rPr>
        <w:t>。</w:t>
      </w:r>
    </w:p>
    <w:p w14:paraId="130024BF">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highlight w:val="none"/>
        </w:rPr>
      </w:pPr>
      <w:r>
        <w:rPr>
          <w:rFonts w:hint="eastAsia" w:ascii="宋体" w:hAnsi="宋体" w:eastAsia="宋体" w:cs="宋体"/>
          <w:highlight w:val="none"/>
          <w:lang w:val="en-US" w:eastAsia="zh-CN"/>
        </w:rPr>
        <w:t>9</w:t>
      </w:r>
      <w:r>
        <w:rPr>
          <w:rFonts w:hint="eastAsia" w:ascii="宋体" w:hAnsi="宋体" w:eastAsia="宋体" w:cs="宋体"/>
          <w:highlight w:val="none"/>
        </w:rPr>
        <w:t>.本项目不接受联合体磋商申请。</w:t>
      </w:r>
    </w:p>
    <w:p w14:paraId="3904F19D">
      <w:pPr>
        <w:keepLines w:val="0"/>
        <w:pageBreakBefore w:val="0"/>
        <w:widowControl/>
        <w:kinsoku/>
        <w:overflowPunct/>
        <w:autoSpaceDE/>
        <w:autoSpaceDN/>
        <w:bidi w:val="0"/>
        <w:adjustRightInd/>
        <w:spacing w:line="530" w:lineRule="exact"/>
        <w:ind w:firstLine="426" w:firstLineChars="202"/>
        <w:textAlignment w:val="auto"/>
        <w:rPr>
          <w:rFonts w:ascii="宋体" w:hAnsi="宋体" w:eastAsia="宋体" w:cs="宋体"/>
          <w:b/>
          <w:kern w:val="0"/>
          <w:szCs w:val="21"/>
          <w:highlight w:val="none"/>
        </w:rPr>
      </w:pPr>
      <w:r>
        <w:rPr>
          <w:rFonts w:hint="eastAsia" w:ascii="宋体" w:hAnsi="宋体" w:eastAsia="宋体" w:cs="宋体"/>
          <w:b/>
          <w:kern w:val="0"/>
          <w:szCs w:val="21"/>
          <w:highlight w:val="none"/>
        </w:rPr>
        <w:t>二、申请人资格要求：</w:t>
      </w:r>
    </w:p>
    <w:p w14:paraId="6ADC0D07">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1.满足《中华人民共和国政府采购法》第二十二条规定；</w:t>
      </w:r>
    </w:p>
    <w:p w14:paraId="4EFA5821">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2.落实政府采购政策需满足的资格要求：</w:t>
      </w:r>
      <w:r>
        <w:rPr>
          <w:rFonts w:hint="eastAsia" w:ascii="宋体" w:hAnsi="宋体" w:eastAsia="宋体" w:cs="Times New Roman"/>
          <w:kern w:val="2"/>
          <w:sz w:val="21"/>
          <w:szCs w:val="21"/>
          <w:highlight w:val="none"/>
          <w:lang w:val="en-US" w:eastAsia="zh-CN" w:bidi="ar-SA"/>
        </w:rPr>
        <w:t>本项目专门面向中小微企业采购。</w:t>
      </w:r>
    </w:p>
    <w:p w14:paraId="6E5D4457">
      <w:pPr>
        <w:keepLines w:val="0"/>
        <w:pageBreakBefore w:val="0"/>
        <w:kinsoku/>
        <w:overflowPunct/>
        <w:autoSpaceDE/>
        <w:autoSpaceDN/>
        <w:bidi w:val="0"/>
        <w:adjustRightInd/>
        <w:snapToGrid w:val="0"/>
        <w:spacing w:line="530" w:lineRule="exact"/>
        <w:ind w:firstLine="420" w:firstLineChars="20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扶持中小企业政策：评审时小型、微型企业提供的产品（提供本企业制造的货物、承担的工程或者服务，或者提供其他中小企业制造的货物）价格给予相应的10%扣除。监狱企业、残疾人福利性单位视同小型和微型企业，其产品在评审时给予相同的价格扣除。执行政策文件：《中华人民共和国中小企业促进法》及《政府采购促进中小企业发展管理办法》（财库〔2020〕46号）、《财政部司法部关于政府采购支持监狱企业发展有关问题的通知》（财库〔2014〕68号）、《财政部民政部中国残疾人联合会关于促进残疾人就业政府采购政策的通知》（财库〔2017〕141号）、《关于进一步加大政府采购支持中小企业力度的通知》（财库〔2022〕19号）、《云南省进一步帮扶中小微企业纾困发展工作方案》（云政办发〔2022〕42号）。</w:t>
      </w:r>
    </w:p>
    <w:p w14:paraId="4F25F268">
      <w:pPr>
        <w:keepLines w:val="0"/>
        <w:pageBreakBefore w:val="0"/>
        <w:widowControl/>
        <w:numPr>
          <w:ilvl w:val="0"/>
          <w:numId w:val="1"/>
        </w:numPr>
        <w:kinsoku/>
        <w:overflowPunct/>
        <w:autoSpaceDE/>
        <w:autoSpaceDN/>
        <w:bidi w:val="0"/>
        <w:adjustRightInd/>
        <w:spacing w:line="530" w:lineRule="exact"/>
        <w:ind w:firstLine="424"/>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本项目的特定资格要求：</w:t>
      </w:r>
    </w:p>
    <w:p w14:paraId="0DB98223">
      <w:pPr>
        <w:keepLines w:val="0"/>
        <w:pageBreakBefore w:val="0"/>
        <w:widowControl/>
        <w:numPr>
          <w:ilvl w:val="1"/>
          <w:numId w:val="1"/>
        </w:numPr>
        <w:kinsoku/>
        <w:overflowPunct/>
        <w:autoSpaceDE/>
        <w:autoSpaceDN/>
        <w:bidi w:val="0"/>
        <w:adjustRightInd/>
        <w:spacing w:line="53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具有合格有效的《保安服务许可证》</w:t>
      </w:r>
    </w:p>
    <w:p w14:paraId="14ED9EDB">
      <w:pPr>
        <w:keepLines w:val="0"/>
        <w:pageBreakBefore w:val="0"/>
        <w:widowControl/>
        <w:numPr>
          <w:ilvl w:val="1"/>
          <w:numId w:val="1"/>
        </w:numPr>
        <w:kinsoku/>
        <w:overflowPunct/>
        <w:autoSpaceDE/>
        <w:autoSpaceDN/>
        <w:bidi w:val="0"/>
        <w:adjustRightInd/>
        <w:spacing w:line="53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color w:val="auto"/>
          <w:kern w:val="0"/>
          <w:szCs w:val="21"/>
          <w:highlight w:val="none"/>
          <w:lang w:eastAsia="zh-CN"/>
        </w:rPr>
        <w:t>磋商申请人</w:t>
      </w:r>
      <w:r>
        <w:rPr>
          <w:rFonts w:hint="eastAsia" w:ascii="宋体" w:hAnsi="宋体" w:eastAsia="宋体" w:cs="宋体"/>
          <w:color w:val="auto"/>
          <w:kern w:val="0"/>
          <w:szCs w:val="21"/>
          <w:highlight w:val="none"/>
        </w:rPr>
        <w:t>在采购公告发出日期之前未被列入“信用中国” 网站“失信被执行人” (中国执行信息公开网) 、“重大税收违法失信主体”，未被列入中国政府采购网“政府采购严重违法失信行为信息记录名单”，由采购人及采购代理机构按照以上条款对参与磋商的各申请人的信用信息进行核查，有不良记录的磋商申请将被拒绝。</w:t>
      </w:r>
    </w:p>
    <w:p w14:paraId="5BF51C1D">
      <w:pPr>
        <w:keepLines w:val="0"/>
        <w:pageBreakBefore w:val="0"/>
        <w:widowControl/>
        <w:numPr>
          <w:ilvl w:val="1"/>
          <w:numId w:val="1"/>
        </w:numPr>
        <w:kinsoku/>
        <w:overflowPunct/>
        <w:autoSpaceDE/>
        <w:autoSpaceDN/>
        <w:bidi w:val="0"/>
        <w:adjustRightInd/>
        <w:spacing w:line="53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color w:val="auto"/>
          <w:kern w:val="0"/>
          <w:szCs w:val="21"/>
          <w:highlight w:val="none"/>
        </w:rPr>
        <w:t>单位负责人为同一人或者存在直接控股、管理关系的不同磋商申请人，不得参加同一合同项下的政府采购活动。 (提供书面声明)</w:t>
      </w:r>
    </w:p>
    <w:p w14:paraId="4DB9F05B">
      <w:pPr>
        <w:keepLines w:val="0"/>
        <w:pageBreakBefore w:val="0"/>
        <w:widowControl/>
        <w:kinsoku/>
        <w:overflowPunct/>
        <w:autoSpaceDE/>
        <w:autoSpaceDN/>
        <w:bidi w:val="0"/>
        <w:adjustRightInd/>
        <w:spacing w:line="530" w:lineRule="exact"/>
        <w:ind w:firstLine="426" w:firstLineChars="202"/>
        <w:textAlignment w:val="auto"/>
        <w:rPr>
          <w:rFonts w:ascii="宋体" w:hAnsi="宋体" w:eastAsia="宋体" w:cs="宋体"/>
          <w:b/>
          <w:kern w:val="0"/>
          <w:szCs w:val="21"/>
          <w:highlight w:val="none"/>
        </w:rPr>
      </w:pPr>
      <w:r>
        <w:rPr>
          <w:rFonts w:hint="eastAsia" w:ascii="宋体" w:hAnsi="宋体" w:eastAsia="宋体" w:cs="宋体"/>
          <w:b/>
          <w:kern w:val="0"/>
          <w:szCs w:val="21"/>
          <w:highlight w:val="none"/>
        </w:rPr>
        <w:t>三、获取采购文件：</w:t>
      </w:r>
    </w:p>
    <w:p w14:paraId="667438BA">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1.时间：</w:t>
      </w:r>
      <w:r>
        <w:rPr>
          <w:rFonts w:hint="eastAsia" w:ascii="宋体" w:hAnsi="宋体" w:eastAsia="宋体" w:cs="宋体"/>
          <w:kern w:val="0"/>
          <w:szCs w:val="21"/>
          <w:highlight w:val="none"/>
          <w:lang w:eastAsia="zh-CN"/>
        </w:rPr>
        <w:t>202</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lang w:eastAsia="zh-CN"/>
        </w:rPr>
        <w:t>年</w:t>
      </w:r>
      <w:r>
        <w:rPr>
          <w:rFonts w:hint="eastAsia" w:ascii="宋体" w:hAnsi="宋体" w:eastAsia="宋体" w:cs="宋体"/>
          <w:kern w:val="0"/>
          <w:szCs w:val="21"/>
          <w:highlight w:val="none"/>
          <w:lang w:val="en-US" w:eastAsia="zh-CN"/>
        </w:rPr>
        <w:t>05</w:t>
      </w:r>
      <w:r>
        <w:rPr>
          <w:rFonts w:hint="eastAsia" w:ascii="宋体" w:hAnsi="宋体" w:eastAsia="宋体" w:cs="宋体"/>
          <w:kern w:val="0"/>
          <w:szCs w:val="21"/>
          <w:highlight w:val="none"/>
          <w:lang w:eastAsia="zh-CN"/>
        </w:rPr>
        <w:t>月</w:t>
      </w:r>
      <w:r>
        <w:rPr>
          <w:rFonts w:hint="eastAsia" w:ascii="宋体" w:hAnsi="宋体" w:eastAsia="宋体" w:cs="宋体"/>
          <w:kern w:val="0"/>
          <w:szCs w:val="21"/>
          <w:highlight w:val="none"/>
          <w:lang w:val="en-US" w:eastAsia="zh-CN"/>
        </w:rPr>
        <w:t>9</w:t>
      </w:r>
      <w:r>
        <w:rPr>
          <w:rFonts w:hint="eastAsia" w:ascii="宋体" w:hAnsi="宋体" w:eastAsia="宋体" w:cs="宋体"/>
          <w:kern w:val="0"/>
          <w:szCs w:val="21"/>
          <w:highlight w:val="none"/>
        </w:rPr>
        <w:t>日至202</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15</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15</w:t>
      </w:r>
      <w:r>
        <w:rPr>
          <w:rFonts w:hint="eastAsia" w:ascii="宋体" w:hAnsi="宋体" w:eastAsia="宋体" w:cs="宋体"/>
          <w:kern w:val="0"/>
          <w:szCs w:val="21"/>
          <w:highlight w:val="none"/>
        </w:rPr>
        <w:t>日（五个工作日），</w:t>
      </w:r>
      <w:r>
        <w:rPr>
          <w:rFonts w:hint="eastAsia" w:ascii="宋体" w:hAnsi="宋体" w:cs="宋体"/>
          <w:color w:val="000000"/>
          <w:szCs w:val="21"/>
          <w:highlight w:val="none"/>
        </w:rPr>
        <w:t>每天上午0</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:00至12:00，下午12:00至23:59（北京时间，法定节假日除外）</w:t>
      </w:r>
      <w:r>
        <w:rPr>
          <w:rFonts w:hint="eastAsia" w:ascii="宋体" w:hAnsi="宋体" w:eastAsia="宋体" w:cs="宋体"/>
          <w:kern w:val="0"/>
          <w:szCs w:val="21"/>
          <w:highlight w:val="none"/>
        </w:rPr>
        <w:t>。</w:t>
      </w:r>
    </w:p>
    <w:p w14:paraId="73E1757D">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2.地点：政府采购云平台（www.zcygov.cn）。</w:t>
      </w:r>
    </w:p>
    <w:p w14:paraId="73C1E595">
      <w:pPr>
        <w:keepNext w:val="0"/>
        <w:keepLines w:val="0"/>
        <w:pageBreakBefore w:val="0"/>
        <w:kinsoku/>
        <w:wordWrap/>
        <w:overflowPunct/>
        <w:topLinePunct w:val="0"/>
        <w:autoSpaceDE/>
        <w:autoSpaceDN/>
        <w:bidi w:val="0"/>
        <w:adjustRightInd/>
        <w:spacing w:line="530" w:lineRule="exact"/>
        <w:ind w:firstLine="420" w:firstLineChars="200"/>
        <w:jc w:val="left"/>
        <w:textAlignment w:val="auto"/>
        <w:rPr>
          <w:rFonts w:hint="eastAsia" w:ascii="宋体" w:hAnsi="宋体"/>
          <w:bCs/>
          <w:color w:val="auto"/>
          <w:szCs w:val="21"/>
          <w:highlight w:val="none"/>
          <w:lang w:eastAsia="zh-CN"/>
        </w:rPr>
      </w:pPr>
      <w:r>
        <w:rPr>
          <w:rFonts w:hint="eastAsia" w:ascii="宋体" w:hAnsi="宋体" w:eastAsia="宋体" w:cs="宋体"/>
          <w:kern w:val="0"/>
          <w:szCs w:val="21"/>
          <w:highlight w:val="none"/>
        </w:rPr>
        <w:t>3.方式：</w:t>
      </w:r>
      <w:r>
        <w:rPr>
          <w:rFonts w:hint="eastAsia" w:ascii="宋体" w:hAnsi="宋体"/>
          <w:bCs/>
          <w:color w:val="auto"/>
          <w:szCs w:val="21"/>
          <w:highlight w:val="none"/>
        </w:rPr>
        <w:t>凡有意参加投标的，需要在政采云平台办理数字证书（CA）。完成数字证书（CA）办理后，</w:t>
      </w:r>
      <w:r>
        <w:rPr>
          <w:rFonts w:hint="eastAsia" w:ascii="宋体" w:hAnsi="宋体"/>
          <w:bCs/>
          <w:color w:val="auto"/>
          <w:szCs w:val="21"/>
          <w:highlight w:val="none"/>
          <w:lang w:eastAsia="zh-CN"/>
        </w:rPr>
        <w:t>磋商申请人</w:t>
      </w:r>
      <w:r>
        <w:rPr>
          <w:rFonts w:hint="eastAsia" w:ascii="宋体" w:hAnsi="宋体"/>
          <w:bCs/>
          <w:color w:val="auto"/>
          <w:szCs w:val="21"/>
          <w:highlight w:val="none"/>
        </w:rPr>
        <w:t>需要在政采云平台绑定数字证书(CA)，并在平台上获取采购文件和其他相关采购资料。注：按上述要求获取文件的</w:t>
      </w:r>
      <w:r>
        <w:rPr>
          <w:rFonts w:hint="eastAsia" w:ascii="宋体" w:hAnsi="宋体"/>
          <w:bCs/>
          <w:color w:val="auto"/>
          <w:szCs w:val="21"/>
          <w:highlight w:val="none"/>
          <w:lang w:eastAsia="zh-CN"/>
        </w:rPr>
        <w:t>磋商申请人</w:t>
      </w:r>
      <w:r>
        <w:rPr>
          <w:rFonts w:hint="eastAsia" w:ascii="宋体" w:hAnsi="宋体"/>
          <w:bCs/>
          <w:color w:val="auto"/>
          <w:szCs w:val="21"/>
          <w:highlight w:val="none"/>
        </w:rPr>
        <w:t>视为合法获取了本项目采购文件，具备本项目的投标资格。云南壹证通CA申领链接：</w:t>
      </w:r>
      <w:bookmarkStart w:id="2" w:name="OLE_LINK5"/>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"http://yzt.ynsmartcert.cn/cms/yztyzt0011.html" </w:instrText>
      </w:r>
      <w:r>
        <w:rPr>
          <w:rFonts w:hint="eastAsia" w:ascii="宋体" w:hAnsi="宋体"/>
          <w:bCs/>
          <w:color w:val="auto"/>
          <w:szCs w:val="21"/>
          <w:highlight w:val="none"/>
        </w:rPr>
        <w:fldChar w:fldCharType="separate"/>
      </w:r>
      <w:r>
        <w:rPr>
          <w:rFonts w:hint="eastAsia" w:ascii="宋体" w:hAnsi="宋体"/>
          <w:bCs/>
          <w:color w:val="auto"/>
          <w:szCs w:val="21"/>
          <w:highlight w:val="none"/>
        </w:rPr>
        <w:t>http://yzt.ynsmartcert.cn/cms/yztyzt0011.html</w:t>
      </w:r>
      <w:r>
        <w:rPr>
          <w:rFonts w:hint="eastAsia" w:ascii="宋体" w:hAnsi="宋体"/>
          <w:bCs/>
          <w:color w:val="auto"/>
          <w:szCs w:val="21"/>
          <w:highlight w:val="none"/>
        </w:rPr>
        <w:fldChar w:fldCharType="end"/>
      </w:r>
      <w:bookmarkEnd w:id="2"/>
      <w:r>
        <w:rPr>
          <w:rFonts w:hint="eastAsia" w:ascii="宋体" w:hAnsi="宋体"/>
          <w:bCs/>
          <w:color w:val="auto"/>
          <w:szCs w:val="21"/>
          <w:highlight w:val="none"/>
        </w:rPr>
        <w:t>云南壹证通CA 可支持线上、线下办理方式，并提供7*24小时全天候客户服务支持，</w:t>
      </w:r>
      <w:bookmarkStart w:id="3" w:name="OLE_LINK8"/>
      <w:r>
        <w:rPr>
          <w:rFonts w:hint="eastAsia" w:ascii="宋体" w:hAnsi="宋体"/>
          <w:bCs/>
          <w:color w:val="auto"/>
          <w:szCs w:val="21"/>
          <w:highlight w:val="none"/>
        </w:rPr>
        <w:t>客服热线400-004-0628（紧急CA办理电话：</w:t>
      </w:r>
      <w:bookmarkStart w:id="4" w:name="OLE_LINK9"/>
      <w:r>
        <w:rPr>
          <w:rFonts w:hint="eastAsia" w:ascii="宋体" w:hAnsi="宋体"/>
          <w:bCs/>
          <w:color w:val="auto"/>
          <w:szCs w:val="21"/>
          <w:highlight w:val="none"/>
          <w:lang w:val="en-US" w:eastAsia="zh-CN"/>
        </w:rPr>
        <w:t>19987563037</w:t>
      </w:r>
      <w:bookmarkEnd w:id="4"/>
      <w:r>
        <w:rPr>
          <w:rFonts w:hint="eastAsia" w:ascii="宋体" w:hAnsi="宋体"/>
          <w:bCs/>
          <w:color w:val="auto"/>
          <w:szCs w:val="21"/>
          <w:highlight w:val="none"/>
        </w:rPr>
        <w:t>）</w:t>
      </w:r>
      <w:r>
        <w:rPr>
          <w:rFonts w:hint="eastAsia" w:ascii="宋体" w:hAnsi="宋体"/>
          <w:bCs/>
          <w:color w:val="auto"/>
          <w:szCs w:val="21"/>
          <w:highlight w:val="none"/>
          <w:lang w:eastAsia="zh-CN"/>
        </w:rPr>
        <w:t>。</w:t>
      </w:r>
    </w:p>
    <w:bookmarkEnd w:id="3"/>
    <w:p w14:paraId="5897A304">
      <w:pPr>
        <w:keepNext w:val="0"/>
        <w:keepLines w:val="0"/>
        <w:pageBreakBefore w:val="0"/>
        <w:kinsoku/>
        <w:wordWrap/>
        <w:overflowPunct/>
        <w:topLinePunct w:val="0"/>
        <w:autoSpaceDE/>
        <w:autoSpaceDN/>
        <w:bidi w:val="0"/>
        <w:adjustRightInd/>
        <w:spacing w:line="530" w:lineRule="exact"/>
        <w:ind w:firstLine="420" w:firstLineChars="200"/>
        <w:jc w:val="left"/>
        <w:textAlignment w:val="auto"/>
        <w:rPr>
          <w:rFonts w:ascii="宋体" w:hAnsi="宋体" w:eastAsia="宋体" w:cs="宋体"/>
          <w:kern w:val="0"/>
          <w:szCs w:val="21"/>
          <w:highlight w:val="none"/>
        </w:rPr>
      </w:pPr>
      <w:r>
        <w:rPr>
          <w:rFonts w:hint="eastAsia" w:ascii="宋体" w:hAnsi="宋体"/>
          <w:bCs/>
          <w:color w:val="auto"/>
          <w:szCs w:val="21"/>
          <w:highlight w:val="none"/>
          <w:lang w:val="en-US" w:eastAsia="zh-CN"/>
        </w:rPr>
        <w:t>注：</w:t>
      </w:r>
      <w:r>
        <w:rPr>
          <w:rFonts w:hint="eastAsia" w:ascii="宋体" w:hAnsi="宋体"/>
          <w:bCs/>
          <w:color w:val="auto"/>
          <w:szCs w:val="21"/>
          <w:highlight w:val="none"/>
        </w:rPr>
        <w:t>供应商如已在云南 CA办理过企业数字证书（CA）的，直接绑定即可，无需重复办理。云南省外供应商在政采云平台办理的其他CA可直接使用，无需重复办理。</w:t>
      </w:r>
    </w:p>
    <w:p w14:paraId="0D82FEE0">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4.售价：¥0.00元。</w:t>
      </w:r>
    </w:p>
    <w:p w14:paraId="37BD5172">
      <w:pPr>
        <w:keepLines w:val="0"/>
        <w:pageBreakBefore w:val="0"/>
        <w:widowControl/>
        <w:kinsoku/>
        <w:overflowPunct/>
        <w:autoSpaceDE/>
        <w:autoSpaceDN/>
        <w:bidi w:val="0"/>
        <w:adjustRightInd/>
        <w:spacing w:line="530" w:lineRule="exact"/>
        <w:ind w:firstLine="426" w:firstLineChars="202"/>
        <w:textAlignment w:val="auto"/>
        <w:rPr>
          <w:rFonts w:ascii="宋体" w:hAnsi="宋体" w:eastAsia="宋体" w:cs="宋体"/>
          <w:b/>
          <w:kern w:val="0"/>
          <w:szCs w:val="21"/>
          <w:highlight w:val="none"/>
        </w:rPr>
      </w:pPr>
      <w:r>
        <w:rPr>
          <w:rFonts w:hint="eastAsia" w:ascii="宋体" w:hAnsi="宋体" w:eastAsia="宋体" w:cs="宋体"/>
          <w:b/>
          <w:kern w:val="0"/>
          <w:szCs w:val="21"/>
          <w:highlight w:val="none"/>
        </w:rPr>
        <w:t>四、响应文件提交：</w:t>
      </w:r>
    </w:p>
    <w:p w14:paraId="30FBF3A9">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1.截止时间：</w:t>
      </w:r>
      <w:r>
        <w:rPr>
          <w:rFonts w:hint="eastAsia" w:ascii="宋体" w:hAnsi="宋体" w:eastAsia="宋体" w:cs="宋体"/>
          <w:bCs/>
          <w:szCs w:val="21"/>
          <w:highlight w:val="none"/>
          <w:u w:val="single"/>
          <w:lang w:eastAsia="zh-CN"/>
        </w:rPr>
        <w:t>2026年05月19日</w:t>
      </w:r>
      <w:r>
        <w:rPr>
          <w:rFonts w:hint="eastAsia" w:ascii="宋体" w:hAnsi="宋体" w:eastAsia="宋体" w:cs="宋体"/>
          <w:bCs/>
          <w:szCs w:val="21"/>
          <w:highlight w:val="none"/>
          <w:u w:val="single"/>
          <w:lang w:val="en-US" w:eastAsia="zh-CN"/>
        </w:rPr>
        <w:t>15</w:t>
      </w:r>
      <w:r>
        <w:rPr>
          <w:rFonts w:hint="eastAsia" w:ascii="宋体" w:hAnsi="宋体" w:eastAsia="宋体" w:cs="宋体"/>
          <w:bCs/>
          <w:szCs w:val="21"/>
          <w:highlight w:val="none"/>
          <w:u w:val="single"/>
        </w:rPr>
        <w:t>时00分</w:t>
      </w:r>
      <w:r>
        <w:rPr>
          <w:rFonts w:hint="eastAsia" w:ascii="宋体" w:hAnsi="宋体" w:eastAsia="宋体" w:cs="宋体"/>
          <w:kern w:val="0"/>
          <w:szCs w:val="21"/>
          <w:highlight w:val="none"/>
        </w:rPr>
        <w:t>（北京时间）。</w:t>
      </w:r>
    </w:p>
    <w:p w14:paraId="49D33845">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2.地点：本次采购采用在政府采购云平台（www.zcygov.cn）上进行采购与递交响应文件，磋商响应文件递交要求如下：</w:t>
      </w:r>
    </w:p>
    <w:p w14:paraId="331B63C1">
      <w:pPr>
        <w:keepNext/>
        <w:keepLines w:val="0"/>
        <w:pageBreakBefore w:val="0"/>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1）网上递交：磋商申请人网上递交需登录政府采购云平台（www.zcygov.cn），须在磋商响应文件提交截止时间前完成所有电子竞争性磋商响应文件的上传，磋商响应文件递交截止时间前未完成文件上传的，视为撤回磋商响应文件。</w:t>
      </w:r>
    </w:p>
    <w:p w14:paraId="36A11277">
      <w:pPr>
        <w:keepNext/>
        <w:keepLines w:val="0"/>
        <w:pageBreakBefore w:val="0"/>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（2）本项目采用在政府采购云平台（www.zcygov.cn）上进行采购与递交响应文件，无需现场递交纸质文件，但应在文件递交截止时间时登录系统，并根据开标系统的提示操作解密文件。</w:t>
      </w:r>
    </w:p>
    <w:p w14:paraId="7514286E">
      <w:pPr>
        <w:keepLines w:val="0"/>
        <w:pageBreakBefore w:val="0"/>
        <w:widowControl/>
        <w:kinsoku/>
        <w:overflowPunct/>
        <w:autoSpaceDE/>
        <w:autoSpaceDN/>
        <w:bidi w:val="0"/>
        <w:adjustRightInd/>
        <w:spacing w:line="530" w:lineRule="exact"/>
        <w:ind w:firstLine="426" w:firstLineChars="202"/>
        <w:textAlignment w:val="auto"/>
        <w:rPr>
          <w:rFonts w:ascii="宋体" w:hAnsi="宋体" w:eastAsia="宋体" w:cs="宋体"/>
          <w:b/>
          <w:kern w:val="0"/>
          <w:szCs w:val="21"/>
          <w:highlight w:val="none"/>
        </w:rPr>
      </w:pPr>
      <w:r>
        <w:rPr>
          <w:rFonts w:hint="eastAsia" w:ascii="宋体" w:hAnsi="宋体" w:eastAsia="宋体" w:cs="宋体"/>
          <w:b/>
          <w:kern w:val="0"/>
          <w:szCs w:val="21"/>
          <w:highlight w:val="none"/>
        </w:rPr>
        <w:t>五、响应文件开启：</w:t>
      </w:r>
    </w:p>
    <w:p w14:paraId="36EB5BB3">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1.时间：</w:t>
      </w:r>
      <w:r>
        <w:rPr>
          <w:rFonts w:hint="eastAsia" w:ascii="宋体" w:hAnsi="宋体" w:eastAsia="宋体" w:cs="宋体"/>
          <w:bCs/>
          <w:szCs w:val="21"/>
          <w:highlight w:val="none"/>
          <w:u w:val="single"/>
          <w:lang w:eastAsia="zh-CN"/>
        </w:rPr>
        <w:t>2026年05月19日</w:t>
      </w:r>
      <w:r>
        <w:rPr>
          <w:rFonts w:hint="eastAsia" w:ascii="宋体" w:hAnsi="宋体" w:eastAsia="宋体" w:cs="宋体"/>
          <w:bCs/>
          <w:szCs w:val="21"/>
          <w:highlight w:val="none"/>
          <w:u w:val="single"/>
          <w:lang w:val="en-US" w:eastAsia="zh-CN"/>
        </w:rPr>
        <w:t>15</w:t>
      </w:r>
      <w:r>
        <w:rPr>
          <w:rFonts w:hint="eastAsia" w:ascii="宋体" w:hAnsi="宋体" w:eastAsia="宋体" w:cs="宋体"/>
          <w:bCs/>
          <w:szCs w:val="21"/>
          <w:highlight w:val="none"/>
          <w:u w:val="single"/>
        </w:rPr>
        <w:t>时00分</w:t>
      </w:r>
      <w:r>
        <w:rPr>
          <w:rFonts w:hint="eastAsia" w:ascii="宋体" w:hAnsi="宋体" w:eastAsia="宋体" w:cs="宋体"/>
          <w:kern w:val="0"/>
          <w:szCs w:val="21"/>
          <w:highlight w:val="none"/>
        </w:rPr>
        <w:t>（北京时间）。</w:t>
      </w:r>
    </w:p>
    <w:p w14:paraId="1D296F4F">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2.地点：</w:t>
      </w:r>
      <w:r>
        <w:rPr>
          <w:rFonts w:hint="eastAsia" w:ascii="宋体" w:hAnsi="宋体" w:eastAsia="宋体" w:cs="宋体"/>
          <w:kern w:val="0"/>
          <w:szCs w:val="21"/>
          <w:highlight w:val="none"/>
          <w:lang w:val="en-US" w:eastAsia="zh-CN"/>
        </w:rPr>
        <w:t>云南润腾招标咨询有限公司（</w:t>
      </w:r>
      <w:r>
        <w:rPr>
          <w:rFonts w:hint="eastAsia" w:ascii="宋体" w:hAnsi="宋体" w:eastAsia="宋体" w:cs="宋体"/>
          <w:bCs/>
          <w:szCs w:val="21"/>
          <w:highlight w:val="none"/>
          <w:lang w:eastAsia="zh-CN"/>
        </w:rPr>
        <w:t>保山市隆阳区永昌街道红庙5组19号）</w:t>
      </w:r>
      <w:r>
        <w:rPr>
          <w:rFonts w:hint="eastAsia" w:ascii="宋体" w:hAnsi="宋体" w:eastAsia="宋体" w:cs="宋体"/>
          <w:kern w:val="0"/>
          <w:szCs w:val="21"/>
          <w:highlight w:val="none"/>
        </w:rPr>
        <w:t>。</w:t>
      </w:r>
    </w:p>
    <w:p w14:paraId="7ABB872D">
      <w:pPr>
        <w:keepLines w:val="0"/>
        <w:pageBreakBefore w:val="0"/>
        <w:widowControl/>
        <w:kinsoku/>
        <w:overflowPunct/>
        <w:autoSpaceDE/>
        <w:autoSpaceDN/>
        <w:bidi w:val="0"/>
        <w:adjustRightInd/>
        <w:spacing w:line="530" w:lineRule="exact"/>
        <w:ind w:firstLine="426" w:firstLineChars="202"/>
        <w:textAlignment w:val="auto"/>
        <w:rPr>
          <w:rFonts w:ascii="宋体" w:hAnsi="宋体" w:eastAsia="宋体" w:cs="宋体"/>
          <w:b/>
          <w:kern w:val="0"/>
          <w:szCs w:val="21"/>
          <w:highlight w:val="none"/>
        </w:rPr>
      </w:pPr>
      <w:r>
        <w:rPr>
          <w:rFonts w:hint="eastAsia" w:ascii="宋体" w:hAnsi="宋体" w:eastAsia="宋体" w:cs="宋体"/>
          <w:b/>
          <w:kern w:val="0"/>
          <w:szCs w:val="21"/>
          <w:highlight w:val="none"/>
        </w:rPr>
        <w:t>六、公告期限：</w:t>
      </w:r>
    </w:p>
    <w:p w14:paraId="275416A4">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自本公告发布之日起</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个工作日。</w:t>
      </w:r>
    </w:p>
    <w:p w14:paraId="324C6A0A">
      <w:pPr>
        <w:keepLines w:val="0"/>
        <w:pageBreakBefore w:val="0"/>
        <w:widowControl/>
        <w:kinsoku/>
        <w:overflowPunct/>
        <w:autoSpaceDE/>
        <w:autoSpaceDN/>
        <w:bidi w:val="0"/>
        <w:adjustRightInd/>
        <w:spacing w:line="530" w:lineRule="exact"/>
        <w:ind w:firstLine="426" w:firstLineChars="202"/>
        <w:textAlignment w:val="auto"/>
        <w:rPr>
          <w:rFonts w:ascii="宋体" w:hAnsi="宋体" w:eastAsia="宋体" w:cs="宋体"/>
          <w:b/>
          <w:kern w:val="0"/>
          <w:szCs w:val="21"/>
          <w:highlight w:val="none"/>
        </w:rPr>
      </w:pPr>
      <w:r>
        <w:rPr>
          <w:rFonts w:hint="eastAsia" w:ascii="宋体" w:hAnsi="宋体" w:eastAsia="宋体" w:cs="宋体"/>
          <w:b/>
          <w:kern w:val="0"/>
          <w:szCs w:val="21"/>
          <w:highlight w:val="none"/>
        </w:rPr>
        <w:t>七、其他补充事宜：</w:t>
      </w:r>
    </w:p>
    <w:p w14:paraId="3A4B4FD9">
      <w:pPr>
        <w:widowControl w:val="0"/>
        <w:numPr>
          <w:ilvl w:val="0"/>
          <w:numId w:val="2"/>
        </w:numPr>
        <w:spacing w:line="360" w:lineRule="auto"/>
        <w:ind w:left="0" w:leftChars="0" w:firstLine="420" w:firstLineChars="0"/>
        <w:jc w:val="both"/>
        <w:rPr>
          <w:rFonts w:ascii="宋体" w:hAnsi="宋体" w:cs="宋体"/>
          <w:color w:val="auto"/>
          <w:szCs w:val="24"/>
          <w:highlight w:val="none"/>
          <w:lang w:eastAsia="zh-CN" w:bidi="ar-SA"/>
        </w:rPr>
      </w:pPr>
      <w:r>
        <w:rPr>
          <w:rFonts w:hint="eastAsia" w:ascii="宋体" w:hAnsi="宋体" w:cs="宋体"/>
          <w:color w:val="auto"/>
          <w:szCs w:val="24"/>
          <w:highlight w:val="none"/>
          <w:lang w:eastAsia="zh-CN" w:bidi="ar-SA"/>
        </w:rPr>
        <w:t>磋商保证金</w:t>
      </w:r>
    </w:p>
    <w:p w14:paraId="5B4C586D">
      <w:pPr>
        <w:widowControl/>
        <w:spacing w:line="360" w:lineRule="auto"/>
        <w:ind w:firstLine="424" w:firstLineChars="202"/>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本项目磋商保证金金额 ：</w:t>
      </w:r>
      <w:r>
        <w:rPr>
          <w:rFonts w:hint="eastAsia" w:ascii="宋体" w:hAnsi="宋体" w:eastAsia="宋体" w:cs="宋体"/>
          <w:kern w:val="0"/>
          <w:szCs w:val="21"/>
          <w:highlight w:val="none"/>
          <w:lang w:val="en-US" w:eastAsia="zh-CN"/>
        </w:rPr>
        <w:t>8000.00元（捌仟元整）</w:t>
      </w:r>
      <w:r>
        <w:rPr>
          <w:rFonts w:hint="eastAsia" w:ascii="宋体" w:hAnsi="宋体" w:eastAsia="宋体" w:cs="宋体"/>
          <w:color w:val="auto"/>
          <w:kern w:val="0"/>
          <w:szCs w:val="21"/>
          <w:highlight w:val="none"/>
          <w:lang w:eastAsia="zh-CN"/>
        </w:rPr>
        <w:t>；磋商保证金需于磋商截止时间前到达磋商保证金专用账户。</w:t>
      </w:r>
    </w:p>
    <w:p w14:paraId="39A6AFCE">
      <w:pPr>
        <w:pStyle w:val="2"/>
        <w:spacing w:line="360" w:lineRule="auto"/>
        <w:ind w:firstLine="420" w:firstLineChars="200"/>
        <w:rPr>
          <w:rFonts w:hint="eastAsia"/>
          <w:lang w:eastAsia="zh-CN"/>
        </w:rPr>
      </w:pPr>
      <w:r>
        <w:rPr>
          <w:rFonts w:hint="eastAsia"/>
          <w:lang w:eastAsia="zh-CN"/>
        </w:rPr>
        <w:t>保证金缴纳方式：支票、汇票、本票、保函、等非现金形式</w:t>
      </w:r>
    </w:p>
    <w:tbl>
      <w:tblPr>
        <w:tblStyle w:val="27"/>
        <w:tblW w:w="880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805"/>
      </w:tblGrid>
      <w:tr w14:paraId="046336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8805" w:type="dxa"/>
            <w:tcBorders>
              <w:top w:val="single" w:color="000000" w:sz="8" w:space="0"/>
              <w:left w:val="single" w:color="000000" w:sz="8" w:space="0"/>
              <w:bottom w:val="single" w:color="000000" w:sz="8" w:space="0"/>
              <w:right w:val="single" w:color="000000" w:sz="8" w:space="0"/>
            </w:tcBorders>
            <w:tcMar>
              <w:left w:w="108" w:type="dxa"/>
              <w:right w:w="108" w:type="dxa"/>
            </w:tcMar>
            <w:vAlign w:val="center"/>
          </w:tcPr>
          <w:p w14:paraId="5A425D33">
            <w:pPr>
              <w:spacing w:line="360" w:lineRule="auto"/>
              <w:jc w:val="center"/>
              <w:rPr>
                <w:rFonts w:ascii="宋体" w:hAnsi="宋体" w:cs="宋体"/>
                <w:color w:val="auto"/>
                <w:highlight w:val="none"/>
              </w:rPr>
            </w:pPr>
            <w:r>
              <w:rPr>
                <w:rFonts w:hint="eastAsia" w:ascii="宋体" w:hAnsi="宋体" w:cs="宋体"/>
                <w:color w:val="auto"/>
                <w:highlight w:val="none"/>
                <w:lang w:eastAsia="zh-CN"/>
              </w:rPr>
              <w:t>磋商</w:t>
            </w:r>
            <w:r>
              <w:rPr>
                <w:rFonts w:hint="eastAsia" w:ascii="宋体" w:hAnsi="宋体" w:cs="宋体"/>
                <w:color w:val="auto"/>
                <w:highlight w:val="none"/>
              </w:rPr>
              <w:t>保证金汇款账户</w:t>
            </w:r>
          </w:p>
        </w:tc>
      </w:tr>
      <w:tr w14:paraId="08CACD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8805" w:type="dxa"/>
            <w:tcBorders>
              <w:top w:val="nil"/>
              <w:left w:val="single" w:color="000000" w:sz="8" w:space="0"/>
              <w:bottom w:val="single" w:color="000000" w:sz="8" w:space="0"/>
              <w:right w:val="single" w:color="000000" w:sz="8" w:space="0"/>
            </w:tcBorders>
            <w:tcMar>
              <w:left w:w="108" w:type="dxa"/>
              <w:right w:w="108" w:type="dxa"/>
            </w:tcMar>
            <w:vAlign w:val="center"/>
          </w:tcPr>
          <w:p w14:paraId="08C269F5">
            <w:pPr>
              <w:spacing w:line="360" w:lineRule="auto"/>
              <w:rPr>
                <w:rFonts w:ascii="宋体" w:hAnsi="宋体" w:cs="宋体"/>
                <w:color w:val="auto"/>
                <w:highlight w:val="none"/>
                <w:lang w:eastAsia="zh-CN"/>
              </w:rPr>
            </w:pPr>
            <w:r>
              <w:rPr>
                <w:rFonts w:hint="eastAsia" w:ascii="宋体" w:hAnsi="宋体" w:cs="宋体"/>
                <w:color w:val="auto"/>
                <w:highlight w:val="none"/>
                <w:lang w:eastAsia="zh-CN"/>
              </w:rPr>
              <w:t>开户名称：云南润腾招标咨询有限公司</w:t>
            </w:r>
          </w:p>
        </w:tc>
      </w:tr>
      <w:tr w14:paraId="009B3F4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8805" w:type="dxa"/>
            <w:tcBorders>
              <w:top w:val="nil"/>
              <w:left w:val="single" w:color="000000" w:sz="8" w:space="0"/>
              <w:bottom w:val="single" w:color="000000" w:sz="8" w:space="0"/>
              <w:right w:val="single" w:color="000000" w:sz="8" w:space="0"/>
            </w:tcBorders>
            <w:tcMar>
              <w:left w:w="108" w:type="dxa"/>
              <w:right w:w="108" w:type="dxa"/>
            </w:tcMar>
            <w:vAlign w:val="center"/>
          </w:tcPr>
          <w:p w14:paraId="51A85F93">
            <w:pPr>
              <w:spacing w:line="360" w:lineRule="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开户银行：隆阳农村商业银行永昌支行</w:t>
            </w:r>
          </w:p>
        </w:tc>
      </w:tr>
      <w:tr w14:paraId="244FDC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8805" w:type="dxa"/>
            <w:tcBorders>
              <w:top w:val="nil"/>
              <w:left w:val="single" w:color="000000" w:sz="8" w:space="0"/>
              <w:bottom w:val="single" w:color="000000" w:sz="8" w:space="0"/>
              <w:right w:val="single" w:color="auto" w:sz="4" w:space="0"/>
            </w:tcBorders>
            <w:tcMar>
              <w:left w:w="108" w:type="dxa"/>
              <w:right w:w="108" w:type="dxa"/>
            </w:tcMar>
            <w:vAlign w:val="center"/>
          </w:tcPr>
          <w:p w14:paraId="1E73BEC6">
            <w:pPr>
              <w:spacing w:line="360" w:lineRule="auto"/>
              <w:rPr>
                <w:rFonts w:hint="eastAsia" w:ascii="宋体" w:hAnsi="宋体" w:cs="宋体"/>
                <w:color w:val="auto"/>
                <w:highlight w:val="none"/>
              </w:rPr>
            </w:pPr>
            <w:r>
              <w:rPr>
                <w:rFonts w:hint="eastAsia" w:ascii="宋体" w:hAnsi="宋体" w:cs="宋体"/>
                <w:color w:val="auto"/>
                <w:highlight w:val="none"/>
              </w:rPr>
              <w:t>账号：</w:t>
            </w:r>
            <w:r>
              <w:rPr>
                <w:rFonts w:hint="eastAsia" w:ascii="宋体" w:hAnsi="宋体" w:cs="宋体" w:eastAsiaTheme="minorEastAsia"/>
                <w:color w:val="auto"/>
                <w:kern w:val="2"/>
                <w:sz w:val="21"/>
                <w:szCs w:val="22"/>
                <w:highlight w:val="none"/>
                <w:lang w:val="en-US" w:eastAsia="zh-CN" w:bidi="ar-SA"/>
              </w:rPr>
              <w:t>2300 0154 4970 1012</w:t>
            </w:r>
          </w:p>
        </w:tc>
      </w:tr>
      <w:tr w14:paraId="7C9982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8805" w:type="dxa"/>
            <w:tcBorders>
              <w:top w:val="nil"/>
              <w:left w:val="single" w:color="000000" w:sz="8" w:space="0"/>
              <w:bottom w:val="single" w:color="000000" w:sz="8" w:space="0"/>
              <w:right w:val="single" w:color="auto" w:sz="4" w:space="0"/>
            </w:tcBorders>
            <w:tcMar>
              <w:left w:w="108" w:type="dxa"/>
              <w:right w:w="108" w:type="dxa"/>
            </w:tcMar>
            <w:vAlign w:val="center"/>
          </w:tcPr>
          <w:p w14:paraId="4B36CD54">
            <w:pPr>
              <w:spacing w:line="360" w:lineRule="auto"/>
              <w:rPr>
                <w:rFonts w:ascii="宋体" w:hAnsi="宋体" w:cs="宋体"/>
                <w:color w:val="auto"/>
                <w:highlight w:val="none"/>
                <w:lang w:eastAsia="zh-CN"/>
              </w:rPr>
            </w:pPr>
            <w:r>
              <w:rPr>
                <w:rFonts w:hint="eastAsia" w:ascii="宋体" w:hAnsi="宋体" w:cs="宋体"/>
                <w:color w:val="auto"/>
                <w:highlight w:val="none"/>
                <w:lang w:eastAsia="zh-CN"/>
              </w:rPr>
              <w:t>汇款交纳查询电话：0875—2129055</w:t>
            </w:r>
          </w:p>
        </w:tc>
      </w:tr>
      <w:tr w14:paraId="2C9D2A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8805" w:type="dxa"/>
            <w:tcBorders>
              <w:top w:val="nil"/>
              <w:left w:val="single" w:color="000000" w:sz="8" w:space="0"/>
              <w:bottom w:val="single" w:color="000000" w:sz="8" w:space="0"/>
              <w:right w:val="single" w:color="auto" w:sz="4" w:space="0"/>
            </w:tcBorders>
            <w:tcMar>
              <w:left w:w="108" w:type="dxa"/>
              <w:right w:w="108" w:type="dxa"/>
            </w:tcMar>
            <w:vAlign w:val="center"/>
          </w:tcPr>
          <w:p w14:paraId="137BB44F">
            <w:pPr>
              <w:spacing w:line="360" w:lineRule="auto"/>
              <w:rPr>
                <w:rFonts w:ascii="宋体" w:hAnsi="宋体" w:cs="宋体"/>
                <w:color w:val="auto"/>
                <w:highlight w:val="none"/>
              </w:rPr>
            </w:pPr>
            <w:r>
              <w:rPr>
                <w:rFonts w:hint="eastAsia" w:ascii="宋体" w:hAnsi="宋体" w:cs="宋体"/>
                <w:color w:val="auto"/>
                <w:highlight w:val="none"/>
              </w:rPr>
              <w:t>联系人：孟女士</w:t>
            </w:r>
          </w:p>
        </w:tc>
      </w:tr>
      <w:tr w14:paraId="6A0D1C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3" w:hRule="atLeast"/>
          <w:jc w:val="center"/>
        </w:trPr>
        <w:tc>
          <w:tcPr>
            <w:tcW w:w="8805" w:type="dxa"/>
            <w:tcBorders>
              <w:top w:val="nil"/>
              <w:left w:val="single" w:color="000000" w:sz="8" w:space="0"/>
              <w:bottom w:val="single" w:color="000000" w:sz="8" w:space="0"/>
              <w:right w:val="single" w:color="auto" w:sz="4" w:space="0"/>
            </w:tcBorders>
            <w:tcMar>
              <w:left w:w="108" w:type="dxa"/>
              <w:right w:w="108" w:type="dxa"/>
            </w:tcMar>
            <w:vAlign w:val="center"/>
          </w:tcPr>
          <w:p w14:paraId="68BD9104">
            <w:pPr>
              <w:snapToGrid w:val="0"/>
              <w:spacing w:line="360" w:lineRule="auto"/>
              <w:jc w:val="left"/>
              <w:rPr>
                <w:rFonts w:ascii="宋体" w:hAnsi="宋体" w:cs="宋体"/>
                <w:color w:val="auto"/>
                <w:highlight w:val="none"/>
                <w:lang w:eastAsia="zh-CN"/>
              </w:rPr>
            </w:pPr>
            <w:r>
              <w:rPr>
                <w:rFonts w:hint="eastAsia" w:ascii="宋体" w:hAnsi="宋体" w:cs="宋体"/>
                <w:color w:val="auto"/>
                <w:highlight w:val="none"/>
                <w:lang w:eastAsia="zh-CN"/>
              </w:rPr>
              <w:t>备注：</w:t>
            </w:r>
            <w:r>
              <w:rPr>
                <w:rFonts w:hint="eastAsia" w:ascii="宋体" w:hAnsi="宋体"/>
                <w:spacing w:val="6"/>
                <w:szCs w:val="21"/>
                <w:highlight w:val="none"/>
              </w:rPr>
              <w:t>备</w:t>
            </w:r>
            <w:r>
              <w:rPr>
                <w:rFonts w:hint="eastAsia" w:ascii="宋体" w:hAnsi="宋体"/>
                <w:spacing w:val="6"/>
                <w:szCs w:val="21"/>
                <w:highlight w:val="none"/>
                <w:lang w:eastAsia="zh-CN"/>
              </w:rPr>
              <w:t>供应商</w:t>
            </w:r>
            <w:r>
              <w:rPr>
                <w:rFonts w:hint="eastAsia" w:ascii="宋体" w:hAnsi="宋体"/>
                <w:spacing w:val="6"/>
                <w:szCs w:val="21"/>
                <w:highlight w:val="none"/>
              </w:rPr>
              <w:t>缴纳</w:t>
            </w:r>
            <w:r>
              <w:rPr>
                <w:rFonts w:hint="eastAsia" w:ascii="宋体" w:hAnsi="宋体"/>
                <w:spacing w:val="6"/>
                <w:szCs w:val="21"/>
                <w:highlight w:val="none"/>
                <w:lang w:eastAsia="zh-CN"/>
              </w:rPr>
              <w:t>磋商</w:t>
            </w:r>
            <w:r>
              <w:rPr>
                <w:rFonts w:hint="eastAsia" w:ascii="宋体" w:hAnsi="宋体"/>
                <w:spacing w:val="6"/>
                <w:szCs w:val="21"/>
                <w:highlight w:val="none"/>
              </w:rPr>
              <w:t>保证金时必须注明本项目</w:t>
            </w:r>
            <w:r>
              <w:rPr>
                <w:rFonts w:hint="eastAsia" w:ascii="宋体" w:hAnsi="宋体"/>
                <w:spacing w:val="6"/>
                <w:szCs w:val="21"/>
                <w:highlight w:val="none"/>
                <w:lang w:val="en-US" w:eastAsia="zh-CN"/>
              </w:rPr>
              <w:t>采购</w:t>
            </w:r>
            <w:r>
              <w:rPr>
                <w:rFonts w:hint="eastAsia" w:ascii="宋体" w:hAnsi="宋体"/>
                <w:spacing w:val="6"/>
                <w:szCs w:val="21"/>
                <w:highlight w:val="none"/>
              </w:rPr>
              <w:t>编号或者项目名称</w:t>
            </w:r>
          </w:p>
        </w:tc>
      </w:tr>
    </w:tbl>
    <w:p w14:paraId="35302875">
      <w:pPr>
        <w:bidi w:val="0"/>
        <w:rPr>
          <w:rFonts w:hint="default"/>
          <w:highlight w:val="none"/>
          <w:lang w:val="en-US" w:eastAsia="zh-CN"/>
        </w:rPr>
      </w:pPr>
    </w:p>
    <w:p w14:paraId="0D5D1810">
      <w:pPr>
        <w:keepLines w:val="0"/>
        <w:pageBreakBefore w:val="0"/>
        <w:widowControl/>
        <w:numPr>
          <w:ilvl w:val="0"/>
          <w:numId w:val="2"/>
        </w:numPr>
        <w:kinsoku/>
        <w:overflowPunct/>
        <w:autoSpaceDE/>
        <w:autoSpaceDN/>
        <w:bidi w:val="0"/>
        <w:adjustRightInd/>
        <w:spacing w:line="530" w:lineRule="exact"/>
        <w:ind w:left="0" w:leftChars="0" w:firstLine="420" w:firstLineChars="0"/>
        <w:textAlignment w:val="auto"/>
        <w:rPr>
          <w:rFonts w:ascii="宋体" w:hAnsi="宋体" w:eastAsia="宋体" w:cs="宋体"/>
          <w:kern w:val="0"/>
          <w:szCs w:val="21"/>
          <w:highlight w:val="none"/>
        </w:rPr>
      </w:pPr>
      <w:r>
        <w:rPr>
          <w:rFonts w:hint="eastAsia" w:ascii="宋体" w:hAnsi="宋体" w:eastAsia="宋体" w:cs="宋体"/>
          <w:kern w:val="0"/>
          <w:szCs w:val="21"/>
          <w:highlight w:val="none"/>
        </w:rPr>
        <w:t>本项目竞争性磋商公告发布媒体：云南省政府采购网（网址：www.yngp.com）。</w:t>
      </w:r>
    </w:p>
    <w:p w14:paraId="71D74C80">
      <w:pPr>
        <w:keepLines w:val="0"/>
        <w:pageBreakBefore w:val="0"/>
        <w:widowControl/>
        <w:numPr>
          <w:ilvl w:val="0"/>
          <w:numId w:val="2"/>
        </w:numPr>
        <w:kinsoku/>
        <w:overflowPunct/>
        <w:autoSpaceDE/>
        <w:autoSpaceDN/>
        <w:bidi w:val="0"/>
        <w:adjustRightInd/>
        <w:spacing w:line="530" w:lineRule="exact"/>
        <w:ind w:left="0" w:leftChars="0" w:firstLine="420" w:firstLineChars="0"/>
        <w:textAlignment w:val="auto"/>
        <w:rPr>
          <w:rFonts w:ascii="宋体" w:hAnsi="宋体" w:eastAsia="宋体" w:cs="宋体"/>
          <w:kern w:val="0"/>
          <w:szCs w:val="21"/>
          <w:highlight w:val="none"/>
        </w:rPr>
      </w:pPr>
      <w:r>
        <w:rPr>
          <w:rFonts w:hint="eastAsia" w:ascii="宋体" w:hAnsi="宋体" w:eastAsia="宋体" w:cs="宋体"/>
          <w:kern w:val="0"/>
          <w:szCs w:val="21"/>
          <w:highlight w:val="none"/>
        </w:rPr>
        <w:t>磋商申请人在参加磋商申请之前务必认真阅读竞争性磋商公告全部内容；竞争性磋商公告或竞争性磋商文件如有变更，将在以上网站或以书面形式发布。</w:t>
      </w:r>
    </w:p>
    <w:p w14:paraId="5C897422">
      <w:pPr>
        <w:pStyle w:val="41"/>
        <w:keepLines w:val="0"/>
        <w:pageBreakBefore w:val="0"/>
        <w:numPr>
          <w:ilvl w:val="0"/>
          <w:numId w:val="2"/>
        </w:numPr>
        <w:kinsoku/>
        <w:overflowPunct/>
        <w:autoSpaceDE/>
        <w:autoSpaceDN/>
        <w:bidi w:val="0"/>
        <w:adjustRightInd/>
        <w:spacing w:line="530" w:lineRule="exact"/>
        <w:ind w:left="0" w:leftChars="0" w:firstLine="420" w:firstLineChars="0"/>
        <w:textAlignment w:val="auto"/>
        <w:rPr>
          <w:rFonts w:hint="default" w:ascii="宋体" w:hAnsi="宋体" w:eastAsia="宋体" w:cs="宋体"/>
          <w:kern w:val="0"/>
          <w:highlight w:val="none"/>
          <w:lang w:val="en-US"/>
        </w:rPr>
      </w:pPr>
      <w:r>
        <w:rPr>
          <w:rFonts w:hint="eastAsia"/>
          <w:highlight w:val="none"/>
        </w:rPr>
        <w:t>采购意向公开情况：根据《财政部关于开展政府采购意向公开工作的通知》</w:t>
      </w:r>
      <w:r>
        <w:rPr>
          <w:rFonts w:hint="eastAsia" w:ascii="宋体" w:hAnsi="宋体" w:eastAsia="宋体" w:cs="宋体"/>
          <w:highlight w:val="none"/>
        </w:rPr>
        <w:t>（财库〔2020〕10号）等有关规定，202</w:t>
      </w:r>
      <w:r>
        <w:rPr>
          <w:rFonts w:hint="eastAsia" w:ascii="宋体" w:hAnsi="宋体" w:cs="宋体"/>
          <w:highlight w:val="none"/>
          <w:lang w:val="en-US" w:eastAsia="zh-CN"/>
        </w:rPr>
        <w:t>6</w:t>
      </w:r>
      <w:r>
        <w:rPr>
          <w:rFonts w:hint="eastAsia" w:ascii="宋体" w:hAnsi="宋体" w:eastAsia="宋体" w:cs="宋体"/>
          <w:highlight w:val="none"/>
        </w:rPr>
        <w:t>年</w:t>
      </w:r>
      <w:r>
        <w:rPr>
          <w:rFonts w:hint="eastAsia" w:ascii="宋体" w:hAnsi="宋体" w:cs="宋体"/>
          <w:highlight w:val="none"/>
          <w:lang w:val="en-US" w:eastAsia="zh-CN"/>
        </w:rPr>
        <w:t>3</w:t>
      </w:r>
      <w:r>
        <w:rPr>
          <w:rFonts w:hint="eastAsia" w:ascii="宋体" w:hAnsi="宋体" w:eastAsia="宋体" w:cs="宋体"/>
          <w:highlight w:val="none"/>
        </w:rPr>
        <w:t>月</w:t>
      </w:r>
      <w:r>
        <w:rPr>
          <w:rFonts w:hint="eastAsia" w:ascii="宋体" w:hAnsi="宋体" w:cs="宋体"/>
          <w:highlight w:val="none"/>
          <w:lang w:val="en-US" w:eastAsia="zh-CN"/>
        </w:rPr>
        <w:t>20</w:t>
      </w:r>
      <w:r>
        <w:rPr>
          <w:rFonts w:hint="eastAsia" w:ascii="宋体" w:hAnsi="宋体" w:eastAsia="宋体" w:cs="宋体"/>
          <w:highlight w:val="none"/>
        </w:rPr>
        <w:t>日本项目采购意向公开信息在云南省政府采购网发布，网址http://www.ccgp-yunnan.gov.cn/viewPurchaseInfo.html?sys_purchaseintention_id=-787362ab.19d058d1b3c.-7a3b</w:t>
      </w:r>
    </w:p>
    <w:p w14:paraId="737CFD68">
      <w:pPr>
        <w:keepLines w:val="0"/>
        <w:pageBreakBefore w:val="0"/>
        <w:widowControl/>
        <w:numPr>
          <w:ilvl w:val="0"/>
          <w:numId w:val="2"/>
        </w:numPr>
        <w:kinsoku/>
        <w:wordWrap w:val="0"/>
        <w:overflowPunct/>
        <w:autoSpaceDE/>
        <w:autoSpaceDN/>
        <w:bidi w:val="0"/>
        <w:adjustRightInd/>
        <w:spacing w:line="530" w:lineRule="exact"/>
        <w:ind w:left="0" w:leftChars="0" w:firstLine="420" w:firstLineChars="0"/>
        <w:textAlignment w:val="auto"/>
        <w:rPr>
          <w:rFonts w:ascii="宋体" w:hAnsi="宋体" w:eastAsia="宋体" w:cs="宋体"/>
          <w:kern w:val="0"/>
          <w:szCs w:val="21"/>
          <w:highlight w:val="none"/>
        </w:rPr>
      </w:pPr>
      <w:r>
        <w:rPr>
          <w:rFonts w:hint="eastAsia" w:ascii="宋体" w:hAnsi="宋体" w:eastAsia="宋体" w:cs="宋体"/>
          <w:kern w:val="0"/>
          <w:szCs w:val="21"/>
          <w:highlight w:val="none"/>
        </w:rPr>
        <w:t>本次采购采用在政府采购云平台（www.zcygov.cn）上进行采购与递交响应文件，采购过程具体操作流程请各磋商申请人在政府采购云平台（https://www. zcygov.cn/）的网站操作指南中下载《供应商操作指南》查看操作或在该网站中采购学院中观看《政府采购电子交易供应商线上培训》相关视频。磋商申请人在制作响应文件前，需先下载政采云电子投标客户端并进行安装，下载安装完成之后，可通过账号密码或CA登录客户端制作响应文件（客户端下载网址： https://customer.zcygov.cn/CA-driver-download ）。</w:t>
      </w:r>
    </w:p>
    <w:p w14:paraId="232DBA83">
      <w:pPr>
        <w:keepNext w:val="0"/>
        <w:keepLines w:val="0"/>
        <w:pageBreakBefore w:val="0"/>
        <w:widowControl w:val="0"/>
        <w:numPr>
          <w:ilvl w:val="0"/>
          <w:numId w:val="2"/>
        </w:numPr>
        <w:kinsoku/>
        <w:wordWrap w:val="0"/>
        <w:overflowPunct/>
        <w:topLinePunct/>
        <w:autoSpaceDE/>
        <w:autoSpaceDN/>
        <w:bidi w:val="0"/>
        <w:adjustRightInd/>
        <w:snapToGrid/>
        <w:spacing w:line="530" w:lineRule="exact"/>
        <w:ind w:left="0" w:leftChars="0" w:firstLine="420" w:firstLineChars="0"/>
        <w:textAlignment w:val="auto"/>
        <w:rPr>
          <w:rFonts w:ascii="宋体" w:hAnsi="宋体" w:eastAsia="宋体" w:cs="宋体"/>
          <w:kern w:val="0"/>
          <w:szCs w:val="21"/>
          <w:highlight w:val="none"/>
        </w:rPr>
      </w:pPr>
      <w:r>
        <w:rPr>
          <w:rFonts w:hint="eastAsia" w:ascii="宋体" w:hAnsi="宋体" w:eastAsia="宋体" w:cs="宋体"/>
          <w:kern w:val="0"/>
          <w:szCs w:val="21"/>
          <w:highlight w:val="none"/>
        </w:rPr>
        <w:t>采购代理服务费</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采购代理机构根据《云南省建设工程招标代理服务收费指导意见（试行）》的通知（云建招协〔2023〕51号）文件中服务类标准计算收取，由成交人在领取成交通知书时支付给采购代理机构。。</w:t>
      </w:r>
    </w:p>
    <w:p w14:paraId="1A0D7326">
      <w:pPr>
        <w:keepLines w:val="0"/>
        <w:pageBreakBefore w:val="0"/>
        <w:widowControl/>
        <w:numPr>
          <w:ilvl w:val="0"/>
          <w:numId w:val="2"/>
        </w:numPr>
        <w:kinsoku/>
        <w:overflowPunct/>
        <w:autoSpaceDE/>
        <w:autoSpaceDN/>
        <w:bidi w:val="0"/>
        <w:adjustRightInd/>
        <w:spacing w:line="530" w:lineRule="exact"/>
        <w:ind w:left="0" w:leftChars="0" w:firstLine="420" w:firstLineChars="0"/>
        <w:textAlignment w:val="auto"/>
        <w:rPr>
          <w:rFonts w:ascii="宋体" w:hAnsi="宋体" w:eastAsia="宋体" w:cs="宋体"/>
          <w:kern w:val="0"/>
          <w:szCs w:val="21"/>
          <w:highlight w:val="none"/>
        </w:rPr>
      </w:pPr>
      <w:bookmarkStart w:id="5" w:name="_Toc7252730"/>
      <w:r>
        <w:rPr>
          <w:rFonts w:hint="eastAsia" w:ascii="宋体" w:hAnsi="宋体" w:eastAsia="宋体" w:cs="宋体"/>
          <w:kern w:val="0"/>
          <w:szCs w:val="21"/>
          <w:highlight w:val="none"/>
        </w:rPr>
        <w:t>监督电话：</w:t>
      </w:r>
      <w:r>
        <w:rPr>
          <w:rFonts w:hint="eastAsia" w:ascii="宋体" w:hAnsi="宋体" w:cs="宋体"/>
          <w:color w:val="000000"/>
          <w:kern w:val="2"/>
          <w:sz w:val="21"/>
          <w:szCs w:val="21"/>
          <w:highlight w:val="none"/>
          <w:lang w:val="en-US" w:eastAsia="zh-CN"/>
        </w:rPr>
        <w:t>隆阳区财政局</w:t>
      </w:r>
      <w:r>
        <w:rPr>
          <w:rFonts w:hint="eastAsia" w:ascii="宋体" w:hAnsi="宋体" w:cs="宋体"/>
          <w:color w:val="000000"/>
          <w:kern w:val="2"/>
          <w:sz w:val="21"/>
          <w:szCs w:val="21"/>
          <w:highlight w:val="none"/>
        </w:rPr>
        <w:t>0875-</w:t>
      </w:r>
      <w:r>
        <w:rPr>
          <w:rFonts w:hint="eastAsia" w:ascii="宋体" w:hAnsi="宋体" w:cs="宋体"/>
          <w:color w:val="000000"/>
          <w:kern w:val="2"/>
          <w:sz w:val="21"/>
          <w:szCs w:val="21"/>
          <w:highlight w:val="none"/>
          <w:lang w:val="en-US" w:eastAsia="zh-CN"/>
        </w:rPr>
        <w:t>2219045</w:t>
      </w:r>
    </w:p>
    <w:p w14:paraId="63EF4303">
      <w:pPr>
        <w:keepLines w:val="0"/>
        <w:pageBreakBefore w:val="0"/>
        <w:widowControl/>
        <w:kinsoku/>
        <w:overflowPunct/>
        <w:autoSpaceDE/>
        <w:autoSpaceDN/>
        <w:bidi w:val="0"/>
        <w:adjustRightInd/>
        <w:spacing w:line="530" w:lineRule="exact"/>
        <w:ind w:firstLine="426" w:firstLineChars="202"/>
        <w:textAlignment w:val="auto"/>
        <w:rPr>
          <w:rFonts w:ascii="宋体" w:hAnsi="宋体" w:eastAsia="宋体" w:cs="宋体"/>
          <w:b/>
          <w:kern w:val="0"/>
          <w:szCs w:val="21"/>
          <w:highlight w:val="none"/>
        </w:rPr>
      </w:pPr>
      <w:r>
        <w:rPr>
          <w:rFonts w:hint="eastAsia" w:ascii="宋体" w:hAnsi="宋体" w:eastAsia="宋体" w:cs="宋体"/>
          <w:b/>
          <w:kern w:val="0"/>
          <w:szCs w:val="21"/>
          <w:highlight w:val="none"/>
        </w:rPr>
        <w:t>八、凡对本次采购提出询问，请按以下方式联系：</w:t>
      </w:r>
    </w:p>
    <w:p w14:paraId="1799ACC7">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highlight w:val="none"/>
        </w:rPr>
      </w:pPr>
      <w:r>
        <w:rPr>
          <w:rFonts w:hint="eastAsia" w:ascii="宋体" w:hAnsi="宋体" w:eastAsia="宋体" w:cs="宋体"/>
          <w:kern w:val="0"/>
          <w:highlight w:val="none"/>
        </w:rPr>
        <w:t>1.采购人信息</w:t>
      </w:r>
    </w:p>
    <w:p w14:paraId="1A5B31D0">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highlight w:val="none"/>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保山市隆阳区瓦房乡中心学校</w:t>
      </w:r>
    </w:p>
    <w:p w14:paraId="186DBDFF">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highlight w:val="none"/>
        </w:rPr>
      </w:pPr>
      <w:r>
        <w:rPr>
          <w:rFonts w:hint="eastAsia" w:ascii="宋体" w:hAnsi="宋体" w:eastAsia="宋体" w:cs="宋体"/>
          <w:kern w:val="0"/>
          <w:highlight w:val="none"/>
        </w:rPr>
        <w:t>地    址：</w:t>
      </w:r>
      <w:r>
        <w:rPr>
          <w:rFonts w:hint="eastAsia" w:ascii="宋体" w:hAnsi="宋体" w:eastAsia="宋体" w:cs="宋体"/>
          <w:kern w:val="0"/>
          <w:highlight w:val="none"/>
          <w:lang w:eastAsia="zh-CN"/>
        </w:rPr>
        <w:t>隆阳区瓦房乡</w:t>
      </w:r>
    </w:p>
    <w:p w14:paraId="583B0B39">
      <w:pPr>
        <w:keepLines w:val="0"/>
        <w:pageBreakBefore w:val="0"/>
        <w:widowControl/>
        <w:kinsoku/>
        <w:overflowPunct/>
        <w:autoSpaceDE/>
        <w:autoSpaceDN/>
        <w:bidi w:val="0"/>
        <w:adjustRightInd/>
        <w:spacing w:line="530" w:lineRule="exact"/>
        <w:ind w:firstLine="424" w:firstLineChars="202"/>
        <w:textAlignment w:val="auto"/>
        <w:rPr>
          <w:rFonts w:hint="default" w:ascii="宋体" w:hAnsi="宋体" w:eastAsia="宋体" w:cs="宋体"/>
          <w:kern w:val="0"/>
          <w:highlight w:val="none"/>
          <w:lang w:val="en-US" w:eastAsia="zh-CN"/>
        </w:rPr>
      </w:pPr>
      <w:r>
        <w:rPr>
          <w:rFonts w:hint="eastAsia" w:ascii="宋体" w:hAnsi="宋体" w:eastAsia="宋体" w:cs="宋体"/>
          <w:kern w:val="0"/>
          <w:highlight w:val="none"/>
        </w:rPr>
        <w:t>联系方式：</w:t>
      </w:r>
      <w:r>
        <w:rPr>
          <w:rFonts w:hint="eastAsia" w:ascii="宋体" w:hAnsi="宋体" w:eastAsia="宋体" w:cs="宋体"/>
          <w:kern w:val="0"/>
          <w:szCs w:val="21"/>
          <w:highlight w:val="none"/>
          <w:lang w:eastAsia="zh-CN"/>
        </w:rPr>
        <w:t>0875-3039320</w:t>
      </w:r>
    </w:p>
    <w:p w14:paraId="435A33DF">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highlight w:val="none"/>
        </w:rPr>
      </w:pPr>
      <w:r>
        <w:rPr>
          <w:rFonts w:hint="eastAsia" w:ascii="宋体" w:hAnsi="宋体" w:eastAsia="宋体" w:cs="宋体"/>
          <w:kern w:val="0"/>
          <w:highlight w:val="none"/>
        </w:rPr>
        <w:t>2.采购代理机构信息</w:t>
      </w:r>
    </w:p>
    <w:p w14:paraId="4831C047">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highlight w:val="none"/>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云南润腾招标咨询有限公司</w:t>
      </w:r>
      <w:r>
        <w:rPr>
          <w:rFonts w:hint="eastAsia" w:ascii="宋体" w:hAnsi="宋体" w:eastAsia="宋体" w:cs="宋体"/>
          <w:kern w:val="0"/>
          <w:highlight w:val="none"/>
        </w:rPr>
        <w:t>　</w:t>
      </w:r>
    </w:p>
    <w:p w14:paraId="1E01BCB8">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highlight w:val="none"/>
        </w:rPr>
      </w:pPr>
      <w:r>
        <w:rPr>
          <w:rFonts w:hint="eastAsia" w:ascii="宋体" w:hAnsi="宋体" w:eastAsia="宋体" w:cs="宋体"/>
          <w:kern w:val="0"/>
          <w:highlight w:val="none"/>
        </w:rPr>
        <w:t>地　　址：</w:t>
      </w:r>
      <w:r>
        <w:rPr>
          <w:rFonts w:hint="eastAsia" w:ascii="宋体" w:hAnsi="宋体" w:eastAsia="宋体" w:cs="宋体"/>
          <w:bCs/>
          <w:szCs w:val="21"/>
          <w:highlight w:val="none"/>
          <w:lang w:eastAsia="zh-CN"/>
        </w:rPr>
        <w:t>保山市隆阳区永昌街道红庙5组19号</w:t>
      </w:r>
      <w:r>
        <w:rPr>
          <w:rFonts w:hint="eastAsia" w:ascii="宋体" w:hAnsi="宋体" w:eastAsia="宋体" w:cs="宋体"/>
          <w:kern w:val="0"/>
          <w:highlight w:val="none"/>
        </w:rPr>
        <w:t>　</w:t>
      </w:r>
    </w:p>
    <w:p w14:paraId="494E4EE9">
      <w:pPr>
        <w:keepLines w:val="0"/>
        <w:pageBreakBefore w:val="0"/>
        <w:widowControl/>
        <w:kinsoku/>
        <w:overflowPunct/>
        <w:autoSpaceDE/>
        <w:autoSpaceDN/>
        <w:bidi w:val="0"/>
        <w:adjustRightInd/>
        <w:spacing w:line="530" w:lineRule="exact"/>
        <w:ind w:firstLine="424" w:firstLineChars="202"/>
        <w:textAlignment w:val="auto"/>
        <w:rPr>
          <w:rFonts w:hint="default" w:ascii="宋体" w:hAnsi="宋体" w:eastAsia="宋体" w:cs="宋体"/>
          <w:kern w:val="0"/>
          <w:highlight w:val="none"/>
          <w:lang w:val="en-US" w:eastAsia="zh-CN"/>
        </w:rPr>
      </w:pPr>
      <w:r>
        <w:rPr>
          <w:rFonts w:hint="eastAsia" w:ascii="宋体" w:hAnsi="宋体" w:eastAsia="宋体" w:cs="宋体"/>
          <w:kern w:val="0"/>
          <w:highlight w:val="none"/>
        </w:rPr>
        <w:t>联系方式：0875-</w:t>
      </w:r>
      <w:r>
        <w:rPr>
          <w:rFonts w:hint="eastAsia" w:ascii="宋体" w:hAnsi="宋体" w:eastAsia="宋体" w:cs="宋体"/>
          <w:kern w:val="0"/>
          <w:highlight w:val="none"/>
          <w:lang w:val="en-US" w:eastAsia="zh-CN"/>
        </w:rPr>
        <w:t>2129055</w:t>
      </w:r>
    </w:p>
    <w:p w14:paraId="0780070F">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highlight w:val="none"/>
        </w:rPr>
      </w:pPr>
      <w:r>
        <w:rPr>
          <w:rFonts w:hint="eastAsia" w:ascii="宋体" w:hAnsi="宋体" w:eastAsia="宋体" w:cs="宋体"/>
          <w:kern w:val="0"/>
          <w:highlight w:val="none"/>
        </w:rPr>
        <w:t>3.项目联系方式</w:t>
      </w:r>
    </w:p>
    <w:p w14:paraId="783BB41C">
      <w:pPr>
        <w:keepLines w:val="0"/>
        <w:pageBreakBefore w:val="0"/>
        <w:widowControl/>
        <w:kinsoku/>
        <w:overflowPunct/>
        <w:autoSpaceDE/>
        <w:autoSpaceDN/>
        <w:bidi w:val="0"/>
        <w:adjustRightInd/>
        <w:spacing w:line="530" w:lineRule="exact"/>
        <w:ind w:firstLine="424" w:firstLineChars="202"/>
        <w:textAlignment w:val="auto"/>
        <w:rPr>
          <w:rFonts w:hint="default" w:ascii="宋体" w:hAnsi="宋体" w:eastAsia="宋体" w:cs="宋体"/>
          <w:kern w:val="0"/>
          <w:highlight w:val="none"/>
          <w:lang w:val="en-US"/>
        </w:rPr>
      </w:pPr>
      <w:r>
        <w:rPr>
          <w:rFonts w:hint="eastAsia" w:ascii="宋体" w:hAnsi="宋体" w:eastAsia="宋体" w:cs="宋体"/>
          <w:kern w:val="0"/>
          <w:highlight w:val="none"/>
        </w:rPr>
        <w:t>采购人项目联系人：</w:t>
      </w:r>
      <w:r>
        <w:rPr>
          <w:rFonts w:hint="eastAsia" w:ascii="宋体" w:hAnsi="宋体" w:eastAsia="宋体" w:cs="宋体"/>
          <w:kern w:val="0"/>
          <w:highlight w:val="none"/>
          <w:lang w:val="en-US" w:eastAsia="zh-CN"/>
        </w:rPr>
        <w:t>车老师</w:t>
      </w:r>
    </w:p>
    <w:p w14:paraId="3919B26E">
      <w:pPr>
        <w:keepLines w:val="0"/>
        <w:pageBreakBefore w:val="0"/>
        <w:widowControl/>
        <w:kinsoku/>
        <w:overflowPunct/>
        <w:autoSpaceDE/>
        <w:autoSpaceDN/>
        <w:bidi w:val="0"/>
        <w:adjustRightInd/>
        <w:spacing w:line="530" w:lineRule="exact"/>
        <w:ind w:firstLine="424" w:firstLineChars="202"/>
        <w:textAlignment w:val="auto"/>
        <w:rPr>
          <w:rFonts w:hint="default" w:ascii="宋体" w:hAnsi="宋体" w:eastAsia="宋体" w:cs="宋体"/>
          <w:kern w:val="0"/>
          <w:highlight w:val="none"/>
          <w:lang w:val="en-US" w:eastAsia="zh-CN"/>
        </w:rPr>
      </w:pPr>
      <w:r>
        <w:rPr>
          <w:rFonts w:hint="eastAsia" w:ascii="宋体" w:hAnsi="宋体" w:eastAsia="宋体" w:cs="宋体"/>
          <w:kern w:val="0"/>
          <w:highlight w:val="none"/>
        </w:rPr>
        <w:t>电　　 话：</w:t>
      </w:r>
      <w:r>
        <w:rPr>
          <w:rFonts w:hint="eastAsia" w:ascii="宋体" w:hAnsi="宋体" w:eastAsia="宋体" w:cs="宋体"/>
          <w:kern w:val="0"/>
          <w:szCs w:val="21"/>
          <w:highlight w:val="none"/>
          <w:lang w:eastAsia="zh-CN"/>
        </w:rPr>
        <w:t>0875-3039320</w:t>
      </w:r>
    </w:p>
    <w:p w14:paraId="4D6416A5">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highlight w:val="none"/>
        </w:rPr>
      </w:pPr>
      <w:r>
        <w:rPr>
          <w:rFonts w:hint="eastAsia" w:ascii="宋体" w:hAnsi="宋体" w:eastAsia="宋体" w:cs="宋体"/>
          <w:kern w:val="0"/>
          <w:highlight w:val="none"/>
        </w:rPr>
        <w:t>采购代理机构项目联系人：</w:t>
      </w:r>
      <w:r>
        <w:rPr>
          <w:rFonts w:hint="eastAsia" w:ascii="宋体" w:hAnsi="宋体" w:eastAsia="宋体" w:cs="宋体"/>
          <w:kern w:val="0"/>
          <w:highlight w:val="none"/>
          <w:lang w:val="en-US" w:eastAsia="zh-CN"/>
        </w:rPr>
        <w:t>武</w:t>
      </w:r>
      <w:r>
        <w:rPr>
          <w:rFonts w:hint="eastAsia" w:ascii="宋体" w:hAnsi="宋体" w:eastAsia="宋体" w:cs="宋体"/>
          <w:kern w:val="0"/>
          <w:highlight w:val="none"/>
        </w:rPr>
        <w:t>先生</w:t>
      </w:r>
    </w:p>
    <w:p w14:paraId="6AD26D41">
      <w:pPr>
        <w:keepLines w:val="0"/>
        <w:pageBreakBefore w:val="0"/>
        <w:widowControl/>
        <w:kinsoku/>
        <w:overflowPunct/>
        <w:autoSpaceDE/>
        <w:autoSpaceDN/>
        <w:bidi w:val="0"/>
        <w:adjustRightInd/>
        <w:spacing w:line="530" w:lineRule="exact"/>
        <w:ind w:firstLine="424" w:firstLineChars="202"/>
        <w:textAlignment w:val="auto"/>
        <w:rPr>
          <w:rFonts w:hAnsi="宋体"/>
          <w:highlight w:val="none"/>
        </w:rPr>
      </w:pPr>
      <w:r>
        <w:rPr>
          <w:rFonts w:hint="eastAsia" w:ascii="宋体" w:hAnsi="宋体" w:eastAsia="宋体" w:cs="宋体"/>
          <w:kern w:val="0"/>
          <w:highlight w:val="none"/>
        </w:rPr>
        <w:t>电　　 话：0875-</w:t>
      </w:r>
      <w:r>
        <w:rPr>
          <w:rFonts w:hint="eastAsia" w:ascii="宋体" w:hAnsi="宋体" w:eastAsia="宋体" w:cs="宋体"/>
          <w:kern w:val="0"/>
          <w:highlight w:val="none"/>
          <w:lang w:val="en-US" w:eastAsia="zh-CN"/>
        </w:rPr>
        <w:t>2129055</w:t>
      </w:r>
    </w:p>
    <w:p w14:paraId="06264F51">
      <w:pPr>
        <w:ind w:left="-620" w:leftChars="-400" w:hanging="220" w:hangingChars="105"/>
        <w:rPr>
          <w:highlight w:val="none"/>
        </w:rPr>
      </w:pPr>
      <w:r>
        <w:rPr>
          <w:rFonts w:hint="eastAsia"/>
          <w:highlight w:val="none"/>
        </w:rPr>
        <w:br w:type="page"/>
      </w:r>
    </w:p>
    <w:p w14:paraId="216907AF">
      <w:pPr>
        <w:pStyle w:val="3"/>
        <w:spacing w:line="360" w:lineRule="auto"/>
        <w:jc w:val="center"/>
        <w:rPr>
          <w:rFonts w:ascii="宋体" w:hAnsi="宋体" w:eastAsia="宋体" w:cs="宋体"/>
          <w:color w:val="auto"/>
          <w:sz w:val="32"/>
          <w:szCs w:val="32"/>
          <w:highlight w:val="none"/>
        </w:rPr>
      </w:pPr>
      <w:bookmarkStart w:id="6" w:name="_Toc119421966"/>
      <w:r>
        <w:rPr>
          <w:rFonts w:hint="eastAsia" w:ascii="宋体" w:hAnsi="宋体" w:eastAsia="宋体" w:cs="宋体"/>
          <w:color w:val="auto"/>
          <w:sz w:val="32"/>
          <w:szCs w:val="32"/>
          <w:highlight w:val="none"/>
        </w:rPr>
        <w:t>第二章 磋商申请人须知</w:t>
      </w:r>
      <w:bookmarkEnd w:id="5"/>
      <w:bookmarkEnd w:id="6"/>
    </w:p>
    <w:p w14:paraId="3B53978C">
      <w:pPr>
        <w:pStyle w:val="4"/>
        <w:spacing w:before="0" w:after="0" w:line="360" w:lineRule="auto"/>
        <w:jc w:val="center"/>
        <w:rPr>
          <w:rFonts w:ascii="宋体" w:hAnsi="宋体" w:eastAsia="宋体" w:cs="宋体"/>
          <w:highlight w:val="none"/>
        </w:rPr>
      </w:pPr>
      <w:bookmarkStart w:id="7" w:name="_Toc86124039"/>
      <w:bookmarkStart w:id="8" w:name="_Toc7252731"/>
      <w:bookmarkStart w:id="9" w:name="_Toc119421967"/>
      <w:r>
        <w:rPr>
          <w:rFonts w:hint="eastAsia" w:ascii="宋体" w:hAnsi="宋体" w:eastAsia="宋体" w:cs="宋体"/>
          <w:highlight w:val="none"/>
        </w:rPr>
        <w:t>磋商申请人须知前附表</w:t>
      </w:r>
      <w:bookmarkEnd w:id="7"/>
      <w:bookmarkEnd w:id="8"/>
      <w:bookmarkEnd w:id="9"/>
    </w:p>
    <w:tbl>
      <w:tblPr>
        <w:tblStyle w:val="27"/>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188"/>
        <w:gridCol w:w="1269"/>
        <w:gridCol w:w="6012"/>
      </w:tblGrid>
      <w:tr w14:paraId="447C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83" w:type="dxa"/>
            <w:vAlign w:val="center"/>
          </w:tcPr>
          <w:p w14:paraId="7C7B714E">
            <w:pPr>
              <w:pStyle w:val="16"/>
              <w:spacing w:line="360" w:lineRule="auto"/>
              <w:jc w:val="center"/>
              <w:rPr>
                <w:rFonts w:hAnsi="宋体"/>
                <w:kern w:val="0"/>
                <w:highlight w:val="none"/>
              </w:rPr>
            </w:pPr>
            <w:r>
              <w:rPr>
                <w:rFonts w:hint="eastAsia" w:hAnsi="宋体"/>
                <w:kern w:val="0"/>
                <w:highlight w:val="none"/>
              </w:rPr>
              <w:t>条款号</w:t>
            </w:r>
          </w:p>
        </w:tc>
        <w:tc>
          <w:tcPr>
            <w:tcW w:w="2457" w:type="dxa"/>
            <w:gridSpan w:val="2"/>
            <w:vAlign w:val="center"/>
          </w:tcPr>
          <w:p w14:paraId="0FE8649B">
            <w:pPr>
              <w:pStyle w:val="16"/>
              <w:spacing w:line="360" w:lineRule="auto"/>
              <w:jc w:val="center"/>
              <w:rPr>
                <w:rFonts w:hAnsi="宋体"/>
                <w:kern w:val="0"/>
                <w:highlight w:val="none"/>
              </w:rPr>
            </w:pPr>
            <w:r>
              <w:rPr>
                <w:rFonts w:hint="eastAsia" w:hAnsi="宋体"/>
                <w:kern w:val="0"/>
                <w:highlight w:val="none"/>
              </w:rPr>
              <w:t>条款名称</w:t>
            </w:r>
          </w:p>
        </w:tc>
        <w:tc>
          <w:tcPr>
            <w:tcW w:w="6012" w:type="dxa"/>
            <w:vAlign w:val="center"/>
          </w:tcPr>
          <w:p w14:paraId="14CEF6DE">
            <w:pPr>
              <w:pStyle w:val="16"/>
              <w:spacing w:line="360" w:lineRule="auto"/>
              <w:jc w:val="center"/>
              <w:rPr>
                <w:rFonts w:hAnsi="宋体"/>
                <w:kern w:val="0"/>
                <w:highlight w:val="none"/>
              </w:rPr>
            </w:pPr>
            <w:r>
              <w:rPr>
                <w:rFonts w:hint="eastAsia" w:hAnsi="宋体"/>
                <w:kern w:val="0"/>
                <w:highlight w:val="none"/>
              </w:rPr>
              <w:t>编列内容</w:t>
            </w:r>
          </w:p>
        </w:tc>
      </w:tr>
      <w:tr w14:paraId="67C1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Merge w:val="restart"/>
            <w:vAlign w:val="center"/>
          </w:tcPr>
          <w:p w14:paraId="76FC5DE7">
            <w:pPr>
              <w:pStyle w:val="16"/>
              <w:spacing w:line="360" w:lineRule="auto"/>
              <w:jc w:val="center"/>
              <w:rPr>
                <w:rFonts w:hint="eastAsia" w:hAnsi="宋体" w:eastAsia="宋体"/>
                <w:kern w:val="0"/>
                <w:highlight w:val="none"/>
                <w:lang w:eastAsia="zh-CN"/>
              </w:rPr>
            </w:pPr>
            <w:r>
              <w:rPr>
                <w:rFonts w:hint="eastAsia" w:hAnsi="宋体"/>
                <w:kern w:val="0"/>
                <w:highlight w:val="none"/>
                <w:lang w:val="en-US" w:eastAsia="zh-CN"/>
              </w:rPr>
              <w:t>1</w:t>
            </w:r>
          </w:p>
        </w:tc>
        <w:tc>
          <w:tcPr>
            <w:tcW w:w="2457" w:type="dxa"/>
            <w:gridSpan w:val="2"/>
            <w:vAlign w:val="center"/>
          </w:tcPr>
          <w:p w14:paraId="589FCEDB">
            <w:pPr>
              <w:pStyle w:val="16"/>
              <w:spacing w:line="360" w:lineRule="auto"/>
              <w:rPr>
                <w:rFonts w:hAnsi="宋体"/>
                <w:kern w:val="0"/>
                <w:highlight w:val="none"/>
              </w:rPr>
            </w:pPr>
            <w:r>
              <w:rPr>
                <w:rFonts w:hint="eastAsia" w:hAnsi="宋体"/>
                <w:kern w:val="0"/>
                <w:highlight w:val="none"/>
              </w:rPr>
              <w:t>采购人</w:t>
            </w:r>
          </w:p>
        </w:tc>
        <w:tc>
          <w:tcPr>
            <w:tcW w:w="6012" w:type="dxa"/>
            <w:vAlign w:val="center"/>
          </w:tcPr>
          <w:p w14:paraId="5BAF864D">
            <w:pPr>
              <w:pStyle w:val="16"/>
              <w:spacing w:line="360" w:lineRule="auto"/>
              <w:rPr>
                <w:rFonts w:hint="eastAsia" w:hAnsi="宋体" w:eastAsia="宋体"/>
                <w:kern w:val="0"/>
                <w:highlight w:val="none"/>
                <w:lang w:eastAsia="zh-CN"/>
              </w:rPr>
            </w:pPr>
            <w:r>
              <w:rPr>
                <w:rFonts w:hint="eastAsia" w:hAnsi="宋体"/>
                <w:kern w:val="0"/>
                <w:highlight w:val="none"/>
                <w:lang w:eastAsia="zh-CN"/>
              </w:rPr>
              <w:t>保山市隆阳区瓦房乡中心学校</w:t>
            </w:r>
          </w:p>
        </w:tc>
      </w:tr>
      <w:tr w14:paraId="38FE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Merge w:val="continue"/>
            <w:vAlign w:val="center"/>
          </w:tcPr>
          <w:p w14:paraId="6774E168">
            <w:pPr>
              <w:spacing w:line="360" w:lineRule="auto"/>
              <w:rPr>
                <w:rFonts w:ascii="宋体" w:hAnsi="宋体" w:eastAsia="宋体" w:cs="宋体"/>
                <w:kern w:val="0"/>
                <w:highlight w:val="none"/>
              </w:rPr>
            </w:pPr>
          </w:p>
        </w:tc>
        <w:tc>
          <w:tcPr>
            <w:tcW w:w="2457" w:type="dxa"/>
            <w:gridSpan w:val="2"/>
            <w:vAlign w:val="center"/>
          </w:tcPr>
          <w:p w14:paraId="6B37DD28">
            <w:pPr>
              <w:pStyle w:val="16"/>
              <w:spacing w:line="360" w:lineRule="auto"/>
              <w:rPr>
                <w:rFonts w:hAnsi="宋体"/>
                <w:kern w:val="0"/>
                <w:highlight w:val="none"/>
              </w:rPr>
            </w:pPr>
            <w:r>
              <w:rPr>
                <w:rFonts w:hint="eastAsia" w:hAnsi="宋体"/>
                <w:kern w:val="0"/>
                <w:highlight w:val="none"/>
              </w:rPr>
              <w:t>采购代理机构</w:t>
            </w:r>
          </w:p>
        </w:tc>
        <w:tc>
          <w:tcPr>
            <w:tcW w:w="6012" w:type="dxa"/>
            <w:vAlign w:val="center"/>
          </w:tcPr>
          <w:p w14:paraId="64A91823">
            <w:pPr>
              <w:pStyle w:val="16"/>
              <w:spacing w:line="360" w:lineRule="auto"/>
              <w:rPr>
                <w:rFonts w:hint="eastAsia" w:hAnsi="宋体" w:eastAsia="宋体"/>
                <w:kern w:val="0"/>
                <w:highlight w:val="none"/>
                <w:lang w:eastAsia="zh-CN"/>
              </w:rPr>
            </w:pPr>
            <w:r>
              <w:rPr>
                <w:rFonts w:hint="eastAsia" w:hAnsi="宋体"/>
                <w:kern w:val="0"/>
                <w:highlight w:val="none"/>
                <w:lang w:eastAsia="zh-CN"/>
              </w:rPr>
              <w:t>云南润腾招标咨询有限公司</w:t>
            </w:r>
          </w:p>
        </w:tc>
      </w:tr>
      <w:tr w14:paraId="5B60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Merge w:val="continue"/>
            <w:vAlign w:val="center"/>
          </w:tcPr>
          <w:p w14:paraId="14286689">
            <w:pPr>
              <w:spacing w:line="360" w:lineRule="auto"/>
              <w:rPr>
                <w:rFonts w:ascii="宋体" w:hAnsi="宋体" w:eastAsia="宋体" w:cs="宋体"/>
                <w:kern w:val="0"/>
                <w:highlight w:val="none"/>
              </w:rPr>
            </w:pPr>
          </w:p>
        </w:tc>
        <w:tc>
          <w:tcPr>
            <w:tcW w:w="2457" w:type="dxa"/>
            <w:gridSpan w:val="2"/>
            <w:vAlign w:val="center"/>
          </w:tcPr>
          <w:p w14:paraId="732AF79A">
            <w:pPr>
              <w:pStyle w:val="16"/>
              <w:spacing w:line="360" w:lineRule="auto"/>
              <w:rPr>
                <w:rFonts w:hAnsi="宋体"/>
                <w:kern w:val="0"/>
                <w:highlight w:val="none"/>
              </w:rPr>
            </w:pPr>
            <w:r>
              <w:rPr>
                <w:rFonts w:hint="eastAsia" w:hAnsi="宋体"/>
                <w:kern w:val="0"/>
                <w:highlight w:val="none"/>
              </w:rPr>
              <w:t>项目名称</w:t>
            </w:r>
          </w:p>
        </w:tc>
        <w:tc>
          <w:tcPr>
            <w:tcW w:w="6012" w:type="dxa"/>
            <w:vAlign w:val="center"/>
          </w:tcPr>
          <w:p w14:paraId="5F7603E4">
            <w:pPr>
              <w:pStyle w:val="16"/>
              <w:spacing w:line="360" w:lineRule="auto"/>
              <w:rPr>
                <w:rFonts w:hint="eastAsia" w:hAnsi="宋体" w:eastAsia="宋体"/>
                <w:kern w:val="0"/>
                <w:highlight w:val="none"/>
                <w:lang w:eastAsia="zh-CN"/>
              </w:rPr>
            </w:pPr>
            <w:r>
              <w:rPr>
                <w:rFonts w:hint="eastAsia" w:hAnsi="宋体"/>
                <w:kern w:val="0"/>
                <w:highlight w:val="none"/>
                <w:lang w:eastAsia="zh-CN"/>
              </w:rPr>
              <w:t>保山市隆阳区瓦房乡中心学校校园安全安保服务</w:t>
            </w:r>
          </w:p>
        </w:tc>
      </w:tr>
      <w:tr w14:paraId="1292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Merge w:val="continue"/>
            <w:vAlign w:val="center"/>
          </w:tcPr>
          <w:p w14:paraId="7EE9620D">
            <w:pPr>
              <w:spacing w:line="360" w:lineRule="auto"/>
              <w:rPr>
                <w:rFonts w:ascii="宋体" w:hAnsi="宋体" w:eastAsia="宋体" w:cs="宋体"/>
                <w:kern w:val="0"/>
                <w:highlight w:val="none"/>
              </w:rPr>
            </w:pPr>
          </w:p>
        </w:tc>
        <w:tc>
          <w:tcPr>
            <w:tcW w:w="2457" w:type="dxa"/>
            <w:gridSpan w:val="2"/>
            <w:vAlign w:val="center"/>
          </w:tcPr>
          <w:p w14:paraId="5CF2C37E">
            <w:pPr>
              <w:pStyle w:val="16"/>
              <w:spacing w:line="360" w:lineRule="auto"/>
              <w:rPr>
                <w:rFonts w:hAnsi="宋体"/>
                <w:kern w:val="0"/>
                <w:highlight w:val="none"/>
              </w:rPr>
            </w:pPr>
            <w:r>
              <w:rPr>
                <w:rFonts w:hint="eastAsia" w:hAnsi="宋体"/>
                <w:kern w:val="0"/>
                <w:highlight w:val="none"/>
              </w:rPr>
              <w:t>采购编号</w:t>
            </w:r>
          </w:p>
        </w:tc>
        <w:tc>
          <w:tcPr>
            <w:tcW w:w="6012" w:type="dxa"/>
            <w:vAlign w:val="center"/>
          </w:tcPr>
          <w:p w14:paraId="070309C4">
            <w:pPr>
              <w:pStyle w:val="16"/>
              <w:spacing w:line="360" w:lineRule="auto"/>
              <w:rPr>
                <w:rFonts w:hint="eastAsia" w:hAnsi="宋体" w:eastAsia="宋体"/>
                <w:kern w:val="0"/>
                <w:highlight w:val="none"/>
                <w:lang w:eastAsia="zh-CN"/>
              </w:rPr>
            </w:pPr>
            <w:r>
              <w:rPr>
                <w:rFonts w:hint="eastAsia" w:hAnsi="宋体"/>
                <w:kern w:val="0"/>
                <w:highlight w:val="none"/>
                <w:lang w:eastAsia="zh-CN"/>
              </w:rPr>
              <w:t>YNRTZB-2026-006</w:t>
            </w:r>
          </w:p>
        </w:tc>
      </w:tr>
      <w:tr w14:paraId="01F9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1E44459A">
            <w:pPr>
              <w:pStyle w:val="16"/>
              <w:spacing w:line="360" w:lineRule="auto"/>
              <w:jc w:val="center"/>
              <w:rPr>
                <w:rFonts w:hint="eastAsia" w:hAnsi="宋体" w:eastAsia="宋体"/>
                <w:kern w:val="0"/>
                <w:highlight w:val="none"/>
                <w:lang w:eastAsia="zh-CN"/>
              </w:rPr>
            </w:pPr>
            <w:r>
              <w:rPr>
                <w:rFonts w:hint="eastAsia" w:hAnsi="宋体"/>
                <w:kern w:val="0"/>
                <w:highlight w:val="none"/>
                <w:lang w:val="en-US" w:eastAsia="zh-CN"/>
              </w:rPr>
              <w:t>2</w:t>
            </w:r>
          </w:p>
        </w:tc>
        <w:tc>
          <w:tcPr>
            <w:tcW w:w="2457" w:type="dxa"/>
            <w:gridSpan w:val="2"/>
            <w:vAlign w:val="center"/>
          </w:tcPr>
          <w:p w14:paraId="749B5B9F">
            <w:pPr>
              <w:pStyle w:val="16"/>
              <w:spacing w:line="360" w:lineRule="auto"/>
              <w:rPr>
                <w:rFonts w:hAnsi="宋体"/>
                <w:kern w:val="0"/>
                <w:highlight w:val="none"/>
              </w:rPr>
            </w:pPr>
            <w:r>
              <w:rPr>
                <w:rFonts w:hint="eastAsia" w:hAnsi="宋体"/>
                <w:kern w:val="0"/>
                <w:highlight w:val="none"/>
              </w:rPr>
              <w:t>采购内容</w:t>
            </w:r>
          </w:p>
        </w:tc>
        <w:tc>
          <w:tcPr>
            <w:tcW w:w="6012" w:type="dxa"/>
            <w:vAlign w:val="center"/>
          </w:tcPr>
          <w:p w14:paraId="71A6A01D">
            <w:pPr>
              <w:pStyle w:val="16"/>
              <w:spacing w:line="360" w:lineRule="auto"/>
              <w:rPr>
                <w:rFonts w:hAnsi="宋体"/>
                <w:kern w:val="0"/>
                <w:highlight w:val="none"/>
              </w:rPr>
            </w:pPr>
            <w:r>
              <w:rPr>
                <w:rFonts w:hint="eastAsia" w:hAnsi="宋体" w:cs="宋体"/>
                <w:kern w:val="0"/>
                <w:szCs w:val="21"/>
                <w:highlight w:val="none"/>
                <w:lang w:eastAsia="zh-CN"/>
              </w:rPr>
              <w:t>安保人员28人</w:t>
            </w:r>
            <w:r>
              <w:rPr>
                <w:rFonts w:hint="eastAsia" w:ascii="宋体" w:hAnsi="宋体" w:eastAsia="宋体" w:cs="宋体"/>
                <w:kern w:val="0"/>
                <w:szCs w:val="21"/>
                <w:highlight w:val="none"/>
                <w:lang w:eastAsia="zh-CN"/>
              </w:rPr>
              <w:t>，</w:t>
            </w:r>
            <w:r>
              <w:rPr>
                <w:rFonts w:hint="eastAsia" w:ascii="宋体" w:hAnsi="宋体" w:eastAsia="宋体" w:cs="宋体"/>
                <w:highlight w:val="none"/>
                <w:lang w:val="en-US" w:eastAsia="zh-CN"/>
              </w:rPr>
              <w:t>详见磋商文件第五章采购需求</w:t>
            </w:r>
            <w:r>
              <w:rPr>
                <w:rFonts w:hint="eastAsia" w:ascii="宋体" w:hAnsi="宋体" w:eastAsia="宋体" w:cs="宋体"/>
                <w:highlight w:val="none"/>
              </w:rPr>
              <w:t>。</w:t>
            </w:r>
          </w:p>
        </w:tc>
      </w:tr>
      <w:tr w14:paraId="28ED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670CBEF0">
            <w:pPr>
              <w:pStyle w:val="16"/>
              <w:spacing w:line="360" w:lineRule="auto"/>
              <w:jc w:val="center"/>
              <w:rPr>
                <w:rFonts w:hint="eastAsia" w:hAnsi="宋体" w:eastAsia="宋体"/>
                <w:kern w:val="0"/>
                <w:highlight w:val="none"/>
                <w:lang w:eastAsia="zh-CN"/>
              </w:rPr>
            </w:pPr>
            <w:r>
              <w:rPr>
                <w:rFonts w:hint="eastAsia" w:hAnsi="宋体"/>
                <w:kern w:val="0"/>
                <w:highlight w:val="none"/>
                <w:lang w:val="en-US" w:eastAsia="zh-CN"/>
              </w:rPr>
              <w:t>3</w:t>
            </w:r>
          </w:p>
        </w:tc>
        <w:tc>
          <w:tcPr>
            <w:tcW w:w="2457" w:type="dxa"/>
            <w:gridSpan w:val="2"/>
            <w:vAlign w:val="center"/>
          </w:tcPr>
          <w:p w14:paraId="55A32595">
            <w:pPr>
              <w:pStyle w:val="16"/>
              <w:spacing w:line="360" w:lineRule="auto"/>
              <w:rPr>
                <w:rFonts w:hAnsi="宋体"/>
                <w:kern w:val="0"/>
                <w:highlight w:val="none"/>
              </w:rPr>
            </w:pPr>
            <w:r>
              <w:rPr>
                <w:rFonts w:hint="eastAsia" w:hAnsi="宋体"/>
                <w:kern w:val="0"/>
                <w:highlight w:val="none"/>
                <w:lang w:eastAsia="zh-CN"/>
              </w:rPr>
              <w:t>服务地点</w:t>
            </w:r>
            <w:r>
              <w:rPr>
                <w:rFonts w:hint="eastAsia" w:hAnsi="宋体"/>
                <w:kern w:val="0"/>
                <w:highlight w:val="none"/>
              </w:rPr>
              <w:t>及</w:t>
            </w:r>
            <w:r>
              <w:rPr>
                <w:rFonts w:hint="eastAsia" w:hAnsi="宋体"/>
                <w:kern w:val="0"/>
                <w:highlight w:val="none"/>
                <w:lang w:val="en-US" w:eastAsia="zh-CN"/>
              </w:rPr>
              <w:t>服务期限</w:t>
            </w:r>
          </w:p>
        </w:tc>
        <w:tc>
          <w:tcPr>
            <w:tcW w:w="6012" w:type="dxa"/>
            <w:vAlign w:val="center"/>
          </w:tcPr>
          <w:p w14:paraId="5571591F">
            <w:pPr>
              <w:spacing w:line="360" w:lineRule="auto"/>
              <w:rPr>
                <w:rFonts w:ascii="宋体" w:hAnsi="宋体" w:eastAsia="宋体" w:cs="宋体"/>
                <w:kern w:val="0"/>
                <w:highlight w:val="none"/>
              </w:rPr>
            </w:pPr>
            <w:r>
              <w:rPr>
                <w:rFonts w:hint="eastAsia" w:ascii="宋体" w:hAnsi="宋体" w:eastAsia="宋体" w:cs="宋体"/>
                <w:kern w:val="0"/>
                <w:highlight w:val="none"/>
              </w:rPr>
              <w:t>1.</w:t>
            </w:r>
            <w:r>
              <w:rPr>
                <w:rFonts w:hint="eastAsia" w:ascii="宋体" w:hAnsi="宋体" w:eastAsia="宋体" w:cs="宋体"/>
                <w:highlight w:val="none"/>
                <w:lang w:eastAsia="zh-CN"/>
              </w:rPr>
              <w:t>服务地点：采购人指定的地点</w:t>
            </w:r>
            <w:r>
              <w:rPr>
                <w:rFonts w:hint="eastAsia" w:ascii="宋体" w:hAnsi="宋体" w:eastAsia="宋体" w:cs="宋体"/>
                <w:highlight w:val="none"/>
              </w:rPr>
              <w:t>。</w:t>
            </w:r>
          </w:p>
          <w:p w14:paraId="4659D42E">
            <w:pPr>
              <w:widowControl/>
              <w:spacing w:line="460" w:lineRule="exact"/>
              <w:rPr>
                <w:rFonts w:ascii="宋体" w:hAnsi="宋体" w:eastAsia="宋体" w:cs="宋体"/>
                <w:kern w:val="0"/>
                <w:highlight w:val="none"/>
              </w:rPr>
            </w:pPr>
            <w:r>
              <w:rPr>
                <w:rFonts w:hint="eastAsia" w:ascii="宋体" w:hAnsi="宋体" w:eastAsia="宋体" w:cs="宋体"/>
                <w:kern w:val="0"/>
                <w:highlight w:val="none"/>
              </w:rPr>
              <w:t>2.</w:t>
            </w:r>
            <w:r>
              <w:rPr>
                <w:rFonts w:hint="eastAsia" w:ascii="宋体" w:hAnsi="宋体" w:eastAsia="宋体" w:cs="宋体"/>
                <w:highlight w:val="none"/>
                <w:lang w:val="en-US" w:eastAsia="zh-CN"/>
              </w:rPr>
              <w:t>服务期限：一年</w:t>
            </w:r>
          </w:p>
        </w:tc>
      </w:tr>
      <w:tr w14:paraId="6648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5F692206">
            <w:pPr>
              <w:pStyle w:val="16"/>
              <w:spacing w:line="360" w:lineRule="auto"/>
              <w:jc w:val="center"/>
              <w:rPr>
                <w:rFonts w:hAnsi="宋体"/>
                <w:kern w:val="0"/>
                <w:highlight w:val="none"/>
              </w:rPr>
            </w:pPr>
            <w:r>
              <w:rPr>
                <w:rFonts w:hint="eastAsia" w:hAnsi="宋体"/>
                <w:kern w:val="0"/>
                <w:highlight w:val="none"/>
              </w:rPr>
              <w:t>4</w:t>
            </w:r>
          </w:p>
        </w:tc>
        <w:tc>
          <w:tcPr>
            <w:tcW w:w="2457" w:type="dxa"/>
            <w:gridSpan w:val="2"/>
            <w:vAlign w:val="center"/>
          </w:tcPr>
          <w:p w14:paraId="02A51D18">
            <w:pPr>
              <w:pStyle w:val="16"/>
              <w:spacing w:line="360" w:lineRule="auto"/>
              <w:rPr>
                <w:rFonts w:hAnsi="宋体"/>
                <w:kern w:val="0"/>
                <w:highlight w:val="none"/>
              </w:rPr>
            </w:pPr>
            <w:r>
              <w:rPr>
                <w:rFonts w:hint="eastAsia" w:hAnsi="宋体"/>
                <w:kern w:val="0"/>
                <w:highlight w:val="none"/>
              </w:rPr>
              <w:t>磋商申请人资格要求</w:t>
            </w:r>
          </w:p>
        </w:tc>
        <w:tc>
          <w:tcPr>
            <w:tcW w:w="6012" w:type="dxa"/>
            <w:vAlign w:val="center"/>
          </w:tcPr>
          <w:p w14:paraId="42A70E18">
            <w:pPr>
              <w:spacing w:line="360" w:lineRule="auto"/>
              <w:rPr>
                <w:rFonts w:ascii="宋体" w:hAnsi="宋体" w:eastAsia="宋体" w:cs="宋体"/>
                <w:kern w:val="0"/>
                <w:highlight w:val="none"/>
              </w:rPr>
            </w:pPr>
            <w:r>
              <w:rPr>
                <w:rFonts w:hint="eastAsia" w:ascii="宋体" w:hAnsi="宋体" w:eastAsia="宋体" w:cs="宋体"/>
                <w:kern w:val="0"/>
                <w:highlight w:val="none"/>
              </w:rPr>
              <w:t>见第一章“竞争性磋商公告”</w:t>
            </w:r>
          </w:p>
        </w:tc>
      </w:tr>
      <w:tr w14:paraId="19CC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7E73C56A">
            <w:pPr>
              <w:pStyle w:val="16"/>
              <w:spacing w:line="360" w:lineRule="auto"/>
              <w:jc w:val="center"/>
              <w:rPr>
                <w:rFonts w:hint="eastAsia" w:hAnsi="宋体" w:eastAsia="宋体"/>
                <w:kern w:val="0"/>
                <w:highlight w:val="none"/>
                <w:lang w:eastAsia="zh-CN"/>
              </w:rPr>
            </w:pPr>
            <w:r>
              <w:rPr>
                <w:rFonts w:hint="eastAsia" w:hAnsi="宋体"/>
                <w:kern w:val="0"/>
                <w:highlight w:val="none"/>
                <w:lang w:val="en-US" w:eastAsia="zh-CN"/>
              </w:rPr>
              <w:t>5</w:t>
            </w:r>
          </w:p>
        </w:tc>
        <w:tc>
          <w:tcPr>
            <w:tcW w:w="2457" w:type="dxa"/>
            <w:gridSpan w:val="2"/>
            <w:vAlign w:val="center"/>
          </w:tcPr>
          <w:p w14:paraId="0DE79EF6">
            <w:pPr>
              <w:autoSpaceDE w:val="0"/>
              <w:autoSpaceDN w:val="0"/>
              <w:snapToGrid w:val="0"/>
              <w:spacing w:line="360" w:lineRule="auto"/>
              <w:textAlignment w:val="bottom"/>
              <w:rPr>
                <w:rFonts w:ascii="宋体" w:hAnsi="宋体" w:eastAsia="宋体" w:cs="宋体"/>
                <w:kern w:val="0"/>
                <w:highlight w:val="none"/>
              </w:rPr>
            </w:pPr>
            <w:r>
              <w:rPr>
                <w:rFonts w:hint="eastAsia" w:ascii="宋体" w:hAnsi="宋体" w:eastAsia="宋体" w:cs="宋体"/>
                <w:kern w:val="0"/>
                <w:highlight w:val="none"/>
              </w:rPr>
              <w:t>磋商文件澄清截止时间</w:t>
            </w:r>
          </w:p>
        </w:tc>
        <w:tc>
          <w:tcPr>
            <w:tcW w:w="6012" w:type="dxa"/>
            <w:vAlign w:val="center"/>
          </w:tcPr>
          <w:p w14:paraId="77E26BE9">
            <w:pPr>
              <w:autoSpaceDE w:val="0"/>
              <w:autoSpaceDN w:val="0"/>
              <w:snapToGrid w:val="0"/>
              <w:spacing w:line="360" w:lineRule="auto"/>
              <w:textAlignment w:val="bottom"/>
              <w:rPr>
                <w:rFonts w:ascii="宋体" w:hAnsi="宋体" w:eastAsia="宋体" w:cs="宋体"/>
                <w:kern w:val="0"/>
                <w:highlight w:val="none"/>
              </w:rPr>
            </w:pPr>
            <w:r>
              <w:rPr>
                <w:rFonts w:hint="eastAsia" w:ascii="宋体" w:hAnsi="宋体" w:eastAsia="宋体" w:cs="宋体"/>
                <w:kern w:val="0"/>
                <w:highlight w:val="none"/>
              </w:rPr>
              <w:t>提交响应文件截止时间5日前。</w:t>
            </w:r>
          </w:p>
        </w:tc>
      </w:tr>
      <w:tr w14:paraId="3C03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83" w:type="dxa"/>
            <w:vAlign w:val="center"/>
          </w:tcPr>
          <w:p w14:paraId="00B2343C">
            <w:pPr>
              <w:pStyle w:val="16"/>
              <w:spacing w:line="360" w:lineRule="auto"/>
              <w:jc w:val="center"/>
              <w:rPr>
                <w:rFonts w:hint="eastAsia" w:hAnsi="宋体" w:eastAsia="宋体"/>
                <w:kern w:val="0"/>
                <w:highlight w:val="none"/>
                <w:lang w:eastAsia="zh-CN"/>
              </w:rPr>
            </w:pPr>
            <w:r>
              <w:rPr>
                <w:rFonts w:hint="eastAsia" w:hAnsi="宋体"/>
                <w:kern w:val="0"/>
                <w:highlight w:val="none"/>
                <w:lang w:val="en-US" w:eastAsia="zh-CN"/>
              </w:rPr>
              <w:t>6</w:t>
            </w:r>
          </w:p>
        </w:tc>
        <w:tc>
          <w:tcPr>
            <w:tcW w:w="2457" w:type="dxa"/>
            <w:gridSpan w:val="2"/>
            <w:vAlign w:val="center"/>
          </w:tcPr>
          <w:p w14:paraId="33AF5618">
            <w:pPr>
              <w:autoSpaceDE w:val="0"/>
              <w:autoSpaceDN w:val="0"/>
              <w:snapToGrid w:val="0"/>
              <w:spacing w:line="360" w:lineRule="auto"/>
              <w:textAlignment w:val="bottom"/>
              <w:rPr>
                <w:rFonts w:ascii="宋体" w:hAnsi="宋体" w:eastAsia="宋体" w:cs="宋体"/>
                <w:kern w:val="0"/>
                <w:highlight w:val="none"/>
              </w:rPr>
            </w:pPr>
            <w:r>
              <w:rPr>
                <w:rFonts w:hint="eastAsia" w:ascii="宋体" w:hAnsi="宋体" w:eastAsia="宋体" w:cs="宋体"/>
                <w:kern w:val="0"/>
                <w:highlight w:val="none"/>
              </w:rPr>
              <w:t>本项目磋商小组根据与磋商申请人磋商情况可能实质性变动的内容</w:t>
            </w:r>
          </w:p>
        </w:tc>
        <w:tc>
          <w:tcPr>
            <w:tcW w:w="6012" w:type="dxa"/>
            <w:vAlign w:val="center"/>
          </w:tcPr>
          <w:p w14:paraId="29D59D26">
            <w:pPr>
              <w:autoSpaceDE w:val="0"/>
              <w:autoSpaceDN w:val="0"/>
              <w:snapToGrid w:val="0"/>
              <w:spacing w:line="360" w:lineRule="auto"/>
              <w:textAlignment w:val="bottom"/>
              <w:rPr>
                <w:rFonts w:ascii="宋体" w:hAnsi="宋体" w:eastAsia="宋体" w:cs="宋体"/>
                <w:kern w:val="0"/>
                <w:highlight w:val="none"/>
              </w:rPr>
            </w:pPr>
            <w:r>
              <w:rPr>
                <w:rFonts w:hint="eastAsia" w:ascii="宋体" w:hAnsi="宋体" w:eastAsia="宋体" w:cs="宋体"/>
                <w:kern w:val="0"/>
                <w:highlight w:val="none"/>
              </w:rPr>
              <w:t>第五章  采购需求等</w:t>
            </w:r>
          </w:p>
        </w:tc>
      </w:tr>
      <w:tr w14:paraId="5D19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67771032">
            <w:pPr>
              <w:pStyle w:val="16"/>
              <w:spacing w:line="360" w:lineRule="auto"/>
              <w:jc w:val="center"/>
              <w:rPr>
                <w:rFonts w:hAnsi="宋体"/>
                <w:kern w:val="0"/>
                <w:highlight w:val="none"/>
              </w:rPr>
            </w:pPr>
            <w:r>
              <w:rPr>
                <w:rFonts w:hint="eastAsia" w:hAnsi="宋体"/>
                <w:kern w:val="0"/>
                <w:highlight w:val="none"/>
                <w:lang w:val="en-US" w:eastAsia="zh-CN"/>
              </w:rPr>
              <w:t>7</w:t>
            </w:r>
            <w:r>
              <w:rPr>
                <w:rFonts w:hint="eastAsia" w:hAnsi="宋体"/>
                <w:kern w:val="0"/>
                <w:highlight w:val="none"/>
              </w:rPr>
              <w:t xml:space="preserve"> </w:t>
            </w:r>
          </w:p>
        </w:tc>
        <w:tc>
          <w:tcPr>
            <w:tcW w:w="1188" w:type="dxa"/>
            <w:vAlign w:val="center"/>
          </w:tcPr>
          <w:p w14:paraId="2FEC7356">
            <w:pPr>
              <w:pStyle w:val="16"/>
              <w:spacing w:line="360" w:lineRule="auto"/>
              <w:rPr>
                <w:rFonts w:hAnsi="宋体"/>
                <w:kern w:val="0"/>
                <w:highlight w:val="none"/>
              </w:rPr>
            </w:pPr>
            <w:r>
              <w:rPr>
                <w:rFonts w:hint="eastAsia" w:hAnsi="宋体"/>
                <w:kern w:val="0"/>
                <w:highlight w:val="none"/>
              </w:rPr>
              <w:t>构成响应文件的其他资料</w:t>
            </w:r>
          </w:p>
        </w:tc>
        <w:tc>
          <w:tcPr>
            <w:tcW w:w="1269" w:type="dxa"/>
            <w:vAlign w:val="center"/>
          </w:tcPr>
          <w:p w14:paraId="54585547">
            <w:pPr>
              <w:autoSpaceDE w:val="0"/>
              <w:autoSpaceDN w:val="0"/>
              <w:snapToGrid w:val="0"/>
              <w:spacing w:line="360" w:lineRule="auto"/>
              <w:textAlignment w:val="bottom"/>
              <w:rPr>
                <w:rFonts w:ascii="宋体" w:hAnsi="宋体" w:eastAsia="宋体" w:cs="宋体"/>
                <w:kern w:val="0"/>
                <w:highlight w:val="none"/>
              </w:rPr>
            </w:pPr>
            <w:r>
              <w:rPr>
                <w:rFonts w:hint="eastAsia" w:ascii="宋体" w:hAnsi="宋体" w:eastAsia="宋体" w:cs="宋体"/>
                <w:kern w:val="0"/>
                <w:highlight w:val="none"/>
              </w:rPr>
              <w:t>其他材料</w:t>
            </w:r>
          </w:p>
        </w:tc>
        <w:tc>
          <w:tcPr>
            <w:tcW w:w="6012" w:type="dxa"/>
            <w:vAlign w:val="center"/>
          </w:tcPr>
          <w:p w14:paraId="77138672">
            <w:pPr>
              <w:spacing w:line="360" w:lineRule="auto"/>
              <w:ind w:left="38" w:leftChars="18"/>
              <w:rPr>
                <w:rFonts w:ascii="宋体" w:hAnsi="宋体" w:eastAsia="宋体" w:cs="宋体"/>
                <w:kern w:val="0"/>
                <w:highlight w:val="none"/>
              </w:rPr>
            </w:pPr>
            <w:r>
              <w:rPr>
                <w:rFonts w:hint="eastAsia" w:ascii="宋体" w:hAnsi="宋体" w:eastAsia="宋体" w:cs="宋体"/>
                <w:kern w:val="0"/>
                <w:highlight w:val="none"/>
              </w:rPr>
              <w:t>1.具备履行合同所必需的设备和专业技术能力的证明材料。</w:t>
            </w:r>
          </w:p>
          <w:p w14:paraId="2C2067FC">
            <w:pPr>
              <w:pStyle w:val="16"/>
              <w:spacing w:line="360" w:lineRule="auto"/>
              <w:ind w:left="38" w:leftChars="18" w:firstLine="39" w:firstLineChars="19"/>
              <w:rPr>
                <w:rFonts w:hAnsi="宋体"/>
                <w:kern w:val="0"/>
                <w:highlight w:val="none"/>
              </w:rPr>
            </w:pPr>
            <w:r>
              <w:rPr>
                <w:rFonts w:hint="eastAsia" w:hAnsi="宋体"/>
                <w:kern w:val="0"/>
                <w:highlight w:val="none"/>
              </w:rPr>
              <w:t>2.若磋商文件中另有要求的，则还应满足其他要求中的相关资质要求。</w:t>
            </w:r>
          </w:p>
          <w:p w14:paraId="767A7703">
            <w:pPr>
              <w:pStyle w:val="16"/>
              <w:spacing w:line="360" w:lineRule="auto"/>
              <w:ind w:left="38" w:leftChars="18"/>
              <w:rPr>
                <w:rFonts w:hAnsi="宋体"/>
                <w:kern w:val="0"/>
                <w:highlight w:val="none"/>
              </w:rPr>
            </w:pPr>
            <w:r>
              <w:rPr>
                <w:rFonts w:hint="eastAsia" w:hAnsi="宋体"/>
                <w:kern w:val="0"/>
                <w:highlight w:val="none"/>
              </w:rPr>
              <w:t>3.磋商申请人资格要求中要求提供的资料以及磋商申请人认为需要提供的其他资料。</w:t>
            </w:r>
          </w:p>
        </w:tc>
      </w:tr>
      <w:tr w14:paraId="0015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1E128A1C">
            <w:pPr>
              <w:pStyle w:val="16"/>
              <w:spacing w:line="360" w:lineRule="auto"/>
              <w:jc w:val="center"/>
              <w:rPr>
                <w:rFonts w:hint="eastAsia" w:hAnsi="宋体" w:eastAsia="宋体"/>
                <w:kern w:val="0"/>
                <w:highlight w:val="none"/>
                <w:lang w:eastAsia="zh-CN"/>
              </w:rPr>
            </w:pPr>
            <w:r>
              <w:rPr>
                <w:rFonts w:hint="eastAsia" w:hAnsi="宋体"/>
                <w:kern w:val="0"/>
                <w:highlight w:val="none"/>
                <w:lang w:val="en-US" w:eastAsia="zh-CN"/>
              </w:rPr>
              <w:t>8</w:t>
            </w:r>
          </w:p>
        </w:tc>
        <w:tc>
          <w:tcPr>
            <w:tcW w:w="2457" w:type="dxa"/>
            <w:gridSpan w:val="2"/>
            <w:vAlign w:val="center"/>
          </w:tcPr>
          <w:p w14:paraId="45141184">
            <w:pPr>
              <w:autoSpaceDE w:val="0"/>
              <w:autoSpaceDN w:val="0"/>
              <w:snapToGrid w:val="0"/>
              <w:spacing w:line="360" w:lineRule="auto"/>
              <w:textAlignment w:val="bottom"/>
              <w:rPr>
                <w:rFonts w:ascii="宋体" w:hAnsi="宋体" w:eastAsia="宋体" w:cs="宋体"/>
                <w:kern w:val="0"/>
                <w:highlight w:val="none"/>
              </w:rPr>
            </w:pPr>
            <w:r>
              <w:rPr>
                <w:rFonts w:hint="eastAsia" w:ascii="宋体" w:hAnsi="宋体" w:eastAsia="宋体" w:cs="宋体"/>
                <w:kern w:val="0"/>
                <w:highlight w:val="none"/>
              </w:rPr>
              <w:t>采购预算及最高限价</w:t>
            </w:r>
          </w:p>
        </w:tc>
        <w:tc>
          <w:tcPr>
            <w:tcW w:w="6012" w:type="dxa"/>
            <w:vAlign w:val="center"/>
          </w:tcPr>
          <w:p w14:paraId="7958F3BE">
            <w:pPr>
              <w:pStyle w:val="16"/>
              <w:spacing w:line="360" w:lineRule="auto"/>
              <w:rPr>
                <w:highlight w:val="none"/>
              </w:rPr>
            </w:pPr>
            <w:r>
              <w:rPr>
                <w:rFonts w:hint="eastAsia"/>
                <w:highlight w:val="none"/>
              </w:rPr>
              <w:t>（1）预算金额：¥</w:t>
            </w:r>
            <w:r>
              <w:rPr>
                <w:rFonts w:hint="eastAsia"/>
                <w:highlight w:val="none"/>
                <w:lang w:val="en-US" w:eastAsia="zh-CN"/>
              </w:rPr>
              <w:t>840000.00</w:t>
            </w:r>
            <w:r>
              <w:rPr>
                <w:rFonts w:hint="eastAsia"/>
                <w:highlight w:val="none"/>
              </w:rPr>
              <w:t>元。</w:t>
            </w:r>
          </w:p>
          <w:p w14:paraId="55B9D159">
            <w:pPr>
              <w:pStyle w:val="16"/>
              <w:spacing w:line="360" w:lineRule="auto"/>
              <w:rPr>
                <w:highlight w:val="none"/>
              </w:rPr>
            </w:pPr>
            <w:r>
              <w:rPr>
                <w:rFonts w:hint="eastAsia"/>
                <w:highlight w:val="none"/>
              </w:rPr>
              <w:t>（2）最高限价：¥</w:t>
            </w:r>
            <w:r>
              <w:rPr>
                <w:rFonts w:hint="eastAsia"/>
                <w:highlight w:val="none"/>
                <w:lang w:val="en-US" w:eastAsia="zh-CN"/>
              </w:rPr>
              <w:t>840000.00</w:t>
            </w:r>
            <w:r>
              <w:rPr>
                <w:rFonts w:hint="eastAsia"/>
                <w:highlight w:val="none"/>
              </w:rPr>
              <w:t>元。</w:t>
            </w:r>
          </w:p>
          <w:p w14:paraId="1360E4A7">
            <w:pPr>
              <w:pStyle w:val="16"/>
              <w:spacing w:line="360" w:lineRule="auto"/>
              <w:rPr>
                <w:highlight w:val="none"/>
              </w:rPr>
            </w:pPr>
            <w:r>
              <w:rPr>
                <w:rFonts w:hint="eastAsia"/>
                <w:highlight w:val="none"/>
              </w:rPr>
              <w:t>（3）本次采购磋商申请人填报的最终报价不得超过最高限价，否则，其磋商响应文件将被拒绝。</w:t>
            </w:r>
          </w:p>
        </w:tc>
      </w:tr>
      <w:tr w14:paraId="2F96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6DEE85B0">
            <w:pPr>
              <w:pStyle w:val="16"/>
              <w:spacing w:line="360" w:lineRule="auto"/>
              <w:jc w:val="center"/>
              <w:rPr>
                <w:rFonts w:hint="eastAsia" w:hAnsi="宋体" w:eastAsia="宋体"/>
                <w:kern w:val="0"/>
                <w:highlight w:val="none"/>
                <w:lang w:eastAsia="zh-CN"/>
              </w:rPr>
            </w:pPr>
            <w:r>
              <w:rPr>
                <w:rFonts w:hint="eastAsia" w:hAnsi="宋体"/>
                <w:kern w:val="0"/>
                <w:highlight w:val="none"/>
                <w:lang w:val="en-US" w:eastAsia="zh-CN"/>
              </w:rPr>
              <w:t>9</w:t>
            </w:r>
          </w:p>
        </w:tc>
        <w:tc>
          <w:tcPr>
            <w:tcW w:w="2457" w:type="dxa"/>
            <w:gridSpan w:val="2"/>
            <w:vAlign w:val="center"/>
          </w:tcPr>
          <w:p w14:paraId="1EA4AE9A">
            <w:pPr>
              <w:pStyle w:val="16"/>
              <w:spacing w:line="360" w:lineRule="auto"/>
              <w:rPr>
                <w:rFonts w:hAnsi="宋体"/>
                <w:kern w:val="0"/>
                <w:highlight w:val="none"/>
              </w:rPr>
            </w:pPr>
            <w:r>
              <w:rPr>
                <w:rFonts w:hint="eastAsia" w:hAnsi="宋体"/>
                <w:kern w:val="0"/>
                <w:highlight w:val="none"/>
              </w:rPr>
              <w:t>有效期</w:t>
            </w:r>
          </w:p>
        </w:tc>
        <w:tc>
          <w:tcPr>
            <w:tcW w:w="6012" w:type="dxa"/>
            <w:vAlign w:val="center"/>
          </w:tcPr>
          <w:p w14:paraId="2D98DCFB">
            <w:pPr>
              <w:pStyle w:val="16"/>
              <w:spacing w:line="360" w:lineRule="auto"/>
              <w:rPr>
                <w:rFonts w:hAnsi="宋体"/>
                <w:kern w:val="0"/>
                <w:highlight w:val="none"/>
              </w:rPr>
            </w:pPr>
            <w:r>
              <w:rPr>
                <w:rFonts w:hint="eastAsia" w:hAnsi="宋体"/>
                <w:kern w:val="0"/>
                <w:highlight w:val="none"/>
              </w:rPr>
              <w:t>递交响应文件的截止日期后</w:t>
            </w:r>
            <w:r>
              <w:rPr>
                <w:rFonts w:hint="eastAsia" w:hAnsi="宋体"/>
                <w:kern w:val="0"/>
                <w:highlight w:val="none"/>
                <w:lang w:val="en-US" w:eastAsia="zh-CN"/>
              </w:rPr>
              <w:t>90</w:t>
            </w:r>
            <w:r>
              <w:rPr>
                <w:rFonts w:hint="eastAsia" w:hAnsi="宋体"/>
                <w:kern w:val="0"/>
                <w:highlight w:val="none"/>
              </w:rPr>
              <w:t>天</w:t>
            </w:r>
          </w:p>
        </w:tc>
      </w:tr>
      <w:tr w14:paraId="2326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48F59E70">
            <w:pPr>
              <w:pStyle w:val="16"/>
              <w:spacing w:line="360" w:lineRule="auto"/>
              <w:jc w:val="center"/>
              <w:rPr>
                <w:rFonts w:hint="default" w:hAnsi="宋体" w:eastAsia="宋体"/>
                <w:kern w:val="0"/>
                <w:highlight w:val="none"/>
                <w:lang w:val="en-US" w:eastAsia="zh-CN"/>
              </w:rPr>
            </w:pPr>
            <w:r>
              <w:rPr>
                <w:rFonts w:hint="eastAsia" w:hAnsi="宋体"/>
                <w:kern w:val="0"/>
                <w:highlight w:val="none"/>
                <w:lang w:val="en-US" w:eastAsia="zh-CN"/>
              </w:rPr>
              <w:t>10</w:t>
            </w:r>
          </w:p>
        </w:tc>
        <w:tc>
          <w:tcPr>
            <w:tcW w:w="2457" w:type="dxa"/>
            <w:gridSpan w:val="2"/>
            <w:vAlign w:val="center"/>
          </w:tcPr>
          <w:p w14:paraId="19A830FD">
            <w:pPr>
              <w:pStyle w:val="16"/>
              <w:spacing w:line="360" w:lineRule="auto"/>
              <w:rPr>
                <w:rFonts w:hAnsi="宋体"/>
                <w:kern w:val="0"/>
                <w:highlight w:val="none"/>
              </w:rPr>
            </w:pPr>
            <w:r>
              <w:rPr>
                <w:rFonts w:hint="eastAsia" w:hAnsi="宋体"/>
                <w:kern w:val="0"/>
                <w:highlight w:val="none"/>
              </w:rPr>
              <w:t>响应文件上传相关要求</w:t>
            </w:r>
          </w:p>
        </w:tc>
        <w:tc>
          <w:tcPr>
            <w:tcW w:w="6012" w:type="dxa"/>
            <w:vAlign w:val="center"/>
          </w:tcPr>
          <w:p w14:paraId="61F65AC8">
            <w:pPr>
              <w:pStyle w:val="16"/>
              <w:spacing w:line="360" w:lineRule="auto"/>
              <w:rPr>
                <w:rFonts w:hAnsi="宋体"/>
                <w:kern w:val="0"/>
                <w:highlight w:val="none"/>
              </w:rPr>
            </w:pPr>
            <w:r>
              <w:rPr>
                <w:rFonts w:hint="eastAsia" w:hAnsi="宋体"/>
                <w:kern w:val="0"/>
                <w:highlight w:val="none"/>
              </w:rPr>
              <w:t>本次采购采用在政府采购云平台（www.zcygov.cn）上进行采购与递交响应文件，磋商响应文件递交要求如下：</w:t>
            </w:r>
          </w:p>
          <w:p w14:paraId="51356B30">
            <w:pPr>
              <w:pStyle w:val="16"/>
              <w:spacing w:line="360" w:lineRule="auto"/>
              <w:rPr>
                <w:rFonts w:hAnsi="宋体"/>
                <w:kern w:val="0"/>
                <w:highlight w:val="none"/>
              </w:rPr>
            </w:pPr>
            <w:r>
              <w:rPr>
                <w:rFonts w:hint="eastAsia" w:hAnsi="宋体"/>
                <w:kern w:val="0"/>
                <w:highlight w:val="none"/>
              </w:rPr>
              <w:t>（1）网上递交：磋商申请人网上递交需登录政府采购云平台（www.zcygov.cn），须在磋商响应文件提交截止时间前完成所有电子竞争性磋商响应文件的上传，磋商响应文件递交截止时间前未完成文件上传的，视为撤回磋商响应文件。</w:t>
            </w:r>
          </w:p>
          <w:p w14:paraId="18D37301">
            <w:pPr>
              <w:pStyle w:val="16"/>
              <w:spacing w:line="360" w:lineRule="auto"/>
              <w:rPr>
                <w:rFonts w:hAnsi="宋体"/>
                <w:kern w:val="0"/>
                <w:highlight w:val="none"/>
              </w:rPr>
            </w:pPr>
            <w:r>
              <w:rPr>
                <w:rFonts w:hint="eastAsia" w:hAnsi="宋体"/>
                <w:kern w:val="0"/>
                <w:highlight w:val="none"/>
              </w:rPr>
              <w:t>（2）本项目采用在政府采购云平台（www.zcygov.cn）上进行采购与递交响应文件，无需现场递交纸质文件，但应在文件递交截止时间时登录系统，并根据开标系统的提示操作解密文件。</w:t>
            </w:r>
          </w:p>
          <w:p w14:paraId="6124D28B">
            <w:pPr>
              <w:pStyle w:val="16"/>
              <w:spacing w:line="360" w:lineRule="auto"/>
              <w:rPr>
                <w:rFonts w:hAnsi="宋体"/>
                <w:kern w:val="0"/>
                <w:highlight w:val="none"/>
              </w:rPr>
            </w:pPr>
            <w:r>
              <w:rPr>
                <w:rFonts w:hint="eastAsia" w:hAnsi="宋体"/>
                <w:kern w:val="0"/>
                <w:highlight w:val="none"/>
              </w:rPr>
              <w:t>（4）磋商申请人若有幸成交，须在签收采购合同前向采购人提交纸质磋商响应文件</w:t>
            </w:r>
            <w:r>
              <w:rPr>
                <w:rFonts w:hint="eastAsia" w:hAnsi="宋体"/>
                <w:b/>
                <w:bCs/>
                <w:kern w:val="0"/>
                <w:highlight w:val="none"/>
              </w:rPr>
              <w:t>2份</w:t>
            </w:r>
            <w:r>
              <w:rPr>
                <w:rFonts w:hint="eastAsia" w:hAnsi="宋体"/>
                <w:kern w:val="0"/>
                <w:highlight w:val="none"/>
              </w:rPr>
              <w:t>。</w:t>
            </w:r>
          </w:p>
        </w:tc>
      </w:tr>
      <w:tr w14:paraId="20BA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7865BFC3">
            <w:pPr>
              <w:pStyle w:val="16"/>
              <w:spacing w:line="360" w:lineRule="auto"/>
              <w:jc w:val="center"/>
              <w:rPr>
                <w:rFonts w:hint="default" w:hAnsi="宋体" w:eastAsia="宋体"/>
                <w:kern w:val="0"/>
                <w:highlight w:val="none"/>
                <w:lang w:val="en-US" w:eastAsia="zh-CN"/>
              </w:rPr>
            </w:pPr>
            <w:r>
              <w:rPr>
                <w:rFonts w:hint="eastAsia" w:hAnsi="宋体"/>
                <w:kern w:val="0"/>
                <w:highlight w:val="none"/>
                <w:lang w:val="en-US" w:eastAsia="zh-CN"/>
              </w:rPr>
              <w:t>11</w:t>
            </w:r>
          </w:p>
        </w:tc>
        <w:tc>
          <w:tcPr>
            <w:tcW w:w="2457" w:type="dxa"/>
            <w:gridSpan w:val="2"/>
            <w:vAlign w:val="center"/>
          </w:tcPr>
          <w:p w14:paraId="2DCE722E">
            <w:pPr>
              <w:pStyle w:val="16"/>
              <w:spacing w:line="360" w:lineRule="auto"/>
              <w:ind w:firstLine="420" w:firstLineChars="200"/>
              <w:rPr>
                <w:rFonts w:hAnsi="宋体"/>
                <w:kern w:val="0"/>
                <w:highlight w:val="none"/>
              </w:rPr>
            </w:pPr>
            <w:r>
              <w:rPr>
                <w:rFonts w:hint="eastAsia" w:hAnsi="宋体"/>
                <w:kern w:val="0"/>
                <w:highlight w:val="none"/>
              </w:rPr>
              <w:t>磋商保证金</w:t>
            </w:r>
          </w:p>
        </w:tc>
        <w:tc>
          <w:tcPr>
            <w:tcW w:w="6012" w:type="dxa"/>
            <w:vAlign w:val="center"/>
          </w:tcPr>
          <w:p w14:paraId="0772BB75">
            <w:pPr>
              <w:spacing w:line="360" w:lineRule="auto"/>
              <w:jc w:val="left"/>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详见磋商公告</w:t>
            </w:r>
          </w:p>
        </w:tc>
      </w:tr>
      <w:tr w14:paraId="34B2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102D994F">
            <w:pPr>
              <w:pStyle w:val="24"/>
              <w:spacing w:line="360" w:lineRule="auto"/>
              <w:jc w:val="center"/>
              <w:rPr>
                <w:rFonts w:hint="default" w:hAnsi="宋体" w:eastAsia="宋体"/>
                <w:sz w:val="21"/>
                <w:szCs w:val="21"/>
                <w:highlight w:val="none"/>
                <w:lang w:val="en-US" w:eastAsia="zh-CN"/>
              </w:rPr>
            </w:pPr>
            <w:r>
              <w:rPr>
                <w:rFonts w:hint="eastAsia" w:hAnsi="宋体"/>
                <w:sz w:val="21"/>
                <w:szCs w:val="21"/>
                <w:highlight w:val="none"/>
                <w:lang w:val="en-US" w:eastAsia="zh-CN"/>
              </w:rPr>
              <w:t>12</w:t>
            </w:r>
          </w:p>
        </w:tc>
        <w:tc>
          <w:tcPr>
            <w:tcW w:w="2457" w:type="dxa"/>
            <w:gridSpan w:val="2"/>
            <w:vAlign w:val="center"/>
          </w:tcPr>
          <w:p w14:paraId="3A128CD0">
            <w:pPr>
              <w:pStyle w:val="16"/>
              <w:spacing w:line="360" w:lineRule="auto"/>
              <w:rPr>
                <w:rFonts w:hAnsi="宋体"/>
                <w:kern w:val="0"/>
                <w:highlight w:val="none"/>
              </w:rPr>
            </w:pPr>
            <w:r>
              <w:rPr>
                <w:rFonts w:hint="eastAsia" w:hAnsi="宋体"/>
                <w:kern w:val="0"/>
                <w:highlight w:val="none"/>
              </w:rPr>
              <w:t>递交响应文件的截止时间</w:t>
            </w:r>
          </w:p>
        </w:tc>
        <w:tc>
          <w:tcPr>
            <w:tcW w:w="6012" w:type="dxa"/>
            <w:vAlign w:val="center"/>
          </w:tcPr>
          <w:p w14:paraId="056618C1">
            <w:pPr>
              <w:pStyle w:val="16"/>
              <w:spacing w:line="360" w:lineRule="auto"/>
              <w:rPr>
                <w:rFonts w:hAnsi="宋体"/>
                <w:kern w:val="0"/>
                <w:highlight w:val="none"/>
              </w:rPr>
            </w:pPr>
            <w:r>
              <w:rPr>
                <w:rFonts w:hint="eastAsia" w:hAnsi="宋体"/>
                <w:kern w:val="0"/>
                <w:highlight w:val="none"/>
              </w:rPr>
              <w:t>递交响应文件的截止时间：</w:t>
            </w:r>
            <w:r>
              <w:rPr>
                <w:rFonts w:hint="eastAsia" w:hAnsi="宋体"/>
                <w:highlight w:val="none"/>
                <w:u w:val="single"/>
                <w:lang w:eastAsia="zh-CN"/>
              </w:rPr>
              <w:t>2026年05月19日</w:t>
            </w:r>
            <w:r>
              <w:rPr>
                <w:rFonts w:hint="eastAsia" w:hAnsi="宋体"/>
                <w:highlight w:val="none"/>
                <w:u w:val="single"/>
                <w:lang w:val="en-US" w:eastAsia="zh-CN"/>
              </w:rPr>
              <w:t>15</w:t>
            </w:r>
            <w:r>
              <w:rPr>
                <w:rFonts w:hint="eastAsia" w:hAnsi="宋体"/>
                <w:highlight w:val="none"/>
                <w:u w:val="single"/>
              </w:rPr>
              <w:t>时00分</w:t>
            </w:r>
            <w:r>
              <w:rPr>
                <w:rFonts w:hint="eastAsia" w:hAnsi="宋体"/>
                <w:kern w:val="0"/>
                <w:highlight w:val="none"/>
              </w:rPr>
              <w:t>（北京时间）；</w:t>
            </w:r>
          </w:p>
          <w:p w14:paraId="598AA123">
            <w:pPr>
              <w:pStyle w:val="16"/>
              <w:spacing w:line="360" w:lineRule="auto"/>
              <w:rPr>
                <w:rFonts w:hAnsi="宋体"/>
                <w:kern w:val="0"/>
                <w:highlight w:val="none"/>
              </w:rPr>
            </w:pPr>
            <w:r>
              <w:rPr>
                <w:rFonts w:hint="eastAsia" w:hAnsi="宋体"/>
                <w:kern w:val="0"/>
                <w:highlight w:val="none"/>
              </w:rPr>
              <w:t>注：磋商申请人须在竞争性磋商响应文件提交截止时间以前将电子磋商响应文件上传至</w:t>
            </w:r>
            <w:r>
              <w:rPr>
                <w:rFonts w:hint="eastAsia" w:hAnsi="宋体"/>
                <w:highlight w:val="none"/>
              </w:rPr>
              <w:t>政府采购云平台（www.zcygov.cn）</w:t>
            </w:r>
            <w:r>
              <w:rPr>
                <w:rFonts w:hint="eastAsia" w:hAnsi="宋体"/>
                <w:kern w:val="0"/>
                <w:highlight w:val="none"/>
              </w:rPr>
              <w:t>。逾期上传电子响应文件或逾期未能到达指定地点进行磋商响应文件解密的或未能上传电子响应文件的，其磋商响应文件将视为不合格并拒绝。</w:t>
            </w:r>
          </w:p>
        </w:tc>
      </w:tr>
      <w:tr w14:paraId="3C86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2A6871DF">
            <w:pPr>
              <w:pStyle w:val="24"/>
              <w:spacing w:line="360" w:lineRule="auto"/>
              <w:jc w:val="center"/>
              <w:rPr>
                <w:rFonts w:hint="default" w:hAnsi="宋体" w:eastAsia="宋体"/>
                <w:sz w:val="21"/>
                <w:szCs w:val="21"/>
                <w:highlight w:val="none"/>
                <w:lang w:val="en-US" w:eastAsia="zh-CN"/>
              </w:rPr>
            </w:pPr>
            <w:r>
              <w:rPr>
                <w:rFonts w:hint="eastAsia" w:hAnsi="宋体"/>
                <w:sz w:val="21"/>
                <w:szCs w:val="21"/>
                <w:highlight w:val="none"/>
                <w:lang w:val="en-US" w:eastAsia="zh-CN"/>
              </w:rPr>
              <w:t>13</w:t>
            </w:r>
          </w:p>
        </w:tc>
        <w:tc>
          <w:tcPr>
            <w:tcW w:w="2457" w:type="dxa"/>
            <w:gridSpan w:val="2"/>
            <w:vAlign w:val="center"/>
          </w:tcPr>
          <w:p w14:paraId="7AB561CA">
            <w:pPr>
              <w:pStyle w:val="16"/>
              <w:spacing w:line="360" w:lineRule="auto"/>
              <w:rPr>
                <w:rFonts w:hAnsi="宋体"/>
                <w:kern w:val="0"/>
                <w:highlight w:val="none"/>
              </w:rPr>
            </w:pPr>
            <w:r>
              <w:rPr>
                <w:rFonts w:hint="eastAsia" w:hAnsi="宋体"/>
                <w:kern w:val="0"/>
                <w:highlight w:val="none"/>
              </w:rPr>
              <w:t>递交响应文件地点</w:t>
            </w:r>
          </w:p>
        </w:tc>
        <w:tc>
          <w:tcPr>
            <w:tcW w:w="6012" w:type="dxa"/>
            <w:vAlign w:val="center"/>
          </w:tcPr>
          <w:p w14:paraId="0FD7473A">
            <w:pPr>
              <w:pStyle w:val="16"/>
              <w:spacing w:line="360" w:lineRule="auto"/>
              <w:jc w:val="both"/>
              <w:rPr>
                <w:rFonts w:hint="eastAsia" w:hAnsi="宋体" w:eastAsia="宋体"/>
                <w:kern w:val="0"/>
                <w:highlight w:val="none"/>
                <w:lang w:eastAsia="zh-CN"/>
              </w:rPr>
            </w:pPr>
            <w:r>
              <w:rPr>
                <w:rFonts w:hint="eastAsia" w:hAnsi="宋体"/>
                <w:bCs/>
                <w:highlight w:val="none"/>
                <w:lang w:val="en-US" w:eastAsia="zh-CN"/>
              </w:rPr>
              <w:t>云南润腾招标咨询有限公司（</w:t>
            </w:r>
            <w:r>
              <w:rPr>
                <w:rFonts w:hint="eastAsia" w:hAnsi="宋体"/>
                <w:bCs/>
                <w:highlight w:val="none"/>
                <w:lang w:eastAsia="zh-CN"/>
              </w:rPr>
              <w:t>保山市隆阳区永昌街道红庙5组19号）</w:t>
            </w:r>
          </w:p>
        </w:tc>
      </w:tr>
      <w:tr w14:paraId="4102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39532D93">
            <w:pPr>
              <w:pStyle w:val="24"/>
              <w:spacing w:line="360" w:lineRule="auto"/>
              <w:jc w:val="center"/>
              <w:rPr>
                <w:rFonts w:hint="default" w:hAnsi="宋体" w:eastAsia="宋体"/>
                <w:sz w:val="21"/>
                <w:szCs w:val="21"/>
                <w:highlight w:val="none"/>
                <w:lang w:val="en-US" w:eastAsia="zh-CN"/>
              </w:rPr>
            </w:pPr>
            <w:r>
              <w:rPr>
                <w:rFonts w:hint="eastAsia" w:hAnsi="宋体"/>
                <w:sz w:val="21"/>
                <w:szCs w:val="21"/>
                <w:highlight w:val="none"/>
                <w:lang w:val="en-US" w:eastAsia="zh-CN"/>
              </w:rPr>
              <w:t>14</w:t>
            </w:r>
          </w:p>
        </w:tc>
        <w:tc>
          <w:tcPr>
            <w:tcW w:w="2457" w:type="dxa"/>
            <w:gridSpan w:val="2"/>
            <w:vAlign w:val="center"/>
          </w:tcPr>
          <w:p w14:paraId="6C8A4289">
            <w:pPr>
              <w:pStyle w:val="16"/>
              <w:spacing w:line="360" w:lineRule="auto"/>
              <w:rPr>
                <w:rFonts w:hAnsi="宋体"/>
                <w:kern w:val="0"/>
                <w:highlight w:val="none"/>
              </w:rPr>
            </w:pPr>
            <w:r>
              <w:rPr>
                <w:rFonts w:hint="eastAsia" w:hAnsi="宋体"/>
                <w:kern w:val="0"/>
                <w:highlight w:val="none"/>
              </w:rPr>
              <w:t>是否退还响应文件</w:t>
            </w:r>
          </w:p>
        </w:tc>
        <w:tc>
          <w:tcPr>
            <w:tcW w:w="6012" w:type="dxa"/>
            <w:vAlign w:val="center"/>
          </w:tcPr>
          <w:p w14:paraId="53288FCF">
            <w:pPr>
              <w:pStyle w:val="16"/>
              <w:spacing w:line="360" w:lineRule="auto"/>
              <w:rPr>
                <w:rFonts w:hAnsi="宋体"/>
                <w:kern w:val="0"/>
                <w:highlight w:val="none"/>
              </w:rPr>
            </w:pPr>
            <w:r>
              <w:rPr>
                <w:rFonts w:hint="eastAsia" w:hAnsi="宋体"/>
                <w:kern w:val="0"/>
                <w:highlight w:val="none"/>
              </w:rPr>
              <w:t>否</w:t>
            </w:r>
          </w:p>
        </w:tc>
      </w:tr>
      <w:tr w14:paraId="5E4F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3B812421">
            <w:pPr>
              <w:pStyle w:val="16"/>
              <w:spacing w:line="360" w:lineRule="auto"/>
              <w:jc w:val="center"/>
              <w:rPr>
                <w:rFonts w:hint="default" w:hAnsi="宋体" w:eastAsia="宋体"/>
                <w:kern w:val="0"/>
                <w:highlight w:val="none"/>
                <w:lang w:val="en-US" w:eastAsia="zh-CN"/>
              </w:rPr>
            </w:pPr>
            <w:r>
              <w:rPr>
                <w:rFonts w:hint="eastAsia" w:hAnsi="宋体"/>
                <w:kern w:val="0"/>
                <w:highlight w:val="none"/>
                <w:lang w:val="en-US" w:eastAsia="zh-CN"/>
              </w:rPr>
              <w:t>15</w:t>
            </w:r>
          </w:p>
        </w:tc>
        <w:tc>
          <w:tcPr>
            <w:tcW w:w="2457" w:type="dxa"/>
            <w:gridSpan w:val="2"/>
            <w:vAlign w:val="center"/>
          </w:tcPr>
          <w:p w14:paraId="675563B4">
            <w:pPr>
              <w:pStyle w:val="16"/>
              <w:spacing w:line="360" w:lineRule="auto"/>
              <w:rPr>
                <w:rFonts w:hAnsi="宋体"/>
                <w:kern w:val="0"/>
                <w:highlight w:val="none"/>
              </w:rPr>
            </w:pPr>
            <w:r>
              <w:rPr>
                <w:rFonts w:hint="eastAsia" w:hAnsi="宋体"/>
                <w:kern w:val="0"/>
                <w:highlight w:val="none"/>
              </w:rPr>
              <w:t>磋商时间和地点</w:t>
            </w:r>
          </w:p>
        </w:tc>
        <w:tc>
          <w:tcPr>
            <w:tcW w:w="6012" w:type="dxa"/>
            <w:vAlign w:val="center"/>
          </w:tcPr>
          <w:p w14:paraId="3D756015">
            <w:pPr>
              <w:pStyle w:val="16"/>
              <w:spacing w:line="360" w:lineRule="auto"/>
              <w:jc w:val="both"/>
              <w:rPr>
                <w:rFonts w:hAnsi="宋体"/>
                <w:kern w:val="0"/>
                <w:highlight w:val="none"/>
              </w:rPr>
            </w:pPr>
            <w:r>
              <w:rPr>
                <w:rFonts w:hint="eastAsia" w:hAnsi="宋体"/>
                <w:kern w:val="0"/>
                <w:highlight w:val="none"/>
              </w:rPr>
              <w:t>磋商响应文件启封时间：</w:t>
            </w:r>
            <w:r>
              <w:rPr>
                <w:rFonts w:hint="eastAsia" w:hAnsi="宋体"/>
                <w:color w:val="auto"/>
                <w:highlight w:val="none"/>
                <w:u w:val="single"/>
                <w:lang w:eastAsia="zh-CN"/>
              </w:rPr>
              <w:t>2026年05月19日</w:t>
            </w:r>
            <w:r>
              <w:rPr>
                <w:rFonts w:hint="eastAsia" w:hAnsi="宋体"/>
                <w:color w:val="auto"/>
                <w:highlight w:val="none"/>
                <w:u w:val="single"/>
                <w:lang w:val="en-US" w:eastAsia="zh-CN"/>
              </w:rPr>
              <w:t>15</w:t>
            </w:r>
            <w:r>
              <w:rPr>
                <w:rFonts w:hint="eastAsia" w:hAnsi="宋体"/>
                <w:color w:val="auto"/>
                <w:highlight w:val="none"/>
                <w:u w:val="single"/>
              </w:rPr>
              <w:t>时00分</w:t>
            </w:r>
            <w:r>
              <w:rPr>
                <w:rFonts w:hint="eastAsia" w:hAnsi="宋体"/>
                <w:kern w:val="0"/>
                <w:highlight w:val="none"/>
              </w:rPr>
              <w:t>（北京时间）开始</w:t>
            </w:r>
          </w:p>
          <w:p w14:paraId="209AB5FD">
            <w:pPr>
              <w:pStyle w:val="16"/>
              <w:spacing w:line="360" w:lineRule="auto"/>
              <w:rPr>
                <w:rFonts w:hint="eastAsia" w:hAnsi="宋体" w:eastAsia="宋体"/>
                <w:kern w:val="0"/>
                <w:highlight w:val="none"/>
                <w:lang w:eastAsia="zh-CN"/>
              </w:rPr>
            </w:pPr>
            <w:r>
              <w:rPr>
                <w:rFonts w:hint="eastAsia" w:hAnsi="宋体"/>
                <w:kern w:val="0"/>
                <w:highlight w:val="none"/>
              </w:rPr>
              <w:t>磋商地点：</w:t>
            </w:r>
            <w:r>
              <w:rPr>
                <w:rFonts w:hint="eastAsia" w:hAnsi="宋体"/>
                <w:bCs/>
                <w:highlight w:val="none"/>
                <w:lang w:eastAsia="zh-CN"/>
              </w:rPr>
              <w:t>保山市隆阳区永昌街道红庙5组19号</w:t>
            </w:r>
          </w:p>
        </w:tc>
      </w:tr>
      <w:tr w14:paraId="6526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Merge w:val="restart"/>
            <w:vAlign w:val="center"/>
          </w:tcPr>
          <w:p w14:paraId="0CF2BE8E">
            <w:pPr>
              <w:pStyle w:val="16"/>
              <w:spacing w:line="360" w:lineRule="auto"/>
              <w:jc w:val="center"/>
              <w:rPr>
                <w:rFonts w:hint="default" w:hAnsi="宋体" w:eastAsia="宋体"/>
                <w:kern w:val="0"/>
                <w:highlight w:val="none"/>
                <w:lang w:val="en-US" w:eastAsia="zh-CN"/>
              </w:rPr>
            </w:pPr>
            <w:r>
              <w:rPr>
                <w:rFonts w:hint="eastAsia" w:hAnsi="宋体"/>
                <w:kern w:val="0"/>
                <w:highlight w:val="none"/>
                <w:lang w:val="en-US" w:eastAsia="zh-CN"/>
              </w:rPr>
              <w:t>16</w:t>
            </w:r>
          </w:p>
        </w:tc>
        <w:tc>
          <w:tcPr>
            <w:tcW w:w="2457" w:type="dxa"/>
            <w:gridSpan w:val="2"/>
            <w:vAlign w:val="center"/>
          </w:tcPr>
          <w:p w14:paraId="44ECBAD0">
            <w:pPr>
              <w:pStyle w:val="16"/>
              <w:spacing w:line="360" w:lineRule="auto"/>
              <w:rPr>
                <w:rFonts w:hAnsi="宋体"/>
                <w:kern w:val="0"/>
                <w:highlight w:val="none"/>
              </w:rPr>
            </w:pPr>
            <w:r>
              <w:rPr>
                <w:rFonts w:hint="eastAsia" w:hAnsi="宋体"/>
                <w:kern w:val="0"/>
                <w:highlight w:val="none"/>
              </w:rPr>
              <w:t>磋商程序和方法</w:t>
            </w:r>
          </w:p>
        </w:tc>
        <w:tc>
          <w:tcPr>
            <w:tcW w:w="6012" w:type="dxa"/>
            <w:vAlign w:val="center"/>
          </w:tcPr>
          <w:p w14:paraId="5C2357CE">
            <w:pPr>
              <w:pStyle w:val="16"/>
              <w:spacing w:line="360" w:lineRule="auto"/>
              <w:rPr>
                <w:rFonts w:hint="eastAsia" w:hAnsi="宋体" w:eastAsia="宋体"/>
                <w:kern w:val="0"/>
                <w:highlight w:val="none"/>
                <w:lang w:eastAsia="zh-CN"/>
              </w:rPr>
            </w:pPr>
            <w:r>
              <w:rPr>
                <w:rFonts w:hint="eastAsia" w:hAnsi="宋体"/>
                <w:kern w:val="0"/>
                <w:highlight w:val="none"/>
                <w:lang w:eastAsia="zh-CN"/>
              </w:rPr>
              <w:t>综合评分法</w:t>
            </w:r>
          </w:p>
        </w:tc>
      </w:tr>
      <w:tr w14:paraId="2DC8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Merge w:val="continue"/>
            <w:vAlign w:val="center"/>
          </w:tcPr>
          <w:p w14:paraId="687A6DE7">
            <w:pPr>
              <w:pStyle w:val="16"/>
              <w:spacing w:line="360" w:lineRule="auto"/>
              <w:jc w:val="center"/>
              <w:rPr>
                <w:rFonts w:hAnsi="宋体"/>
                <w:kern w:val="0"/>
                <w:highlight w:val="none"/>
              </w:rPr>
            </w:pPr>
          </w:p>
        </w:tc>
        <w:tc>
          <w:tcPr>
            <w:tcW w:w="8469" w:type="dxa"/>
            <w:gridSpan w:val="3"/>
            <w:vAlign w:val="center"/>
          </w:tcPr>
          <w:p w14:paraId="0056D32D">
            <w:pPr>
              <w:pStyle w:val="16"/>
              <w:spacing w:line="360" w:lineRule="auto"/>
              <w:rPr>
                <w:rFonts w:hAnsi="宋体"/>
                <w:kern w:val="0"/>
                <w:highlight w:val="none"/>
              </w:rPr>
            </w:pPr>
            <w:r>
              <w:rPr>
                <w:rFonts w:hint="eastAsia" w:hAnsi="宋体"/>
                <w:kern w:val="0"/>
                <w:highlight w:val="none"/>
              </w:rPr>
              <w:t>第六章“磋商程序和方法”第2.1款资格审查标准规定的内容，为参加磋商的磋商申请人必须具备的资格条件，凡有一条不满足的磋商申请人不再参与磋商。请各参加磋商的磋商申请人仔细阅读资格审查标准。</w:t>
            </w:r>
          </w:p>
        </w:tc>
      </w:tr>
      <w:tr w14:paraId="3F69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34E7FD6D">
            <w:pPr>
              <w:pStyle w:val="16"/>
              <w:spacing w:line="360" w:lineRule="auto"/>
              <w:jc w:val="center"/>
              <w:rPr>
                <w:rFonts w:hint="default" w:hAnsi="宋体" w:eastAsia="宋体"/>
                <w:kern w:val="0"/>
                <w:highlight w:val="none"/>
                <w:lang w:val="en-US" w:eastAsia="zh-CN"/>
              </w:rPr>
            </w:pPr>
            <w:r>
              <w:rPr>
                <w:rFonts w:hint="eastAsia" w:hAnsi="宋体"/>
                <w:kern w:val="0"/>
                <w:highlight w:val="none"/>
                <w:lang w:val="en-US" w:eastAsia="zh-CN"/>
              </w:rPr>
              <w:t>17</w:t>
            </w:r>
          </w:p>
        </w:tc>
        <w:tc>
          <w:tcPr>
            <w:tcW w:w="2457" w:type="dxa"/>
            <w:gridSpan w:val="2"/>
            <w:vAlign w:val="center"/>
          </w:tcPr>
          <w:p w14:paraId="6D0AFAEF">
            <w:pPr>
              <w:pStyle w:val="16"/>
              <w:spacing w:line="360" w:lineRule="auto"/>
              <w:rPr>
                <w:rFonts w:hAnsi="宋体"/>
                <w:kern w:val="0"/>
                <w:highlight w:val="none"/>
              </w:rPr>
            </w:pPr>
            <w:r>
              <w:rPr>
                <w:rFonts w:hint="eastAsia" w:hAnsi="宋体"/>
                <w:b/>
                <w:bCs/>
                <w:kern w:val="0"/>
                <w:highlight w:val="none"/>
              </w:rPr>
              <w:t>采购代理服务费</w:t>
            </w:r>
          </w:p>
        </w:tc>
        <w:tc>
          <w:tcPr>
            <w:tcW w:w="6012" w:type="dxa"/>
            <w:vAlign w:val="center"/>
          </w:tcPr>
          <w:p w14:paraId="7C0BCA03">
            <w:pPr>
              <w:pStyle w:val="16"/>
              <w:spacing w:line="360" w:lineRule="auto"/>
              <w:rPr>
                <w:rFonts w:hAnsi="宋体"/>
                <w:b/>
                <w:bCs/>
                <w:kern w:val="0"/>
                <w:highlight w:val="none"/>
              </w:rPr>
            </w:pPr>
            <w:r>
              <w:rPr>
                <w:rFonts w:hint="eastAsia" w:hAnsi="宋体" w:cs="宋体"/>
                <w:kern w:val="0"/>
                <w:szCs w:val="21"/>
                <w:highlight w:val="none"/>
                <w:lang w:val="en-US" w:eastAsia="zh-CN"/>
              </w:rPr>
              <w:t>采购代理机构根据《云南省建设工程招标代理服务收费指导意见（试行）》的通知（云建招协〔2023〕51号）文件中服务类标准计算收取，由成交人在领取成交通知书时支付给采购代理机构</w:t>
            </w:r>
            <w:r>
              <w:rPr>
                <w:rFonts w:hint="eastAsia"/>
                <w:b/>
                <w:bCs/>
                <w:highlight w:val="none"/>
              </w:rPr>
              <w:t>。</w:t>
            </w:r>
          </w:p>
        </w:tc>
      </w:tr>
      <w:tr w14:paraId="5CF6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072EA536">
            <w:pPr>
              <w:pStyle w:val="16"/>
              <w:spacing w:line="360" w:lineRule="auto"/>
              <w:jc w:val="center"/>
              <w:rPr>
                <w:rFonts w:hint="default" w:hAnsi="宋体" w:eastAsia="宋体"/>
                <w:kern w:val="0"/>
                <w:highlight w:val="none"/>
                <w:lang w:val="en-US" w:eastAsia="zh-CN"/>
              </w:rPr>
            </w:pPr>
            <w:r>
              <w:rPr>
                <w:rFonts w:hint="eastAsia" w:hAnsi="宋体"/>
                <w:kern w:val="0"/>
                <w:highlight w:val="none"/>
                <w:lang w:val="en-US" w:eastAsia="zh-CN"/>
              </w:rPr>
              <w:t>18</w:t>
            </w:r>
          </w:p>
        </w:tc>
        <w:tc>
          <w:tcPr>
            <w:tcW w:w="8469" w:type="dxa"/>
            <w:gridSpan w:val="3"/>
            <w:vAlign w:val="center"/>
          </w:tcPr>
          <w:p w14:paraId="79519912">
            <w:pPr>
              <w:pStyle w:val="16"/>
              <w:spacing w:line="360" w:lineRule="auto"/>
              <w:rPr>
                <w:rFonts w:hAnsi="宋体"/>
                <w:kern w:val="0"/>
                <w:highlight w:val="none"/>
              </w:rPr>
            </w:pPr>
            <w:r>
              <w:rPr>
                <w:rFonts w:hint="eastAsia" w:hAnsi="宋体"/>
                <w:kern w:val="0"/>
                <w:highlight w:val="none"/>
              </w:rPr>
              <w:t>需要补充的其他内容</w:t>
            </w:r>
          </w:p>
        </w:tc>
      </w:tr>
      <w:tr w14:paraId="2CAE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019D7E42">
            <w:pPr>
              <w:pStyle w:val="16"/>
              <w:spacing w:line="360" w:lineRule="auto"/>
              <w:jc w:val="center"/>
              <w:rPr>
                <w:rFonts w:hAnsi="宋体"/>
                <w:kern w:val="0"/>
                <w:highlight w:val="none"/>
              </w:rPr>
            </w:pPr>
            <w:r>
              <w:rPr>
                <w:rFonts w:hint="eastAsia" w:hAnsi="宋体"/>
                <w:kern w:val="0"/>
                <w:highlight w:val="none"/>
              </w:rPr>
              <w:t>（1）</w:t>
            </w:r>
          </w:p>
        </w:tc>
        <w:tc>
          <w:tcPr>
            <w:tcW w:w="8469" w:type="dxa"/>
            <w:gridSpan w:val="3"/>
            <w:vAlign w:val="center"/>
          </w:tcPr>
          <w:p w14:paraId="77B266B4">
            <w:pPr>
              <w:spacing w:before="173" w:line="406" w:lineRule="auto"/>
              <w:ind w:left="111" w:right="80" w:firstLine="3"/>
              <w:rPr>
                <w:rFonts w:ascii="宋体" w:hAnsi="宋体" w:eastAsia="宋体" w:cs="宋体"/>
                <w:szCs w:val="21"/>
                <w:highlight w:val="none"/>
              </w:rPr>
            </w:pPr>
            <w:r>
              <w:rPr>
                <w:rFonts w:hint="eastAsia" w:ascii="宋体" w:hAnsi="宋体" w:eastAsia="宋体" w:cs="宋体"/>
                <w:kern w:val="0"/>
                <w:sz w:val="21"/>
                <w:szCs w:val="21"/>
                <w:highlight w:val="none"/>
                <w:lang w:val="en-US" w:eastAsia="zh-CN" w:bidi="ar-SA"/>
              </w:rPr>
              <w:t>竞争性磋商报价：磋商申请人按照采购人提供的采购需求清单报价并提供完整报价明细表。</w:t>
            </w:r>
          </w:p>
          <w:p w14:paraId="07A3C3B1">
            <w:pPr>
              <w:spacing w:before="173" w:line="406" w:lineRule="auto"/>
              <w:ind w:left="111" w:right="80" w:firstLine="3"/>
              <w:rPr>
                <w:rFonts w:hAnsi="宋体"/>
                <w:highlight w:val="none"/>
              </w:rPr>
            </w:pPr>
            <w:r>
              <w:rPr>
                <w:rFonts w:hint="eastAsia" w:ascii="宋体" w:hAnsi="宋体" w:eastAsia="宋体" w:cs="宋体"/>
                <w:b/>
                <w:bCs/>
                <w:szCs w:val="21"/>
                <w:highlight w:val="none"/>
              </w:rPr>
              <w:t>本项目最终报价以第二次报价为准，</w:t>
            </w:r>
            <w:r>
              <w:rPr>
                <w:rFonts w:hint="eastAsia" w:ascii="宋体" w:hAnsi="宋体" w:eastAsia="宋体" w:cs="宋体"/>
                <w:b/>
                <w:bCs/>
                <w:color w:val="auto"/>
                <w:szCs w:val="21"/>
                <w:highlight w:val="none"/>
              </w:rPr>
              <w:t>由磋商申请人自行填报总价</w:t>
            </w:r>
            <w:r>
              <w:rPr>
                <w:rFonts w:hint="eastAsia" w:ascii="宋体" w:hAnsi="宋体" w:eastAsia="宋体" w:cs="宋体"/>
                <w:b/>
                <w:bCs/>
                <w:szCs w:val="21"/>
                <w:highlight w:val="none"/>
              </w:rPr>
              <w:t>，且第二次报价不得超过第一次标书报价。最终成交单价根据最终报价与第一次标书报价相比，按同比例下浮确定。在合同执行过程中单价固定不变，除因设计变更及变更签证外，不得以任何理由予以变更</w:t>
            </w:r>
            <w:r>
              <w:rPr>
                <w:rFonts w:hint="eastAsia" w:ascii="宋体" w:hAnsi="宋体" w:eastAsia="宋体" w:cs="宋体"/>
                <w:szCs w:val="21"/>
                <w:highlight w:val="none"/>
              </w:rPr>
              <w:t>。</w:t>
            </w:r>
          </w:p>
        </w:tc>
      </w:tr>
      <w:tr w14:paraId="646E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435EBF96">
            <w:pPr>
              <w:pStyle w:val="16"/>
              <w:spacing w:line="360" w:lineRule="auto"/>
              <w:jc w:val="center"/>
              <w:rPr>
                <w:rFonts w:hAnsi="宋体"/>
                <w:kern w:val="0"/>
                <w:highlight w:val="none"/>
              </w:rPr>
            </w:pPr>
            <w:r>
              <w:rPr>
                <w:rFonts w:hint="eastAsia" w:hAnsi="宋体"/>
                <w:kern w:val="0"/>
                <w:highlight w:val="none"/>
              </w:rPr>
              <w:t>（2）</w:t>
            </w:r>
          </w:p>
        </w:tc>
        <w:tc>
          <w:tcPr>
            <w:tcW w:w="8469" w:type="dxa"/>
            <w:gridSpan w:val="3"/>
            <w:vAlign w:val="center"/>
          </w:tcPr>
          <w:p w14:paraId="3D27089B">
            <w:pPr>
              <w:pStyle w:val="16"/>
              <w:spacing w:line="360" w:lineRule="auto"/>
              <w:rPr>
                <w:rFonts w:hAnsi="宋体"/>
                <w:kern w:val="0"/>
                <w:highlight w:val="none"/>
              </w:rPr>
            </w:pPr>
            <w:r>
              <w:rPr>
                <w:rFonts w:hint="eastAsia" w:hAnsi="宋体"/>
                <w:kern w:val="0"/>
                <w:highlight w:val="none"/>
              </w:rPr>
              <w:t>评审办法：综合</w:t>
            </w:r>
            <w:r>
              <w:rPr>
                <w:rFonts w:hint="eastAsia" w:hAnsi="宋体"/>
                <w:kern w:val="0"/>
                <w:highlight w:val="none"/>
                <w:lang w:val="en-US" w:eastAsia="zh-CN"/>
              </w:rPr>
              <w:t>评</w:t>
            </w:r>
            <w:r>
              <w:rPr>
                <w:rFonts w:hint="eastAsia" w:hAnsi="宋体"/>
                <w:kern w:val="0"/>
                <w:highlight w:val="none"/>
              </w:rPr>
              <w:t>分法（详见第六章磋商程序和方法）</w:t>
            </w:r>
          </w:p>
        </w:tc>
      </w:tr>
      <w:tr w14:paraId="76CA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11807E63">
            <w:pPr>
              <w:pStyle w:val="16"/>
              <w:spacing w:line="360" w:lineRule="auto"/>
              <w:jc w:val="center"/>
              <w:rPr>
                <w:rFonts w:hAnsi="宋体"/>
                <w:kern w:val="0"/>
                <w:highlight w:val="none"/>
              </w:rPr>
            </w:pPr>
            <w:r>
              <w:rPr>
                <w:rFonts w:hint="eastAsia" w:hAnsi="宋体"/>
                <w:kern w:val="0"/>
                <w:highlight w:val="none"/>
              </w:rPr>
              <w:t>（3）</w:t>
            </w:r>
          </w:p>
        </w:tc>
        <w:tc>
          <w:tcPr>
            <w:tcW w:w="8469" w:type="dxa"/>
            <w:gridSpan w:val="3"/>
            <w:vAlign w:val="center"/>
          </w:tcPr>
          <w:p w14:paraId="2900D5A0">
            <w:pPr>
              <w:pStyle w:val="16"/>
              <w:keepNext/>
              <w:spacing w:line="360" w:lineRule="auto"/>
              <w:rPr>
                <w:rFonts w:hAnsi="宋体"/>
                <w:kern w:val="0"/>
                <w:highlight w:val="none"/>
              </w:rPr>
            </w:pPr>
            <w:r>
              <w:rPr>
                <w:rFonts w:hint="eastAsia" w:hAnsi="宋体"/>
                <w:kern w:val="0"/>
                <w:highlight w:val="none"/>
              </w:rPr>
              <w:t>书面提疑时间：</w:t>
            </w:r>
            <w:r>
              <w:rPr>
                <w:rFonts w:hint="eastAsia" w:hAnsi="宋体"/>
                <w:highlight w:val="none"/>
              </w:rPr>
              <w:t>提交首次响应文件截止之日5日前</w:t>
            </w:r>
            <w:r>
              <w:rPr>
                <w:rFonts w:hint="eastAsia" w:hAnsi="宋体"/>
                <w:kern w:val="0"/>
                <w:highlight w:val="none"/>
              </w:rPr>
              <w:t>，</w:t>
            </w:r>
            <w:r>
              <w:rPr>
                <w:rFonts w:hint="eastAsia" w:hAnsi="宋体"/>
                <w:highlight w:val="none"/>
              </w:rPr>
              <w:t>在竞争性磋商获取时间前，所有获取了竞争性磋商文件的潜在磋商申请人通过书面形式向或</w:t>
            </w:r>
            <w:r>
              <w:rPr>
                <w:rFonts w:hint="eastAsia" w:hAnsi="宋体"/>
                <w:kern w:val="0"/>
                <w:highlight w:val="none"/>
              </w:rPr>
              <w:t>政府采购云平台</w:t>
            </w:r>
            <w:r>
              <w:rPr>
                <w:rFonts w:hint="eastAsia" w:hAnsi="宋体"/>
                <w:highlight w:val="none"/>
              </w:rPr>
              <w:t>向采购代理机构提问。</w:t>
            </w:r>
          </w:p>
          <w:p w14:paraId="0351F943">
            <w:pPr>
              <w:pStyle w:val="16"/>
              <w:spacing w:line="360" w:lineRule="auto"/>
              <w:rPr>
                <w:rFonts w:hAnsi="宋体"/>
                <w:kern w:val="0"/>
                <w:highlight w:val="none"/>
              </w:rPr>
            </w:pPr>
            <w:r>
              <w:rPr>
                <w:rFonts w:hint="eastAsia" w:hAnsi="宋体"/>
                <w:kern w:val="0"/>
                <w:highlight w:val="none"/>
              </w:rPr>
              <w:t>书面答疑时间：</w:t>
            </w:r>
            <w:r>
              <w:rPr>
                <w:rFonts w:hint="eastAsia" w:hAnsi="宋体"/>
                <w:highlight w:val="none"/>
              </w:rPr>
              <w:t>提交首次响应文件截止之日5日前</w:t>
            </w:r>
            <w:r>
              <w:rPr>
                <w:rFonts w:hint="eastAsia" w:hAnsi="宋体"/>
                <w:kern w:val="0"/>
                <w:highlight w:val="none"/>
              </w:rPr>
              <w:t>，</w:t>
            </w:r>
            <w:r>
              <w:rPr>
                <w:rFonts w:hint="eastAsia" w:hAnsi="宋体"/>
                <w:highlight w:val="none"/>
              </w:rPr>
              <w:t>由采购代理机构以补遗书方式按程序报有采购人同意后，向潜在磋商申请人发布，且磋商申请人须回函确认。若发生实质性变更的，磋商时间、磋商响应文件递交时间顺延，顺延时间为自发布实质性变更的更正公告之日起不少于5日历天。</w:t>
            </w:r>
          </w:p>
        </w:tc>
      </w:tr>
      <w:tr w14:paraId="5C8E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076E24C6">
            <w:pPr>
              <w:pStyle w:val="16"/>
              <w:spacing w:before="156" w:line="360" w:lineRule="auto"/>
              <w:jc w:val="center"/>
              <w:rPr>
                <w:rFonts w:hAnsi="宋体"/>
                <w:kern w:val="0"/>
                <w:highlight w:val="none"/>
              </w:rPr>
            </w:pPr>
            <w:r>
              <w:rPr>
                <w:rFonts w:hint="eastAsia" w:hAnsi="宋体"/>
                <w:kern w:val="0"/>
                <w:highlight w:val="none"/>
              </w:rPr>
              <w:t>（4）</w:t>
            </w:r>
          </w:p>
        </w:tc>
        <w:tc>
          <w:tcPr>
            <w:tcW w:w="8469" w:type="dxa"/>
            <w:gridSpan w:val="3"/>
            <w:vAlign w:val="center"/>
          </w:tcPr>
          <w:p w14:paraId="39D35D23">
            <w:pPr>
              <w:widowControl/>
              <w:spacing w:line="460" w:lineRule="exact"/>
              <w:jc w:val="left"/>
              <w:rPr>
                <w:rFonts w:hint="eastAsia" w:ascii="宋体" w:hAnsi="宋体" w:eastAsia="宋体" w:cs="宋体"/>
                <w:szCs w:val="21"/>
                <w:highlight w:val="none"/>
              </w:rPr>
            </w:pPr>
            <w:r>
              <w:rPr>
                <w:rFonts w:hint="eastAsia" w:ascii="宋体" w:hAnsi="宋体" w:eastAsia="宋体" w:cs="宋体"/>
                <w:b/>
                <w:bCs/>
                <w:sz w:val="21"/>
                <w:szCs w:val="21"/>
                <w:highlight w:val="none"/>
              </w:rPr>
              <w:t>如出现下列情形，其响应文件将被否决：</w:t>
            </w:r>
          </w:p>
          <w:p w14:paraId="4F969D1D">
            <w:pPr>
              <w:widowControl/>
              <w:spacing w:line="46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A.</w:t>
            </w:r>
            <w:r>
              <w:rPr>
                <w:rFonts w:hint="eastAsia" w:ascii="宋体" w:hAnsi="宋体" w:eastAsia="宋体" w:cs="宋体"/>
                <w:szCs w:val="21"/>
                <w:highlight w:val="none"/>
              </w:rPr>
              <w:t>不符合国家和地方相关法律法规的规定。</w:t>
            </w:r>
          </w:p>
          <w:p w14:paraId="1C6D1FAD">
            <w:pPr>
              <w:widowControl/>
              <w:spacing w:line="46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B.</w:t>
            </w:r>
            <w:r>
              <w:rPr>
                <w:rFonts w:hint="eastAsia" w:ascii="宋体" w:hAnsi="宋体" w:eastAsia="宋体" w:cs="宋体"/>
                <w:szCs w:val="21"/>
                <w:highlight w:val="none"/>
              </w:rPr>
              <w:t>磋商申请人资格不满足要求。</w:t>
            </w:r>
          </w:p>
          <w:p w14:paraId="15E465E1">
            <w:pPr>
              <w:widowControl/>
              <w:spacing w:line="46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C.</w:t>
            </w:r>
            <w:r>
              <w:rPr>
                <w:rFonts w:hint="eastAsia" w:ascii="宋体" w:hAnsi="宋体" w:eastAsia="宋体" w:cs="宋体"/>
                <w:szCs w:val="21"/>
                <w:highlight w:val="none"/>
              </w:rPr>
              <w:t>磋商有效期不满足竞争性磋商文件要求的。</w:t>
            </w:r>
          </w:p>
          <w:p w14:paraId="1E4E07E8">
            <w:pPr>
              <w:widowControl/>
              <w:spacing w:line="46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D.</w:t>
            </w:r>
            <w:r>
              <w:rPr>
                <w:rFonts w:hint="eastAsia" w:ascii="宋体" w:hAnsi="宋体" w:eastAsia="宋体" w:cs="宋体"/>
                <w:szCs w:val="21"/>
                <w:highlight w:val="none"/>
              </w:rPr>
              <w:t>未按照竞争性磋商文件规定要求签署、盖章的。</w:t>
            </w:r>
          </w:p>
          <w:p w14:paraId="3B5AFF4C">
            <w:pPr>
              <w:widowControl/>
              <w:spacing w:line="46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E.</w:t>
            </w:r>
            <w:r>
              <w:rPr>
                <w:rFonts w:hint="eastAsia" w:ascii="宋体" w:hAnsi="宋体" w:eastAsia="宋体" w:cs="宋体"/>
                <w:szCs w:val="21"/>
                <w:highlight w:val="none"/>
              </w:rPr>
              <w:t>磋商报价不满足要求。</w:t>
            </w:r>
          </w:p>
          <w:p w14:paraId="713F894C">
            <w:pPr>
              <w:widowControl/>
              <w:spacing w:line="46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F.</w:t>
            </w:r>
            <w:r>
              <w:rPr>
                <w:rFonts w:hint="eastAsia" w:ascii="宋体" w:hAnsi="宋体" w:eastAsia="宋体" w:cs="宋体"/>
                <w:szCs w:val="21"/>
                <w:highlight w:val="none"/>
              </w:rPr>
              <w:t>响应文件未按要求进行编制。</w:t>
            </w:r>
          </w:p>
          <w:p w14:paraId="6901F2CF">
            <w:pPr>
              <w:widowControl/>
              <w:spacing w:line="46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G.</w:t>
            </w:r>
            <w:r>
              <w:rPr>
                <w:rFonts w:hint="eastAsia" w:ascii="宋体" w:hAnsi="宋体" w:eastAsia="宋体" w:cs="宋体"/>
                <w:szCs w:val="21"/>
                <w:highlight w:val="none"/>
              </w:rPr>
              <w:t>不接受竞争性磋商文件约定的合同条款。</w:t>
            </w:r>
          </w:p>
          <w:p w14:paraId="5968673C">
            <w:pPr>
              <w:widowControl/>
              <w:spacing w:line="46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H.</w:t>
            </w:r>
            <w:r>
              <w:rPr>
                <w:rFonts w:hint="eastAsia" w:ascii="宋体" w:hAnsi="宋体" w:eastAsia="宋体" w:cs="宋体"/>
                <w:szCs w:val="21"/>
                <w:highlight w:val="none"/>
              </w:rPr>
              <w:t>响应文件的响应与事实不符或虚假应标。</w:t>
            </w:r>
          </w:p>
          <w:p w14:paraId="2BAB0EEC">
            <w:pPr>
              <w:widowControl/>
              <w:spacing w:line="460" w:lineRule="exact"/>
              <w:jc w:val="left"/>
              <w:rPr>
                <w:rFonts w:hAnsi="宋体"/>
                <w:highlight w:val="none"/>
              </w:rPr>
            </w:pPr>
            <w:r>
              <w:rPr>
                <w:rFonts w:hint="eastAsia" w:ascii="宋体" w:hAnsi="宋体" w:eastAsia="宋体" w:cs="宋体"/>
                <w:szCs w:val="21"/>
                <w:highlight w:val="none"/>
                <w:lang w:val="en-US" w:eastAsia="zh-CN"/>
              </w:rPr>
              <w:t>I.</w:t>
            </w:r>
            <w:r>
              <w:rPr>
                <w:rFonts w:hint="eastAsia" w:ascii="宋体" w:hAnsi="宋体" w:eastAsia="宋体" w:cs="宋体"/>
                <w:szCs w:val="21"/>
                <w:highlight w:val="none"/>
              </w:rPr>
              <w:t>竞争性磋商文件中规定无效响应文件的其它条款。</w:t>
            </w:r>
          </w:p>
        </w:tc>
      </w:tr>
      <w:tr w14:paraId="0A64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49273E93">
            <w:pPr>
              <w:pStyle w:val="16"/>
              <w:spacing w:before="156" w:line="360" w:lineRule="auto"/>
              <w:jc w:val="center"/>
              <w:rPr>
                <w:rFonts w:hAnsi="宋体"/>
                <w:kern w:val="0"/>
                <w:highlight w:val="none"/>
              </w:rPr>
            </w:pPr>
            <w:r>
              <w:rPr>
                <w:rFonts w:hint="eastAsia" w:hAnsi="宋体"/>
                <w:kern w:val="0"/>
                <w:highlight w:val="none"/>
              </w:rPr>
              <w:t>（5）</w:t>
            </w:r>
          </w:p>
        </w:tc>
        <w:tc>
          <w:tcPr>
            <w:tcW w:w="8469" w:type="dxa"/>
            <w:gridSpan w:val="3"/>
            <w:vAlign w:val="center"/>
          </w:tcPr>
          <w:p w14:paraId="43C028BC">
            <w:pPr>
              <w:pStyle w:val="16"/>
              <w:spacing w:line="440" w:lineRule="exact"/>
              <w:rPr>
                <w:rFonts w:hAnsi="宋体"/>
                <w:highlight w:val="none"/>
              </w:rPr>
            </w:pPr>
            <w:bookmarkStart w:id="10" w:name="OLE_LINK44"/>
            <w:r>
              <w:rPr>
                <w:rFonts w:hint="eastAsia" w:hAnsi="宋体"/>
                <w:kern w:val="0"/>
                <w:highlight w:val="none"/>
                <w:lang w:eastAsia="zh-CN"/>
              </w:rPr>
              <w:t>本项目属于专门面向中小企业的政府采购项目</w:t>
            </w:r>
            <w:r>
              <w:rPr>
                <w:rFonts w:hint="eastAsia" w:hAnsi="宋体"/>
                <w:kern w:val="0"/>
                <w:highlight w:val="none"/>
              </w:rPr>
              <w:t>，</w:t>
            </w:r>
            <w:r>
              <w:rPr>
                <w:rFonts w:hint="eastAsia" w:hAnsi="宋体"/>
                <w:highlight w:val="none"/>
              </w:rPr>
              <w:t>本项目对小微企业的评审：</w:t>
            </w:r>
            <w:r>
              <w:rPr>
                <w:rFonts w:hint="eastAsia" w:hAnsi="宋体"/>
                <w:highlight w:val="none"/>
              </w:rPr>
              <w:fldChar w:fldCharType="begin"/>
            </w:r>
            <w:r>
              <w:rPr>
                <w:rFonts w:hint="eastAsia" w:hAnsi="宋体"/>
                <w:highlight w:val="none"/>
              </w:rPr>
              <w:instrText xml:space="preserve"> eq \o\ac(□,</w:instrText>
            </w:r>
            <w:r>
              <w:rPr>
                <w:rFonts w:hint="eastAsia" w:hAnsi="宋体"/>
                <w:position w:val="2"/>
                <w:highlight w:val="none"/>
              </w:rPr>
              <w:instrText xml:space="preserve">√</w:instrText>
            </w:r>
            <w:r>
              <w:rPr>
                <w:rFonts w:hint="eastAsia" w:hAnsi="宋体"/>
                <w:highlight w:val="none"/>
              </w:rPr>
              <w:instrText xml:space="preserve">)</w:instrText>
            </w:r>
            <w:r>
              <w:rPr>
                <w:rFonts w:hint="eastAsia" w:hAnsi="宋体"/>
                <w:highlight w:val="none"/>
              </w:rPr>
              <w:fldChar w:fldCharType="end"/>
            </w:r>
            <w:r>
              <w:rPr>
                <w:rFonts w:hint="eastAsia" w:hAnsi="宋体"/>
                <w:highlight w:val="none"/>
              </w:rPr>
              <w:t>适用  □不适用。</w:t>
            </w:r>
          </w:p>
          <w:p w14:paraId="0541369B">
            <w:pPr>
              <w:widowControl/>
              <w:spacing w:line="440" w:lineRule="exact"/>
              <w:jc w:val="left"/>
              <w:rPr>
                <w:rFonts w:ascii="宋体" w:hAnsi="宋体" w:cs="宋体"/>
                <w:szCs w:val="21"/>
                <w:highlight w:val="none"/>
              </w:rPr>
            </w:pPr>
            <w:r>
              <w:rPr>
                <w:rFonts w:hint="eastAsia" w:ascii="宋体" w:hAnsi="宋体" w:cs="宋体"/>
                <w:szCs w:val="21"/>
                <w:highlight w:val="none"/>
              </w:rPr>
              <w:t>中小微型企业有关政策。</w:t>
            </w:r>
          </w:p>
          <w:p w14:paraId="10C6EB52">
            <w:pPr>
              <w:widowControl/>
              <w:spacing w:line="460" w:lineRule="exact"/>
              <w:jc w:val="left"/>
              <w:rPr>
                <w:rFonts w:ascii="宋体" w:hAnsi="宋体" w:cs="宋体"/>
                <w:szCs w:val="21"/>
                <w:highlight w:val="none"/>
              </w:rPr>
            </w:pPr>
            <w:r>
              <w:rPr>
                <w:rFonts w:hint="eastAsia" w:ascii="宋体" w:hAnsi="宋体" w:cs="宋体"/>
                <w:szCs w:val="21"/>
                <w:highlight w:val="none"/>
              </w:rPr>
              <w:t>1.根据《中华人民共和国中小企业促进法》及《政府采购促进中小企业发展管理办法》规定执行；</w:t>
            </w:r>
          </w:p>
          <w:p w14:paraId="715E051E">
            <w:pPr>
              <w:widowControl/>
              <w:spacing w:line="440" w:lineRule="exact"/>
              <w:jc w:val="left"/>
              <w:rPr>
                <w:rFonts w:ascii="宋体" w:hAnsi="宋体" w:cs="宋体"/>
                <w:szCs w:val="21"/>
                <w:highlight w:val="none"/>
              </w:rPr>
            </w:pPr>
            <w:r>
              <w:rPr>
                <w:rFonts w:hint="eastAsia" w:ascii="宋体" w:hAnsi="宋体" w:cs="宋体"/>
                <w:szCs w:val="21"/>
                <w:highlight w:val="none"/>
              </w:rPr>
              <w:t>2.根据工信部等部委发布的《关于印发中小企业划型标准规定</w:t>
            </w:r>
            <w:bookmarkStart w:id="205" w:name="_GoBack"/>
            <w:bookmarkEnd w:id="205"/>
            <w:r>
              <w:rPr>
                <w:rFonts w:hint="eastAsia" w:ascii="宋体" w:hAnsi="宋体" w:cs="宋体"/>
                <w:szCs w:val="21"/>
                <w:highlight w:val="none"/>
              </w:rPr>
              <w:t>的通知》（工信部联企业〔2011〕300号）规定执行；本项目为</w:t>
            </w:r>
            <w:r>
              <w:rPr>
                <w:rFonts w:hint="eastAsia" w:ascii="宋体" w:hAnsi="宋体" w:cs="宋体"/>
                <w:szCs w:val="21"/>
                <w:highlight w:val="none"/>
                <w:lang w:eastAsia="zh-CN"/>
              </w:rPr>
              <w:t>服务类</w:t>
            </w:r>
            <w:r>
              <w:rPr>
                <w:rFonts w:hint="eastAsia" w:ascii="宋体" w:hAnsi="宋体" w:cs="宋体"/>
                <w:szCs w:val="21"/>
                <w:highlight w:val="none"/>
              </w:rPr>
              <w:t>采购，所属行业为</w:t>
            </w:r>
            <w:r>
              <w:rPr>
                <w:rFonts w:hint="eastAsia" w:ascii="宋体" w:hAnsi="宋体" w:cs="宋体"/>
                <w:szCs w:val="21"/>
                <w:highlight w:val="none"/>
                <w:lang w:eastAsia="zh-CN"/>
              </w:rPr>
              <w:t>其他未列明行业</w:t>
            </w:r>
            <w:r>
              <w:rPr>
                <w:rFonts w:hint="eastAsia" w:ascii="宋体" w:hAnsi="宋体" w:cs="宋体"/>
                <w:szCs w:val="21"/>
                <w:highlight w:val="none"/>
              </w:rPr>
              <w:t>。</w:t>
            </w:r>
          </w:p>
          <w:p w14:paraId="142ADFA6">
            <w:pPr>
              <w:widowControl/>
              <w:spacing w:line="440" w:lineRule="exact"/>
              <w:jc w:val="left"/>
              <w:rPr>
                <w:rFonts w:ascii="宋体" w:hAnsi="宋体" w:cs="宋体"/>
                <w:szCs w:val="21"/>
                <w:highlight w:val="none"/>
              </w:rPr>
            </w:pPr>
            <w:r>
              <w:rPr>
                <w:rFonts w:hint="eastAsia" w:ascii="宋体" w:hAnsi="宋体" w:cs="宋体"/>
                <w:szCs w:val="21"/>
                <w:highlight w:val="none"/>
              </w:rPr>
              <w:t>3.按照《财政部司法部关于政府采购支持监狱企业发展有关问题的通知》（财库〔2014〕68号）文件规定，在政府采购活动中，监狱企业视同小型、微型企业，享受评审中价格扣除的政府采购政策；</w:t>
            </w:r>
          </w:p>
          <w:p w14:paraId="73E03EAB">
            <w:pPr>
              <w:pStyle w:val="16"/>
              <w:spacing w:line="440" w:lineRule="exact"/>
              <w:rPr>
                <w:rFonts w:hint="eastAsia" w:hAnsi="宋体" w:eastAsia="宋体"/>
                <w:kern w:val="0"/>
                <w:highlight w:val="none"/>
                <w:lang w:eastAsia="zh-CN"/>
              </w:rPr>
            </w:pPr>
            <w:r>
              <w:rPr>
                <w:rFonts w:hint="eastAsia" w:hAnsi="宋体"/>
                <w:highlight w:val="none"/>
              </w:rPr>
              <w:t>4.按照《财政部民政部中国残疾人联合会关于促进残疾人就业政府采购政策的通知》，残疾人福利性单位视同小型、微型企业，享受评审中价格扣除的政府采购政策，残疾人福利性单位属于小型、微型企业的，不重复享受政策</w:t>
            </w:r>
            <w:bookmarkEnd w:id="10"/>
            <w:r>
              <w:rPr>
                <w:rFonts w:hint="eastAsia" w:hAnsi="宋体"/>
                <w:highlight w:val="none"/>
                <w:lang w:eastAsia="zh-CN"/>
              </w:rPr>
              <w:t>。</w:t>
            </w:r>
          </w:p>
        </w:tc>
      </w:tr>
      <w:tr w14:paraId="5E0B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6871DEFE">
            <w:pPr>
              <w:pStyle w:val="16"/>
              <w:spacing w:before="156" w:line="360" w:lineRule="auto"/>
              <w:jc w:val="center"/>
              <w:rPr>
                <w:rFonts w:hAnsi="宋体"/>
                <w:kern w:val="0"/>
                <w:highlight w:val="none"/>
              </w:rPr>
            </w:pPr>
            <w:r>
              <w:rPr>
                <w:rFonts w:hint="eastAsia" w:hAnsi="宋体"/>
                <w:kern w:val="0"/>
                <w:highlight w:val="none"/>
              </w:rPr>
              <w:t>（6）</w:t>
            </w:r>
          </w:p>
        </w:tc>
        <w:tc>
          <w:tcPr>
            <w:tcW w:w="8469" w:type="dxa"/>
            <w:gridSpan w:val="3"/>
            <w:vAlign w:val="center"/>
          </w:tcPr>
          <w:p w14:paraId="6D215E54">
            <w:pPr>
              <w:pStyle w:val="16"/>
              <w:spacing w:line="440" w:lineRule="exact"/>
              <w:rPr>
                <w:rFonts w:hAnsi="宋体"/>
                <w:kern w:val="0"/>
                <w:highlight w:val="none"/>
              </w:rPr>
            </w:pPr>
            <w:r>
              <w:rPr>
                <w:rFonts w:hint="eastAsia" w:hAnsi="宋体"/>
                <w:kern w:val="0"/>
                <w:highlight w:val="none"/>
              </w:rPr>
              <w:t>环境标志产品及节能产品有关政策</w:t>
            </w:r>
          </w:p>
          <w:p w14:paraId="2A1D952C">
            <w:pPr>
              <w:pStyle w:val="16"/>
              <w:spacing w:line="440" w:lineRule="exact"/>
              <w:rPr>
                <w:rFonts w:hAnsi="宋体"/>
                <w:kern w:val="0"/>
                <w:highlight w:val="none"/>
              </w:rPr>
            </w:pPr>
            <w:r>
              <w:rPr>
                <w:rFonts w:hint="eastAsia" w:hAnsi="宋体"/>
                <w:kern w:val="0"/>
                <w:highlight w:val="none"/>
                <w:lang w:eastAsia="zh-CN"/>
              </w:rPr>
              <w:t>本项目</w:t>
            </w:r>
            <w:r>
              <w:rPr>
                <w:rFonts w:hint="eastAsia" w:hAnsi="宋体"/>
                <w:kern w:val="0"/>
                <w:highlight w:val="none"/>
              </w:rPr>
              <w:t>对环境标志产品及节能产品的评审：</w:t>
            </w:r>
            <w:r>
              <w:rPr>
                <w:rFonts w:hint="eastAsia" w:hAnsi="宋体"/>
                <w:highlight w:val="none"/>
              </w:rPr>
              <w:fldChar w:fldCharType="begin"/>
            </w:r>
            <w:r>
              <w:rPr>
                <w:rFonts w:hint="eastAsia" w:hAnsi="宋体"/>
                <w:highlight w:val="none"/>
              </w:rPr>
              <w:instrText xml:space="preserve"> eq \o\ac(□)</w:instrText>
            </w:r>
            <w:r>
              <w:rPr>
                <w:rFonts w:hint="eastAsia" w:hAnsi="宋体"/>
                <w:highlight w:val="none"/>
              </w:rPr>
              <w:fldChar w:fldCharType="end"/>
            </w:r>
            <w:r>
              <w:rPr>
                <w:rFonts w:hint="eastAsia" w:hAnsi="宋体"/>
                <w:highlight w:val="none"/>
              </w:rPr>
              <w:t>适用  ☑不适用</w:t>
            </w:r>
            <w:r>
              <w:rPr>
                <w:rFonts w:hint="eastAsia" w:hAnsi="宋体"/>
                <w:kern w:val="0"/>
                <w:highlight w:val="none"/>
              </w:rPr>
              <w:t>。</w:t>
            </w:r>
          </w:p>
          <w:p w14:paraId="26257685">
            <w:pPr>
              <w:pStyle w:val="16"/>
              <w:spacing w:line="440" w:lineRule="exact"/>
              <w:rPr>
                <w:rFonts w:hAnsi="宋体"/>
                <w:kern w:val="0"/>
                <w:highlight w:val="none"/>
              </w:rPr>
            </w:pPr>
            <w:r>
              <w:rPr>
                <w:rFonts w:hint="eastAsia" w:hAnsi="宋体"/>
                <w:kern w:val="0"/>
                <w:highlight w:val="none"/>
              </w:rPr>
              <w:t>1.落实强制采购节能产品、鼓励节能政策：对国家公布的节能产品政府采购清单中属于强制采购的产品，予以强制采购。属于非强制采购的产品，在技术、服务等指标同等条件下，予以优先采购。执行政策文件：《国务院办公厅关于建立政府强制采购节能产品制度的通知》（国办发[20〔7]51〕）。</w:t>
            </w:r>
          </w:p>
          <w:p w14:paraId="2BA4A23E">
            <w:pPr>
              <w:pStyle w:val="16"/>
              <w:spacing w:line="440" w:lineRule="exact"/>
              <w:rPr>
                <w:rFonts w:hAnsi="宋体"/>
                <w:kern w:val="0"/>
                <w:highlight w:val="none"/>
              </w:rPr>
            </w:pPr>
            <w:r>
              <w:rPr>
                <w:rFonts w:hint="eastAsia" w:hAnsi="宋体"/>
                <w:kern w:val="0"/>
                <w:highlight w:val="none"/>
              </w:rPr>
              <w:t>2.鼓励环保政策：在技术、服务等指标同等条件下，优先采购国家公布的属于环境标志产品政府采购清单中产品。执行政策文件：《关于环境标志产品政府采购实施的意见》（财库[2006]90号）。</w:t>
            </w:r>
          </w:p>
          <w:p w14:paraId="0E1E0481">
            <w:pPr>
              <w:pStyle w:val="16"/>
              <w:spacing w:line="440" w:lineRule="exact"/>
              <w:rPr>
                <w:rFonts w:hAnsi="宋体"/>
                <w:kern w:val="0"/>
                <w:highlight w:val="none"/>
              </w:rPr>
            </w:pPr>
            <w:r>
              <w:rPr>
                <w:rFonts w:hint="eastAsia" w:hAnsi="宋体"/>
                <w:kern w:val="0"/>
                <w:highlight w:val="none"/>
              </w:rPr>
              <w:t>3. 根据《节能产品政府采购实施意见》（财库[2004]185 号）、《财政部 发展改革委 生态环境部 市场监管总局 关于调整优化节能产品、环境标志产品政府采购执行机制的通知》（财库〔2019〕9号），如果磋商申请人拟供的产品属于“节能产品政府采购清单”中的，按照磋商办法中要求给予加分。磋商申请人须提供证明材料（请提供在中国政府采购网“节能产品清单”中产品查询结果截图），否则评标时不予认可。</w:t>
            </w:r>
          </w:p>
          <w:p w14:paraId="01B7E9A3">
            <w:pPr>
              <w:pStyle w:val="16"/>
              <w:spacing w:line="440" w:lineRule="exact"/>
              <w:rPr>
                <w:rFonts w:hAnsi="宋体"/>
                <w:kern w:val="0"/>
                <w:highlight w:val="none"/>
              </w:rPr>
            </w:pPr>
            <w:r>
              <w:rPr>
                <w:rFonts w:hint="eastAsia" w:hAnsi="宋体"/>
                <w:kern w:val="0"/>
                <w:highlight w:val="none"/>
              </w:rPr>
              <w:t>4. 根据《关于环境标志产品政府采购实施的意见》（财库[2006]90 号）、《财政部 发展改革委 生态环境部 市场监管总局 关于调整优化节能产品、环境标志产品政府采购执行机制的通知》（财库〔2019〕9号），如果磋商申请人拟供的产品属于“环境标志产品政府采购清单”中的，按照磋商办法中要求给予加分。磋商申请人须提供证明材料（必须提供在中国政府采购网“环保标志产品清单” 中产品查询结果截图），否则评标时不予认可。</w:t>
            </w:r>
          </w:p>
        </w:tc>
      </w:tr>
      <w:tr w14:paraId="1953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49A25C70">
            <w:pPr>
              <w:pStyle w:val="16"/>
              <w:spacing w:before="156" w:line="360" w:lineRule="auto"/>
              <w:jc w:val="center"/>
              <w:rPr>
                <w:rFonts w:hAnsi="宋体"/>
                <w:kern w:val="0"/>
                <w:highlight w:val="none"/>
              </w:rPr>
            </w:pPr>
            <w:r>
              <w:rPr>
                <w:rFonts w:hint="eastAsia" w:hAnsi="宋体"/>
                <w:kern w:val="0"/>
                <w:highlight w:val="none"/>
              </w:rPr>
              <w:t>（7）</w:t>
            </w:r>
          </w:p>
        </w:tc>
        <w:tc>
          <w:tcPr>
            <w:tcW w:w="8469" w:type="dxa"/>
            <w:gridSpan w:val="3"/>
            <w:vAlign w:val="center"/>
          </w:tcPr>
          <w:p w14:paraId="1FCC00BA">
            <w:pPr>
              <w:widowControl/>
              <w:snapToGrid w:val="0"/>
              <w:spacing w:line="360" w:lineRule="auto"/>
              <w:jc w:val="left"/>
              <w:rPr>
                <w:rFonts w:ascii="宋体" w:hAnsi="宋体" w:eastAsia="宋体" w:cs="宋体"/>
                <w:b/>
                <w:bCs/>
                <w:highlight w:val="none"/>
              </w:rPr>
            </w:pPr>
            <w:r>
              <w:rPr>
                <w:rFonts w:hint="eastAsia" w:ascii="宋体" w:hAnsi="宋体" w:eastAsia="宋体" w:cs="宋体"/>
                <w:b/>
                <w:bCs/>
                <w:highlight w:val="none"/>
              </w:rPr>
              <w:t>其它：</w:t>
            </w:r>
          </w:p>
          <w:p w14:paraId="3C774672">
            <w:pPr>
              <w:widowControl/>
              <w:snapToGrid w:val="0"/>
              <w:spacing w:line="360" w:lineRule="auto"/>
              <w:jc w:val="left"/>
              <w:rPr>
                <w:rFonts w:ascii="宋体" w:hAnsi="宋体" w:eastAsia="宋体" w:cs="宋体"/>
                <w:kern w:val="0"/>
                <w:highlight w:val="none"/>
              </w:rPr>
            </w:pPr>
            <w:r>
              <w:rPr>
                <w:rFonts w:hint="eastAsia" w:ascii="宋体" w:hAnsi="宋体" w:eastAsia="宋体" w:cs="宋体"/>
                <w:kern w:val="0"/>
                <w:highlight w:val="none"/>
              </w:rPr>
              <w:t>a本竞争性磋商文件中所提到的公章：指公安部门备案的行政章或合法有效的电子公章；签字：指亲笔签字或合法的电子签名。</w:t>
            </w:r>
          </w:p>
          <w:p w14:paraId="168391A4">
            <w:pPr>
              <w:widowControl/>
              <w:snapToGrid w:val="0"/>
              <w:spacing w:line="360" w:lineRule="auto"/>
              <w:jc w:val="left"/>
              <w:rPr>
                <w:rFonts w:ascii="宋体" w:hAnsi="宋体" w:eastAsia="宋体" w:cs="宋体"/>
                <w:kern w:val="0"/>
                <w:highlight w:val="none"/>
              </w:rPr>
            </w:pPr>
            <w:r>
              <w:rPr>
                <w:rFonts w:hint="eastAsia" w:ascii="宋体" w:hAnsi="宋体" w:eastAsia="宋体" w:cs="宋体"/>
                <w:kern w:val="0"/>
                <w:highlight w:val="none"/>
              </w:rPr>
              <w:t>b串标围标判定依据：</w:t>
            </w:r>
          </w:p>
          <w:p w14:paraId="65AF648E">
            <w:pPr>
              <w:widowControl/>
              <w:snapToGrid w:val="0"/>
              <w:spacing w:line="360" w:lineRule="auto"/>
              <w:jc w:val="left"/>
              <w:rPr>
                <w:rFonts w:ascii="宋体" w:hAnsi="宋体" w:eastAsia="宋体" w:cs="宋体"/>
                <w:kern w:val="0"/>
                <w:highlight w:val="none"/>
              </w:rPr>
            </w:pPr>
            <w:r>
              <w:rPr>
                <w:rFonts w:hint="eastAsia" w:ascii="宋体" w:hAnsi="宋体" w:eastAsia="宋体" w:cs="宋体"/>
                <w:kern w:val="0"/>
                <w:highlight w:val="none"/>
              </w:rPr>
              <w:t>b1不同磋商申请人提交的磋商响应文件中内容错漏之处出现高度一致，或其他内容出现高度一致性（除竞争性磋商文件中规定的内容外）的；</w:t>
            </w:r>
          </w:p>
          <w:p w14:paraId="64D76F2C">
            <w:pPr>
              <w:widowControl/>
              <w:snapToGrid w:val="0"/>
              <w:spacing w:line="360" w:lineRule="auto"/>
              <w:jc w:val="left"/>
              <w:rPr>
                <w:rFonts w:ascii="宋体" w:hAnsi="宋体" w:eastAsia="宋体" w:cs="宋体"/>
                <w:kern w:val="0"/>
                <w:highlight w:val="none"/>
              </w:rPr>
            </w:pPr>
            <w:r>
              <w:rPr>
                <w:rFonts w:hint="eastAsia" w:ascii="宋体" w:hAnsi="宋体" w:eastAsia="宋体" w:cs="宋体"/>
                <w:kern w:val="0"/>
                <w:highlight w:val="none"/>
              </w:rPr>
              <w:t>b2不同磋商申请人的磋商响应文件相互混装的；</w:t>
            </w:r>
          </w:p>
          <w:p w14:paraId="778557DD">
            <w:pPr>
              <w:widowControl/>
              <w:snapToGrid w:val="0"/>
              <w:spacing w:line="360" w:lineRule="auto"/>
              <w:jc w:val="left"/>
              <w:rPr>
                <w:rFonts w:ascii="宋体" w:hAnsi="宋体" w:eastAsia="宋体" w:cs="宋体"/>
                <w:kern w:val="0"/>
                <w:highlight w:val="none"/>
              </w:rPr>
            </w:pPr>
            <w:r>
              <w:rPr>
                <w:rFonts w:hint="eastAsia" w:ascii="宋体" w:hAnsi="宋体" w:eastAsia="宋体" w:cs="宋体"/>
                <w:kern w:val="0"/>
                <w:highlight w:val="none"/>
              </w:rPr>
              <w:t>b3现行法律法规规定的其他判定依据。</w:t>
            </w:r>
          </w:p>
          <w:p w14:paraId="2718FBE2">
            <w:pPr>
              <w:widowControl/>
              <w:snapToGrid w:val="0"/>
              <w:spacing w:line="360" w:lineRule="auto"/>
              <w:jc w:val="left"/>
              <w:rPr>
                <w:rFonts w:ascii="宋体" w:hAnsi="宋体" w:eastAsia="宋体" w:cs="宋体"/>
                <w:kern w:val="0"/>
                <w:highlight w:val="none"/>
              </w:rPr>
            </w:pPr>
            <w:r>
              <w:rPr>
                <w:rFonts w:hint="eastAsia" w:ascii="宋体" w:hAnsi="宋体" w:eastAsia="宋体" w:cs="宋体"/>
                <w:kern w:val="0"/>
                <w:highlight w:val="none"/>
              </w:rPr>
              <w:t>c采购人有权对被推荐为第一成交候选人的磋商响应文件中不合理的条款在进行合同谈判时要求其进行修正的权力，否则，采购人有权拒绝与之签订合同并选择下一排序的候选人进行合同谈判，以此类推。</w:t>
            </w:r>
          </w:p>
          <w:p w14:paraId="78A04900">
            <w:pPr>
              <w:widowControl/>
              <w:snapToGrid w:val="0"/>
              <w:spacing w:line="360" w:lineRule="auto"/>
              <w:jc w:val="left"/>
              <w:rPr>
                <w:rFonts w:ascii="宋体" w:hAnsi="宋体" w:eastAsia="宋体" w:cs="宋体"/>
                <w:highlight w:val="none"/>
              </w:rPr>
            </w:pPr>
            <w:r>
              <w:rPr>
                <w:rFonts w:hint="eastAsia" w:ascii="宋体" w:hAnsi="宋体" w:eastAsia="宋体" w:cs="宋体"/>
                <w:kern w:val="0"/>
                <w:highlight w:val="none"/>
              </w:rPr>
              <w:t xml:space="preserve">d </w:t>
            </w:r>
            <w:r>
              <w:rPr>
                <w:rFonts w:hint="eastAsia" w:ascii="宋体" w:hAnsi="宋体" w:eastAsia="宋体" w:cs="宋体"/>
                <w:highlight w:val="none"/>
              </w:rPr>
              <w:t>保证金将被没收的情况（出现下列情况之一者其提交的磋商保证金将被没收）：</w:t>
            </w:r>
          </w:p>
          <w:p w14:paraId="76EA5584">
            <w:pPr>
              <w:widowControl/>
              <w:snapToGrid w:val="0"/>
              <w:spacing w:line="360" w:lineRule="auto"/>
              <w:jc w:val="left"/>
              <w:rPr>
                <w:rFonts w:ascii="宋体" w:hAnsi="宋体" w:eastAsia="宋体" w:cs="宋体"/>
                <w:highlight w:val="none"/>
              </w:rPr>
            </w:pPr>
            <w:r>
              <w:rPr>
                <w:rFonts w:hint="eastAsia" w:ascii="宋体" w:hAnsi="宋体" w:eastAsia="宋体" w:cs="宋体"/>
                <w:highlight w:val="none"/>
              </w:rPr>
              <w:t>d1磋商申请人在提交磋商响应文件截止时间后撤回响应文件的；</w:t>
            </w:r>
          </w:p>
          <w:p w14:paraId="19854985">
            <w:pPr>
              <w:widowControl/>
              <w:snapToGrid w:val="0"/>
              <w:spacing w:line="360" w:lineRule="auto"/>
              <w:jc w:val="left"/>
              <w:rPr>
                <w:rFonts w:ascii="宋体" w:hAnsi="宋体" w:eastAsia="宋体" w:cs="宋体"/>
                <w:highlight w:val="none"/>
              </w:rPr>
            </w:pPr>
            <w:r>
              <w:rPr>
                <w:rFonts w:hint="eastAsia" w:ascii="宋体" w:hAnsi="宋体" w:eastAsia="宋体" w:cs="宋体"/>
                <w:highlight w:val="none"/>
              </w:rPr>
              <w:t>d2磋商申请人在磋商响应文件中提供虚假材料的；</w:t>
            </w:r>
          </w:p>
          <w:p w14:paraId="2576CB9E">
            <w:pPr>
              <w:widowControl/>
              <w:snapToGrid w:val="0"/>
              <w:spacing w:line="360" w:lineRule="auto"/>
              <w:jc w:val="left"/>
              <w:rPr>
                <w:rFonts w:ascii="宋体" w:hAnsi="宋体" w:eastAsia="宋体" w:cs="宋体"/>
                <w:highlight w:val="none"/>
              </w:rPr>
            </w:pPr>
            <w:r>
              <w:rPr>
                <w:rFonts w:hint="eastAsia" w:ascii="宋体" w:hAnsi="宋体" w:eastAsia="宋体" w:cs="宋体"/>
                <w:highlight w:val="none"/>
              </w:rPr>
              <w:t>d3除因不可抗力或竞争性磋商文件、成交通知书认可的情形以外，成交人不与采购人签订合同的；</w:t>
            </w:r>
          </w:p>
          <w:p w14:paraId="2251C409">
            <w:pPr>
              <w:widowControl/>
              <w:snapToGrid w:val="0"/>
              <w:spacing w:line="360" w:lineRule="auto"/>
              <w:jc w:val="left"/>
              <w:rPr>
                <w:rFonts w:ascii="宋体" w:hAnsi="宋体" w:eastAsia="宋体" w:cs="宋体"/>
                <w:highlight w:val="none"/>
              </w:rPr>
            </w:pPr>
            <w:r>
              <w:rPr>
                <w:rFonts w:hint="eastAsia" w:ascii="宋体" w:hAnsi="宋体" w:eastAsia="宋体" w:cs="宋体"/>
                <w:highlight w:val="none"/>
              </w:rPr>
              <w:t>d4磋商申请人与采购人、其他磋商申请人或者采购代理机构恶意串通的；</w:t>
            </w:r>
          </w:p>
          <w:p w14:paraId="12FA2820">
            <w:pPr>
              <w:pStyle w:val="16"/>
              <w:spacing w:line="360" w:lineRule="auto"/>
              <w:rPr>
                <w:rFonts w:hAnsi="宋体"/>
                <w:kern w:val="0"/>
                <w:highlight w:val="none"/>
              </w:rPr>
            </w:pPr>
            <w:r>
              <w:rPr>
                <w:rFonts w:hint="eastAsia" w:hAnsi="宋体"/>
                <w:highlight w:val="none"/>
              </w:rPr>
              <w:t>d5采购文件、法律法规规定的其他情形。</w:t>
            </w:r>
          </w:p>
        </w:tc>
      </w:tr>
    </w:tbl>
    <w:p w14:paraId="0CF55D89">
      <w:pPr>
        <w:widowControl/>
        <w:jc w:val="left"/>
        <w:rPr>
          <w:rFonts w:ascii="宋体" w:hAnsi="宋体" w:eastAsia="宋体" w:cs="宋体"/>
          <w:b/>
          <w:bCs/>
          <w:sz w:val="32"/>
          <w:szCs w:val="32"/>
          <w:highlight w:val="none"/>
        </w:rPr>
      </w:pPr>
      <w:bookmarkStart w:id="11" w:name="_Toc86124040"/>
      <w:bookmarkStart w:id="12" w:name="_Toc7252732"/>
      <w:r>
        <w:rPr>
          <w:rFonts w:hint="eastAsia" w:ascii="宋体" w:hAnsi="宋体" w:eastAsia="宋体" w:cs="宋体"/>
          <w:highlight w:val="none"/>
        </w:rPr>
        <w:br w:type="page"/>
      </w:r>
    </w:p>
    <w:p w14:paraId="7DEE3719">
      <w:pPr>
        <w:pStyle w:val="4"/>
        <w:spacing w:before="0" w:after="0" w:line="360" w:lineRule="auto"/>
        <w:jc w:val="center"/>
        <w:rPr>
          <w:rFonts w:ascii="宋体" w:hAnsi="宋体" w:eastAsia="宋体" w:cs="宋体"/>
          <w:highlight w:val="none"/>
        </w:rPr>
      </w:pPr>
      <w:bookmarkStart w:id="13" w:name="_Toc119421968"/>
      <w:r>
        <w:rPr>
          <w:rFonts w:hint="eastAsia" w:ascii="宋体" w:hAnsi="宋体" w:eastAsia="宋体" w:cs="宋体"/>
          <w:highlight w:val="none"/>
        </w:rPr>
        <w:t>一、总则</w:t>
      </w:r>
      <w:bookmarkEnd w:id="11"/>
      <w:bookmarkEnd w:id="12"/>
      <w:bookmarkEnd w:id="13"/>
    </w:p>
    <w:p w14:paraId="1F0B4B2B">
      <w:pPr>
        <w:pStyle w:val="35"/>
        <w:numPr>
          <w:ilvl w:val="1"/>
          <w:numId w:val="3"/>
        </w:numPr>
        <w:spacing w:line="360" w:lineRule="auto"/>
        <w:ind w:left="0" w:firstLine="602"/>
        <w:rPr>
          <w:rFonts w:ascii="宋体" w:hAnsi="宋体" w:eastAsia="宋体" w:cs="宋体"/>
          <w:b/>
          <w:sz w:val="30"/>
          <w:szCs w:val="30"/>
          <w:highlight w:val="none"/>
        </w:rPr>
      </w:pPr>
      <w:r>
        <w:rPr>
          <w:rFonts w:hint="eastAsia" w:ascii="宋体" w:hAnsi="宋体" w:eastAsia="宋体" w:cs="宋体"/>
          <w:b/>
          <w:sz w:val="30"/>
          <w:szCs w:val="30"/>
          <w:highlight w:val="none"/>
        </w:rPr>
        <w:t>项目概况</w:t>
      </w:r>
    </w:p>
    <w:p w14:paraId="10BF75F1">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1.1根据《中华人民共和国政府采购法》、《中华人民共和国政府采购法实施条例》、《财政部令第87号、94号、101号》、《政府采购竞争性磋商采购方式管理暂行办法》等有关法律、法规和规章的规定，</w:t>
      </w:r>
      <w:r>
        <w:rPr>
          <w:rFonts w:hint="eastAsia" w:ascii="宋体" w:hAnsi="宋体" w:eastAsia="宋体" w:cs="宋体"/>
          <w:highlight w:val="none"/>
          <w:lang w:eastAsia="zh-CN"/>
        </w:rPr>
        <w:t>本项目</w:t>
      </w:r>
      <w:r>
        <w:rPr>
          <w:rFonts w:hint="eastAsia" w:ascii="宋体" w:hAnsi="宋体" w:eastAsia="宋体" w:cs="宋体"/>
          <w:highlight w:val="none"/>
        </w:rPr>
        <w:t>已获主管部门批准，现对本次服务采购进行竞争性磋商采购。</w:t>
      </w:r>
    </w:p>
    <w:p w14:paraId="5E65F4D8">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1.2</w:t>
      </w:r>
      <w:r>
        <w:rPr>
          <w:rFonts w:hint="eastAsia" w:ascii="宋体" w:hAnsi="宋体" w:eastAsia="宋体" w:cs="宋体"/>
          <w:highlight w:val="none"/>
          <w:lang w:eastAsia="zh-CN"/>
        </w:rPr>
        <w:t>本项目</w:t>
      </w:r>
      <w:r>
        <w:rPr>
          <w:rFonts w:hint="eastAsia" w:ascii="宋体" w:hAnsi="宋体" w:eastAsia="宋体" w:cs="宋体"/>
          <w:highlight w:val="none"/>
        </w:rPr>
        <w:t>采购人、采购代理机构、</w:t>
      </w:r>
      <w:r>
        <w:rPr>
          <w:rFonts w:hint="eastAsia" w:ascii="宋体" w:hAnsi="宋体" w:eastAsia="宋体" w:cs="宋体"/>
          <w:highlight w:val="none"/>
          <w:lang w:eastAsia="zh-CN"/>
        </w:rPr>
        <w:t>项目名称</w:t>
      </w:r>
      <w:r>
        <w:rPr>
          <w:rFonts w:hint="eastAsia" w:ascii="宋体" w:hAnsi="宋体" w:eastAsia="宋体" w:cs="宋体"/>
          <w:highlight w:val="none"/>
        </w:rPr>
        <w:t>、采购编号：见“</w:t>
      </w:r>
      <w:r>
        <w:rPr>
          <w:rFonts w:hint="eastAsia" w:ascii="宋体" w:hAnsi="宋体" w:eastAsia="宋体" w:cs="宋体"/>
          <w:b/>
          <w:bCs/>
          <w:highlight w:val="none"/>
        </w:rPr>
        <w:t>磋商申请人须知前附表</w:t>
      </w:r>
      <w:r>
        <w:rPr>
          <w:rFonts w:hint="eastAsia" w:ascii="宋体" w:hAnsi="宋体" w:eastAsia="宋体" w:cs="宋体"/>
          <w:highlight w:val="none"/>
        </w:rPr>
        <w:t>”。</w:t>
      </w:r>
    </w:p>
    <w:p w14:paraId="733379DD">
      <w:pPr>
        <w:pStyle w:val="35"/>
        <w:numPr>
          <w:ilvl w:val="1"/>
          <w:numId w:val="3"/>
        </w:numPr>
        <w:spacing w:line="360" w:lineRule="auto"/>
        <w:ind w:left="0" w:firstLine="602"/>
        <w:rPr>
          <w:rFonts w:ascii="宋体" w:hAnsi="宋体" w:eastAsia="宋体" w:cs="宋体"/>
          <w:b/>
          <w:sz w:val="30"/>
          <w:szCs w:val="30"/>
          <w:highlight w:val="none"/>
        </w:rPr>
      </w:pPr>
      <w:bookmarkStart w:id="14" w:name="_Toc7252734"/>
      <w:bookmarkStart w:id="15" w:name="_Toc329810187"/>
      <w:bookmarkStart w:id="16" w:name="_Toc383175475"/>
      <w:bookmarkStart w:id="17" w:name="_Toc265142411"/>
      <w:bookmarkStart w:id="18" w:name="_Toc383175053"/>
      <w:bookmarkStart w:id="19" w:name="_Toc383175277"/>
      <w:r>
        <w:rPr>
          <w:rFonts w:hint="eastAsia" w:ascii="宋体" w:hAnsi="宋体" w:eastAsia="宋体" w:cs="宋体"/>
          <w:b/>
          <w:sz w:val="30"/>
          <w:szCs w:val="30"/>
          <w:highlight w:val="none"/>
        </w:rPr>
        <w:t>资金来源</w:t>
      </w:r>
      <w:bookmarkEnd w:id="14"/>
      <w:bookmarkEnd w:id="15"/>
      <w:bookmarkEnd w:id="16"/>
      <w:bookmarkEnd w:id="17"/>
      <w:bookmarkEnd w:id="18"/>
      <w:bookmarkEnd w:id="19"/>
    </w:p>
    <w:p w14:paraId="5FAE93DD">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2.1资金来源已落实，用于采购“</w:t>
      </w:r>
      <w:r>
        <w:rPr>
          <w:rFonts w:hint="eastAsia" w:ascii="宋体" w:hAnsi="宋体" w:eastAsia="宋体" w:cs="宋体"/>
          <w:b/>
          <w:bCs/>
          <w:highlight w:val="none"/>
        </w:rPr>
        <w:t>采购需求</w:t>
      </w:r>
      <w:r>
        <w:rPr>
          <w:rFonts w:hint="eastAsia" w:ascii="宋体" w:hAnsi="宋体" w:eastAsia="宋体" w:cs="宋体"/>
          <w:highlight w:val="none"/>
        </w:rPr>
        <w:t>”所列货物</w:t>
      </w:r>
      <w:r>
        <w:rPr>
          <w:rFonts w:hint="eastAsia" w:ascii="宋体" w:hAnsi="宋体" w:eastAsia="宋体" w:cs="宋体"/>
          <w:highlight w:val="none"/>
          <w:lang w:eastAsia="zh-CN"/>
        </w:rPr>
        <w:t>、</w:t>
      </w:r>
      <w:r>
        <w:rPr>
          <w:rFonts w:hint="eastAsia" w:ascii="宋体" w:hAnsi="宋体" w:eastAsia="宋体" w:cs="宋体"/>
          <w:highlight w:val="none"/>
        </w:rPr>
        <w:t>服务</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工程</w:t>
      </w:r>
      <w:r>
        <w:rPr>
          <w:rFonts w:hint="eastAsia" w:ascii="宋体" w:hAnsi="宋体" w:eastAsia="宋体" w:cs="宋体"/>
          <w:highlight w:val="none"/>
        </w:rPr>
        <w:t>。</w:t>
      </w:r>
      <w:bookmarkStart w:id="20" w:name="_Toc329810188"/>
      <w:bookmarkStart w:id="21" w:name="_Toc383175476"/>
      <w:bookmarkStart w:id="22" w:name="_Toc383175278"/>
      <w:bookmarkStart w:id="23" w:name="_Toc265142412"/>
      <w:bookmarkStart w:id="24" w:name="_Toc383175054"/>
    </w:p>
    <w:p w14:paraId="1CF652B7">
      <w:pPr>
        <w:pStyle w:val="35"/>
        <w:numPr>
          <w:ilvl w:val="1"/>
          <w:numId w:val="3"/>
        </w:numPr>
        <w:spacing w:line="360" w:lineRule="auto"/>
        <w:ind w:left="0" w:firstLine="602"/>
        <w:rPr>
          <w:rFonts w:ascii="宋体" w:hAnsi="宋体" w:eastAsia="宋体" w:cs="宋体"/>
          <w:b/>
          <w:sz w:val="30"/>
          <w:szCs w:val="30"/>
          <w:highlight w:val="none"/>
        </w:rPr>
      </w:pPr>
      <w:bookmarkStart w:id="25" w:name="_Toc7252735"/>
      <w:r>
        <w:rPr>
          <w:rFonts w:hint="eastAsia" w:ascii="宋体" w:hAnsi="宋体" w:eastAsia="宋体" w:cs="宋体"/>
          <w:b/>
          <w:sz w:val="30"/>
          <w:szCs w:val="30"/>
          <w:highlight w:val="none"/>
        </w:rPr>
        <w:t>采购范围</w:t>
      </w:r>
      <w:bookmarkEnd w:id="20"/>
      <w:bookmarkEnd w:id="21"/>
      <w:bookmarkEnd w:id="22"/>
      <w:bookmarkEnd w:id="23"/>
      <w:bookmarkEnd w:id="24"/>
      <w:bookmarkEnd w:id="25"/>
    </w:p>
    <w:p w14:paraId="26FC4819">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 xml:space="preserve">3.1 </w:t>
      </w:r>
      <w:r>
        <w:rPr>
          <w:rFonts w:hint="eastAsia" w:ascii="宋体" w:hAnsi="宋体" w:eastAsia="宋体" w:cs="宋体"/>
          <w:highlight w:val="none"/>
          <w:lang w:eastAsia="zh-CN"/>
        </w:rPr>
        <w:t>本项目</w:t>
      </w:r>
      <w:r>
        <w:rPr>
          <w:rFonts w:hint="eastAsia" w:ascii="宋体" w:hAnsi="宋体" w:eastAsia="宋体" w:cs="宋体"/>
          <w:highlight w:val="none"/>
        </w:rPr>
        <w:t>采购内容：见“</w:t>
      </w:r>
      <w:r>
        <w:rPr>
          <w:rFonts w:hint="eastAsia" w:ascii="宋体" w:hAnsi="宋体" w:eastAsia="宋体" w:cs="宋体"/>
          <w:b/>
          <w:bCs/>
          <w:highlight w:val="none"/>
        </w:rPr>
        <w:t>磋商申请人须知前附表</w:t>
      </w:r>
      <w:r>
        <w:rPr>
          <w:rFonts w:hint="eastAsia" w:ascii="宋体" w:hAnsi="宋体" w:eastAsia="宋体" w:cs="宋体"/>
          <w:highlight w:val="none"/>
        </w:rPr>
        <w:t>”。</w:t>
      </w:r>
    </w:p>
    <w:p w14:paraId="31C153D1">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3.2</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服务地点</w:t>
      </w:r>
      <w:r>
        <w:rPr>
          <w:rFonts w:hint="eastAsia" w:hAnsi="宋体"/>
          <w:kern w:val="0"/>
          <w:highlight w:val="none"/>
        </w:rPr>
        <w:t>及</w:t>
      </w:r>
      <w:r>
        <w:rPr>
          <w:rFonts w:hint="eastAsia" w:ascii="宋体" w:hAnsi="宋体" w:eastAsia="宋体" w:cs="宋体"/>
          <w:highlight w:val="none"/>
          <w:lang w:val="en-US" w:eastAsia="zh-CN"/>
        </w:rPr>
        <w:t>服务期限</w:t>
      </w:r>
      <w:r>
        <w:rPr>
          <w:rFonts w:hint="eastAsia" w:ascii="宋体" w:hAnsi="宋体" w:eastAsia="宋体" w:cs="宋体"/>
          <w:highlight w:val="none"/>
        </w:rPr>
        <w:t>：见“</w:t>
      </w:r>
      <w:r>
        <w:rPr>
          <w:rFonts w:hint="eastAsia" w:ascii="宋体" w:hAnsi="宋体" w:eastAsia="宋体" w:cs="宋体"/>
          <w:b/>
          <w:bCs/>
          <w:highlight w:val="none"/>
        </w:rPr>
        <w:t>磋商申请人须知前附表</w:t>
      </w:r>
      <w:r>
        <w:rPr>
          <w:rFonts w:hint="eastAsia" w:ascii="宋体" w:hAnsi="宋体" w:eastAsia="宋体" w:cs="宋体"/>
          <w:highlight w:val="none"/>
        </w:rPr>
        <w:t>”。</w:t>
      </w:r>
    </w:p>
    <w:p w14:paraId="43B67B3D">
      <w:pPr>
        <w:pStyle w:val="35"/>
        <w:numPr>
          <w:ilvl w:val="1"/>
          <w:numId w:val="3"/>
        </w:numPr>
        <w:spacing w:line="360" w:lineRule="auto"/>
        <w:ind w:left="0" w:firstLine="602"/>
        <w:rPr>
          <w:rFonts w:ascii="宋体" w:hAnsi="宋体" w:eastAsia="宋体" w:cs="宋体"/>
          <w:b/>
          <w:sz w:val="30"/>
          <w:szCs w:val="30"/>
          <w:highlight w:val="none"/>
        </w:rPr>
      </w:pPr>
      <w:bookmarkStart w:id="26" w:name="_Toc329810189"/>
      <w:bookmarkStart w:id="27" w:name="_Toc7252736"/>
      <w:bookmarkStart w:id="28" w:name="_Toc383175055"/>
      <w:bookmarkStart w:id="29" w:name="_Toc383175477"/>
      <w:bookmarkStart w:id="30" w:name="_Toc383175279"/>
      <w:r>
        <w:rPr>
          <w:rFonts w:hint="eastAsia" w:ascii="宋体" w:hAnsi="宋体" w:eastAsia="宋体" w:cs="宋体"/>
          <w:b/>
          <w:sz w:val="30"/>
          <w:szCs w:val="30"/>
          <w:highlight w:val="none"/>
        </w:rPr>
        <w:t>合格的磋商申请人（以下简称磋商申请人）</w:t>
      </w:r>
      <w:bookmarkEnd w:id="26"/>
      <w:bookmarkEnd w:id="27"/>
      <w:bookmarkEnd w:id="28"/>
      <w:bookmarkEnd w:id="29"/>
      <w:bookmarkEnd w:id="30"/>
    </w:p>
    <w:p w14:paraId="1AEF648C">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4.1详见：“磋商公告”</w:t>
      </w:r>
    </w:p>
    <w:p w14:paraId="0EEA52B4">
      <w:pPr>
        <w:pStyle w:val="35"/>
        <w:numPr>
          <w:ilvl w:val="1"/>
          <w:numId w:val="3"/>
        </w:numPr>
        <w:spacing w:line="360" w:lineRule="auto"/>
        <w:ind w:left="0" w:firstLine="602"/>
        <w:rPr>
          <w:rFonts w:ascii="宋体" w:hAnsi="宋体" w:eastAsia="宋体" w:cs="宋体"/>
          <w:b/>
          <w:sz w:val="30"/>
          <w:szCs w:val="30"/>
          <w:highlight w:val="none"/>
        </w:rPr>
      </w:pPr>
      <w:bookmarkStart w:id="31" w:name="_Hlt200176664"/>
      <w:bookmarkEnd w:id="31"/>
      <w:bookmarkStart w:id="32" w:name="_Toc329810190"/>
      <w:bookmarkStart w:id="33" w:name="_Toc383175280"/>
      <w:bookmarkStart w:id="34" w:name="_Toc7252737"/>
      <w:bookmarkStart w:id="35" w:name="_Toc383175478"/>
      <w:bookmarkStart w:id="36" w:name="_Toc383175056"/>
      <w:r>
        <w:rPr>
          <w:rFonts w:hint="eastAsia" w:ascii="宋体" w:hAnsi="宋体" w:eastAsia="宋体" w:cs="宋体"/>
          <w:b/>
          <w:sz w:val="30"/>
          <w:szCs w:val="30"/>
          <w:highlight w:val="none"/>
        </w:rPr>
        <w:t>磋商费用</w:t>
      </w:r>
      <w:bookmarkEnd w:id="32"/>
      <w:bookmarkEnd w:id="33"/>
      <w:bookmarkEnd w:id="34"/>
      <w:bookmarkEnd w:id="35"/>
      <w:bookmarkEnd w:id="36"/>
    </w:p>
    <w:p w14:paraId="27D087CE">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无论是否成交，磋商申请人自行承担所有与参加磋商有关的全部费用。</w:t>
      </w:r>
    </w:p>
    <w:p w14:paraId="20E03F11">
      <w:pPr>
        <w:pStyle w:val="4"/>
        <w:spacing w:before="0" w:after="0" w:line="360" w:lineRule="auto"/>
        <w:jc w:val="center"/>
        <w:rPr>
          <w:rFonts w:ascii="宋体" w:hAnsi="宋体" w:eastAsia="宋体" w:cs="宋体"/>
          <w:highlight w:val="none"/>
        </w:rPr>
      </w:pPr>
      <w:bookmarkStart w:id="37" w:name="_Toc119421969"/>
      <w:bookmarkStart w:id="38" w:name="_Toc86124047"/>
      <w:bookmarkStart w:id="39" w:name="_Toc7252738"/>
      <w:r>
        <w:rPr>
          <w:rFonts w:hint="eastAsia" w:ascii="宋体" w:hAnsi="宋体" w:eastAsia="宋体" w:cs="宋体"/>
          <w:highlight w:val="none"/>
        </w:rPr>
        <w:t>二、磋商文件</w:t>
      </w:r>
      <w:bookmarkEnd w:id="37"/>
      <w:bookmarkEnd w:id="38"/>
      <w:bookmarkEnd w:id="39"/>
    </w:p>
    <w:p w14:paraId="12E33177">
      <w:pPr>
        <w:pStyle w:val="35"/>
        <w:numPr>
          <w:ilvl w:val="1"/>
          <w:numId w:val="3"/>
        </w:numPr>
        <w:spacing w:line="360" w:lineRule="auto"/>
        <w:ind w:left="0" w:firstLine="602"/>
        <w:rPr>
          <w:rFonts w:ascii="宋体" w:hAnsi="宋体" w:eastAsia="宋体" w:cs="宋体"/>
          <w:b/>
          <w:sz w:val="30"/>
          <w:szCs w:val="30"/>
          <w:highlight w:val="none"/>
        </w:rPr>
      </w:pPr>
      <w:bookmarkStart w:id="40" w:name="_Toc383175480"/>
      <w:bookmarkStart w:id="41" w:name="_Toc383175282"/>
      <w:bookmarkStart w:id="42" w:name="_Toc7252739"/>
      <w:bookmarkStart w:id="43" w:name="_Toc383175058"/>
      <w:bookmarkStart w:id="44" w:name="_Toc329810192"/>
      <w:r>
        <w:rPr>
          <w:rFonts w:hint="eastAsia" w:ascii="宋体" w:hAnsi="宋体" w:eastAsia="宋体" w:cs="宋体"/>
          <w:b/>
          <w:sz w:val="30"/>
          <w:szCs w:val="30"/>
          <w:highlight w:val="none"/>
        </w:rPr>
        <w:t>磋商文件的组成</w:t>
      </w:r>
      <w:bookmarkEnd w:id="40"/>
      <w:bookmarkEnd w:id="41"/>
      <w:bookmarkEnd w:id="42"/>
      <w:bookmarkEnd w:id="43"/>
      <w:bookmarkEnd w:id="44"/>
    </w:p>
    <w:p w14:paraId="555CD09F">
      <w:pPr>
        <w:spacing w:line="360" w:lineRule="auto"/>
        <w:ind w:left="502" w:firstLine="420" w:firstLineChars="200"/>
        <w:rPr>
          <w:rFonts w:ascii="宋体" w:hAnsi="宋体" w:eastAsia="宋体" w:cs="宋体"/>
          <w:highlight w:val="none"/>
        </w:rPr>
      </w:pPr>
      <w:r>
        <w:rPr>
          <w:rFonts w:hint="eastAsia" w:ascii="宋体" w:hAnsi="宋体" w:eastAsia="宋体" w:cs="宋体"/>
          <w:highlight w:val="none"/>
        </w:rPr>
        <w:t>要求提供的</w:t>
      </w:r>
      <w:r>
        <w:rPr>
          <w:rFonts w:hint="eastAsia" w:ascii="宋体" w:hAnsi="宋体" w:eastAsia="宋体" w:cs="宋体"/>
          <w:highlight w:val="none"/>
          <w:lang w:val="en-US" w:eastAsia="zh-CN"/>
        </w:rPr>
        <w:t>货物</w:t>
      </w:r>
      <w:r>
        <w:rPr>
          <w:rFonts w:hint="eastAsia" w:ascii="宋体" w:hAnsi="宋体" w:eastAsia="宋体" w:cs="宋体"/>
          <w:highlight w:val="none"/>
        </w:rPr>
        <w:t>、采购过程及合同条款在磋商文件中均有说明，磋商文件共六章，各章的内容如下：</w:t>
      </w:r>
    </w:p>
    <w:p w14:paraId="6E7ACA1D">
      <w:pPr>
        <w:spacing w:line="360" w:lineRule="auto"/>
        <w:ind w:left="502" w:firstLine="420" w:firstLineChars="200"/>
        <w:rPr>
          <w:rFonts w:ascii="宋体" w:hAnsi="宋体" w:eastAsia="宋体" w:cs="宋体"/>
          <w:highlight w:val="none"/>
        </w:rPr>
      </w:pPr>
      <w:r>
        <w:rPr>
          <w:rFonts w:hint="eastAsia" w:ascii="宋体" w:hAnsi="宋体" w:eastAsia="宋体" w:cs="宋体"/>
          <w:highlight w:val="none"/>
        </w:rPr>
        <w:t>第一章  竞争性磋商公告</w:t>
      </w:r>
    </w:p>
    <w:p w14:paraId="5F249BF1">
      <w:pPr>
        <w:spacing w:line="360" w:lineRule="auto"/>
        <w:ind w:left="502" w:firstLine="420" w:firstLineChars="200"/>
        <w:rPr>
          <w:rFonts w:ascii="宋体" w:hAnsi="宋体" w:eastAsia="宋体" w:cs="宋体"/>
          <w:highlight w:val="none"/>
        </w:rPr>
      </w:pPr>
      <w:r>
        <w:rPr>
          <w:rFonts w:hint="eastAsia" w:ascii="宋体" w:hAnsi="宋体" w:eastAsia="宋体" w:cs="宋体"/>
          <w:highlight w:val="none"/>
        </w:rPr>
        <w:t>第二章  磋商申请人须知</w:t>
      </w:r>
    </w:p>
    <w:p w14:paraId="704267CB">
      <w:pPr>
        <w:spacing w:line="360" w:lineRule="auto"/>
        <w:ind w:left="502" w:firstLine="420" w:firstLineChars="200"/>
        <w:rPr>
          <w:rFonts w:ascii="宋体" w:hAnsi="宋体" w:eastAsia="宋体" w:cs="宋体"/>
          <w:highlight w:val="none"/>
        </w:rPr>
      </w:pPr>
      <w:r>
        <w:rPr>
          <w:rFonts w:hint="eastAsia" w:ascii="宋体" w:hAnsi="宋体" w:eastAsia="宋体" w:cs="宋体"/>
          <w:highlight w:val="none"/>
        </w:rPr>
        <w:t>第三章  合同书样式</w:t>
      </w:r>
    </w:p>
    <w:p w14:paraId="1DAB3CE4">
      <w:pPr>
        <w:spacing w:line="360" w:lineRule="auto"/>
        <w:ind w:left="502" w:firstLine="420" w:firstLineChars="200"/>
        <w:rPr>
          <w:rFonts w:ascii="宋体" w:hAnsi="宋体" w:eastAsia="宋体" w:cs="宋体"/>
          <w:highlight w:val="none"/>
        </w:rPr>
      </w:pPr>
      <w:r>
        <w:rPr>
          <w:rFonts w:hint="eastAsia" w:ascii="宋体" w:hAnsi="宋体" w:eastAsia="宋体" w:cs="宋体"/>
          <w:highlight w:val="none"/>
        </w:rPr>
        <w:t>第四章  响应文件格式</w:t>
      </w:r>
    </w:p>
    <w:p w14:paraId="0D1EF2D2">
      <w:pPr>
        <w:spacing w:line="360" w:lineRule="auto"/>
        <w:ind w:left="502" w:firstLine="420" w:firstLineChars="200"/>
        <w:rPr>
          <w:rFonts w:ascii="宋体" w:hAnsi="宋体" w:eastAsia="宋体" w:cs="宋体"/>
          <w:highlight w:val="none"/>
        </w:rPr>
      </w:pPr>
      <w:r>
        <w:rPr>
          <w:rFonts w:hint="eastAsia" w:ascii="宋体" w:hAnsi="宋体" w:eastAsia="宋体" w:cs="宋体"/>
          <w:highlight w:val="none"/>
        </w:rPr>
        <w:t>第五章  采购需求</w:t>
      </w:r>
    </w:p>
    <w:p w14:paraId="6B06AD35">
      <w:pPr>
        <w:spacing w:line="360" w:lineRule="auto"/>
        <w:ind w:left="502" w:firstLine="420" w:firstLineChars="200"/>
        <w:rPr>
          <w:rFonts w:ascii="宋体" w:hAnsi="宋体" w:eastAsia="宋体" w:cs="宋体"/>
          <w:highlight w:val="none"/>
        </w:rPr>
      </w:pPr>
      <w:r>
        <w:rPr>
          <w:rFonts w:hint="eastAsia" w:ascii="宋体" w:hAnsi="宋体" w:eastAsia="宋体" w:cs="宋体"/>
          <w:highlight w:val="none"/>
        </w:rPr>
        <w:t>第六章  磋商程序及方法</w:t>
      </w:r>
    </w:p>
    <w:p w14:paraId="4E3D2604">
      <w:pPr>
        <w:pStyle w:val="35"/>
        <w:numPr>
          <w:ilvl w:val="1"/>
          <w:numId w:val="3"/>
        </w:numPr>
        <w:spacing w:line="360" w:lineRule="auto"/>
        <w:ind w:left="0" w:firstLine="602"/>
        <w:rPr>
          <w:rFonts w:ascii="宋体" w:hAnsi="宋体" w:eastAsia="宋体" w:cs="宋体"/>
          <w:b/>
          <w:sz w:val="30"/>
          <w:szCs w:val="30"/>
          <w:highlight w:val="none"/>
        </w:rPr>
      </w:pPr>
      <w:bookmarkStart w:id="45" w:name="_Toc86124049"/>
      <w:bookmarkStart w:id="46" w:name="_Toc329810193"/>
      <w:bookmarkStart w:id="47" w:name="_Toc383175481"/>
      <w:bookmarkStart w:id="48" w:name="_Toc383175059"/>
      <w:bookmarkStart w:id="49" w:name="_Toc383175283"/>
      <w:bookmarkStart w:id="50" w:name="_Toc7252740"/>
      <w:r>
        <w:rPr>
          <w:rFonts w:hint="eastAsia" w:ascii="宋体" w:hAnsi="宋体" w:eastAsia="宋体" w:cs="宋体"/>
          <w:b/>
          <w:sz w:val="30"/>
          <w:szCs w:val="30"/>
          <w:highlight w:val="none"/>
        </w:rPr>
        <w:t>磋商文件的澄清</w:t>
      </w:r>
      <w:bookmarkEnd w:id="45"/>
      <w:r>
        <w:rPr>
          <w:rFonts w:hint="eastAsia" w:ascii="宋体" w:hAnsi="宋体" w:eastAsia="宋体" w:cs="宋体"/>
          <w:b/>
          <w:sz w:val="30"/>
          <w:szCs w:val="30"/>
          <w:highlight w:val="none"/>
        </w:rPr>
        <w:t>、修改</w:t>
      </w:r>
      <w:bookmarkEnd w:id="46"/>
      <w:bookmarkEnd w:id="47"/>
      <w:bookmarkEnd w:id="48"/>
      <w:bookmarkEnd w:id="49"/>
      <w:bookmarkEnd w:id="50"/>
    </w:p>
    <w:p w14:paraId="09E9D0C4">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7.1参加磋商申请人应认真审核磋商文件，如有疑问的，磋商申请人可以在 “磋商申请人须知前附表”规定截止时间前以澄清函形式（加盖单位章）要求采购代理机构澄清，截止时间后送达的澄清要求概不接受。</w:t>
      </w:r>
    </w:p>
    <w:p w14:paraId="60EC5FE7">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7.2采购代理机构将以书面形式答复所有购买磋商文件的磋商申请人（答复中不包含问题的来源）要求澄清的问题，其他澄清方式无效。</w:t>
      </w:r>
    </w:p>
    <w:p w14:paraId="6240D393">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7.3采购人、采购代理机构对已发出的磋商文件进行必要的澄清或者修改的，澄清或者修改的内容作为磋商文件的组成部分。澄清或者修改的内容可能影响响应文件编制的，采购人、采购代理机构将在提交首次响应文件截止之日5日前，以书面形式通知所有接收磋商文件的磋商申请人，不足5日的，将顺延提交首次响应文件截止之日。</w:t>
      </w:r>
    </w:p>
    <w:p w14:paraId="0AA31B6A">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7.4采购代理机构和采购人可以视采购具体情况，推迟递交响应文件截止时间，并将变更时间书面通知所有购买磋商文件的磋商申请人。</w:t>
      </w:r>
    </w:p>
    <w:p w14:paraId="05EC8F3B">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7.5在磋商过程中，磋商小组可以根据磋商文件和磋商情况实质性变动采购需求中的技术、服务要求以及合同草案条款，但不得变动磋商文件中的其他内容。实质性变动的内容，须经采购人代表确认。</w:t>
      </w:r>
      <w:r>
        <w:rPr>
          <w:rFonts w:hint="eastAsia" w:ascii="宋体" w:hAnsi="宋体" w:eastAsia="宋体" w:cs="宋体"/>
          <w:highlight w:val="none"/>
          <w:lang w:eastAsia="zh-CN"/>
        </w:rPr>
        <w:t>本项目</w:t>
      </w:r>
      <w:r>
        <w:rPr>
          <w:rFonts w:hint="eastAsia" w:ascii="宋体" w:hAnsi="宋体" w:eastAsia="宋体" w:cs="宋体"/>
          <w:highlight w:val="none"/>
        </w:rPr>
        <w:t>磋商小组根据与磋商申请人磋商情况可能实质性变动的内容见磋商申请人须知前附表。</w:t>
      </w:r>
    </w:p>
    <w:p w14:paraId="29E52D7D">
      <w:pPr>
        <w:pStyle w:val="4"/>
        <w:spacing w:before="0" w:after="0" w:line="360" w:lineRule="auto"/>
        <w:jc w:val="center"/>
        <w:rPr>
          <w:rFonts w:ascii="宋体" w:hAnsi="宋体" w:eastAsia="宋体" w:cs="宋体"/>
          <w:highlight w:val="none"/>
        </w:rPr>
      </w:pPr>
      <w:bookmarkStart w:id="51" w:name="_Toc119421970"/>
      <w:bookmarkStart w:id="52" w:name="_Toc86124051"/>
      <w:bookmarkStart w:id="53" w:name="_Toc7252741"/>
      <w:r>
        <w:rPr>
          <w:rFonts w:hint="eastAsia" w:ascii="宋体" w:hAnsi="宋体" w:eastAsia="宋体" w:cs="宋体"/>
          <w:highlight w:val="none"/>
        </w:rPr>
        <w:t>三、响应文件</w:t>
      </w:r>
      <w:bookmarkEnd w:id="51"/>
      <w:bookmarkEnd w:id="52"/>
      <w:bookmarkEnd w:id="53"/>
    </w:p>
    <w:p w14:paraId="2035BC95">
      <w:pPr>
        <w:pStyle w:val="35"/>
        <w:numPr>
          <w:ilvl w:val="1"/>
          <w:numId w:val="3"/>
        </w:numPr>
        <w:spacing w:line="360" w:lineRule="auto"/>
        <w:ind w:left="0" w:firstLine="602"/>
        <w:rPr>
          <w:rFonts w:ascii="宋体" w:hAnsi="宋体" w:eastAsia="宋体" w:cs="宋体"/>
          <w:b/>
          <w:sz w:val="30"/>
          <w:szCs w:val="30"/>
          <w:highlight w:val="none"/>
        </w:rPr>
      </w:pPr>
      <w:bookmarkStart w:id="54" w:name="_Toc7252742"/>
      <w:bookmarkStart w:id="55" w:name="_Toc383175285"/>
      <w:bookmarkStart w:id="56" w:name="_Toc383175061"/>
      <w:bookmarkStart w:id="57" w:name="_Toc86124052"/>
      <w:bookmarkStart w:id="58" w:name="_Toc383175483"/>
      <w:bookmarkStart w:id="59" w:name="_Toc329810195"/>
      <w:r>
        <w:rPr>
          <w:rFonts w:hint="eastAsia" w:ascii="宋体" w:hAnsi="宋体" w:eastAsia="宋体" w:cs="宋体"/>
          <w:b/>
          <w:sz w:val="30"/>
          <w:szCs w:val="30"/>
          <w:highlight w:val="none"/>
        </w:rPr>
        <w:t>响应文件编写注意事项</w:t>
      </w:r>
      <w:bookmarkEnd w:id="54"/>
      <w:bookmarkEnd w:id="55"/>
      <w:bookmarkEnd w:id="56"/>
      <w:bookmarkEnd w:id="57"/>
      <w:bookmarkEnd w:id="58"/>
      <w:bookmarkEnd w:id="59"/>
    </w:p>
    <w:p w14:paraId="4F9F2EC6">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8.1磋商申请人应仔细阅读磋商文件，在完全了解采购的内容、技术性能要求（见第五章“采购需求”）和商务条件后，编写响应文件。</w:t>
      </w:r>
    </w:p>
    <w:p w14:paraId="28612425">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8.2对磋商文件提出的实质性要求和条件做出响应是指磋商申请人必须对磋商文件中规定的成交实质性要求和条件做出满足或者优于原要求和条件的承诺，并提供相应的证明材料。</w:t>
      </w:r>
    </w:p>
    <w:p w14:paraId="4A5BC2EA">
      <w:pPr>
        <w:pStyle w:val="35"/>
        <w:numPr>
          <w:ilvl w:val="1"/>
          <w:numId w:val="3"/>
        </w:numPr>
        <w:spacing w:line="360" w:lineRule="auto"/>
        <w:ind w:left="0" w:firstLine="602"/>
        <w:rPr>
          <w:rFonts w:ascii="宋体" w:hAnsi="宋体" w:eastAsia="宋体" w:cs="宋体"/>
          <w:b/>
          <w:sz w:val="30"/>
          <w:szCs w:val="30"/>
          <w:highlight w:val="none"/>
        </w:rPr>
      </w:pPr>
      <w:bookmarkStart w:id="60" w:name="_Toc329810196"/>
      <w:bookmarkStart w:id="61" w:name="_Toc383175484"/>
      <w:bookmarkStart w:id="62" w:name="_Toc7252743"/>
      <w:bookmarkStart w:id="63" w:name="_Toc383175062"/>
      <w:bookmarkStart w:id="64" w:name="_Toc383175286"/>
      <w:bookmarkStart w:id="65" w:name="_Toc86124054"/>
      <w:r>
        <w:rPr>
          <w:rFonts w:hint="eastAsia" w:ascii="宋体" w:hAnsi="宋体" w:eastAsia="宋体" w:cs="宋体"/>
          <w:b/>
          <w:sz w:val="30"/>
          <w:szCs w:val="30"/>
          <w:highlight w:val="none"/>
        </w:rPr>
        <w:t>响应文件构成</w:t>
      </w:r>
      <w:bookmarkEnd w:id="60"/>
      <w:bookmarkEnd w:id="61"/>
      <w:bookmarkEnd w:id="62"/>
      <w:bookmarkEnd w:id="63"/>
      <w:bookmarkEnd w:id="64"/>
      <w:bookmarkEnd w:id="65"/>
    </w:p>
    <w:p w14:paraId="3FD63BE5">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9.1磋商申请人编写的响应文件应按第四章“响应文件格式”要求及内容要求填写。有关文件的提交如未特别注明需提供原件的，可提供复印件。</w:t>
      </w:r>
    </w:p>
    <w:p w14:paraId="32BDA0CB">
      <w:pPr>
        <w:pStyle w:val="35"/>
        <w:numPr>
          <w:ilvl w:val="1"/>
          <w:numId w:val="3"/>
        </w:numPr>
        <w:spacing w:line="360" w:lineRule="auto"/>
        <w:ind w:left="0" w:firstLine="602"/>
        <w:rPr>
          <w:rFonts w:ascii="宋体" w:hAnsi="宋体" w:eastAsia="宋体" w:cs="宋体"/>
          <w:b/>
          <w:sz w:val="30"/>
          <w:szCs w:val="30"/>
          <w:highlight w:val="none"/>
        </w:rPr>
      </w:pPr>
      <w:bookmarkStart w:id="66" w:name="_Toc86124056"/>
      <w:bookmarkStart w:id="67" w:name="_Toc7252744"/>
      <w:bookmarkStart w:id="68" w:name="_Toc329810197"/>
      <w:bookmarkStart w:id="69" w:name="_Toc383175485"/>
      <w:bookmarkStart w:id="70" w:name="_Toc383175287"/>
      <w:bookmarkStart w:id="71" w:name="_Toc383175063"/>
      <w:r>
        <w:rPr>
          <w:rFonts w:hint="eastAsia" w:ascii="宋体" w:hAnsi="宋体" w:eastAsia="宋体" w:cs="宋体"/>
          <w:b/>
          <w:sz w:val="30"/>
          <w:szCs w:val="30"/>
          <w:highlight w:val="none"/>
        </w:rPr>
        <w:t>报价</w:t>
      </w:r>
      <w:bookmarkEnd w:id="66"/>
      <w:r>
        <w:rPr>
          <w:rFonts w:hint="eastAsia" w:ascii="宋体" w:hAnsi="宋体" w:eastAsia="宋体" w:cs="宋体"/>
          <w:b/>
          <w:sz w:val="30"/>
          <w:szCs w:val="30"/>
          <w:highlight w:val="none"/>
        </w:rPr>
        <w:t>和报价货币</w:t>
      </w:r>
      <w:bookmarkEnd w:id="67"/>
      <w:bookmarkEnd w:id="68"/>
      <w:bookmarkEnd w:id="69"/>
      <w:bookmarkEnd w:id="70"/>
      <w:bookmarkEnd w:id="71"/>
    </w:p>
    <w:p w14:paraId="07FD6990">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10.1</w:t>
      </w:r>
      <w:r>
        <w:rPr>
          <w:rFonts w:hint="eastAsia" w:ascii="宋体" w:hAnsi="宋体" w:eastAsia="宋体" w:cs="宋体"/>
          <w:highlight w:val="none"/>
          <w:lang w:eastAsia="zh-CN"/>
        </w:rPr>
        <w:t>本项目</w:t>
      </w:r>
      <w:r>
        <w:rPr>
          <w:rFonts w:hint="eastAsia" w:ascii="宋体" w:hAnsi="宋体" w:eastAsia="宋体" w:cs="宋体"/>
          <w:highlight w:val="none"/>
        </w:rPr>
        <w:t>采购预算详见“</w:t>
      </w:r>
      <w:r>
        <w:rPr>
          <w:rFonts w:hint="eastAsia" w:ascii="宋体" w:hAnsi="宋体" w:eastAsia="宋体" w:cs="宋体"/>
          <w:b/>
          <w:bCs/>
          <w:highlight w:val="none"/>
        </w:rPr>
        <w:t>磋商申请人须知前附表</w:t>
      </w:r>
      <w:r>
        <w:rPr>
          <w:rFonts w:hint="eastAsia" w:ascii="宋体" w:hAnsi="宋体" w:eastAsia="宋体" w:cs="宋体"/>
          <w:highlight w:val="none"/>
        </w:rPr>
        <w:t>”，最后报价超过采购预算的磋商申请人将按无效处理。</w:t>
      </w:r>
    </w:p>
    <w:p w14:paraId="2ADCDA15">
      <w:pPr>
        <w:spacing w:line="360" w:lineRule="auto"/>
        <w:ind w:firstLine="422" w:firstLineChars="200"/>
        <w:rPr>
          <w:rFonts w:ascii="宋体" w:hAnsi="宋体" w:eastAsia="宋体" w:cs="宋体"/>
          <w:highlight w:val="none"/>
        </w:rPr>
      </w:pPr>
      <w:r>
        <w:rPr>
          <w:rFonts w:hint="eastAsia" w:ascii="宋体" w:hAnsi="宋体" w:eastAsia="宋体" w:cs="宋体"/>
          <w:b/>
          <w:bCs/>
          <w:highlight w:val="none"/>
        </w:rPr>
        <w:t>10.2磋商申请人须就“采购需求”中所有采购内容作完整唯一报价。</w:t>
      </w:r>
    </w:p>
    <w:p w14:paraId="1F8E547E">
      <w:pPr>
        <w:pStyle w:val="16"/>
        <w:spacing w:line="360" w:lineRule="auto"/>
        <w:ind w:firstLine="420" w:firstLineChars="200"/>
        <w:jc w:val="both"/>
        <w:rPr>
          <w:rFonts w:hAnsi="宋体"/>
          <w:highlight w:val="none"/>
        </w:rPr>
      </w:pPr>
      <w:r>
        <w:rPr>
          <w:rFonts w:hint="eastAsia" w:hAnsi="宋体"/>
          <w:highlight w:val="none"/>
        </w:rPr>
        <w:t>10.3磋商申请人应依据磋商文件的要求及有关资料自行报价，执行国家或行业现行技术经济标准、定额及规范，自行测算出满足采购要求的服务的竞争性报价。报价均为人民币元或服务费率，磋商报价应包括完成</w:t>
      </w:r>
      <w:r>
        <w:rPr>
          <w:rFonts w:hint="eastAsia" w:hAnsi="宋体"/>
          <w:highlight w:val="none"/>
          <w:lang w:eastAsia="zh-CN"/>
        </w:rPr>
        <w:t>本项目</w:t>
      </w:r>
      <w:r>
        <w:rPr>
          <w:rFonts w:hint="eastAsia" w:hAnsi="宋体"/>
          <w:highlight w:val="none"/>
        </w:rPr>
        <w:t>所需的一切费用，该报价应符合国内行情并不能保证磋商申请人完成履行合同所需的一切工作，为包干总价。合同一旦签订，此价格在合同实施期间将不因市场价格等的变化而调整。</w:t>
      </w:r>
    </w:p>
    <w:p w14:paraId="6ED86CE7">
      <w:pPr>
        <w:pStyle w:val="16"/>
        <w:spacing w:line="360" w:lineRule="auto"/>
        <w:ind w:firstLine="420" w:firstLineChars="200"/>
        <w:jc w:val="both"/>
        <w:rPr>
          <w:rFonts w:hAnsi="宋体"/>
          <w:highlight w:val="none"/>
        </w:rPr>
      </w:pPr>
      <w:r>
        <w:rPr>
          <w:rFonts w:hint="eastAsia" w:hAnsi="宋体"/>
          <w:highlight w:val="none"/>
        </w:rPr>
        <w:t>10.4须完整报价，少报、漏报、错报视为已包含在磋商总报价中，结算时不作调整。</w:t>
      </w:r>
    </w:p>
    <w:p w14:paraId="0117311B">
      <w:pPr>
        <w:pStyle w:val="16"/>
        <w:spacing w:line="360" w:lineRule="auto"/>
        <w:ind w:firstLine="420" w:firstLineChars="200"/>
        <w:jc w:val="both"/>
        <w:rPr>
          <w:rFonts w:hAnsi="宋体"/>
          <w:highlight w:val="none"/>
        </w:rPr>
      </w:pPr>
      <w:r>
        <w:rPr>
          <w:rFonts w:hint="eastAsia" w:hAnsi="宋体"/>
          <w:highlight w:val="none"/>
        </w:rPr>
        <w:t>10.5磋商申请人应根据“报价表”要求填写磋商报价组成情况。</w:t>
      </w:r>
    </w:p>
    <w:p w14:paraId="6BF6464A">
      <w:pPr>
        <w:spacing w:line="360" w:lineRule="auto"/>
        <w:ind w:firstLine="420" w:firstLineChars="200"/>
        <w:rPr>
          <w:rFonts w:ascii="宋体" w:hAnsi="宋体" w:eastAsia="宋体" w:cs="宋体"/>
          <w:b/>
          <w:bCs/>
          <w:highlight w:val="none"/>
        </w:rPr>
      </w:pPr>
      <w:r>
        <w:rPr>
          <w:rFonts w:hint="eastAsia" w:ascii="宋体" w:hAnsi="宋体" w:eastAsia="宋体" w:cs="宋体"/>
          <w:highlight w:val="none"/>
        </w:rPr>
        <w:t>10.6</w:t>
      </w:r>
      <w:r>
        <w:rPr>
          <w:rFonts w:hint="eastAsia" w:ascii="宋体" w:hAnsi="宋体" w:eastAsia="宋体" w:cs="宋体"/>
          <w:b/>
          <w:bCs/>
          <w:highlight w:val="none"/>
        </w:rPr>
        <w:t>通过实质性审查的磋商申请人才能进入磋商程序并进行第二轮报价，第二轮报价为最终报价。</w:t>
      </w:r>
    </w:p>
    <w:p w14:paraId="68BB2B13">
      <w:pPr>
        <w:spacing w:line="360" w:lineRule="auto"/>
        <w:ind w:firstLine="422" w:firstLineChars="200"/>
        <w:rPr>
          <w:rFonts w:ascii="宋体" w:hAnsi="宋体" w:eastAsia="宋体" w:cs="宋体"/>
          <w:b/>
          <w:bCs/>
          <w:highlight w:val="none"/>
        </w:rPr>
      </w:pPr>
      <w:r>
        <w:rPr>
          <w:rFonts w:hint="eastAsia" w:ascii="宋体" w:hAnsi="宋体" w:eastAsia="宋体" w:cs="宋体"/>
          <w:b/>
          <w:bCs/>
          <w:highlight w:val="none"/>
        </w:rPr>
        <w:t>10.7最终报价文件应由法定代表人（负责人）或委托代理人签字，在规定的时间统一递交。若已递交的最终报价文件若出现含义不明确、同类问题表述不一致或者签署不完整、有明显文字和计算错误的，可以进行澄清和补充，但不得改变最终报价文件中报价等实质性内容（算术性错误修正的除外）。</w:t>
      </w:r>
    </w:p>
    <w:p w14:paraId="3CFE8CAA">
      <w:pPr>
        <w:spacing w:line="360" w:lineRule="auto"/>
        <w:ind w:firstLine="420" w:firstLineChars="200"/>
        <w:rPr>
          <w:rFonts w:ascii="宋体" w:hAnsi="宋体" w:eastAsia="宋体" w:cs="宋体"/>
          <w:b/>
          <w:bCs/>
          <w:highlight w:val="none"/>
        </w:rPr>
      </w:pPr>
      <w:r>
        <w:rPr>
          <w:rFonts w:hint="eastAsia" w:ascii="宋体" w:hAnsi="宋体" w:eastAsia="宋体" w:cs="宋体"/>
          <w:kern w:val="0"/>
          <w:highlight w:val="none"/>
        </w:rPr>
        <w:t>磋商申请人的澄清、说明或者更正应当由法定代表人（负责人）或其授权代表签字或者加盖公章。由授权代表签字的，应当附法定代表人（负责人）授权书。磋商申请人为自然人的，应当由本人签字并附身份证明。</w:t>
      </w:r>
    </w:p>
    <w:p w14:paraId="25498FB6">
      <w:pPr>
        <w:adjustRightInd w:val="0"/>
        <w:spacing w:line="360" w:lineRule="auto"/>
        <w:ind w:firstLine="420" w:firstLineChars="200"/>
        <w:rPr>
          <w:rFonts w:ascii="宋体" w:hAnsi="宋体" w:eastAsia="宋体" w:cs="宋体"/>
          <w:highlight w:val="none"/>
        </w:rPr>
      </w:pPr>
      <w:r>
        <w:rPr>
          <w:rFonts w:hint="eastAsia" w:ascii="宋体" w:hAnsi="宋体" w:eastAsia="宋体" w:cs="宋体"/>
          <w:highlight w:val="none"/>
        </w:rPr>
        <w:t>10.8磋商申请人不得哄抬报价，也不应低于成本价（或进价）报价。磋商小组认为磋商申请人的最低报价或者某些分项报价明显不合理或者低于成本，有可能影响工程质量和不能诚信履约的，将要求其在规定的期限内提供书面文件予以解释说明，并提交相关证明材料。否则，磋商小组可以取消该磋商申请人的成交候选资格。</w:t>
      </w:r>
    </w:p>
    <w:p w14:paraId="2255B600">
      <w:pPr>
        <w:adjustRightInd w:val="0"/>
        <w:spacing w:line="360" w:lineRule="auto"/>
        <w:ind w:firstLine="420" w:firstLineChars="200"/>
        <w:rPr>
          <w:rFonts w:ascii="宋体" w:hAnsi="宋体" w:eastAsia="宋体" w:cs="宋体"/>
          <w:highlight w:val="none"/>
        </w:rPr>
      </w:pPr>
      <w:r>
        <w:rPr>
          <w:rFonts w:hint="eastAsia" w:ascii="宋体" w:hAnsi="宋体" w:eastAsia="宋体" w:cs="宋体"/>
          <w:highlight w:val="none"/>
        </w:rPr>
        <w:t>10.9报价货币为人民币。</w:t>
      </w:r>
    </w:p>
    <w:p w14:paraId="2E16A6F2">
      <w:pPr>
        <w:pStyle w:val="35"/>
        <w:numPr>
          <w:ilvl w:val="1"/>
          <w:numId w:val="3"/>
        </w:numPr>
        <w:spacing w:line="360" w:lineRule="auto"/>
        <w:ind w:left="0" w:firstLine="602"/>
        <w:rPr>
          <w:rFonts w:ascii="宋体" w:hAnsi="宋体" w:eastAsia="宋体" w:cs="宋体"/>
          <w:b/>
          <w:sz w:val="30"/>
          <w:szCs w:val="30"/>
          <w:highlight w:val="none"/>
        </w:rPr>
      </w:pPr>
      <w:bookmarkStart w:id="72" w:name="_Toc383175064"/>
      <w:bookmarkStart w:id="73" w:name="_Toc383175486"/>
      <w:bookmarkStart w:id="74" w:name="_Toc329810198"/>
      <w:bookmarkStart w:id="75" w:name="_Toc383175288"/>
      <w:bookmarkStart w:id="76" w:name="_Toc7252745"/>
      <w:bookmarkStart w:id="77" w:name="_Toc86124058"/>
      <w:r>
        <w:rPr>
          <w:rFonts w:hint="eastAsia" w:ascii="宋体" w:hAnsi="宋体" w:eastAsia="宋体" w:cs="宋体"/>
          <w:b/>
          <w:sz w:val="30"/>
          <w:szCs w:val="30"/>
          <w:highlight w:val="none"/>
        </w:rPr>
        <w:t>有效期</w:t>
      </w:r>
      <w:bookmarkEnd w:id="72"/>
      <w:bookmarkEnd w:id="73"/>
      <w:bookmarkEnd w:id="74"/>
      <w:bookmarkEnd w:id="75"/>
      <w:bookmarkEnd w:id="76"/>
      <w:bookmarkEnd w:id="77"/>
    </w:p>
    <w:p w14:paraId="4F9AF030">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11.1在“</w:t>
      </w:r>
      <w:r>
        <w:rPr>
          <w:rFonts w:hint="eastAsia" w:ascii="宋体" w:hAnsi="宋体" w:eastAsia="宋体" w:cs="宋体"/>
          <w:b/>
          <w:bCs/>
          <w:highlight w:val="none"/>
        </w:rPr>
        <w:t>磋商申请人须知前附表</w:t>
      </w:r>
      <w:r>
        <w:rPr>
          <w:rFonts w:hint="eastAsia" w:ascii="宋体" w:hAnsi="宋体" w:eastAsia="宋体" w:cs="宋体"/>
          <w:highlight w:val="none"/>
        </w:rPr>
        <w:t>”规定的有效期内，磋商申请人不得要求撤销或修改其响应文件。</w:t>
      </w:r>
    </w:p>
    <w:p w14:paraId="7FEABFCD">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11.2因特殊情况需要延长有效期的，采购代理机构以书面形式通知所有磋商申请人延长有效期。磋商申请人同意延长的，应相应延长其保证金的有效期，但不得要求或被允许修改或撤销其响应文件；磋商申请人拒绝延长的，其响应文件失效，但磋商申请人有权收回其保证金。</w:t>
      </w:r>
    </w:p>
    <w:p w14:paraId="46CC68D0">
      <w:pPr>
        <w:pStyle w:val="35"/>
        <w:numPr>
          <w:ilvl w:val="1"/>
          <w:numId w:val="3"/>
        </w:numPr>
        <w:spacing w:line="360" w:lineRule="auto"/>
        <w:ind w:left="0" w:firstLine="602"/>
        <w:rPr>
          <w:rFonts w:ascii="宋体" w:hAnsi="宋体" w:eastAsia="宋体" w:cs="宋体"/>
          <w:b/>
          <w:sz w:val="30"/>
          <w:szCs w:val="30"/>
          <w:highlight w:val="none"/>
        </w:rPr>
      </w:pPr>
      <w:bookmarkStart w:id="78" w:name="_Toc329810199"/>
      <w:bookmarkStart w:id="79" w:name="_Toc86124059"/>
      <w:bookmarkStart w:id="80" w:name="_Toc383175487"/>
      <w:bookmarkStart w:id="81" w:name="_Toc383175065"/>
      <w:bookmarkStart w:id="82" w:name="_Toc383175289"/>
      <w:bookmarkStart w:id="83" w:name="_Toc7252746"/>
      <w:r>
        <w:rPr>
          <w:rFonts w:hint="eastAsia" w:ascii="宋体" w:hAnsi="宋体" w:eastAsia="宋体" w:cs="宋体"/>
          <w:b/>
          <w:sz w:val="30"/>
          <w:szCs w:val="30"/>
          <w:highlight w:val="none"/>
        </w:rPr>
        <w:t>磋商响应文件的</w:t>
      </w:r>
      <w:bookmarkEnd w:id="78"/>
      <w:bookmarkEnd w:id="79"/>
      <w:r>
        <w:rPr>
          <w:rFonts w:hint="eastAsia" w:ascii="宋体" w:hAnsi="宋体" w:eastAsia="宋体" w:cs="宋体"/>
          <w:b/>
          <w:sz w:val="30"/>
          <w:szCs w:val="30"/>
          <w:highlight w:val="none"/>
        </w:rPr>
        <w:t>编制</w:t>
      </w:r>
      <w:bookmarkEnd w:id="80"/>
      <w:bookmarkEnd w:id="81"/>
      <w:bookmarkEnd w:id="82"/>
      <w:bookmarkEnd w:id="83"/>
    </w:p>
    <w:p w14:paraId="43A98698">
      <w:pPr>
        <w:spacing w:line="360" w:lineRule="auto"/>
        <w:ind w:firstLine="420" w:firstLineChars="200"/>
        <w:jc w:val="left"/>
        <w:rPr>
          <w:rFonts w:ascii="宋体" w:hAnsi="宋体" w:eastAsia="宋体" w:cs="宋体"/>
          <w:highlight w:val="none"/>
        </w:rPr>
      </w:pPr>
      <w:r>
        <w:rPr>
          <w:rFonts w:hint="eastAsia" w:ascii="宋体" w:hAnsi="宋体" w:eastAsia="宋体" w:cs="宋体"/>
          <w:highlight w:val="none"/>
        </w:rPr>
        <w:t>12.1</w:t>
      </w:r>
      <w:r>
        <w:rPr>
          <w:rFonts w:hint="eastAsia" w:ascii="宋体" w:hAnsi="宋体" w:eastAsia="宋体" w:cs="宋体"/>
          <w:b/>
          <w:bCs/>
          <w:highlight w:val="none"/>
        </w:rPr>
        <w:t>磋商申请人在制作响应文件前，需先下载政采云电子投标客户端并进行安装，下载安装完成之后，可通过账号密码或CA登录客户端制作响应文件。（政采云电子投标客户端下载网址： https://customer.zcygov.cn/CA-driver-download ）。</w:t>
      </w:r>
    </w:p>
    <w:p w14:paraId="1E7E70D9">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12.2响应文件须按磋商文件要求由磋商申请人的法定代表人（负责人）或其委托代理人签字或盖单位章。</w:t>
      </w:r>
      <w:r>
        <w:rPr>
          <w:rFonts w:hint="eastAsia" w:ascii="宋体" w:hAnsi="宋体" w:eastAsia="宋体" w:cs="宋体"/>
          <w:b/>
          <w:bCs/>
          <w:highlight w:val="none"/>
        </w:rPr>
        <w:t>委托代理人签字的，响应文件应附法定代表人（负责人）签署的授权委托书。</w:t>
      </w:r>
    </w:p>
    <w:p w14:paraId="5122C52F">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12.3响应文件应尽量避免涂改、行间插字或删除。如果出现上述情况，改动之处应加盖单位章或磋商申请人法定代表人（负责人）或其授权的代理人签字确认。</w:t>
      </w:r>
    </w:p>
    <w:p w14:paraId="29B2848B">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12.4响应文件应由法定代表人（负责人）或其委托代理人在凡规定签字处逐一签字，要求盖章处应盖单位章，若以投标专用章或合同专用章代替的，须出具磋商申请人单位公章对投标专用章或合同专用章的授权函原件。</w:t>
      </w:r>
    </w:p>
    <w:p w14:paraId="438301A9">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12.5电子响应文件在封面上应按照竞争性磋商文件要求进行编制。</w:t>
      </w:r>
    </w:p>
    <w:p w14:paraId="6226DDAE">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12.6电子响应文件应按照竞争性磋商文件的要求进行编制目录并加密。</w:t>
      </w:r>
    </w:p>
    <w:p w14:paraId="67C36E68">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12.7响应文件上传及相关要求：见“</w:t>
      </w:r>
      <w:r>
        <w:rPr>
          <w:rFonts w:hint="eastAsia" w:ascii="宋体" w:hAnsi="宋体" w:eastAsia="宋体" w:cs="宋体"/>
          <w:b/>
          <w:bCs/>
          <w:highlight w:val="none"/>
        </w:rPr>
        <w:t>磋商申请人须知前附表</w:t>
      </w:r>
      <w:r>
        <w:rPr>
          <w:rFonts w:hint="eastAsia" w:ascii="宋体" w:hAnsi="宋体" w:eastAsia="宋体" w:cs="宋体"/>
          <w:highlight w:val="none"/>
        </w:rPr>
        <w:t>”。</w:t>
      </w:r>
    </w:p>
    <w:p w14:paraId="0EAF97CC">
      <w:pPr>
        <w:pStyle w:val="35"/>
        <w:numPr>
          <w:ilvl w:val="1"/>
          <w:numId w:val="3"/>
        </w:numPr>
        <w:spacing w:line="360" w:lineRule="auto"/>
        <w:ind w:left="0" w:firstLine="602"/>
        <w:rPr>
          <w:rFonts w:ascii="宋体" w:hAnsi="宋体" w:eastAsia="宋体" w:cs="宋体"/>
          <w:b/>
          <w:sz w:val="30"/>
          <w:szCs w:val="30"/>
          <w:highlight w:val="none"/>
        </w:rPr>
      </w:pPr>
      <w:bookmarkStart w:id="84" w:name="_Toc7252747"/>
      <w:r>
        <w:rPr>
          <w:rFonts w:hint="eastAsia" w:ascii="宋体" w:hAnsi="宋体" w:eastAsia="宋体" w:cs="宋体"/>
          <w:b/>
          <w:sz w:val="30"/>
          <w:szCs w:val="30"/>
          <w:highlight w:val="none"/>
        </w:rPr>
        <w:t>磋商保证金</w:t>
      </w:r>
      <w:bookmarkEnd w:id="84"/>
    </w:p>
    <w:p w14:paraId="673C718F">
      <w:pPr>
        <w:spacing w:before="0" w:after="0" w:line="360" w:lineRule="auto"/>
        <w:ind w:firstLine="960" w:firstLineChars="400"/>
        <w:jc w:val="both"/>
        <w:outlineLvl w:val="9"/>
        <w:rPr>
          <w:rFonts w:hint="eastAsia" w:ascii="宋体" w:hAnsi="宋体" w:eastAsia="宋体" w:cs="宋体"/>
          <w:sz w:val="24"/>
          <w:szCs w:val="24"/>
          <w:highlight w:val="none"/>
          <w:lang w:eastAsia="zh-CN"/>
        </w:rPr>
      </w:pPr>
      <w:bookmarkStart w:id="85" w:name="_Toc86124061"/>
      <w:bookmarkStart w:id="86" w:name="_Toc7252748"/>
      <w:bookmarkStart w:id="87" w:name="_Toc119421971"/>
      <w:r>
        <w:rPr>
          <w:rFonts w:hint="eastAsia" w:ascii="宋体" w:hAnsi="宋体" w:eastAsia="宋体" w:cs="宋体"/>
          <w:sz w:val="24"/>
          <w:szCs w:val="24"/>
          <w:highlight w:val="none"/>
          <w:lang w:val="en-US" w:eastAsia="zh-CN"/>
        </w:rPr>
        <w:t>详见公告</w:t>
      </w:r>
      <w:r>
        <w:rPr>
          <w:rFonts w:hint="eastAsia" w:ascii="宋体" w:hAnsi="宋体" w:eastAsia="宋体" w:cs="宋体"/>
          <w:sz w:val="24"/>
          <w:szCs w:val="24"/>
          <w:highlight w:val="none"/>
          <w:lang w:eastAsia="zh-CN"/>
        </w:rPr>
        <w:t>。</w:t>
      </w:r>
    </w:p>
    <w:p w14:paraId="73B6508D">
      <w:pPr>
        <w:pStyle w:val="4"/>
        <w:spacing w:before="0" w:after="0" w:line="360" w:lineRule="auto"/>
        <w:jc w:val="center"/>
        <w:rPr>
          <w:rFonts w:ascii="宋体" w:hAnsi="宋体" w:eastAsia="宋体" w:cs="宋体"/>
          <w:highlight w:val="none"/>
        </w:rPr>
      </w:pPr>
      <w:r>
        <w:rPr>
          <w:rFonts w:hint="eastAsia" w:ascii="宋体" w:hAnsi="宋体" w:eastAsia="宋体" w:cs="宋体"/>
          <w:highlight w:val="none"/>
        </w:rPr>
        <w:t>四、响应文件的提交</w:t>
      </w:r>
      <w:bookmarkEnd w:id="85"/>
      <w:bookmarkEnd w:id="86"/>
      <w:bookmarkEnd w:id="87"/>
    </w:p>
    <w:p w14:paraId="12E592A5">
      <w:pPr>
        <w:pStyle w:val="35"/>
        <w:numPr>
          <w:ilvl w:val="1"/>
          <w:numId w:val="3"/>
        </w:numPr>
        <w:spacing w:line="360" w:lineRule="auto"/>
        <w:ind w:left="0" w:firstLine="602"/>
        <w:rPr>
          <w:rFonts w:ascii="宋体" w:hAnsi="宋体" w:eastAsia="宋体" w:cs="宋体"/>
          <w:b/>
          <w:sz w:val="30"/>
          <w:szCs w:val="30"/>
          <w:highlight w:val="none"/>
        </w:rPr>
      </w:pPr>
      <w:bookmarkStart w:id="88" w:name="_Toc383175292"/>
      <w:bookmarkStart w:id="89" w:name="_Toc383175490"/>
      <w:bookmarkStart w:id="90" w:name="_Toc329810202"/>
      <w:bookmarkStart w:id="91" w:name="_Toc383175068"/>
      <w:bookmarkStart w:id="92" w:name="_Toc86124062"/>
      <w:bookmarkStart w:id="93" w:name="_Toc7252749"/>
      <w:r>
        <w:rPr>
          <w:rFonts w:hint="eastAsia" w:ascii="宋体" w:hAnsi="宋体" w:eastAsia="宋体" w:cs="宋体"/>
          <w:b/>
          <w:sz w:val="30"/>
          <w:szCs w:val="30"/>
          <w:highlight w:val="none"/>
        </w:rPr>
        <w:t>响应文件的</w:t>
      </w:r>
      <w:bookmarkEnd w:id="88"/>
      <w:bookmarkEnd w:id="89"/>
      <w:bookmarkEnd w:id="90"/>
      <w:bookmarkEnd w:id="91"/>
      <w:bookmarkEnd w:id="92"/>
      <w:bookmarkEnd w:id="93"/>
      <w:r>
        <w:rPr>
          <w:rFonts w:hint="eastAsia" w:ascii="宋体" w:hAnsi="宋体" w:eastAsia="宋体" w:cs="宋体"/>
          <w:b/>
          <w:sz w:val="30"/>
          <w:szCs w:val="30"/>
          <w:highlight w:val="none"/>
        </w:rPr>
        <w:t>上传和递交</w:t>
      </w:r>
    </w:p>
    <w:p w14:paraId="3CF80B98">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14.1磋商申请人应按“</w:t>
      </w:r>
      <w:r>
        <w:rPr>
          <w:rFonts w:hint="eastAsia" w:ascii="宋体" w:hAnsi="宋体" w:eastAsia="宋体" w:cs="宋体"/>
          <w:b/>
          <w:bCs/>
          <w:highlight w:val="none"/>
        </w:rPr>
        <w:t>磋商申请人须知前附表</w:t>
      </w:r>
      <w:r>
        <w:rPr>
          <w:rFonts w:hint="eastAsia" w:ascii="宋体" w:hAnsi="宋体" w:eastAsia="宋体" w:cs="宋体"/>
          <w:highlight w:val="none"/>
        </w:rPr>
        <w:t>”中规定的提交响应文件。</w:t>
      </w:r>
    </w:p>
    <w:p w14:paraId="22FCD1DF">
      <w:pPr>
        <w:spacing w:line="360" w:lineRule="auto"/>
        <w:ind w:firstLine="420" w:firstLineChars="200"/>
        <w:rPr>
          <w:rFonts w:ascii="宋体" w:hAnsi="宋体" w:eastAsia="宋体" w:cs="宋体"/>
          <w:kern w:val="0"/>
          <w:szCs w:val="21"/>
          <w:highlight w:val="none"/>
        </w:rPr>
      </w:pPr>
      <w:r>
        <w:rPr>
          <w:rFonts w:hint="eastAsia" w:ascii="宋体" w:hAnsi="宋体" w:eastAsia="宋体" w:cs="宋体"/>
          <w:highlight w:val="none"/>
        </w:rPr>
        <w:t>14.2</w:t>
      </w:r>
      <w:r>
        <w:rPr>
          <w:rFonts w:hint="eastAsia" w:ascii="宋体" w:hAnsi="宋体" w:eastAsia="宋体" w:cs="宋体"/>
          <w:kern w:val="0"/>
          <w:szCs w:val="21"/>
          <w:highlight w:val="none"/>
          <w:lang w:eastAsia="zh-CN"/>
        </w:rPr>
        <w:t>本项目</w:t>
      </w:r>
      <w:r>
        <w:rPr>
          <w:rFonts w:hint="eastAsia" w:ascii="宋体" w:hAnsi="宋体" w:eastAsia="宋体" w:cs="宋体"/>
          <w:kern w:val="0"/>
          <w:szCs w:val="21"/>
          <w:highlight w:val="none"/>
        </w:rPr>
        <w:t>采用在政府采购云平台（www.zcygov.cn）上进行采购与递交响应文件，无需现场递交纸质文件，但应在文件递交截止时间的登录系统，并根据开标系统的提示操作解密文件。</w:t>
      </w:r>
    </w:p>
    <w:p w14:paraId="4645D4DF">
      <w:pPr>
        <w:spacing w:line="360"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14.3本次采购采用在政府采购云平台（www.zcygov.cn）上进行采购与递交响应文件，采购过程具体操作流程请各磋商申请人在政府采购云平台（https://www. zcygov.cn/）的网站操作指南中下载《供应商操作指南》查看操作或在该网站中采购学院中观看《政府采购电子交易供应商线上培训》相关视频。</w:t>
      </w:r>
    </w:p>
    <w:p w14:paraId="2CE89D21">
      <w:pPr>
        <w:pStyle w:val="35"/>
        <w:numPr>
          <w:ilvl w:val="1"/>
          <w:numId w:val="3"/>
        </w:numPr>
        <w:spacing w:line="360" w:lineRule="auto"/>
        <w:ind w:left="0" w:firstLine="602"/>
        <w:rPr>
          <w:rFonts w:ascii="宋体" w:hAnsi="宋体" w:eastAsia="宋体" w:cs="宋体"/>
          <w:b/>
          <w:sz w:val="30"/>
          <w:szCs w:val="30"/>
          <w:highlight w:val="none"/>
        </w:rPr>
      </w:pPr>
      <w:bookmarkStart w:id="94" w:name="_Toc7252750"/>
      <w:bookmarkStart w:id="95" w:name="_Toc383175293"/>
      <w:bookmarkStart w:id="96" w:name="_Toc383175069"/>
      <w:bookmarkStart w:id="97" w:name="_Toc383175491"/>
      <w:bookmarkStart w:id="98" w:name="_Toc86124063"/>
      <w:bookmarkStart w:id="99" w:name="_Toc329810203"/>
      <w:r>
        <w:rPr>
          <w:rFonts w:hint="eastAsia" w:ascii="宋体" w:hAnsi="宋体" w:eastAsia="宋体" w:cs="宋体"/>
          <w:b/>
          <w:sz w:val="30"/>
          <w:szCs w:val="30"/>
          <w:highlight w:val="none"/>
        </w:rPr>
        <w:t>递交响应文件的截止时间和地点</w:t>
      </w:r>
      <w:bookmarkEnd w:id="94"/>
      <w:bookmarkEnd w:id="95"/>
      <w:bookmarkEnd w:id="96"/>
      <w:bookmarkEnd w:id="97"/>
      <w:bookmarkEnd w:id="98"/>
      <w:bookmarkEnd w:id="99"/>
    </w:p>
    <w:p w14:paraId="34311A8F">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15.1响应文件的递交不得迟于“</w:t>
      </w:r>
      <w:r>
        <w:rPr>
          <w:rFonts w:hint="eastAsia" w:ascii="宋体" w:hAnsi="宋体" w:eastAsia="宋体" w:cs="宋体"/>
          <w:b/>
          <w:bCs/>
          <w:highlight w:val="none"/>
        </w:rPr>
        <w:t>磋商申请人须知前附表</w:t>
      </w:r>
      <w:r>
        <w:rPr>
          <w:rFonts w:hint="eastAsia" w:ascii="宋体" w:hAnsi="宋体" w:eastAsia="宋体" w:cs="宋体"/>
          <w:highlight w:val="none"/>
        </w:rPr>
        <w:t>”规定的递交响应文件截止时间。</w:t>
      </w:r>
      <w:r>
        <w:rPr>
          <w:rFonts w:hint="eastAsia" w:ascii="宋体" w:hAnsi="宋体" w:eastAsia="宋体" w:cs="宋体"/>
          <w:b/>
          <w:bCs/>
          <w:highlight w:val="none"/>
        </w:rPr>
        <w:t>电子响应文件须在竞争性磋商响应文件提交截止时间以前上传至政府采购云平台（www.zcygov.cn），逾期上传电子响应文件或磋商申请人在截止时间以前未能送达指定地点不能解密电子响应文件的，其磋商响应文件将被拒绝。</w:t>
      </w:r>
    </w:p>
    <w:p w14:paraId="315D208C">
      <w:pPr>
        <w:spacing w:line="360" w:lineRule="auto"/>
        <w:ind w:firstLine="420" w:firstLineChars="200"/>
        <w:rPr>
          <w:rFonts w:ascii="宋体" w:hAnsi="宋体" w:eastAsia="宋体" w:cs="宋体"/>
          <w:b/>
          <w:bCs/>
          <w:highlight w:val="none"/>
        </w:rPr>
      </w:pPr>
      <w:r>
        <w:rPr>
          <w:rFonts w:hint="eastAsia" w:ascii="宋体" w:hAnsi="宋体" w:eastAsia="宋体" w:cs="宋体"/>
          <w:highlight w:val="none"/>
        </w:rPr>
        <w:t>15.2磋商申请人必须在规定时间内将响应文件上传到</w:t>
      </w:r>
      <w:r>
        <w:rPr>
          <w:rFonts w:hint="eastAsia" w:ascii="宋体" w:hAnsi="宋体" w:eastAsia="宋体" w:cs="宋体"/>
          <w:kern w:val="0"/>
          <w:szCs w:val="21"/>
          <w:highlight w:val="none"/>
        </w:rPr>
        <w:t>政府采购云平台（www.zcygov.cn），采购人及采购代理机构将在</w:t>
      </w:r>
      <w:r>
        <w:rPr>
          <w:rFonts w:hint="eastAsia" w:ascii="宋体" w:hAnsi="宋体" w:eastAsia="宋体" w:cs="宋体"/>
          <w:highlight w:val="none"/>
        </w:rPr>
        <w:t>“</w:t>
      </w:r>
      <w:r>
        <w:rPr>
          <w:rFonts w:hint="eastAsia" w:ascii="宋体" w:hAnsi="宋体" w:eastAsia="宋体" w:cs="宋体"/>
          <w:b/>
          <w:bCs/>
          <w:highlight w:val="none"/>
        </w:rPr>
        <w:t>磋商申请人须知前附表</w:t>
      </w:r>
      <w:r>
        <w:rPr>
          <w:rFonts w:hint="eastAsia" w:ascii="宋体" w:hAnsi="宋体" w:eastAsia="宋体" w:cs="宋体"/>
          <w:highlight w:val="none"/>
        </w:rPr>
        <w:t>”规定的地点举行磋商会议。</w:t>
      </w:r>
    </w:p>
    <w:p w14:paraId="3DB98F78">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15.3除“</w:t>
      </w:r>
      <w:r>
        <w:rPr>
          <w:rFonts w:hint="eastAsia" w:ascii="宋体" w:hAnsi="宋体" w:eastAsia="宋体" w:cs="宋体"/>
          <w:b/>
          <w:bCs/>
          <w:highlight w:val="none"/>
        </w:rPr>
        <w:t>磋商申请人须知前附表</w:t>
      </w:r>
      <w:r>
        <w:rPr>
          <w:rFonts w:hint="eastAsia" w:ascii="宋体" w:hAnsi="宋体" w:eastAsia="宋体" w:cs="宋体"/>
          <w:highlight w:val="none"/>
        </w:rPr>
        <w:t>”另有规定外，磋商申请人所递交的响应文件不予退还。</w:t>
      </w:r>
    </w:p>
    <w:p w14:paraId="64E877BD">
      <w:pPr>
        <w:pStyle w:val="4"/>
        <w:spacing w:before="0" w:after="0" w:line="360" w:lineRule="auto"/>
        <w:jc w:val="center"/>
        <w:rPr>
          <w:rFonts w:ascii="宋体" w:hAnsi="宋体" w:eastAsia="宋体" w:cs="宋体"/>
          <w:highlight w:val="none"/>
        </w:rPr>
      </w:pPr>
      <w:bookmarkStart w:id="100" w:name="_Toc86124064"/>
      <w:bookmarkStart w:id="101" w:name="_Toc7252751"/>
      <w:bookmarkStart w:id="102" w:name="_Toc119421972"/>
      <w:r>
        <w:rPr>
          <w:rFonts w:hint="eastAsia" w:ascii="宋体" w:hAnsi="宋体" w:eastAsia="宋体" w:cs="宋体"/>
          <w:highlight w:val="none"/>
        </w:rPr>
        <w:t>五、磋商</w:t>
      </w:r>
      <w:bookmarkEnd w:id="100"/>
      <w:bookmarkEnd w:id="101"/>
      <w:bookmarkEnd w:id="102"/>
    </w:p>
    <w:p w14:paraId="2A3161CA">
      <w:pPr>
        <w:pStyle w:val="35"/>
        <w:numPr>
          <w:ilvl w:val="1"/>
          <w:numId w:val="3"/>
        </w:numPr>
        <w:spacing w:line="360" w:lineRule="auto"/>
        <w:ind w:left="0" w:firstLine="602"/>
        <w:rPr>
          <w:rFonts w:ascii="宋体" w:hAnsi="宋体" w:eastAsia="宋体" w:cs="宋体"/>
          <w:b/>
          <w:sz w:val="30"/>
          <w:szCs w:val="30"/>
          <w:highlight w:val="none"/>
        </w:rPr>
      </w:pPr>
      <w:bookmarkStart w:id="103" w:name="_Toc7252752"/>
      <w:r>
        <w:rPr>
          <w:rFonts w:hint="eastAsia" w:ascii="宋体" w:hAnsi="宋体" w:eastAsia="宋体" w:cs="宋体"/>
          <w:b/>
          <w:sz w:val="30"/>
          <w:szCs w:val="30"/>
          <w:highlight w:val="none"/>
        </w:rPr>
        <w:t>磋商</w:t>
      </w:r>
      <w:bookmarkEnd w:id="103"/>
    </w:p>
    <w:p w14:paraId="56809202">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16.1采购代理机构将在“</w:t>
      </w:r>
      <w:r>
        <w:rPr>
          <w:rFonts w:hint="eastAsia" w:ascii="宋体" w:hAnsi="宋体" w:eastAsia="宋体" w:cs="宋体"/>
          <w:b/>
          <w:bCs/>
          <w:highlight w:val="none"/>
        </w:rPr>
        <w:t>磋商申请人须知前附表</w:t>
      </w:r>
      <w:r>
        <w:rPr>
          <w:rFonts w:hint="eastAsia" w:ascii="宋体" w:hAnsi="宋体" w:eastAsia="宋体" w:cs="宋体"/>
          <w:highlight w:val="none"/>
        </w:rPr>
        <w:t>”规定的时间和地点进行磋商，磋商申请人的法定代表人（负责人）或其委托代理人应按时参加。</w:t>
      </w:r>
    </w:p>
    <w:p w14:paraId="3C6B640F">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16.2磋商由磋商小组负责。磋商小组由采购人代表和有关技术、经济等方面的专家组成，成员人数应当为3人及以上单数。其中，技术、经济等方面的专家不得少于成员总数的三分之二。磋商应当推选组长，但采购人代表不得担任组长。</w:t>
      </w:r>
    </w:p>
    <w:p w14:paraId="745D0F9A">
      <w:pPr>
        <w:spacing w:line="360" w:lineRule="auto"/>
        <w:ind w:firstLine="422" w:firstLineChars="200"/>
        <w:rPr>
          <w:rFonts w:ascii="宋体" w:hAnsi="宋体" w:eastAsia="宋体" w:cs="宋体"/>
          <w:b/>
          <w:bCs/>
          <w:highlight w:val="none"/>
        </w:rPr>
      </w:pPr>
      <w:r>
        <w:rPr>
          <w:rFonts w:hint="eastAsia" w:ascii="宋体" w:hAnsi="宋体" w:eastAsia="宋体" w:cs="宋体"/>
          <w:b/>
          <w:bCs/>
          <w:highlight w:val="none"/>
        </w:rPr>
        <w:t>采购人委派代表参加磋商会议的，要向采购代理机构出具授权函。除授权代表外，采购人可以委派纪检监察等相关人员进入磋商现场，对磋商工作实施监督。</w:t>
      </w:r>
    </w:p>
    <w:p w14:paraId="06D9487A">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16.3 磋商原则</w:t>
      </w:r>
    </w:p>
    <w:p w14:paraId="3233B5FE">
      <w:pPr>
        <w:tabs>
          <w:tab w:val="left" w:pos="7980"/>
        </w:tabs>
        <w:spacing w:line="360" w:lineRule="auto"/>
        <w:ind w:firstLine="420" w:firstLineChars="200"/>
        <w:rPr>
          <w:rFonts w:ascii="宋体" w:hAnsi="宋体" w:eastAsia="宋体" w:cs="宋体"/>
          <w:highlight w:val="none"/>
        </w:rPr>
      </w:pPr>
      <w:r>
        <w:rPr>
          <w:rFonts w:hint="eastAsia" w:ascii="宋体" w:hAnsi="宋体" w:eastAsia="宋体" w:cs="宋体"/>
          <w:highlight w:val="none"/>
        </w:rPr>
        <w:t>磋商小组对各磋商申请人的响应文件进行详细评审。磋商小组按照得分的高低推荐成交候选人，推荐成交候选人1-3人，并标明排列顺序。</w:t>
      </w:r>
    </w:p>
    <w:p w14:paraId="24B2B913">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16.4磋商程序和方法</w:t>
      </w:r>
    </w:p>
    <w:p w14:paraId="48486B24">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磋商小组按照第六章“磋商程序和方法”规定的方法、因素、标准和程序进行磋商。</w:t>
      </w:r>
    </w:p>
    <w:p w14:paraId="7F9C2320">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16.5磋商文件</w:t>
      </w:r>
      <w:r>
        <w:rPr>
          <w:rFonts w:hint="eastAsia" w:ascii="宋体" w:hAnsi="宋体" w:eastAsia="宋体" w:cs="宋体"/>
          <w:b/>
          <w:bCs/>
          <w:highlight w:val="none"/>
          <w:u w:val="single"/>
        </w:rPr>
        <w:t>第六章“磋商程序和方法”前附表第2.1款实质性要求为磋商文件的实质性内容，未实质性响应磋商文件的磋商申请人的响应文件将按无效处理，该磋商申请人不得再继续参加磋商</w:t>
      </w:r>
      <w:r>
        <w:rPr>
          <w:rFonts w:hint="eastAsia" w:ascii="宋体" w:hAnsi="宋体" w:eastAsia="宋体" w:cs="宋体"/>
          <w:highlight w:val="none"/>
        </w:rPr>
        <w:t>。</w:t>
      </w:r>
    </w:p>
    <w:p w14:paraId="72C4DC8C">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16.6磋商小组在对响应文件的有效性、完整性和响应程度进行审查时，可以要求磋商申请人对响应文件中含义不明确、同类问题表述不一致或者有明显文字和计算错误的内容等作出必要的澄清、说明或者更正。磋商申请人的澄清、说明或者更正不得超出响应文件的范围或者改变响应文件的实质性内容。</w:t>
      </w:r>
    </w:p>
    <w:p w14:paraId="2FF3D321">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磋商小组要求磋商申请人澄清、说明或者更正响应文件应当以书面形式作出。磋商申请人的澄清、说明或者更正应当由法定代表人（负责人）或其授权代表签字或者加盖公章。由授权代表签字的，应当附法定代表人（负责人）授权书。磋商申请人为自然人的，应当由本人签字并附身份证明。</w:t>
      </w:r>
    </w:p>
    <w:p w14:paraId="39683761">
      <w:pPr>
        <w:pStyle w:val="35"/>
        <w:numPr>
          <w:ilvl w:val="1"/>
          <w:numId w:val="3"/>
        </w:numPr>
        <w:spacing w:line="360" w:lineRule="auto"/>
        <w:ind w:left="0" w:firstLine="602"/>
        <w:rPr>
          <w:rFonts w:ascii="宋体" w:hAnsi="宋体" w:eastAsia="宋体" w:cs="宋体"/>
          <w:b/>
          <w:sz w:val="30"/>
          <w:szCs w:val="30"/>
          <w:highlight w:val="none"/>
        </w:rPr>
      </w:pPr>
      <w:bookmarkStart w:id="104" w:name="_Toc329810207"/>
      <w:bookmarkStart w:id="105" w:name="_Toc7252753"/>
      <w:bookmarkStart w:id="106" w:name="_Toc383175494"/>
      <w:bookmarkStart w:id="107" w:name="_Toc86124067"/>
      <w:bookmarkStart w:id="108" w:name="_Toc383175072"/>
      <w:bookmarkStart w:id="109" w:name="_Toc383175296"/>
      <w:r>
        <w:rPr>
          <w:rFonts w:hint="eastAsia" w:ascii="宋体" w:hAnsi="宋体" w:eastAsia="宋体" w:cs="宋体"/>
          <w:b/>
          <w:sz w:val="30"/>
          <w:szCs w:val="30"/>
          <w:highlight w:val="none"/>
        </w:rPr>
        <w:t>磋商过程的保密</w:t>
      </w:r>
      <w:bookmarkEnd w:id="104"/>
      <w:bookmarkEnd w:id="105"/>
      <w:bookmarkEnd w:id="106"/>
      <w:bookmarkEnd w:id="107"/>
      <w:bookmarkEnd w:id="108"/>
      <w:bookmarkEnd w:id="109"/>
    </w:p>
    <w:p w14:paraId="39700A80">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在磋商中，磋商的任何一方不得透露与磋商有关的其他磋商申请人的技术资料、价格和其他信息。磋商开始后，直到授予磋商申请人合同止，凡是属于审查、澄清、磋商和比较的有关资料以及成交建议等均不向磋商申请人或其他人员透露。</w:t>
      </w:r>
    </w:p>
    <w:p w14:paraId="2E596325">
      <w:pPr>
        <w:pStyle w:val="35"/>
        <w:numPr>
          <w:ilvl w:val="1"/>
          <w:numId w:val="3"/>
        </w:numPr>
        <w:spacing w:line="360" w:lineRule="auto"/>
        <w:ind w:left="0" w:firstLine="602"/>
        <w:rPr>
          <w:rFonts w:ascii="宋体" w:hAnsi="宋体" w:eastAsia="宋体" w:cs="宋体"/>
          <w:b/>
          <w:sz w:val="30"/>
          <w:szCs w:val="30"/>
          <w:highlight w:val="none"/>
        </w:rPr>
      </w:pPr>
      <w:bookmarkStart w:id="110" w:name="_Toc383175297"/>
      <w:bookmarkStart w:id="111" w:name="_Toc329810208"/>
      <w:bookmarkStart w:id="112" w:name="_Toc86124068"/>
      <w:bookmarkStart w:id="113" w:name="_Toc383175073"/>
      <w:bookmarkStart w:id="114" w:name="_Toc378499713"/>
      <w:bookmarkStart w:id="115" w:name="_Toc383175495"/>
      <w:bookmarkStart w:id="116" w:name="_Toc7252754"/>
      <w:r>
        <w:rPr>
          <w:rFonts w:hint="eastAsia" w:ascii="宋体" w:hAnsi="宋体" w:eastAsia="宋体" w:cs="宋体"/>
          <w:b/>
          <w:sz w:val="30"/>
          <w:szCs w:val="30"/>
          <w:highlight w:val="none"/>
        </w:rPr>
        <w:t>出现下列情形之一的，将终止竞争性磋商采购活动，并发布项目终止公告并说明原因，重新开展采购活动：</w:t>
      </w:r>
      <w:bookmarkEnd w:id="110"/>
      <w:bookmarkEnd w:id="111"/>
      <w:bookmarkEnd w:id="112"/>
      <w:bookmarkEnd w:id="113"/>
      <w:bookmarkEnd w:id="114"/>
      <w:bookmarkEnd w:id="115"/>
      <w:bookmarkEnd w:id="116"/>
    </w:p>
    <w:p w14:paraId="7901A3EE">
      <w:pPr>
        <w:pStyle w:val="35"/>
        <w:numPr>
          <w:ilvl w:val="2"/>
          <w:numId w:val="4"/>
        </w:numPr>
        <w:spacing w:line="360" w:lineRule="auto"/>
        <w:ind w:left="0" w:firstLine="420"/>
        <w:rPr>
          <w:rFonts w:ascii="宋体" w:hAnsi="宋体" w:eastAsia="宋体" w:cs="宋体"/>
          <w:highlight w:val="none"/>
        </w:rPr>
      </w:pPr>
      <w:r>
        <w:rPr>
          <w:rFonts w:hint="eastAsia" w:ascii="宋体" w:hAnsi="宋体" w:eastAsia="宋体" w:cs="宋体"/>
          <w:highlight w:val="none"/>
        </w:rPr>
        <w:t>因情况变化，不再符合规定的竞争性磋商采购方式适用情形的；</w:t>
      </w:r>
    </w:p>
    <w:p w14:paraId="5D872987">
      <w:pPr>
        <w:pStyle w:val="35"/>
        <w:numPr>
          <w:ilvl w:val="2"/>
          <w:numId w:val="4"/>
        </w:numPr>
        <w:spacing w:line="360" w:lineRule="auto"/>
        <w:ind w:left="0" w:firstLine="420"/>
        <w:rPr>
          <w:rFonts w:ascii="宋体" w:hAnsi="宋体" w:eastAsia="宋体" w:cs="宋体"/>
          <w:highlight w:val="none"/>
        </w:rPr>
      </w:pPr>
      <w:r>
        <w:rPr>
          <w:rFonts w:hint="eastAsia" w:ascii="宋体" w:hAnsi="宋体" w:eastAsia="宋体" w:cs="宋体"/>
          <w:highlight w:val="none"/>
        </w:rPr>
        <w:t>出现影响采购公正的违法、违规行为的；</w:t>
      </w:r>
    </w:p>
    <w:p w14:paraId="5BC3929A">
      <w:pPr>
        <w:pStyle w:val="35"/>
        <w:numPr>
          <w:ilvl w:val="2"/>
          <w:numId w:val="4"/>
        </w:numPr>
        <w:spacing w:line="360" w:lineRule="auto"/>
        <w:ind w:left="0" w:firstLine="420"/>
        <w:rPr>
          <w:rFonts w:ascii="宋体" w:hAnsi="宋体" w:eastAsia="宋体" w:cs="宋体"/>
          <w:highlight w:val="none"/>
        </w:rPr>
      </w:pPr>
      <w:r>
        <w:rPr>
          <w:rFonts w:hint="eastAsia" w:ascii="宋体" w:hAnsi="宋体" w:eastAsia="宋体" w:cs="宋体"/>
          <w:highlight w:val="none"/>
        </w:rPr>
        <w:t>在采购过程中符合竞争要求的磋商申请人或者</w:t>
      </w:r>
      <w:r>
        <w:rPr>
          <w:rFonts w:hint="eastAsia" w:ascii="宋体" w:hAnsi="宋体" w:eastAsia="宋体" w:cs="宋体"/>
          <w:b/>
          <w:bCs/>
          <w:highlight w:val="none"/>
        </w:rPr>
        <w:t>报价未超过采购预算的磋商申请人不符合规定的</w:t>
      </w:r>
      <w:r>
        <w:rPr>
          <w:rFonts w:hint="eastAsia" w:ascii="宋体" w:hAnsi="宋体" w:eastAsia="宋体" w:cs="宋体"/>
          <w:highlight w:val="none"/>
        </w:rPr>
        <w:t>。</w:t>
      </w:r>
    </w:p>
    <w:p w14:paraId="154B82A0">
      <w:pPr>
        <w:pStyle w:val="4"/>
        <w:spacing w:before="0" w:after="0" w:line="360" w:lineRule="auto"/>
        <w:jc w:val="center"/>
        <w:rPr>
          <w:rFonts w:ascii="宋体" w:hAnsi="宋体" w:eastAsia="宋体" w:cs="宋体"/>
          <w:highlight w:val="none"/>
        </w:rPr>
      </w:pPr>
      <w:bookmarkStart w:id="117" w:name="_Toc86124069"/>
      <w:bookmarkStart w:id="118" w:name="_Toc7252755"/>
      <w:bookmarkStart w:id="119" w:name="_Toc119421973"/>
      <w:r>
        <w:rPr>
          <w:rFonts w:hint="eastAsia" w:ascii="宋体" w:hAnsi="宋体" w:eastAsia="宋体" w:cs="宋体"/>
          <w:highlight w:val="none"/>
        </w:rPr>
        <w:t>六、成交结果</w:t>
      </w:r>
      <w:bookmarkEnd w:id="117"/>
      <w:bookmarkEnd w:id="118"/>
      <w:bookmarkEnd w:id="119"/>
    </w:p>
    <w:p w14:paraId="55379463">
      <w:pPr>
        <w:pStyle w:val="35"/>
        <w:numPr>
          <w:ilvl w:val="1"/>
          <w:numId w:val="3"/>
        </w:numPr>
        <w:spacing w:line="360" w:lineRule="auto"/>
        <w:ind w:left="0" w:firstLine="602"/>
        <w:rPr>
          <w:rFonts w:ascii="宋体" w:hAnsi="宋体" w:eastAsia="宋体" w:cs="宋体"/>
          <w:b/>
          <w:sz w:val="30"/>
          <w:szCs w:val="30"/>
          <w:highlight w:val="none"/>
        </w:rPr>
      </w:pPr>
      <w:bookmarkStart w:id="120" w:name="_Toc383175497"/>
      <w:bookmarkStart w:id="121" w:name="_Toc86124070"/>
      <w:bookmarkStart w:id="122" w:name="_Toc383175299"/>
      <w:bookmarkStart w:id="123" w:name="_Toc383175075"/>
      <w:bookmarkStart w:id="124" w:name="_Toc329810210"/>
      <w:bookmarkStart w:id="125" w:name="_Toc7252756"/>
      <w:r>
        <w:rPr>
          <w:rFonts w:hint="eastAsia" w:ascii="宋体" w:hAnsi="宋体" w:eastAsia="宋体" w:cs="宋体"/>
          <w:b/>
          <w:sz w:val="30"/>
          <w:szCs w:val="30"/>
          <w:highlight w:val="none"/>
        </w:rPr>
        <w:t>成交人的确定</w:t>
      </w:r>
      <w:bookmarkEnd w:id="120"/>
      <w:bookmarkEnd w:id="121"/>
      <w:bookmarkEnd w:id="122"/>
      <w:bookmarkEnd w:id="123"/>
      <w:bookmarkEnd w:id="124"/>
      <w:bookmarkEnd w:id="125"/>
    </w:p>
    <w:p w14:paraId="7745278C">
      <w:pPr>
        <w:spacing w:line="360" w:lineRule="auto"/>
        <w:ind w:firstLine="420" w:firstLineChars="200"/>
        <w:rPr>
          <w:rFonts w:ascii="宋体" w:hAnsi="宋体" w:eastAsia="宋体" w:cs="宋体"/>
          <w:highlight w:val="none"/>
        </w:rPr>
      </w:pPr>
      <w:bookmarkStart w:id="126" w:name="_Toc329810211"/>
      <w:r>
        <w:rPr>
          <w:rFonts w:hint="eastAsia" w:ascii="宋体" w:hAnsi="宋体" w:eastAsia="宋体" w:cs="宋体"/>
          <w:highlight w:val="none"/>
        </w:rPr>
        <w:t>19.1采购代理机构在评审结束后2个工作日内将评审报告送采购人确认。</w:t>
      </w:r>
    </w:p>
    <w:p w14:paraId="41F78AC3">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19.2采购人应当在收到评审报告后5个工作日内，从评审报告提出的成交候选人中，按照综合得分由高到低的原则确定成交磋商申请人。</w:t>
      </w:r>
    </w:p>
    <w:p w14:paraId="127B2B3F">
      <w:pPr>
        <w:pStyle w:val="35"/>
        <w:numPr>
          <w:ilvl w:val="1"/>
          <w:numId w:val="3"/>
        </w:numPr>
        <w:spacing w:line="360" w:lineRule="auto"/>
        <w:ind w:left="0" w:firstLine="602"/>
        <w:rPr>
          <w:rFonts w:ascii="宋体" w:hAnsi="宋体" w:eastAsia="宋体" w:cs="宋体"/>
          <w:b/>
          <w:sz w:val="30"/>
          <w:szCs w:val="30"/>
          <w:highlight w:val="none"/>
        </w:rPr>
      </w:pPr>
      <w:bookmarkStart w:id="127" w:name="_Toc383175300"/>
      <w:bookmarkStart w:id="128" w:name="_Toc7252757"/>
      <w:bookmarkStart w:id="129" w:name="_Toc383175076"/>
      <w:bookmarkStart w:id="130" w:name="_Toc383175498"/>
      <w:r>
        <w:rPr>
          <w:rFonts w:hint="eastAsia" w:ascii="宋体" w:hAnsi="宋体" w:eastAsia="宋体" w:cs="宋体"/>
          <w:b/>
          <w:sz w:val="30"/>
          <w:szCs w:val="30"/>
          <w:highlight w:val="none"/>
        </w:rPr>
        <w:t>成交通知书</w:t>
      </w:r>
      <w:bookmarkEnd w:id="126"/>
      <w:bookmarkEnd w:id="127"/>
      <w:bookmarkEnd w:id="128"/>
      <w:bookmarkEnd w:id="129"/>
      <w:bookmarkEnd w:id="130"/>
    </w:p>
    <w:p w14:paraId="14259348">
      <w:pPr>
        <w:spacing w:line="360" w:lineRule="auto"/>
        <w:ind w:firstLine="420" w:firstLineChars="200"/>
        <w:jc w:val="left"/>
        <w:rPr>
          <w:rFonts w:ascii="宋体" w:hAnsi="宋体" w:eastAsia="宋体" w:cs="宋体"/>
          <w:highlight w:val="none"/>
        </w:rPr>
      </w:pPr>
      <w:bookmarkStart w:id="131" w:name="_Toc329810212"/>
      <w:bookmarkStart w:id="132" w:name="_Toc86124072"/>
      <w:r>
        <w:rPr>
          <w:rFonts w:hint="eastAsia" w:ascii="宋体" w:hAnsi="宋体" w:eastAsia="宋体" w:cs="宋体"/>
          <w:highlight w:val="none"/>
        </w:rPr>
        <w:t>20.1采购代理机构将在成交磋商申请人确定后2个工作日内，</w:t>
      </w:r>
      <w:r>
        <w:rPr>
          <w:rFonts w:hint="eastAsia" w:ascii="宋体" w:hAnsi="宋体" w:eastAsia="宋体" w:cs="宋体"/>
          <w:kern w:val="0"/>
          <w:highlight w:val="none"/>
        </w:rPr>
        <w:t>在云南省政府采购网上公告，</w:t>
      </w:r>
      <w:r>
        <w:rPr>
          <w:rFonts w:hint="eastAsia" w:ascii="宋体" w:hAnsi="宋体" w:eastAsia="宋体" w:cs="宋体"/>
          <w:highlight w:val="none"/>
        </w:rPr>
        <w:t>同时向成交磋商申请人发出成交通知书。</w:t>
      </w:r>
    </w:p>
    <w:p w14:paraId="5F28D99E">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20.2成交通知书是合同的一个组成部分。</w:t>
      </w:r>
    </w:p>
    <w:p w14:paraId="3F60FF15">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20.3除不可抗力等因素外，成交通知书发出后，采购人改变成交结果，或者成交磋商申请人拒绝签订政府采购合同的，应当承担相应的法律责任。</w:t>
      </w:r>
    </w:p>
    <w:p w14:paraId="1AE91D3A">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20.4采购代理机构无义务向未成交磋商申请人解释未成交原因和退回响应文件。</w:t>
      </w:r>
    </w:p>
    <w:p w14:paraId="685A91BC">
      <w:pPr>
        <w:pStyle w:val="35"/>
        <w:numPr>
          <w:ilvl w:val="1"/>
          <w:numId w:val="3"/>
        </w:numPr>
        <w:spacing w:line="360" w:lineRule="auto"/>
        <w:ind w:left="0" w:firstLine="602"/>
        <w:rPr>
          <w:rFonts w:ascii="宋体" w:hAnsi="宋体" w:eastAsia="宋体" w:cs="宋体"/>
          <w:b/>
          <w:sz w:val="30"/>
          <w:szCs w:val="30"/>
          <w:highlight w:val="none"/>
        </w:rPr>
      </w:pPr>
      <w:bookmarkStart w:id="133" w:name="_Toc383175499"/>
      <w:bookmarkStart w:id="134" w:name="_Toc383175077"/>
      <w:bookmarkStart w:id="135" w:name="_Toc383175301"/>
      <w:bookmarkStart w:id="136" w:name="_Toc7252758"/>
      <w:r>
        <w:rPr>
          <w:rFonts w:hint="eastAsia" w:ascii="宋体" w:hAnsi="宋体" w:eastAsia="宋体" w:cs="宋体"/>
          <w:b/>
          <w:sz w:val="30"/>
          <w:szCs w:val="30"/>
          <w:highlight w:val="none"/>
        </w:rPr>
        <w:t>签订合同</w:t>
      </w:r>
      <w:bookmarkEnd w:id="131"/>
      <w:bookmarkEnd w:id="132"/>
      <w:bookmarkEnd w:id="133"/>
      <w:bookmarkEnd w:id="134"/>
      <w:bookmarkEnd w:id="135"/>
      <w:bookmarkEnd w:id="136"/>
    </w:p>
    <w:p w14:paraId="42AFA1EF">
      <w:pPr>
        <w:pStyle w:val="35"/>
        <w:numPr>
          <w:ilvl w:val="1"/>
          <w:numId w:val="5"/>
        </w:numPr>
        <w:spacing w:line="360" w:lineRule="auto"/>
        <w:ind w:left="0" w:firstLine="420"/>
        <w:rPr>
          <w:rFonts w:ascii="宋体" w:hAnsi="宋体" w:eastAsia="宋体" w:cs="宋体"/>
          <w:highlight w:val="none"/>
        </w:rPr>
      </w:pPr>
      <w:bookmarkStart w:id="137" w:name="_Toc329810213"/>
      <w:bookmarkStart w:id="138" w:name="_Toc86124073"/>
      <w:r>
        <w:rPr>
          <w:rFonts w:hint="eastAsia" w:ascii="宋体" w:hAnsi="宋体" w:eastAsia="宋体" w:cs="宋体"/>
          <w:highlight w:val="none"/>
        </w:rPr>
        <w:t>采购人与成交磋商申请人应当在成交通知书发出之日起30日内，按照竞争性磋商文件确定的合同文本以及采购标的、规格型号、采购金额、采购数量、技术和服务要求等事项签订政府采购合同。</w:t>
      </w:r>
    </w:p>
    <w:p w14:paraId="44FE1ABA">
      <w:pPr>
        <w:pStyle w:val="35"/>
        <w:numPr>
          <w:ilvl w:val="1"/>
          <w:numId w:val="5"/>
        </w:numPr>
        <w:spacing w:line="360" w:lineRule="auto"/>
        <w:ind w:left="0" w:firstLine="420"/>
        <w:rPr>
          <w:rFonts w:ascii="宋体" w:hAnsi="宋体" w:eastAsia="宋体" w:cs="宋体"/>
          <w:highlight w:val="none"/>
        </w:rPr>
      </w:pPr>
      <w:r>
        <w:rPr>
          <w:rFonts w:hint="eastAsia" w:ascii="宋体" w:hAnsi="宋体" w:eastAsia="宋体" w:cs="宋体"/>
          <w:highlight w:val="none"/>
        </w:rPr>
        <w:t>成交磋商申请人拒绝签订政府采购合同的，采购人可以按照《政府采购竞争性磋商采购方式管理暂行办法》规定的原则确定其他磋商申请人作为成交磋商申请人并签订政府采购合同，也可以重新开展采购活动。拒绝签订政府采购合同的成交磋商申请人不得参加对该工程重新开展的采购活动。</w:t>
      </w:r>
      <w:bookmarkEnd w:id="137"/>
      <w:bookmarkEnd w:id="138"/>
    </w:p>
    <w:p w14:paraId="6C6C8628">
      <w:pPr>
        <w:pStyle w:val="4"/>
        <w:spacing w:before="0" w:after="0" w:line="360" w:lineRule="auto"/>
        <w:jc w:val="center"/>
        <w:rPr>
          <w:rFonts w:ascii="宋体" w:hAnsi="宋体" w:eastAsia="宋体" w:cs="宋体"/>
          <w:highlight w:val="none"/>
        </w:rPr>
      </w:pPr>
      <w:bookmarkStart w:id="139" w:name="_Toc86124074"/>
      <w:bookmarkStart w:id="140" w:name="_Toc119421974"/>
      <w:bookmarkStart w:id="141" w:name="_Toc7252759"/>
      <w:r>
        <w:rPr>
          <w:rFonts w:hint="eastAsia" w:ascii="宋体" w:hAnsi="宋体" w:eastAsia="宋体" w:cs="宋体"/>
          <w:highlight w:val="none"/>
        </w:rPr>
        <w:t>七、其他事项</w:t>
      </w:r>
      <w:bookmarkEnd w:id="139"/>
      <w:bookmarkEnd w:id="140"/>
      <w:bookmarkEnd w:id="141"/>
    </w:p>
    <w:p w14:paraId="4AEC96AE">
      <w:pPr>
        <w:pStyle w:val="35"/>
        <w:numPr>
          <w:ilvl w:val="1"/>
          <w:numId w:val="3"/>
        </w:numPr>
        <w:spacing w:line="360" w:lineRule="auto"/>
        <w:ind w:left="0" w:firstLine="602"/>
        <w:rPr>
          <w:rFonts w:ascii="宋体" w:hAnsi="宋体" w:eastAsia="宋体" w:cs="宋体"/>
          <w:b/>
          <w:sz w:val="30"/>
          <w:szCs w:val="30"/>
          <w:highlight w:val="none"/>
        </w:rPr>
      </w:pPr>
      <w:bookmarkStart w:id="142" w:name="_Toc383175080"/>
      <w:bookmarkStart w:id="143" w:name="_Toc383175502"/>
      <w:bookmarkStart w:id="144" w:name="_Toc383175304"/>
      <w:bookmarkStart w:id="145" w:name="_Toc329810215"/>
      <w:bookmarkStart w:id="146" w:name="_Toc7252760"/>
      <w:r>
        <w:rPr>
          <w:rFonts w:hint="eastAsia" w:ascii="宋体" w:hAnsi="宋体" w:eastAsia="宋体" w:cs="宋体"/>
          <w:b/>
          <w:sz w:val="30"/>
          <w:szCs w:val="30"/>
          <w:highlight w:val="none"/>
        </w:rPr>
        <w:t>质疑和投诉</w:t>
      </w:r>
      <w:bookmarkEnd w:id="142"/>
      <w:bookmarkEnd w:id="143"/>
      <w:bookmarkEnd w:id="144"/>
      <w:bookmarkEnd w:id="145"/>
      <w:bookmarkEnd w:id="146"/>
    </w:p>
    <w:p w14:paraId="1CC178B5">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22.1磋商申请人认为磋商文件、磋商过程和成交结果使自己的合法权益受到损害的，应当在知道或者应知其权益受到损害之日起七个工作日内，以书面形式向下列部门或采购人提出质疑。质疑内容不得含有虚假、恶意成分。当事人对自己提出的主张，有责任提供证据，提出质疑时应同时提交相关证据材料和注明事实的确切来源。</w:t>
      </w:r>
    </w:p>
    <w:p w14:paraId="442BAE1D">
      <w:p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rPr>
        <w:t>受理质疑部门：</w:t>
      </w:r>
      <w:r>
        <w:rPr>
          <w:rFonts w:hint="eastAsia" w:ascii="宋体" w:hAnsi="宋体" w:eastAsia="宋体" w:cs="宋体"/>
          <w:highlight w:val="none"/>
          <w:lang w:eastAsia="zh-CN"/>
        </w:rPr>
        <w:t>云南润腾招标咨询有限公司</w:t>
      </w:r>
    </w:p>
    <w:p w14:paraId="6CBC37C2">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联系人：</w:t>
      </w:r>
      <w:r>
        <w:rPr>
          <w:rFonts w:hint="eastAsia" w:ascii="宋体" w:hAnsi="宋体" w:eastAsia="宋体" w:cs="宋体"/>
          <w:highlight w:val="none"/>
          <w:lang w:val="en-US" w:eastAsia="zh-CN"/>
        </w:rPr>
        <w:t>武</w:t>
      </w:r>
      <w:r>
        <w:rPr>
          <w:rFonts w:hint="eastAsia" w:ascii="宋体" w:hAnsi="宋体" w:eastAsia="宋体" w:cs="宋体"/>
          <w:highlight w:val="none"/>
        </w:rPr>
        <w:t>先生</w:t>
      </w:r>
    </w:p>
    <w:p w14:paraId="3925B202">
      <w:pPr>
        <w:spacing w:line="360" w:lineRule="auto"/>
        <w:ind w:firstLine="420" w:firstLineChars="200"/>
        <w:rPr>
          <w:rFonts w:hint="default" w:ascii="宋体" w:hAnsi="宋体" w:eastAsia="宋体" w:cs="宋体"/>
          <w:highlight w:val="none"/>
          <w:lang w:val="en-US" w:eastAsia="zh-CN"/>
        </w:rPr>
      </w:pPr>
      <w:r>
        <w:rPr>
          <w:rFonts w:hint="eastAsia" w:ascii="宋体" w:hAnsi="宋体" w:eastAsia="宋体" w:cs="宋体"/>
          <w:highlight w:val="none"/>
        </w:rPr>
        <w:t>电话：0875-</w:t>
      </w:r>
      <w:r>
        <w:rPr>
          <w:rFonts w:hint="eastAsia" w:ascii="宋体" w:hAnsi="宋体" w:eastAsia="宋体" w:cs="宋体"/>
          <w:highlight w:val="none"/>
          <w:lang w:val="en-US" w:eastAsia="zh-CN"/>
        </w:rPr>
        <w:t>2129055</w:t>
      </w:r>
    </w:p>
    <w:p w14:paraId="3C7831A7">
      <w:pPr>
        <w:spacing w:line="360" w:lineRule="auto"/>
        <w:ind w:firstLine="420" w:firstLineChars="200"/>
        <w:rPr>
          <w:rFonts w:hint="default" w:ascii="宋体" w:hAnsi="宋体" w:eastAsia="宋体" w:cs="宋体"/>
          <w:highlight w:val="none"/>
          <w:lang w:val="en-US" w:eastAsia="zh-CN"/>
        </w:rPr>
      </w:pPr>
      <w:r>
        <w:rPr>
          <w:rFonts w:hint="eastAsia" w:ascii="宋体" w:hAnsi="宋体" w:eastAsia="宋体" w:cs="宋体"/>
          <w:highlight w:val="none"/>
        </w:rPr>
        <w:t>传真：0875-</w:t>
      </w:r>
      <w:r>
        <w:rPr>
          <w:rFonts w:hint="eastAsia" w:ascii="宋体" w:hAnsi="宋体" w:eastAsia="宋体" w:cs="宋体"/>
          <w:highlight w:val="none"/>
          <w:lang w:val="en-US" w:eastAsia="zh-CN"/>
        </w:rPr>
        <w:t>2129055</w:t>
      </w:r>
    </w:p>
    <w:p w14:paraId="64161816">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22.2磋商申请人提供的质疑书应符合中华人民共和国财政部第94号令的规定。磋商申请人提供的质疑书（如材料中有外文资料应同时附上中文译本）应当包括以下主要内容：</w:t>
      </w:r>
    </w:p>
    <w:p w14:paraId="182CDC0E">
      <w:pPr>
        <w:pStyle w:val="35"/>
        <w:numPr>
          <w:ilvl w:val="0"/>
          <w:numId w:val="6"/>
        </w:numPr>
        <w:spacing w:line="360" w:lineRule="auto"/>
        <w:ind w:left="0" w:firstLine="420"/>
        <w:rPr>
          <w:rFonts w:ascii="宋体" w:hAnsi="宋体" w:eastAsia="宋体" w:cs="宋体"/>
          <w:highlight w:val="none"/>
        </w:rPr>
      </w:pPr>
      <w:r>
        <w:rPr>
          <w:rFonts w:hint="eastAsia" w:ascii="宋体" w:hAnsi="宋体" w:eastAsia="宋体" w:cs="宋体"/>
          <w:highlight w:val="none"/>
        </w:rPr>
        <w:t>磋商申请人的姓名或者名称、地址、邮编、联系人及联系电话；</w:t>
      </w:r>
    </w:p>
    <w:p w14:paraId="7EEC769F">
      <w:pPr>
        <w:pStyle w:val="35"/>
        <w:numPr>
          <w:ilvl w:val="0"/>
          <w:numId w:val="6"/>
        </w:numPr>
        <w:spacing w:line="360" w:lineRule="auto"/>
        <w:ind w:left="0" w:firstLine="420"/>
        <w:rPr>
          <w:rFonts w:ascii="宋体" w:hAnsi="宋体" w:eastAsia="宋体" w:cs="宋体"/>
          <w:highlight w:val="none"/>
        </w:rPr>
      </w:pPr>
      <w:r>
        <w:rPr>
          <w:rFonts w:hint="eastAsia" w:ascii="宋体" w:hAnsi="宋体" w:eastAsia="宋体" w:cs="宋体"/>
          <w:highlight w:val="none"/>
        </w:rPr>
        <w:t>质疑项目的名称、编号；</w:t>
      </w:r>
    </w:p>
    <w:p w14:paraId="529C8E05">
      <w:pPr>
        <w:pStyle w:val="35"/>
        <w:numPr>
          <w:ilvl w:val="0"/>
          <w:numId w:val="6"/>
        </w:numPr>
        <w:spacing w:line="360" w:lineRule="auto"/>
        <w:ind w:left="0" w:firstLine="420"/>
        <w:rPr>
          <w:rFonts w:ascii="宋体" w:hAnsi="宋体" w:eastAsia="宋体" w:cs="宋体"/>
          <w:highlight w:val="none"/>
        </w:rPr>
      </w:pPr>
      <w:r>
        <w:rPr>
          <w:rFonts w:hint="eastAsia" w:ascii="宋体" w:hAnsi="宋体" w:eastAsia="宋体" w:cs="宋体"/>
          <w:highlight w:val="none"/>
        </w:rPr>
        <w:t>具体、明确的质疑事项和与质疑事项相关的请求；</w:t>
      </w:r>
    </w:p>
    <w:p w14:paraId="72736B76">
      <w:pPr>
        <w:pStyle w:val="35"/>
        <w:numPr>
          <w:ilvl w:val="0"/>
          <w:numId w:val="6"/>
        </w:numPr>
        <w:spacing w:line="360" w:lineRule="auto"/>
        <w:ind w:left="0" w:firstLine="420"/>
        <w:rPr>
          <w:rFonts w:ascii="宋体" w:hAnsi="宋体" w:eastAsia="宋体" w:cs="宋体"/>
          <w:highlight w:val="none"/>
        </w:rPr>
      </w:pPr>
      <w:r>
        <w:rPr>
          <w:rFonts w:hint="eastAsia" w:ascii="宋体" w:hAnsi="宋体" w:eastAsia="宋体" w:cs="宋体"/>
          <w:highlight w:val="none"/>
        </w:rPr>
        <w:t>事实依据；</w:t>
      </w:r>
    </w:p>
    <w:p w14:paraId="46FB35FC">
      <w:pPr>
        <w:pStyle w:val="35"/>
        <w:numPr>
          <w:ilvl w:val="0"/>
          <w:numId w:val="6"/>
        </w:numPr>
        <w:spacing w:line="360" w:lineRule="auto"/>
        <w:ind w:left="0" w:firstLine="420"/>
        <w:rPr>
          <w:rFonts w:ascii="宋体" w:hAnsi="宋体" w:eastAsia="宋体" w:cs="宋体"/>
          <w:highlight w:val="none"/>
        </w:rPr>
      </w:pPr>
      <w:r>
        <w:rPr>
          <w:rFonts w:hint="eastAsia" w:ascii="宋体" w:hAnsi="宋体" w:eastAsia="宋体" w:cs="宋体"/>
          <w:highlight w:val="none"/>
        </w:rPr>
        <w:t>必要的法律依据；</w:t>
      </w:r>
    </w:p>
    <w:p w14:paraId="06B88EED">
      <w:pPr>
        <w:pStyle w:val="35"/>
        <w:numPr>
          <w:ilvl w:val="0"/>
          <w:numId w:val="6"/>
        </w:numPr>
        <w:spacing w:line="360" w:lineRule="auto"/>
        <w:ind w:left="0" w:firstLine="420"/>
        <w:rPr>
          <w:rFonts w:ascii="宋体" w:hAnsi="宋体" w:eastAsia="宋体" w:cs="宋体"/>
          <w:highlight w:val="none"/>
        </w:rPr>
      </w:pPr>
      <w:r>
        <w:rPr>
          <w:rFonts w:hint="eastAsia" w:ascii="宋体" w:hAnsi="宋体" w:eastAsia="宋体" w:cs="宋体"/>
          <w:highlight w:val="none"/>
        </w:rPr>
        <w:t>提出质疑的日期。</w:t>
      </w:r>
    </w:p>
    <w:p w14:paraId="5B860B51">
      <w:pPr>
        <w:spacing w:line="360" w:lineRule="auto"/>
        <w:ind w:firstLine="422" w:firstLineChars="200"/>
        <w:rPr>
          <w:rFonts w:ascii="宋体" w:hAnsi="宋体" w:eastAsia="宋体" w:cs="宋体"/>
          <w:b/>
          <w:bCs/>
          <w:highlight w:val="none"/>
          <w:u w:val="single"/>
        </w:rPr>
      </w:pPr>
      <w:r>
        <w:rPr>
          <w:rFonts w:hint="eastAsia" w:ascii="宋体" w:hAnsi="宋体" w:eastAsia="宋体" w:cs="宋体"/>
          <w:b/>
          <w:bCs/>
          <w:highlight w:val="none"/>
          <w:u w:val="single"/>
        </w:rPr>
        <w:t>质疑书实行实名制，并提交由法定代表人（负责人）或其授权代理人签字并加盖单位章的原件。</w:t>
      </w:r>
    </w:p>
    <w:p w14:paraId="7E119111">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22.3采购人、采购代理机构将在收到磋商申请人的书面质疑后七个工作日内作出书面答复，但答复的内容不涉及商业秘密。</w:t>
      </w:r>
    </w:p>
    <w:p w14:paraId="5A41BCED">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22.4参与政府采购活动的磋商申请人对磋商过程或者结果提出质疑的，采购人或采购代理机构可以组织原磋商小组协助处理质疑事项，并依据磋商小组出具的意见进行答复。质疑答复导致成交结果改变的，采购人或采购代理机构应当将相关情况报财政部门备案。</w:t>
      </w:r>
    </w:p>
    <w:p w14:paraId="3B4DC701">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22.5投诉人必须首先经过质疑程序，在对采购人、采购代理机构的答复不满意，或者采购人、采购代理机构未在规定的时间内作出答复的，可以在答复期满后十五个工作日内书面向保山市政府采购监督管理部门投诉。</w:t>
      </w:r>
    </w:p>
    <w:p w14:paraId="17F1BAED">
      <w:pPr>
        <w:pStyle w:val="35"/>
        <w:numPr>
          <w:ilvl w:val="1"/>
          <w:numId w:val="3"/>
        </w:numPr>
        <w:spacing w:line="360" w:lineRule="auto"/>
        <w:ind w:left="0" w:firstLine="602"/>
        <w:rPr>
          <w:rFonts w:ascii="宋体" w:hAnsi="宋体" w:eastAsia="宋体" w:cs="宋体"/>
          <w:b/>
          <w:sz w:val="30"/>
          <w:szCs w:val="30"/>
          <w:highlight w:val="none"/>
        </w:rPr>
      </w:pPr>
      <w:bookmarkStart w:id="147" w:name="_Toc86124075"/>
      <w:bookmarkStart w:id="148" w:name="_Toc383175503"/>
      <w:bookmarkStart w:id="149" w:name="_Toc383175305"/>
      <w:bookmarkStart w:id="150" w:name="_Toc7252761"/>
      <w:bookmarkStart w:id="151" w:name="_Toc383175081"/>
      <w:bookmarkStart w:id="152" w:name="_Toc329810216"/>
      <w:r>
        <w:rPr>
          <w:rFonts w:hint="eastAsia" w:ascii="宋体" w:hAnsi="宋体" w:eastAsia="宋体" w:cs="宋体"/>
          <w:b/>
          <w:sz w:val="30"/>
          <w:szCs w:val="30"/>
          <w:highlight w:val="none"/>
        </w:rPr>
        <w:t>采购代理服务费</w:t>
      </w:r>
      <w:bookmarkEnd w:id="147"/>
      <w:bookmarkEnd w:id="148"/>
      <w:bookmarkEnd w:id="149"/>
      <w:bookmarkEnd w:id="150"/>
      <w:bookmarkEnd w:id="151"/>
      <w:bookmarkEnd w:id="152"/>
    </w:p>
    <w:p w14:paraId="183EFAAA">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23.1采购代理服务费由采购代理机构向成交人收取，收取标准详见“</w:t>
      </w:r>
      <w:r>
        <w:rPr>
          <w:rFonts w:hint="eastAsia" w:ascii="宋体" w:hAnsi="宋体" w:eastAsia="宋体" w:cs="宋体"/>
          <w:b/>
          <w:bCs/>
          <w:highlight w:val="none"/>
        </w:rPr>
        <w:t>磋商申请人须知前附表</w:t>
      </w:r>
      <w:r>
        <w:rPr>
          <w:rFonts w:hint="eastAsia" w:ascii="宋体" w:hAnsi="宋体" w:eastAsia="宋体" w:cs="宋体"/>
          <w:highlight w:val="none"/>
        </w:rPr>
        <w:t>”。</w:t>
      </w:r>
    </w:p>
    <w:p w14:paraId="05BED9E3">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23.2成交人应在接受“</w:t>
      </w:r>
      <w:r>
        <w:rPr>
          <w:rFonts w:hint="eastAsia" w:ascii="宋体" w:hAnsi="宋体" w:eastAsia="宋体" w:cs="宋体"/>
          <w:b/>
          <w:bCs/>
          <w:highlight w:val="none"/>
        </w:rPr>
        <w:t>成交通知书</w:t>
      </w:r>
      <w:r>
        <w:rPr>
          <w:rFonts w:hint="eastAsia" w:ascii="宋体" w:hAnsi="宋体" w:eastAsia="宋体" w:cs="宋体"/>
          <w:highlight w:val="none"/>
        </w:rPr>
        <w:t>”时向采购代理机构一次付清代理服务费。</w:t>
      </w:r>
    </w:p>
    <w:p w14:paraId="493A986A">
      <w:pPr>
        <w:pStyle w:val="35"/>
        <w:numPr>
          <w:ilvl w:val="1"/>
          <w:numId w:val="3"/>
        </w:numPr>
        <w:spacing w:line="360" w:lineRule="auto"/>
        <w:ind w:left="0" w:firstLine="602"/>
        <w:rPr>
          <w:rFonts w:ascii="宋体" w:hAnsi="宋体" w:eastAsia="宋体" w:cs="宋体"/>
          <w:b/>
          <w:sz w:val="30"/>
          <w:szCs w:val="30"/>
          <w:highlight w:val="none"/>
        </w:rPr>
      </w:pPr>
      <w:bookmarkStart w:id="153" w:name="_Toc383175504"/>
      <w:bookmarkStart w:id="154" w:name="_Toc383175306"/>
      <w:bookmarkStart w:id="155" w:name="_Toc329810217"/>
      <w:bookmarkStart w:id="156" w:name="_Toc383175082"/>
      <w:bookmarkStart w:id="157" w:name="_Toc7252762"/>
      <w:r>
        <w:rPr>
          <w:rFonts w:hint="eastAsia" w:ascii="宋体" w:hAnsi="宋体" w:eastAsia="宋体" w:cs="宋体"/>
          <w:b/>
          <w:sz w:val="30"/>
          <w:szCs w:val="30"/>
          <w:highlight w:val="none"/>
        </w:rPr>
        <w:t>磋商文件编制依据</w:t>
      </w:r>
      <w:bookmarkEnd w:id="153"/>
      <w:bookmarkEnd w:id="154"/>
      <w:bookmarkEnd w:id="155"/>
      <w:bookmarkEnd w:id="156"/>
      <w:bookmarkEnd w:id="157"/>
    </w:p>
    <w:p w14:paraId="22EB4CCF">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本磋商文件是根据《中华人民共和国政府采购法》及相关法律法规编制。</w:t>
      </w:r>
    </w:p>
    <w:p w14:paraId="52444BCD">
      <w:pPr>
        <w:pStyle w:val="35"/>
        <w:numPr>
          <w:ilvl w:val="1"/>
          <w:numId w:val="3"/>
        </w:numPr>
        <w:spacing w:line="360" w:lineRule="auto"/>
        <w:ind w:left="0" w:firstLine="602"/>
        <w:rPr>
          <w:rFonts w:ascii="宋体" w:hAnsi="宋体" w:eastAsia="宋体" w:cs="宋体"/>
          <w:b/>
          <w:sz w:val="30"/>
          <w:szCs w:val="30"/>
          <w:highlight w:val="none"/>
        </w:rPr>
      </w:pPr>
      <w:bookmarkStart w:id="158" w:name="_Toc383175307"/>
      <w:bookmarkStart w:id="159" w:name="_Toc329810218"/>
      <w:bookmarkStart w:id="160" w:name="_Toc7252763"/>
      <w:bookmarkStart w:id="161" w:name="_Toc86124077"/>
      <w:bookmarkStart w:id="162" w:name="_Toc383175083"/>
      <w:bookmarkStart w:id="163" w:name="_Toc383175505"/>
      <w:r>
        <w:rPr>
          <w:rFonts w:hint="eastAsia" w:ascii="宋体" w:hAnsi="宋体" w:eastAsia="宋体" w:cs="宋体"/>
          <w:b/>
          <w:sz w:val="30"/>
          <w:szCs w:val="30"/>
          <w:highlight w:val="none"/>
        </w:rPr>
        <w:t>需要补充的其他内容</w:t>
      </w:r>
      <w:bookmarkEnd w:id="158"/>
      <w:bookmarkEnd w:id="159"/>
      <w:bookmarkEnd w:id="160"/>
      <w:bookmarkEnd w:id="161"/>
      <w:bookmarkEnd w:id="162"/>
      <w:bookmarkEnd w:id="163"/>
    </w:p>
    <w:p w14:paraId="6586348D">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25.1需要补充的其他内容：见“</w:t>
      </w:r>
      <w:r>
        <w:rPr>
          <w:rFonts w:hint="eastAsia" w:ascii="宋体" w:hAnsi="宋体" w:eastAsia="宋体" w:cs="宋体"/>
          <w:b/>
          <w:bCs/>
          <w:highlight w:val="none"/>
        </w:rPr>
        <w:t>磋商申请人须知前附表</w:t>
      </w:r>
      <w:r>
        <w:rPr>
          <w:rFonts w:hint="eastAsia" w:ascii="宋体" w:hAnsi="宋体" w:eastAsia="宋体" w:cs="宋体"/>
          <w:highlight w:val="none"/>
        </w:rPr>
        <w:t>”。</w:t>
      </w:r>
    </w:p>
    <w:p w14:paraId="08E8EE0F">
      <w:pPr>
        <w:pStyle w:val="35"/>
        <w:numPr>
          <w:ilvl w:val="1"/>
          <w:numId w:val="3"/>
        </w:numPr>
        <w:spacing w:line="360" w:lineRule="auto"/>
        <w:ind w:left="0" w:firstLine="602"/>
        <w:rPr>
          <w:rFonts w:ascii="宋体" w:hAnsi="宋体" w:eastAsia="宋体" w:cs="宋体"/>
          <w:b/>
          <w:sz w:val="30"/>
          <w:szCs w:val="30"/>
          <w:highlight w:val="none"/>
        </w:rPr>
      </w:pPr>
      <w:bookmarkStart w:id="164" w:name="_Toc7252765"/>
      <w:r>
        <w:rPr>
          <w:rFonts w:hint="eastAsia" w:ascii="宋体" w:hAnsi="宋体" w:eastAsia="宋体" w:cs="宋体"/>
          <w:b/>
          <w:sz w:val="30"/>
          <w:szCs w:val="30"/>
          <w:highlight w:val="none"/>
        </w:rPr>
        <w:t>特殊事项处理法律依据：</w:t>
      </w:r>
      <w:bookmarkEnd w:id="164"/>
    </w:p>
    <w:p w14:paraId="7F0B81FD">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《中华人民共和国政府采购法》、《中华人民共和国政府采购法实施条例》、《财政部令第87号、94号、101号》、《政府采购竞争性磋商采购方式管理暂行办法》的相关规定及相关法规性文件。</w:t>
      </w:r>
    </w:p>
    <w:p w14:paraId="5319CB4A">
      <w:pPr>
        <w:widowControl/>
        <w:spacing w:line="450" w:lineRule="exact"/>
        <w:jc w:val="left"/>
        <w:rPr>
          <w:rFonts w:ascii="宋体" w:hAnsi="宋体" w:eastAsia="宋体" w:cs="宋体"/>
          <w:highlight w:val="none"/>
        </w:rPr>
      </w:pPr>
      <w:r>
        <w:rPr>
          <w:rFonts w:hint="eastAsia" w:ascii="宋体" w:hAnsi="宋体" w:eastAsia="宋体" w:cs="宋体"/>
          <w:highlight w:val="none"/>
        </w:rPr>
        <w:br w:type="page"/>
      </w:r>
    </w:p>
    <w:p w14:paraId="1D8FA413">
      <w:pPr>
        <w:pStyle w:val="3"/>
        <w:spacing w:line="360" w:lineRule="auto"/>
        <w:jc w:val="center"/>
        <w:rPr>
          <w:rFonts w:hint="eastAsia" w:ascii="宋体" w:hAnsi="宋体" w:eastAsia="宋体" w:cs="宋体"/>
          <w:color w:val="auto"/>
          <w:sz w:val="32"/>
          <w:szCs w:val="32"/>
          <w:highlight w:val="none"/>
        </w:rPr>
      </w:pPr>
      <w:bookmarkStart w:id="165" w:name="_Toc7252767"/>
      <w:bookmarkStart w:id="166" w:name="_Toc119421975"/>
      <w:r>
        <w:rPr>
          <w:rFonts w:hint="eastAsia" w:ascii="宋体" w:hAnsi="宋体" w:eastAsia="宋体" w:cs="宋体"/>
          <w:color w:val="auto"/>
          <w:sz w:val="32"/>
          <w:szCs w:val="32"/>
          <w:highlight w:val="none"/>
        </w:rPr>
        <w:t>第三章 合同书样式</w:t>
      </w:r>
      <w:bookmarkEnd w:id="165"/>
      <w:r>
        <w:rPr>
          <w:rFonts w:hint="eastAsia" w:ascii="宋体" w:hAnsi="宋体" w:eastAsia="宋体" w:cs="宋体"/>
          <w:color w:val="auto"/>
          <w:sz w:val="32"/>
          <w:szCs w:val="32"/>
          <w:highlight w:val="none"/>
        </w:rPr>
        <w:t>（参考文本）</w:t>
      </w:r>
      <w:bookmarkEnd w:id="166"/>
    </w:p>
    <w:p w14:paraId="6868D6A8">
      <w:pPr>
        <w:jc w:val="center"/>
        <w:rPr>
          <w:highlight w:val="none"/>
        </w:rPr>
      </w:pPr>
      <w:r>
        <w:rPr>
          <w:rFonts w:hint="eastAsia" w:ascii="宋体" w:hAnsi="宋体" w:eastAsia="宋体" w:cs="宋体"/>
          <w:b/>
          <w:sz w:val="24"/>
          <w:highlight w:val="none"/>
        </w:rPr>
        <w:t>本合同为参考范本，以实际签署的为准。</w:t>
      </w:r>
    </w:p>
    <w:p w14:paraId="022433A4">
      <w:pPr>
        <w:pStyle w:val="2"/>
        <w:rPr>
          <w:highlight w:val="none"/>
        </w:rPr>
      </w:pPr>
    </w:p>
    <w:tbl>
      <w:tblPr>
        <w:tblStyle w:val="27"/>
        <w:tblW w:w="9840" w:type="dxa"/>
        <w:jc w:val="center"/>
        <w:tblCellSpacing w:w="0" w:type="dxa"/>
        <w:tblLayout w:type="fixed"/>
        <w:tblCellMar>
          <w:top w:w="0" w:type="dxa"/>
          <w:left w:w="0" w:type="dxa"/>
          <w:bottom w:w="0" w:type="dxa"/>
          <w:right w:w="0" w:type="dxa"/>
        </w:tblCellMar>
      </w:tblPr>
      <w:tblGrid>
        <w:gridCol w:w="9840"/>
      </w:tblGrid>
      <w:tr w14:paraId="4C3D8C7A">
        <w:tblPrEx>
          <w:tblCellMar>
            <w:top w:w="0" w:type="dxa"/>
            <w:left w:w="0" w:type="dxa"/>
            <w:bottom w:w="0" w:type="dxa"/>
            <w:right w:w="0" w:type="dxa"/>
          </w:tblCellMar>
        </w:tblPrEx>
        <w:trPr>
          <w:trHeight w:val="1230" w:hRule="atLeast"/>
          <w:tblCellSpacing w:w="0" w:type="dxa"/>
          <w:jc w:val="center"/>
        </w:trPr>
        <w:tc>
          <w:tcPr>
            <w:tcW w:w="9840" w:type="dxa"/>
            <w:vAlign w:val="center"/>
          </w:tcPr>
          <w:tbl>
            <w:tblPr>
              <w:tblStyle w:val="27"/>
              <w:tblW w:w="9750" w:type="dxa"/>
              <w:tblCellSpacing w:w="0" w:type="dxa"/>
              <w:tblInd w:w="0" w:type="dxa"/>
              <w:tblLayout w:type="fixed"/>
              <w:tblCellMar>
                <w:top w:w="0" w:type="dxa"/>
                <w:left w:w="0" w:type="dxa"/>
                <w:bottom w:w="0" w:type="dxa"/>
                <w:right w:w="0" w:type="dxa"/>
              </w:tblCellMar>
            </w:tblPr>
            <w:tblGrid>
              <w:gridCol w:w="1306"/>
              <w:gridCol w:w="1281"/>
              <w:gridCol w:w="1590"/>
              <w:gridCol w:w="996"/>
              <w:gridCol w:w="1138"/>
              <w:gridCol w:w="1305"/>
              <w:gridCol w:w="2134"/>
            </w:tblGrid>
            <w:tr w14:paraId="4CF53775">
              <w:tblPrEx>
                <w:tblCellMar>
                  <w:top w:w="0" w:type="dxa"/>
                  <w:left w:w="0" w:type="dxa"/>
                  <w:bottom w:w="0" w:type="dxa"/>
                  <w:right w:w="0" w:type="dxa"/>
                </w:tblCellMar>
              </w:tblPrEx>
              <w:trPr>
                <w:tblCellSpacing w:w="0" w:type="dxa"/>
              </w:trPr>
              <w:tc>
                <w:tcPr>
                  <w:tcW w:w="1306" w:type="dxa"/>
                  <w:vAlign w:val="center"/>
                </w:tcPr>
                <w:p w14:paraId="59FC2700">
                  <w:pPr>
                    <w:widowControl/>
                    <w:jc w:val="right"/>
                    <w:rPr>
                      <w:rFonts w:hAnsi="宋体" w:cs="宋体"/>
                      <w:kern w:val="0"/>
                      <w:sz w:val="24"/>
                      <w:highlight w:val="none"/>
                    </w:rPr>
                  </w:pPr>
                  <w:bookmarkStart w:id="167" w:name="_Toc36021205"/>
                  <w:r>
                    <w:rPr>
                      <w:rFonts w:hint="eastAsia" w:ascii="仿宋_GB2312" w:hAnsi="宋体" w:cs="Arial"/>
                      <w:kern w:val="0"/>
                      <w:sz w:val="24"/>
                      <w:highlight w:val="none"/>
                    </w:rPr>
                    <w:t>合同编号：</w:t>
                  </w:r>
                </w:p>
              </w:tc>
              <w:tc>
                <w:tcPr>
                  <w:tcW w:w="1281" w:type="dxa"/>
                  <w:vAlign w:val="center"/>
                </w:tcPr>
                <w:p w14:paraId="384FB421">
                  <w:pPr>
                    <w:widowControl/>
                    <w:jc w:val="left"/>
                    <w:rPr>
                      <w:rFonts w:hAnsi="宋体" w:cs="宋体"/>
                      <w:kern w:val="0"/>
                      <w:sz w:val="24"/>
                      <w:highlight w:val="none"/>
                    </w:rPr>
                  </w:pPr>
                </w:p>
              </w:tc>
              <w:tc>
                <w:tcPr>
                  <w:tcW w:w="1590" w:type="dxa"/>
                  <w:vAlign w:val="center"/>
                </w:tcPr>
                <w:p w14:paraId="3D281757">
                  <w:pPr>
                    <w:widowControl/>
                    <w:jc w:val="right"/>
                    <w:rPr>
                      <w:rFonts w:hAnsi="宋体" w:cs="宋体"/>
                      <w:kern w:val="0"/>
                      <w:sz w:val="24"/>
                      <w:highlight w:val="none"/>
                    </w:rPr>
                  </w:pPr>
                  <w:r>
                    <w:rPr>
                      <w:rFonts w:hint="eastAsia" w:ascii="仿宋_GB2312" w:hAnsi="宋体" w:cs="Arial"/>
                      <w:kern w:val="0"/>
                      <w:sz w:val="24"/>
                      <w:highlight w:val="none"/>
                    </w:rPr>
                    <w:t>合同自编号</w:t>
                  </w:r>
                  <w:r>
                    <w:rPr>
                      <w:rFonts w:hAnsi="宋体" w:cs="宋体"/>
                      <w:kern w:val="0"/>
                      <w:sz w:val="24"/>
                      <w:highlight w:val="none"/>
                    </w:rPr>
                    <w:t>：</w:t>
                  </w:r>
                </w:p>
              </w:tc>
              <w:tc>
                <w:tcPr>
                  <w:tcW w:w="996" w:type="dxa"/>
                  <w:vAlign w:val="center"/>
                </w:tcPr>
                <w:p w14:paraId="08D50FC5">
                  <w:pPr>
                    <w:widowControl/>
                    <w:jc w:val="left"/>
                    <w:rPr>
                      <w:rFonts w:hAnsi="宋体" w:cs="宋体"/>
                      <w:kern w:val="0"/>
                      <w:sz w:val="24"/>
                      <w:highlight w:val="none"/>
                    </w:rPr>
                  </w:pPr>
                </w:p>
              </w:tc>
              <w:tc>
                <w:tcPr>
                  <w:tcW w:w="1138" w:type="dxa"/>
                  <w:vAlign w:val="center"/>
                </w:tcPr>
                <w:p w14:paraId="4C7D83B3">
                  <w:pPr>
                    <w:widowControl/>
                    <w:jc w:val="left"/>
                    <w:rPr>
                      <w:rFonts w:hAnsi="宋体" w:cs="宋体"/>
                      <w:kern w:val="0"/>
                      <w:sz w:val="24"/>
                      <w:highlight w:val="none"/>
                    </w:rPr>
                  </w:pPr>
                </w:p>
              </w:tc>
              <w:tc>
                <w:tcPr>
                  <w:tcW w:w="1305" w:type="dxa"/>
                  <w:vAlign w:val="center"/>
                </w:tcPr>
                <w:p w14:paraId="26767DA2">
                  <w:pPr>
                    <w:widowControl/>
                    <w:spacing w:before="100" w:beforeAutospacing="1" w:after="100" w:afterAutospacing="1"/>
                    <w:jc w:val="left"/>
                    <w:rPr>
                      <w:rFonts w:hAnsi="宋体" w:cs="宋体"/>
                      <w:kern w:val="0"/>
                      <w:sz w:val="24"/>
                      <w:highlight w:val="none"/>
                    </w:rPr>
                  </w:pPr>
                  <w:r>
                    <w:rPr>
                      <w:rFonts w:hint="eastAsia" w:ascii="仿宋_GB2312" w:hAnsi="宋体" w:cs="Arial"/>
                      <w:kern w:val="0"/>
                      <w:sz w:val="24"/>
                      <w:highlight w:val="none"/>
                    </w:rPr>
                    <w:t>招标编号</w:t>
                  </w:r>
                  <w:r>
                    <w:rPr>
                      <w:rFonts w:hAnsi="宋体" w:cs="宋体"/>
                      <w:kern w:val="0"/>
                      <w:sz w:val="24"/>
                      <w:highlight w:val="none"/>
                    </w:rPr>
                    <w:t xml:space="preserve">： </w:t>
                  </w:r>
                </w:p>
              </w:tc>
              <w:tc>
                <w:tcPr>
                  <w:tcW w:w="2134" w:type="dxa"/>
                  <w:vAlign w:val="center"/>
                </w:tcPr>
                <w:p w14:paraId="11453667">
                  <w:pPr>
                    <w:widowControl/>
                    <w:jc w:val="left"/>
                    <w:rPr>
                      <w:rFonts w:hAnsi="宋体" w:cs="宋体"/>
                      <w:kern w:val="0"/>
                      <w:sz w:val="24"/>
                      <w:highlight w:val="none"/>
                    </w:rPr>
                  </w:pPr>
                </w:p>
              </w:tc>
            </w:tr>
          </w:tbl>
          <w:p w14:paraId="45AA7B3C">
            <w:pPr>
              <w:pStyle w:val="2"/>
              <w:rPr>
                <w:highlight w:val="none"/>
              </w:rPr>
            </w:pPr>
          </w:p>
        </w:tc>
      </w:tr>
      <w:tr w14:paraId="5FF38B54">
        <w:tblPrEx>
          <w:tblCellMar>
            <w:top w:w="0" w:type="dxa"/>
            <w:left w:w="0" w:type="dxa"/>
            <w:bottom w:w="0" w:type="dxa"/>
            <w:right w:w="0" w:type="dxa"/>
          </w:tblCellMar>
        </w:tblPrEx>
        <w:trPr>
          <w:trHeight w:val="1062" w:hRule="atLeast"/>
          <w:tblCellSpacing w:w="0" w:type="dxa"/>
          <w:jc w:val="center"/>
        </w:trPr>
        <w:tc>
          <w:tcPr>
            <w:tcW w:w="9840" w:type="dxa"/>
            <w:vAlign w:val="center"/>
          </w:tcPr>
          <w:p w14:paraId="238933BB">
            <w:pPr>
              <w:widowControl/>
              <w:spacing w:after="240"/>
              <w:jc w:val="left"/>
              <w:rPr>
                <w:highlight w:val="none"/>
              </w:rPr>
            </w:pPr>
            <w:r>
              <w:rPr>
                <w:rFonts w:hint="eastAsia" w:ascii="仿宋_GB2312" w:hAnsi="宋体" w:cs="Arial"/>
                <w:kern w:val="0"/>
                <w:sz w:val="24"/>
                <w:highlight w:val="none"/>
              </w:rPr>
              <w:t>●本合同须加盖甲乙双方骑缝章有效</w:t>
            </w:r>
          </w:p>
        </w:tc>
      </w:tr>
      <w:tr w14:paraId="1B830FB3">
        <w:tblPrEx>
          <w:tblCellMar>
            <w:top w:w="0" w:type="dxa"/>
            <w:left w:w="0" w:type="dxa"/>
            <w:bottom w:w="0" w:type="dxa"/>
            <w:right w:w="0" w:type="dxa"/>
          </w:tblCellMar>
        </w:tblPrEx>
        <w:trPr>
          <w:trHeight w:val="781" w:hRule="atLeast"/>
          <w:tblCellSpacing w:w="0" w:type="dxa"/>
          <w:jc w:val="center"/>
        </w:trPr>
        <w:tc>
          <w:tcPr>
            <w:tcW w:w="9840" w:type="dxa"/>
            <w:vAlign w:val="center"/>
          </w:tcPr>
          <w:p w14:paraId="44B1F3E9">
            <w:pPr>
              <w:widowControl/>
              <w:spacing w:after="240"/>
              <w:jc w:val="center"/>
              <w:rPr>
                <w:rFonts w:hAnsi="宋体" w:cs="宋体"/>
                <w:kern w:val="0"/>
                <w:sz w:val="24"/>
                <w:highlight w:val="none"/>
              </w:rPr>
            </w:pPr>
            <w:r>
              <w:rPr>
                <w:rFonts w:hint="eastAsia" w:ascii="黑体" w:hAnsi="黑体" w:eastAsia="黑体" w:cs="宋体"/>
                <w:kern w:val="0"/>
                <w:sz w:val="39"/>
                <w:szCs w:val="39"/>
                <w:highlight w:val="none"/>
              </w:rPr>
              <w:t>云南省政府采购</w:t>
            </w:r>
          </w:p>
        </w:tc>
      </w:tr>
      <w:tr w14:paraId="04CC8771">
        <w:tblPrEx>
          <w:tblCellMar>
            <w:top w:w="0" w:type="dxa"/>
            <w:left w:w="0" w:type="dxa"/>
            <w:bottom w:w="0" w:type="dxa"/>
            <w:right w:w="0" w:type="dxa"/>
          </w:tblCellMar>
        </w:tblPrEx>
        <w:trPr>
          <w:trHeight w:val="1314" w:hRule="atLeast"/>
          <w:tblCellSpacing w:w="0" w:type="dxa"/>
          <w:jc w:val="center"/>
        </w:trPr>
        <w:tc>
          <w:tcPr>
            <w:tcW w:w="9840" w:type="dxa"/>
            <w:vAlign w:val="center"/>
          </w:tcPr>
          <w:p w14:paraId="39BDA82D">
            <w:pPr>
              <w:widowControl/>
              <w:spacing w:after="240"/>
              <w:jc w:val="center"/>
              <w:rPr>
                <w:highlight w:val="none"/>
              </w:rPr>
            </w:pPr>
            <w:r>
              <w:rPr>
                <w:rFonts w:hAnsi="宋体" w:cs="宋体"/>
                <w:kern w:val="0"/>
                <w:sz w:val="24"/>
                <w:highlight w:val="none"/>
              </w:rPr>
              <w:t xml:space="preserve">（委托采购） </w:t>
            </w:r>
          </w:p>
        </w:tc>
      </w:tr>
      <w:tr w14:paraId="14290951">
        <w:tblPrEx>
          <w:tblCellMar>
            <w:top w:w="0" w:type="dxa"/>
            <w:left w:w="0" w:type="dxa"/>
            <w:bottom w:w="0" w:type="dxa"/>
            <w:right w:w="0" w:type="dxa"/>
          </w:tblCellMar>
        </w:tblPrEx>
        <w:trPr>
          <w:trHeight w:val="1108" w:hRule="atLeast"/>
          <w:tblCellSpacing w:w="0" w:type="dxa"/>
          <w:jc w:val="center"/>
        </w:trPr>
        <w:tc>
          <w:tcPr>
            <w:tcW w:w="9840" w:type="dxa"/>
            <w:vAlign w:val="center"/>
          </w:tcPr>
          <w:p w14:paraId="069BFE1F">
            <w:pPr>
              <w:widowControl/>
              <w:spacing w:after="240"/>
              <w:jc w:val="center"/>
              <w:rPr>
                <w:rFonts w:hAnsi="宋体" w:cs="宋体"/>
                <w:kern w:val="0"/>
                <w:sz w:val="24"/>
                <w:highlight w:val="none"/>
              </w:rPr>
            </w:pPr>
            <w:r>
              <w:rPr>
                <w:rFonts w:hint="eastAsia" w:ascii="黑体" w:hAnsi="黑体" w:eastAsia="黑体" w:cs="Arial"/>
                <w:kern w:val="0"/>
                <w:sz w:val="63"/>
                <w:szCs w:val="63"/>
                <w:highlight w:val="none"/>
              </w:rPr>
              <w:t>合</w:t>
            </w:r>
          </w:p>
        </w:tc>
      </w:tr>
      <w:tr w14:paraId="1F818503">
        <w:tblPrEx>
          <w:tblCellMar>
            <w:top w:w="0" w:type="dxa"/>
            <w:left w:w="0" w:type="dxa"/>
            <w:bottom w:w="0" w:type="dxa"/>
            <w:right w:w="0" w:type="dxa"/>
          </w:tblCellMar>
        </w:tblPrEx>
        <w:trPr>
          <w:trHeight w:val="1108" w:hRule="atLeast"/>
          <w:tblCellSpacing w:w="0" w:type="dxa"/>
          <w:jc w:val="center"/>
        </w:trPr>
        <w:tc>
          <w:tcPr>
            <w:tcW w:w="9840" w:type="dxa"/>
            <w:vAlign w:val="center"/>
          </w:tcPr>
          <w:p w14:paraId="0F41E169">
            <w:pPr>
              <w:widowControl/>
              <w:spacing w:after="240"/>
              <w:jc w:val="center"/>
              <w:rPr>
                <w:rFonts w:hAnsi="宋体" w:cs="宋体"/>
                <w:kern w:val="0"/>
                <w:sz w:val="24"/>
                <w:highlight w:val="none"/>
              </w:rPr>
            </w:pPr>
            <w:r>
              <w:rPr>
                <w:rFonts w:hint="eastAsia" w:ascii="黑体" w:hAnsi="黑体" w:eastAsia="黑体" w:cs="Arial"/>
                <w:kern w:val="0"/>
                <w:sz w:val="63"/>
                <w:szCs w:val="63"/>
                <w:highlight w:val="none"/>
              </w:rPr>
              <w:t>同</w:t>
            </w:r>
          </w:p>
        </w:tc>
      </w:tr>
      <w:tr w14:paraId="40C8134D">
        <w:tblPrEx>
          <w:tblCellMar>
            <w:top w:w="0" w:type="dxa"/>
            <w:left w:w="0" w:type="dxa"/>
            <w:bottom w:w="0" w:type="dxa"/>
            <w:right w:w="0" w:type="dxa"/>
          </w:tblCellMar>
        </w:tblPrEx>
        <w:trPr>
          <w:trHeight w:val="990" w:hRule="atLeast"/>
          <w:tblCellSpacing w:w="0" w:type="dxa"/>
          <w:jc w:val="center"/>
        </w:trPr>
        <w:tc>
          <w:tcPr>
            <w:tcW w:w="9840" w:type="dxa"/>
            <w:vAlign w:val="center"/>
          </w:tcPr>
          <w:p w14:paraId="65CB64BB">
            <w:pPr>
              <w:widowControl/>
              <w:spacing w:after="240"/>
              <w:jc w:val="center"/>
              <w:rPr>
                <w:highlight w:val="none"/>
              </w:rPr>
            </w:pPr>
            <w:r>
              <w:rPr>
                <w:rFonts w:hint="eastAsia" w:ascii="黑体" w:hAnsi="黑体" w:eastAsia="黑体" w:cs="Arial"/>
                <w:kern w:val="0"/>
                <w:sz w:val="63"/>
                <w:szCs w:val="63"/>
                <w:highlight w:val="none"/>
              </w:rPr>
              <w:t>书</w:t>
            </w:r>
          </w:p>
        </w:tc>
      </w:tr>
      <w:tr w14:paraId="6A12FDE8">
        <w:tblPrEx>
          <w:tblCellMar>
            <w:top w:w="0" w:type="dxa"/>
            <w:left w:w="0" w:type="dxa"/>
            <w:bottom w:w="0" w:type="dxa"/>
            <w:right w:w="0" w:type="dxa"/>
          </w:tblCellMar>
        </w:tblPrEx>
        <w:trPr>
          <w:trHeight w:val="619" w:hRule="atLeast"/>
          <w:tblCellSpacing w:w="0" w:type="dxa"/>
          <w:jc w:val="center"/>
        </w:trPr>
        <w:tc>
          <w:tcPr>
            <w:tcW w:w="9840" w:type="dxa"/>
            <w:vAlign w:val="center"/>
          </w:tcPr>
          <w:p w14:paraId="4D73877B">
            <w:pPr>
              <w:widowControl/>
              <w:spacing w:after="240"/>
              <w:jc w:val="center"/>
              <w:rPr>
                <w:rFonts w:hAnsi="宋体" w:cs="宋体"/>
                <w:kern w:val="0"/>
                <w:sz w:val="24"/>
                <w:highlight w:val="none"/>
              </w:rPr>
            </w:pPr>
            <w:r>
              <w:rPr>
                <w:rFonts w:hint="eastAsia" w:ascii="楷体_GB2312" w:hAnsi="宋体" w:eastAsia="楷体_GB2312" w:cs="宋体"/>
                <w:b/>
                <w:bCs/>
                <w:kern w:val="0"/>
                <w:sz w:val="27"/>
                <w:highlight w:val="none"/>
              </w:rPr>
              <w:t>签订地点：    </w:t>
            </w:r>
          </w:p>
        </w:tc>
      </w:tr>
      <w:tr w14:paraId="2FD3F19B">
        <w:tblPrEx>
          <w:tblCellMar>
            <w:top w:w="0" w:type="dxa"/>
            <w:left w:w="0" w:type="dxa"/>
            <w:bottom w:w="0" w:type="dxa"/>
            <w:right w:w="0" w:type="dxa"/>
          </w:tblCellMar>
        </w:tblPrEx>
        <w:trPr>
          <w:trHeight w:val="578" w:hRule="atLeast"/>
          <w:tblCellSpacing w:w="0" w:type="dxa"/>
          <w:jc w:val="center"/>
        </w:trPr>
        <w:tc>
          <w:tcPr>
            <w:tcW w:w="9840" w:type="dxa"/>
            <w:vAlign w:val="center"/>
          </w:tcPr>
          <w:p w14:paraId="2992CAEF">
            <w:pPr>
              <w:widowControl/>
              <w:spacing w:after="240"/>
              <w:jc w:val="center"/>
              <w:rPr>
                <w:rFonts w:hAnsi="宋体" w:cs="宋体"/>
                <w:kern w:val="0"/>
                <w:sz w:val="24"/>
                <w:highlight w:val="none"/>
              </w:rPr>
            </w:pPr>
          </w:p>
        </w:tc>
      </w:tr>
      <w:tr w14:paraId="41E1EE04">
        <w:tblPrEx>
          <w:tblCellMar>
            <w:top w:w="0" w:type="dxa"/>
            <w:left w:w="0" w:type="dxa"/>
            <w:bottom w:w="0" w:type="dxa"/>
            <w:right w:w="0" w:type="dxa"/>
          </w:tblCellMar>
        </w:tblPrEx>
        <w:trPr>
          <w:trHeight w:val="882" w:hRule="atLeast"/>
          <w:tblCellSpacing w:w="0" w:type="dxa"/>
          <w:jc w:val="center"/>
        </w:trPr>
        <w:tc>
          <w:tcPr>
            <w:tcW w:w="9840" w:type="dxa"/>
            <w:vAlign w:val="center"/>
          </w:tcPr>
          <w:p w14:paraId="28FEAB7F">
            <w:pPr>
              <w:widowControl/>
              <w:spacing w:before="100" w:beforeAutospacing="1" w:after="100" w:afterAutospacing="1"/>
              <w:jc w:val="center"/>
              <w:rPr>
                <w:rFonts w:hAnsi="宋体" w:cs="宋体"/>
                <w:kern w:val="0"/>
                <w:sz w:val="24"/>
                <w:highlight w:val="none"/>
              </w:rPr>
            </w:pPr>
            <w:r>
              <w:rPr>
                <w:rFonts w:hint="eastAsia" w:ascii="楷体_GB2312" w:hAnsi="宋体" w:eastAsia="楷体_GB2312" w:cs="Arial"/>
                <w:b/>
                <w:bCs/>
                <w:kern w:val="0"/>
                <w:sz w:val="27"/>
                <w:highlight w:val="none"/>
              </w:rPr>
              <w:t>云南省财政厅　制</w:t>
            </w:r>
          </w:p>
        </w:tc>
      </w:tr>
    </w:tbl>
    <w:p w14:paraId="1489A39B">
      <w:pPr>
        <w:autoSpaceDE w:val="0"/>
        <w:adjustRightInd w:val="0"/>
        <w:snapToGrid w:val="0"/>
        <w:spacing w:line="420" w:lineRule="exact"/>
        <w:rPr>
          <w:rFonts w:ascii="方正黑体_GBK" w:hAnsi="方正黑体_GBK"/>
          <w:b/>
          <w:bCs/>
          <w:sz w:val="24"/>
          <w:highlight w:val="none"/>
        </w:rPr>
      </w:pPr>
    </w:p>
    <w:p w14:paraId="16B35D61">
      <w:pPr>
        <w:spacing w:line="480" w:lineRule="exact"/>
        <w:jc w:val="center"/>
        <w:rPr>
          <w:rFonts w:hAnsi="宋体"/>
          <w:b/>
          <w:bCs/>
          <w:sz w:val="24"/>
          <w:highlight w:val="none"/>
        </w:rPr>
      </w:pPr>
    </w:p>
    <w:p w14:paraId="40320858">
      <w:pPr>
        <w:widowControl/>
        <w:jc w:val="center"/>
        <w:rPr>
          <w:rFonts w:hint="eastAsia" w:ascii="楷体" w:hAnsi="楷体" w:eastAsia="楷体" w:cs="楷体"/>
          <w:b/>
          <w:color w:val="000000"/>
          <w:kern w:val="0"/>
          <w:sz w:val="32"/>
          <w:szCs w:val="32"/>
          <w:highlight w:val="none"/>
          <w:lang w:bidi="ar"/>
        </w:rPr>
      </w:pPr>
      <w:r>
        <w:rPr>
          <w:rFonts w:hAnsi="宋体"/>
          <w:bCs/>
          <w:sz w:val="24"/>
          <w:highlight w:val="none"/>
        </w:rPr>
        <w:br w:type="page"/>
      </w:r>
      <w:bookmarkEnd w:id="167"/>
    </w:p>
    <w:p w14:paraId="73EE16FE">
      <w:pPr>
        <w:ind w:firstLine="643" w:firstLineChars="200"/>
        <w:rPr>
          <w:sz w:val="32"/>
          <w:szCs w:val="32"/>
          <w:highlight w:val="none"/>
        </w:rPr>
      </w:pPr>
      <w:r>
        <w:rPr>
          <w:rFonts w:hint="eastAsia" w:ascii="宋体" w:hAnsi="宋体" w:cs="宋体"/>
          <w:b/>
          <w:color w:val="000000"/>
          <w:kern w:val="0"/>
          <w:sz w:val="32"/>
          <w:szCs w:val="32"/>
          <w:highlight w:val="none"/>
          <w:lang w:bidi="ar"/>
        </w:rPr>
        <w:t>甲方：</w:t>
      </w:r>
      <w:r>
        <w:rPr>
          <w:rFonts w:hint="eastAsia" w:ascii="宋体" w:hAnsi="宋体" w:cs="宋体"/>
          <w:color w:val="000000"/>
          <w:kern w:val="0"/>
          <w:sz w:val="32"/>
          <w:szCs w:val="32"/>
          <w:highlight w:val="none"/>
          <w:lang w:bidi="ar"/>
        </w:rPr>
        <w:t xml:space="preserve"> </w:t>
      </w:r>
    </w:p>
    <w:p w14:paraId="32BBB25A">
      <w:pPr>
        <w:ind w:firstLine="643" w:firstLineChars="200"/>
        <w:rPr>
          <w:sz w:val="32"/>
          <w:szCs w:val="32"/>
          <w:highlight w:val="none"/>
        </w:rPr>
      </w:pPr>
      <w:r>
        <w:rPr>
          <w:rFonts w:hint="eastAsia" w:ascii="宋体" w:hAnsi="宋体" w:cs="宋体"/>
          <w:b/>
          <w:color w:val="000000"/>
          <w:kern w:val="0"/>
          <w:sz w:val="32"/>
          <w:szCs w:val="32"/>
          <w:highlight w:val="none"/>
          <w:lang w:bidi="ar"/>
        </w:rPr>
        <w:t>乙方：</w:t>
      </w:r>
    </w:p>
    <w:p w14:paraId="1531A1A3">
      <w:pPr>
        <w:ind w:firstLine="480" w:firstLineChars="200"/>
        <w:rPr>
          <w:rFonts w:hint="eastAsia" w:ascii="黑体" w:hAnsi="黑体" w:eastAsia="黑体" w:cs="黑体"/>
          <w:bCs/>
          <w:sz w:val="24"/>
          <w:szCs w:val="24"/>
          <w:highlight w:val="none"/>
        </w:rPr>
      </w:pPr>
      <w:r>
        <w:rPr>
          <w:rFonts w:hint="eastAsia" w:ascii="黑体" w:hAnsi="黑体" w:eastAsia="黑体" w:cs="黑体"/>
          <w:bCs/>
          <w:color w:val="000000"/>
          <w:kern w:val="0"/>
          <w:sz w:val="24"/>
          <w:szCs w:val="24"/>
          <w:highlight w:val="none"/>
          <w:lang w:bidi="ar"/>
        </w:rPr>
        <w:t xml:space="preserve">一、合同事宜 </w:t>
      </w:r>
    </w:p>
    <w:p w14:paraId="49634A0D">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甲乙双方依据《中华人民共和国民法典》，本着平等自愿、互惠互利的原则，经友好协商，就乙方向甲方提供税收辅助人员劳务派遣事宜达成如下协议: </w:t>
      </w:r>
    </w:p>
    <w:p w14:paraId="5DEF82E5">
      <w:pPr>
        <w:ind w:firstLine="480" w:firstLineChars="200"/>
        <w:rPr>
          <w:rFonts w:hint="eastAsia" w:ascii="黑体" w:hAnsi="黑体" w:eastAsia="黑体" w:cs="黑体"/>
          <w:bCs/>
          <w:sz w:val="24"/>
          <w:szCs w:val="24"/>
          <w:highlight w:val="none"/>
        </w:rPr>
      </w:pPr>
      <w:r>
        <w:rPr>
          <w:rFonts w:hint="eastAsia" w:ascii="黑体" w:hAnsi="黑体" w:eastAsia="黑体" w:cs="黑体"/>
          <w:bCs/>
          <w:color w:val="000000"/>
          <w:kern w:val="0"/>
          <w:sz w:val="24"/>
          <w:szCs w:val="24"/>
          <w:highlight w:val="none"/>
          <w:lang w:bidi="ar"/>
        </w:rPr>
        <w:t xml:space="preserve">二、合同总价 </w:t>
      </w:r>
    </w:p>
    <w:p w14:paraId="0DFC3643">
      <w:pPr>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bCs/>
          <w:color w:val="000000"/>
          <w:kern w:val="0"/>
          <w:sz w:val="24"/>
          <w:szCs w:val="24"/>
          <w:highlight w:val="none"/>
          <w:lang w:bidi="ar"/>
        </w:rPr>
        <w:t>本合同总价为人民币(大写)      ，（小写）    元。本合同总价款包含了  名税收辅助人员的劳务服务费等使税收辅助人员能够在甲方提供完整全面的劳务服务所发生的费用。其中，税收辅助人员的工资为     元/人/月、保险费为    元/人/月(包括单位缴纳养老保险、医疗保险、失业保险、工伤保险部分，实际支付以国家政策规定为准）、劳务派遣公司管理费  元/人/月等所有费用。</w:t>
      </w:r>
      <w:r>
        <w:rPr>
          <w:rFonts w:hint="eastAsia" w:ascii="仿宋_GB2312" w:hAnsi="仿宋_GB2312" w:eastAsia="仿宋_GB2312" w:cs="仿宋_GB2312"/>
          <w:color w:val="000000"/>
          <w:kern w:val="0"/>
          <w:sz w:val="24"/>
          <w:szCs w:val="24"/>
          <w:highlight w:val="none"/>
          <w:lang w:bidi="ar"/>
        </w:rPr>
        <w:t xml:space="preserve"> </w:t>
      </w:r>
    </w:p>
    <w:p w14:paraId="44122D60">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除每月固定发生的基本工资、社保费用、管理费用等固定费用外，因社平工资上涨等合法社保费用调整增加，提前与个人解除合同支付离职补偿金、支付确因工作需要出现的加班费等无法预计的费用则按照《劳动法》《社会保险法》等法律法规及合同约定据实支付。 </w:t>
      </w:r>
    </w:p>
    <w:p w14:paraId="6BE27F6B">
      <w:pPr>
        <w:ind w:firstLine="480" w:firstLineChars="200"/>
        <w:rPr>
          <w:rFonts w:hint="eastAsia" w:ascii="黑体" w:hAnsi="黑体" w:eastAsia="黑体" w:cs="黑体"/>
          <w:bCs/>
          <w:sz w:val="24"/>
          <w:szCs w:val="24"/>
          <w:highlight w:val="none"/>
        </w:rPr>
      </w:pPr>
      <w:r>
        <w:rPr>
          <w:rFonts w:hint="eastAsia" w:ascii="黑体" w:hAnsi="黑体" w:eastAsia="黑体" w:cs="黑体"/>
          <w:bCs/>
          <w:color w:val="000000"/>
          <w:kern w:val="0"/>
          <w:sz w:val="24"/>
          <w:szCs w:val="24"/>
          <w:highlight w:val="none"/>
          <w:lang w:bidi="ar"/>
        </w:rPr>
        <w:t xml:space="preserve">三、实际使用人数及工作内容 </w:t>
      </w:r>
    </w:p>
    <w:p w14:paraId="773ACB9E">
      <w:pPr>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FF"/>
          <w:kern w:val="0"/>
          <w:sz w:val="24"/>
          <w:szCs w:val="24"/>
          <w:highlight w:val="none"/>
          <w:lang w:bidi="ar"/>
        </w:rPr>
        <w:t xml:space="preserve">    </w:t>
      </w:r>
      <w:r>
        <w:rPr>
          <w:rFonts w:hint="eastAsia" w:ascii="仿宋_GB2312" w:hAnsi="仿宋_GB2312" w:eastAsia="仿宋_GB2312" w:cs="仿宋_GB2312"/>
          <w:color w:val="000000"/>
          <w:kern w:val="0"/>
          <w:sz w:val="24"/>
          <w:szCs w:val="24"/>
          <w:highlight w:val="none"/>
          <w:lang w:bidi="ar"/>
        </w:rPr>
        <w:t xml:space="preserve">人为初始人数，控制人员总量，实际人员数以考勤记录为准。 </w:t>
      </w:r>
    </w:p>
    <w:p w14:paraId="37667A03">
      <w:pPr>
        <w:ind w:firstLine="480" w:firstLineChars="200"/>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因国家政策调整及上级机关的有关要求，派往甲方税收辅助人员遵循“只出不进”原则。双方每月根据税收辅助人员的实际人数据实结算服务费用。</w:t>
      </w:r>
    </w:p>
    <w:p w14:paraId="206DB092">
      <w:pPr>
        <w:ind w:firstLine="480" w:firstLineChars="200"/>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税收辅助人员工作内容为辅助性、事务性工作，不安排从事税务行政执法、税收会统、票证管理、党务等国家规定的禁止临时人员从事的工作内容。</w:t>
      </w:r>
    </w:p>
    <w:p w14:paraId="594E73CC">
      <w:pPr>
        <w:ind w:firstLine="480" w:firstLineChars="200"/>
        <w:rPr>
          <w:rFonts w:hint="eastAsia" w:ascii="黑体" w:hAnsi="黑体" w:eastAsia="黑体" w:cs="黑体"/>
          <w:bCs/>
          <w:sz w:val="24"/>
          <w:szCs w:val="24"/>
          <w:highlight w:val="none"/>
        </w:rPr>
      </w:pPr>
      <w:r>
        <w:rPr>
          <w:rFonts w:hint="eastAsia" w:ascii="黑体" w:hAnsi="黑体" w:eastAsia="黑体" w:cs="黑体"/>
          <w:bCs/>
          <w:color w:val="000000"/>
          <w:kern w:val="0"/>
          <w:sz w:val="24"/>
          <w:szCs w:val="24"/>
          <w:highlight w:val="none"/>
          <w:lang w:bidi="ar"/>
        </w:rPr>
        <w:t xml:space="preserve">四、付款方式 </w:t>
      </w:r>
    </w:p>
    <w:p w14:paraId="16025977">
      <w:pPr>
        <w:ind w:firstLine="482" w:firstLineChars="200"/>
        <w:rPr>
          <w:rFonts w:hint="eastAsia" w:ascii="仿宋_GB2312" w:hAnsi="仿宋_GB2312" w:eastAsia="仿宋_GB2312" w:cs="仿宋_GB2312"/>
          <w:sz w:val="24"/>
          <w:szCs w:val="24"/>
          <w:highlight w:val="none"/>
        </w:rPr>
      </w:pPr>
      <w:r>
        <w:rPr>
          <w:rFonts w:hint="eastAsia" w:ascii="宋体" w:hAnsi="宋体" w:cs="宋体"/>
          <w:b/>
          <w:bCs/>
          <w:color w:val="000000"/>
          <w:kern w:val="0"/>
          <w:sz w:val="24"/>
          <w:szCs w:val="24"/>
          <w:highlight w:val="none"/>
          <w:lang w:bidi="ar"/>
        </w:rPr>
        <w:t>本合同的付款方式为：</w:t>
      </w:r>
      <w:r>
        <w:rPr>
          <w:rFonts w:hint="eastAsia" w:ascii="宋体" w:hAnsi="宋体" w:cs="宋体"/>
          <w:b/>
          <w:bCs/>
          <w:color w:val="000000"/>
          <w:kern w:val="0"/>
          <w:sz w:val="24"/>
          <w:szCs w:val="24"/>
          <w:highlight w:val="none"/>
          <w:lang w:eastAsia="zh-CN" w:bidi="ar"/>
        </w:rPr>
        <w:t>第一次付款，在签订合同并收到履约保证金后，甲方支付乙方合同金额50%的款项；第二次付款，在服务期间内第个三季度，甲方支付乙方合同金额25%的款项；最后一次付款，在项目服务期满的最后一个季度内，并最终验收合格后，甲方支付乙方合同金额剩余25%的款项。本项目每年1月至4月份不办理合同付款事宜。</w:t>
      </w:r>
    </w:p>
    <w:p w14:paraId="74DA526A">
      <w:pPr>
        <w:ind w:firstLine="480" w:firstLineChars="200"/>
        <w:rPr>
          <w:rFonts w:hint="eastAsia" w:ascii="黑体" w:hAnsi="黑体" w:eastAsia="黑体" w:cs="黑体"/>
          <w:bCs/>
          <w:sz w:val="24"/>
          <w:szCs w:val="24"/>
          <w:highlight w:val="none"/>
        </w:rPr>
      </w:pPr>
      <w:r>
        <w:rPr>
          <w:rFonts w:hint="eastAsia" w:ascii="黑体" w:hAnsi="黑体" w:eastAsia="黑体" w:cs="黑体"/>
          <w:bCs/>
          <w:color w:val="000000"/>
          <w:kern w:val="0"/>
          <w:sz w:val="24"/>
          <w:szCs w:val="24"/>
          <w:highlight w:val="none"/>
          <w:lang w:bidi="ar"/>
        </w:rPr>
        <w:t xml:space="preserve">五、本合同服务时间及服务地点 </w:t>
      </w:r>
    </w:p>
    <w:p w14:paraId="6767BECB">
      <w:pPr>
        <w:ind w:firstLine="482" w:firstLineChars="200"/>
        <w:rPr>
          <w:sz w:val="24"/>
          <w:szCs w:val="24"/>
          <w:highlight w:val="none"/>
        </w:rPr>
      </w:pPr>
      <w:r>
        <w:rPr>
          <w:rFonts w:hint="eastAsia" w:ascii="宋体" w:hAnsi="宋体" w:cs="宋体"/>
          <w:b/>
          <w:bCs/>
          <w:color w:val="000000"/>
          <w:kern w:val="0"/>
          <w:sz w:val="24"/>
          <w:szCs w:val="24"/>
          <w:highlight w:val="none"/>
          <w:lang w:bidi="ar"/>
        </w:rPr>
        <w:t>服务时间：</w:t>
      </w:r>
      <w:r>
        <w:rPr>
          <w:rFonts w:hint="eastAsia" w:ascii="仿宋_GB2312" w:hAnsi="仿宋_GB2312" w:eastAsia="仿宋_GB2312" w:cs="仿宋_GB2312"/>
          <w:bCs/>
          <w:color w:val="000000"/>
          <w:kern w:val="0"/>
          <w:sz w:val="24"/>
          <w:szCs w:val="24"/>
          <w:highlight w:val="none"/>
          <w:lang w:bidi="ar"/>
        </w:rPr>
        <w:t xml:space="preserve">服务期限    年  月  日—    年  月  日 </w:t>
      </w:r>
    </w:p>
    <w:p w14:paraId="50642678">
      <w:pPr>
        <w:ind w:firstLine="482" w:firstLineChars="200"/>
        <w:rPr>
          <w:rFonts w:hint="eastAsia" w:ascii="仿宋_GB2312" w:hAnsi="仿宋_GB2312" w:eastAsia="仿宋_GB2312" w:cs="仿宋_GB2312"/>
          <w:bCs/>
          <w:color w:val="000000"/>
          <w:kern w:val="0"/>
          <w:sz w:val="24"/>
          <w:szCs w:val="24"/>
          <w:highlight w:val="none"/>
          <w:lang w:bidi="ar"/>
        </w:rPr>
      </w:pPr>
      <w:r>
        <w:rPr>
          <w:rFonts w:hint="eastAsia" w:ascii="宋体" w:hAnsi="宋体" w:cs="宋体"/>
          <w:b/>
          <w:bCs/>
          <w:color w:val="000000"/>
          <w:kern w:val="0"/>
          <w:sz w:val="24"/>
          <w:szCs w:val="24"/>
          <w:highlight w:val="none"/>
          <w:lang w:bidi="ar"/>
        </w:rPr>
        <w:t>服务地点：</w:t>
      </w:r>
    </w:p>
    <w:p w14:paraId="14C226FE">
      <w:pPr>
        <w:ind w:firstLine="480" w:firstLineChars="200"/>
        <w:rPr>
          <w:rFonts w:hint="eastAsia" w:ascii="黑体" w:hAnsi="黑体" w:eastAsia="黑体" w:cs="黑体"/>
          <w:bCs/>
          <w:sz w:val="24"/>
          <w:szCs w:val="24"/>
          <w:highlight w:val="none"/>
        </w:rPr>
      </w:pPr>
      <w:r>
        <w:rPr>
          <w:rFonts w:hint="eastAsia" w:ascii="黑体" w:hAnsi="黑体" w:eastAsia="黑体" w:cs="黑体"/>
          <w:bCs/>
          <w:color w:val="000000"/>
          <w:kern w:val="0"/>
          <w:sz w:val="24"/>
          <w:szCs w:val="24"/>
          <w:highlight w:val="none"/>
          <w:lang w:bidi="ar"/>
        </w:rPr>
        <w:t xml:space="preserve">六、双方的权利与义务 </w:t>
      </w:r>
    </w:p>
    <w:p w14:paraId="23F4A95E">
      <w:pPr>
        <w:ind w:firstLine="480" w:firstLineChars="200"/>
        <w:rPr>
          <w:rFonts w:hint="eastAsia" w:ascii="楷体_GB2312" w:hAnsi="楷体_GB2312" w:eastAsia="楷体_GB2312" w:cs="楷体_GB2312"/>
          <w:bCs/>
          <w:sz w:val="24"/>
          <w:szCs w:val="24"/>
          <w:highlight w:val="none"/>
        </w:rPr>
      </w:pPr>
      <w:r>
        <w:rPr>
          <w:rFonts w:hint="eastAsia" w:ascii="楷体_GB2312" w:hAnsi="楷体_GB2312" w:eastAsia="楷体_GB2312" w:cs="楷体_GB2312"/>
          <w:bCs/>
          <w:color w:val="000000"/>
          <w:kern w:val="0"/>
          <w:sz w:val="24"/>
          <w:szCs w:val="24"/>
          <w:highlight w:val="none"/>
          <w:lang w:bidi="ar"/>
        </w:rPr>
        <w:t xml:space="preserve">（一）甲方的权利与义务 </w:t>
      </w:r>
    </w:p>
    <w:p w14:paraId="15BF4C6F">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1．甲方负责税收辅助人员的面试、考核录用。 </w:t>
      </w:r>
    </w:p>
    <w:p w14:paraId="147A627C">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2．对税收辅助人员的职业道德规范、工作任务、技能培训、应达到的工作要求、应注意的安全事项、应遵守的各项纪律等履行告知、教育管理督查的义务； </w:t>
      </w:r>
    </w:p>
    <w:p w14:paraId="50E28F58">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3．为税收辅助人员提供必需的工作条件、办公工具和统一着装。 </w:t>
      </w:r>
    </w:p>
    <w:p w14:paraId="3AC4CF84">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4．按照劳动法的规定合法规范用工，监督、检查、考核税收辅助人员完成工作的情况； </w:t>
      </w:r>
    </w:p>
    <w:p w14:paraId="47F80099">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5．与乙方协商税收辅助人员的劳务报酬标准； </w:t>
      </w:r>
    </w:p>
    <w:p w14:paraId="2BBBFFCB">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6．对乙方不履行合同的，甲方有权追究其违约责任； </w:t>
      </w:r>
    </w:p>
    <w:p w14:paraId="1D7E5E27">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7．税收辅助人员有以下情况之一的，甲方可立即将其退回给乙方： </w:t>
      </w:r>
    </w:p>
    <w:p w14:paraId="57AB8096">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（1）严重违反甲方工作纪律、规章制度的； </w:t>
      </w:r>
    </w:p>
    <w:p w14:paraId="2036B8B2">
      <w:pPr>
        <w:ind w:firstLine="480" w:firstLineChars="200"/>
        <w:rPr>
          <w:rFonts w:hint="eastAsia" w:ascii="仿宋_GB2312" w:hAnsi="仿宋_GB2312" w:eastAsia="仿宋_GB2312" w:cs="仿宋_GB2312"/>
          <w:bCs/>
          <w:color w:val="FF0000"/>
          <w:kern w:val="0"/>
          <w:sz w:val="24"/>
          <w:szCs w:val="24"/>
          <w:highlight w:val="none"/>
          <w:lang w:bidi="ar"/>
        </w:rPr>
      </w:pPr>
      <w:r>
        <w:rPr>
          <w:rFonts w:hint="eastAsia" w:ascii="仿宋_GB2312" w:hAnsi="仿宋_GB2312" w:eastAsia="仿宋_GB2312" w:cs="仿宋_GB2312"/>
          <w:bCs/>
          <w:color w:val="FF0000"/>
          <w:kern w:val="0"/>
          <w:sz w:val="24"/>
          <w:szCs w:val="24"/>
          <w:highlight w:val="none"/>
          <w:lang w:bidi="ar"/>
        </w:rPr>
        <w:t xml:space="preserve">（2）单月请事假超过  个工作日，年累计请事假超过  个工作日； </w:t>
      </w:r>
    </w:p>
    <w:p w14:paraId="10010E1B">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（3）严重工作失职、营私舞弊，给甲方造成经济损失的； </w:t>
      </w:r>
    </w:p>
    <w:p w14:paraId="6160E0EF">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（4）工作期间累计被投诉达  次，或无故旷工，或不服从工作安排的； </w:t>
      </w:r>
    </w:p>
    <w:p w14:paraId="2A0DD06F">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（5）被依法追究刑事责任的。 </w:t>
      </w:r>
    </w:p>
    <w:p w14:paraId="16F07F93">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8．《税收辅助人员名单》为最终人员名单，遵循只出不进的原则，以上人员不得新增或更换。 </w:t>
      </w:r>
    </w:p>
    <w:p w14:paraId="62B603FD">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9．甲方按本合同相关规定退回税收辅助人员应提前 个工作日以书面形式通知乙方，由乙方负责或重新安排工作或办理终止、辞退等后续工作，尽量避免对甲方的正常生产运营造成不利影响； </w:t>
      </w:r>
    </w:p>
    <w:p w14:paraId="207081EA">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10．税收辅助人员在甲方工作期间，其日常管理工作、安全教育、月评和考勤由甲方负责落实； </w:t>
      </w:r>
    </w:p>
    <w:p w14:paraId="7C95BDE9">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税收辅助人员发生工伤事故，工伤保险基金赔偿以外需由甲方承担的部分，由甲方承担。 </w:t>
      </w:r>
    </w:p>
    <w:p w14:paraId="237AE8CE">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11．税收辅助人员应遵守甲方的工作纪律和各项规章制度，因税收辅助人员违反社会公共秩序和道德以及甲方的相关规定发生工伤事故，甲方概不负责。 </w:t>
      </w:r>
    </w:p>
    <w:p w14:paraId="5B464873">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12. 甲方因《劳动合同法》第三十九条规定的原因退回乙方税收辅助人员的，甲方有权立即退回且不承担任何经济补偿责任。 </w:t>
      </w:r>
    </w:p>
    <w:p w14:paraId="6B63710B">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13.税收辅助人员有触犯刑律者，在通知乙方后，双方应移送司法机关。 </w:t>
      </w:r>
    </w:p>
    <w:p w14:paraId="0F5C37E1">
      <w:pPr>
        <w:ind w:firstLine="480" w:firstLineChars="200"/>
        <w:rPr>
          <w:rFonts w:hint="eastAsia" w:ascii="楷体_GB2312" w:hAnsi="楷体_GB2312" w:eastAsia="楷体_GB2312" w:cs="楷体_GB2312"/>
          <w:bCs/>
          <w:sz w:val="24"/>
          <w:szCs w:val="24"/>
          <w:highlight w:val="none"/>
        </w:rPr>
      </w:pPr>
      <w:r>
        <w:rPr>
          <w:rFonts w:hint="eastAsia" w:ascii="楷体_GB2312" w:hAnsi="楷体_GB2312" w:eastAsia="楷体_GB2312" w:cs="楷体_GB2312"/>
          <w:bCs/>
          <w:color w:val="000000"/>
          <w:kern w:val="0"/>
          <w:sz w:val="24"/>
          <w:szCs w:val="24"/>
          <w:highlight w:val="none"/>
          <w:lang w:bidi="ar"/>
        </w:rPr>
        <w:t xml:space="preserve">（二）乙方的权利和义务 </w:t>
      </w:r>
    </w:p>
    <w:p w14:paraId="195A2783">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1．乙方全面负责税收辅助人员的管理与辞退工作。 </w:t>
      </w:r>
    </w:p>
    <w:p w14:paraId="71414795">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2．乙方与税收辅助人员建立劳动关系，签订劳动合同并按规定办理缴纳各项社会保险。如税收辅助人员与乙方发生劳动纠纷的，乙方自行负责，与甲方无关。 </w:t>
      </w:r>
    </w:p>
    <w:p w14:paraId="3647372F">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3．乙方负责新入职税收辅助人员的入职教育、安全教育、文明礼仪培训。教育税收辅助人员遵守中华人民共和国的法律、法规和规章，接受甲方的日常管理和考核。 </w:t>
      </w:r>
    </w:p>
    <w:p w14:paraId="4D80F275">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4．乙方负责依据甲方提供的出勤记录，按时足额发放工资、缴纳各项社会保险，并将上月发放的工资表和缴纳社会保险的明细清单复印件移交甲方，以便互相监督。 </w:t>
      </w:r>
    </w:p>
    <w:p w14:paraId="1A6960DB">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5．乙方协助甲方监督保证税收辅助人员着统一工装上岗。 </w:t>
      </w:r>
    </w:p>
    <w:p w14:paraId="2DFEDA7A">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6．乙方负责为发生工作事故的税收辅助人员申请办理工伤鉴定、保险理赔和妥善处理关联事宜等工作；税收辅助人员发生一般工伤事故由乙方负责向保险公司提出理赔和及时了结处理。发生重大工伤事故由乙方负责及时向劳动部门申请工伤认定和劳动能力鉴定。 </w:t>
      </w:r>
    </w:p>
    <w:p w14:paraId="17453EBD">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7．对税收辅助人员给甲方造成的经济损失，乙方应负责赔偿。 </w:t>
      </w:r>
    </w:p>
    <w:p w14:paraId="0514084A">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8．乙方应按《劳动法》及《劳动合同法》等规定管理和约束税收辅助人员，因管理纰漏等原因造成甲方损害或税收辅助人员提起用工纠纷，乙方承担全部责任。 </w:t>
      </w:r>
    </w:p>
    <w:p w14:paraId="5C79BDDE">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9．依法维护税收辅助人员的其他合法权益。 </w:t>
      </w:r>
    </w:p>
    <w:p w14:paraId="6DA68308">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10.有以下情形的人员，乙方不得派遣到甲方：</w:t>
      </w:r>
    </w:p>
    <w:p w14:paraId="37C583D5">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（1）因犯罪受过刑事处罚的；</w:t>
      </w:r>
    </w:p>
    <w:p w14:paraId="216E5A1B">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（2）被开除中国共产党党籍的；</w:t>
      </w:r>
    </w:p>
    <w:p w14:paraId="6493434F">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（3）被开除公职或者因违规违纪被解除劳动合同、聘用合同和聘任合同的；</w:t>
      </w:r>
    </w:p>
    <w:p w14:paraId="07721F28">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（4）被依法列为失信联合惩戒对象的；</w:t>
      </w:r>
    </w:p>
    <w:p w14:paraId="0BC53E80">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（5）有关法律、法规规定的其他情形。</w:t>
      </w:r>
    </w:p>
    <w:p w14:paraId="27D1A063">
      <w:pPr>
        <w:ind w:firstLine="480" w:firstLineChars="200"/>
        <w:rPr>
          <w:rFonts w:hint="eastAsia" w:ascii="黑体" w:hAnsi="黑体" w:eastAsia="黑体" w:cs="黑体"/>
          <w:bCs/>
          <w:sz w:val="24"/>
          <w:szCs w:val="24"/>
          <w:highlight w:val="none"/>
        </w:rPr>
      </w:pPr>
      <w:r>
        <w:rPr>
          <w:rFonts w:hint="eastAsia" w:ascii="黑体" w:hAnsi="黑体" w:eastAsia="黑体" w:cs="黑体"/>
          <w:bCs/>
          <w:color w:val="000000"/>
          <w:kern w:val="0"/>
          <w:sz w:val="24"/>
          <w:szCs w:val="24"/>
          <w:highlight w:val="none"/>
          <w:lang w:bidi="ar"/>
        </w:rPr>
        <w:t xml:space="preserve">七、合同的生效 </w:t>
      </w:r>
    </w:p>
    <w:p w14:paraId="79DB25F5">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本合同经双方法定代表人或其授权代表签署、加盖单位公章后生效。 </w:t>
      </w:r>
    </w:p>
    <w:p w14:paraId="5238AA56">
      <w:pPr>
        <w:ind w:firstLine="480" w:firstLineChars="200"/>
        <w:rPr>
          <w:rFonts w:hint="eastAsia" w:ascii="黑体" w:hAnsi="黑体" w:eastAsia="黑体" w:cs="黑体"/>
          <w:bCs/>
          <w:sz w:val="24"/>
          <w:szCs w:val="24"/>
          <w:highlight w:val="none"/>
        </w:rPr>
      </w:pPr>
      <w:r>
        <w:rPr>
          <w:rFonts w:hint="eastAsia" w:ascii="黑体" w:hAnsi="黑体" w:eastAsia="黑体" w:cs="黑体"/>
          <w:bCs/>
          <w:color w:val="000000"/>
          <w:kern w:val="0"/>
          <w:sz w:val="24"/>
          <w:szCs w:val="24"/>
          <w:highlight w:val="none"/>
          <w:lang w:bidi="ar"/>
        </w:rPr>
        <w:t>八、合同的变更、解除、终止</w:t>
      </w:r>
    </w:p>
    <w:p w14:paraId="286F2548">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（一）本合同未尽事宜，由双方协商解决。 </w:t>
      </w:r>
    </w:p>
    <w:p w14:paraId="45C40720">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（二）本合同服务期满或国家政策原因不能继续履行即为终止。 </w:t>
      </w:r>
    </w:p>
    <w:p w14:paraId="4E241626">
      <w:pPr>
        <w:ind w:firstLine="480" w:firstLineChars="200"/>
        <w:rPr>
          <w:rFonts w:hint="eastAsia" w:ascii="黑体" w:hAnsi="黑体" w:eastAsia="黑体" w:cs="黑体"/>
          <w:bCs/>
          <w:sz w:val="24"/>
          <w:szCs w:val="24"/>
          <w:highlight w:val="none"/>
        </w:rPr>
      </w:pPr>
      <w:r>
        <w:rPr>
          <w:rFonts w:hint="eastAsia" w:ascii="黑体" w:hAnsi="黑体" w:eastAsia="黑体" w:cs="黑体"/>
          <w:bCs/>
          <w:color w:val="000000"/>
          <w:kern w:val="0"/>
          <w:sz w:val="24"/>
          <w:szCs w:val="24"/>
          <w:highlight w:val="none"/>
          <w:lang w:bidi="ar"/>
        </w:rPr>
        <w:t xml:space="preserve">九、违约责任 </w:t>
      </w:r>
    </w:p>
    <w:p w14:paraId="56EA53C1">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（一）因甲方违约导致乙方不能提供约定服务的，乙方有权要求甲方在一定期限内解决，逾期未解决且严重违约的，乙方有权解除合同。造成乙方经济损失的，甲方应给予乙方经济补偿。 </w:t>
      </w:r>
    </w:p>
    <w:p w14:paraId="4B96FE80">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（二）出现以下情形的，甲方有权单方解除合同，拒付未付费用退回全部税收辅助人员且不承担任何经济补偿责任： </w:t>
      </w:r>
    </w:p>
    <w:p w14:paraId="2E3BD642">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1.乙方未能按照约定提供服务，甲方有权要求乙方限期整改，逾期未整改的； </w:t>
      </w:r>
    </w:p>
    <w:p w14:paraId="63422FC4">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2.如税收辅助人员反映乙方未能按照约定按时发放工资或缴纳各项社会保险，经核实情况属实，迟延时间超过 天的； </w:t>
      </w:r>
    </w:p>
    <w:p w14:paraId="1D110C91">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3.乙方违反《劳动法》《劳动合同法》等相关法律以及合同要求，严重损害税收辅助人员合法权益的； </w:t>
      </w:r>
    </w:p>
    <w:p w14:paraId="15D5F7A7">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4.乙方经营不善，财务状况出现重大问题，提供正常服务存在极大隐患的； </w:t>
      </w:r>
    </w:p>
    <w:p w14:paraId="4F235DC4">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5.乙方违约单方终止税收辅助人员服务的； </w:t>
      </w:r>
    </w:p>
    <w:p w14:paraId="0779F2B4">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6.因乙方违法用工导致甲方与其承担连带赔偿责任，或被有关机关处理、处罚的； </w:t>
      </w:r>
    </w:p>
    <w:p w14:paraId="2ADF46AB">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7.乙方派遣到甲方劳务派遣人员发生贪污或挪用税（费）款、公款的；</w:t>
      </w:r>
    </w:p>
    <w:p w14:paraId="04F93198">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8.乙方将本合同义务转让第三方的。 </w:t>
      </w:r>
    </w:p>
    <w:p w14:paraId="1060CB14">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（三）任何一方无正当理由解除合同的，应向对方支付合同总价  %的违约金，由此造成经济损失超过违约金的，应额外给予补偿。 </w:t>
      </w:r>
    </w:p>
    <w:p w14:paraId="29AC50E3">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（四）在合同终止后，乙方不按甲方要求及时撤出，每逾期或延误一日应向甲方支付合同总价  ‰的违约金，由此造成经济损失超过累计计算的违约金的，应额外给予补偿。 </w:t>
      </w:r>
    </w:p>
    <w:p w14:paraId="4A3E7293">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（五）由于乙方原因未能及时给税收辅助人员缴纳社会保险而出现的其他后果，由乙方承担责任。 </w:t>
      </w:r>
    </w:p>
    <w:p w14:paraId="4BA0F0AE">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（六）因国家政策调整等不可抗力导致本合同提前终止，甲乙双方均不承担违约责任。 </w:t>
      </w:r>
    </w:p>
    <w:p w14:paraId="4DE8E61B">
      <w:pPr>
        <w:ind w:firstLine="480" w:firstLineChars="200"/>
        <w:rPr>
          <w:rFonts w:hint="eastAsia" w:ascii="黑体" w:hAnsi="黑体" w:eastAsia="黑体" w:cs="黑体"/>
          <w:bCs/>
          <w:color w:val="000000"/>
          <w:kern w:val="0"/>
          <w:sz w:val="24"/>
          <w:szCs w:val="24"/>
          <w:highlight w:val="none"/>
          <w:lang w:bidi="ar"/>
        </w:rPr>
      </w:pPr>
      <w:r>
        <w:rPr>
          <w:rFonts w:hint="eastAsia" w:ascii="黑体" w:hAnsi="黑体" w:eastAsia="黑体" w:cs="黑体"/>
          <w:bCs/>
          <w:color w:val="000000"/>
          <w:kern w:val="0"/>
          <w:sz w:val="24"/>
          <w:szCs w:val="24"/>
          <w:highlight w:val="none"/>
          <w:lang w:bidi="ar"/>
        </w:rPr>
        <w:t xml:space="preserve">十、争议解决 </w:t>
      </w:r>
    </w:p>
    <w:p w14:paraId="52CD7918">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合同履行过程中若发生争议，双方本着友好合作、互惠互利的原则协商解决；如协商不成可通过法院解决。 </w:t>
      </w:r>
    </w:p>
    <w:p w14:paraId="7183812F">
      <w:pPr>
        <w:ind w:firstLine="480" w:firstLineChars="200"/>
        <w:rPr>
          <w:rFonts w:hint="eastAsia" w:ascii="黑体" w:hAnsi="黑体" w:eastAsia="黑体" w:cs="黑体"/>
          <w:bCs/>
          <w:sz w:val="24"/>
          <w:szCs w:val="24"/>
          <w:highlight w:val="none"/>
        </w:rPr>
      </w:pPr>
      <w:r>
        <w:rPr>
          <w:rFonts w:hint="eastAsia" w:ascii="黑体" w:hAnsi="黑体" w:eastAsia="黑体" w:cs="黑体"/>
          <w:bCs/>
          <w:color w:val="000000"/>
          <w:kern w:val="0"/>
          <w:sz w:val="24"/>
          <w:szCs w:val="24"/>
          <w:highlight w:val="none"/>
          <w:lang w:bidi="ar"/>
        </w:rPr>
        <w:t xml:space="preserve">十一、文书送达 </w:t>
      </w:r>
    </w:p>
    <w:p w14:paraId="2ECC824E">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甲乙双方在合同列示地址为各自送达地址，任何一方变更合同约定送达地址的，均应在送达地址发生变化之日起 个工作日内书面通知对方。甲乙双方在向对方列示的地址送达有关文书时，如果发生拒绝签收或者其他无法送达情形的，收件人签收即视为送达，寄出文书时邮戳明示日期视为送达日期。 </w:t>
      </w:r>
    </w:p>
    <w:p w14:paraId="4FF5E58B">
      <w:pPr>
        <w:ind w:firstLine="480" w:firstLineChars="200"/>
        <w:rPr>
          <w:rFonts w:hint="eastAsia" w:ascii="黑体" w:hAnsi="黑体" w:eastAsia="黑体" w:cs="黑体"/>
          <w:bCs/>
          <w:sz w:val="24"/>
          <w:szCs w:val="24"/>
          <w:highlight w:val="none"/>
        </w:rPr>
      </w:pPr>
      <w:r>
        <w:rPr>
          <w:rFonts w:hint="eastAsia" w:ascii="黑体" w:hAnsi="黑体" w:eastAsia="黑体" w:cs="黑体"/>
          <w:bCs/>
          <w:color w:val="000000"/>
          <w:kern w:val="0"/>
          <w:sz w:val="24"/>
          <w:szCs w:val="24"/>
          <w:highlight w:val="none"/>
          <w:lang w:bidi="ar"/>
        </w:rPr>
        <w:t xml:space="preserve">十二、其他 </w:t>
      </w:r>
    </w:p>
    <w:p w14:paraId="24F26596">
      <w:pPr>
        <w:ind w:firstLine="480" w:firstLineChars="200"/>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 xml:space="preserve">本合同一式肆份，甲、乙双方各执贰份，具有同等法律效力。 </w:t>
      </w:r>
    </w:p>
    <w:p w14:paraId="0F5622C2">
      <w:pPr>
        <w:ind w:firstLine="482" w:firstLineChars="200"/>
        <w:rPr>
          <w:sz w:val="24"/>
          <w:szCs w:val="24"/>
          <w:highlight w:val="none"/>
        </w:rPr>
      </w:pPr>
      <w:r>
        <w:rPr>
          <w:rFonts w:hint="eastAsia" w:ascii="宋体" w:hAnsi="宋体" w:cs="宋体"/>
          <w:b/>
          <w:color w:val="000000"/>
          <w:kern w:val="0"/>
          <w:sz w:val="24"/>
          <w:szCs w:val="24"/>
          <w:highlight w:val="none"/>
          <w:lang w:bidi="ar"/>
        </w:rPr>
        <w:t xml:space="preserve">（以下无正文） </w:t>
      </w:r>
    </w:p>
    <w:p w14:paraId="04E587C5">
      <w:pPr>
        <w:pStyle w:val="26"/>
        <w:ind w:left="0" w:leftChars="0" w:firstLine="0" w:firstLineChars="0"/>
        <w:rPr>
          <w:rFonts w:hint="eastAsia" w:ascii="宋体" w:hAnsi="宋体" w:cs="宋体"/>
          <w:b/>
          <w:color w:val="000000"/>
          <w:kern w:val="0"/>
          <w:sz w:val="32"/>
          <w:szCs w:val="32"/>
          <w:highlight w:val="none"/>
          <w:lang w:bidi="ar"/>
        </w:rPr>
      </w:pPr>
    </w:p>
    <w:p w14:paraId="4C4199E0">
      <w:pPr>
        <w:ind w:firstLine="643" w:firstLineChars="200"/>
        <w:rPr>
          <w:sz w:val="32"/>
          <w:szCs w:val="32"/>
          <w:highlight w:val="none"/>
        </w:rPr>
      </w:pPr>
      <w:r>
        <w:rPr>
          <w:rFonts w:hint="eastAsia" w:ascii="宋体" w:hAnsi="宋体" w:cs="宋体"/>
          <w:b/>
          <w:color w:val="000000"/>
          <w:kern w:val="0"/>
          <w:sz w:val="32"/>
          <w:szCs w:val="32"/>
          <w:highlight w:val="none"/>
          <w:lang w:bidi="ar"/>
        </w:rPr>
        <w:t xml:space="preserve">（此页无正文，为签字盖章页） </w:t>
      </w:r>
    </w:p>
    <w:p w14:paraId="7FFEEE91">
      <w:pPr>
        <w:ind w:firstLine="643" w:firstLineChars="200"/>
        <w:rPr>
          <w:sz w:val="32"/>
          <w:szCs w:val="32"/>
          <w:highlight w:val="none"/>
        </w:rPr>
      </w:pPr>
      <w:r>
        <w:rPr>
          <w:rFonts w:hint="eastAsia" w:ascii="宋体" w:hAnsi="宋体" w:cs="宋体"/>
          <w:b/>
          <w:color w:val="000000"/>
          <w:kern w:val="0"/>
          <w:sz w:val="32"/>
          <w:szCs w:val="32"/>
          <w:highlight w:val="none"/>
          <w:lang w:bidi="ar"/>
        </w:rPr>
        <w:t>甲方签章：</w:t>
      </w:r>
      <w:r>
        <w:rPr>
          <w:rFonts w:hint="eastAsia" w:ascii="宋体" w:hAnsi="宋体" w:cs="宋体"/>
          <w:color w:val="000000"/>
          <w:kern w:val="0"/>
          <w:sz w:val="32"/>
          <w:szCs w:val="32"/>
          <w:highlight w:val="none"/>
          <w:lang w:bidi="ar"/>
        </w:rPr>
        <w:t xml:space="preserve"> </w:t>
      </w:r>
    </w:p>
    <w:p w14:paraId="3992EBE9">
      <w:pPr>
        <w:ind w:firstLine="643" w:firstLineChars="200"/>
        <w:rPr>
          <w:sz w:val="32"/>
          <w:szCs w:val="32"/>
          <w:highlight w:val="none"/>
        </w:rPr>
      </w:pPr>
      <w:r>
        <w:rPr>
          <w:rFonts w:hint="eastAsia" w:ascii="宋体" w:hAnsi="宋体" w:cs="宋体"/>
          <w:b/>
          <w:color w:val="000000"/>
          <w:kern w:val="0"/>
          <w:sz w:val="32"/>
          <w:szCs w:val="32"/>
          <w:highlight w:val="none"/>
          <w:lang w:bidi="ar"/>
        </w:rPr>
        <w:t xml:space="preserve">法定代表人或其授权代表(签字)： </w:t>
      </w:r>
    </w:p>
    <w:p w14:paraId="59B6FBC5">
      <w:pPr>
        <w:ind w:firstLine="643" w:firstLineChars="200"/>
        <w:rPr>
          <w:sz w:val="32"/>
          <w:szCs w:val="32"/>
          <w:highlight w:val="none"/>
        </w:rPr>
      </w:pPr>
      <w:r>
        <w:rPr>
          <w:rFonts w:hint="eastAsia" w:ascii="宋体" w:hAnsi="宋体" w:cs="宋体"/>
          <w:b/>
          <w:color w:val="000000"/>
          <w:kern w:val="0"/>
          <w:sz w:val="32"/>
          <w:szCs w:val="32"/>
          <w:highlight w:val="none"/>
          <w:lang w:bidi="ar"/>
        </w:rPr>
        <w:t>电话：</w:t>
      </w:r>
    </w:p>
    <w:p w14:paraId="45574CA5">
      <w:pPr>
        <w:ind w:firstLine="643" w:firstLineChars="200"/>
        <w:rPr>
          <w:sz w:val="32"/>
          <w:szCs w:val="32"/>
          <w:highlight w:val="none"/>
        </w:rPr>
      </w:pPr>
      <w:r>
        <w:rPr>
          <w:rFonts w:hint="eastAsia" w:ascii="宋体" w:hAnsi="宋体" w:cs="宋体"/>
          <w:b/>
          <w:color w:val="000000"/>
          <w:kern w:val="0"/>
          <w:sz w:val="32"/>
          <w:szCs w:val="32"/>
          <w:highlight w:val="none"/>
          <w:lang w:bidi="ar"/>
        </w:rPr>
        <w:t xml:space="preserve">开户银行： </w:t>
      </w:r>
    </w:p>
    <w:p w14:paraId="16A987B4">
      <w:pPr>
        <w:ind w:firstLine="643" w:firstLineChars="200"/>
        <w:rPr>
          <w:sz w:val="32"/>
          <w:szCs w:val="32"/>
          <w:highlight w:val="none"/>
        </w:rPr>
      </w:pPr>
      <w:r>
        <w:rPr>
          <w:rFonts w:hint="eastAsia" w:ascii="宋体" w:hAnsi="宋体" w:cs="宋体"/>
          <w:b/>
          <w:color w:val="000000"/>
          <w:kern w:val="0"/>
          <w:sz w:val="32"/>
          <w:szCs w:val="32"/>
          <w:highlight w:val="none"/>
          <w:lang w:bidi="ar"/>
        </w:rPr>
        <w:t xml:space="preserve">账号： </w:t>
      </w:r>
    </w:p>
    <w:p w14:paraId="7934F253">
      <w:pPr>
        <w:ind w:firstLine="643" w:firstLineChars="200"/>
        <w:rPr>
          <w:sz w:val="32"/>
          <w:szCs w:val="32"/>
          <w:highlight w:val="none"/>
        </w:rPr>
      </w:pPr>
      <w:r>
        <w:rPr>
          <w:rFonts w:hint="eastAsia" w:ascii="宋体" w:hAnsi="宋体" w:cs="宋体"/>
          <w:b/>
          <w:color w:val="000000"/>
          <w:kern w:val="0"/>
          <w:sz w:val="32"/>
          <w:szCs w:val="32"/>
          <w:highlight w:val="none"/>
          <w:lang w:bidi="ar"/>
        </w:rPr>
        <w:t xml:space="preserve">地址： </w:t>
      </w:r>
    </w:p>
    <w:p w14:paraId="0651380A">
      <w:pPr>
        <w:ind w:firstLine="643" w:firstLineChars="200"/>
        <w:rPr>
          <w:rFonts w:hint="eastAsia" w:ascii="宋体" w:hAnsi="宋体" w:cs="宋体"/>
          <w:b/>
          <w:color w:val="000000"/>
          <w:kern w:val="0"/>
          <w:sz w:val="32"/>
          <w:szCs w:val="32"/>
          <w:highlight w:val="none"/>
          <w:lang w:bidi="ar"/>
        </w:rPr>
      </w:pPr>
      <w:r>
        <w:rPr>
          <w:rFonts w:hint="eastAsia" w:ascii="宋体" w:hAnsi="宋体" w:cs="宋体"/>
          <w:b/>
          <w:color w:val="000000"/>
          <w:kern w:val="0"/>
          <w:sz w:val="32"/>
          <w:szCs w:val="32"/>
          <w:highlight w:val="none"/>
          <w:lang w:bidi="ar"/>
        </w:rPr>
        <w:t>邮政编码：</w:t>
      </w:r>
    </w:p>
    <w:p w14:paraId="06E418FA">
      <w:pPr>
        <w:ind w:firstLine="643" w:firstLineChars="200"/>
        <w:rPr>
          <w:rFonts w:hint="eastAsia" w:ascii="宋体" w:hAnsi="宋体" w:cs="宋体"/>
          <w:b/>
          <w:color w:val="000000"/>
          <w:kern w:val="0"/>
          <w:sz w:val="32"/>
          <w:szCs w:val="32"/>
          <w:highlight w:val="none"/>
          <w:lang w:bidi="ar"/>
        </w:rPr>
      </w:pPr>
    </w:p>
    <w:p w14:paraId="56CF2F13">
      <w:pPr>
        <w:ind w:firstLine="1920" w:firstLineChars="600"/>
        <w:rPr>
          <w:sz w:val="32"/>
          <w:szCs w:val="32"/>
          <w:highlight w:val="none"/>
        </w:rPr>
      </w:pPr>
      <w:r>
        <w:rPr>
          <w:rFonts w:hint="eastAsia" w:ascii="仿宋" w:hAnsi="仿宋" w:eastAsia="仿宋" w:cs="仿宋"/>
          <w:color w:val="000000"/>
          <w:kern w:val="0"/>
          <w:sz w:val="32"/>
          <w:szCs w:val="32"/>
          <w:highlight w:val="none"/>
          <w:lang w:bidi="ar"/>
        </w:rPr>
        <w:t>年  月  日</w:t>
      </w:r>
      <w:r>
        <w:rPr>
          <w:rFonts w:hint="eastAsia" w:ascii="宋体" w:hAnsi="宋体" w:cs="宋体"/>
          <w:color w:val="000000"/>
          <w:kern w:val="0"/>
          <w:sz w:val="32"/>
          <w:szCs w:val="32"/>
          <w:highlight w:val="none"/>
          <w:lang w:bidi="ar"/>
        </w:rPr>
        <w:t xml:space="preserve"> </w:t>
      </w:r>
    </w:p>
    <w:p w14:paraId="25DEBCE1">
      <w:pPr>
        <w:ind w:firstLine="643" w:firstLineChars="200"/>
        <w:rPr>
          <w:rFonts w:hint="eastAsia" w:ascii="宋体" w:hAnsi="宋体" w:cs="宋体"/>
          <w:b/>
          <w:color w:val="000000"/>
          <w:kern w:val="0"/>
          <w:sz w:val="32"/>
          <w:szCs w:val="32"/>
          <w:highlight w:val="none"/>
          <w:lang w:bidi="ar"/>
        </w:rPr>
      </w:pPr>
    </w:p>
    <w:p w14:paraId="26B0E284">
      <w:pPr>
        <w:ind w:firstLine="643" w:firstLineChars="200"/>
        <w:rPr>
          <w:rFonts w:hint="eastAsia" w:ascii="宋体" w:hAnsi="宋体" w:cs="宋体"/>
          <w:b/>
          <w:color w:val="000000"/>
          <w:kern w:val="0"/>
          <w:sz w:val="32"/>
          <w:szCs w:val="32"/>
          <w:highlight w:val="none"/>
          <w:lang w:bidi="ar"/>
        </w:rPr>
      </w:pPr>
    </w:p>
    <w:p w14:paraId="75C838B4">
      <w:pPr>
        <w:ind w:firstLine="643" w:firstLineChars="200"/>
        <w:rPr>
          <w:sz w:val="32"/>
          <w:szCs w:val="32"/>
          <w:highlight w:val="none"/>
        </w:rPr>
      </w:pPr>
      <w:r>
        <w:rPr>
          <w:rFonts w:hint="eastAsia" w:ascii="宋体" w:hAnsi="宋体" w:cs="宋体"/>
          <w:b/>
          <w:color w:val="000000"/>
          <w:kern w:val="0"/>
          <w:sz w:val="32"/>
          <w:szCs w:val="32"/>
          <w:highlight w:val="none"/>
          <w:lang w:bidi="ar"/>
        </w:rPr>
        <w:t>乙方签章：</w:t>
      </w:r>
      <w:r>
        <w:rPr>
          <w:rFonts w:hint="eastAsia" w:ascii="宋体" w:hAnsi="宋体" w:cs="宋体"/>
          <w:color w:val="000000"/>
          <w:kern w:val="0"/>
          <w:sz w:val="32"/>
          <w:szCs w:val="32"/>
          <w:highlight w:val="none"/>
          <w:lang w:bidi="ar"/>
        </w:rPr>
        <w:t xml:space="preserve"> </w:t>
      </w:r>
    </w:p>
    <w:p w14:paraId="4598CFCE">
      <w:pPr>
        <w:ind w:firstLine="643" w:firstLineChars="200"/>
        <w:rPr>
          <w:sz w:val="32"/>
          <w:szCs w:val="32"/>
          <w:highlight w:val="none"/>
        </w:rPr>
      </w:pPr>
      <w:r>
        <w:rPr>
          <w:rFonts w:hint="eastAsia" w:ascii="宋体" w:hAnsi="宋体" w:cs="宋体"/>
          <w:b/>
          <w:color w:val="000000"/>
          <w:kern w:val="0"/>
          <w:sz w:val="32"/>
          <w:szCs w:val="32"/>
          <w:highlight w:val="none"/>
          <w:lang w:bidi="ar"/>
        </w:rPr>
        <w:t xml:space="preserve">法定代表人或其授权代表(签字)： </w:t>
      </w:r>
    </w:p>
    <w:p w14:paraId="4EC5ABD9">
      <w:pPr>
        <w:ind w:firstLine="643" w:firstLineChars="200"/>
        <w:rPr>
          <w:sz w:val="32"/>
          <w:szCs w:val="32"/>
          <w:highlight w:val="none"/>
        </w:rPr>
      </w:pPr>
      <w:r>
        <w:rPr>
          <w:rFonts w:hint="eastAsia" w:ascii="宋体" w:hAnsi="宋体" w:cs="宋体"/>
          <w:b/>
          <w:color w:val="000000"/>
          <w:kern w:val="0"/>
          <w:sz w:val="32"/>
          <w:szCs w:val="32"/>
          <w:highlight w:val="none"/>
          <w:lang w:bidi="ar"/>
        </w:rPr>
        <w:t>电话：</w:t>
      </w:r>
      <w:r>
        <w:rPr>
          <w:rFonts w:hint="eastAsia" w:ascii="宋体" w:hAnsi="宋体" w:cs="宋体"/>
          <w:color w:val="000000"/>
          <w:kern w:val="0"/>
          <w:sz w:val="32"/>
          <w:szCs w:val="32"/>
          <w:highlight w:val="none"/>
          <w:lang w:bidi="ar"/>
        </w:rPr>
        <w:t xml:space="preserve"> </w:t>
      </w:r>
    </w:p>
    <w:p w14:paraId="5F9F966B">
      <w:pPr>
        <w:ind w:firstLine="643" w:firstLineChars="200"/>
        <w:rPr>
          <w:sz w:val="32"/>
          <w:szCs w:val="32"/>
          <w:highlight w:val="none"/>
        </w:rPr>
      </w:pPr>
      <w:r>
        <w:rPr>
          <w:rFonts w:hint="eastAsia" w:ascii="宋体" w:hAnsi="宋体" w:cs="宋体"/>
          <w:b/>
          <w:color w:val="000000"/>
          <w:kern w:val="0"/>
          <w:sz w:val="32"/>
          <w:szCs w:val="32"/>
          <w:highlight w:val="none"/>
          <w:lang w:bidi="ar"/>
        </w:rPr>
        <w:t>开户银行：</w:t>
      </w:r>
      <w:r>
        <w:rPr>
          <w:rFonts w:hint="eastAsia" w:ascii="宋体" w:hAnsi="宋体" w:cs="宋体"/>
          <w:color w:val="000000"/>
          <w:kern w:val="0"/>
          <w:sz w:val="32"/>
          <w:szCs w:val="32"/>
          <w:highlight w:val="none"/>
          <w:lang w:bidi="ar"/>
        </w:rPr>
        <w:t xml:space="preserve"> </w:t>
      </w:r>
    </w:p>
    <w:p w14:paraId="637FD85F">
      <w:pPr>
        <w:ind w:firstLine="643" w:firstLineChars="200"/>
        <w:rPr>
          <w:sz w:val="32"/>
          <w:szCs w:val="32"/>
          <w:highlight w:val="none"/>
        </w:rPr>
      </w:pPr>
      <w:r>
        <w:rPr>
          <w:rFonts w:hint="eastAsia" w:ascii="宋体" w:hAnsi="宋体" w:cs="宋体"/>
          <w:b/>
          <w:color w:val="000000"/>
          <w:kern w:val="0"/>
          <w:sz w:val="32"/>
          <w:szCs w:val="32"/>
          <w:highlight w:val="none"/>
          <w:lang w:bidi="ar"/>
        </w:rPr>
        <w:t>账号：</w:t>
      </w:r>
      <w:r>
        <w:rPr>
          <w:rFonts w:hint="eastAsia" w:ascii="宋体" w:hAnsi="宋体" w:cs="宋体"/>
          <w:color w:val="000000"/>
          <w:kern w:val="0"/>
          <w:sz w:val="32"/>
          <w:szCs w:val="32"/>
          <w:highlight w:val="none"/>
          <w:lang w:bidi="ar"/>
        </w:rPr>
        <w:t xml:space="preserve"> </w:t>
      </w:r>
    </w:p>
    <w:p w14:paraId="556751E7">
      <w:pPr>
        <w:ind w:firstLine="643" w:firstLineChars="200"/>
        <w:rPr>
          <w:sz w:val="32"/>
          <w:szCs w:val="32"/>
          <w:highlight w:val="none"/>
        </w:rPr>
      </w:pPr>
      <w:r>
        <w:rPr>
          <w:rFonts w:hint="eastAsia" w:ascii="宋体" w:hAnsi="宋体" w:cs="宋体"/>
          <w:b/>
          <w:color w:val="000000"/>
          <w:kern w:val="0"/>
          <w:sz w:val="32"/>
          <w:szCs w:val="32"/>
          <w:highlight w:val="none"/>
          <w:lang w:bidi="ar"/>
        </w:rPr>
        <w:t>地址：</w:t>
      </w:r>
      <w:r>
        <w:rPr>
          <w:rFonts w:hint="eastAsia" w:ascii="宋体" w:hAnsi="宋体" w:cs="宋体"/>
          <w:color w:val="000000"/>
          <w:kern w:val="0"/>
          <w:sz w:val="32"/>
          <w:szCs w:val="32"/>
          <w:highlight w:val="none"/>
          <w:lang w:bidi="ar"/>
        </w:rPr>
        <w:t xml:space="preserve"> </w:t>
      </w:r>
    </w:p>
    <w:p w14:paraId="76B05E39">
      <w:pPr>
        <w:ind w:firstLine="643" w:firstLineChars="200"/>
        <w:rPr>
          <w:rFonts w:hint="eastAsia" w:ascii="宋体" w:hAnsi="宋体" w:cs="宋体"/>
          <w:b/>
          <w:color w:val="000000"/>
          <w:kern w:val="0"/>
          <w:sz w:val="32"/>
          <w:szCs w:val="32"/>
          <w:highlight w:val="none"/>
          <w:lang w:bidi="ar"/>
        </w:rPr>
      </w:pPr>
      <w:r>
        <w:rPr>
          <w:rFonts w:hint="eastAsia" w:ascii="宋体" w:hAnsi="宋体" w:cs="宋体"/>
          <w:b/>
          <w:color w:val="000000"/>
          <w:kern w:val="0"/>
          <w:sz w:val="32"/>
          <w:szCs w:val="32"/>
          <w:highlight w:val="none"/>
          <w:lang w:bidi="ar"/>
        </w:rPr>
        <w:t>邮政编码：</w:t>
      </w:r>
    </w:p>
    <w:p w14:paraId="783CA81A">
      <w:pPr>
        <w:ind w:firstLine="643" w:firstLineChars="200"/>
        <w:rPr>
          <w:rFonts w:hint="eastAsia" w:ascii="宋体" w:hAnsi="宋体" w:cs="宋体"/>
          <w:b/>
          <w:color w:val="000000"/>
          <w:kern w:val="0"/>
          <w:sz w:val="32"/>
          <w:szCs w:val="32"/>
          <w:highlight w:val="none"/>
          <w:lang w:bidi="ar"/>
        </w:rPr>
      </w:pPr>
    </w:p>
    <w:p w14:paraId="6C0A75E4">
      <w:pPr>
        <w:autoSpaceDE w:val="0"/>
        <w:autoSpaceDN w:val="0"/>
        <w:adjustRightInd w:val="0"/>
        <w:spacing w:line="560" w:lineRule="exact"/>
        <w:ind w:firstLine="1920" w:firstLineChars="600"/>
        <w:jc w:val="left"/>
        <w:rPr>
          <w:rFonts w:hint="eastAsia" w:ascii="仿宋" w:hAnsi="仿宋" w:eastAsia="仿宋" w:cs="仿宋"/>
          <w:sz w:val="28"/>
          <w:szCs w:val="28"/>
          <w:highlight w:val="none"/>
        </w:rPr>
      </w:pPr>
      <w:r>
        <w:rPr>
          <w:rFonts w:hint="eastAsia" w:ascii="仿宋" w:hAnsi="仿宋" w:eastAsia="仿宋" w:cs="仿宋"/>
          <w:color w:val="000000"/>
          <w:kern w:val="0"/>
          <w:sz w:val="32"/>
          <w:szCs w:val="32"/>
          <w:highlight w:val="none"/>
          <w:lang w:bidi="ar"/>
        </w:rPr>
        <w:t>年  月  日</w:t>
      </w:r>
    </w:p>
    <w:p w14:paraId="5BDF17FD">
      <w:pPr>
        <w:autoSpaceDE w:val="0"/>
        <w:autoSpaceDN w:val="0"/>
        <w:adjustRightInd w:val="0"/>
        <w:spacing w:line="560" w:lineRule="exact"/>
        <w:jc w:val="left"/>
        <w:rPr>
          <w:rFonts w:hint="eastAsia" w:ascii="仿宋" w:hAnsi="仿宋" w:eastAsia="仿宋" w:cs="仿宋"/>
          <w:kern w:val="0"/>
          <w:sz w:val="28"/>
          <w:szCs w:val="28"/>
          <w:highlight w:val="none"/>
        </w:rPr>
      </w:pPr>
    </w:p>
    <w:p w14:paraId="0B0135E9">
      <w:pPr>
        <w:widowControl/>
        <w:jc w:val="left"/>
        <w:rPr>
          <w:rFonts w:ascii="宋体" w:hAnsi="宋体" w:eastAsia="宋体" w:cs="宋体"/>
          <w:highlight w:val="none"/>
        </w:rPr>
      </w:pPr>
      <w:r>
        <w:rPr>
          <w:rFonts w:hint="eastAsia" w:ascii="宋体" w:hAnsi="宋体" w:eastAsia="宋体" w:cs="宋体"/>
          <w:highlight w:val="none"/>
        </w:rPr>
        <w:br w:type="page"/>
      </w:r>
    </w:p>
    <w:p w14:paraId="09BE83A9">
      <w:pPr>
        <w:spacing w:line="360" w:lineRule="auto"/>
        <w:ind w:firstLine="0" w:firstLineChars="0"/>
        <w:rPr>
          <w:rFonts w:ascii="宋体" w:hAnsi="宋体" w:eastAsia="宋体" w:cs="宋体"/>
          <w:highlight w:val="none"/>
        </w:rPr>
      </w:pPr>
    </w:p>
    <w:p w14:paraId="4584557C">
      <w:pPr>
        <w:spacing w:line="360" w:lineRule="auto"/>
        <w:ind w:firstLine="0" w:firstLineChars="0"/>
        <w:rPr>
          <w:rFonts w:ascii="宋体" w:hAnsi="宋体" w:eastAsia="宋体" w:cs="宋体"/>
          <w:highlight w:val="none"/>
        </w:rPr>
      </w:pPr>
    </w:p>
    <w:p w14:paraId="0CCE6C82">
      <w:pPr>
        <w:spacing w:line="360" w:lineRule="auto"/>
        <w:ind w:firstLine="0" w:firstLineChars="0"/>
        <w:rPr>
          <w:rFonts w:ascii="宋体" w:hAnsi="宋体" w:eastAsia="宋体" w:cs="宋体"/>
          <w:highlight w:val="none"/>
        </w:rPr>
      </w:pPr>
    </w:p>
    <w:p w14:paraId="5A2174DE">
      <w:pPr>
        <w:pStyle w:val="3"/>
        <w:numPr>
          <w:ilvl w:val="0"/>
          <w:numId w:val="7"/>
        </w:numPr>
        <w:spacing w:line="360" w:lineRule="auto"/>
        <w:jc w:val="center"/>
        <w:rPr>
          <w:rFonts w:ascii="宋体" w:hAnsi="宋体" w:eastAsia="宋体" w:cs="宋体"/>
          <w:color w:val="auto"/>
          <w:sz w:val="32"/>
          <w:szCs w:val="32"/>
          <w:highlight w:val="none"/>
        </w:rPr>
      </w:pPr>
      <w:bookmarkStart w:id="168" w:name="_Toc119421995"/>
      <w:r>
        <w:rPr>
          <w:rFonts w:hint="eastAsia" w:ascii="宋体" w:hAnsi="宋体" w:eastAsia="宋体" w:cs="宋体"/>
          <w:color w:val="auto"/>
          <w:sz w:val="32"/>
          <w:szCs w:val="32"/>
          <w:highlight w:val="none"/>
        </w:rPr>
        <w:t xml:space="preserve"> 响应文件格式</w:t>
      </w:r>
      <w:bookmarkEnd w:id="168"/>
    </w:p>
    <w:p w14:paraId="0FF57478">
      <w:pPr>
        <w:bidi w:val="0"/>
        <w:rPr>
          <w:highlight w:val="none"/>
        </w:rPr>
      </w:pPr>
    </w:p>
    <w:p w14:paraId="41EE79D9">
      <w:pPr>
        <w:spacing w:line="360" w:lineRule="auto"/>
        <w:rPr>
          <w:rFonts w:ascii="宋体" w:hAnsi="宋体" w:eastAsia="宋体" w:cs="宋体"/>
          <w:b/>
          <w:bCs/>
          <w:sz w:val="28"/>
          <w:szCs w:val="28"/>
          <w:highlight w:val="none"/>
        </w:rPr>
      </w:pPr>
      <w:r>
        <w:rPr>
          <w:rFonts w:hint="eastAsia" w:ascii="宋体" w:hAnsi="宋体" w:eastAsia="宋体" w:cs="宋体"/>
          <w:b/>
          <w:bCs/>
          <w:sz w:val="28"/>
          <w:szCs w:val="28"/>
          <w:highlight w:val="none"/>
        </w:rPr>
        <w:t>磋商响应文件封面格式</w:t>
      </w:r>
    </w:p>
    <w:p w14:paraId="134B787E">
      <w:pPr>
        <w:spacing w:line="360" w:lineRule="auto"/>
        <w:jc w:val="center"/>
        <w:rPr>
          <w:rFonts w:ascii="宋体" w:hAnsi="宋体" w:eastAsia="宋体" w:cs="宋体"/>
          <w:b/>
          <w:bCs/>
          <w:sz w:val="48"/>
          <w:szCs w:val="48"/>
          <w:highlight w:val="none"/>
        </w:rPr>
      </w:pPr>
    </w:p>
    <w:p w14:paraId="2C29AEF3">
      <w:pPr>
        <w:spacing w:line="360" w:lineRule="auto"/>
        <w:jc w:val="center"/>
        <w:rPr>
          <w:rFonts w:hint="eastAsia" w:ascii="宋体" w:hAnsi="宋体" w:eastAsia="宋体" w:cs="宋体"/>
          <w:b/>
          <w:bCs/>
          <w:sz w:val="56"/>
          <w:szCs w:val="56"/>
          <w:highlight w:val="none"/>
          <w:lang w:eastAsia="zh-CN"/>
        </w:rPr>
      </w:pPr>
      <w:r>
        <w:rPr>
          <w:rFonts w:hint="eastAsia" w:ascii="宋体" w:hAnsi="宋体" w:eastAsia="宋体" w:cs="宋体"/>
          <w:b/>
          <w:bCs/>
          <w:sz w:val="56"/>
          <w:szCs w:val="56"/>
          <w:highlight w:val="none"/>
          <w:lang w:eastAsia="zh-CN"/>
        </w:rPr>
        <w:t>保山市隆阳区瓦房乡中心学校校园安全安保服务</w:t>
      </w:r>
    </w:p>
    <w:p w14:paraId="7A7AD091">
      <w:pPr>
        <w:spacing w:line="360" w:lineRule="auto"/>
        <w:jc w:val="center"/>
        <w:rPr>
          <w:rFonts w:hint="eastAsia" w:ascii="宋体" w:hAnsi="宋体" w:eastAsia="宋体" w:cs="宋体"/>
          <w:b/>
          <w:bCs/>
          <w:sz w:val="44"/>
          <w:szCs w:val="40"/>
          <w:highlight w:val="none"/>
          <w:lang w:eastAsia="zh-CN"/>
        </w:rPr>
      </w:pPr>
    </w:p>
    <w:p w14:paraId="304444CA">
      <w:pPr>
        <w:spacing w:line="360" w:lineRule="auto"/>
        <w:jc w:val="center"/>
        <w:rPr>
          <w:rFonts w:ascii="宋体" w:hAnsi="宋体" w:eastAsia="宋体" w:cs="宋体"/>
          <w:sz w:val="24"/>
          <w:szCs w:val="24"/>
          <w:highlight w:val="none"/>
        </w:rPr>
      </w:pPr>
    </w:p>
    <w:p w14:paraId="51993045">
      <w:pPr>
        <w:pStyle w:val="16"/>
        <w:spacing w:line="360" w:lineRule="auto"/>
        <w:jc w:val="center"/>
        <w:rPr>
          <w:rFonts w:hAnsi="宋体"/>
          <w:b/>
          <w:bCs/>
          <w:sz w:val="66"/>
          <w:szCs w:val="84"/>
          <w:highlight w:val="none"/>
        </w:rPr>
      </w:pPr>
      <w:r>
        <w:rPr>
          <w:rFonts w:hint="eastAsia" w:hAnsi="宋体"/>
          <w:b/>
          <w:bCs/>
          <w:sz w:val="66"/>
          <w:szCs w:val="84"/>
          <w:highlight w:val="none"/>
        </w:rPr>
        <w:t>响应文件</w:t>
      </w:r>
    </w:p>
    <w:p w14:paraId="28617B45">
      <w:pPr>
        <w:pStyle w:val="16"/>
        <w:spacing w:line="360" w:lineRule="auto"/>
        <w:ind w:firstLine="3058" w:firstLineChars="1088"/>
        <w:rPr>
          <w:rFonts w:hAnsi="宋体"/>
          <w:b/>
          <w:bCs/>
          <w:sz w:val="28"/>
          <w:szCs w:val="28"/>
          <w:highlight w:val="none"/>
        </w:rPr>
      </w:pPr>
    </w:p>
    <w:p w14:paraId="437BF282">
      <w:pPr>
        <w:pStyle w:val="16"/>
        <w:spacing w:line="360" w:lineRule="auto"/>
        <w:ind w:firstLine="1928" w:firstLineChars="800"/>
        <w:rPr>
          <w:rFonts w:hint="eastAsia" w:hAnsi="宋体"/>
          <w:b/>
          <w:bCs/>
          <w:color w:val="auto"/>
          <w:sz w:val="24"/>
          <w:szCs w:val="24"/>
          <w:highlight w:val="none"/>
          <w:u w:val="single"/>
        </w:rPr>
      </w:pPr>
      <w:r>
        <w:rPr>
          <w:rFonts w:hint="eastAsia" w:hAnsi="宋体"/>
          <w:b/>
          <w:bCs/>
          <w:color w:val="auto"/>
          <w:sz w:val="24"/>
          <w:szCs w:val="24"/>
          <w:highlight w:val="none"/>
          <w:lang w:val="en-US" w:eastAsia="zh-CN"/>
        </w:rPr>
        <w:t>项目</w:t>
      </w:r>
      <w:r>
        <w:rPr>
          <w:rFonts w:hint="eastAsia" w:hAnsi="宋体"/>
          <w:b/>
          <w:bCs/>
          <w:color w:val="auto"/>
          <w:sz w:val="24"/>
          <w:szCs w:val="24"/>
          <w:highlight w:val="none"/>
        </w:rPr>
        <w:t>编号：</w:t>
      </w:r>
      <w:r>
        <w:rPr>
          <w:rFonts w:hint="eastAsia" w:hAnsi="宋体"/>
          <w:b/>
          <w:bCs/>
          <w:color w:val="auto"/>
          <w:sz w:val="24"/>
          <w:szCs w:val="24"/>
          <w:highlight w:val="none"/>
          <w:u w:val="single"/>
        </w:rPr>
        <w:t xml:space="preserve">              </w:t>
      </w:r>
    </w:p>
    <w:p w14:paraId="6A28E485">
      <w:pPr>
        <w:ind w:firstLine="1928" w:firstLineChars="800"/>
        <w:jc w:val="both"/>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4"/>
          <w:szCs w:val="24"/>
          <w:highlight w:val="none"/>
          <w:lang w:val="en-US" w:eastAsia="zh-CN" w:bidi="ar-SA"/>
        </w:rPr>
        <w:t>政采云项目编号：</w:t>
      </w:r>
      <w:r>
        <w:rPr>
          <w:rFonts w:hint="eastAsia" w:hAnsi="宋体"/>
          <w:b/>
          <w:bCs/>
          <w:color w:val="auto"/>
          <w:sz w:val="24"/>
          <w:szCs w:val="24"/>
          <w:highlight w:val="none"/>
          <w:u w:val="single"/>
        </w:rPr>
        <w:t xml:space="preserve">    </w:t>
      </w:r>
      <w:r>
        <w:rPr>
          <w:rFonts w:hint="eastAsia" w:hAnsi="宋体"/>
          <w:b/>
          <w:bCs/>
          <w:color w:val="auto"/>
          <w:sz w:val="24"/>
          <w:szCs w:val="24"/>
          <w:highlight w:val="none"/>
          <w:u w:val="single"/>
          <w:lang w:val="en-US" w:eastAsia="zh-CN"/>
        </w:rPr>
        <w:t xml:space="preserve">  </w:t>
      </w:r>
      <w:r>
        <w:rPr>
          <w:rFonts w:hint="eastAsia" w:hAnsi="宋体"/>
          <w:b/>
          <w:bCs/>
          <w:color w:val="auto"/>
          <w:sz w:val="24"/>
          <w:szCs w:val="24"/>
          <w:highlight w:val="none"/>
          <w:u w:val="single"/>
        </w:rPr>
        <w:t xml:space="preserve">        </w:t>
      </w:r>
    </w:p>
    <w:p w14:paraId="445C690B">
      <w:pPr>
        <w:pStyle w:val="16"/>
        <w:spacing w:line="360" w:lineRule="auto"/>
        <w:ind w:firstLine="3058" w:firstLineChars="1088"/>
        <w:rPr>
          <w:rFonts w:hAnsi="宋体"/>
          <w:b/>
          <w:bCs/>
          <w:sz w:val="28"/>
          <w:szCs w:val="28"/>
          <w:highlight w:val="none"/>
          <w:u w:val="single"/>
        </w:rPr>
      </w:pPr>
    </w:p>
    <w:p w14:paraId="4BA2B95C">
      <w:pPr>
        <w:spacing w:line="360" w:lineRule="auto"/>
        <w:jc w:val="center"/>
        <w:rPr>
          <w:rFonts w:ascii="宋体" w:hAnsi="宋体" w:eastAsia="宋体" w:cs="宋体"/>
          <w:sz w:val="24"/>
          <w:szCs w:val="24"/>
          <w:highlight w:val="none"/>
        </w:rPr>
      </w:pPr>
    </w:p>
    <w:p w14:paraId="393F76A8">
      <w:pPr>
        <w:spacing w:line="360" w:lineRule="auto"/>
        <w:jc w:val="center"/>
        <w:rPr>
          <w:rFonts w:ascii="宋体" w:hAnsi="宋体" w:eastAsia="宋体" w:cs="宋体"/>
          <w:sz w:val="24"/>
          <w:szCs w:val="24"/>
          <w:highlight w:val="none"/>
        </w:rPr>
      </w:pPr>
    </w:p>
    <w:p w14:paraId="7F3A87DD">
      <w:pPr>
        <w:spacing w:line="360" w:lineRule="auto"/>
        <w:rPr>
          <w:rFonts w:ascii="宋体" w:hAnsi="宋体" w:eastAsia="宋体" w:cs="宋体"/>
          <w:sz w:val="24"/>
          <w:szCs w:val="24"/>
          <w:highlight w:val="none"/>
        </w:rPr>
      </w:pPr>
    </w:p>
    <w:p w14:paraId="73E280A4">
      <w:pPr>
        <w:spacing w:line="360" w:lineRule="auto"/>
        <w:jc w:val="both"/>
        <w:rPr>
          <w:rFonts w:ascii="宋体" w:hAnsi="宋体" w:eastAsia="宋体" w:cs="宋体"/>
          <w:sz w:val="24"/>
          <w:szCs w:val="24"/>
          <w:highlight w:val="none"/>
        </w:rPr>
      </w:pPr>
    </w:p>
    <w:p w14:paraId="0970086B">
      <w:pPr>
        <w:spacing w:line="360" w:lineRule="auto"/>
        <w:jc w:val="center"/>
        <w:rPr>
          <w:rFonts w:ascii="宋体" w:hAnsi="宋体" w:eastAsia="宋体" w:cs="宋体"/>
          <w:sz w:val="24"/>
          <w:szCs w:val="24"/>
          <w:highlight w:val="none"/>
        </w:rPr>
      </w:pPr>
    </w:p>
    <w:p w14:paraId="7591A26F">
      <w:pPr>
        <w:spacing w:line="360" w:lineRule="auto"/>
        <w:ind w:firstLine="1732" w:firstLineChars="825"/>
        <w:rPr>
          <w:rFonts w:hint="default" w:ascii="宋体" w:hAnsi="宋体" w:eastAsia="宋体" w:cs="宋体"/>
          <w:szCs w:val="21"/>
          <w:highlight w:val="none"/>
          <w:u w:val="single"/>
          <w:lang w:val="en-US" w:eastAsia="zh-CN"/>
        </w:rPr>
      </w:pPr>
      <w:r>
        <w:rPr>
          <w:rFonts w:hint="eastAsia" w:ascii="宋体" w:hAnsi="宋体" w:eastAsia="宋体" w:cs="宋体"/>
          <w:szCs w:val="21"/>
          <w:highlight w:val="none"/>
        </w:rPr>
        <w:t>磋商申请人（盖单位章）：</w:t>
      </w:r>
      <w:r>
        <w:rPr>
          <w:rFonts w:hint="eastAsia" w:ascii="宋体" w:hAnsi="宋体" w:eastAsia="宋体" w:cs="宋体"/>
          <w:szCs w:val="21"/>
          <w:highlight w:val="none"/>
          <w:u w:val="single"/>
          <w:lang w:val="en-US" w:eastAsia="zh-CN"/>
        </w:rPr>
        <w:t xml:space="preserve">                    </w:t>
      </w:r>
    </w:p>
    <w:p w14:paraId="22C8BC7C">
      <w:pPr>
        <w:spacing w:line="360" w:lineRule="auto"/>
        <w:ind w:firstLine="1732" w:firstLineChars="825"/>
        <w:rPr>
          <w:rFonts w:hint="default" w:ascii="宋体" w:hAnsi="宋体" w:eastAsia="宋体" w:cs="宋体"/>
          <w:szCs w:val="21"/>
          <w:highlight w:val="none"/>
          <w:u w:val="single"/>
          <w:lang w:val="en-US" w:eastAsia="zh-CN"/>
        </w:rPr>
      </w:pPr>
      <w:r>
        <w:rPr>
          <w:rFonts w:hint="eastAsia" w:ascii="宋体" w:hAnsi="宋体" w:eastAsia="宋体" w:cs="宋体"/>
          <w:szCs w:val="21"/>
          <w:highlight w:val="none"/>
        </w:rPr>
        <w:t>法定代表人（负责人）或其委托代理人（签字或盖章）：</w:t>
      </w:r>
      <w:r>
        <w:rPr>
          <w:rFonts w:hint="eastAsia" w:ascii="宋体" w:hAnsi="宋体" w:eastAsia="宋体" w:cs="宋体"/>
          <w:szCs w:val="21"/>
          <w:highlight w:val="none"/>
          <w:u w:val="single"/>
          <w:lang w:val="en-US" w:eastAsia="zh-CN"/>
        </w:rPr>
        <w:t xml:space="preserve">                 </w:t>
      </w:r>
    </w:p>
    <w:p w14:paraId="059E25DE">
      <w:pPr>
        <w:spacing w:line="360" w:lineRule="auto"/>
        <w:ind w:firstLine="1732" w:firstLineChars="825"/>
        <w:jc w:val="center"/>
        <w:rPr>
          <w:rFonts w:ascii="宋体" w:hAnsi="宋体" w:eastAsia="宋体" w:cs="宋体"/>
          <w:szCs w:val="21"/>
          <w:highlight w:val="none"/>
        </w:rPr>
      </w:pPr>
    </w:p>
    <w:p w14:paraId="4799FD0B">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年 月 日</w:t>
      </w:r>
    </w:p>
    <w:p w14:paraId="6F32DD87">
      <w:pPr>
        <w:pStyle w:val="4"/>
        <w:spacing w:before="240" w:beforeLines="100" w:line="510" w:lineRule="exact"/>
        <w:ind w:firstLineChars="200"/>
        <w:jc w:val="center"/>
        <w:outlineLvl w:val="1"/>
        <w:rPr>
          <w:rFonts w:hint="eastAsia"/>
          <w:highlight w:val="none"/>
          <w:lang w:val="en-US" w:eastAsia="zh-CN"/>
        </w:rPr>
      </w:pPr>
      <w:r>
        <w:rPr>
          <w:rFonts w:hint="eastAsia"/>
          <w:highlight w:val="none"/>
          <w:lang w:val="en-US" w:eastAsia="zh-CN"/>
        </w:rPr>
        <w:t>报价一览表</w:t>
      </w:r>
    </w:p>
    <w:p w14:paraId="4C8F243F">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项目名称</w:t>
      </w:r>
      <w:r>
        <w:rPr>
          <w:rFonts w:hint="eastAsia" w:ascii="宋体" w:hAnsi="宋体" w:eastAsia="宋体" w:cs="宋体"/>
          <w:color w:val="000000"/>
          <w:sz w:val="21"/>
          <w:szCs w:val="21"/>
          <w:highlight w:val="none"/>
        </w:rPr>
        <w:t xml:space="preserve">：                           </w:t>
      </w:r>
    </w:p>
    <w:p w14:paraId="3B6144A8">
      <w:pPr>
        <w:rPr>
          <w:rFonts w:hint="eastAsia" w:ascii="宋体" w:hAnsi="宋体" w:eastAsia="宋体" w:cs="宋体"/>
          <w:color w:val="000000"/>
          <w:sz w:val="21"/>
          <w:szCs w:val="21"/>
          <w:highlight w:val="none"/>
        </w:rPr>
      </w:pPr>
    </w:p>
    <w:p w14:paraId="00F090B2">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招标编号：</w:t>
      </w:r>
    </w:p>
    <w:p w14:paraId="373DDB30">
      <w:pPr>
        <w:widowControl w:val="0"/>
        <w:adjustRightInd w:val="0"/>
        <w:spacing w:after="60" w:line="360" w:lineRule="atLeast"/>
        <w:ind w:left="63" w:leftChars="30" w:right="63" w:rightChars="30"/>
        <w:jc w:val="center"/>
        <w:textAlignment w:val="baseline"/>
        <w:rPr>
          <w:rFonts w:hint="eastAsia" w:ascii="Times New Roman" w:hAnsi="Times New Roman" w:eastAsia="宋体" w:cs="Times New Roman"/>
          <w:kern w:val="0"/>
          <w:sz w:val="21"/>
          <w:szCs w:val="21"/>
          <w:highlight w:val="none"/>
          <w:lang w:val="en-US" w:eastAsia="zh-CN" w:bidi="ar-SA"/>
        </w:rPr>
      </w:pPr>
    </w:p>
    <w:tbl>
      <w:tblPr>
        <w:tblStyle w:val="27"/>
        <w:tblW w:w="4999" w:type="pct"/>
        <w:tblInd w:w="0" w:type="dxa"/>
        <w:tblLayout w:type="autofit"/>
        <w:tblCellMar>
          <w:top w:w="0" w:type="dxa"/>
          <w:left w:w="108" w:type="dxa"/>
          <w:bottom w:w="0" w:type="dxa"/>
          <w:right w:w="108" w:type="dxa"/>
        </w:tblCellMar>
      </w:tblPr>
      <w:tblGrid>
        <w:gridCol w:w="1116"/>
        <w:gridCol w:w="3221"/>
        <w:gridCol w:w="2770"/>
        <w:gridCol w:w="2907"/>
      </w:tblGrid>
      <w:tr w14:paraId="69A8957D">
        <w:tblPrEx>
          <w:tblCellMar>
            <w:top w:w="0" w:type="dxa"/>
            <w:left w:w="108" w:type="dxa"/>
            <w:bottom w:w="0" w:type="dxa"/>
            <w:right w:w="108" w:type="dxa"/>
          </w:tblCellMar>
        </w:tblPrEx>
        <w:trPr>
          <w:trHeight w:val="584" w:hRule="atLeast"/>
        </w:trPr>
        <w:tc>
          <w:tcPr>
            <w:tcW w:w="557" w:type="pct"/>
            <w:vMerge w:val="restart"/>
            <w:tcBorders>
              <w:top w:val="single" w:color="auto" w:sz="4" w:space="0"/>
              <w:left w:val="single" w:color="auto" w:sz="4" w:space="0"/>
              <w:bottom w:val="single" w:color="auto" w:sz="4" w:space="0"/>
              <w:right w:val="single" w:color="auto" w:sz="4" w:space="0"/>
            </w:tcBorders>
            <w:noWrap w:val="0"/>
            <w:vAlign w:val="center"/>
          </w:tcPr>
          <w:p w14:paraId="33290296">
            <w:pPr>
              <w:jc w:val="center"/>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1608" w:type="pct"/>
            <w:vMerge w:val="restart"/>
            <w:tcBorders>
              <w:top w:val="single" w:color="auto" w:sz="4" w:space="0"/>
              <w:left w:val="single" w:color="auto" w:sz="4" w:space="0"/>
              <w:bottom w:val="single" w:color="auto" w:sz="4" w:space="0"/>
              <w:right w:val="single" w:color="auto" w:sz="4" w:space="0"/>
            </w:tcBorders>
            <w:noWrap w:val="0"/>
            <w:vAlign w:val="center"/>
          </w:tcPr>
          <w:p w14:paraId="51A54862">
            <w:pPr>
              <w:jc w:val="center"/>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w:t>
            </w:r>
          </w:p>
        </w:tc>
        <w:tc>
          <w:tcPr>
            <w:tcW w:w="2834" w:type="pct"/>
            <w:gridSpan w:val="2"/>
            <w:tcBorders>
              <w:top w:val="single" w:color="auto" w:sz="4" w:space="0"/>
              <w:left w:val="nil"/>
              <w:bottom w:val="single" w:color="auto" w:sz="4" w:space="0"/>
              <w:right w:val="single" w:color="auto" w:sz="4" w:space="0"/>
            </w:tcBorders>
            <w:noWrap w:val="0"/>
            <w:vAlign w:val="center"/>
          </w:tcPr>
          <w:p w14:paraId="2590A2E3">
            <w:pPr>
              <w:ind w:firstLine="480" w:firstLineChars="200"/>
              <w:jc w:val="center"/>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金额</w:t>
            </w:r>
          </w:p>
        </w:tc>
      </w:tr>
      <w:tr w14:paraId="19B9A456">
        <w:tblPrEx>
          <w:tblCellMar>
            <w:top w:w="0" w:type="dxa"/>
            <w:left w:w="108" w:type="dxa"/>
            <w:bottom w:w="0" w:type="dxa"/>
            <w:right w:w="108" w:type="dxa"/>
          </w:tblCellMar>
        </w:tblPrEx>
        <w:trPr>
          <w:trHeight w:val="584" w:hRule="atLeast"/>
        </w:trPr>
        <w:tc>
          <w:tcPr>
            <w:tcW w:w="557" w:type="pct"/>
            <w:vMerge w:val="continue"/>
            <w:tcBorders>
              <w:top w:val="single" w:color="auto" w:sz="4" w:space="0"/>
              <w:left w:val="single" w:color="auto" w:sz="4" w:space="0"/>
              <w:bottom w:val="single" w:color="auto" w:sz="4" w:space="0"/>
              <w:right w:val="single" w:color="auto" w:sz="4" w:space="0"/>
            </w:tcBorders>
            <w:noWrap w:val="0"/>
            <w:vAlign w:val="center"/>
          </w:tcPr>
          <w:p w14:paraId="0A10D023">
            <w:pPr>
              <w:widowControl/>
              <w:jc w:val="center"/>
              <w:rPr>
                <w:rFonts w:ascii="宋体" w:hAnsi="宋体" w:eastAsia="宋体" w:cs="宋体"/>
                <w:b w:val="0"/>
                <w:bCs w:val="0"/>
                <w:sz w:val="24"/>
                <w:szCs w:val="24"/>
                <w:highlight w:val="none"/>
              </w:rPr>
            </w:pPr>
          </w:p>
        </w:tc>
        <w:tc>
          <w:tcPr>
            <w:tcW w:w="1608" w:type="pct"/>
            <w:vMerge w:val="continue"/>
            <w:tcBorders>
              <w:top w:val="single" w:color="auto" w:sz="4" w:space="0"/>
              <w:left w:val="single" w:color="auto" w:sz="4" w:space="0"/>
              <w:bottom w:val="single" w:color="auto" w:sz="4" w:space="0"/>
              <w:right w:val="single" w:color="auto" w:sz="4" w:space="0"/>
            </w:tcBorders>
            <w:noWrap w:val="0"/>
            <w:vAlign w:val="center"/>
          </w:tcPr>
          <w:p w14:paraId="0EB84829">
            <w:pPr>
              <w:widowControl/>
              <w:jc w:val="left"/>
              <w:rPr>
                <w:rFonts w:ascii="宋体" w:hAnsi="宋体" w:eastAsia="宋体" w:cs="宋体"/>
                <w:b w:val="0"/>
                <w:bCs w:val="0"/>
                <w:sz w:val="24"/>
                <w:szCs w:val="24"/>
                <w:highlight w:val="none"/>
              </w:rPr>
            </w:pPr>
          </w:p>
        </w:tc>
        <w:tc>
          <w:tcPr>
            <w:tcW w:w="1383" w:type="pct"/>
            <w:tcBorders>
              <w:top w:val="nil"/>
              <w:left w:val="nil"/>
              <w:bottom w:val="single" w:color="auto" w:sz="4" w:space="0"/>
              <w:right w:val="single" w:color="auto" w:sz="4" w:space="0"/>
            </w:tcBorders>
            <w:noWrap w:val="0"/>
            <w:vAlign w:val="center"/>
          </w:tcPr>
          <w:p w14:paraId="30E0779D">
            <w:pPr>
              <w:ind w:firstLine="480" w:firstLineChars="200"/>
              <w:jc w:val="center"/>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小写</w:t>
            </w:r>
          </w:p>
        </w:tc>
        <w:tc>
          <w:tcPr>
            <w:tcW w:w="1451" w:type="pct"/>
            <w:tcBorders>
              <w:top w:val="nil"/>
              <w:left w:val="nil"/>
              <w:bottom w:val="single" w:color="auto" w:sz="4" w:space="0"/>
              <w:right w:val="single" w:color="auto" w:sz="4" w:space="0"/>
            </w:tcBorders>
            <w:noWrap w:val="0"/>
            <w:vAlign w:val="center"/>
          </w:tcPr>
          <w:p w14:paraId="14F13663">
            <w:pPr>
              <w:ind w:firstLine="480" w:firstLineChars="200"/>
              <w:jc w:val="center"/>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大写</w:t>
            </w:r>
          </w:p>
        </w:tc>
      </w:tr>
      <w:tr w14:paraId="74CCB130">
        <w:tblPrEx>
          <w:tblCellMar>
            <w:top w:w="0" w:type="dxa"/>
            <w:left w:w="108" w:type="dxa"/>
            <w:bottom w:w="0" w:type="dxa"/>
            <w:right w:w="108" w:type="dxa"/>
          </w:tblCellMar>
        </w:tblPrEx>
        <w:trPr>
          <w:trHeight w:val="748" w:hRule="atLeast"/>
        </w:trPr>
        <w:tc>
          <w:tcPr>
            <w:tcW w:w="557" w:type="pct"/>
            <w:tcBorders>
              <w:top w:val="nil"/>
              <w:left w:val="single" w:color="auto" w:sz="4" w:space="0"/>
              <w:bottom w:val="single" w:color="auto" w:sz="4" w:space="0"/>
              <w:right w:val="single" w:color="auto" w:sz="4" w:space="0"/>
            </w:tcBorders>
            <w:noWrap w:val="0"/>
            <w:vAlign w:val="center"/>
          </w:tcPr>
          <w:p w14:paraId="6201885D">
            <w:pPr>
              <w:jc w:val="center"/>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1608" w:type="pct"/>
            <w:tcBorders>
              <w:top w:val="nil"/>
              <w:left w:val="nil"/>
              <w:bottom w:val="single" w:color="auto" w:sz="4" w:space="0"/>
              <w:right w:val="single" w:color="auto" w:sz="4" w:space="0"/>
            </w:tcBorders>
            <w:noWrap w:val="0"/>
            <w:vAlign w:val="center"/>
          </w:tcPr>
          <w:p w14:paraId="38B6A466">
            <w:pP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投标总价</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元</w:t>
            </w:r>
            <w:r>
              <w:rPr>
                <w:rFonts w:hint="eastAsia" w:ascii="宋体" w:hAnsi="宋体" w:eastAsia="宋体" w:cs="宋体"/>
                <w:b w:val="0"/>
                <w:bCs w:val="0"/>
                <w:sz w:val="24"/>
                <w:szCs w:val="24"/>
                <w:highlight w:val="none"/>
                <w:lang w:eastAsia="zh-CN"/>
              </w:rPr>
              <w:t>）</w:t>
            </w:r>
          </w:p>
        </w:tc>
        <w:tc>
          <w:tcPr>
            <w:tcW w:w="1383" w:type="pct"/>
            <w:tcBorders>
              <w:top w:val="nil"/>
              <w:left w:val="nil"/>
              <w:bottom w:val="single" w:color="auto" w:sz="4" w:space="0"/>
              <w:right w:val="single" w:color="auto" w:sz="4" w:space="0"/>
            </w:tcBorders>
            <w:noWrap w:val="0"/>
            <w:vAlign w:val="center"/>
          </w:tcPr>
          <w:p w14:paraId="3837520E">
            <w:pPr>
              <w:ind w:firstLine="480" w:firstLineChars="200"/>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w:t>
            </w:r>
          </w:p>
        </w:tc>
        <w:tc>
          <w:tcPr>
            <w:tcW w:w="1451" w:type="pct"/>
            <w:tcBorders>
              <w:top w:val="nil"/>
              <w:left w:val="nil"/>
              <w:bottom w:val="single" w:color="auto" w:sz="4" w:space="0"/>
              <w:right w:val="single" w:color="auto" w:sz="4" w:space="0"/>
            </w:tcBorders>
            <w:noWrap w:val="0"/>
            <w:vAlign w:val="center"/>
          </w:tcPr>
          <w:p w14:paraId="7944D6B5">
            <w:pPr>
              <w:ind w:firstLine="480" w:firstLineChars="200"/>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w:t>
            </w:r>
          </w:p>
        </w:tc>
      </w:tr>
      <w:tr w14:paraId="27FD87BD">
        <w:tblPrEx>
          <w:tblCellMar>
            <w:top w:w="0" w:type="dxa"/>
            <w:left w:w="108" w:type="dxa"/>
            <w:bottom w:w="0" w:type="dxa"/>
            <w:right w:w="108" w:type="dxa"/>
          </w:tblCellMar>
        </w:tblPrEx>
        <w:trPr>
          <w:trHeight w:val="748" w:hRule="atLeast"/>
        </w:trPr>
        <w:tc>
          <w:tcPr>
            <w:tcW w:w="557" w:type="pct"/>
            <w:tcBorders>
              <w:top w:val="nil"/>
              <w:left w:val="single" w:color="auto" w:sz="4" w:space="0"/>
              <w:bottom w:val="single" w:color="auto" w:sz="4" w:space="0"/>
              <w:right w:val="single" w:color="auto" w:sz="4" w:space="0"/>
            </w:tcBorders>
            <w:noWrap w:val="0"/>
            <w:vAlign w:val="center"/>
          </w:tcPr>
          <w:p w14:paraId="2D3B9B03">
            <w:pPr>
              <w:jc w:val="center"/>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1608" w:type="pct"/>
            <w:tcBorders>
              <w:top w:val="nil"/>
              <w:left w:val="nil"/>
              <w:bottom w:val="single" w:color="auto" w:sz="4" w:space="0"/>
              <w:right w:val="single" w:color="auto" w:sz="4" w:space="0"/>
            </w:tcBorders>
            <w:noWrap w:val="0"/>
            <w:vAlign w:val="center"/>
          </w:tcPr>
          <w:p w14:paraId="6985717A">
            <w:pP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服务期限</w:t>
            </w:r>
          </w:p>
        </w:tc>
        <w:tc>
          <w:tcPr>
            <w:tcW w:w="2834" w:type="pct"/>
            <w:gridSpan w:val="2"/>
            <w:tcBorders>
              <w:top w:val="single" w:color="auto" w:sz="4" w:space="0"/>
              <w:left w:val="nil"/>
              <w:bottom w:val="single" w:color="auto" w:sz="4" w:space="0"/>
              <w:right w:val="single" w:color="000000" w:sz="4" w:space="0"/>
            </w:tcBorders>
            <w:noWrap w:val="0"/>
            <w:vAlign w:val="center"/>
          </w:tcPr>
          <w:p w14:paraId="203A087D">
            <w:pPr>
              <w:ind w:firstLine="3739" w:firstLineChars="1558"/>
              <w:rPr>
                <w:rFonts w:ascii="宋体" w:hAnsi="宋体" w:eastAsia="宋体" w:cs="Times New Roman"/>
                <w:b w:val="0"/>
                <w:bCs w:val="0"/>
                <w:sz w:val="24"/>
                <w:szCs w:val="24"/>
                <w:highlight w:val="none"/>
              </w:rPr>
            </w:pPr>
          </w:p>
        </w:tc>
      </w:tr>
      <w:tr w14:paraId="3FB8B7DC">
        <w:tblPrEx>
          <w:tblCellMar>
            <w:top w:w="0" w:type="dxa"/>
            <w:left w:w="108" w:type="dxa"/>
            <w:bottom w:w="0" w:type="dxa"/>
            <w:right w:w="108" w:type="dxa"/>
          </w:tblCellMar>
        </w:tblPrEx>
        <w:trPr>
          <w:trHeight w:val="748" w:hRule="atLeast"/>
        </w:trPr>
        <w:tc>
          <w:tcPr>
            <w:tcW w:w="557" w:type="pct"/>
            <w:tcBorders>
              <w:top w:val="nil"/>
              <w:left w:val="single" w:color="auto" w:sz="4" w:space="0"/>
              <w:bottom w:val="single" w:color="auto" w:sz="4" w:space="0"/>
              <w:right w:val="single" w:color="auto" w:sz="4" w:space="0"/>
            </w:tcBorders>
            <w:noWrap w:val="0"/>
            <w:vAlign w:val="center"/>
          </w:tcPr>
          <w:p w14:paraId="22F25AB8">
            <w:pPr>
              <w:jc w:val="center"/>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w:t>
            </w:r>
          </w:p>
        </w:tc>
        <w:tc>
          <w:tcPr>
            <w:tcW w:w="1608" w:type="pct"/>
            <w:tcBorders>
              <w:top w:val="nil"/>
              <w:left w:val="nil"/>
              <w:bottom w:val="single" w:color="auto" w:sz="4" w:space="0"/>
              <w:right w:val="single" w:color="auto" w:sz="4" w:space="0"/>
            </w:tcBorders>
            <w:noWrap w:val="0"/>
            <w:vAlign w:val="center"/>
          </w:tcPr>
          <w:p w14:paraId="4133ACE8">
            <w:pP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服务地点</w:t>
            </w:r>
          </w:p>
        </w:tc>
        <w:tc>
          <w:tcPr>
            <w:tcW w:w="2834" w:type="pct"/>
            <w:gridSpan w:val="2"/>
            <w:tcBorders>
              <w:top w:val="single" w:color="auto" w:sz="4" w:space="0"/>
              <w:left w:val="nil"/>
              <w:bottom w:val="single" w:color="auto" w:sz="4" w:space="0"/>
              <w:right w:val="single" w:color="000000" w:sz="4" w:space="0"/>
            </w:tcBorders>
            <w:noWrap w:val="0"/>
            <w:vAlign w:val="center"/>
          </w:tcPr>
          <w:p w14:paraId="738EDBA8">
            <w:pPr>
              <w:ind w:firstLine="3739" w:firstLineChars="1558"/>
              <w:rPr>
                <w:rFonts w:ascii="宋体" w:hAnsi="宋体" w:eastAsia="宋体" w:cs="Times New Roman"/>
                <w:b w:val="0"/>
                <w:bCs w:val="0"/>
                <w:sz w:val="24"/>
                <w:szCs w:val="24"/>
                <w:highlight w:val="none"/>
              </w:rPr>
            </w:pPr>
          </w:p>
        </w:tc>
      </w:tr>
      <w:tr w14:paraId="1530BD1B">
        <w:tblPrEx>
          <w:tblCellMar>
            <w:top w:w="0" w:type="dxa"/>
            <w:left w:w="108" w:type="dxa"/>
            <w:bottom w:w="0" w:type="dxa"/>
            <w:right w:w="108" w:type="dxa"/>
          </w:tblCellMar>
        </w:tblPrEx>
        <w:trPr>
          <w:trHeight w:val="748" w:hRule="atLeast"/>
        </w:trPr>
        <w:tc>
          <w:tcPr>
            <w:tcW w:w="557" w:type="pct"/>
            <w:tcBorders>
              <w:top w:val="nil"/>
              <w:left w:val="single" w:color="auto" w:sz="4" w:space="0"/>
              <w:bottom w:val="single" w:color="auto" w:sz="4" w:space="0"/>
              <w:right w:val="single" w:color="auto" w:sz="4" w:space="0"/>
            </w:tcBorders>
            <w:shd w:val="clear" w:color="auto" w:fill="auto"/>
            <w:noWrap w:val="0"/>
            <w:vAlign w:val="center"/>
          </w:tcPr>
          <w:p w14:paraId="22F85A2A">
            <w:pPr>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4</w:t>
            </w:r>
          </w:p>
        </w:tc>
        <w:tc>
          <w:tcPr>
            <w:tcW w:w="1608" w:type="pct"/>
            <w:tcBorders>
              <w:top w:val="nil"/>
              <w:left w:val="nil"/>
              <w:bottom w:val="single" w:color="auto" w:sz="4" w:space="0"/>
              <w:right w:val="single" w:color="auto" w:sz="4" w:space="0"/>
            </w:tcBorders>
            <w:noWrap w:val="0"/>
            <w:vAlign w:val="center"/>
          </w:tcPr>
          <w:p w14:paraId="68CB0CA9">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服务质量承诺</w:t>
            </w:r>
          </w:p>
        </w:tc>
        <w:tc>
          <w:tcPr>
            <w:tcW w:w="2834" w:type="pct"/>
            <w:gridSpan w:val="2"/>
            <w:tcBorders>
              <w:top w:val="single" w:color="auto" w:sz="4" w:space="0"/>
              <w:left w:val="nil"/>
              <w:bottom w:val="single" w:color="auto" w:sz="4" w:space="0"/>
              <w:right w:val="single" w:color="000000" w:sz="4" w:space="0"/>
            </w:tcBorders>
            <w:noWrap w:val="0"/>
            <w:vAlign w:val="center"/>
          </w:tcPr>
          <w:p w14:paraId="37A869D3">
            <w:pPr>
              <w:rPr>
                <w:rFonts w:hint="eastAsia" w:ascii="宋体" w:hAnsi="宋体" w:eastAsia="宋体" w:cs="宋体"/>
                <w:b w:val="0"/>
                <w:bCs w:val="0"/>
                <w:sz w:val="24"/>
                <w:szCs w:val="24"/>
                <w:highlight w:val="none"/>
              </w:rPr>
            </w:pPr>
          </w:p>
        </w:tc>
      </w:tr>
      <w:tr w14:paraId="0FA57FBE">
        <w:tblPrEx>
          <w:tblCellMar>
            <w:top w:w="0" w:type="dxa"/>
            <w:left w:w="108" w:type="dxa"/>
            <w:bottom w:w="0" w:type="dxa"/>
            <w:right w:w="108" w:type="dxa"/>
          </w:tblCellMar>
        </w:tblPrEx>
        <w:trPr>
          <w:trHeight w:val="748" w:hRule="atLeast"/>
        </w:trPr>
        <w:tc>
          <w:tcPr>
            <w:tcW w:w="557" w:type="pct"/>
            <w:tcBorders>
              <w:top w:val="nil"/>
              <w:left w:val="single" w:color="auto" w:sz="4" w:space="0"/>
              <w:bottom w:val="single" w:color="auto" w:sz="4" w:space="0"/>
              <w:right w:val="single" w:color="auto" w:sz="4" w:space="0"/>
            </w:tcBorders>
            <w:shd w:val="clear" w:color="auto" w:fill="auto"/>
            <w:noWrap w:val="0"/>
            <w:vAlign w:val="center"/>
          </w:tcPr>
          <w:p w14:paraId="4A757905">
            <w:pPr>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5</w:t>
            </w:r>
          </w:p>
        </w:tc>
        <w:tc>
          <w:tcPr>
            <w:tcW w:w="1608" w:type="pct"/>
            <w:tcBorders>
              <w:top w:val="nil"/>
              <w:left w:val="nil"/>
              <w:bottom w:val="single" w:color="auto" w:sz="4" w:space="0"/>
              <w:right w:val="single" w:color="auto" w:sz="4" w:space="0"/>
            </w:tcBorders>
            <w:noWrap w:val="0"/>
            <w:vAlign w:val="center"/>
          </w:tcPr>
          <w:p w14:paraId="48AB3452">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投标保证金形式及金额</w:t>
            </w:r>
          </w:p>
        </w:tc>
        <w:tc>
          <w:tcPr>
            <w:tcW w:w="2834" w:type="pct"/>
            <w:gridSpan w:val="2"/>
            <w:tcBorders>
              <w:top w:val="single" w:color="auto" w:sz="4" w:space="0"/>
              <w:left w:val="nil"/>
              <w:bottom w:val="single" w:color="auto" w:sz="4" w:space="0"/>
              <w:right w:val="single" w:color="000000" w:sz="4" w:space="0"/>
            </w:tcBorders>
            <w:noWrap w:val="0"/>
            <w:vAlign w:val="center"/>
          </w:tcPr>
          <w:p w14:paraId="5CD48C63">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形式：</w:t>
            </w:r>
          </w:p>
          <w:p w14:paraId="7D52762C">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金额：</w:t>
            </w:r>
          </w:p>
        </w:tc>
      </w:tr>
      <w:tr w14:paraId="24CABEDF">
        <w:tblPrEx>
          <w:tblCellMar>
            <w:top w:w="0" w:type="dxa"/>
            <w:left w:w="108" w:type="dxa"/>
            <w:bottom w:w="0" w:type="dxa"/>
            <w:right w:w="108" w:type="dxa"/>
          </w:tblCellMar>
        </w:tblPrEx>
        <w:trPr>
          <w:trHeight w:val="748" w:hRule="atLeast"/>
        </w:trPr>
        <w:tc>
          <w:tcPr>
            <w:tcW w:w="557" w:type="pct"/>
            <w:tcBorders>
              <w:top w:val="single" w:color="auto" w:sz="4" w:space="0"/>
              <w:left w:val="single" w:color="auto" w:sz="4" w:space="0"/>
              <w:bottom w:val="single" w:color="auto" w:sz="4" w:space="0"/>
              <w:right w:val="single" w:color="auto" w:sz="4" w:space="0"/>
            </w:tcBorders>
            <w:noWrap w:val="0"/>
            <w:vAlign w:val="center"/>
          </w:tcPr>
          <w:p w14:paraId="30C27E32">
            <w:pPr>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6</w:t>
            </w:r>
          </w:p>
        </w:tc>
        <w:tc>
          <w:tcPr>
            <w:tcW w:w="1608" w:type="pct"/>
            <w:tcBorders>
              <w:top w:val="single" w:color="auto" w:sz="4" w:space="0"/>
              <w:left w:val="single" w:color="auto" w:sz="4" w:space="0"/>
              <w:bottom w:val="single" w:color="auto" w:sz="4" w:space="0"/>
              <w:right w:val="single" w:color="auto" w:sz="4" w:space="0"/>
            </w:tcBorders>
            <w:noWrap w:val="0"/>
            <w:vAlign w:val="center"/>
          </w:tcPr>
          <w:p w14:paraId="7B74F214">
            <w:pPr>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备注</w:t>
            </w:r>
          </w:p>
        </w:tc>
        <w:tc>
          <w:tcPr>
            <w:tcW w:w="2834" w:type="pct"/>
            <w:gridSpan w:val="2"/>
            <w:tcBorders>
              <w:top w:val="single" w:color="auto" w:sz="4" w:space="0"/>
              <w:left w:val="single" w:color="auto" w:sz="4" w:space="0"/>
              <w:bottom w:val="single" w:color="auto" w:sz="4" w:space="0"/>
              <w:right w:val="single" w:color="auto" w:sz="4" w:space="0"/>
            </w:tcBorders>
            <w:noWrap w:val="0"/>
            <w:vAlign w:val="center"/>
          </w:tcPr>
          <w:p w14:paraId="627CBF9F">
            <w:pPr>
              <w:rPr>
                <w:rFonts w:ascii="宋体" w:hAnsi="宋体" w:eastAsia="宋体" w:cs="宋体"/>
                <w:b w:val="0"/>
                <w:bCs w:val="0"/>
                <w:sz w:val="24"/>
                <w:szCs w:val="24"/>
                <w:highlight w:val="none"/>
              </w:rPr>
            </w:pPr>
          </w:p>
        </w:tc>
      </w:tr>
    </w:tbl>
    <w:p w14:paraId="6A076BCA">
      <w:pPr>
        <w:rPr>
          <w:rFonts w:hint="eastAsia" w:ascii="宋体" w:hAnsi="宋体" w:eastAsia="宋体" w:cs="宋体"/>
          <w:color w:val="000000"/>
          <w:sz w:val="21"/>
          <w:szCs w:val="21"/>
          <w:highlight w:val="none"/>
        </w:rPr>
      </w:pPr>
    </w:p>
    <w:p w14:paraId="4DE7752E">
      <w:pPr>
        <w:rPr>
          <w:rFonts w:hint="eastAsia" w:ascii="宋体" w:hAnsi="宋体" w:eastAsia="宋体" w:cs="宋体"/>
          <w:color w:val="000000"/>
          <w:sz w:val="21"/>
          <w:szCs w:val="21"/>
          <w:highlight w:val="none"/>
        </w:rPr>
      </w:pPr>
    </w:p>
    <w:p w14:paraId="601A237E">
      <w:pPr>
        <w:rPr>
          <w:rFonts w:hint="eastAsia" w:ascii="宋体" w:hAnsi="宋体" w:eastAsia="宋体" w:cs="宋体"/>
          <w:color w:val="000000"/>
          <w:sz w:val="21"/>
          <w:szCs w:val="21"/>
          <w:highlight w:val="none"/>
        </w:rPr>
      </w:pPr>
    </w:p>
    <w:p w14:paraId="2E15FC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u w:val="single"/>
          <w:lang w:val="en-US" w:eastAsia="zh-CN"/>
        </w:rPr>
      </w:pP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（盖章）：</w:t>
      </w:r>
      <w:r>
        <w:rPr>
          <w:rFonts w:hint="eastAsia" w:ascii="宋体" w:hAnsi="宋体" w:eastAsia="宋体" w:cs="宋体"/>
          <w:color w:val="000000"/>
          <w:sz w:val="21"/>
          <w:szCs w:val="21"/>
          <w:highlight w:val="none"/>
          <w:u w:val="single"/>
          <w:lang w:val="en-US" w:eastAsia="zh-CN"/>
        </w:rPr>
        <w:t xml:space="preserve"> 　　　　　　　　</w:t>
      </w:r>
    </w:p>
    <w:p w14:paraId="1D0659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p w14:paraId="208DBC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法定代表人或其委托代理人</w:t>
      </w:r>
      <w:r>
        <w:rPr>
          <w:rFonts w:hint="eastAsia" w:ascii="宋体" w:hAnsi="宋体" w:eastAsia="宋体" w:cs="宋体"/>
          <w:color w:val="000000"/>
          <w:sz w:val="21"/>
          <w:szCs w:val="21"/>
          <w:highlight w:val="none"/>
          <w:u w:val="none"/>
        </w:rPr>
        <w:t>（签字或盖章）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0971847F">
      <w:pPr>
        <w:widowControl w:val="0"/>
        <w:adjustRightInd w:val="0"/>
        <w:spacing w:after="60" w:line="360" w:lineRule="atLeast"/>
        <w:ind w:left="63" w:leftChars="30" w:right="63" w:rightChars="30"/>
        <w:jc w:val="center"/>
        <w:textAlignment w:val="baseline"/>
        <w:rPr>
          <w:rFonts w:hint="eastAsia" w:ascii="Times New Roman" w:hAnsi="Times New Roman" w:eastAsia="宋体" w:cs="Times New Roman"/>
          <w:kern w:val="0"/>
          <w:sz w:val="21"/>
          <w:szCs w:val="21"/>
          <w:highlight w:val="none"/>
          <w:lang w:val="en-US" w:eastAsia="zh-CN" w:bidi="ar-SA"/>
        </w:rPr>
      </w:pPr>
    </w:p>
    <w:p w14:paraId="55376E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时间：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207EBC25">
      <w:pPr>
        <w:widowControl w:val="0"/>
        <w:adjustRightInd w:val="0"/>
        <w:spacing w:after="60" w:line="360" w:lineRule="atLeast"/>
        <w:ind w:left="63" w:leftChars="30" w:right="63" w:rightChars="30"/>
        <w:jc w:val="center"/>
        <w:textAlignment w:val="baseline"/>
        <w:rPr>
          <w:rFonts w:hint="eastAsia" w:ascii="Times New Roman" w:hAnsi="Times New Roman" w:eastAsia="宋体" w:cs="Times New Roman"/>
          <w:kern w:val="0"/>
          <w:sz w:val="21"/>
          <w:szCs w:val="21"/>
          <w:highlight w:val="none"/>
          <w:lang w:val="en-US" w:eastAsia="zh-CN" w:bidi="ar-SA"/>
        </w:rPr>
      </w:pPr>
    </w:p>
    <w:p w14:paraId="699898AB">
      <w:pPr>
        <w:rPr>
          <w:rFonts w:ascii="Calibri" w:hAnsi="Calibri" w:eastAsia="宋体" w:cs="Times New Roman"/>
          <w:szCs w:val="21"/>
          <w:highlight w:val="none"/>
        </w:rPr>
      </w:pPr>
      <w:r>
        <w:rPr>
          <w:rFonts w:hint="eastAsia" w:ascii="宋体" w:hAnsi="宋体" w:eastAsia="宋体" w:cs="宋体"/>
          <w:color w:val="000000"/>
          <w:kern w:val="0"/>
          <w:sz w:val="21"/>
          <w:szCs w:val="21"/>
          <w:highlight w:val="none"/>
          <w:lang w:val="en-US" w:eastAsia="zh-CN" w:bidi="ar-SA"/>
        </w:rPr>
        <w:t>注：本报价表装订于响应文件封面后第一页。</w:t>
      </w:r>
    </w:p>
    <w:p w14:paraId="41C4AE27">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4D528EE9">
      <w:pPr>
        <w:widowControl/>
        <w:jc w:val="center"/>
        <w:rPr>
          <w:rFonts w:ascii="宋体" w:hAnsi="宋体" w:eastAsia="宋体" w:cs="宋体"/>
          <w:b/>
          <w:bCs/>
          <w:highlight w:val="none"/>
        </w:rPr>
      </w:pPr>
      <w:r>
        <w:rPr>
          <w:rFonts w:hint="eastAsia" w:ascii="宋体" w:hAnsi="宋体" w:eastAsia="宋体" w:cs="宋体"/>
          <w:b/>
          <w:color w:val="auto"/>
          <w:sz w:val="32"/>
          <w:szCs w:val="32"/>
          <w:highlight w:val="none"/>
        </w:rPr>
        <w:t>目  录</w:t>
      </w:r>
      <w:r>
        <w:rPr>
          <w:rFonts w:hint="eastAsia" w:ascii="宋体" w:hAnsi="宋体" w:eastAsia="宋体" w:cs="宋体"/>
          <w:b/>
          <w:bCs/>
          <w:highlight w:val="none"/>
        </w:rPr>
        <w:br w:type="page"/>
      </w:r>
    </w:p>
    <w:p w14:paraId="0D55C2DB">
      <w:pPr>
        <w:pStyle w:val="4"/>
        <w:bidi w:val="0"/>
        <w:rPr>
          <w:rFonts w:hint="eastAsia"/>
          <w:lang w:val="en-US" w:eastAsia="zh-CN"/>
        </w:rPr>
      </w:pPr>
      <w:r>
        <w:rPr>
          <w:rFonts w:hint="eastAsia"/>
          <w:lang w:val="en-US" w:eastAsia="zh-CN"/>
        </w:rPr>
        <w:t>一、磋商申请函</w:t>
      </w:r>
    </w:p>
    <w:p w14:paraId="0FE54D2C">
      <w:pPr>
        <w:spacing w:line="360" w:lineRule="auto"/>
        <w:rPr>
          <w:rFonts w:hint="eastAsia" w:ascii="宋体" w:hAnsi="宋体" w:eastAsia="宋体" w:cs="宋体"/>
          <w:color w:val="auto"/>
          <w:sz w:val="24"/>
          <w:szCs w:val="24"/>
          <w:highlight w:val="none"/>
          <w:u w:val="single"/>
        </w:rPr>
      </w:pPr>
    </w:p>
    <w:p w14:paraId="42A897E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名称）：</w:t>
      </w:r>
    </w:p>
    <w:p w14:paraId="185E5FD8">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我方已仔细研究了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（项目名称）竞争性磋商文件的全部内容，且对竞争性磋商文件无任何异议，并愿意以最后磋商报价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，向你方提供竞争性磋商文件要求的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 xml:space="preserve">。 </w:t>
      </w:r>
    </w:p>
    <w:p w14:paraId="6F79B474">
      <w:pPr>
        <w:numPr>
          <w:ilvl w:val="0"/>
          <w:numId w:val="8"/>
        </w:numPr>
        <w:autoSpaceDE w:val="0"/>
        <w:autoSpaceDN w:val="0"/>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我方承诺在磋商有效期内不修改或撤销响应文件。否则，你方可不予退还我方的磋商保证金。</w:t>
      </w:r>
    </w:p>
    <w:p w14:paraId="7695C31C">
      <w:pPr>
        <w:numPr>
          <w:ilvl w:val="0"/>
          <w:numId w:val="8"/>
        </w:numPr>
        <w:autoSpaceDE w:val="0"/>
        <w:autoSpaceDN w:val="0"/>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本磋商的磋商有效期为自</w:t>
      </w:r>
      <w:r>
        <w:rPr>
          <w:rFonts w:hint="eastAsia" w:ascii="宋体" w:hAnsi="宋体" w:eastAsia="宋体" w:cs="宋体"/>
          <w:color w:val="auto"/>
          <w:sz w:val="21"/>
          <w:szCs w:val="21"/>
          <w:highlight w:val="none"/>
          <w:lang w:eastAsia="zh-CN"/>
        </w:rPr>
        <w:t>响应文件递交截止</w:t>
      </w:r>
      <w:r>
        <w:rPr>
          <w:rFonts w:hint="eastAsia" w:ascii="宋体" w:hAnsi="宋体" w:eastAsia="宋体" w:cs="宋体"/>
          <w:color w:val="auto"/>
          <w:sz w:val="21"/>
          <w:szCs w:val="21"/>
          <w:highlight w:val="none"/>
        </w:rPr>
        <w:t>之日起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个日历天</w:t>
      </w:r>
      <w:r>
        <w:rPr>
          <w:rFonts w:hint="eastAsia" w:ascii="宋体" w:hAnsi="宋体" w:eastAsia="宋体" w:cs="宋体"/>
          <w:color w:val="auto"/>
          <w:sz w:val="21"/>
          <w:szCs w:val="21"/>
          <w:highlight w:val="none"/>
          <w:lang w:eastAsia="zh-CN"/>
        </w:rPr>
        <w:t>。</w:t>
      </w:r>
    </w:p>
    <w:p w14:paraId="64D93A2E">
      <w:pPr>
        <w:numPr>
          <w:ilvl w:val="0"/>
          <w:numId w:val="8"/>
        </w:numPr>
        <w:autoSpaceDE w:val="0"/>
        <w:autoSpaceDN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我方承诺所提交的响应文件及有关资料是完整的、真实的、准确的和有效的，否则，我方承担由此造成的任何损失及引起的任何后果。</w:t>
      </w:r>
    </w:p>
    <w:p w14:paraId="2A1BFC8A">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4．如我方成交：</w:t>
      </w:r>
    </w:p>
    <w:p w14:paraId="41309D24">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（1）我方承诺在收到成交通知书后，在成交通知书规定的期限内与你方签订合同。</w:t>
      </w:r>
    </w:p>
    <w:p w14:paraId="6D0BA703">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（2）我方承诺按照竞争性磋商文件规定向你方递交履约保证金。</w:t>
      </w:r>
    </w:p>
    <w:p w14:paraId="58C29B56">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（3）我方承诺按合同约定的工期和地点，按竞争性磋商文件要求完成工程。</w:t>
      </w:r>
    </w:p>
    <w:p w14:paraId="59CBDCE7">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p>
    <w:p w14:paraId="511748DE">
      <w:pPr>
        <w:widowControl w:val="0"/>
        <w:adjustRightInd w:val="0"/>
        <w:spacing w:after="60" w:line="360" w:lineRule="atLeast"/>
        <w:ind w:left="63" w:leftChars="30" w:right="63" w:rightChars="30" w:firstLine="420" w:firstLineChars="200"/>
        <w:jc w:val="center"/>
        <w:textAlignment w:val="baseline"/>
        <w:rPr>
          <w:rFonts w:hint="eastAsia" w:ascii="宋体" w:hAnsi="宋体" w:eastAsia="宋体" w:cs="宋体"/>
          <w:color w:val="auto"/>
          <w:kern w:val="0"/>
          <w:sz w:val="21"/>
          <w:szCs w:val="21"/>
          <w:highlight w:val="none"/>
          <w:lang w:val="en-US" w:eastAsia="zh-CN" w:bidi="ar-SA"/>
        </w:rPr>
      </w:pPr>
    </w:p>
    <w:p w14:paraId="0EA3BDEA">
      <w:pPr>
        <w:widowControl w:val="0"/>
        <w:adjustRightInd w:val="0"/>
        <w:spacing w:after="60" w:line="360" w:lineRule="atLeast"/>
        <w:ind w:left="63" w:leftChars="30" w:right="63" w:rightChars="30" w:firstLine="420" w:firstLineChars="200"/>
        <w:jc w:val="center"/>
        <w:textAlignment w:val="baseline"/>
        <w:rPr>
          <w:rFonts w:hint="eastAsia" w:ascii="宋体" w:hAnsi="宋体" w:eastAsia="宋体" w:cs="宋体"/>
          <w:color w:val="auto"/>
          <w:kern w:val="0"/>
          <w:sz w:val="21"/>
          <w:szCs w:val="21"/>
          <w:highlight w:val="none"/>
          <w:lang w:val="en-US" w:eastAsia="zh-CN" w:bidi="ar-SA"/>
        </w:rPr>
      </w:pPr>
    </w:p>
    <w:p w14:paraId="0FBAF412">
      <w:pPr>
        <w:spacing w:line="480" w:lineRule="auto"/>
        <w:ind w:firstLine="1054" w:firstLineChars="5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w:t>
      </w:r>
      <w:r>
        <w:rPr>
          <w:rFonts w:hint="eastAsia" w:ascii="宋体" w:hAnsi="宋体" w:eastAsia="宋体" w:cs="宋体"/>
          <w:b/>
          <w:bCs/>
          <w:color w:val="auto"/>
          <w:sz w:val="21"/>
          <w:szCs w:val="21"/>
          <w:highlight w:val="none"/>
          <w:u w:val="single"/>
        </w:rPr>
        <w:tab/>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（加盖单位公章）</w:t>
      </w:r>
    </w:p>
    <w:p w14:paraId="5E371621">
      <w:pPr>
        <w:spacing w:line="480" w:lineRule="auto"/>
        <w:ind w:firstLine="1054" w:firstLineChars="5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法定代表人或其委托代理人：</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（签字或盖章）</w:t>
      </w:r>
    </w:p>
    <w:p w14:paraId="7DFEA1FF">
      <w:pPr>
        <w:spacing w:line="480" w:lineRule="auto"/>
        <w:ind w:firstLine="1054" w:firstLineChars="5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地</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址：</w:t>
      </w:r>
      <w:r>
        <w:rPr>
          <w:rFonts w:hint="eastAsia" w:ascii="宋体" w:hAnsi="宋体" w:eastAsia="宋体" w:cs="宋体"/>
          <w:b/>
          <w:bCs/>
          <w:color w:val="auto"/>
          <w:sz w:val="21"/>
          <w:szCs w:val="21"/>
          <w:highlight w:val="none"/>
          <w:u w:val="single"/>
        </w:rPr>
        <w:t xml:space="preserve">                                           </w:t>
      </w:r>
    </w:p>
    <w:p w14:paraId="7B2522E3">
      <w:pPr>
        <w:spacing w:line="480" w:lineRule="auto"/>
        <w:ind w:firstLine="1054" w:firstLineChars="5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网</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址：</w:t>
      </w:r>
      <w:r>
        <w:rPr>
          <w:rFonts w:hint="eastAsia" w:ascii="宋体" w:hAnsi="宋体" w:eastAsia="宋体" w:cs="宋体"/>
          <w:b/>
          <w:bCs/>
          <w:color w:val="auto"/>
          <w:sz w:val="21"/>
          <w:szCs w:val="21"/>
          <w:highlight w:val="none"/>
          <w:u w:val="single"/>
        </w:rPr>
        <w:t xml:space="preserve">                                           </w:t>
      </w:r>
    </w:p>
    <w:p w14:paraId="1DCD81B2">
      <w:pPr>
        <w:spacing w:line="480" w:lineRule="auto"/>
        <w:ind w:firstLine="1054" w:firstLineChars="5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电</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话：</w:t>
      </w:r>
      <w:r>
        <w:rPr>
          <w:rFonts w:hint="eastAsia" w:ascii="宋体" w:hAnsi="宋体" w:eastAsia="宋体" w:cs="宋体"/>
          <w:b/>
          <w:bCs/>
          <w:color w:val="auto"/>
          <w:sz w:val="21"/>
          <w:szCs w:val="21"/>
          <w:highlight w:val="none"/>
          <w:u w:val="single"/>
        </w:rPr>
        <w:t xml:space="preserve">                                           </w:t>
      </w:r>
    </w:p>
    <w:p w14:paraId="579D697B">
      <w:pPr>
        <w:spacing w:line="480" w:lineRule="auto"/>
        <w:ind w:firstLine="1054" w:firstLineChars="5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传</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真：</w:t>
      </w:r>
      <w:r>
        <w:rPr>
          <w:rFonts w:hint="eastAsia" w:ascii="宋体" w:hAnsi="宋体" w:eastAsia="宋体" w:cs="宋体"/>
          <w:b/>
          <w:bCs/>
          <w:color w:val="auto"/>
          <w:sz w:val="21"/>
          <w:szCs w:val="21"/>
          <w:highlight w:val="none"/>
          <w:u w:val="single"/>
        </w:rPr>
        <w:t xml:space="preserve">                                           </w:t>
      </w:r>
    </w:p>
    <w:p w14:paraId="5FF11DAD">
      <w:pPr>
        <w:spacing w:line="480" w:lineRule="auto"/>
        <w:ind w:firstLine="1054" w:firstLineChars="5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邮政编码：</w:t>
      </w:r>
      <w:r>
        <w:rPr>
          <w:rFonts w:hint="eastAsia" w:ascii="宋体" w:hAnsi="宋体" w:eastAsia="宋体" w:cs="宋体"/>
          <w:b/>
          <w:bCs/>
          <w:color w:val="auto"/>
          <w:sz w:val="21"/>
          <w:szCs w:val="21"/>
          <w:highlight w:val="none"/>
          <w:u w:val="single"/>
        </w:rPr>
        <w:t xml:space="preserve">                                         </w:t>
      </w:r>
    </w:p>
    <w:p w14:paraId="7A472057">
      <w:pPr>
        <w:spacing w:line="480" w:lineRule="auto"/>
        <w:ind w:firstLine="1054" w:firstLineChars="500"/>
        <w:rPr>
          <w:rFonts w:hint="eastAsia" w:ascii="宋体" w:hAnsi="宋体" w:eastAsia="宋体" w:cs="宋体"/>
          <w:b/>
          <w:bCs/>
          <w:color w:val="auto"/>
          <w:sz w:val="24"/>
          <w:szCs w:val="24"/>
          <w:highlight w:val="none"/>
        </w:rPr>
      </w:pPr>
      <w:r>
        <w:rPr>
          <w:rFonts w:hint="eastAsia" w:ascii="宋体" w:hAnsi="宋体" w:eastAsia="宋体" w:cs="宋体"/>
          <w:b/>
          <w:bCs/>
          <w:color w:val="auto"/>
          <w:sz w:val="21"/>
          <w:szCs w:val="21"/>
          <w:highlight w:val="none"/>
        </w:rPr>
        <w:t>日 期：</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日</w:t>
      </w:r>
    </w:p>
    <w:p w14:paraId="3F9E9F8C">
      <w:pPr>
        <w:rPr>
          <w:rFonts w:ascii="Calibri" w:hAnsi="Calibri" w:eastAsia="宋体" w:cs="Times New Roman"/>
          <w:highlight w:val="none"/>
        </w:rPr>
      </w:pPr>
      <w:r>
        <w:rPr>
          <w:rFonts w:ascii="Calibri" w:hAnsi="Calibri" w:eastAsia="宋体" w:cs="Times New Roman"/>
          <w:highlight w:val="none"/>
        </w:rPr>
        <w:br w:type="page"/>
      </w:r>
    </w:p>
    <w:p w14:paraId="61ECB096">
      <w:pPr>
        <w:pStyle w:val="4"/>
        <w:bidi w:val="0"/>
        <w:rPr>
          <w:rFonts w:hint="eastAsia"/>
          <w:lang w:val="en-US" w:eastAsia="zh-CN"/>
        </w:rPr>
      </w:pPr>
      <w:r>
        <w:rPr>
          <w:rFonts w:hint="eastAsia"/>
          <w:lang w:val="en-US" w:eastAsia="zh-CN"/>
        </w:rPr>
        <w:t>二、法定代表人（负责人）身份证明书</w:t>
      </w:r>
    </w:p>
    <w:p w14:paraId="6EA6F453">
      <w:pPr>
        <w:spacing w:line="360" w:lineRule="auto"/>
        <w:ind w:firstLine="602" w:firstLineChars="200"/>
        <w:rPr>
          <w:rFonts w:ascii="宋体" w:hAnsi="宋体" w:eastAsia="宋体" w:cs="宋体"/>
          <w:b/>
          <w:bCs/>
          <w:sz w:val="30"/>
          <w:szCs w:val="30"/>
          <w:highlight w:val="none"/>
        </w:rPr>
      </w:pPr>
    </w:p>
    <w:p w14:paraId="03AD3391">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磋商申请人名称：</w:t>
      </w:r>
    </w:p>
    <w:p w14:paraId="4F460E13">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单位性质：</w:t>
      </w:r>
    </w:p>
    <w:p w14:paraId="7673EABB">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成立时间：年月日</w:t>
      </w:r>
    </w:p>
    <w:p w14:paraId="199B61F2">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经营期限：</w:t>
      </w:r>
    </w:p>
    <w:p w14:paraId="55DB0609">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姓名：性别：年龄：职务：</w:t>
      </w:r>
    </w:p>
    <w:p w14:paraId="234005CF">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系（磋商申请人名称）的法定代表人（负责人）。</w:t>
      </w:r>
    </w:p>
    <w:p w14:paraId="213A9E17">
      <w:pPr>
        <w:spacing w:line="360" w:lineRule="auto"/>
        <w:ind w:firstLine="420" w:firstLineChars="200"/>
        <w:rPr>
          <w:rFonts w:ascii="宋体" w:hAnsi="宋体" w:eastAsia="宋体" w:cs="宋体"/>
          <w:highlight w:val="none"/>
        </w:rPr>
      </w:pPr>
    </w:p>
    <w:p w14:paraId="438B6F17">
      <w:pPr>
        <w:spacing w:line="360" w:lineRule="auto"/>
        <w:ind w:firstLine="840" w:firstLineChars="400"/>
        <w:rPr>
          <w:rFonts w:ascii="宋体" w:hAnsi="宋体" w:eastAsia="宋体" w:cs="宋体"/>
          <w:highlight w:val="none"/>
        </w:rPr>
      </w:pPr>
      <w:r>
        <w:rPr>
          <w:rFonts w:hint="eastAsia" w:ascii="宋体" w:hAnsi="宋体" w:eastAsia="宋体" w:cs="宋体"/>
          <w:highlight w:val="none"/>
        </w:rPr>
        <w:t>特此证明。</w:t>
      </w:r>
    </w:p>
    <w:p w14:paraId="237580DA">
      <w:pPr>
        <w:spacing w:line="360" w:lineRule="auto"/>
        <w:ind w:firstLine="482" w:firstLineChars="200"/>
        <w:rPr>
          <w:rFonts w:ascii="宋体" w:hAnsi="宋体" w:eastAsia="宋体" w:cs="宋体"/>
          <w:b/>
          <w:bCs/>
          <w:sz w:val="24"/>
          <w:szCs w:val="24"/>
          <w:highlight w:val="none"/>
        </w:rPr>
      </w:pPr>
    </w:p>
    <w:p w14:paraId="790B2798">
      <w:pPr>
        <w:spacing w:line="360" w:lineRule="auto"/>
        <w:ind w:firstLine="422" w:firstLineChars="200"/>
        <w:rPr>
          <w:rFonts w:ascii="宋体" w:hAnsi="宋体" w:eastAsia="宋体" w:cs="宋体"/>
          <w:highlight w:val="none"/>
        </w:rPr>
      </w:pPr>
      <w:r>
        <w:rPr>
          <w:rFonts w:hint="eastAsia" w:ascii="宋体" w:hAnsi="宋体" w:eastAsia="宋体" w:cs="宋体"/>
          <w:b/>
          <w:bCs/>
          <w:highlight w:val="none"/>
        </w:rPr>
        <w:t>注：后附法定代表人（负责人）身份证复印件。</w:t>
      </w:r>
    </w:p>
    <w:p w14:paraId="63D98114">
      <w:pPr>
        <w:spacing w:line="360" w:lineRule="auto"/>
        <w:ind w:firstLine="420" w:firstLineChars="200"/>
        <w:rPr>
          <w:rFonts w:ascii="宋体" w:hAnsi="宋体" w:eastAsia="宋体" w:cs="宋体"/>
          <w:highlight w:val="none"/>
        </w:rPr>
      </w:pPr>
    </w:p>
    <w:p w14:paraId="5A655C05">
      <w:pPr>
        <w:spacing w:line="360" w:lineRule="auto"/>
        <w:ind w:left="3780" w:leftChars="1800" w:firstLine="420" w:firstLineChars="200"/>
        <w:rPr>
          <w:rFonts w:ascii="宋体" w:hAnsi="宋体" w:eastAsia="宋体" w:cs="宋体"/>
          <w:highlight w:val="none"/>
        </w:rPr>
      </w:pPr>
      <w:r>
        <w:rPr>
          <w:rFonts w:hint="eastAsia" w:ascii="宋体" w:hAnsi="宋体" w:eastAsia="宋体" w:cs="宋体"/>
          <w:highlight w:val="none"/>
        </w:rPr>
        <w:t>磋商申请人：（盖单位章）</w:t>
      </w:r>
    </w:p>
    <w:p w14:paraId="6C2CE5B6">
      <w:pPr>
        <w:spacing w:line="360" w:lineRule="auto"/>
        <w:ind w:left="3780" w:leftChars="1800" w:firstLine="1050" w:firstLineChars="500"/>
        <w:rPr>
          <w:rFonts w:ascii="宋体" w:hAnsi="宋体" w:eastAsia="宋体" w:cs="宋体"/>
          <w:highlight w:val="none"/>
        </w:rPr>
      </w:pPr>
      <w:r>
        <w:rPr>
          <w:rFonts w:hint="eastAsia" w:ascii="宋体" w:hAnsi="宋体" w:eastAsia="宋体" w:cs="宋体"/>
          <w:highlight w:val="none"/>
        </w:rPr>
        <w:t>年月日</w:t>
      </w:r>
    </w:p>
    <w:p w14:paraId="70BDE3CD">
      <w:pPr>
        <w:spacing w:line="360" w:lineRule="auto"/>
        <w:ind w:firstLine="420" w:firstLineChars="200"/>
        <w:rPr>
          <w:rFonts w:ascii="宋体" w:hAnsi="宋体" w:eastAsia="宋体" w:cs="宋体"/>
          <w:highlight w:val="none"/>
        </w:rPr>
      </w:pPr>
    </w:p>
    <w:p w14:paraId="5B562C08">
      <w:pPr>
        <w:widowControl/>
        <w:jc w:val="left"/>
        <w:rPr>
          <w:rFonts w:ascii="宋体" w:hAnsi="宋体" w:eastAsia="宋体" w:cs="宋体"/>
          <w:highlight w:val="none"/>
        </w:rPr>
      </w:pPr>
      <w:r>
        <w:rPr>
          <w:rFonts w:hint="eastAsia" w:ascii="宋体" w:hAnsi="宋体" w:eastAsia="宋体" w:cs="宋体"/>
          <w:highlight w:val="none"/>
        </w:rPr>
        <w:br w:type="page"/>
      </w:r>
    </w:p>
    <w:p w14:paraId="4C651F2E">
      <w:pPr>
        <w:pStyle w:val="4"/>
        <w:bidi w:val="0"/>
        <w:rPr>
          <w:lang w:val="en-US" w:eastAsia="zh-CN"/>
        </w:rPr>
      </w:pPr>
      <w:r>
        <w:rPr>
          <w:rFonts w:hint="eastAsia"/>
          <w:lang w:val="en-US" w:eastAsia="zh-CN"/>
        </w:rPr>
        <w:t>三、法定代表人（负责人）授权委托书</w:t>
      </w:r>
    </w:p>
    <w:p w14:paraId="2FA66257">
      <w:pPr>
        <w:spacing w:line="360" w:lineRule="auto"/>
        <w:ind w:firstLine="420" w:firstLineChars="200"/>
        <w:rPr>
          <w:rFonts w:ascii="宋体" w:hAnsi="宋体" w:eastAsia="宋体" w:cs="宋体"/>
          <w:highlight w:val="none"/>
        </w:rPr>
      </w:pPr>
    </w:p>
    <w:p w14:paraId="1CCCC80E">
      <w:pPr>
        <w:spacing w:line="360" w:lineRule="auto"/>
        <w:ind w:firstLine="420" w:firstLineChars="200"/>
        <w:rPr>
          <w:rFonts w:ascii="宋体" w:hAnsi="宋体" w:eastAsia="宋体" w:cs="宋体"/>
          <w:highlight w:val="none"/>
        </w:rPr>
      </w:pPr>
    </w:p>
    <w:p w14:paraId="1DDB8BFD">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本授权书声明：</w:t>
      </w:r>
      <w:r>
        <w:rPr>
          <w:rFonts w:hint="eastAsia" w:ascii="宋体" w:hAnsi="宋体" w:eastAsia="宋体" w:cs="宋体"/>
          <w:highlight w:val="none"/>
          <w:u w:val="single"/>
        </w:rPr>
        <w:t xml:space="preserve">       （磋商申请人全称）     </w:t>
      </w:r>
      <w:r>
        <w:rPr>
          <w:rFonts w:hint="eastAsia" w:ascii="宋体" w:hAnsi="宋体" w:eastAsia="宋体" w:cs="宋体"/>
          <w:highlight w:val="none"/>
        </w:rPr>
        <w:t>的法定代表人（负责人）代表本公司授权</w:t>
      </w:r>
      <w:r>
        <w:rPr>
          <w:rFonts w:hint="eastAsia" w:ascii="宋体" w:hAnsi="宋体" w:eastAsia="宋体" w:cs="宋体"/>
          <w:highlight w:val="none"/>
          <w:u w:val="single"/>
        </w:rPr>
        <w:t xml:space="preserve">   （委托代理人姓名）   </w:t>
      </w:r>
      <w:r>
        <w:rPr>
          <w:rFonts w:hint="eastAsia" w:ascii="宋体" w:hAnsi="宋体" w:eastAsia="宋体" w:cs="宋体"/>
          <w:highlight w:val="none"/>
        </w:rPr>
        <w:t>为本公司（单位）合法代理人，以本单位名义亲自出席参加贵方组织的</w:t>
      </w:r>
      <w:r>
        <w:rPr>
          <w:rFonts w:hint="eastAsia" w:ascii="宋体" w:hAnsi="宋体" w:eastAsia="宋体" w:cs="宋体"/>
          <w:highlight w:val="none"/>
          <w:u w:val="single"/>
        </w:rPr>
        <w:t xml:space="preserve">    （项目名称）    </w:t>
      </w:r>
      <w:r>
        <w:rPr>
          <w:rFonts w:hint="eastAsia" w:ascii="宋体" w:hAnsi="宋体" w:eastAsia="宋体" w:cs="宋体"/>
          <w:highlight w:val="none"/>
        </w:rPr>
        <w:t>项目（采购编号：）的磋商。代理人在本项目磋商过程中所签署的一切文件和处理与之有关的一切事务，我方均予承认。</w:t>
      </w:r>
    </w:p>
    <w:p w14:paraId="37CF5AF6">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代理人无转委托权。</w:t>
      </w:r>
    </w:p>
    <w:p w14:paraId="74807F90">
      <w:pPr>
        <w:spacing w:line="360" w:lineRule="auto"/>
        <w:ind w:firstLine="420" w:firstLineChars="200"/>
        <w:rPr>
          <w:rFonts w:ascii="宋体" w:hAnsi="宋体" w:eastAsia="宋体" w:cs="宋体"/>
          <w:highlight w:val="none"/>
        </w:rPr>
      </w:pPr>
    </w:p>
    <w:p w14:paraId="43B8C76B">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磋商申请人：</w:t>
      </w:r>
      <w:r>
        <w:rPr>
          <w:rFonts w:hint="eastAsia" w:ascii="宋体" w:hAnsi="宋体" w:eastAsia="宋体" w:cs="宋体"/>
          <w:highlight w:val="none"/>
          <w:u w:val="single"/>
        </w:rPr>
        <w:t xml:space="preserve">        （全称）      </w:t>
      </w:r>
      <w:r>
        <w:rPr>
          <w:rFonts w:hint="eastAsia" w:ascii="宋体" w:hAnsi="宋体" w:eastAsia="宋体" w:cs="宋体"/>
          <w:highlight w:val="none"/>
        </w:rPr>
        <w:t>（盖单位章）</w:t>
      </w:r>
    </w:p>
    <w:p w14:paraId="4F6F7737">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法定代表人（负责人）：（签字或盖章）</w:t>
      </w:r>
    </w:p>
    <w:p w14:paraId="3DE637AE">
      <w:pPr>
        <w:spacing w:line="360" w:lineRule="auto"/>
        <w:ind w:firstLine="420" w:firstLineChars="200"/>
        <w:rPr>
          <w:rFonts w:ascii="宋体" w:hAnsi="宋体" w:eastAsia="宋体" w:cs="宋体"/>
          <w:highlight w:val="none"/>
        </w:rPr>
      </w:pPr>
    </w:p>
    <w:p w14:paraId="6283877D">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委托代理人相关信息</w:t>
      </w:r>
    </w:p>
    <w:p w14:paraId="1B100464">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姓      名：</w:t>
      </w:r>
    </w:p>
    <w:p w14:paraId="2198AF75">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职      务：</w:t>
      </w:r>
    </w:p>
    <w:p w14:paraId="3AFEC589">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代理人身份证号码：</w:t>
      </w:r>
    </w:p>
    <w:p w14:paraId="37A960F8">
      <w:pPr>
        <w:spacing w:line="360" w:lineRule="auto"/>
        <w:ind w:firstLine="420" w:firstLineChars="200"/>
        <w:rPr>
          <w:rFonts w:ascii="宋体" w:hAnsi="宋体" w:eastAsia="宋体" w:cs="宋体"/>
          <w:highlight w:val="none"/>
          <w:u w:val="single"/>
        </w:rPr>
      </w:pPr>
      <w:r>
        <w:rPr>
          <w:rFonts w:hint="eastAsia" w:ascii="宋体" w:hAnsi="宋体" w:eastAsia="宋体" w:cs="宋体"/>
          <w:highlight w:val="none"/>
        </w:rPr>
        <w:t>委托代理人详细地址：</w:t>
      </w:r>
    </w:p>
    <w:p w14:paraId="227B3A0F">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电      话：</w:t>
      </w:r>
    </w:p>
    <w:p w14:paraId="271D8EA7">
      <w:pPr>
        <w:spacing w:line="360" w:lineRule="auto"/>
        <w:ind w:firstLine="420" w:firstLineChars="200"/>
        <w:rPr>
          <w:rFonts w:ascii="宋体" w:hAnsi="宋体" w:eastAsia="宋体" w:cs="宋体"/>
          <w:highlight w:val="none"/>
          <w:u w:val="single"/>
        </w:rPr>
      </w:pPr>
    </w:p>
    <w:p w14:paraId="39CA3641">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日      期：年月日</w:t>
      </w:r>
    </w:p>
    <w:p w14:paraId="28A85396">
      <w:pPr>
        <w:spacing w:line="360" w:lineRule="auto"/>
        <w:ind w:firstLine="420" w:firstLineChars="200"/>
        <w:rPr>
          <w:rFonts w:ascii="宋体" w:hAnsi="宋体" w:eastAsia="宋体" w:cs="宋体"/>
          <w:highlight w:val="none"/>
        </w:rPr>
      </w:pPr>
    </w:p>
    <w:p w14:paraId="708A4BD3">
      <w:pPr>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注：后附被授权人身份证复印件</w:t>
      </w:r>
    </w:p>
    <w:p w14:paraId="112C360A">
      <w:pPr>
        <w:keepNext/>
        <w:spacing w:line="360" w:lineRule="auto"/>
        <w:ind w:firstLine="422" w:firstLineChars="200"/>
        <w:rPr>
          <w:rFonts w:ascii="宋体" w:hAnsi="宋体" w:eastAsia="宋体" w:cs="宋体"/>
          <w:b/>
          <w:szCs w:val="21"/>
          <w:highlight w:val="none"/>
        </w:rPr>
      </w:pPr>
    </w:p>
    <w:p w14:paraId="38A3ECE4">
      <w:pPr>
        <w:rPr>
          <w:rFonts w:ascii="Calibri" w:hAnsi="Calibri" w:eastAsia="宋体" w:cs="Times New Roman"/>
          <w:highlight w:val="none"/>
        </w:rPr>
      </w:pPr>
      <w:r>
        <w:rPr>
          <w:rFonts w:ascii="Calibri" w:hAnsi="Calibri" w:eastAsia="宋体" w:cs="Times New Roman"/>
          <w:highlight w:val="none"/>
        </w:rPr>
        <w:br w:type="page"/>
      </w:r>
    </w:p>
    <w:p w14:paraId="004232CD">
      <w:pPr>
        <w:pStyle w:val="4"/>
        <w:bidi w:val="0"/>
        <w:rPr>
          <w:rFonts w:hint="eastAsia"/>
          <w:lang w:val="en-US" w:eastAsia="zh-CN"/>
        </w:rPr>
      </w:pPr>
      <w:r>
        <w:rPr>
          <w:rFonts w:hint="eastAsia"/>
          <w:lang w:val="en-US" w:eastAsia="zh-CN"/>
        </w:rPr>
        <w:t>四、资格要求</w:t>
      </w:r>
    </w:p>
    <w:p w14:paraId="4FB31D70">
      <w:pPr>
        <w:widowControl/>
        <w:spacing w:after="0" w:line="360" w:lineRule="auto"/>
        <w:ind w:firstLine="420" w:firstLineChars="200"/>
        <w:jc w:val="left"/>
        <w:rPr>
          <w:rFonts w:hint="eastAsia" w:ascii="宋体" w:hAnsi="宋体" w:eastAsia="宋体" w:cs="宋体"/>
          <w:b w:val="0"/>
          <w:bCs w:val="0"/>
          <w:color w:val="auto"/>
          <w:spacing w:val="0"/>
          <w:kern w:val="2"/>
          <w:sz w:val="21"/>
          <w:szCs w:val="22"/>
          <w:highlight w:val="none"/>
          <w:lang w:val="en-US" w:eastAsia="zh-CN" w:bidi="ar-SA"/>
        </w:rPr>
      </w:pPr>
      <w:r>
        <w:rPr>
          <w:rFonts w:hint="eastAsia" w:ascii="宋体" w:hAnsi="宋体" w:eastAsia="宋体" w:cs="宋体"/>
          <w:b w:val="0"/>
          <w:bCs w:val="0"/>
          <w:color w:val="auto"/>
          <w:spacing w:val="0"/>
          <w:kern w:val="2"/>
          <w:sz w:val="21"/>
          <w:szCs w:val="22"/>
          <w:highlight w:val="none"/>
          <w:lang w:val="en-US" w:eastAsia="zh-CN" w:bidi="ar-SA"/>
        </w:rPr>
        <w:t>1.磋商申请人应具有独立承担民事责任的能力：有效营业执照：磋商申请人有效的统一社会信用代码证或其他组织证件或自然人身份证件等能证明具有独立承担民事责任能力的证明材料。</w:t>
      </w:r>
    </w:p>
    <w:p w14:paraId="59F26519">
      <w:pPr>
        <w:widowControl/>
        <w:spacing w:after="0" w:line="360" w:lineRule="auto"/>
        <w:ind w:firstLine="420" w:firstLineChars="200"/>
        <w:jc w:val="left"/>
        <w:rPr>
          <w:rFonts w:hint="eastAsia" w:ascii="宋体" w:hAnsi="宋体" w:eastAsia="宋体" w:cs="宋体"/>
          <w:b w:val="0"/>
          <w:bCs w:val="0"/>
          <w:color w:val="auto"/>
          <w:spacing w:val="0"/>
          <w:kern w:val="2"/>
          <w:sz w:val="21"/>
          <w:szCs w:val="22"/>
          <w:highlight w:val="none"/>
          <w:lang w:val="en-US" w:eastAsia="zh-CN" w:bidi="ar-SA"/>
        </w:rPr>
      </w:pPr>
      <w:r>
        <w:rPr>
          <w:rFonts w:hint="eastAsia" w:ascii="宋体" w:hAnsi="宋体" w:eastAsia="宋体" w:cs="宋体"/>
          <w:b w:val="0"/>
          <w:bCs w:val="0"/>
          <w:color w:val="auto"/>
          <w:spacing w:val="0"/>
          <w:kern w:val="2"/>
          <w:sz w:val="21"/>
          <w:szCs w:val="22"/>
          <w:highlight w:val="none"/>
          <w:lang w:val="en-US" w:eastAsia="zh-CN" w:bidi="ar-SA"/>
        </w:rPr>
        <w:t>2.具有良好的商业信誉和健全的财务会计制度：磋商申请人须提供近一年（2025年）的财务报表或财务说明或财务审计报告，新成立的公司提供公司成立后有效的财务报表或银行资信证明。</w:t>
      </w:r>
    </w:p>
    <w:p w14:paraId="449F90C4">
      <w:pPr>
        <w:widowControl/>
        <w:spacing w:after="0" w:line="360" w:lineRule="auto"/>
        <w:ind w:firstLine="420" w:firstLineChars="200"/>
        <w:jc w:val="left"/>
        <w:rPr>
          <w:rFonts w:hint="eastAsia" w:ascii="宋体" w:hAnsi="宋体" w:eastAsia="宋体" w:cs="宋体"/>
          <w:b w:val="0"/>
          <w:bCs w:val="0"/>
          <w:color w:val="auto"/>
          <w:spacing w:val="0"/>
          <w:kern w:val="2"/>
          <w:sz w:val="21"/>
          <w:szCs w:val="22"/>
          <w:highlight w:val="none"/>
          <w:lang w:val="en-US" w:eastAsia="zh-CN" w:bidi="ar-SA"/>
        </w:rPr>
      </w:pPr>
      <w:r>
        <w:rPr>
          <w:rFonts w:hint="eastAsia" w:ascii="宋体" w:hAnsi="宋体" w:eastAsia="宋体" w:cs="宋体"/>
          <w:b w:val="0"/>
          <w:bCs w:val="0"/>
          <w:color w:val="auto"/>
          <w:spacing w:val="0"/>
          <w:kern w:val="2"/>
          <w:sz w:val="21"/>
          <w:szCs w:val="22"/>
          <w:highlight w:val="none"/>
          <w:lang w:val="en-US" w:eastAsia="zh-CN" w:bidi="ar-SA"/>
        </w:rPr>
        <w:t>3有依法缴纳税收和社会保障资金的良好记录：依法纳税及缴纳社会保险证明：磋商申请人须提供2025年至今任意三个月份缴纳税收凭证及社会保险证明材料，新成立的公司提供社会保障登记证等相关证明材料</w:t>
      </w:r>
    </w:p>
    <w:p w14:paraId="3136A9FA">
      <w:pPr>
        <w:widowControl/>
        <w:spacing w:after="0" w:line="360" w:lineRule="auto"/>
        <w:ind w:firstLine="420" w:firstLineChars="200"/>
        <w:jc w:val="left"/>
        <w:rPr>
          <w:rFonts w:hint="eastAsia" w:ascii="宋体" w:hAnsi="宋体" w:eastAsia="宋体" w:cs="宋体"/>
          <w:b w:val="0"/>
          <w:bCs w:val="0"/>
          <w:color w:val="auto"/>
          <w:spacing w:val="0"/>
          <w:kern w:val="2"/>
          <w:sz w:val="21"/>
          <w:szCs w:val="22"/>
          <w:highlight w:val="none"/>
          <w:lang w:val="en-US" w:eastAsia="zh-CN" w:bidi="ar-SA"/>
        </w:rPr>
      </w:pPr>
      <w:r>
        <w:rPr>
          <w:rFonts w:hint="eastAsia" w:ascii="宋体" w:hAnsi="宋体" w:eastAsia="宋体" w:cs="宋体"/>
          <w:b w:val="0"/>
          <w:bCs w:val="0"/>
          <w:color w:val="auto"/>
          <w:spacing w:val="0"/>
          <w:kern w:val="2"/>
          <w:sz w:val="21"/>
          <w:szCs w:val="22"/>
          <w:highlight w:val="none"/>
          <w:lang w:val="en-US" w:eastAsia="zh-CN" w:bidi="ar-SA"/>
        </w:rPr>
        <w:t>4.具备履行合同所必需的设备和专业技术能力：提供声明函。</w:t>
      </w:r>
    </w:p>
    <w:p w14:paraId="3D49FDA5">
      <w:pPr>
        <w:widowControl/>
        <w:spacing w:after="0" w:line="360" w:lineRule="auto"/>
        <w:ind w:firstLine="420" w:firstLineChars="200"/>
        <w:jc w:val="left"/>
        <w:rPr>
          <w:rFonts w:hint="eastAsia" w:ascii="宋体" w:hAnsi="宋体" w:eastAsia="宋体" w:cs="宋体"/>
          <w:b w:val="0"/>
          <w:bCs w:val="0"/>
          <w:color w:val="auto"/>
          <w:spacing w:val="0"/>
          <w:kern w:val="2"/>
          <w:sz w:val="21"/>
          <w:szCs w:val="22"/>
          <w:highlight w:val="none"/>
          <w:lang w:val="en-US" w:eastAsia="zh-CN" w:bidi="ar-SA"/>
        </w:rPr>
      </w:pPr>
      <w:r>
        <w:rPr>
          <w:rFonts w:hint="eastAsia" w:ascii="宋体" w:hAnsi="宋体" w:eastAsia="宋体" w:cs="宋体"/>
          <w:b w:val="0"/>
          <w:bCs w:val="0"/>
          <w:color w:val="auto"/>
          <w:spacing w:val="0"/>
          <w:kern w:val="2"/>
          <w:sz w:val="21"/>
          <w:szCs w:val="22"/>
          <w:highlight w:val="none"/>
          <w:lang w:val="en-US" w:eastAsia="zh-CN" w:bidi="ar-SA"/>
        </w:rPr>
        <w:t>5.无重大违法记录声明：参加政府采购活动前3年内在经营活动中没有重大违法记录的书面声明。</w:t>
      </w:r>
    </w:p>
    <w:p w14:paraId="04151A7E">
      <w:pPr>
        <w:widowControl/>
        <w:spacing w:after="0" w:line="360" w:lineRule="auto"/>
        <w:ind w:firstLine="420" w:firstLineChars="200"/>
        <w:jc w:val="left"/>
        <w:rPr>
          <w:rFonts w:hint="eastAsia" w:ascii="宋体" w:hAnsi="宋体" w:eastAsia="宋体" w:cs="宋体"/>
          <w:b w:val="0"/>
          <w:bCs w:val="0"/>
          <w:color w:val="auto"/>
          <w:spacing w:val="0"/>
          <w:kern w:val="2"/>
          <w:sz w:val="21"/>
          <w:szCs w:val="22"/>
          <w:highlight w:val="none"/>
          <w:lang w:val="en-US" w:eastAsia="zh-CN" w:bidi="ar-SA"/>
        </w:rPr>
      </w:pPr>
      <w:r>
        <w:rPr>
          <w:rFonts w:hint="eastAsia" w:ascii="宋体" w:hAnsi="宋体" w:eastAsia="宋体" w:cs="宋体"/>
          <w:b w:val="0"/>
          <w:bCs w:val="0"/>
          <w:color w:val="auto"/>
          <w:spacing w:val="0"/>
          <w:kern w:val="2"/>
          <w:sz w:val="21"/>
          <w:szCs w:val="22"/>
          <w:highlight w:val="none"/>
          <w:lang w:val="en-US" w:eastAsia="zh-CN" w:bidi="ar-SA"/>
        </w:rPr>
        <w:t>6.特定资格要求</w:t>
      </w:r>
    </w:p>
    <w:p w14:paraId="63652734">
      <w:pPr>
        <w:widowControl/>
        <w:spacing w:after="0" w:line="360" w:lineRule="auto"/>
        <w:ind w:firstLine="420" w:firstLineChars="200"/>
        <w:jc w:val="left"/>
        <w:rPr>
          <w:rFonts w:hint="eastAsia" w:ascii="宋体" w:hAnsi="宋体" w:eastAsia="宋体" w:cs="宋体"/>
          <w:b w:val="0"/>
          <w:bCs w:val="0"/>
          <w:color w:val="auto"/>
          <w:spacing w:val="0"/>
          <w:kern w:val="2"/>
          <w:sz w:val="21"/>
          <w:szCs w:val="22"/>
          <w:highlight w:val="none"/>
          <w:lang w:val="en-US" w:eastAsia="zh-CN" w:bidi="ar-SA"/>
        </w:rPr>
      </w:pPr>
      <w:r>
        <w:rPr>
          <w:rFonts w:hint="eastAsia" w:ascii="宋体" w:hAnsi="宋体" w:eastAsia="宋体" w:cs="宋体"/>
          <w:b w:val="0"/>
          <w:bCs w:val="0"/>
          <w:color w:val="auto"/>
          <w:spacing w:val="0"/>
          <w:kern w:val="2"/>
          <w:sz w:val="21"/>
          <w:szCs w:val="22"/>
          <w:highlight w:val="none"/>
          <w:lang w:val="en-US" w:eastAsia="zh-CN" w:bidi="ar-SA"/>
        </w:rPr>
        <w:t>6.1磋商申请人须具有相关部门核发的合格有效的《保安服务许可证》</w:t>
      </w:r>
    </w:p>
    <w:p w14:paraId="3BA76DFC">
      <w:pPr>
        <w:widowControl/>
        <w:spacing w:after="0" w:line="360" w:lineRule="auto"/>
        <w:ind w:firstLine="420" w:firstLineChars="200"/>
        <w:jc w:val="left"/>
        <w:rPr>
          <w:rFonts w:hint="eastAsia" w:ascii="宋体" w:hAnsi="宋体" w:eastAsia="宋体" w:cs="宋体"/>
          <w:b w:val="0"/>
          <w:bCs w:val="0"/>
          <w:color w:val="auto"/>
          <w:spacing w:val="0"/>
          <w:kern w:val="2"/>
          <w:sz w:val="21"/>
          <w:szCs w:val="22"/>
          <w:highlight w:val="none"/>
          <w:lang w:val="en-US" w:eastAsia="zh-CN" w:bidi="ar-SA"/>
        </w:rPr>
      </w:pPr>
      <w:r>
        <w:rPr>
          <w:rFonts w:hint="eastAsia" w:ascii="宋体" w:hAnsi="宋体" w:eastAsia="宋体" w:cs="宋体"/>
          <w:b w:val="0"/>
          <w:bCs w:val="0"/>
          <w:color w:val="auto"/>
          <w:spacing w:val="0"/>
          <w:kern w:val="2"/>
          <w:sz w:val="21"/>
          <w:szCs w:val="22"/>
          <w:highlight w:val="none"/>
          <w:lang w:val="en-US" w:eastAsia="zh-CN" w:bidi="ar-SA"/>
        </w:rPr>
        <w:t>6.2</w:t>
      </w:r>
      <w:r>
        <w:rPr>
          <w:rFonts w:hint="eastAsia" w:ascii="宋体" w:hAnsi="宋体" w:eastAsia="宋体" w:cs="宋体"/>
          <w:b w:val="0"/>
          <w:bCs w:val="0"/>
          <w:color w:val="auto"/>
          <w:spacing w:val="0"/>
          <w:kern w:val="2"/>
          <w:sz w:val="21"/>
          <w:szCs w:val="22"/>
          <w:highlight w:val="none"/>
          <w:lang w:val="en-US" w:eastAsia="zh-CN" w:bidi="ar-SA"/>
        </w:rPr>
        <w:tab/>
      </w:r>
      <w:r>
        <w:rPr>
          <w:rFonts w:hint="eastAsia" w:ascii="宋体" w:hAnsi="宋体" w:eastAsia="宋体" w:cs="宋体"/>
          <w:b w:val="0"/>
          <w:bCs w:val="0"/>
          <w:color w:val="auto"/>
          <w:spacing w:val="0"/>
          <w:kern w:val="2"/>
          <w:sz w:val="21"/>
          <w:szCs w:val="22"/>
          <w:highlight w:val="none"/>
          <w:lang w:val="en-US" w:eastAsia="zh-CN" w:bidi="ar-SA"/>
        </w:rPr>
        <w:t>磋商申请人在采购公告发出日期之前未被列入“信用中国” 网站“失信被执行人” (中国执行信息公开网) 、“重大税收违法失信主体”，未被列入中国政府采购网“政府采购严重违法失信行为信息记录名单”，由采购人及采购代理机构按照以上条款对参与磋商的各申请人的信用信息进行核查，有不良记录的磋商申请将被拒绝。</w:t>
      </w:r>
    </w:p>
    <w:p w14:paraId="3EDFCFAA">
      <w:pPr>
        <w:widowControl/>
        <w:spacing w:after="0" w:line="360" w:lineRule="auto"/>
        <w:ind w:firstLine="420" w:firstLineChars="200"/>
        <w:jc w:val="left"/>
        <w:rPr>
          <w:rFonts w:hint="eastAsia" w:ascii="宋体" w:hAnsi="宋体" w:eastAsia="宋体" w:cs="宋体"/>
          <w:b w:val="0"/>
          <w:bCs w:val="0"/>
          <w:color w:val="auto"/>
          <w:spacing w:val="0"/>
          <w:kern w:val="2"/>
          <w:sz w:val="21"/>
          <w:szCs w:val="22"/>
          <w:highlight w:val="none"/>
          <w:lang w:val="en-US" w:eastAsia="zh-CN" w:bidi="ar-SA"/>
        </w:rPr>
      </w:pPr>
      <w:r>
        <w:rPr>
          <w:rFonts w:hint="eastAsia" w:ascii="宋体" w:hAnsi="宋体" w:eastAsia="宋体" w:cs="宋体"/>
          <w:b w:val="0"/>
          <w:bCs w:val="0"/>
          <w:color w:val="auto"/>
          <w:spacing w:val="0"/>
          <w:kern w:val="2"/>
          <w:sz w:val="21"/>
          <w:szCs w:val="22"/>
          <w:highlight w:val="none"/>
          <w:lang w:val="en-US" w:eastAsia="zh-CN" w:bidi="ar-SA"/>
        </w:rPr>
        <w:t>6.3单位负责人为同一人或者存在直接控股、管理关系的不同磋商申请人，不得参加同一合同项下的政府采购活动。 (提供书面声明)</w:t>
      </w:r>
    </w:p>
    <w:p w14:paraId="05DCDE04">
      <w:pPr>
        <w:widowControl/>
        <w:spacing w:after="0" w:line="240" w:lineRule="auto"/>
        <w:ind w:firstLine="0" w:firstLineChars="0"/>
        <w:jc w:val="left"/>
        <w:rPr>
          <w:rFonts w:hint="eastAsia" w:ascii="宋体" w:hAnsi="宋体" w:eastAsia="宋体" w:cs="宋体"/>
          <w:b w:val="0"/>
          <w:bCs w:val="0"/>
          <w:color w:val="auto"/>
          <w:spacing w:val="0"/>
          <w:kern w:val="2"/>
          <w:sz w:val="24"/>
          <w:szCs w:val="24"/>
          <w:highlight w:val="none"/>
          <w:lang w:val="en-US" w:eastAsia="zh-CN" w:bidi="ar-SA"/>
        </w:rPr>
      </w:pPr>
      <w:r>
        <w:rPr>
          <w:rFonts w:hint="eastAsia" w:ascii="宋体" w:hAnsi="宋体" w:eastAsia="宋体" w:cs="宋体"/>
          <w:b w:val="0"/>
          <w:bCs w:val="0"/>
          <w:color w:val="auto"/>
          <w:spacing w:val="0"/>
          <w:kern w:val="2"/>
          <w:sz w:val="24"/>
          <w:szCs w:val="24"/>
          <w:highlight w:val="none"/>
          <w:lang w:val="en-US" w:eastAsia="zh-CN" w:bidi="ar-SA"/>
        </w:rPr>
        <w:br w:type="page"/>
      </w:r>
    </w:p>
    <w:p w14:paraId="7E57F4C5">
      <w:pPr>
        <w:pStyle w:val="4"/>
        <w:bidi w:val="0"/>
        <w:rPr>
          <w:rFonts w:hint="eastAsia"/>
        </w:rPr>
      </w:pPr>
      <w:r>
        <w:rPr>
          <w:rFonts w:hint="eastAsia"/>
          <w:lang w:val="en-US" w:eastAsia="zh-CN"/>
        </w:rPr>
        <w:t>五、</w:t>
      </w:r>
      <w:r>
        <w:rPr>
          <w:rFonts w:hint="eastAsia"/>
        </w:rPr>
        <w:t>磋商保证金</w:t>
      </w:r>
    </w:p>
    <w:tbl>
      <w:tblPr>
        <w:tblStyle w:val="27"/>
        <w:tblW w:w="9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6"/>
      </w:tblGrid>
      <w:tr w14:paraId="7AE20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4" w:hRule="atLeast"/>
          <w:jc w:val="center"/>
        </w:trPr>
        <w:tc>
          <w:tcPr>
            <w:tcW w:w="9606" w:type="dxa"/>
            <w:tcBorders>
              <w:top w:val="single" w:color="000000" w:sz="4" w:space="0"/>
              <w:left w:val="single" w:color="000000" w:sz="4" w:space="0"/>
              <w:bottom w:val="single" w:color="000000" w:sz="4" w:space="0"/>
              <w:right w:val="single" w:color="000000" w:sz="4" w:space="0"/>
            </w:tcBorders>
            <w:vAlign w:val="center"/>
          </w:tcPr>
          <w:p w14:paraId="02D8922D">
            <w:pPr>
              <w:snapToGrid w:val="0"/>
              <w:spacing w:line="500" w:lineRule="exact"/>
              <w:jc w:val="center"/>
              <w:rPr>
                <w:rStyle w:val="43"/>
                <w:rFonts w:hAnsi="宋体"/>
                <w:sz w:val="44"/>
                <w:szCs w:val="44"/>
                <w:highlight w:val="none"/>
              </w:rPr>
            </w:pPr>
            <w:r>
              <w:rPr>
                <w:rStyle w:val="43"/>
                <w:rFonts w:hAnsi="宋体"/>
                <w:sz w:val="44"/>
                <w:szCs w:val="44"/>
                <w:highlight w:val="none"/>
              </w:rPr>
              <w:t>单据粘贴处或说明</w:t>
            </w:r>
          </w:p>
        </w:tc>
      </w:tr>
      <w:tr w14:paraId="5B95F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jc w:val="center"/>
        </w:trPr>
        <w:tc>
          <w:tcPr>
            <w:tcW w:w="9606" w:type="dxa"/>
            <w:tcBorders>
              <w:top w:val="single" w:color="000000" w:sz="4" w:space="0"/>
              <w:left w:val="single" w:color="000000" w:sz="4" w:space="0"/>
              <w:bottom w:val="single" w:color="000000" w:sz="4" w:space="0"/>
              <w:right w:val="single" w:color="000000" w:sz="4" w:space="0"/>
            </w:tcBorders>
            <w:vAlign w:val="center"/>
          </w:tcPr>
          <w:p w14:paraId="36446731">
            <w:pPr>
              <w:snapToGrid w:val="0"/>
              <w:spacing w:line="500" w:lineRule="exact"/>
              <w:rPr>
                <w:rStyle w:val="43"/>
                <w:rFonts w:hAnsi="宋体"/>
                <w:highlight w:val="none"/>
              </w:rPr>
            </w:pPr>
          </w:p>
          <w:p w14:paraId="25C08ABC">
            <w:pPr>
              <w:snapToGrid w:val="0"/>
              <w:spacing w:line="500" w:lineRule="exact"/>
              <w:rPr>
                <w:rStyle w:val="43"/>
                <w:rFonts w:hAnsi="宋体"/>
                <w:highlight w:val="none"/>
              </w:rPr>
            </w:pPr>
            <w:r>
              <w:rPr>
                <w:rFonts w:hint="eastAsia" w:ascii="宋体" w:hAnsi="宋体"/>
                <w:szCs w:val="21"/>
                <w:highlight w:val="none"/>
              </w:rPr>
              <w:t>磋商申请人</w:t>
            </w:r>
            <w:r>
              <w:rPr>
                <w:rStyle w:val="43"/>
                <w:rFonts w:hAnsi="宋体"/>
                <w:highlight w:val="none"/>
              </w:rPr>
              <w:t>（加盖公章）：</w:t>
            </w:r>
            <w:r>
              <w:rPr>
                <w:rStyle w:val="43"/>
                <w:rFonts w:hAnsi="宋体"/>
                <w:highlight w:val="none"/>
                <w:u w:val="single" w:color="000000"/>
              </w:rPr>
              <w:t>　　　　　　　　　　　　</w:t>
            </w:r>
          </w:p>
          <w:p w14:paraId="04030CF6">
            <w:pPr>
              <w:snapToGrid w:val="0"/>
              <w:spacing w:line="500" w:lineRule="exact"/>
              <w:rPr>
                <w:rStyle w:val="43"/>
                <w:rFonts w:hAnsi="宋体"/>
                <w:highlight w:val="none"/>
              </w:rPr>
            </w:pPr>
          </w:p>
          <w:p w14:paraId="495DA74D">
            <w:pPr>
              <w:snapToGrid w:val="0"/>
              <w:spacing w:line="500" w:lineRule="exact"/>
              <w:rPr>
                <w:rStyle w:val="43"/>
                <w:rFonts w:hAnsi="宋体"/>
                <w:highlight w:val="none"/>
                <w:u w:val="single" w:color="000000"/>
              </w:rPr>
            </w:pPr>
            <w:r>
              <w:rPr>
                <w:rStyle w:val="43"/>
                <w:rFonts w:hAnsi="宋体"/>
                <w:highlight w:val="none"/>
              </w:rPr>
              <w:t>法定代表人或委托代理人（签名）：</w:t>
            </w:r>
            <w:r>
              <w:rPr>
                <w:rStyle w:val="43"/>
                <w:rFonts w:hAnsi="宋体"/>
                <w:highlight w:val="none"/>
                <w:u w:val="single" w:color="000000"/>
              </w:rPr>
              <w:t>　　　　　　　　　　</w:t>
            </w:r>
          </w:p>
          <w:p w14:paraId="0310BBFA">
            <w:pPr>
              <w:snapToGrid w:val="0"/>
              <w:spacing w:line="500" w:lineRule="exact"/>
              <w:rPr>
                <w:rStyle w:val="43"/>
                <w:rFonts w:hAnsi="宋体"/>
                <w:highlight w:val="none"/>
                <w:u w:val="single" w:color="000000"/>
              </w:rPr>
            </w:pPr>
          </w:p>
          <w:p w14:paraId="1BEC0856">
            <w:pPr>
              <w:snapToGrid w:val="0"/>
              <w:spacing w:line="500" w:lineRule="exact"/>
              <w:rPr>
                <w:rStyle w:val="43"/>
                <w:rFonts w:hAnsi="宋体"/>
                <w:highlight w:val="none"/>
              </w:rPr>
            </w:pPr>
            <w:r>
              <w:rPr>
                <w:rStyle w:val="43"/>
                <w:rFonts w:hAnsi="宋体"/>
                <w:highlight w:val="none"/>
              </w:rPr>
              <w:t>日期：</w:t>
            </w:r>
            <w:r>
              <w:rPr>
                <w:rStyle w:val="43"/>
                <w:rFonts w:hAnsi="宋体"/>
                <w:highlight w:val="none"/>
                <w:u w:val="single" w:color="000000"/>
              </w:rPr>
              <w:t>　　　</w:t>
            </w:r>
            <w:r>
              <w:rPr>
                <w:rStyle w:val="43"/>
                <w:rFonts w:hAnsi="宋体"/>
                <w:highlight w:val="none"/>
              </w:rPr>
              <w:t>年</w:t>
            </w:r>
            <w:r>
              <w:rPr>
                <w:rStyle w:val="43"/>
                <w:rFonts w:hAnsi="宋体"/>
                <w:highlight w:val="none"/>
                <w:u w:val="single" w:color="000000"/>
              </w:rPr>
              <w:t>　　</w:t>
            </w:r>
            <w:r>
              <w:rPr>
                <w:rStyle w:val="43"/>
                <w:rFonts w:hAnsi="宋体"/>
                <w:highlight w:val="none"/>
              </w:rPr>
              <w:t>月</w:t>
            </w:r>
            <w:r>
              <w:rPr>
                <w:rStyle w:val="43"/>
                <w:rFonts w:hAnsi="宋体"/>
                <w:highlight w:val="none"/>
                <w:u w:val="single" w:color="000000"/>
              </w:rPr>
              <w:t>　　</w:t>
            </w:r>
            <w:r>
              <w:rPr>
                <w:rStyle w:val="43"/>
                <w:rFonts w:hAnsi="宋体"/>
                <w:highlight w:val="none"/>
              </w:rPr>
              <w:t>日</w:t>
            </w:r>
          </w:p>
          <w:p w14:paraId="14CF7544">
            <w:pPr>
              <w:snapToGrid w:val="0"/>
              <w:spacing w:line="500" w:lineRule="exact"/>
              <w:rPr>
                <w:rStyle w:val="43"/>
                <w:rFonts w:hAnsi="宋体"/>
                <w:highlight w:val="none"/>
              </w:rPr>
            </w:pPr>
            <w:r>
              <w:rPr>
                <w:rStyle w:val="43"/>
                <w:rFonts w:hAnsi="宋体"/>
                <w:highlight w:val="none"/>
              </w:rPr>
              <w:t>------------------------------------------------------------------------------</w:t>
            </w:r>
          </w:p>
          <w:p w14:paraId="6993DCC3">
            <w:pPr>
              <w:snapToGrid w:val="0"/>
              <w:spacing w:line="500" w:lineRule="exact"/>
              <w:rPr>
                <w:rStyle w:val="43"/>
                <w:rFonts w:hAnsi="宋体"/>
                <w:highlight w:val="none"/>
                <w:u w:val="single" w:color="000000"/>
              </w:rPr>
            </w:pPr>
            <w:r>
              <w:rPr>
                <w:rFonts w:hint="eastAsia" w:ascii="宋体" w:hAnsi="宋体"/>
                <w:szCs w:val="21"/>
                <w:highlight w:val="none"/>
              </w:rPr>
              <w:t>磋商申请人</w:t>
            </w:r>
            <w:r>
              <w:rPr>
                <w:rStyle w:val="43"/>
                <w:rFonts w:hAnsi="宋体"/>
                <w:highlight w:val="none"/>
              </w:rPr>
              <w:t>基本开户银行：</w:t>
            </w:r>
            <w:r>
              <w:rPr>
                <w:rStyle w:val="43"/>
                <w:rFonts w:hAnsi="宋体"/>
                <w:highlight w:val="none"/>
                <w:u w:val="single" w:color="000000"/>
              </w:rPr>
              <w:t>　　　　　　　　　　　　</w:t>
            </w:r>
          </w:p>
          <w:p w14:paraId="5A5678AB">
            <w:pPr>
              <w:snapToGrid w:val="0"/>
              <w:spacing w:line="500" w:lineRule="exact"/>
              <w:rPr>
                <w:rStyle w:val="43"/>
                <w:rFonts w:hAnsi="宋体"/>
                <w:highlight w:val="none"/>
              </w:rPr>
            </w:pPr>
          </w:p>
          <w:p w14:paraId="6C2AC75A">
            <w:pPr>
              <w:snapToGrid w:val="0"/>
              <w:spacing w:line="500" w:lineRule="exact"/>
              <w:rPr>
                <w:rStyle w:val="43"/>
                <w:rFonts w:hAnsi="宋体"/>
                <w:highlight w:val="none"/>
                <w:u w:val="single" w:color="000000"/>
              </w:rPr>
            </w:pPr>
            <w:r>
              <w:rPr>
                <w:rStyle w:val="43"/>
                <w:rFonts w:hAnsi="宋体"/>
                <w:highlight w:val="none"/>
              </w:rPr>
              <w:t>开户行名称：</w:t>
            </w:r>
            <w:r>
              <w:rPr>
                <w:rStyle w:val="43"/>
                <w:rFonts w:hAnsi="宋体"/>
                <w:highlight w:val="none"/>
                <w:u w:val="single" w:color="000000"/>
              </w:rPr>
              <w:t>　　　　　　　　     　　　　</w:t>
            </w:r>
          </w:p>
          <w:p w14:paraId="77632F34">
            <w:pPr>
              <w:snapToGrid w:val="0"/>
              <w:spacing w:line="500" w:lineRule="exact"/>
              <w:rPr>
                <w:rStyle w:val="43"/>
                <w:rFonts w:hAnsi="宋体"/>
                <w:highlight w:val="none"/>
              </w:rPr>
            </w:pPr>
          </w:p>
          <w:p w14:paraId="0CBBA75F">
            <w:pPr>
              <w:snapToGrid w:val="0"/>
              <w:spacing w:line="500" w:lineRule="exact"/>
              <w:rPr>
                <w:rStyle w:val="43"/>
                <w:rFonts w:hAnsi="宋体"/>
                <w:highlight w:val="none"/>
                <w:u w:val="single" w:color="000000"/>
              </w:rPr>
            </w:pPr>
            <w:r>
              <w:rPr>
                <w:rStyle w:val="43"/>
                <w:rFonts w:hAnsi="宋体"/>
                <w:highlight w:val="none"/>
              </w:rPr>
              <w:t>账号：</w:t>
            </w:r>
            <w:r>
              <w:rPr>
                <w:rStyle w:val="43"/>
                <w:rFonts w:hAnsi="宋体"/>
                <w:highlight w:val="none"/>
                <w:u w:val="single" w:color="000000"/>
              </w:rPr>
              <w:t>　　　　　　　　　         　　　</w:t>
            </w:r>
          </w:p>
          <w:p w14:paraId="63A5A9CD">
            <w:pPr>
              <w:snapToGrid w:val="0"/>
              <w:spacing w:line="500" w:lineRule="exact"/>
              <w:rPr>
                <w:rStyle w:val="43"/>
                <w:rFonts w:hAnsi="宋体"/>
                <w:highlight w:val="none"/>
                <w:u w:val="single" w:color="000000"/>
              </w:rPr>
            </w:pPr>
          </w:p>
          <w:p w14:paraId="03E5FFF3">
            <w:pPr>
              <w:snapToGrid w:val="0"/>
              <w:spacing w:line="500" w:lineRule="exact"/>
              <w:rPr>
                <w:rStyle w:val="43"/>
                <w:rFonts w:hAnsi="宋体"/>
                <w:highlight w:val="none"/>
                <w:u w:val="single" w:color="000000"/>
              </w:rPr>
            </w:pPr>
            <w:r>
              <w:rPr>
                <w:rStyle w:val="43"/>
                <w:rFonts w:hAnsi="宋体"/>
                <w:highlight w:val="none"/>
              </w:rPr>
              <w:t>开户行行号：</w:t>
            </w:r>
            <w:r>
              <w:rPr>
                <w:rStyle w:val="43"/>
                <w:rFonts w:hAnsi="宋体"/>
                <w:highlight w:val="none"/>
                <w:u w:val="single" w:color="000000"/>
              </w:rPr>
              <w:t xml:space="preserve">                            </w:t>
            </w:r>
          </w:p>
          <w:p w14:paraId="38B867D6">
            <w:pPr>
              <w:snapToGrid w:val="0"/>
              <w:spacing w:line="500" w:lineRule="exact"/>
              <w:rPr>
                <w:rStyle w:val="43"/>
                <w:rFonts w:hAnsi="宋体"/>
                <w:highlight w:val="none"/>
              </w:rPr>
            </w:pPr>
          </w:p>
          <w:p w14:paraId="5217A6B1">
            <w:pPr>
              <w:snapToGrid w:val="0"/>
              <w:spacing w:line="500" w:lineRule="exact"/>
              <w:rPr>
                <w:rStyle w:val="43"/>
                <w:rFonts w:hAnsi="宋体"/>
                <w:highlight w:val="none"/>
              </w:rPr>
            </w:pPr>
            <w:r>
              <w:rPr>
                <w:rStyle w:val="43"/>
                <w:rFonts w:hAnsi="宋体"/>
                <w:highlight w:val="none"/>
              </w:rPr>
              <w:t>联系人：</w:t>
            </w:r>
            <w:r>
              <w:rPr>
                <w:rStyle w:val="43"/>
                <w:rFonts w:hAnsi="宋体"/>
                <w:highlight w:val="none"/>
                <w:u w:val="single" w:color="000000"/>
              </w:rPr>
              <w:t xml:space="preserve">　　　　　　　　　　　　        </w:t>
            </w:r>
            <w:r>
              <w:rPr>
                <w:rStyle w:val="43"/>
                <w:rFonts w:hAnsi="宋体"/>
                <w:highlight w:val="none"/>
              </w:rPr>
              <w:t xml:space="preserve">    </w:t>
            </w:r>
          </w:p>
          <w:p w14:paraId="2A97A04F">
            <w:pPr>
              <w:snapToGrid w:val="0"/>
              <w:spacing w:line="500" w:lineRule="exact"/>
              <w:rPr>
                <w:rStyle w:val="43"/>
                <w:rFonts w:hAnsi="宋体"/>
                <w:highlight w:val="none"/>
              </w:rPr>
            </w:pPr>
          </w:p>
          <w:p w14:paraId="4893C83B">
            <w:pPr>
              <w:snapToGrid w:val="0"/>
              <w:spacing w:line="500" w:lineRule="exact"/>
              <w:rPr>
                <w:rStyle w:val="43"/>
                <w:rFonts w:hAnsi="宋体"/>
                <w:sz w:val="24"/>
                <w:szCs w:val="24"/>
                <w:highlight w:val="none"/>
              </w:rPr>
            </w:pPr>
            <w:r>
              <w:rPr>
                <w:rStyle w:val="43"/>
                <w:rFonts w:hAnsi="宋体"/>
                <w:highlight w:val="none"/>
              </w:rPr>
              <w:t>联系电话：</w:t>
            </w:r>
            <w:r>
              <w:rPr>
                <w:rStyle w:val="43"/>
                <w:rFonts w:hAnsi="宋体"/>
                <w:highlight w:val="none"/>
                <w:u w:val="single" w:color="000000"/>
              </w:rPr>
              <w:t>　　　　　　　　　　　　</w:t>
            </w:r>
          </w:p>
        </w:tc>
      </w:tr>
    </w:tbl>
    <w:p w14:paraId="5805B68B">
      <w:pPr>
        <w:widowControl w:val="0"/>
        <w:spacing w:after="120" w:line="360" w:lineRule="auto"/>
        <w:ind w:firstLine="480" w:firstLineChars="200"/>
        <w:jc w:val="both"/>
        <w:rPr>
          <w:rFonts w:hint="eastAsia" w:ascii="宋体" w:hAnsi="宋体" w:eastAsia="宋体" w:cs="宋体"/>
          <w:b w:val="0"/>
          <w:bCs w:val="0"/>
          <w:color w:val="auto"/>
          <w:spacing w:val="0"/>
          <w:kern w:val="2"/>
          <w:sz w:val="24"/>
          <w:szCs w:val="24"/>
          <w:highlight w:val="none"/>
          <w:lang w:val="en-US" w:eastAsia="zh-CN" w:bidi="ar-SA"/>
        </w:rPr>
      </w:pPr>
    </w:p>
    <w:p w14:paraId="70F1F9C5">
      <w:pPr>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br w:type="page"/>
      </w:r>
    </w:p>
    <w:p w14:paraId="5472284D">
      <w:pPr>
        <w:pStyle w:val="4"/>
        <w:bidi w:val="0"/>
        <w:rPr>
          <w:rFonts w:hint="eastAsia"/>
          <w:lang w:val="en-US" w:eastAsia="zh-CN"/>
        </w:rPr>
      </w:pPr>
      <w:r>
        <w:rPr>
          <w:rFonts w:hint="eastAsia"/>
          <w:lang w:val="en-US" w:eastAsia="zh-CN"/>
        </w:rPr>
        <w:t>六、磋商申请人基本情况表</w:t>
      </w:r>
    </w:p>
    <w:p w14:paraId="55656EF7">
      <w:pP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项目名称：</w:t>
      </w:r>
    </w:p>
    <w:p w14:paraId="395BE9B9">
      <w:pPr>
        <w:spacing w:line="360" w:lineRule="auto"/>
        <w:rPr>
          <w:rFonts w:hint="eastAsia"/>
          <w:sz w:val="21"/>
          <w:szCs w:val="21"/>
          <w:highlight w:val="none"/>
        </w:rPr>
      </w:pPr>
      <w:r>
        <w:rPr>
          <w:rFonts w:hint="eastAsia" w:ascii="宋体" w:hAnsi="宋体"/>
          <w:color w:val="auto"/>
          <w:sz w:val="21"/>
          <w:szCs w:val="21"/>
          <w:highlight w:val="none"/>
        </w:rPr>
        <w:t>项目编号：</w:t>
      </w:r>
    </w:p>
    <w:tbl>
      <w:tblPr>
        <w:tblStyle w:val="27"/>
        <w:tblW w:w="9956"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806"/>
        <w:gridCol w:w="878"/>
        <w:gridCol w:w="1255"/>
        <w:gridCol w:w="223"/>
        <w:gridCol w:w="1291"/>
        <w:gridCol w:w="370"/>
        <w:gridCol w:w="832"/>
        <w:gridCol w:w="562"/>
        <w:gridCol w:w="1739"/>
      </w:tblGrid>
      <w:tr w14:paraId="65DF13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1" w:hRule="atLeast"/>
        </w:trPr>
        <w:tc>
          <w:tcPr>
            <w:tcW w:w="2806" w:type="dxa"/>
            <w:vAlign w:val="center"/>
          </w:tcPr>
          <w:p w14:paraId="278939BF">
            <w:pPr>
              <w:rPr>
                <w:color w:val="auto"/>
                <w:sz w:val="21"/>
                <w:szCs w:val="21"/>
                <w:highlight w:val="none"/>
                <w:lang w:eastAsia="zh-CN"/>
              </w:rPr>
            </w:pPr>
            <w:r>
              <w:rPr>
                <w:rFonts w:hint="eastAsia"/>
                <w:color w:val="auto"/>
                <w:sz w:val="21"/>
                <w:szCs w:val="21"/>
                <w:highlight w:val="none"/>
                <w:lang w:eastAsia="zh-CN"/>
              </w:rPr>
              <w:t>供应商名称</w:t>
            </w:r>
          </w:p>
        </w:tc>
        <w:tc>
          <w:tcPr>
            <w:tcW w:w="7150" w:type="dxa"/>
            <w:gridSpan w:val="8"/>
            <w:vAlign w:val="center"/>
          </w:tcPr>
          <w:p w14:paraId="777D0794">
            <w:pPr>
              <w:rPr>
                <w:color w:val="auto"/>
                <w:sz w:val="21"/>
                <w:szCs w:val="21"/>
                <w:highlight w:val="none"/>
                <w:lang w:eastAsia="zh-CN"/>
              </w:rPr>
            </w:pPr>
          </w:p>
        </w:tc>
      </w:tr>
      <w:tr w14:paraId="0ADC81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2806" w:type="dxa"/>
            <w:vAlign w:val="center"/>
          </w:tcPr>
          <w:p w14:paraId="277ED2F8">
            <w:pPr>
              <w:rPr>
                <w:color w:val="auto"/>
                <w:sz w:val="21"/>
                <w:szCs w:val="21"/>
                <w:highlight w:val="none"/>
                <w:lang w:eastAsia="zh-CN"/>
              </w:rPr>
            </w:pPr>
            <w:r>
              <w:rPr>
                <w:rFonts w:hint="eastAsia"/>
                <w:color w:val="auto"/>
                <w:sz w:val="21"/>
                <w:szCs w:val="21"/>
                <w:highlight w:val="none"/>
                <w:lang w:eastAsia="zh-CN"/>
              </w:rPr>
              <w:t>经营地址</w:t>
            </w:r>
          </w:p>
        </w:tc>
        <w:tc>
          <w:tcPr>
            <w:tcW w:w="4017" w:type="dxa"/>
            <w:gridSpan w:val="5"/>
            <w:vAlign w:val="center"/>
          </w:tcPr>
          <w:p w14:paraId="476FC4F2">
            <w:pPr>
              <w:rPr>
                <w:color w:val="auto"/>
                <w:sz w:val="21"/>
                <w:szCs w:val="21"/>
                <w:highlight w:val="none"/>
                <w:lang w:eastAsia="zh-CN"/>
              </w:rPr>
            </w:pPr>
          </w:p>
        </w:tc>
        <w:tc>
          <w:tcPr>
            <w:tcW w:w="1394" w:type="dxa"/>
            <w:gridSpan w:val="2"/>
            <w:vAlign w:val="center"/>
          </w:tcPr>
          <w:p w14:paraId="7BD7EED3">
            <w:pPr>
              <w:rPr>
                <w:color w:val="auto"/>
                <w:sz w:val="21"/>
                <w:szCs w:val="21"/>
                <w:highlight w:val="none"/>
                <w:lang w:eastAsia="zh-CN"/>
              </w:rPr>
            </w:pPr>
            <w:r>
              <w:rPr>
                <w:rFonts w:hint="eastAsia"/>
                <w:color w:val="auto"/>
                <w:sz w:val="21"/>
                <w:szCs w:val="21"/>
                <w:highlight w:val="none"/>
                <w:lang w:eastAsia="zh-CN"/>
              </w:rPr>
              <w:t>联系电话</w:t>
            </w:r>
          </w:p>
        </w:tc>
        <w:tc>
          <w:tcPr>
            <w:tcW w:w="1739" w:type="dxa"/>
            <w:vAlign w:val="center"/>
          </w:tcPr>
          <w:p w14:paraId="2D7A5D3A">
            <w:pPr>
              <w:rPr>
                <w:color w:val="auto"/>
                <w:sz w:val="21"/>
                <w:szCs w:val="21"/>
                <w:highlight w:val="none"/>
                <w:lang w:eastAsia="zh-CN"/>
              </w:rPr>
            </w:pPr>
          </w:p>
        </w:tc>
      </w:tr>
      <w:tr w14:paraId="134B63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2806" w:type="dxa"/>
            <w:vAlign w:val="center"/>
          </w:tcPr>
          <w:p w14:paraId="0A606CD0">
            <w:pPr>
              <w:rPr>
                <w:color w:val="auto"/>
                <w:sz w:val="21"/>
                <w:szCs w:val="21"/>
                <w:highlight w:val="none"/>
                <w:lang w:eastAsia="zh-CN"/>
              </w:rPr>
            </w:pPr>
            <w:r>
              <w:rPr>
                <w:rFonts w:hint="eastAsia"/>
                <w:color w:val="auto"/>
                <w:sz w:val="21"/>
                <w:szCs w:val="21"/>
                <w:highlight w:val="none"/>
                <w:lang w:eastAsia="zh-CN"/>
              </w:rPr>
              <w:t>企业注册地址</w:t>
            </w:r>
          </w:p>
        </w:tc>
        <w:tc>
          <w:tcPr>
            <w:tcW w:w="4017" w:type="dxa"/>
            <w:gridSpan w:val="5"/>
            <w:vAlign w:val="center"/>
          </w:tcPr>
          <w:p w14:paraId="3497D4D9">
            <w:pPr>
              <w:rPr>
                <w:color w:val="auto"/>
                <w:sz w:val="21"/>
                <w:szCs w:val="21"/>
                <w:highlight w:val="none"/>
                <w:lang w:eastAsia="zh-CN"/>
              </w:rPr>
            </w:pPr>
          </w:p>
        </w:tc>
        <w:tc>
          <w:tcPr>
            <w:tcW w:w="1394" w:type="dxa"/>
            <w:gridSpan w:val="2"/>
            <w:vAlign w:val="center"/>
          </w:tcPr>
          <w:p w14:paraId="04D68DE5">
            <w:pPr>
              <w:rPr>
                <w:color w:val="auto"/>
                <w:sz w:val="21"/>
                <w:szCs w:val="21"/>
                <w:highlight w:val="none"/>
                <w:lang w:eastAsia="zh-CN"/>
              </w:rPr>
            </w:pPr>
            <w:r>
              <w:rPr>
                <w:rFonts w:hint="eastAsia"/>
                <w:color w:val="auto"/>
                <w:sz w:val="21"/>
                <w:szCs w:val="21"/>
                <w:highlight w:val="none"/>
                <w:lang w:eastAsia="zh-CN"/>
              </w:rPr>
              <w:t>传真电话</w:t>
            </w:r>
          </w:p>
        </w:tc>
        <w:tc>
          <w:tcPr>
            <w:tcW w:w="1739" w:type="dxa"/>
            <w:vAlign w:val="center"/>
          </w:tcPr>
          <w:p w14:paraId="43E06078">
            <w:pPr>
              <w:rPr>
                <w:color w:val="auto"/>
                <w:sz w:val="21"/>
                <w:szCs w:val="21"/>
                <w:highlight w:val="none"/>
                <w:lang w:eastAsia="zh-CN"/>
              </w:rPr>
            </w:pPr>
          </w:p>
        </w:tc>
      </w:tr>
      <w:tr w14:paraId="1600FB5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2806" w:type="dxa"/>
            <w:vAlign w:val="center"/>
          </w:tcPr>
          <w:p w14:paraId="2E049133">
            <w:pPr>
              <w:rPr>
                <w:color w:val="auto"/>
                <w:sz w:val="21"/>
                <w:szCs w:val="21"/>
                <w:highlight w:val="none"/>
                <w:lang w:eastAsia="zh-CN"/>
              </w:rPr>
            </w:pPr>
            <w:r>
              <w:rPr>
                <w:rFonts w:hint="eastAsia"/>
                <w:color w:val="auto"/>
                <w:sz w:val="21"/>
                <w:szCs w:val="21"/>
                <w:highlight w:val="none"/>
                <w:lang w:eastAsia="zh-CN"/>
              </w:rPr>
              <w:t>邮政编码</w:t>
            </w:r>
          </w:p>
        </w:tc>
        <w:tc>
          <w:tcPr>
            <w:tcW w:w="2356" w:type="dxa"/>
            <w:gridSpan w:val="3"/>
            <w:vAlign w:val="center"/>
          </w:tcPr>
          <w:p w14:paraId="080780D1">
            <w:pPr>
              <w:rPr>
                <w:color w:val="auto"/>
                <w:sz w:val="21"/>
                <w:szCs w:val="21"/>
                <w:highlight w:val="none"/>
                <w:lang w:eastAsia="zh-CN"/>
              </w:rPr>
            </w:pPr>
          </w:p>
        </w:tc>
        <w:tc>
          <w:tcPr>
            <w:tcW w:w="1661" w:type="dxa"/>
            <w:gridSpan w:val="2"/>
            <w:vAlign w:val="center"/>
          </w:tcPr>
          <w:p w14:paraId="36D38A66">
            <w:pPr>
              <w:rPr>
                <w:color w:val="auto"/>
                <w:sz w:val="21"/>
                <w:szCs w:val="21"/>
                <w:highlight w:val="none"/>
                <w:lang w:eastAsia="zh-CN"/>
              </w:rPr>
            </w:pPr>
            <w:r>
              <w:rPr>
                <w:rFonts w:hint="eastAsia"/>
                <w:color w:val="auto"/>
                <w:sz w:val="21"/>
                <w:szCs w:val="21"/>
                <w:highlight w:val="none"/>
                <w:lang w:eastAsia="zh-CN"/>
              </w:rPr>
              <w:t>电子信箱</w:t>
            </w:r>
          </w:p>
        </w:tc>
        <w:tc>
          <w:tcPr>
            <w:tcW w:w="3133" w:type="dxa"/>
            <w:gridSpan w:val="3"/>
            <w:vAlign w:val="center"/>
          </w:tcPr>
          <w:p w14:paraId="0EF4DD16">
            <w:pPr>
              <w:rPr>
                <w:color w:val="auto"/>
                <w:sz w:val="21"/>
                <w:szCs w:val="21"/>
                <w:highlight w:val="none"/>
                <w:lang w:eastAsia="zh-CN"/>
              </w:rPr>
            </w:pPr>
          </w:p>
        </w:tc>
      </w:tr>
      <w:tr w14:paraId="10F1AD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trPr>
        <w:tc>
          <w:tcPr>
            <w:tcW w:w="2806" w:type="dxa"/>
            <w:vAlign w:val="center"/>
          </w:tcPr>
          <w:p w14:paraId="051CACB7">
            <w:pPr>
              <w:rPr>
                <w:color w:val="auto"/>
                <w:sz w:val="21"/>
                <w:szCs w:val="21"/>
                <w:highlight w:val="none"/>
                <w:lang w:eastAsia="zh-CN"/>
              </w:rPr>
            </w:pPr>
            <w:r>
              <w:rPr>
                <w:rFonts w:hint="eastAsia"/>
                <w:color w:val="auto"/>
                <w:sz w:val="21"/>
                <w:szCs w:val="21"/>
                <w:highlight w:val="none"/>
                <w:lang w:eastAsia="zh-CN"/>
              </w:rPr>
              <w:t>统一社会信用代码</w:t>
            </w:r>
          </w:p>
        </w:tc>
        <w:tc>
          <w:tcPr>
            <w:tcW w:w="7150" w:type="dxa"/>
            <w:gridSpan w:val="8"/>
            <w:vAlign w:val="center"/>
          </w:tcPr>
          <w:p w14:paraId="3847F326">
            <w:pPr>
              <w:rPr>
                <w:color w:val="auto"/>
                <w:sz w:val="21"/>
                <w:szCs w:val="21"/>
                <w:highlight w:val="none"/>
                <w:lang w:eastAsia="zh-CN"/>
              </w:rPr>
            </w:pPr>
          </w:p>
        </w:tc>
      </w:tr>
      <w:tr w14:paraId="624089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2806" w:type="dxa"/>
            <w:vAlign w:val="center"/>
          </w:tcPr>
          <w:p w14:paraId="383D8F7A">
            <w:pPr>
              <w:rPr>
                <w:color w:val="auto"/>
                <w:sz w:val="21"/>
                <w:szCs w:val="21"/>
                <w:highlight w:val="none"/>
                <w:lang w:eastAsia="zh-CN"/>
              </w:rPr>
            </w:pPr>
            <w:r>
              <w:rPr>
                <w:rFonts w:hint="eastAsia"/>
                <w:color w:val="auto"/>
                <w:sz w:val="21"/>
                <w:szCs w:val="21"/>
                <w:highlight w:val="none"/>
                <w:lang w:eastAsia="zh-CN"/>
              </w:rPr>
              <w:t>经济类型</w:t>
            </w:r>
          </w:p>
        </w:tc>
        <w:tc>
          <w:tcPr>
            <w:tcW w:w="2356" w:type="dxa"/>
            <w:gridSpan w:val="3"/>
            <w:vAlign w:val="center"/>
          </w:tcPr>
          <w:p w14:paraId="19D794A8">
            <w:pPr>
              <w:rPr>
                <w:color w:val="auto"/>
                <w:sz w:val="21"/>
                <w:szCs w:val="21"/>
                <w:highlight w:val="none"/>
                <w:lang w:eastAsia="zh-CN"/>
              </w:rPr>
            </w:pPr>
          </w:p>
        </w:tc>
        <w:tc>
          <w:tcPr>
            <w:tcW w:w="1661" w:type="dxa"/>
            <w:gridSpan w:val="2"/>
            <w:vAlign w:val="center"/>
          </w:tcPr>
          <w:p w14:paraId="19C3A91A">
            <w:pPr>
              <w:rPr>
                <w:color w:val="auto"/>
                <w:sz w:val="21"/>
                <w:szCs w:val="21"/>
                <w:highlight w:val="none"/>
                <w:lang w:eastAsia="zh-CN"/>
              </w:rPr>
            </w:pPr>
            <w:r>
              <w:rPr>
                <w:rFonts w:hint="eastAsia"/>
                <w:color w:val="auto"/>
                <w:sz w:val="21"/>
                <w:szCs w:val="21"/>
                <w:highlight w:val="none"/>
                <w:lang w:eastAsia="zh-CN"/>
              </w:rPr>
              <w:t>注册资金</w:t>
            </w:r>
          </w:p>
        </w:tc>
        <w:tc>
          <w:tcPr>
            <w:tcW w:w="3133" w:type="dxa"/>
            <w:gridSpan w:val="3"/>
            <w:vAlign w:val="center"/>
          </w:tcPr>
          <w:p w14:paraId="2C4FB730">
            <w:pPr>
              <w:rPr>
                <w:color w:val="auto"/>
                <w:sz w:val="21"/>
                <w:szCs w:val="21"/>
                <w:highlight w:val="none"/>
                <w:lang w:eastAsia="zh-CN"/>
              </w:rPr>
            </w:pPr>
            <w:r>
              <w:rPr>
                <w:rFonts w:hint="eastAsia"/>
                <w:color w:val="auto"/>
                <w:sz w:val="21"/>
                <w:szCs w:val="21"/>
                <w:highlight w:val="none"/>
                <w:lang w:eastAsia="zh-CN"/>
              </w:rPr>
              <w:t>万</w:t>
            </w:r>
          </w:p>
        </w:tc>
      </w:tr>
      <w:tr w14:paraId="27ACB3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1" w:hRule="atLeast"/>
        </w:trPr>
        <w:tc>
          <w:tcPr>
            <w:tcW w:w="2806" w:type="dxa"/>
            <w:vAlign w:val="center"/>
          </w:tcPr>
          <w:p w14:paraId="44396DEF">
            <w:pPr>
              <w:rPr>
                <w:color w:val="auto"/>
                <w:sz w:val="21"/>
                <w:szCs w:val="21"/>
                <w:highlight w:val="none"/>
                <w:lang w:eastAsia="zh-CN"/>
              </w:rPr>
            </w:pPr>
            <w:r>
              <w:rPr>
                <w:rFonts w:hint="eastAsia"/>
                <w:color w:val="auto"/>
                <w:sz w:val="21"/>
                <w:szCs w:val="21"/>
                <w:highlight w:val="none"/>
                <w:lang w:eastAsia="zh-CN"/>
              </w:rPr>
              <w:t>开户银行</w:t>
            </w:r>
          </w:p>
        </w:tc>
        <w:tc>
          <w:tcPr>
            <w:tcW w:w="2356" w:type="dxa"/>
            <w:gridSpan w:val="3"/>
            <w:vAlign w:val="center"/>
          </w:tcPr>
          <w:p w14:paraId="7DAE5796">
            <w:pPr>
              <w:rPr>
                <w:color w:val="auto"/>
                <w:sz w:val="21"/>
                <w:szCs w:val="21"/>
                <w:highlight w:val="none"/>
                <w:lang w:eastAsia="zh-CN"/>
              </w:rPr>
            </w:pPr>
          </w:p>
        </w:tc>
        <w:tc>
          <w:tcPr>
            <w:tcW w:w="1661" w:type="dxa"/>
            <w:gridSpan w:val="2"/>
            <w:vAlign w:val="center"/>
          </w:tcPr>
          <w:p w14:paraId="32C19D1F">
            <w:pPr>
              <w:rPr>
                <w:color w:val="auto"/>
                <w:sz w:val="21"/>
                <w:szCs w:val="21"/>
                <w:highlight w:val="none"/>
                <w:lang w:eastAsia="zh-CN"/>
              </w:rPr>
            </w:pPr>
            <w:r>
              <w:rPr>
                <w:rFonts w:hint="eastAsia"/>
                <w:color w:val="auto"/>
                <w:sz w:val="21"/>
                <w:szCs w:val="21"/>
                <w:highlight w:val="none"/>
                <w:lang w:eastAsia="zh-CN"/>
              </w:rPr>
              <w:t>帐   号</w:t>
            </w:r>
          </w:p>
        </w:tc>
        <w:tc>
          <w:tcPr>
            <w:tcW w:w="3133" w:type="dxa"/>
            <w:gridSpan w:val="3"/>
            <w:vAlign w:val="center"/>
          </w:tcPr>
          <w:p w14:paraId="74FF40FF">
            <w:pPr>
              <w:rPr>
                <w:color w:val="auto"/>
                <w:sz w:val="21"/>
                <w:szCs w:val="21"/>
                <w:highlight w:val="none"/>
                <w:lang w:eastAsia="zh-CN"/>
              </w:rPr>
            </w:pPr>
          </w:p>
        </w:tc>
      </w:tr>
      <w:tr w14:paraId="09DA57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6" w:hRule="atLeast"/>
        </w:trPr>
        <w:tc>
          <w:tcPr>
            <w:tcW w:w="2806" w:type="dxa"/>
            <w:vAlign w:val="center"/>
          </w:tcPr>
          <w:p w14:paraId="3BA6545E">
            <w:pPr>
              <w:rPr>
                <w:color w:val="auto"/>
                <w:sz w:val="21"/>
                <w:szCs w:val="21"/>
                <w:highlight w:val="none"/>
                <w:lang w:eastAsia="zh-CN"/>
              </w:rPr>
            </w:pPr>
            <w:r>
              <w:rPr>
                <w:rFonts w:hint="eastAsia"/>
                <w:color w:val="auto"/>
                <w:sz w:val="21"/>
                <w:szCs w:val="21"/>
                <w:highlight w:val="none"/>
                <w:lang w:eastAsia="zh-CN"/>
              </w:rPr>
              <w:t>经营范围</w:t>
            </w:r>
          </w:p>
        </w:tc>
        <w:tc>
          <w:tcPr>
            <w:tcW w:w="7150" w:type="dxa"/>
            <w:gridSpan w:val="8"/>
            <w:vAlign w:val="center"/>
          </w:tcPr>
          <w:p w14:paraId="0ECA1D89">
            <w:pPr>
              <w:rPr>
                <w:color w:val="auto"/>
                <w:sz w:val="21"/>
                <w:szCs w:val="21"/>
                <w:highlight w:val="none"/>
                <w:lang w:eastAsia="zh-CN"/>
              </w:rPr>
            </w:pPr>
          </w:p>
        </w:tc>
      </w:tr>
      <w:tr w14:paraId="20892A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1" w:hRule="atLeast"/>
        </w:trPr>
        <w:tc>
          <w:tcPr>
            <w:tcW w:w="2806" w:type="dxa"/>
            <w:vAlign w:val="center"/>
          </w:tcPr>
          <w:p w14:paraId="45FFD968">
            <w:pPr>
              <w:rPr>
                <w:color w:val="auto"/>
                <w:sz w:val="21"/>
                <w:szCs w:val="21"/>
                <w:highlight w:val="none"/>
                <w:lang w:eastAsia="zh-CN"/>
              </w:rPr>
            </w:pPr>
            <w:r>
              <w:rPr>
                <w:rFonts w:hint="eastAsia"/>
                <w:color w:val="auto"/>
                <w:sz w:val="21"/>
                <w:szCs w:val="21"/>
                <w:highlight w:val="none"/>
                <w:lang w:eastAsia="zh-CN"/>
              </w:rPr>
              <w:t>法定代表人</w:t>
            </w:r>
          </w:p>
        </w:tc>
        <w:tc>
          <w:tcPr>
            <w:tcW w:w="878" w:type="dxa"/>
            <w:vAlign w:val="center"/>
          </w:tcPr>
          <w:p w14:paraId="2995B5D1">
            <w:pPr>
              <w:rPr>
                <w:color w:val="auto"/>
                <w:sz w:val="21"/>
                <w:szCs w:val="21"/>
                <w:highlight w:val="none"/>
                <w:lang w:eastAsia="zh-CN"/>
              </w:rPr>
            </w:pPr>
          </w:p>
        </w:tc>
        <w:tc>
          <w:tcPr>
            <w:tcW w:w="1255" w:type="dxa"/>
            <w:vAlign w:val="center"/>
          </w:tcPr>
          <w:p w14:paraId="6BB46C65">
            <w:pPr>
              <w:rPr>
                <w:color w:val="auto"/>
                <w:sz w:val="21"/>
                <w:szCs w:val="21"/>
                <w:highlight w:val="none"/>
                <w:lang w:eastAsia="zh-CN"/>
              </w:rPr>
            </w:pPr>
            <w:r>
              <w:rPr>
                <w:rFonts w:hint="eastAsia"/>
                <w:color w:val="auto"/>
                <w:sz w:val="21"/>
                <w:szCs w:val="21"/>
                <w:highlight w:val="none"/>
                <w:lang w:eastAsia="zh-CN"/>
              </w:rPr>
              <w:t>办公电话</w:t>
            </w:r>
          </w:p>
        </w:tc>
        <w:tc>
          <w:tcPr>
            <w:tcW w:w="1514" w:type="dxa"/>
            <w:gridSpan w:val="2"/>
            <w:vAlign w:val="center"/>
          </w:tcPr>
          <w:p w14:paraId="199CD017">
            <w:pPr>
              <w:rPr>
                <w:color w:val="auto"/>
                <w:sz w:val="21"/>
                <w:szCs w:val="21"/>
                <w:highlight w:val="none"/>
                <w:lang w:eastAsia="zh-CN"/>
              </w:rPr>
            </w:pPr>
          </w:p>
        </w:tc>
        <w:tc>
          <w:tcPr>
            <w:tcW w:w="1202" w:type="dxa"/>
            <w:gridSpan w:val="2"/>
            <w:vAlign w:val="center"/>
          </w:tcPr>
          <w:p w14:paraId="497636E3">
            <w:pPr>
              <w:rPr>
                <w:color w:val="auto"/>
                <w:sz w:val="21"/>
                <w:szCs w:val="21"/>
                <w:highlight w:val="none"/>
                <w:lang w:eastAsia="zh-CN"/>
              </w:rPr>
            </w:pPr>
            <w:r>
              <w:rPr>
                <w:rFonts w:hint="eastAsia"/>
                <w:color w:val="auto"/>
                <w:sz w:val="21"/>
                <w:szCs w:val="21"/>
                <w:highlight w:val="none"/>
                <w:lang w:eastAsia="zh-CN"/>
              </w:rPr>
              <w:t>手机</w:t>
            </w:r>
          </w:p>
        </w:tc>
        <w:tc>
          <w:tcPr>
            <w:tcW w:w="2301" w:type="dxa"/>
            <w:gridSpan w:val="2"/>
            <w:vAlign w:val="center"/>
          </w:tcPr>
          <w:p w14:paraId="20AD2C56">
            <w:pPr>
              <w:rPr>
                <w:color w:val="auto"/>
                <w:sz w:val="21"/>
                <w:szCs w:val="21"/>
                <w:highlight w:val="none"/>
                <w:lang w:eastAsia="zh-CN"/>
              </w:rPr>
            </w:pPr>
          </w:p>
        </w:tc>
      </w:tr>
      <w:tr w14:paraId="5EA853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2806" w:type="dxa"/>
            <w:vAlign w:val="center"/>
          </w:tcPr>
          <w:p w14:paraId="0DE21138">
            <w:pPr>
              <w:rPr>
                <w:color w:val="auto"/>
                <w:sz w:val="21"/>
                <w:szCs w:val="21"/>
                <w:highlight w:val="none"/>
                <w:lang w:eastAsia="zh-CN"/>
              </w:rPr>
            </w:pPr>
            <w:r>
              <w:rPr>
                <w:rFonts w:hint="eastAsia"/>
                <w:color w:val="auto"/>
                <w:sz w:val="21"/>
                <w:szCs w:val="21"/>
                <w:highlight w:val="none"/>
                <w:lang w:eastAsia="zh-CN"/>
              </w:rPr>
              <w:t>管理负责人</w:t>
            </w:r>
          </w:p>
        </w:tc>
        <w:tc>
          <w:tcPr>
            <w:tcW w:w="878" w:type="dxa"/>
            <w:vAlign w:val="center"/>
          </w:tcPr>
          <w:p w14:paraId="72AE27C5">
            <w:pPr>
              <w:rPr>
                <w:color w:val="auto"/>
                <w:sz w:val="21"/>
                <w:szCs w:val="21"/>
                <w:highlight w:val="none"/>
                <w:lang w:eastAsia="zh-CN"/>
              </w:rPr>
            </w:pPr>
          </w:p>
        </w:tc>
        <w:tc>
          <w:tcPr>
            <w:tcW w:w="1255" w:type="dxa"/>
            <w:vAlign w:val="center"/>
          </w:tcPr>
          <w:p w14:paraId="796EA76A">
            <w:pPr>
              <w:rPr>
                <w:color w:val="auto"/>
                <w:sz w:val="21"/>
                <w:szCs w:val="21"/>
                <w:highlight w:val="none"/>
                <w:lang w:eastAsia="zh-CN"/>
              </w:rPr>
            </w:pPr>
            <w:r>
              <w:rPr>
                <w:rFonts w:hint="eastAsia"/>
                <w:color w:val="auto"/>
                <w:sz w:val="21"/>
                <w:szCs w:val="21"/>
                <w:highlight w:val="none"/>
                <w:lang w:eastAsia="zh-CN"/>
              </w:rPr>
              <w:t>办公电话</w:t>
            </w:r>
          </w:p>
        </w:tc>
        <w:tc>
          <w:tcPr>
            <w:tcW w:w="1514" w:type="dxa"/>
            <w:gridSpan w:val="2"/>
            <w:vAlign w:val="center"/>
          </w:tcPr>
          <w:p w14:paraId="201D7F72">
            <w:pPr>
              <w:rPr>
                <w:color w:val="auto"/>
                <w:sz w:val="21"/>
                <w:szCs w:val="21"/>
                <w:highlight w:val="none"/>
                <w:lang w:eastAsia="zh-CN"/>
              </w:rPr>
            </w:pPr>
          </w:p>
        </w:tc>
        <w:tc>
          <w:tcPr>
            <w:tcW w:w="1202" w:type="dxa"/>
            <w:gridSpan w:val="2"/>
            <w:vAlign w:val="center"/>
          </w:tcPr>
          <w:p w14:paraId="5442CC46">
            <w:pPr>
              <w:rPr>
                <w:color w:val="auto"/>
                <w:sz w:val="21"/>
                <w:szCs w:val="21"/>
                <w:highlight w:val="none"/>
                <w:lang w:eastAsia="zh-CN"/>
              </w:rPr>
            </w:pPr>
            <w:r>
              <w:rPr>
                <w:rFonts w:hint="eastAsia"/>
                <w:color w:val="auto"/>
                <w:sz w:val="21"/>
                <w:szCs w:val="21"/>
                <w:highlight w:val="none"/>
                <w:lang w:eastAsia="zh-CN"/>
              </w:rPr>
              <w:t>手机</w:t>
            </w:r>
          </w:p>
        </w:tc>
        <w:tc>
          <w:tcPr>
            <w:tcW w:w="2301" w:type="dxa"/>
            <w:gridSpan w:val="2"/>
            <w:vAlign w:val="center"/>
          </w:tcPr>
          <w:p w14:paraId="6CB107F1">
            <w:pPr>
              <w:rPr>
                <w:color w:val="auto"/>
                <w:sz w:val="21"/>
                <w:szCs w:val="21"/>
                <w:highlight w:val="none"/>
                <w:lang w:eastAsia="zh-CN"/>
              </w:rPr>
            </w:pPr>
          </w:p>
        </w:tc>
      </w:tr>
      <w:tr w14:paraId="426E69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09" w:hRule="atLeast"/>
        </w:trPr>
        <w:tc>
          <w:tcPr>
            <w:tcW w:w="3684" w:type="dxa"/>
            <w:gridSpan w:val="2"/>
            <w:vMerge w:val="restart"/>
            <w:vAlign w:val="center"/>
          </w:tcPr>
          <w:p w14:paraId="2E128CCC">
            <w:pPr>
              <w:rPr>
                <w:color w:val="auto"/>
                <w:sz w:val="21"/>
                <w:szCs w:val="21"/>
                <w:highlight w:val="none"/>
                <w:lang w:eastAsia="zh-CN"/>
              </w:rPr>
            </w:pPr>
            <w:r>
              <w:rPr>
                <w:rFonts w:hint="eastAsia"/>
                <w:color w:val="auto"/>
                <w:sz w:val="21"/>
                <w:szCs w:val="21"/>
                <w:highlight w:val="none"/>
                <w:lang w:eastAsia="zh-CN"/>
              </w:rPr>
              <w:t>人员配备情况（人）</w:t>
            </w:r>
          </w:p>
        </w:tc>
        <w:tc>
          <w:tcPr>
            <w:tcW w:w="1478" w:type="dxa"/>
            <w:gridSpan w:val="2"/>
            <w:vAlign w:val="center"/>
          </w:tcPr>
          <w:p w14:paraId="6BE29703">
            <w:pPr>
              <w:rPr>
                <w:color w:val="auto"/>
                <w:sz w:val="21"/>
                <w:szCs w:val="21"/>
                <w:highlight w:val="none"/>
                <w:lang w:eastAsia="zh-CN"/>
              </w:rPr>
            </w:pPr>
            <w:r>
              <w:rPr>
                <w:rFonts w:hint="eastAsia"/>
                <w:color w:val="auto"/>
                <w:sz w:val="21"/>
                <w:szCs w:val="21"/>
                <w:highlight w:val="none"/>
                <w:lang w:eastAsia="zh-CN"/>
              </w:rPr>
              <w:t>在职总人数</w:t>
            </w:r>
          </w:p>
        </w:tc>
        <w:tc>
          <w:tcPr>
            <w:tcW w:w="1291" w:type="dxa"/>
            <w:vAlign w:val="center"/>
          </w:tcPr>
          <w:p w14:paraId="47DEAEBA">
            <w:pPr>
              <w:rPr>
                <w:color w:val="auto"/>
                <w:sz w:val="21"/>
                <w:szCs w:val="21"/>
                <w:highlight w:val="none"/>
                <w:lang w:eastAsia="zh-CN"/>
              </w:rPr>
            </w:pPr>
            <w:r>
              <w:rPr>
                <w:rFonts w:hint="eastAsia"/>
                <w:color w:val="auto"/>
                <w:sz w:val="21"/>
                <w:szCs w:val="21"/>
                <w:highlight w:val="none"/>
                <w:lang w:eastAsia="zh-CN"/>
              </w:rPr>
              <w:t>管理人员</w:t>
            </w:r>
          </w:p>
        </w:tc>
        <w:tc>
          <w:tcPr>
            <w:tcW w:w="3503" w:type="dxa"/>
            <w:gridSpan w:val="4"/>
            <w:vAlign w:val="center"/>
          </w:tcPr>
          <w:p w14:paraId="40E9A350">
            <w:pPr>
              <w:rPr>
                <w:color w:val="auto"/>
                <w:sz w:val="21"/>
                <w:szCs w:val="21"/>
                <w:highlight w:val="none"/>
                <w:lang w:eastAsia="zh-CN"/>
              </w:rPr>
            </w:pPr>
            <w:r>
              <w:rPr>
                <w:rFonts w:hint="eastAsia"/>
                <w:color w:val="auto"/>
                <w:sz w:val="21"/>
                <w:szCs w:val="21"/>
                <w:highlight w:val="none"/>
                <w:lang w:eastAsia="zh-CN"/>
              </w:rPr>
              <w:t>其 他</w:t>
            </w:r>
          </w:p>
        </w:tc>
      </w:tr>
      <w:tr w14:paraId="5D86FA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3684" w:type="dxa"/>
            <w:gridSpan w:val="2"/>
            <w:vMerge w:val="continue"/>
            <w:vAlign w:val="center"/>
          </w:tcPr>
          <w:p w14:paraId="2FCD682B">
            <w:pPr>
              <w:rPr>
                <w:color w:val="auto"/>
                <w:sz w:val="21"/>
                <w:szCs w:val="21"/>
                <w:highlight w:val="none"/>
                <w:lang w:eastAsia="zh-CN"/>
              </w:rPr>
            </w:pPr>
          </w:p>
        </w:tc>
        <w:tc>
          <w:tcPr>
            <w:tcW w:w="1478" w:type="dxa"/>
            <w:gridSpan w:val="2"/>
            <w:vAlign w:val="center"/>
          </w:tcPr>
          <w:p w14:paraId="6B407A8E">
            <w:pPr>
              <w:rPr>
                <w:color w:val="auto"/>
                <w:sz w:val="21"/>
                <w:szCs w:val="21"/>
                <w:highlight w:val="none"/>
                <w:lang w:eastAsia="zh-CN"/>
              </w:rPr>
            </w:pPr>
          </w:p>
        </w:tc>
        <w:tc>
          <w:tcPr>
            <w:tcW w:w="1291" w:type="dxa"/>
            <w:vAlign w:val="center"/>
          </w:tcPr>
          <w:p w14:paraId="73509AED">
            <w:pPr>
              <w:rPr>
                <w:color w:val="auto"/>
                <w:sz w:val="21"/>
                <w:szCs w:val="21"/>
                <w:highlight w:val="none"/>
                <w:lang w:eastAsia="zh-CN"/>
              </w:rPr>
            </w:pPr>
          </w:p>
        </w:tc>
        <w:tc>
          <w:tcPr>
            <w:tcW w:w="3503" w:type="dxa"/>
            <w:gridSpan w:val="4"/>
            <w:vAlign w:val="center"/>
          </w:tcPr>
          <w:p w14:paraId="4FBE1F0E">
            <w:pPr>
              <w:rPr>
                <w:color w:val="auto"/>
                <w:sz w:val="21"/>
                <w:szCs w:val="21"/>
                <w:highlight w:val="none"/>
                <w:lang w:eastAsia="zh-CN"/>
              </w:rPr>
            </w:pPr>
          </w:p>
        </w:tc>
      </w:tr>
    </w:tbl>
    <w:p w14:paraId="5F7DB27E">
      <w:pPr>
        <w:rPr>
          <w:rFonts w:hint="eastAsia"/>
          <w:color w:val="auto"/>
          <w:sz w:val="21"/>
          <w:szCs w:val="21"/>
          <w:highlight w:val="none"/>
          <w:lang w:eastAsia="zh-CN"/>
        </w:rPr>
      </w:pPr>
    </w:p>
    <w:p w14:paraId="1A6FE91A">
      <w:pPr>
        <w:rPr>
          <w:color w:val="auto"/>
          <w:sz w:val="21"/>
          <w:szCs w:val="21"/>
          <w:highlight w:val="none"/>
          <w:lang w:eastAsia="zh-CN"/>
        </w:rPr>
      </w:pPr>
      <w:r>
        <w:rPr>
          <w:rFonts w:hint="eastAsia"/>
          <w:color w:val="auto"/>
          <w:sz w:val="21"/>
          <w:szCs w:val="21"/>
          <w:highlight w:val="none"/>
          <w:lang w:eastAsia="zh-CN"/>
        </w:rPr>
        <w:t>附公司简介：</w:t>
      </w:r>
    </w:p>
    <w:p w14:paraId="0CE92014">
      <w:pPr>
        <w:spacing w:line="360" w:lineRule="auto"/>
        <w:ind w:leftChars="-47" w:hanging="98" w:hangingChars="47"/>
        <w:rPr>
          <w:rFonts w:hint="eastAsia" w:ascii="宋体" w:hAnsi="宋体"/>
          <w:color w:val="auto"/>
          <w:sz w:val="21"/>
          <w:szCs w:val="21"/>
          <w:highlight w:val="none"/>
        </w:rPr>
      </w:pPr>
    </w:p>
    <w:p w14:paraId="48E55E30">
      <w:pPr>
        <w:snapToGrid w:val="0"/>
        <w:spacing w:line="360" w:lineRule="auto"/>
        <w:ind w:firstLine="315" w:firstLineChars="150"/>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（加盖公章）：</w:t>
      </w:r>
      <w:r>
        <w:rPr>
          <w:rFonts w:hint="eastAsia" w:ascii="宋体" w:hAnsi="宋体"/>
          <w:color w:val="auto"/>
          <w:sz w:val="21"/>
          <w:szCs w:val="21"/>
          <w:highlight w:val="none"/>
          <w:u w:val="single"/>
        </w:rPr>
        <w:t xml:space="preserve">                             </w:t>
      </w:r>
    </w:p>
    <w:p w14:paraId="6C4B6FAC">
      <w:pPr>
        <w:snapToGrid w:val="0"/>
        <w:spacing w:line="360" w:lineRule="auto"/>
        <w:ind w:firstLine="315" w:firstLineChars="150"/>
        <w:jc w:val="left"/>
        <w:rPr>
          <w:rFonts w:hint="eastAsia" w:ascii="宋体" w:hAnsi="宋体"/>
          <w:color w:val="auto"/>
          <w:sz w:val="21"/>
          <w:szCs w:val="21"/>
          <w:highlight w:val="none"/>
          <w:u w:val="single"/>
        </w:rPr>
      </w:pPr>
      <w:r>
        <w:rPr>
          <w:rFonts w:hint="eastAsia" w:hAnsi="宋体"/>
          <w:color w:val="auto"/>
          <w:sz w:val="21"/>
          <w:szCs w:val="21"/>
          <w:highlight w:val="none"/>
          <w:lang w:eastAsia="zh-CN"/>
        </w:rPr>
        <w:t>法定代表人或委托代理人</w:t>
      </w:r>
      <w:r>
        <w:rPr>
          <w:rFonts w:hint="eastAsia" w:ascii="宋体" w:hAnsi="宋体"/>
          <w:color w:val="auto"/>
          <w:sz w:val="21"/>
          <w:szCs w:val="21"/>
          <w:highlight w:val="none"/>
        </w:rPr>
        <w:t>（</w:t>
      </w:r>
      <w:r>
        <w:rPr>
          <w:rFonts w:hint="eastAsia" w:ascii="宋体" w:hAnsi="宋体"/>
          <w:color w:val="auto"/>
          <w:sz w:val="21"/>
          <w:szCs w:val="21"/>
          <w:highlight w:val="none"/>
          <w:u w:val="single"/>
        </w:rPr>
        <w:t>签字或盖章</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14:paraId="74295181">
      <w:pPr>
        <w:snapToGrid w:val="0"/>
        <w:spacing w:line="360" w:lineRule="auto"/>
        <w:ind w:left="0" w:right="0" w:firstLine="315" w:firstLineChars="150"/>
        <w:jc w:val="left"/>
        <w:rPr>
          <w:rFonts w:hint="eastAsia" w:ascii="宋体" w:hAnsi="宋体" w:eastAsia="宋体" w:cs="宋体"/>
          <w:strike w:val="0"/>
          <w:dstrike w:val="0"/>
          <w:color w:val="auto"/>
          <w:sz w:val="21"/>
          <w:szCs w:val="21"/>
          <w:highlight w:val="none"/>
          <w:lang w:val="en-US" w:eastAsia="zh-CN"/>
        </w:rPr>
      </w:pPr>
      <w:r>
        <w:rPr>
          <w:rFonts w:hint="eastAsia" w:ascii="宋体" w:hAnsi="宋体"/>
          <w:color w:val="auto"/>
          <w:sz w:val="21"/>
          <w:szCs w:val="21"/>
          <w:highlight w:val="none"/>
        </w:rPr>
        <w:t>日  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20266C5A">
      <w:pPr>
        <w:spacing w:line="360" w:lineRule="auto"/>
        <w:ind w:left="46" w:right="165"/>
        <w:jc w:val="center"/>
        <w:rPr>
          <w:rFonts w:hint="eastAsia" w:ascii="宋体" w:hAnsi="宋体" w:eastAsia="宋体" w:cs="宋体"/>
          <w:strike w:val="0"/>
          <w:dstrike w:val="0"/>
          <w:color w:val="auto"/>
          <w:sz w:val="24"/>
          <w:szCs w:val="24"/>
          <w:highlight w:val="none"/>
          <w:lang w:val="en-US" w:eastAsia="zh-CN"/>
        </w:rPr>
      </w:pPr>
    </w:p>
    <w:p w14:paraId="2183E1FB">
      <w:pPr>
        <w:pStyle w:val="4"/>
        <w:bidi w:val="0"/>
        <w:rPr>
          <w:rFonts w:hint="eastAsia"/>
          <w:bCs/>
          <w:szCs w:val="32"/>
          <w:highlight w:val="none"/>
          <w:lang w:eastAsia="zh-CN" w:bidi="ar-SA"/>
        </w:rPr>
      </w:pPr>
      <w:r>
        <w:rPr>
          <w:rFonts w:hint="eastAsia" w:ascii="宋体" w:hAnsi="宋体" w:eastAsia="宋体" w:cs="宋体"/>
          <w:strike w:val="0"/>
          <w:dstrike w:val="0"/>
          <w:color w:val="auto"/>
          <w:sz w:val="24"/>
          <w:szCs w:val="24"/>
          <w:highlight w:val="none"/>
          <w:lang w:val="en-US" w:eastAsia="zh-CN"/>
        </w:rPr>
        <w:br w:type="page"/>
      </w:r>
      <w:r>
        <w:rPr>
          <w:rFonts w:hint="eastAsia" w:ascii="宋体" w:hAnsi="宋体" w:eastAsia="宋体" w:cs="宋体"/>
          <w:color w:val="auto"/>
          <w:sz w:val="28"/>
          <w:szCs w:val="28"/>
          <w:highlight w:val="none"/>
          <w:lang w:val="en-US" w:eastAsia="zh-CN"/>
        </w:rPr>
        <w:t>七、</w:t>
      </w:r>
      <w:r>
        <w:rPr>
          <w:rFonts w:hint="eastAsia"/>
          <w:bCs/>
          <w:szCs w:val="32"/>
          <w:highlight w:val="none"/>
          <w:lang w:eastAsia="zh-CN" w:bidi="ar-SA"/>
        </w:rPr>
        <w:t>服务清单价格表</w:t>
      </w:r>
    </w:p>
    <w:p w14:paraId="06A5AFF8">
      <w:pP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项目名称：</w:t>
      </w:r>
    </w:p>
    <w:p w14:paraId="71961FE2">
      <w:pPr>
        <w:rPr>
          <w:rFonts w:hint="eastAsia"/>
          <w:lang w:val="en-US" w:eastAsia="zh-CN"/>
        </w:rPr>
      </w:pPr>
      <w:r>
        <w:rPr>
          <w:rFonts w:hint="eastAsia" w:ascii="宋体" w:hAnsi="宋体"/>
          <w:color w:val="auto"/>
          <w:sz w:val="21"/>
          <w:szCs w:val="21"/>
          <w:highlight w:val="none"/>
        </w:rPr>
        <w:t>项目编号：</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2900"/>
        <w:gridCol w:w="1027"/>
        <w:gridCol w:w="1027"/>
        <w:gridCol w:w="576"/>
        <w:gridCol w:w="1501"/>
        <w:gridCol w:w="1201"/>
        <w:gridCol w:w="1201"/>
      </w:tblGrid>
      <w:tr w14:paraId="4EEF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vMerge w:val="restart"/>
            <w:tcBorders>
              <w:top w:val="single" w:color="auto" w:sz="4" w:space="0"/>
              <w:left w:val="single" w:color="auto" w:sz="4" w:space="0"/>
              <w:right w:val="single" w:color="auto" w:sz="4" w:space="0"/>
            </w:tcBorders>
            <w:noWrap/>
            <w:vAlign w:val="center"/>
          </w:tcPr>
          <w:p w14:paraId="72C672C8">
            <w:pPr>
              <w:jc w:val="center"/>
              <w:rPr>
                <w:kern w:val="2"/>
                <w:sz w:val="21"/>
                <w:szCs w:val="21"/>
                <w:highlight w:val="none"/>
              </w:rPr>
            </w:pPr>
            <w:r>
              <w:rPr>
                <w:rFonts w:hint="eastAsia"/>
                <w:kern w:val="2"/>
                <w:sz w:val="21"/>
                <w:szCs w:val="21"/>
                <w:highlight w:val="none"/>
              </w:rPr>
              <w:t>序号</w:t>
            </w:r>
          </w:p>
        </w:tc>
        <w:tc>
          <w:tcPr>
            <w:tcW w:w="2900" w:type="dxa"/>
            <w:vMerge w:val="restart"/>
            <w:tcBorders>
              <w:top w:val="single" w:color="auto" w:sz="4" w:space="0"/>
              <w:left w:val="single" w:color="auto" w:sz="4" w:space="0"/>
              <w:right w:val="single" w:color="auto" w:sz="4" w:space="0"/>
            </w:tcBorders>
            <w:noWrap/>
            <w:vAlign w:val="center"/>
          </w:tcPr>
          <w:p w14:paraId="4211BA5E">
            <w:pPr>
              <w:jc w:val="center"/>
              <w:rPr>
                <w:kern w:val="2"/>
                <w:sz w:val="21"/>
                <w:szCs w:val="21"/>
                <w:highlight w:val="none"/>
              </w:rPr>
            </w:pPr>
            <w:r>
              <w:rPr>
                <w:rFonts w:hint="eastAsia"/>
                <w:kern w:val="2"/>
                <w:sz w:val="21"/>
                <w:szCs w:val="21"/>
                <w:highlight w:val="none"/>
              </w:rPr>
              <w:t>采购项目名称</w:t>
            </w:r>
          </w:p>
        </w:tc>
        <w:tc>
          <w:tcPr>
            <w:tcW w:w="1027" w:type="dxa"/>
            <w:vMerge w:val="restart"/>
            <w:tcBorders>
              <w:top w:val="single" w:color="auto" w:sz="4" w:space="0"/>
              <w:left w:val="single" w:color="auto" w:sz="4" w:space="0"/>
              <w:right w:val="single" w:color="auto" w:sz="4" w:space="0"/>
            </w:tcBorders>
            <w:noWrap/>
            <w:vAlign w:val="center"/>
          </w:tcPr>
          <w:p w14:paraId="6663D4C0">
            <w:pPr>
              <w:jc w:val="center"/>
              <w:rPr>
                <w:kern w:val="2"/>
                <w:sz w:val="21"/>
                <w:szCs w:val="21"/>
                <w:highlight w:val="none"/>
                <w:lang w:eastAsia="zh-CN"/>
              </w:rPr>
            </w:pPr>
            <w:r>
              <w:rPr>
                <w:rFonts w:hint="eastAsia"/>
                <w:kern w:val="2"/>
                <w:sz w:val="21"/>
                <w:szCs w:val="21"/>
                <w:highlight w:val="none"/>
                <w:lang w:eastAsia="zh-CN"/>
              </w:rPr>
              <w:t>岗位</w:t>
            </w:r>
          </w:p>
        </w:tc>
        <w:tc>
          <w:tcPr>
            <w:tcW w:w="1027" w:type="dxa"/>
            <w:vMerge w:val="restart"/>
            <w:tcBorders>
              <w:top w:val="single" w:color="auto" w:sz="4" w:space="0"/>
              <w:left w:val="single" w:color="auto" w:sz="4" w:space="0"/>
              <w:right w:val="single" w:color="auto" w:sz="4" w:space="0"/>
            </w:tcBorders>
            <w:noWrap/>
            <w:vAlign w:val="center"/>
          </w:tcPr>
          <w:p w14:paraId="0EFE3075">
            <w:pPr>
              <w:jc w:val="center"/>
              <w:rPr>
                <w:kern w:val="2"/>
                <w:sz w:val="21"/>
                <w:szCs w:val="21"/>
                <w:highlight w:val="none"/>
              </w:rPr>
            </w:pPr>
            <w:r>
              <w:rPr>
                <w:rFonts w:hint="eastAsia"/>
                <w:kern w:val="2"/>
                <w:sz w:val="21"/>
                <w:szCs w:val="21"/>
                <w:highlight w:val="none"/>
              </w:rPr>
              <w:t>计量单位</w:t>
            </w:r>
          </w:p>
        </w:tc>
        <w:tc>
          <w:tcPr>
            <w:tcW w:w="2077" w:type="dxa"/>
            <w:gridSpan w:val="2"/>
            <w:tcBorders>
              <w:top w:val="single" w:color="auto" w:sz="4" w:space="0"/>
              <w:left w:val="single" w:color="auto" w:sz="4" w:space="0"/>
              <w:right w:val="single" w:color="auto" w:sz="4" w:space="0"/>
            </w:tcBorders>
            <w:noWrap/>
            <w:vAlign w:val="center"/>
          </w:tcPr>
          <w:p w14:paraId="2413FBAE">
            <w:pPr>
              <w:jc w:val="both"/>
              <w:rPr>
                <w:kern w:val="2"/>
                <w:sz w:val="21"/>
                <w:szCs w:val="21"/>
                <w:highlight w:val="none"/>
                <w:lang w:eastAsia="zh-CN"/>
              </w:rPr>
            </w:pPr>
          </w:p>
        </w:tc>
        <w:tc>
          <w:tcPr>
            <w:tcW w:w="1201" w:type="dxa"/>
            <w:vMerge w:val="restart"/>
            <w:tcBorders>
              <w:top w:val="single" w:color="auto" w:sz="4" w:space="0"/>
              <w:left w:val="single" w:color="auto" w:sz="4" w:space="0"/>
              <w:right w:val="single" w:color="auto" w:sz="4" w:space="0"/>
            </w:tcBorders>
            <w:noWrap/>
            <w:vAlign w:val="center"/>
          </w:tcPr>
          <w:p w14:paraId="63938F80">
            <w:pPr>
              <w:jc w:val="center"/>
              <w:rPr>
                <w:kern w:val="2"/>
                <w:sz w:val="21"/>
                <w:szCs w:val="21"/>
                <w:highlight w:val="none"/>
              </w:rPr>
            </w:pPr>
            <w:r>
              <w:rPr>
                <w:rFonts w:hint="eastAsia"/>
                <w:kern w:val="2"/>
                <w:sz w:val="21"/>
                <w:szCs w:val="21"/>
                <w:highlight w:val="none"/>
                <w:lang w:eastAsia="zh-CN"/>
              </w:rPr>
              <w:t>小计</w:t>
            </w:r>
            <w:r>
              <w:rPr>
                <w:rFonts w:hint="eastAsia"/>
                <w:kern w:val="2"/>
                <w:sz w:val="21"/>
                <w:szCs w:val="21"/>
                <w:highlight w:val="none"/>
              </w:rPr>
              <w:t>（元/</w:t>
            </w:r>
            <w:r>
              <w:rPr>
                <w:rFonts w:hint="eastAsia"/>
                <w:kern w:val="2"/>
                <w:sz w:val="21"/>
                <w:szCs w:val="21"/>
                <w:highlight w:val="none"/>
                <w:lang w:eastAsia="zh-CN"/>
              </w:rPr>
              <w:t>月</w:t>
            </w:r>
            <w:r>
              <w:rPr>
                <w:rFonts w:hint="eastAsia"/>
                <w:kern w:val="2"/>
                <w:sz w:val="21"/>
                <w:szCs w:val="21"/>
                <w:highlight w:val="none"/>
              </w:rPr>
              <w:t>）</w:t>
            </w:r>
          </w:p>
        </w:tc>
        <w:tc>
          <w:tcPr>
            <w:tcW w:w="1201" w:type="dxa"/>
            <w:vMerge w:val="restart"/>
            <w:tcBorders>
              <w:top w:val="single" w:color="auto" w:sz="4" w:space="0"/>
              <w:left w:val="single" w:color="auto" w:sz="4" w:space="0"/>
              <w:right w:val="single" w:color="auto" w:sz="4" w:space="0"/>
            </w:tcBorders>
            <w:noWrap/>
            <w:vAlign w:val="center"/>
          </w:tcPr>
          <w:p w14:paraId="7D078BB3">
            <w:pPr>
              <w:jc w:val="center"/>
              <w:rPr>
                <w:kern w:val="2"/>
                <w:sz w:val="21"/>
                <w:szCs w:val="21"/>
                <w:highlight w:val="none"/>
                <w:lang w:eastAsia="zh-CN"/>
              </w:rPr>
            </w:pPr>
            <w:r>
              <w:rPr>
                <w:rFonts w:hint="eastAsia"/>
                <w:kern w:val="2"/>
                <w:sz w:val="21"/>
                <w:szCs w:val="21"/>
                <w:highlight w:val="none"/>
                <w:lang w:eastAsia="zh-CN"/>
              </w:rPr>
              <w:t>总价</w:t>
            </w:r>
          </w:p>
        </w:tc>
      </w:tr>
      <w:tr w14:paraId="26EB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25" w:type="dxa"/>
            <w:vMerge w:val="continue"/>
            <w:tcBorders>
              <w:left w:val="single" w:color="auto" w:sz="4" w:space="0"/>
              <w:bottom w:val="single" w:color="auto" w:sz="4" w:space="0"/>
              <w:right w:val="single" w:color="auto" w:sz="4" w:space="0"/>
            </w:tcBorders>
            <w:noWrap/>
            <w:vAlign w:val="center"/>
          </w:tcPr>
          <w:p w14:paraId="0B1E4E94">
            <w:pPr>
              <w:jc w:val="center"/>
              <w:rPr>
                <w:highlight w:val="none"/>
              </w:rPr>
            </w:pPr>
          </w:p>
        </w:tc>
        <w:tc>
          <w:tcPr>
            <w:tcW w:w="2900" w:type="dxa"/>
            <w:vMerge w:val="continue"/>
            <w:tcBorders>
              <w:left w:val="single" w:color="auto" w:sz="4" w:space="0"/>
              <w:bottom w:val="single" w:color="auto" w:sz="4" w:space="0"/>
              <w:right w:val="single" w:color="auto" w:sz="4" w:space="0"/>
            </w:tcBorders>
            <w:noWrap/>
            <w:vAlign w:val="center"/>
          </w:tcPr>
          <w:p w14:paraId="77B2872C">
            <w:pPr>
              <w:jc w:val="center"/>
              <w:rPr>
                <w:highlight w:val="none"/>
              </w:rPr>
            </w:pPr>
          </w:p>
        </w:tc>
        <w:tc>
          <w:tcPr>
            <w:tcW w:w="1027" w:type="dxa"/>
            <w:vMerge w:val="continue"/>
            <w:tcBorders>
              <w:left w:val="single" w:color="auto" w:sz="4" w:space="0"/>
              <w:right w:val="single" w:color="auto" w:sz="4" w:space="0"/>
            </w:tcBorders>
            <w:noWrap/>
            <w:vAlign w:val="center"/>
          </w:tcPr>
          <w:p w14:paraId="2C998902">
            <w:pPr>
              <w:jc w:val="center"/>
              <w:rPr>
                <w:highlight w:val="none"/>
              </w:rPr>
            </w:pPr>
          </w:p>
        </w:tc>
        <w:tc>
          <w:tcPr>
            <w:tcW w:w="1027" w:type="dxa"/>
            <w:vMerge w:val="continue"/>
            <w:tcBorders>
              <w:left w:val="single" w:color="auto" w:sz="4" w:space="0"/>
              <w:right w:val="single" w:color="auto" w:sz="4" w:space="0"/>
            </w:tcBorders>
            <w:noWrap/>
            <w:vAlign w:val="center"/>
          </w:tcPr>
          <w:p w14:paraId="075588C8">
            <w:pPr>
              <w:jc w:val="center"/>
              <w:rPr>
                <w:highlight w:val="none"/>
              </w:rPr>
            </w:pPr>
          </w:p>
        </w:tc>
        <w:tc>
          <w:tcPr>
            <w:tcW w:w="576" w:type="dxa"/>
            <w:tcBorders>
              <w:top w:val="single" w:color="auto" w:sz="4" w:space="0"/>
              <w:left w:val="single" w:color="auto" w:sz="4" w:space="0"/>
              <w:right w:val="single" w:color="auto" w:sz="4" w:space="0"/>
            </w:tcBorders>
            <w:noWrap/>
            <w:vAlign w:val="center"/>
          </w:tcPr>
          <w:p w14:paraId="3619166A">
            <w:pPr>
              <w:jc w:val="center"/>
              <w:rPr>
                <w:kern w:val="2"/>
                <w:sz w:val="21"/>
                <w:szCs w:val="21"/>
                <w:highlight w:val="none"/>
                <w:lang w:eastAsia="zh-CN"/>
              </w:rPr>
            </w:pPr>
            <w:r>
              <w:rPr>
                <w:rFonts w:hint="eastAsia"/>
                <w:kern w:val="2"/>
                <w:sz w:val="21"/>
                <w:szCs w:val="21"/>
                <w:highlight w:val="none"/>
                <w:lang w:eastAsia="zh-CN"/>
              </w:rPr>
              <w:t>数量</w:t>
            </w:r>
          </w:p>
        </w:tc>
        <w:tc>
          <w:tcPr>
            <w:tcW w:w="1501" w:type="dxa"/>
            <w:tcBorders>
              <w:top w:val="single" w:color="auto" w:sz="4" w:space="0"/>
              <w:left w:val="single" w:color="auto" w:sz="4" w:space="0"/>
              <w:right w:val="single" w:color="auto" w:sz="4" w:space="0"/>
            </w:tcBorders>
            <w:noWrap/>
            <w:vAlign w:val="center"/>
          </w:tcPr>
          <w:p w14:paraId="190E5336">
            <w:pPr>
              <w:jc w:val="center"/>
              <w:rPr>
                <w:kern w:val="2"/>
                <w:sz w:val="21"/>
                <w:szCs w:val="21"/>
                <w:highlight w:val="none"/>
                <w:lang w:eastAsia="zh-CN"/>
              </w:rPr>
            </w:pPr>
            <w:r>
              <w:rPr>
                <w:rFonts w:hint="eastAsia"/>
                <w:kern w:val="2"/>
                <w:sz w:val="21"/>
                <w:szCs w:val="21"/>
                <w:highlight w:val="none"/>
                <w:lang w:eastAsia="zh-CN"/>
              </w:rPr>
              <w:t>服务单价</w:t>
            </w:r>
          </w:p>
        </w:tc>
        <w:tc>
          <w:tcPr>
            <w:tcW w:w="1201" w:type="dxa"/>
            <w:vMerge w:val="continue"/>
            <w:tcBorders>
              <w:left w:val="single" w:color="auto" w:sz="4" w:space="0"/>
              <w:right w:val="single" w:color="auto" w:sz="4" w:space="0"/>
            </w:tcBorders>
            <w:noWrap/>
            <w:vAlign w:val="center"/>
          </w:tcPr>
          <w:p w14:paraId="2840C900">
            <w:pPr>
              <w:jc w:val="center"/>
              <w:rPr>
                <w:kern w:val="2"/>
                <w:sz w:val="21"/>
                <w:szCs w:val="21"/>
                <w:highlight w:val="none"/>
                <w:lang w:eastAsia="zh-CN"/>
              </w:rPr>
            </w:pPr>
          </w:p>
        </w:tc>
        <w:tc>
          <w:tcPr>
            <w:tcW w:w="1201" w:type="dxa"/>
            <w:vMerge w:val="continue"/>
            <w:tcBorders>
              <w:left w:val="single" w:color="auto" w:sz="4" w:space="0"/>
              <w:right w:val="single" w:color="auto" w:sz="4" w:space="0"/>
            </w:tcBorders>
            <w:noWrap/>
            <w:vAlign w:val="center"/>
          </w:tcPr>
          <w:p w14:paraId="1F07315D">
            <w:pPr>
              <w:jc w:val="center"/>
              <w:rPr>
                <w:kern w:val="2"/>
                <w:sz w:val="21"/>
                <w:szCs w:val="21"/>
                <w:highlight w:val="none"/>
                <w:lang w:eastAsia="zh-CN"/>
              </w:rPr>
            </w:pPr>
          </w:p>
        </w:tc>
      </w:tr>
      <w:tr w14:paraId="0C1B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525" w:type="dxa"/>
            <w:tcBorders>
              <w:top w:val="single" w:color="auto" w:sz="4" w:space="0"/>
              <w:left w:val="single" w:color="auto" w:sz="4" w:space="0"/>
              <w:right w:val="single" w:color="auto" w:sz="4" w:space="0"/>
            </w:tcBorders>
            <w:noWrap/>
            <w:vAlign w:val="center"/>
          </w:tcPr>
          <w:p w14:paraId="4D06498E">
            <w:pPr>
              <w:jc w:val="center"/>
              <w:rPr>
                <w:kern w:val="2"/>
                <w:sz w:val="21"/>
                <w:szCs w:val="21"/>
                <w:highlight w:val="none"/>
              </w:rPr>
            </w:pPr>
            <w:r>
              <w:rPr>
                <w:rFonts w:hint="eastAsia"/>
                <w:kern w:val="2"/>
                <w:sz w:val="21"/>
                <w:szCs w:val="21"/>
                <w:highlight w:val="none"/>
              </w:rPr>
              <w:t>1</w:t>
            </w:r>
          </w:p>
        </w:tc>
        <w:tc>
          <w:tcPr>
            <w:tcW w:w="2900" w:type="dxa"/>
            <w:tcBorders>
              <w:top w:val="single" w:color="auto" w:sz="4" w:space="0"/>
              <w:left w:val="single" w:color="auto" w:sz="4" w:space="0"/>
              <w:right w:val="single" w:color="auto" w:sz="4" w:space="0"/>
            </w:tcBorders>
            <w:noWrap/>
            <w:vAlign w:val="center"/>
          </w:tcPr>
          <w:p w14:paraId="40EF85BD">
            <w:pPr>
              <w:jc w:val="both"/>
              <w:rPr>
                <w:kern w:val="2"/>
                <w:sz w:val="21"/>
                <w:szCs w:val="21"/>
                <w:highlight w:val="none"/>
                <w:lang w:eastAsia="zh-CN"/>
              </w:rPr>
            </w:pPr>
            <w:r>
              <w:rPr>
                <w:rFonts w:hint="eastAsia"/>
                <w:kern w:val="2"/>
                <w:sz w:val="21"/>
                <w:szCs w:val="21"/>
                <w:highlight w:val="none"/>
                <w:lang w:eastAsia="zh-CN"/>
              </w:rPr>
              <w:t>保山市隆阳区瓦房乡中心学校校园安全安保服务</w:t>
            </w:r>
          </w:p>
        </w:tc>
        <w:tc>
          <w:tcPr>
            <w:tcW w:w="1027" w:type="dxa"/>
            <w:tcBorders>
              <w:top w:val="single" w:color="auto" w:sz="4" w:space="0"/>
              <w:left w:val="single" w:color="auto" w:sz="4" w:space="0"/>
              <w:bottom w:val="single" w:color="auto" w:sz="4" w:space="0"/>
              <w:right w:val="single" w:color="auto" w:sz="4" w:space="0"/>
            </w:tcBorders>
            <w:noWrap/>
            <w:vAlign w:val="center"/>
          </w:tcPr>
          <w:p w14:paraId="3BCC3703">
            <w:pPr>
              <w:jc w:val="center"/>
              <w:rPr>
                <w:rFonts w:hint="default" w:eastAsia="宋体"/>
                <w:kern w:val="2"/>
                <w:sz w:val="21"/>
                <w:szCs w:val="21"/>
                <w:highlight w:val="none"/>
                <w:lang w:val="en-US" w:eastAsia="zh-CN"/>
              </w:rPr>
            </w:pPr>
            <w:r>
              <w:rPr>
                <w:rFonts w:hint="eastAsia"/>
                <w:kern w:val="2"/>
                <w:sz w:val="21"/>
                <w:szCs w:val="21"/>
                <w:highlight w:val="none"/>
                <w:lang w:val="en-US" w:eastAsia="zh-CN"/>
              </w:rPr>
              <w:t>安保服务人员</w:t>
            </w:r>
          </w:p>
        </w:tc>
        <w:tc>
          <w:tcPr>
            <w:tcW w:w="1027" w:type="dxa"/>
            <w:tcBorders>
              <w:top w:val="single" w:color="auto" w:sz="4" w:space="0"/>
              <w:left w:val="single" w:color="auto" w:sz="4" w:space="0"/>
              <w:bottom w:val="single" w:color="auto" w:sz="4" w:space="0"/>
              <w:right w:val="single" w:color="auto" w:sz="4" w:space="0"/>
            </w:tcBorders>
            <w:noWrap/>
            <w:vAlign w:val="center"/>
          </w:tcPr>
          <w:p w14:paraId="3791983B">
            <w:pPr>
              <w:jc w:val="center"/>
              <w:rPr>
                <w:kern w:val="2"/>
                <w:sz w:val="21"/>
                <w:szCs w:val="21"/>
                <w:highlight w:val="none"/>
              </w:rPr>
            </w:pPr>
            <w:r>
              <w:rPr>
                <w:rFonts w:hint="eastAsia"/>
                <w:kern w:val="2"/>
                <w:sz w:val="21"/>
                <w:szCs w:val="21"/>
                <w:highlight w:val="none"/>
              </w:rPr>
              <w:t>人/月</w:t>
            </w:r>
          </w:p>
        </w:tc>
        <w:tc>
          <w:tcPr>
            <w:tcW w:w="576" w:type="dxa"/>
            <w:tcBorders>
              <w:top w:val="single" w:color="auto" w:sz="4" w:space="0"/>
              <w:left w:val="single" w:color="auto" w:sz="4" w:space="0"/>
              <w:bottom w:val="single" w:color="auto" w:sz="4" w:space="0"/>
              <w:right w:val="single" w:color="auto" w:sz="4" w:space="0"/>
            </w:tcBorders>
            <w:noWrap/>
            <w:vAlign w:val="center"/>
          </w:tcPr>
          <w:p w14:paraId="0F4BFD15">
            <w:pPr>
              <w:jc w:val="center"/>
              <w:rPr>
                <w:rFonts w:hint="default"/>
                <w:kern w:val="2"/>
                <w:sz w:val="21"/>
                <w:szCs w:val="21"/>
                <w:highlight w:val="none"/>
                <w:lang w:val="en-US" w:eastAsia="zh-CN"/>
              </w:rPr>
            </w:pPr>
            <w:r>
              <w:rPr>
                <w:rFonts w:hint="eastAsia"/>
                <w:kern w:val="2"/>
                <w:sz w:val="21"/>
                <w:szCs w:val="21"/>
                <w:highlight w:val="none"/>
                <w:lang w:val="en-US" w:eastAsia="zh-CN"/>
              </w:rPr>
              <w:t>28</w:t>
            </w:r>
          </w:p>
        </w:tc>
        <w:tc>
          <w:tcPr>
            <w:tcW w:w="1501" w:type="dxa"/>
            <w:tcBorders>
              <w:top w:val="single" w:color="auto" w:sz="4" w:space="0"/>
              <w:left w:val="single" w:color="auto" w:sz="4" w:space="0"/>
              <w:bottom w:val="single" w:color="auto" w:sz="4" w:space="0"/>
              <w:right w:val="single" w:color="auto" w:sz="4" w:space="0"/>
            </w:tcBorders>
            <w:noWrap/>
            <w:vAlign w:val="center"/>
          </w:tcPr>
          <w:p w14:paraId="516720B8">
            <w:pPr>
              <w:jc w:val="center"/>
              <w:rPr>
                <w:kern w:val="2"/>
                <w:sz w:val="21"/>
                <w:szCs w:val="21"/>
                <w:highlight w:val="none"/>
                <w:lang w:eastAsia="zh-CN"/>
              </w:rPr>
            </w:pPr>
            <w:r>
              <w:rPr>
                <w:rFonts w:hint="eastAsia"/>
                <w:kern w:val="2"/>
                <w:sz w:val="21"/>
                <w:szCs w:val="21"/>
                <w:highlight w:val="none"/>
              </w:rPr>
              <w:t>元/月</w:t>
            </w:r>
            <w:r>
              <w:rPr>
                <w:rFonts w:hint="eastAsia"/>
                <w:kern w:val="2"/>
                <w:sz w:val="21"/>
                <w:szCs w:val="21"/>
                <w:highlight w:val="none"/>
                <w:lang w:eastAsia="zh-CN"/>
              </w:rPr>
              <w:t>/</w:t>
            </w:r>
            <w:r>
              <w:rPr>
                <w:rFonts w:hint="eastAsia"/>
                <w:kern w:val="2"/>
                <w:sz w:val="21"/>
                <w:szCs w:val="21"/>
                <w:highlight w:val="none"/>
              </w:rPr>
              <w:t>人</w:t>
            </w:r>
          </w:p>
        </w:tc>
        <w:tc>
          <w:tcPr>
            <w:tcW w:w="1201" w:type="dxa"/>
            <w:tcBorders>
              <w:top w:val="single" w:color="auto" w:sz="4" w:space="0"/>
              <w:left w:val="single" w:color="auto" w:sz="4" w:space="0"/>
              <w:bottom w:val="single" w:color="auto" w:sz="4" w:space="0"/>
              <w:right w:val="single" w:color="auto" w:sz="4" w:space="0"/>
            </w:tcBorders>
            <w:noWrap/>
            <w:vAlign w:val="center"/>
          </w:tcPr>
          <w:p w14:paraId="588D52B2">
            <w:pPr>
              <w:jc w:val="center"/>
              <w:rPr>
                <w:kern w:val="2"/>
                <w:sz w:val="21"/>
                <w:szCs w:val="21"/>
                <w:highlight w:val="none"/>
              </w:rPr>
            </w:pPr>
          </w:p>
        </w:tc>
        <w:tc>
          <w:tcPr>
            <w:tcW w:w="1201" w:type="dxa"/>
            <w:tcBorders>
              <w:top w:val="single" w:color="auto" w:sz="4" w:space="0"/>
              <w:left w:val="single" w:color="auto" w:sz="4" w:space="0"/>
              <w:bottom w:val="single" w:color="auto" w:sz="4" w:space="0"/>
              <w:right w:val="single" w:color="auto" w:sz="4" w:space="0"/>
            </w:tcBorders>
            <w:noWrap/>
            <w:vAlign w:val="center"/>
          </w:tcPr>
          <w:p w14:paraId="0AB0C348">
            <w:pPr>
              <w:jc w:val="center"/>
              <w:rPr>
                <w:kern w:val="2"/>
                <w:sz w:val="21"/>
                <w:szCs w:val="21"/>
                <w:highlight w:val="none"/>
              </w:rPr>
            </w:pPr>
          </w:p>
        </w:tc>
      </w:tr>
    </w:tbl>
    <w:p w14:paraId="3680F196">
      <w:pPr>
        <w:pStyle w:val="2"/>
        <w:tabs>
          <w:tab w:val="left" w:pos="6427"/>
        </w:tabs>
        <w:spacing w:line="360" w:lineRule="auto"/>
        <w:ind w:left="731"/>
        <w:jc w:val="right"/>
        <w:rPr>
          <w:rFonts w:hint="eastAsia" w:ascii="宋体" w:hAnsi="宋体" w:eastAsia="宋体" w:cs="宋体"/>
          <w:strike w:val="0"/>
          <w:dstrike w:val="0"/>
          <w:color w:val="auto"/>
          <w:sz w:val="21"/>
          <w:szCs w:val="21"/>
          <w:highlight w:val="none"/>
          <w:lang w:eastAsia="zh-CN"/>
        </w:rPr>
      </w:pPr>
    </w:p>
    <w:p w14:paraId="69CAB70D">
      <w:pPr>
        <w:pStyle w:val="2"/>
        <w:tabs>
          <w:tab w:val="left" w:pos="6427"/>
        </w:tabs>
        <w:spacing w:line="360" w:lineRule="auto"/>
        <w:ind w:left="731"/>
        <w:jc w:val="right"/>
        <w:rPr>
          <w:rFonts w:hint="eastAsia" w:ascii="宋体" w:hAnsi="宋体" w:eastAsia="宋体" w:cs="宋体"/>
          <w:strike w:val="0"/>
          <w:dstrike w:val="0"/>
          <w:color w:val="auto"/>
          <w:sz w:val="21"/>
          <w:szCs w:val="21"/>
          <w:highlight w:val="none"/>
          <w:lang w:eastAsia="zh-CN"/>
        </w:rPr>
      </w:pPr>
    </w:p>
    <w:p w14:paraId="268B6112">
      <w:pPr>
        <w:pStyle w:val="2"/>
        <w:tabs>
          <w:tab w:val="left" w:pos="6427"/>
        </w:tabs>
        <w:spacing w:line="360" w:lineRule="auto"/>
        <w:ind w:left="731"/>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供应商</w:t>
      </w:r>
      <w:r>
        <w:rPr>
          <w:rFonts w:hint="eastAsia" w:ascii="宋体" w:hAnsi="宋体" w:eastAsia="宋体" w:cs="宋体"/>
          <w:strike w:val="0"/>
          <w:dstrike w:val="0"/>
          <w:color w:val="auto"/>
          <w:sz w:val="21"/>
          <w:szCs w:val="21"/>
          <w:highlight w:val="none"/>
        </w:rPr>
        <w:t>全称（加盖公章）：</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rPr>
        <w:tab/>
      </w:r>
    </w:p>
    <w:p w14:paraId="7EF96B21">
      <w:pPr>
        <w:pStyle w:val="2"/>
        <w:tabs>
          <w:tab w:val="left" w:pos="5707"/>
        </w:tabs>
        <w:spacing w:before="74" w:line="360" w:lineRule="auto"/>
        <w:ind w:left="731"/>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法定代表人或委托代理人（签字或盖章）：</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u w:val="single"/>
        </w:rPr>
        <w:tab/>
      </w:r>
    </w:p>
    <w:p w14:paraId="5E46A42D">
      <w:pPr>
        <w:pStyle w:val="2"/>
        <w:tabs>
          <w:tab w:val="left" w:pos="2291"/>
          <w:tab w:val="left" w:pos="3012"/>
          <w:tab w:val="left" w:pos="3852"/>
        </w:tabs>
        <w:spacing w:before="67" w:line="360" w:lineRule="auto"/>
        <w:ind w:left="731"/>
        <w:jc w:val="left"/>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rPr>
        <w:t>日</w:t>
      </w:r>
    </w:p>
    <w:p w14:paraId="2217C718">
      <w:pPr>
        <w:pStyle w:val="4"/>
        <w:bidi w:val="0"/>
        <w:rPr>
          <w:rFonts w:hint="eastAsia" w:ascii="宋体" w:hAnsi="宋体" w:eastAsia="宋体" w:cs="宋体"/>
          <w:color w:val="auto"/>
          <w:sz w:val="28"/>
          <w:szCs w:val="28"/>
          <w:highlight w:val="none"/>
          <w:lang w:val="en-US" w:eastAsia="zh-CN"/>
        </w:rPr>
      </w:pPr>
      <w:r>
        <w:rPr>
          <w:rFonts w:hint="eastAsia" w:ascii="宋体" w:hAnsi="宋体" w:eastAsia="宋体" w:cs="宋体"/>
          <w:strike w:val="0"/>
          <w:dstrike w:val="0"/>
          <w:color w:val="auto"/>
          <w:sz w:val="24"/>
          <w:szCs w:val="24"/>
          <w:highlight w:val="none"/>
          <w:lang w:val="en-US" w:eastAsia="zh-CN"/>
        </w:rPr>
        <w:br w:type="page"/>
      </w:r>
      <w:bookmarkStart w:id="169" w:name="_TOC_250016"/>
      <w:bookmarkEnd w:id="169"/>
      <w:r>
        <w:rPr>
          <w:rFonts w:hint="eastAsia" w:ascii="宋体" w:hAnsi="宋体" w:eastAsia="宋体" w:cs="宋体"/>
          <w:strike w:val="0"/>
          <w:dstrike w:val="0"/>
          <w:color w:val="auto"/>
          <w:sz w:val="28"/>
          <w:szCs w:val="28"/>
          <w:highlight w:val="none"/>
          <w:lang w:val="en-US" w:eastAsia="zh-CN"/>
        </w:rPr>
        <w:t>八、服务质量承诺及保证措施</w:t>
      </w:r>
    </w:p>
    <w:p w14:paraId="75AC06CA">
      <w:pPr>
        <w:pStyle w:val="2"/>
        <w:spacing w:before="194" w:line="360" w:lineRule="auto"/>
        <w:jc w:val="center"/>
        <w:rPr>
          <w:rFonts w:hint="eastAsia" w:ascii="宋体" w:hAnsi="宋体" w:eastAsia="宋体" w:cs="宋体"/>
          <w:strike w:val="0"/>
          <w:dstrike w:val="0"/>
          <w:color w:val="auto"/>
          <w:spacing w:val="-1"/>
          <w:sz w:val="21"/>
          <w:szCs w:val="21"/>
          <w:highlight w:val="none"/>
          <w:lang w:val="en-US" w:eastAsia="zh-CN"/>
        </w:rPr>
      </w:pPr>
      <w:r>
        <w:rPr>
          <w:rFonts w:hint="eastAsia" w:ascii="宋体" w:hAnsi="宋体" w:eastAsia="宋体" w:cs="宋体"/>
          <w:strike w:val="0"/>
          <w:dstrike w:val="0"/>
          <w:color w:val="auto"/>
          <w:spacing w:val="-1"/>
          <w:sz w:val="21"/>
          <w:szCs w:val="21"/>
          <w:highlight w:val="none"/>
          <w:lang w:val="en-US" w:eastAsia="zh-CN"/>
        </w:rPr>
        <w:t>（由供应商自行编制，格式自拟）</w:t>
      </w:r>
    </w:p>
    <w:p w14:paraId="022BD0D8">
      <w:pPr>
        <w:pStyle w:val="2"/>
        <w:spacing w:before="194" w:line="360" w:lineRule="auto"/>
        <w:ind w:left="700"/>
        <w:rPr>
          <w:rFonts w:hint="eastAsia" w:ascii="宋体" w:hAnsi="宋体" w:eastAsia="宋体" w:cs="宋体"/>
          <w:strike w:val="0"/>
          <w:dstrike w:val="0"/>
          <w:color w:val="auto"/>
          <w:spacing w:val="-1"/>
          <w:sz w:val="24"/>
          <w:szCs w:val="24"/>
          <w:highlight w:val="none"/>
        </w:rPr>
      </w:pPr>
    </w:p>
    <w:p w14:paraId="16EFE230">
      <w:pPr>
        <w:rPr>
          <w:rFonts w:hint="eastAsia" w:ascii="宋体" w:hAnsi="宋体" w:eastAsia="宋体" w:cs="宋体"/>
          <w:strike w:val="0"/>
          <w:dstrike w:val="0"/>
          <w:color w:val="auto"/>
          <w:spacing w:val="-1"/>
          <w:sz w:val="24"/>
          <w:szCs w:val="24"/>
          <w:highlight w:val="none"/>
        </w:rPr>
      </w:pPr>
      <w:bookmarkStart w:id="170" w:name="_Toc491473872"/>
      <w:bookmarkStart w:id="171" w:name="_Toc10590"/>
      <w:bookmarkStart w:id="172" w:name="_Toc18214_WPSOffice_Level2"/>
      <w:bookmarkStart w:id="173" w:name="_Toc18603"/>
      <w:bookmarkStart w:id="174" w:name="_Toc403511225"/>
      <w:bookmarkStart w:id="175" w:name="_Toc27434_WPSOffice_Level2"/>
      <w:r>
        <w:rPr>
          <w:rFonts w:hint="eastAsia" w:ascii="宋体" w:hAnsi="宋体" w:eastAsia="宋体" w:cs="宋体"/>
          <w:strike w:val="0"/>
          <w:dstrike w:val="0"/>
          <w:color w:val="auto"/>
          <w:spacing w:val="-1"/>
          <w:sz w:val="24"/>
          <w:szCs w:val="24"/>
          <w:highlight w:val="none"/>
        </w:rPr>
        <w:br w:type="page"/>
      </w:r>
    </w:p>
    <w:bookmarkEnd w:id="170"/>
    <w:bookmarkEnd w:id="171"/>
    <w:bookmarkEnd w:id="172"/>
    <w:bookmarkEnd w:id="173"/>
    <w:bookmarkEnd w:id="174"/>
    <w:bookmarkEnd w:id="175"/>
    <w:p w14:paraId="749B7CDC">
      <w:pPr>
        <w:bidi w:val="0"/>
        <w:rPr>
          <w:rFonts w:hint="eastAsia"/>
          <w:highlight w:val="none"/>
        </w:rPr>
      </w:pPr>
    </w:p>
    <w:p w14:paraId="1D1AD1FB">
      <w:pPr>
        <w:bidi w:val="0"/>
        <w:rPr>
          <w:rFonts w:hint="eastAsia"/>
          <w:highlight w:val="none"/>
        </w:rPr>
      </w:pPr>
    </w:p>
    <w:p w14:paraId="15AA1B7E">
      <w:pPr>
        <w:pStyle w:val="4"/>
        <w:bidi w:val="0"/>
        <w:rPr>
          <w:rFonts w:hint="eastAsia"/>
          <w:lang w:val="zh-CN" w:eastAsia="zh-CN"/>
        </w:rPr>
      </w:pPr>
      <w:r>
        <w:rPr>
          <w:rFonts w:hint="eastAsia"/>
          <w:lang w:val="en-US" w:eastAsia="zh-CN"/>
        </w:rPr>
        <w:t>九、服务方案</w:t>
      </w:r>
    </w:p>
    <w:p w14:paraId="1A3BD5C7">
      <w:pPr>
        <w:pStyle w:val="2"/>
        <w:spacing w:before="194" w:line="360" w:lineRule="auto"/>
        <w:jc w:val="center"/>
        <w:rPr>
          <w:rFonts w:hint="eastAsia" w:ascii="宋体" w:hAnsi="宋体" w:eastAsia="宋体" w:cs="宋体"/>
          <w:strike w:val="0"/>
          <w:dstrike w:val="0"/>
          <w:color w:val="auto"/>
          <w:spacing w:val="-1"/>
          <w:sz w:val="21"/>
          <w:szCs w:val="21"/>
          <w:highlight w:val="none"/>
          <w:lang w:val="en-US" w:eastAsia="zh-CN"/>
        </w:rPr>
      </w:pPr>
      <w:r>
        <w:rPr>
          <w:rFonts w:hint="eastAsia" w:ascii="宋体" w:hAnsi="宋体" w:eastAsia="宋体" w:cs="宋体"/>
          <w:strike w:val="0"/>
          <w:dstrike w:val="0"/>
          <w:color w:val="auto"/>
          <w:spacing w:val="-1"/>
          <w:sz w:val="21"/>
          <w:szCs w:val="21"/>
          <w:highlight w:val="none"/>
          <w:lang w:val="en-US" w:eastAsia="zh-CN"/>
        </w:rPr>
        <w:t>（由供应商自行编制，格式自拟）</w:t>
      </w:r>
    </w:p>
    <w:p w14:paraId="1EEEB0E5">
      <w:pPr>
        <w:rPr>
          <w:rFonts w:hint="eastAsia" w:ascii="宋体" w:hAnsi="宋体" w:eastAsia="宋体" w:cs="宋体"/>
          <w:strike w:val="0"/>
          <w:dstrike w:val="0"/>
          <w:color w:val="auto"/>
          <w:spacing w:val="-1"/>
          <w:sz w:val="24"/>
          <w:szCs w:val="24"/>
          <w:highlight w:val="none"/>
          <w:lang w:val="en-US" w:eastAsia="zh-CN"/>
        </w:rPr>
      </w:pPr>
      <w:r>
        <w:rPr>
          <w:rFonts w:hint="eastAsia" w:ascii="宋体" w:hAnsi="宋体" w:eastAsia="宋体" w:cs="宋体"/>
          <w:strike w:val="0"/>
          <w:dstrike w:val="0"/>
          <w:color w:val="auto"/>
          <w:spacing w:val="-1"/>
          <w:sz w:val="24"/>
          <w:szCs w:val="24"/>
          <w:highlight w:val="none"/>
          <w:lang w:val="en-US" w:eastAsia="zh-CN"/>
        </w:rPr>
        <w:br w:type="page"/>
      </w:r>
    </w:p>
    <w:p w14:paraId="7FF657D0">
      <w:pPr>
        <w:bidi w:val="0"/>
        <w:rPr>
          <w:rFonts w:hint="eastAsia"/>
          <w:highlight w:val="none"/>
          <w:lang w:val="en-US" w:eastAsia="zh-CN"/>
        </w:rPr>
      </w:pPr>
    </w:p>
    <w:p w14:paraId="56F3CE52">
      <w:pPr>
        <w:pStyle w:val="4"/>
        <w:bidi w:val="0"/>
        <w:rPr>
          <w:rFonts w:hint="eastAsia"/>
        </w:rPr>
      </w:pPr>
      <w:r>
        <w:rPr>
          <w:rFonts w:hint="eastAsia"/>
          <w:lang w:val="en-US" w:eastAsia="zh-CN"/>
        </w:rPr>
        <w:t>十、工作安排及保证措施</w:t>
      </w:r>
    </w:p>
    <w:p w14:paraId="6E3E58D1">
      <w:pPr>
        <w:jc w:val="center"/>
        <w:rPr>
          <w:rFonts w:hint="eastAsia" w:ascii="宋体" w:hAnsi="宋体" w:eastAsia="宋体" w:cs="宋体"/>
          <w:szCs w:val="21"/>
          <w:highlight w:val="none"/>
        </w:rPr>
      </w:pPr>
      <w:r>
        <w:rPr>
          <w:rFonts w:hint="eastAsia" w:ascii="宋体" w:hAnsi="宋体" w:eastAsia="宋体" w:cs="宋体"/>
          <w:strike w:val="0"/>
          <w:dstrike w:val="0"/>
          <w:color w:val="auto"/>
          <w:spacing w:val="-1"/>
          <w:sz w:val="21"/>
          <w:szCs w:val="21"/>
          <w:highlight w:val="none"/>
          <w:lang w:val="en-US" w:eastAsia="zh-CN"/>
        </w:rPr>
        <w:t>（由供应商自行编制，格式自拟）</w:t>
      </w:r>
      <w:r>
        <w:rPr>
          <w:rFonts w:hint="eastAsia" w:ascii="宋体" w:hAnsi="宋体" w:eastAsia="宋体" w:cs="宋体"/>
          <w:szCs w:val="21"/>
          <w:highlight w:val="none"/>
        </w:rPr>
        <w:br w:type="page"/>
      </w:r>
    </w:p>
    <w:p w14:paraId="4431B035">
      <w:pPr>
        <w:pStyle w:val="4"/>
        <w:bidi w:val="0"/>
        <w:rPr>
          <w:rFonts w:hint="default" w:ascii="宋体" w:hAnsi="宋体" w:eastAsia="宋体" w:cs="宋体"/>
          <w:szCs w:val="21"/>
          <w:highlight w:val="none"/>
          <w:lang w:val="en-US" w:eastAsia="zh-CN"/>
        </w:rPr>
      </w:pPr>
      <w:r>
        <w:rPr>
          <w:rFonts w:hint="eastAsia" w:ascii="宋体" w:hAnsi="宋体" w:eastAsia="宋体" w:cs="宋体"/>
          <w:color w:val="auto"/>
          <w:sz w:val="28"/>
          <w:szCs w:val="28"/>
          <w:highlight w:val="none"/>
          <w:lang w:val="en-US" w:eastAsia="zh-CN"/>
        </w:rPr>
        <w:t>十一、管理机构设置和资源配置</w:t>
      </w:r>
    </w:p>
    <w:p w14:paraId="15165857">
      <w:pPr>
        <w:jc w:val="center"/>
        <w:rPr>
          <w:rFonts w:hint="eastAsia"/>
          <w:highlight w:val="none"/>
          <w:lang w:val="en-US" w:eastAsia="zh-CN"/>
        </w:rPr>
      </w:pPr>
      <w:r>
        <w:rPr>
          <w:rFonts w:hint="eastAsia" w:ascii="宋体" w:hAnsi="宋体" w:eastAsia="宋体" w:cs="宋体"/>
          <w:strike w:val="0"/>
          <w:dstrike w:val="0"/>
          <w:color w:val="auto"/>
          <w:spacing w:val="-1"/>
          <w:sz w:val="21"/>
          <w:szCs w:val="21"/>
          <w:highlight w:val="none"/>
          <w:lang w:val="en-US" w:eastAsia="zh-CN"/>
        </w:rPr>
        <w:t>（由供应商自行编制，格式自拟）</w:t>
      </w:r>
    </w:p>
    <w:p w14:paraId="33627B9B">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1F630688">
      <w:pPr>
        <w:pStyle w:val="4"/>
        <w:bidi w:val="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十二、安全保证措施及应急处置预案</w:t>
      </w:r>
    </w:p>
    <w:p w14:paraId="133210DD">
      <w:pPr>
        <w:widowControl w:val="0"/>
        <w:numPr>
          <w:ilvl w:val="0"/>
          <w:numId w:val="0"/>
        </w:numPr>
        <w:jc w:val="center"/>
        <w:rPr>
          <w:rFonts w:hint="eastAsia"/>
          <w:highlight w:val="none"/>
          <w:lang w:val="en-US" w:eastAsia="zh-CN"/>
        </w:rPr>
      </w:pPr>
      <w:r>
        <w:rPr>
          <w:rFonts w:hint="eastAsia" w:ascii="宋体" w:hAnsi="宋体" w:eastAsia="宋体" w:cs="宋体"/>
          <w:strike w:val="0"/>
          <w:dstrike w:val="0"/>
          <w:color w:val="auto"/>
          <w:spacing w:val="-1"/>
          <w:sz w:val="21"/>
          <w:szCs w:val="21"/>
          <w:highlight w:val="none"/>
          <w:lang w:val="en-US" w:eastAsia="zh-CN"/>
        </w:rPr>
        <w:t>（由供应商自行编制，格式自拟）</w:t>
      </w:r>
    </w:p>
    <w:p w14:paraId="3355BC30">
      <w:pPr>
        <w:pStyle w:val="2"/>
        <w:rPr>
          <w:rFonts w:hint="eastAsia"/>
          <w:highlight w:val="none"/>
          <w:lang w:val="en-US" w:eastAsia="zh-CN"/>
        </w:rPr>
      </w:pPr>
    </w:p>
    <w:p w14:paraId="63E801AB">
      <w:pPr>
        <w:rPr>
          <w:rFonts w:hint="eastAsia"/>
          <w:highlight w:val="none"/>
          <w:lang w:val="en-US" w:eastAsia="zh-CN"/>
        </w:rPr>
      </w:pPr>
    </w:p>
    <w:p w14:paraId="6F7FB40A">
      <w:pPr>
        <w:pStyle w:val="2"/>
        <w:rPr>
          <w:rFonts w:hint="eastAsia"/>
          <w:highlight w:val="none"/>
          <w:lang w:val="en-US" w:eastAsia="zh-CN"/>
        </w:rPr>
      </w:pPr>
    </w:p>
    <w:p w14:paraId="68B9EE81">
      <w:pPr>
        <w:rPr>
          <w:rFonts w:hint="eastAsia"/>
          <w:highlight w:val="none"/>
          <w:lang w:val="en-US" w:eastAsia="zh-CN"/>
        </w:rPr>
      </w:pPr>
    </w:p>
    <w:p w14:paraId="03BB8DF1">
      <w:pPr>
        <w:pStyle w:val="2"/>
        <w:rPr>
          <w:rFonts w:hint="eastAsia"/>
          <w:highlight w:val="none"/>
          <w:lang w:val="en-US" w:eastAsia="zh-CN"/>
        </w:rPr>
      </w:pPr>
    </w:p>
    <w:p w14:paraId="3D92AA24">
      <w:pPr>
        <w:rPr>
          <w:rFonts w:hint="eastAsia"/>
          <w:highlight w:val="none"/>
          <w:lang w:val="en-US" w:eastAsia="zh-CN"/>
        </w:rPr>
      </w:pPr>
    </w:p>
    <w:p w14:paraId="40B4A9F3">
      <w:pPr>
        <w:pStyle w:val="2"/>
        <w:rPr>
          <w:rFonts w:hint="eastAsia"/>
          <w:highlight w:val="none"/>
          <w:lang w:val="en-US" w:eastAsia="zh-CN"/>
        </w:rPr>
      </w:pPr>
    </w:p>
    <w:p w14:paraId="44DDA223">
      <w:pPr>
        <w:rPr>
          <w:rFonts w:hint="eastAsia"/>
          <w:highlight w:val="none"/>
          <w:lang w:val="en-US" w:eastAsia="zh-CN"/>
        </w:rPr>
      </w:pPr>
    </w:p>
    <w:p w14:paraId="2B6D33AB">
      <w:pPr>
        <w:pStyle w:val="2"/>
        <w:rPr>
          <w:rFonts w:hint="eastAsia"/>
          <w:highlight w:val="none"/>
          <w:lang w:val="en-US" w:eastAsia="zh-CN"/>
        </w:rPr>
      </w:pPr>
    </w:p>
    <w:p w14:paraId="10440C08">
      <w:pPr>
        <w:rPr>
          <w:rFonts w:hint="eastAsia"/>
          <w:highlight w:val="none"/>
          <w:lang w:val="en-US" w:eastAsia="zh-CN"/>
        </w:rPr>
      </w:pPr>
    </w:p>
    <w:p w14:paraId="0765CC81">
      <w:pPr>
        <w:pStyle w:val="2"/>
        <w:rPr>
          <w:rFonts w:hint="eastAsia"/>
          <w:highlight w:val="none"/>
          <w:lang w:val="en-US" w:eastAsia="zh-CN"/>
        </w:rPr>
      </w:pPr>
    </w:p>
    <w:p w14:paraId="098DD7F2">
      <w:pPr>
        <w:rPr>
          <w:rFonts w:hint="eastAsia"/>
          <w:highlight w:val="none"/>
          <w:lang w:val="en-US" w:eastAsia="zh-CN"/>
        </w:rPr>
      </w:pPr>
    </w:p>
    <w:p w14:paraId="6CFBFA21">
      <w:pPr>
        <w:pStyle w:val="2"/>
        <w:rPr>
          <w:rFonts w:hint="eastAsia"/>
          <w:highlight w:val="none"/>
          <w:lang w:val="en-US" w:eastAsia="zh-CN"/>
        </w:rPr>
      </w:pPr>
    </w:p>
    <w:p w14:paraId="056DC8EB">
      <w:pPr>
        <w:rPr>
          <w:rFonts w:hint="eastAsia"/>
          <w:highlight w:val="none"/>
          <w:lang w:val="en-US" w:eastAsia="zh-CN"/>
        </w:rPr>
      </w:pPr>
    </w:p>
    <w:p w14:paraId="1F760D46">
      <w:pPr>
        <w:pStyle w:val="2"/>
        <w:rPr>
          <w:rFonts w:hint="eastAsia"/>
          <w:highlight w:val="none"/>
          <w:lang w:val="en-US" w:eastAsia="zh-CN"/>
        </w:rPr>
      </w:pPr>
    </w:p>
    <w:p w14:paraId="40ECABFA">
      <w:pPr>
        <w:rPr>
          <w:rFonts w:hint="eastAsia"/>
          <w:highlight w:val="none"/>
          <w:lang w:val="en-US" w:eastAsia="zh-CN"/>
        </w:rPr>
      </w:pPr>
    </w:p>
    <w:p w14:paraId="583E20F6">
      <w:pPr>
        <w:pStyle w:val="2"/>
        <w:rPr>
          <w:rFonts w:hint="eastAsia"/>
          <w:highlight w:val="none"/>
          <w:lang w:val="en-US" w:eastAsia="zh-CN"/>
        </w:rPr>
      </w:pPr>
    </w:p>
    <w:p w14:paraId="65D08B8C">
      <w:pPr>
        <w:rPr>
          <w:rFonts w:hint="eastAsia"/>
          <w:highlight w:val="none"/>
          <w:lang w:val="en-US" w:eastAsia="zh-CN"/>
        </w:rPr>
      </w:pPr>
    </w:p>
    <w:p w14:paraId="3D635613">
      <w:pPr>
        <w:pStyle w:val="2"/>
        <w:rPr>
          <w:rFonts w:hint="eastAsia"/>
          <w:highlight w:val="none"/>
          <w:lang w:val="en-US" w:eastAsia="zh-CN"/>
        </w:rPr>
      </w:pPr>
    </w:p>
    <w:p w14:paraId="1C21711F">
      <w:pPr>
        <w:rPr>
          <w:rFonts w:hint="eastAsia"/>
          <w:highlight w:val="none"/>
          <w:lang w:val="en-US" w:eastAsia="zh-CN"/>
        </w:rPr>
      </w:pPr>
    </w:p>
    <w:p w14:paraId="790E9FC0">
      <w:pPr>
        <w:pStyle w:val="2"/>
        <w:rPr>
          <w:rFonts w:hint="eastAsia"/>
          <w:highlight w:val="none"/>
          <w:lang w:val="en-US" w:eastAsia="zh-CN"/>
        </w:rPr>
      </w:pPr>
    </w:p>
    <w:p w14:paraId="6C825169">
      <w:pPr>
        <w:rPr>
          <w:rFonts w:hint="eastAsia"/>
          <w:highlight w:val="none"/>
          <w:lang w:val="en-US" w:eastAsia="zh-CN"/>
        </w:rPr>
      </w:pPr>
    </w:p>
    <w:p w14:paraId="5C12F534">
      <w:pPr>
        <w:pStyle w:val="2"/>
        <w:rPr>
          <w:rFonts w:hint="eastAsia"/>
          <w:highlight w:val="none"/>
          <w:lang w:val="en-US" w:eastAsia="zh-CN"/>
        </w:rPr>
      </w:pPr>
    </w:p>
    <w:p w14:paraId="2A3ED5E5">
      <w:pPr>
        <w:rPr>
          <w:rFonts w:hint="eastAsia"/>
          <w:highlight w:val="none"/>
          <w:lang w:val="en-US" w:eastAsia="zh-CN"/>
        </w:rPr>
      </w:pPr>
    </w:p>
    <w:p w14:paraId="419CE59E">
      <w:pPr>
        <w:pStyle w:val="2"/>
        <w:rPr>
          <w:rFonts w:hint="eastAsia"/>
          <w:highlight w:val="none"/>
          <w:lang w:val="en-US" w:eastAsia="zh-CN"/>
        </w:rPr>
      </w:pPr>
    </w:p>
    <w:p w14:paraId="0BD3BC32">
      <w:pPr>
        <w:rPr>
          <w:rFonts w:hint="eastAsia"/>
          <w:highlight w:val="none"/>
          <w:lang w:val="en-US" w:eastAsia="zh-CN"/>
        </w:rPr>
      </w:pPr>
    </w:p>
    <w:p w14:paraId="22F0C16A">
      <w:pPr>
        <w:pStyle w:val="2"/>
        <w:rPr>
          <w:rFonts w:hint="eastAsia"/>
          <w:highlight w:val="none"/>
          <w:lang w:val="en-US" w:eastAsia="zh-CN"/>
        </w:rPr>
      </w:pPr>
    </w:p>
    <w:p w14:paraId="71B8B450">
      <w:pPr>
        <w:rPr>
          <w:rFonts w:hint="eastAsia"/>
          <w:highlight w:val="none"/>
          <w:lang w:val="en-US" w:eastAsia="zh-CN"/>
        </w:rPr>
      </w:pPr>
    </w:p>
    <w:p w14:paraId="5798CCE8">
      <w:pPr>
        <w:pStyle w:val="2"/>
        <w:rPr>
          <w:rFonts w:hint="eastAsia"/>
          <w:highlight w:val="none"/>
          <w:lang w:val="en-US" w:eastAsia="zh-CN"/>
        </w:rPr>
      </w:pPr>
    </w:p>
    <w:p w14:paraId="4530CC80">
      <w:pPr>
        <w:rPr>
          <w:rFonts w:hint="eastAsia"/>
          <w:highlight w:val="none"/>
          <w:lang w:val="en-US" w:eastAsia="zh-CN"/>
        </w:rPr>
      </w:pPr>
    </w:p>
    <w:p w14:paraId="4E292023">
      <w:pPr>
        <w:pStyle w:val="2"/>
        <w:rPr>
          <w:rFonts w:hint="eastAsia"/>
          <w:highlight w:val="none"/>
          <w:lang w:val="en-US" w:eastAsia="zh-CN"/>
        </w:rPr>
      </w:pPr>
    </w:p>
    <w:p w14:paraId="143FF802">
      <w:pPr>
        <w:rPr>
          <w:rFonts w:hint="eastAsia"/>
          <w:highlight w:val="none"/>
          <w:lang w:val="en-US" w:eastAsia="zh-CN"/>
        </w:rPr>
      </w:pPr>
    </w:p>
    <w:p w14:paraId="60B08AFE">
      <w:pPr>
        <w:pStyle w:val="2"/>
        <w:rPr>
          <w:rFonts w:hint="eastAsia"/>
          <w:highlight w:val="none"/>
          <w:lang w:val="en-US" w:eastAsia="zh-CN"/>
        </w:rPr>
      </w:pPr>
    </w:p>
    <w:p w14:paraId="345133D0">
      <w:pPr>
        <w:rPr>
          <w:rFonts w:hint="eastAsia"/>
          <w:highlight w:val="none"/>
          <w:lang w:val="en-US" w:eastAsia="zh-CN"/>
        </w:rPr>
      </w:pPr>
    </w:p>
    <w:p w14:paraId="2F7EB200">
      <w:pPr>
        <w:pStyle w:val="2"/>
        <w:rPr>
          <w:rFonts w:hint="eastAsia"/>
          <w:highlight w:val="none"/>
          <w:lang w:val="en-US" w:eastAsia="zh-CN"/>
        </w:rPr>
      </w:pPr>
    </w:p>
    <w:p w14:paraId="1EF506D3">
      <w:pPr>
        <w:rPr>
          <w:rFonts w:hint="eastAsia"/>
          <w:highlight w:val="none"/>
          <w:lang w:val="en-US" w:eastAsia="zh-CN"/>
        </w:rPr>
      </w:pPr>
    </w:p>
    <w:p w14:paraId="6117EED4">
      <w:pPr>
        <w:pStyle w:val="2"/>
        <w:rPr>
          <w:rFonts w:hint="eastAsia"/>
          <w:highlight w:val="none"/>
          <w:lang w:val="en-US" w:eastAsia="zh-CN"/>
        </w:rPr>
      </w:pPr>
    </w:p>
    <w:p w14:paraId="4906BDD9">
      <w:pPr>
        <w:rPr>
          <w:rFonts w:hint="eastAsia"/>
          <w:highlight w:val="none"/>
          <w:lang w:val="en-US" w:eastAsia="zh-CN"/>
        </w:rPr>
      </w:pPr>
    </w:p>
    <w:p w14:paraId="361D1954">
      <w:pPr>
        <w:pStyle w:val="2"/>
        <w:rPr>
          <w:rFonts w:hint="eastAsia"/>
          <w:highlight w:val="none"/>
          <w:lang w:val="en-US" w:eastAsia="zh-CN"/>
        </w:rPr>
      </w:pPr>
    </w:p>
    <w:p w14:paraId="4CFE740B">
      <w:pPr>
        <w:rPr>
          <w:rFonts w:hint="eastAsia"/>
          <w:highlight w:val="none"/>
          <w:lang w:val="en-US" w:eastAsia="zh-CN"/>
        </w:rPr>
      </w:pPr>
    </w:p>
    <w:p w14:paraId="33DFD62B">
      <w:pPr>
        <w:pStyle w:val="2"/>
        <w:rPr>
          <w:rFonts w:hint="eastAsia"/>
          <w:highlight w:val="none"/>
          <w:lang w:val="en-US" w:eastAsia="zh-CN"/>
        </w:rPr>
      </w:pPr>
    </w:p>
    <w:p w14:paraId="378CFE55">
      <w:pPr>
        <w:rPr>
          <w:rFonts w:hint="eastAsia"/>
          <w:highlight w:val="none"/>
          <w:lang w:val="en-US" w:eastAsia="zh-CN"/>
        </w:rPr>
      </w:pPr>
    </w:p>
    <w:p w14:paraId="341ADBAA">
      <w:pPr>
        <w:pStyle w:val="4"/>
        <w:bidi w:val="0"/>
        <w:rPr>
          <w:rFonts w:hint="eastAsia" w:ascii="宋体" w:hAnsi="宋体" w:eastAsia="宋体" w:cs="宋体"/>
          <w:color w:val="auto"/>
          <w:sz w:val="28"/>
          <w:szCs w:val="28"/>
          <w:highlight w:val="none"/>
          <w:lang w:val="zh-CN" w:eastAsia="zh-CN"/>
        </w:rPr>
      </w:pPr>
      <w:bookmarkStart w:id="176" w:name="_Toc21614"/>
      <w:bookmarkStart w:id="177" w:name="_Toc8630"/>
      <w:r>
        <w:rPr>
          <w:rFonts w:hint="eastAsia" w:ascii="宋体" w:hAnsi="宋体" w:eastAsia="宋体" w:cs="宋体"/>
          <w:color w:val="auto"/>
          <w:sz w:val="28"/>
          <w:szCs w:val="28"/>
          <w:highlight w:val="none"/>
          <w:lang w:val="en-US" w:eastAsia="zh-CN"/>
        </w:rPr>
        <w:t>十</w:t>
      </w:r>
      <w:r>
        <w:rPr>
          <w:rFonts w:hint="eastAsia" w:ascii="宋体" w:hAnsi="宋体" w:cs="宋体"/>
          <w:color w:val="auto"/>
          <w:sz w:val="28"/>
          <w:szCs w:val="28"/>
          <w:highlight w:val="none"/>
          <w:lang w:val="en-US" w:eastAsia="zh-CN"/>
        </w:rPr>
        <w:t>三</w:t>
      </w:r>
      <w:r>
        <w:rPr>
          <w:rFonts w:hint="eastAsia" w:ascii="宋体" w:hAnsi="宋体" w:eastAsia="宋体" w:cs="宋体"/>
          <w:color w:val="auto"/>
          <w:sz w:val="28"/>
          <w:szCs w:val="28"/>
          <w:highlight w:val="none"/>
          <w:lang w:val="en-US" w:eastAsia="zh-CN"/>
        </w:rPr>
        <w:t>、</w:t>
      </w:r>
      <w:r>
        <w:rPr>
          <w:rFonts w:hint="eastAsia" w:asciiTheme="majorAscii" w:hAnsiTheme="majorAscii" w:eastAsiaTheme="majorEastAsia" w:cstheme="majorBidi"/>
          <w:sz w:val="32"/>
          <w:szCs w:val="32"/>
          <w:highlight w:val="none"/>
          <w:lang w:val="en-US" w:eastAsia="zh-CN"/>
        </w:rPr>
        <w:t>供应商</w:t>
      </w:r>
      <w:r>
        <w:rPr>
          <w:rFonts w:hint="eastAsia" w:ascii="宋体" w:hAnsi="宋体" w:eastAsia="宋体" w:cs="宋体"/>
          <w:color w:val="auto"/>
          <w:sz w:val="28"/>
          <w:szCs w:val="28"/>
          <w:highlight w:val="none"/>
          <w:lang w:val="en-US" w:eastAsia="zh-CN"/>
        </w:rPr>
        <w:t>近三年</w:t>
      </w:r>
      <w:r>
        <w:rPr>
          <w:rFonts w:hint="eastAsia" w:ascii="宋体" w:hAnsi="宋体" w:eastAsia="宋体" w:cs="宋体"/>
          <w:color w:val="auto"/>
          <w:sz w:val="28"/>
          <w:szCs w:val="28"/>
          <w:highlight w:val="none"/>
          <w:lang w:val="zh-CN" w:eastAsia="zh-CN"/>
        </w:rPr>
        <w:t>类似业绩</w:t>
      </w:r>
      <w:bookmarkEnd w:id="176"/>
      <w:bookmarkEnd w:id="177"/>
    </w:p>
    <w:p w14:paraId="5A92F8BF">
      <w:pPr>
        <w:pStyle w:val="34"/>
        <w:rPr>
          <w:rFonts w:hint="eastAsia"/>
          <w:szCs w:val="21"/>
          <w:highlight w:val="none"/>
          <w:lang w:eastAsia="zh-CN"/>
        </w:rPr>
      </w:pP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3056"/>
        <w:gridCol w:w="2044"/>
        <w:gridCol w:w="1638"/>
        <w:gridCol w:w="2275"/>
      </w:tblGrid>
      <w:tr w14:paraId="6368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97" w:type="pct"/>
            <w:noWrap/>
            <w:vAlign w:val="center"/>
          </w:tcPr>
          <w:p w14:paraId="305944A7">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序号</w:t>
            </w:r>
          </w:p>
        </w:tc>
        <w:tc>
          <w:tcPr>
            <w:tcW w:w="1526" w:type="pct"/>
            <w:noWrap/>
            <w:vAlign w:val="center"/>
          </w:tcPr>
          <w:p w14:paraId="462AC14B">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项目名称</w:t>
            </w:r>
          </w:p>
        </w:tc>
        <w:tc>
          <w:tcPr>
            <w:tcW w:w="1021" w:type="pct"/>
            <w:noWrap/>
            <w:vAlign w:val="center"/>
          </w:tcPr>
          <w:p w14:paraId="308FC9D6">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业主</w:t>
            </w:r>
          </w:p>
        </w:tc>
        <w:tc>
          <w:tcPr>
            <w:tcW w:w="818" w:type="pct"/>
            <w:noWrap/>
            <w:vAlign w:val="center"/>
          </w:tcPr>
          <w:p w14:paraId="00D7B071">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服务时间</w:t>
            </w:r>
          </w:p>
        </w:tc>
        <w:tc>
          <w:tcPr>
            <w:tcW w:w="1136" w:type="pct"/>
            <w:noWrap/>
            <w:vAlign w:val="center"/>
          </w:tcPr>
          <w:p w14:paraId="28BA794E">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联系人及联系电话</w:t>
            </w:r>
          </w:p>
        </w:tc>
      </w:tr>
      <w:tr w14:paraId="79BA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97" w:type="pct"/>
            <w:noWrap/>
            <w:vAlign w:val="center"/>
          </w:tcPr>
          <w:p w14:paraId="6362EF72">
            <w:pPr>
              <w:widowControl w:val="0"/>
              <w:autoSpaceDE w:val="0"/>
              <w:autoSpaceDN w:val="0"/>
              <w:spacing w:before="0" w:after="0" w:line="480" w:lineRule="auto"/>
              <w:ind w:left="0" w:right="0" w:firstLine="210" w:firstLineChars="100"/>
              <w:jc w:val="center"/>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1</w:t>
            </w:r>
          </w:p>
        </w:tc>
        <w:tc>
          <w:tcPr>
            <w:tcW w:w="1526" w:type="pct"/>
            <w:noWrap/>
            <w:vAlign w:val="center"/>
          </w:tcPr>
          <w:p w14:paraId="25AF6BF2">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c>
          <w:tcPr>
            <w:tcW w:w="1021" w:type="pct"/>
            <w:noWrap/>
            <w:vAlign w:val="center"/>
          </w:tcPr>
          <w:p w14:paraId="0101285A">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c>
          <w:tcPr>
            <w:tcW w:w="818" w:type="pct"/>
            <w:noWrap/>
            <w:vAlign w:val="center"/>
          </w:tcPr>
          <w:p w14:paraId="638CDC3B">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c>
          <w:tcPr>
            <w:tcW w:w="1136" w:type="pct"/>
            <w:noWrap/>
            <w:vAlign w:val="center"/>
          </w:tcPr>
          <w:p w14:paraId="4CD4FC49">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r>
      <w:tr w14:paraId="3A29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97" w:type="pct"/>
            <w:noWrap/>
            <w:vAlign w:val="center"/>
          </w:tcPr>
          <w:p w14:paraId="2CED0F70">
            <w:pPr>
              <w:widowControl w:val="0"/>
              <w:autoSpaceDE w:val="0"/>
              <w:autoSpaceDN w:val="0"/>
              <w:spacing w:before="0" w:after="0" w:line="480" w:lineRule="auto"/>
              <w:ind w:left="0" w:right="0" w:firstLine="210" w:firstLineChars="100"/>
              <w:jc w:val="center"/>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2</w:t>
            </w:r>
          </w:p>
        </w:tc>
        <w:tc>
          <w:tcPr>
            <w:tcW w:w="1526" w:type="pct"/>
            <w:noWrap/>
            <w:vAlign w:val="center"/>
          </w:tcPr>
          <w:p w14:paraId="555A6D5A">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c>
          <w:tcPr>
            <w:tcW w:w="1021" w:type="pct"/>
            <w:noWrap/>
            <w:vAlign w:val="center"/>
          </w:tcPr>
          <w:p w14:paraId="587E6DFB">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c>
          <w:tcPr>
            <w:tcW w:w="818" w:type="pct"/>
            <w:noWrap/>
            <w:vAlign w:val="center"/>
          </w:tcPr>
          <w:p w14:paraId="5F2DF2E4">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c>
          <w:tcPr>
            <w:tcW w:w="1136" w:type="pct"/>
            <w:noWrap/>
            <w:vAlign w:val="center"/>
          </w:tcPr>
          <w:p w14:paraId="1EAD2A42">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r>
      <w:tr w14:paraId="2C40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97" w:type="pct"/>
            <w:noWrap/>
            <w:vAlign w:val="center"/>
          </w:tcPr>
          <w:p w14:paraId="03609E48">
            <w:pPr>
              <w:widowControl w:val="0"/>
              <w:autoSpaceDE w:val="0"/>
              <w:autoSpaceDN w:val="0"/>
              <w:spacing w:before="0" w:after="0" w:line="480" w:lineRule="auto"/>
              <w:ind w:left="0" w:right="0" w:firstLine="210" w:firstLineChars="100"/>
              <w:jc w:val="center"/>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3</w:t>
            </w:r>
          </w:p>
        </w:tc>
        <w:tc>
          <w:tcPr>
            <w:tcW w:w="1526" w:type="pct"/>
            <w:noWrap/>
            <w:vAlign w:val="center"/>
          </w:tcPr>
          <w:p w14:paraId="5FE7C5F7">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c>
          <w:tcPr>
            <w:tcW w:w="1021" w:type="pct"/>
            <w:noWrap/>
            <w:vAlign w:val="center"/>
          </w:tcPr>
          <w:p w14:paraId="4023C07A">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c>
          <w:tcPr>
            <w:tcW w:w="818" w:type="pct"/>
            <w:noWrap/>
            <w:vAlign w:val="center"/>
          </w:tcPr>
          <w:p w14:paraId="7C073644">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c>
          <w:tcPr>
            <w:tcW w:w="1136" w:type="pct"/>
            <w:noWrap/>
            <w:vAlign w:val="center"/>
          </w:tcPr>
          <w:p w14:paraId="1BF7FE04">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r>
      <w:tr w14:paraId="75B6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97" w:type="pct"/>
            <w:noWrap/>
            <w:vAlign w:val="center"/>
          </w:tcPr>
          <w:p w14:paraId="489F05AD">
            <w:pPr>
              <w:widowControl w:val="0"/>
              <w:autoSpaceDE w:val="0"/>
              <w:autoSpaceDN w:val="0"/>
              <w:spacing w:before="0" w:after="0" w:line="480" w:lineRule="auto"/>
              <w:ind w:left="0" w:right="0" w:firstLine="210" w:firstLineChars="100"/>
              <w:jc w:val="center"/>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4</w:t>
            </w:r>
          </w:p>
        </w:tc>
        <w:tc>
          <w:tcPr>
            <w:tcW w:w="1526" w:type="pct"/>
            <w:noWrap/>
            <w:vAlign w:val="center"/>
          </w:tcPr>
          <w:p w14:paraId="46F4A29D">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c>
          <w:tcPr>
            <w:tcW w:w="1021" w:type="pct"/>
            <w:noWrap/>
            <w:vAlign w:val="center"/>
          </w:tcPr>
          <w:p w14:paraId="1C9F9C02">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c>
          <w:tcPr>
            <w:tcW w:w="818" w:type="pct"/>
            <w:noWrap/>
            <w:vAlign w:val="center"/>
          </w:tcPr>
          <w:p w14:paraId="786BCF40">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c>
          <w:tcPr>
            <w:tcW w:w="1136" w:type="pct"/>
            <w:noWrap/>
            <w:vAlign w:val="center"/>
          </w:tcPr>
          <w:p w14:paraId="3E9F52D5">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r>
      <w:tr w14:paraId="42A1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 w:type="pct"/>
            <w:noWrap/>
            <w:vAlign w:val="center"/>
          </w:tcPr>
          <w:p w14:paraId="2630C376">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w:t>
            </w:r>
          </w:p>
        </w:tc>
        <w:tc>
          <w:tcPr>
            <w:tcW w:w="1526" w:type="pct"/>
            <w:noWrap/>
            <w:vAlign w:val="center"/>
          </w:tcPr>
          <w:p w14:paraId="252F4933">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c>
          <w:tcPr>
            <w:tcW w:w="1021" w:type="pct"/>
            <w:noWrap/>
            <w:vAlign w:val="center"/>
          </w:tcPr>
          <w:p w14:paraId="2FE0042D">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c>
          <w:tcPr>
            <w:tcW w:w="818" w:type="pct"/>
            <w:noWrap/>
            <w:vAlign w:val="center"/>
          </w:tcPr>
          <w:p w14:paraId="0C043484">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c>
          <w:tcPr>
            <w:tcW w:w="1136" w:type="pct"/>
            <w:noWrap/>
            <w:vAlign w:val="center"/>
          </w:tcPr>
          <w:p w14:paraId="6469F74C">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r>
      <w:tr w14:paraId="7B8D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 w:type="pct"/>
            <w:noWrap/>
            <w:vAlign w:val="center"/>
          </w:tcPr>
          <w:p w14:paraId="02E3359B">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c>
          <w:tcPr>
            <w:tcW w:w="1526" w:type="pct"/>
            <w:noWrap/>
            <w:vAlign w:val="center"/>
          </w:tcPr>
          <w:p w14:paraId="19168685">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c>
          <w:tcPr>
            <w:tcW w:w="1021" w:type="pct"/>
            <w:noWrap/>
            <w:vAlign w:val="center"/>
          </w:tcPr>
          <w:p w14:paraId="0F6DD7DC">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c>
          <w:tcPr>
            <w:tcW w:w="818" w:type="pct"/>
            <w:noWrap/>
            <w:vAlign w:val="center"/>
          </w:tcPr>
          <w:p w14:paraId="144BF016">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c>
          <w:tcPr>
            <w:tcW w:w="1136" w:type="pct"/>
            <w:noWrap/>
            <w:vAlign w:val="center"/>
          </w:tcPr>
          <w:p w14:paraId="705606C6">
            <w:pPr>
              <w:widowControl w:val="0"/>
              <w:autoSpaceDE w:val="0"/>
              <w:autoSpaceDN w:val="0"/>
              <w:spacing w:before="0" w:after="0" w:line="480" w:lineRule="auto"/>
              <w:ind w:left="0" w:right="0"/>
              <w:jc w:val="center"/>
              <w:rPr>
                <w:rFonts w:hint="eastAsia" w:ascii="宋体" w:hAnsi="宋体" w:eastAsia="宋体" w:cs="宋体"/>
                <w:kern w:val="2"/>
                <w:sz w:val="21"/>
                <w:szCs w:val="21"/>
                <w:highlight w:val="none"/>
                <w:lang w:val="zh-CN" w:eastAsia="zh-CN" w:bidi="zh-CN"/>
              </w:rPr>
            </w:pPr>
          </w:p>
        </w:tc>
      </w:tr>
    </w:tbl>
    <w:p w14:paraId="364FBE0C">
      <w:pPr>
        <w:ind w:firstLine="472" w:firstLineChars="225"/>
        <w:jc w:val="center"/>
        <w:rPr>
          <w:color w:val="auto"/>
          <w:szCs w:val="21"/>
          <w:highlight w:val="none"/>
        </w:rPr>
      </w:pPr>
    </w:p>
    <w:p w14:paraId="5F7A707B">
      <w:pPr>
        <w:pStyle w:val="2"/>
        <w:tabs>
          <w:tab w:val="left" w:pos="2291"/>
          <w:tab w:val="left" w:pos="3012"/>
          <w:tab w:val="left" w:pos="3852"/>
        </w:tabs>
        <w:spacing w:before="67" w:line="360" w:lineRule="auto"/>
        <w:ind w:left="731"/>
        <w:jc w:val="left"/>
        <w:rPr>
          <w:rFonts w:hint="eastAsia" w:ascii="宋体" w:hAnsi="宋体" w:eastAsia="宋体" w:cs="宋体"/>
          <w:strike w:val="0"/>
          <w:dstrike w:val="0"/>
          <w:color w:val="auto"/>
          <w:sz w:val="21"/>
          <w:szCs w:val="21"/>
          <w:highlight w:val="none"/>
        </w:rPr>
      </w:pPr>
      <w:r>
        <w:rPr>
          <w:rFonts w:hint="eastAsia"/>
          <w:color w:val="auto"/>
          <w:sz w:val="21"/>
          <w:szCs w:val="21"/>
          <w:highlight w:val="none"/>
          <w:lang w:val="en-US" w:eastAsia="zh-CN"/>
        </w:rPr>
        <w:t>注：</w:t>
      </w:r>
      <w:r>
        <w:rPr>
          <w:rFonts w:hint="eastAsia"/>
          <w:color w:val="auto"/>
          <w:sz w:val="21"/>
          <w:szCs w:val="21"/>
          <w:highlight w:val="none"/>
        </w:rPr>
        <w:t>后附业绩相关证明材料（中标通知或合同）。</w:t>
      </w:r>
    </w:p>
    <w:p w14:paraId="071ADBB2">
      <w:pPr>
        <w:pStyle w:val="2"/>
        <w:tabs>
          <w:tab w:val="left" w:pos="6427"/>
        </w:tabs>
        <w:spacing w:line="360" w:lineRule="auto"/>
        <w:ind w:left="731"/>
        <w:jc w:val="left"/>
        <w:rPr>
          <w:rFonts w:hint="eastAsia" w:ascii="宋体" w:hAnsi="宋体" w:eastAsia="宋体" w:cs="宋体"/>
          <w:strike w:val="0"/>
          <w:dstrike w:val="0"/>
          <w:color w:val="auto"/>
          <w:sz w:val="21"/>
          <w:szCs w:val="21"/>
          <w:highlight w:val="none"/>
          <w:lang w:eastAsia="zh-CN"/>
        </w:rPr>
      </w:pPr>
    </w:p>
    <w:p w14:paraId="4CC13C43">
      <w:pPr>
        <w:pStyle w:val="2"/>
        <w:tabs>
          <w:tab w:val="left" w:pos="6427"/>
        </w:tabs>
        <w:spacing w:line="360" w:lineRule="auto"/>
        <w:ind w:left="731"/>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供应商</w:t>
      </w:r>
      <w:r>
        <w:rPr>
          <w:rFonts w:hint="eastAsia" w:ascii="宋体" w:hAnsi="宋体" w:eastAsia="宋体" w:cs="宋体"/>
          <w:strike w:val="0"/>
          <w:dstrike w:val="0"/>
          <w:color w:val="auto"/>
          <w:sz w:val="21"/>
          <w:szCs w:val="21"/>
          <w:highlight w:val="none"/>
        </w:rPr>
        <w:t>全称（加盖公章）：</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rPr>
        <w:tab/>
      </w:r>
    </w:p>
    <w:p w14:paraId="4691C92A">
      <w:pPr>
        <w:pStyle w:val="2"/>
        <w:tabs>
          <w:tab w:val="left" w:pos="5707"/>
        </w:tabs>
        <w:spacing w:before="74" w:line="360" w:lineRule="auto"/>
        <w:ind w:left="731"/>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法定代表人或委托代理人（签字或盖章）：</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u w:val="single"/>
        </w:rPr>
        <w:tab/>
      </w:r>
    </w:p>
    <w:p w14:paraId="34F1034C">
      <w:pPr>
        <w:tabs>
          <w:tab w:val="left" w:pos="2111"/>
          <w:tab w:val="left" w:pos="3057"/>
          <w:tab w:val="left" w:pos="4000"/>
        </w:tabs>
        <w:spacing w:before="72" w:line="360" w:lineRule="auto"/>
        <w:ind w:left="220"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rPr>
        <w:t>日</w:t>
      </w:r>
    </w:p>
    <w:p w14:paraId="26BC4AA7">
      <w:pPr>
        <w:spacing w:line="360" w:lineRule="auto"/>
        <w:jc w:val="left"/>
        <w:rPr>
          <w:rFonts w:hint="eastAsia" w:ascii="宋体" w:hAnsi="宋体" w:eastAsia="宋体" w:cs="宋体"/>
          <w:strike w:val="0"/>
          <w:dstrike w:val="0"/>
          <w:color w:val="auto"/>
          <w:sz w:val="21"/>
          <w:szCs w:val="21"/>
          <w:highlight w:val="none"/>
        </w:rPr>
        <w:sectPr>
          <w:headerReference r:id="rId6" w:type="default"/>
          <w:footerReference r:id="rId7" w:type="default"/>
          <w:pgSz w:w="11910" w:h="16840"/>
          <w:pgMar w:top="1260" w:right="910" w:bottom="1180" w:left="1200" w:header="852" w:footer="995" w:gutter="0"/>
          <w:pgBorders>
            <w:top w:val="none" w:sz="0" w:space="0"/>
            <w:left w:val="none" w:sz="0" w:space="0"/>
            <w:bottom w:val="none" w:sz="0" w:space="0"/>
            <w:right w:val="none" w:sz="0" w:space="0"/>
          </w:pgBorders>
          <w:cols w:space="720" w:num="1"/>
        </w:sectPr>
      </w:pPr>
    </w:p>
    <w:p w14:paraId="0EBBA0DC">
      <w:pPr>
        <w:pStyle w:val="4"/>
        <w:bidi w:val="0"/>
        <w:rPr>
          <w:rFonts w:hint="eastAsia"/>
        </w:rPr>
      </w:pPr>
      <w:bookmarkStart w:id="178" w:name="_TOC_250013"/>
      <w:bookmarkEnd w:id="178"/>
      <w:r>
        <w:rPr>
          <w:rFonts w:hint="eastAsia"/>
          <w:lang w:val="en-US" w:eastAsia="zh-CN"/>
        </w:rPr>
        <w:t>十四、文件中要求提供的其他资料以及磋商申请人认为有利于获得本项目成交资格的其他材料或说明</w:t>
      </w:r>
    </w:p>
    <w:p w14:paraId="67014F6F">
      <w:pPr>
        <w:spacing w:line="360" w:lineRule="auto"/>
        <w:rPr>
          <w:rFonts w:ascii="宋体" w:hAnsi="宋体" w:eastAsia="宋体" w:cs="新宋体-18030"/>
          <w:kern w:val="0"/>
          <w:szCs w:val="21"/>
          <w:highlight w:val="none"/>
        </w:rPr>
      </w:pPr>
    </w:p>
    <w:p w14:paraId="1BFFF9FB">
      <w:pPr>
        <w:rPr>
          <w:rFonts w:hint="default" w:ascii="Calibri" w:hAnsi="Calibri" w:eastAsia="宋体" w:cs="Times New Roman"/>
          <w:highlight w:val="none"/>
          <w:lang w:val="en-US" w:eastAsia="zh-CN"/>
        </w:rPr>
      </w:pPr>
      <w:r>
        <w:rPr>
          <w:rFonts w:hint="default" w:ascii="Calibri" w:hAnsi="Calibri" w:eastAsia="宋体" w:cs="Times New Roman"/>
          <w:highlight w:val="none"/>
          <w:lang w:val="en-US" w:eastAsia="zh-CN"/>
        </w:rPr>
        <w:br w:type="page"/>
      </w:r>
    </w:p>
    <w:p w14:paraId="6BE0CCFB">
      <w:pPr>
        <w:pStyle w:val="4"/>
        <w:bidi w:val="0"/>
        <w:rPr>
          <w:rFonts w:hint="eastAsia"/>
        </w:rPr>
      </w:pPr>
      <w:r>
        <w:rPr>
          <w:rFonts w:hint="eastAsia"/>
          <w:lang w:val="en-US" w:eastAsia="zh-CN"/>
        </w:rPr>
        <w:t>十五、</w:t>
      </w:r>
      <w:r>
        <w:rPr>
          <w:rFonts w:hint="eastAsia"/>
        </w:rPr>
        <w:t>扶持中小企业政策（如有）</w:t>
      </w:r>
    </w:p>
    <w:p w14:paraId="242B1E07">
      <w:pPr>
        <w:jc w:val="center"/>
        <w:rPr>
          <w:rFonts w:hint="eastAsia" w:ascii="宋体" w:hAnsi="宋体" w:cs="宋体"/>
          <w:b/>
          <w:bCs/>
          <w:sz w:val="24"/>
          <w:highlight w:val="none"/>
        </w:rPr>
      </w:pPr>
    </w:p>
    <w:p w14:paraId="45EE0AF2">
      <w:pPr>
        <w:jc w:val="center"/>
        <w:rPr>
          <w:rFonts w:ascii="宋体" w:hAnsi="宋体"/>
          <w:b/>
          <w:sz w:val="24"/>
          <w:highlight w:val="none"/>
        </w:rPr>
      </w:pPr>
      <w:r>
        <w:rPr>
          <w:rFonts w:hint="eastAsia" w:ascii="宋体" w:hAnsi="宋体" w:cs="宋体"/>
          <w:b/>
          <w:bCs/>
          <w:sz w:val="24"/>
          <w:highlight w:val="none"/>
        </w:rPr>
        <w:t>（一）</w:t>
      </w:r>
      <w:r>
        <w:rPr>
          <w:rFonts w:hint="eastAsia" w:ascii="宋体" w:hAnsi="宋体"/>
          <w:b/>
          <w:sz w:val="24"/>
          <w:highlight w:val="none"/>
        </w:rPr>
        <w:t>中小企业声明函</w:t>
      </w:r>
    </w:p>
    <w:p w14:paraId="2AAE5115">
      <w:pPr>
        <w:spacing w:line="360" w:lineRule="auto"/>
        <w:ind w:firstLine="420" w:firstLineChars="200"/>
        <w:rPr>
          <w:rFonts w:ascii="宋体" w:hAnsi="宋体"/>
          <w:highlight w:val="none"/>
        </w:rPr>
      </w:pPr>
      <w:r>
        <w:rPr>
          <w:rFonts w:hint="eastAsia" w:ascii="宋体" w:hAnsi="宋体"/>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F6DB3FA">
      <w:pPr>
        <w:spacing w:line="360" w:lineRule="auto"/>
        <w:rPr>
          <w:rFonts w:ascii="宋体" w:hAnsi="宋体"/>
          <w:highlight w:val="none"/>
        </w:rPr>
      </w:pPr>
      <w:r>
        <w:rPr>
          <w:rFonts w:hint="eastAsia" w:ascii="宋体" w:hAnsi="宋体"/>
          <w:highlight w:val="none"/>
        </w:rPr>
        <w:t xml:space="preserve">1、（标的名称），属于（采购文件中明确的所属行业）；承建（承接）企业为（企业名称），从业人员 </w:t>
      </w:r>
      <w:r>
        <w:rPr>
          <w:rFonts w:hint="eastAsia" w:ascii="宋体" w:hAnsi="宋体"/>
          <w:highlight w:val="none"/>
        </w:rPr>
        <w:tab/>
      </w:r>
      <w:r>
        <w:rPr>
          <w:rFonts w:hint="eastAsia" w:ascii="宋体" w:hAnsi="宋体"/>
          <w:highlight w:val="none"/>
        </w:rPr>
        <w:t xml:space="preserve">人，营业收入为 </w:t>
      </w:r>
      <w:r>
        <w:rPr>
          <w:rFonts w:hint="eastAsia" w:ascii="宋体" w:hAnsi="宋体"/>
          <w:highlight w:val="none"/>
        </w:rPr>
        <w:tab/>
      </w:r>
      <w:r>
        <w:rPr>
          <w:rFonts w:hint="eastAsia" w:ascii="宋体" w:hAnsi="宋体"/>
          <w:highlight w:val="none"/>
        </w:rPr>
        <w:t xml:space="preserve">万元，资产总额为 </w:t>
      </w:r>
      <w:r>
        <w:rPr>
          <w:rFonts w:hint="eastAsia" w:ascii="宋体" w:hAnsi="宋体"/>
          <w:highlight w:val="none"/>
        </w:rPr>
        <w:tab/>
      </w:r>
      <w:r>
        <w:rPr>
          <w:rFonts w:hint="eastAsia" w:ascii="宋体" w:hAnsi="宋体"/>
          <w:highlight w:val="none"/>
        </w:rPr>
        <w:t>万元1，属于（中型企业、小型企业、微型企业）；</w:t>
      </w:r>
    </w:p>
    <w:p w14:paraId="2D64431F">
      <w:pPr>
        <w:spacing w:line="360" w:lineRule="auto"/>
        <w:rPr>
          <w:rFonts w:ascii="宋体" w:hAnsi="宋体"/>
          <w:highlight w:val="none"/>
        </w:rPr>
      </w:pPr>
      <w:r>
        <w:rPr>
          <w:rFonts w:hint="eastAsia" w:ascii="宋体" w:hAnsi="宋体"/>
          <w:highlight w:val="none"/>
        </w:rPr>
        <w:t xml:space="preserve">2、（标的名称），属于（采购文件中明确的所属行业）；承建（承接）企业为（企业名称），从业人员 </w:t>
      </w:r>
      <w:r>
        <w:rPr>
          <w:rFonts w:hint="eastAsia" w:ascii="宋体" w:hAnsi="宋体"/>
          <w:highlight w:val="none"/>
        </w:rPr>
        <w:tab/>
      </w:r>
      <w:r>
        <w:rPr>
          <w:rFonts w:hint="eastAsia" w:ascii="宋体" w:hAnsi="宋体"/>
          <w:highlight w:val="none"/>
        </w:rPr>
        <w:t xml:space="preserve">人，营业收入为 </w:t>
      </w:r>
      <w:r>
        <w:rPr>
          <w:rFonts w:hint="eastAsia" w:ascii="宋体" w:hAnsi="宋体"/>
          <w:highlight w:val="none"/>
        </w:rPr>
        <w:tab/>
      </w:r>
      <w:r>
        <w:rPr>
          <w:rFonts w:hint="eastAsia" w:ascii="宋体" w:hAnsi="宋体"/>
          <w:highlight w:val="none"/>
        </w:rPr>
        <w:t xml:space="preserve">万元，资产总额为 </w:t>
      </w:r>
      <w:r>
        <w:rPr>
          <w:rFonts w:hint="eastAsia" w:ascii="宋体" w:hAnsi="宋体"/>
          <w:highlight w:val="none"/>
        </w:rPr>
        <w:tab/>
      </w:r>
      <w:r>
        <w:rPr>
          <w:rFonts w:hint="eastAsia" w:ascii="宋体" w:hAnsi="宋体"/>
          <w:highlight w:val="none"/>
        </w:rPr>
        <w:t>万元，属于（中型企业、小型企业、微型企业）；</w:t>
      </w:r>
    </w:p>
    <w:p w14:paraId="231FA4C0">
      <w:pPr>
        <w:spacing w:line="360" w:lineRule="auto"/>
        <w:rPr>
          <w:rFonts w:ascii="宋体" w:hAnsi="宋体"/>
          <w:highlight w:val="none"/>
        </w:rPr>
      </w:pPr>
      <w:r>
        <w:rPr>
          <w:rFonts w:hint="eastAsia" w:ascii="宋体" w:hAnsi="宋体"/>
          <w:highlight w:val="none"/>
        </w:rPr>
        <w:t>……</w:t>
      </w:r>
    </w:p>
    <w:p w14:paraId="2860C226">
      <w:pPr>
        <w:spacing w:line="360" w:lineRule="auto"/>
        <w:ind w:firstLine="420" w:firstLineChars="200"/>
        <w:rPr>
          <w:rFonts w:ascii="宋体" w:hAnsi="宋体"/>
          <w:highlight w:val="none"/>
        </w:rPr>
      </w:pPr>
      <w:r>
        <w:rPr>
          <w:rFonts w:hint="eastAsia" w:ascii="宋体" w:hAnsi="宋体"/>
          <w:highlight w:val="none"/>
        </w:rPr>
        <w:t>以上企业，不属于大企业的分支机构，不存在控股股东为大企业的情形，也不存在与大企业的负责人为同一人的情形。</w:t>
      </w:r>
    </w:p>
    <w:p w14:paraId="4D1B0D83">
      <w:pPr>
        <w:spacing w:line="360" w:lineRule="auto"/>
        <w:ind w:firstLine="210" w:firstLineChars="100"/>
        <w:rPr>
          <w:rFonts w:ascii="宋体" w:hAnsi="宋体"/>
          <w:highlight w:val="none"/>
        </w:rPr>
      </w:pPr>
      <w:r>
        <w:rPr>
          <w:rFonts w:hint="eastAsia" w:ascii="宋体" w:hAnsi="宋体"/>
          <w:highlight w:val="none"/>
        </w:rPr>
        <w:t>本企业对上述声明内容的真实性负责。如有虚假，将依法承担相应责任。</w:t>
      </w:r>
    </w:p>
    <w:p w14:paraId="23873240">
      <w:pPr>
        <w:spacing w:line="360" w:lineRule="auto"/>
        <w:ind w:firstLine="420" w:firstLineChars="200"/>
        <w:rPr>
          <w:rFonts w:ascii="宋体" w:hAnsi="宋体"/>
          <w:highlight w:val="none"/>
        </w:rPr>
      </w:pPr>
      <w:r>
        <w:rPr>
          <w:rFonts w:hint="eastAsia" w:ascii="宋体" w:hAnsi="宋体"/>
          <w:highlight w:val="none"/>
        </w:rPr>
        <w:t>从业人员、营业收入、资产总额填报上一年度数据，无上一年度数据的新成立企业可不填报。</w:t>
      </w:r>
    </w:p>
    <w:p w14:paraId="47972A6D">
      <w:pPr>
        <w:spacing w:line="360" w:lineRule="auto"/>
        <w:rPr>
          <w:rFonts w:ascii="宋体" w:hAnsi="宋体"/>
          <w:highlight w:val="none"/>
        </w:rPr>
      </w:pPr>
    </w:p>
    <w:p w14:paraId="5557882A">
      <w:pPr>
        <w:spacing w:line="360" w:lineRule="auto"/>
        <w:rPr>
          <w:rFonts w:ascii="宋体" w:hAnsi="宋体"/>
          <w:highlight w:val="none"/>
        </w:rPr>
      </w:pPr>
    </w:p>
    <w:p w14:paraId="742C4E53">
      <w:pPr>
        <w:spacing w:line="360" w:lineRule="auto"/>
        <w:ind w:firstLine="6300" w:firstLineChars="3000"/>
        <w:rPr>
          <w:rFonts w:ascii="宋体" w:hAnsi="宋体"/>
          <w:highlight w:val="none"/>
        </w:rPr>
      </w:pPr>
      <w:r>
        <w:rPr>
          <w:rFonts w:hint="eastAsia" w:ascii="宋体" w:hAnsi="宋体"/>
          <w:highlight w:val="none"/>
        </w:rPr>
        <w:t>企业名称（盖章）：</w:t>
      </w:r>
    </w:p>
    <w:p w14:paraId="40CA067E">
      <w:pPr>
        <w:spacing w:line="360" w:lineRule="auto"/>
        <w:rPr>
          <w:rFonts w:ascii="宋体" w:hAnsi="宋体"/>
          <w:highlight w:val="none"/>
        </w:rPr>
      </w:pPr>
    </w:p>
    <w:p w14:paraId="02075653">
      <w:pPr>
        <w:spacing w:line="360" w:lineRule="auto"/>
        <w:ind w:firstLine="6930" w:firstLineChars="3300"/>
        <w:rPr>
          <w:rFonts w:ascii="宋体" w:hAnsi="宋体"/>
          <w:highlight w:val="none"/>
        </w:rPr>
      </w:pPr>
      <w:r>
        <w:rPr>
          <w:rFonts w:hint="eastAsia" w:ascii="宋体" w:hAnsi="宋体"/>
          <w:highlight w:val="none"/>
        </w:rPr>
        <w:t>日    期：</w:t>
      </w:r>
    </w:p>
    <w:p w14:paraId="5214758A">
      <w:pPr>
        <w:spacing w:line="360" w:lineRule="auto"/>
        <w:rPr>
          <w:rFonts w:ascii="宋体" w:hAnsi="宋体"/>
          <w:highlight w:val="none"/>
        </w:rPr>
      </w:pPr>
    </w:p>
    <w:p w14:paraId="34B08912">
      <w:pPr>
        <w:spacing w:line="360" w:lineRule="auto"/>
        <w:rPr>
          <w:sz w:val="24"/>
          <w:highlight w:val="none"/>
        </w:rPr>
      </w:pPr>
    </w:p>
    <w:p w14:paraId="651DFD68">
      <w:pPr>
        <w:spacing w:line="360" w:lineRule="auto"/>
        <w:rPr>
          <w:sz w:val="24"/>
          <w:highlight w:val="none"/>
        </w:rPr>
      </w:pPr>
    </w:p>
    <w:p w14:paraId="3E077B5F">
      <w:pPr>
        <w:spacing w:line="360" w:lineRule="auto"/>
        <w:rPr>
          <w:sz w:val="24"/>
          <w:highlight w:val="none"/>
        </w:rPr>
      </w:pPr>
    </w:p>
    <w:p w14:paraId="53C89BAE">
      <w:pPr>
        <w:spacing w:line="360" w:lineRule="auto"/>
        <w:rPr>
          <w:sz w:val="24"/>
          <w:highlight w:val="none"/>
        </w:rPr>
      </w:pPr>
    </w:p>
    <w:p w14:paraId="3DC3D7E3">
      <w:pPr>
        <w:spacing w:line="360" w:lineRule="auto"/>
        <w:rPr>
          <w:sz w:val="24"/>
          <w:highlight w:val="none"/>
        </w:rPr>
      </w:pPr>
    </w:p>
    <w:p w14:paraId="62DFB55A">
      <w:pPr>
        <w:spacing w:line="360" w:lineRule="auto"/>
        <w:rPr>
          <w:sz w:val="24"/>
          <w:highlight w:val="none"/>
        </w:rPr>
      </w:pPr>
    </w:p>
    <w:p w14:paraId="7565B9D1">
      <w:pPr>
        <w:spacing w:line="360" w:lineRule="auto"/>
        <w:rPr>
          <w:sz w:val="24"/>
          <w:highlight w:val="none"/>
        </w:rPr>
      </w:pPr>
    </w:p>
    <w:p w14:paraId="50CF3946">
      <w:pPr>
        <w:spacing w:line="360" w:lineRule="auto"/>
        <w:rPr>
          <w:sz w:val="24"/>
          <w:highlight w:val="none"/>
        </w:rPr>
      </w:pPr>
    </w:p>
    <w:p w14:paraId="6A0AEAB2">
      <w:pPr>
        <w:spacing w:line="360" w:lineRule="auto"/>
        <w:rPr>
          <w:sz w:val="24"/>
          <w:highlight w:val="none"/>
        </w:rPr>
      </w:pPr>
    </w:p>
    <w:p w14:paraId="0A543AA9">
      <w:pPr>
        <w:spacing w:line="360" w:lineRule="auto"/>
        <w:jc w:val="center"/>
        <w:rPr>
          <w:rFonts w:ascii="宋体" w:hAnsi="宋体"/>
          <w:b/>
          <w:spacing w:val="6"/>
          <w:sz w:val="32"/>
          <w:szCs w:val="32"/>
          <w:highlight w:val="none"/>
        </w:rPr>
      </w:pPr>
      <w:r>
        <w:rPr>
          <w:rFonts w:hint="eastAsia" w:ascii="宋体" w:hAnsi="宋体"/>
          <w:b/>
          <w:sz w:val="24"/>
          <w:highlight w:val="none"/>
        </w:rPr>
        <w:t>（二）残疾人福利性单位声明函</w:t>
      </w:r>
    </w:p>
    <w:p w14:paraId="1A8A514D">
      <w:pPr>
        <w:keepNext/>
        <w:jc w:val="center"/>
        <w:rPr>
          <w:rFonts w:ascii="宋体" w:hAnsi="宋体"/>
          <w:b/>
          <w:sz w:val="24"/>
          <w:highlight w:val="none"/>
        </w:rPr>
      </w:pPr>
      <w:r>
        <w:rPr>
          <w:rFonts w:hint="eastAsia" w:ascii="宋体" w:hAnsi="宋体"/>
          <w:b/>
          <w:sz w:val="24"/>
          <w:highlight w:val="none"/>
        </w:rPr>
        <w:t>（不属于残疾人福利性单位的无需填写）</w:t>
      </w:r>
    </w:p>
    <w:p w14:paraId="445BA5CA">
      <w:pPr>
        <w:keepNext/>
        <w:jc w:val="left"/>
        <w:rPr>
          <w:rFonts w:ascii="宋体" w:hAnsi="宋体"/>
          <w:b/>
          <w:sz w:val="24"/>
          <w:highlight w:val="none"/>
        </w:rPr>
      </w:pPr>
    </w:p>
    <w:p w14:paraId="1C5E951D">
      <w:pPr>
        <w:keepNext/>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本单位郑重声明，根据《财政部 民政部 中国残疾人联合会关于促进残疾人就业政府采购政策的通知》</w:t>
      </w:r>
    </w:p>
    <w:p w14:paraId="7D6E981D">
      <w:pPr>
        <w:keepNext/>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（财库〔2017〕 141 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2F6723E8">
      <w:pPr>
        <w:keepNext/>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本单位对上述声明的真实性负责。如有虚假，将依法承担相应责任。</w:t>
      </w:r>
    </w:p>
    <w:p w14:paraId="40477FE1">
      <w:pPr>
        <w:keepNext/>
        <w:spacing w:line="360" w:lineRule="auto"/>
        <w:ind w:firstLine="420" w:firstLineChars="200"/>
        <w:jc w:val="left"/>
        <w:rPr>
          <w:rFonts w:ascii="宋体" w:hAnsi="宋体"/>
          <w:sz w:val="21"/>
          <w:szCs w:val="21"/>
          <w:highlight w:val="none"/>
        </w:rPr>
      </w:pPr>
    </w:p>
    <w:p w14:paraId="0AD59737">
      <w:pPr>
        <w:keepNext/>
        <w:spacing w:line="360" w:lineRule="auto"/>
        <w:ind w:firstLine="420" w:firstLineChars="200"/>
        <w:jc w:val="left"/>
        <w:rPr>
          <w:rFonts w:ascii="宋体" w:hAnsi="宋体"/>
          <w:sz w:val="21"/>
          <w:szCs w:val="21"/>
          <w:highlight w:val="none"/>
        </w:rPr>
      </w:pPr>
    </w:p>
    <w:p w14:paraId="5000E8AD">
      <w:pPr>
        <w:keepNext/>
        <w:spacing w:line="360" w:lineRule="auto"/>
        <w:ind w:firstLine="422" w:firstLineChars="200"/>
        <w:jc w:val="left"/>
        <w:rPr>
          <w:rFonts w:ascii="宋体" w:hAnsi="宋体"/>
          <w:b/>
          <w:sz w:val="21"/>
          <w:szCs w:val="21"/>
          <w:highlight w:val="none"/>
        </w:rPr>
      </w:pPr>
      <w:r>
        <w:rPr>
          <w:rFonts w:hint="eastAsia" w:ascii="宋体" w:hAnsi="宋体"/>
          <w:b/>
          <w:sz w:val="21"/>
          <w:szCs w:val="21"/>
          <w:highlight w:val="none"/>
        </w:rPr>
        <w:t>注：请单独列出所供残疾人福利性单位制造的货物产品或提供的服务或实施的工程的单价和总价。</w:t>
      </w:r>
    </w:p>
    <w:p w14:paraId="1ACC6589">
      <w:pPr>
        <w:keepNext/>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（若投标文件中无上述材料，则在评审时不考虑对该小、微企业的相关优惠。）</w:t>
      </w:r>
    </w:p>
    <w:p w14:paraId="415FE465">
      <w:pPr>
        <w:keepNext/>
        <w:spacing w:line="360" w:lineRule="auto"/>
        <w:ind w:firstLine="420" w:firstLineChars="200"/>
        <w:jc w:val="left"/>
        <w:rPr>
          <w:rFonts w:ascii="宋体" w:hAnsi="宋体"/>
          <w:sz w:val="21"/>
          <w:szCs w:val="21"/>
          <w:highlight w:val="none"/>
        </w:rPr>
      </w:pPr>
    </w:p>
    <w:p w14:paraId="473578CA">
      <w:pPr>
        <w:keepNext/>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磋商申请人（盖章）：</w:t>
      </w:r>
    </w:p>
    <w:p w14:paraId="3C20C2F9">
      <w:pPr>
        <w:keepNext/>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日 期：</w:t>
      </w:r>
    </w:p>
    <w:p w14:paraId="706C58B3">
      <w:pPr>
        <w:keepNext/>
        <w:spacing w:line="360" w:lineRule="auto"/>
        <w:ind w:firstLine="420" w:firstLineChars="200"/>
        <w:jc w:val="left"/>
        <w:rPr>
          <w:rFonts w:ascii="宋体" w:hAnsi="宋体"/>
          <w:sz w:val="21"/>
          <w:szCs w:val="21"/>
          <w:highlight w:val="none"/>
        </w:rPr>
      </w:pPr>
    </w:p>
    <w:p w14:paraId="6A47F03D">
      <w:pPr>
        <w:keepNext/>
        <w:spacing w:line="360" w:lineRule="auto"/>
        <w:ind w:firstLine="420" w:firstLineChars="200"/>
        <w:jc w:val="left"/>
        <w:rPr>
          <w:rFonts w:ascii="宋体" w:hAnsi="宋体"/>
          <w:sz w:val="21"/>
          <w:szCs w:val="21"/>
          <w:highlight w:val="none"/>
        </w:rPr>
      </w:pPr>
    </w:p>
    <w:p w14:paraId="40ACC169">
      <w:pPr>
        <w:spacing w:line="360" w:lineRule="auto"/>
        <w:rPr>
          <w:rFonts w:ascii="宋体" w:hAnsi="宋体"/>
          <w:sz w:val="24"/>
          <w:highlight w:val="none"/>
        </w:rPr>
      </w:pPr>
      <w:r>
        <w:rPr>
          <w:rFonts w:hint="eastAsia" w:ascii="宋体" w:hAnsi="宋体"/>
          <w:sz w:val="21"/>
          <w:szCs w:val="21"/>
          <w:highlight w:val="none"/>
        </w:rPr>
        <w:t>符合条件的残疾人福利性单位在参加政府采购活动时，应当提供本通知规定的《残疾人福利性单位声明函》，并对声明的真实性负责。采购代理机构在随中标、成交结果同时公告其《残疾人福利性单位声明函》，接受社会监督。磋商申请人提供的《残疾人福利性单位声明函》与事实不符的，依照《政府采购法》第七十七条第一款的规定追究法律责任。</w:t>
      </w:r>
    </w:p>
    <w:p w14:paraId="0621E61D">
      <w:pPr>
        <w:spacing w:line="360" w:lineRule="auto"/>
        <w:rPr>
          <w:rFonts w:ascii="宋体" w:hAnsi="宋体"/>
          <w:sz w:val="24"/>
          <w:highlight w:val="none"/>
        </w:rPr>
      </w:pPr>
    </w:p>
    <w:p w14:paraId="028767AB">
      <w:pPr>
        <w:spacing w:line="360" w:lineRule="auto"/>
        <w:rPr>
          <w:rFonts w:ascii="宋体" w:hAnsi="宋体"/>
          <w:sz w:val="24"/>
          <w:highlight w:val="none"/>
        </w:rPr>
      </w:pPr>
    </w:p>
    <w:p w14:paraId="5E4E1649">
      <w:pPr>
        <w:spacing w:line="360" w:lineRule="auto"/>
        <w:rPr>
          <w:rFonts w:ascii="宋体" w:hAnsi="宋体"/>
          <w:sz w:val="24"/>
          <w:highlight w:val="none"/>
        </w:rPr>
      </w:pPr>
    </w:p>
    <w:p w14:paraId="3DFAC7BB">
      <w:pPr>
        <w:spacing w:line="360" w:lineRule="auto"/>
        <w:rPr>
          <w:rFonts w:ascii="宋体" w:hAnsi="宋体"/>
          <w:sz w:val="24"/>
          <w:highlight w:val="none"/>
        </w:rPr>
      </w:pPr>
    </w:p>
    <w:p w14:paraId="3B6557F4">
      <w:pPr>
        <w:spacing w:line="360" w:lineRule="auto"/>
        <w:rPr>
          <w:rFonts w:ascii="宋体" w:hAnsi="宋体"/>
          <w:sz w:val="24"/>
          <w:highlight w:val="none"/>
        </w:rPr>
      </w:pPr>
    </w:p>
    <w:p w14:paraId="7DD2858C">
      <w:pPr>
        <w:spacing w:line="360" w:lineRule="auto"/>
        <w:rPr>
          <w:rFonts w:ascii="宋体" w:hAnsi="宋体"/>
          <w:sz w:val="24"/>
          <w:highlight w:val="none"/>
        </w:rPr>
      </w:pPr>
    </w:p>
    <w:p w14:paraId="4CAB9C4A">
      <w:pPr>
        <w:spacing w:line="360" w:lineRule="auto"/>
        <w:rPr>
          <w:rFonts w:ascii="宋体" w:hAnsi="宋体"/>
          <w:sz w:val="24"/>
          <w:highlight w:val="none"/>
        </w:rPr>
      </w:pPr>
    </w:p>
    <w:p w14:paraId="11ABE043">
      <w:pPr>
        <w:keepNext/>
        <w:jc w:val="center"/>
        <w:rPr>
          <w:rFonts w:ascii="宋体" w:hAnsi="宋体"/>
          <w:b/>
          <w:spacing w:val="6"/>
          <w:sz w:val="24"/>
          <w:highlight w:val="none"/>
        </w:rPr>
      </w:pPr>
      <w:r>
        <w:rPr>
          <w:rFonts w:hint="eastAsia" w:ascii="宋体" w:hAnsi="宋体"/>
          <w:b/>
          <w:sz w:val="24"/>
          <w:highlight w:val="none"/>
        </w:rPr>
        <w:t>（三）</w:t>
      </w:r>
      <w:r>
        <w:rPr>
          <w:rFonts w:hint="eastAsia" w:ascii="宋体" w:hAnsi="宋体"/>
          <w:b/>
          <w:spacing w:val="6"/>
          <w:sz w:val="24"/>
          <w:highlight w:val="none"/>
        </w:rPr>
        <w:t>监狱企业声明函</w:t>
      </w:r>
    </w:p>
    <w:p w14:paraId="3FBF98B3">
      <w:pPr>
        <w:keepNext/>
        <w:jc w:val="center"/>
        <w:rPr>
          <w:rFonts w:ascii="宋体" w:hAnsi="宋体"/>
          <w:b/>
          <w:sz w:val="24"/>
          <w:highlight w:val="none"/>
        </w:rPr>
      </w:pPr>
      <w:r>
        <w:rPr>
          <w:rFonts w:hint="eastAsia" w:ascii="宋体" w:hAnsi="宋体"/>
          <w:b/>
          <w:sz w:val="24"/>
          <w:highlight w:val="none"/>
        </w:rPr>
        <w:t>（不属于监狱企业的无需填写）</w:t>
      </w:r>
    </w:p>
    <w:p w14:paraId="7781255A">
      <w:pPr>
        <w:keepNext/>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公司郑重声明，根据《关于政府采购支持监狱企业发展有关问题的通知》 （财库[2014]68 号）的规定，本公司为监狱企业。</w:t>
      </w:r>
    </w:p>
    <w:p w14:paraId="49589305">
      <w:pPr>
        <w:keepNext/>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根据上述标准，我公司属于监狱企业的理由为：   。</w:t>
      </w:r>
    </w:p>
    <w:p w14:paraId="4D0BCC74">
      <w:pPr>
        <w:keepNext/>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 xml:space="preserve">本公司为参加 </w:t>
      </w:r>
      <w:r>
        <w:rPr>
          <w:rFonts w:hint="eastAsia" w:ascii="宋体" w:hAnsi="宋体"/>
          <w:sz w:val="21"/>
          <w:szCs w:val="21"/>
          <w:highlight w:val="none"/>
          <w:u w:val="single"/>
        </w:rPr>
        <w:t>（项目名称） （招标编号：）</w:t>
      </w:r>
      <w:r>
        <w:rPr>
          <w:rFonts w:hint="eastAsia" w:ascii="宋体" w:hAnsi="宋体"/>
          <w:sz w:val="21"/>
          <w:szCs w:val="21"/>
          <w:highlight w:val="none"/>
        </w:rPr>
        <w:t>采购活动提供本企业（填写制造的货物，</w:t>
      </w:r>
    </w:p>
    <w:p w14:paraId="0C3A288E">
      <w:pPr>
        <w:keepNext/>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由本企业承担工程、提供服务）。</w:t>
      </w:r>
    </w:p>
    <w:p w14:paraId="163A5BBB">
      <w:pPr>
        <w:keepNext/>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本条所称货物不包括使用大型企业注册商标的货物和服务。</w:t>
      </w:r>
    </w:p>
    <w:p w14:paraId="0C928F79">
      <w:pPr>
        <w:keepNext/>
        <w:spacing w:line="360" w:lineRule="auto"/>
        <w:ind w:firstLine="420" w:firstLineChars="200"/>
        <w:jc w:val="left"/>
        <w:rPr>
          <w:rFonts w:ascii="宋体" w:hAnsi="宋体"/>
          <w:sz w:val="21"/>
          <w:szCs w:val="21"/>
          <w:highlight w:val="none"/>
        </w:rPr>
      </w:pPr>
    </w:p>
    <w:p w14:paraId="23173990">
      <w:pPr>
        <w:keepNext/>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本公司对上述声明的真实性负责。如有虚假，将依法承担相应责任</w:t>
      </w:r>
    </w:p>
    <w:p w14:paraId="11CE2EB2">
      <w:pPr>
        <w:keepNext/>
        <w:spacing w:line="360" w:lineRule="auto"/>
        <w:ind w:firstLine="420" w:firstLineChars="200"/>
        <w:jc w:val="left"/>
        <w:rPr>
          <w:rFonts w:ascii="宋体" w:hAnsi="宋体"/>
          <w:sz w:val="21"/>
          <w:szCs w:val="21"/>
          <w:highlight w:val="none"/>
        </w:rPr>
      </w:pPr>
    </w:p>
    <w:p w14:paraId="3D1D4DC3">
      <w:pPr>
        <w:keepNext/>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磋商申请人（盖章）：</w:t>
      </w:r>
    </w:p>
    <w:p w14:paraId="3F06A493">
      <w:pPr>
        <w:keepNext/>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日 期：</w:t>
      </w:r>
    </w:p>
    <w:p w14:paraId="006D259A">
      <w:pPr>
        <w:keepNext/>
        <w:spacing w:line="360" w:lineRule="auto"/>
        <w:ind w:firstLine="420" w:firstLineChars="200"/>
        <w:jc w:val="left"/>
        <w:rPr>
          <w:rFonts w:ascii="宋体" w:hAnsi="宋体"/>
          <w:sz w:val="21"/>
          <w:szCs w:val="21"/>
          <w:highlight w:val="none"/>
        </w:rPr>
      </w:pPr>
    </w:p>
    <w:p w14:paraId="760FF24A">
      <w:pPr>
        <w:keepNext/>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注：</w:t>
      </w:r>
    </w:p>
    <w:p w14:paraId="1101B839">
      <w:pPr>
        <w:keepNext/>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若产品出自符合国家规定的监狱企业，则该产品制造企业必须出具上述声明函，且磋商申请人必须提供应当提供由省级以上监狱管理局、戒毒管理局（含新疆生产建设兵团）出具的属于监狱企业的证明文件，否则在评审时将不考虑对该监狱企业的相关优惠。</w:t>
      </w:r>
    </w:p>
    <w:p w14:paraId="60FA4127">
      <w:pPr>
        <w:keepNext/>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监狱企业视同小型、微型企业，享受评审中价格扣除等政府采购促进中小企业发展的政府采购政策。</w:t>
      </w:r>
    </w:p>
    <w:p w14:paraId="54EC4D1D">
      <w:pPr>
        <w:widowControl/>
        <w:numPr>
          <w:ilvl w:val="-1"/>
          <w:numId w:val="0"/>
        </w:numPr>
        <w:bidi w:val="0"/>
        <w:spacing w:after="0" w:line="360" w:lineRule="auto"/>
        <w:ind w:firstLine="422" w:firstLineChars="200"/>
        <w:jc w:val="center"/>
        <w:outlineLvl w:val="9"/>
        <w:rPr>
          <w:rFonts w:hint="default" w:ascii="Calibri" w:hAnsi="Calibri" w:eastAsia="黑体" w:cs="Times New Roman"/>
          <w:kern w:val="2"/>
          <w:sz w:val="21"/>
          <w:szCs w:val="21"/>
          <w:highlight w:val="none"/>
          <w:lang w:val="en-US" w:eastAsia="zh-CN" w:bidi="ar-SA"/>
        </w:rPr>
      </w:pPr>
      <w:r>
        <w:rPr>
          <w:rFonts w:hint="eastAsia" w:ascii="宋体" w:hAnsi="宋体"/>
          <w:b/>
          <w:sz w:val="21"/>
          <w:szCs w:val="21"/>
          <w:highlight w:val="none"/>
        </w:rPr>
        <w:t>请单独列出所供监狱企业制造的货物产品或提供的服务或实施的工程的单价和总价。</w:t>
      </w:r>
    </w:p>
    <w:p w14:paraId="61747111">
      <w:pPr>
        <w:jc w:val="center"/>
        <w:rPr>
          <w:rFonts w:ascii="宋体" w:hAnsi="宋体" w:eastAsia="宋体" w:cs="宋体"/>
          <w:b/>
          <w:sz w:val="28"/>
          <w:szCs w:val="28"/>
          <w:highlight w:val="none"/>
        </w:rPr>
      </w:pPr>
      <w:r>
        <w:rPr>
          <w:sz w:val="24"/>
          <w:highlight w:val="none"/>
        </w:rPr>
        <w:br w:type="page"/>
      </w:r>
    </w:p>
    <w:p w14:paraId="5BCCF722">
      <w:pPr>
        <w:pStyle w:val="3"/>
        <w:spacing w:line="360" w:lineRule="auto"/>
        <w:jc w:val="center"/>
        <w:rPr>
          <w:rFonts w:ascii="宋体" w:hAnsi="宋体" w:eastAsia="宋体" w:cs="宋体"/>
          <w:color w:val="auto"/>
          <w:sz w:val="32"/>
          <w:szCs w:val="32"/>
          <w:highlight w:val="none"/>
        </w:rPr>
      </w:pPr>
      <w:bookmarkStart w:id="179" w:name="_Toc7252790"/>
      <w:bookmarkStart w:id="180" w:name="_Toc119422008"/>
      <w:r>
        <w:rPr>
          <w:rFonts w:hint="eastAsia" w:ascii="宋体" w:hAnsi="宋体" w:eastAsia="宋体" w:cs="宋体"/>
          <w:color w:val="auto"/>
          <w:sz w:val="32"/>
          <w:szCs w:val="32"/>
          <w:highlight w:val="none"/>
        </w:rPr>
        <w:t xml:space="preserve">第五章 </w:t>
      </w:r>
      <w:bookmarkEnd w:id="179"/>
      <w:r>
        <w:rPr>
          <w:rFonts w:hint="eastAsia" w:ascii="宋体" w:hAnsi="宋体" w:eastAsia="宋体" w:cs="宋体"/>
          <w:color w:val="auto"/>
          <w:sz w:val="32"/>
          <w:szCs w:val="32"/>
          <w:highlight w:val="none"/>
        </w:rPr>
        <w:t>采购需求</w:t>
      </w:r>
      <w:bookmarkEnd w:id="180"/>
    </w:p>
    <w:p w14:paraId="3DB07F40">
      <w:pPr>
        <w:rPr>
          <w:rFonts w:ascii="宋体" w:hAnsi="宋体" w:eastAsia="宋体" w:cs="宋体"/>
          <w:highlight w:val="none"/>
          <w:lang w:val="zh-CN"/>
        </w:rPr>
      </w:pPr>
    </w:p>
    <w:p w14:paraId="1374E191">
      <w:pPr>
        <w:spacing w:line="360" w:lineRule="auto"/>
        <w:ind w:firstLine="420" w:firstLineChars="200"/>
        <w:rPr>
          <w:rFonts w:ascii="宋体" w:hAnsi="宋体" w:eastAsia="宋体" w:cs="宋体"/>
          <w:b/>
          <w:bCs/>
          <w:kern w:val="0"/>
          <w:szCs w:val="21"/>
          <w:highlight w:val="none"/>
        </w:rPr>
      </w:pPr>
      <w:r>
        <w:rPr>
          <w:rFonts w:hint="eastAsia" w:ascii="宋体" w:hAnsi="宋体" w:eastAsia="宋体" w:cs="宋体"/>
          <w:szCs w:val="21"/>
          <w:highlight w:val="none"/>
        </w:rPr>
        <w:t>一、</w:t>
      </w:r>
      <w:r>
        <w:rPr>
          <w:rFonts w:hint="eastAsia" w:ascii="宋体" w:hAnsi="宋体" w:eastAsia="宋体" w:cs="宋体"/>
          <w:b/>
          <w:bCs/>
          <w:kern w:val="0"/>
          <w:szCs w:val="21"/>
          <w:highlight w:val="none"/>
        </w:rPr>
        <w:t>项目基本情况</w:t>
      </w:r>
    </w:p>
    <w:p w14:paraId="7FAFF666">
      <w:pPr>
        <w:keepLines w:val="0"/>
        <w:pageBreakBefore w:val="0"/>
        <w:widowControl/>
        <w:kinsoku/>
        <w:overflowPunct/>
        <w:autoSpaceDE/>
        <w:autoSpaceDN/>
        <w:bidi w:val="0"/>
        <w:adjustRightInd/>
        <w:spacing w:line="530" w:lineRule="exact"/>
        <w:ind w:firstLine="424" w:firstLineChars="202"/>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1.项目编号：</w:t>
      </w:r>
      <w:r>
        <w:rPr>
          <w:rFonts w:hint="eastAsia" w:ascii="宋体" w:hAnsi="宋体" w:eastAsia="宋体" w:cs="宋体"/>
          <w:kern w:val="0"/>
          <w:szCs w:val="21"/>
          <w:highlight w:val="none"/>
          <w:lang w:eastAsia="zh-CN"/>
        </w:rPr>
        <w:t>YNRTZB-2026-006</w:t>
      </w:r>
    </w:p>
    <w:p w14:paraId="77E886B5">
      <w:pPr>
        <w:keepLines w:val="0"/>
        <w:pageBreakBefore w:val="0"/>
        <w:widowControl/>
        <w:kinsoku/>
        <w:overflowPunct/>
        <w:autoSpaceDE/>
        <w:autoSpaceDN/>
        <w:bidi w:val="0"/>
        <w:adjustRightInd/>
        <w:spacing w:line="530" w:lineRule="exact"/>
        <w:ind w:firstLine="424" w:firstLineChars="202"/>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2.项目名称：</w:t>
      </w:r>
      <w:r>
        <w:rPr>
          <w:rFonts w:hint="eastAsia" w:ascii="宋体" w:hAnsi="宋体" w:eastAsia="宋体" w:cs="宋体"/>
          <w:kern w:val="0"/>
          <w:szCs w:val="21"/>
          <w:highlight w:val="none"/>
          <w:lang w:eastAsia="zh-CN"/>
        </w:rPr>
        <w:t>保山市隆阳区瓦房乡中心学校校园安全安保服务</w:t>
      </w:r>
    </w:p>
    <w:p w14:paraId="4D437DD4">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3.采购方式：竞争性磋商</w:t>
      </w:r>
    </w:p>
    <w:p w14:paraId="2E84B9E0">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4.预算金额：¥</w:t>
      </w:r>
      <w:r>
        <w:rPr>
          <w:rFonts w:hint="eastAsia" w:ascii="宋体" w:hAnsi="宋体" w:eastAsia="宋体" w:cs="宋体"/>
          <w:kern w:val="0"/>
          <w:szCs w:val="21"/>
          <w:highlight w:val="none"/>
          <w:lang w:val="en-US" w:eastAsia="zh-CN"/>
        </w:rPr>
        <w:t>840000.00</w:t>
      </w:r>
      <w:r>
        <w:rPr>
          <w:rFonts w:hint="eastAsia" w:ascii="宋体" w:hAnsi="宋体" w:eastAsia="宋体" w:cs="宋体"/>
          <w:kern w:val="0"/>
          <w:szCs w:val="21"/>
          <w:highlight w:val="none"/>
        </w:rPr>
        <w:t>元。</w:t>
      </w:r>
    </w:p>
    <w:p w14:paraId="0E01E2DB">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5.最高限价：¥</w:t>
      </w:r>
      <w:r>
        <w:rPr>
          <w:rFonts w:hint="eastAsia" w:ascii="宋体" w:hAnsi="宋体" w:eastAsia="宋体" w:cs="宋体"/>
          <w:kern w:val="0"/>
          <w:szCs w:val="21"/>
          <w:highlight w:val="none"/>
          <w:lang w:val="en-US" w:eastAsia="zh-CN"/>
        </w:rPr>
        <w:t>840000.00</w:t>
      </w:r>
      <w:r>
        <w:rPr>
          <w:rFonts w:hint="eastAsia" w:ascii="宋体" w:hAnsi="宋体" w:eastAsia="宋体" w:cs="宋体"/>
          <w:kern w:val="0"/>
          <w:szCs w:val="21"/>
          <w:highlight w:val="none"/>
        </w:rPr>
        <w:t>元。</w:t>
      </w:r>
    </w:p>
    <w:p w14:paraId="09E5D003">
      <w:pPr>
        <w:keepLines w:val="0"/>
        <w:pageBreakBefore w:val="0"/>
        <w:widowControl/>
        <w:kinsoku/>
        <w:overflowPunct/>
        <w:autoSpaceDE/>
        <w:autoSpaceDN/>
        <w:bidi w:val="0"/>
        <w:adjustRightInd/>
        <w:spacing w:line="53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6.采购内容：</w:t>
      </w:r>
      <w:r>
        <w:rPr>
          <w:rFonts w:hint="eastAsia" w:ascii="宋体" w:hAnsi="宋体" w:eastAsia="宋体" w:cs="宋体"/>
          <w:kern w:val="0"/>
          <w:szCs w:val="21"/>
          <w:highlight w:val="none"/>
          <w:lang w:eastAsia="zh-CN"/>
        </w:rPr>
        <w:t>安保人员28人，</w:t>
      </w:r>
      <w:r>
        <w:rPr>
          <w:rFonts w:hint="eastAsia" w:ascii="宋体" w:hAnsi="宋体" w:eastAsia="宋体" w:cs="宋体"/>
          <w:highlight w:val="none"/>
          <w:lang w:val="en-US" w:eastAsia="zh-CN"/>
        </w:rPr>
        <w:t>详见磋商文件第五章采购需求</w:t>
      </w:r>
      <w:r>
        <w:rPr>
          <w:rFonts w:hint="eastAsia" w:ascii="宋体" w:hAnsi="宋体" w:eastAsia="宋体" w:cs="宋体"/>
          <w:highlight w:val="none"/>
        </w:rPr>
        <w:t>。</w:t>
      </w:r>
    </w:p>
    <w:p w14:paraId="45AFD91D">
      <w:pPr>
        <w:keepLines w:val="0"/>
        <w:pageBreakBefore w:val="0"/>
        <w:widowControl/>
        <w:kinsoku/>
        <w:overflowPunct/>
        <w:autoSpaceDE/>
        <w:autoSpaceDN/>
        <w:bidi w:val="0"/>
        <w:adjustRightInd/>
        <w:spacing w:line="53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eastAsia="zh-CN"/>
        </w:rPr>
        <w:t>服务地点：采购人指定的地点</w:t>
      </w:r>
      <w:r>
        <w:rPr>
          <w:rFonts w:hint="eastAsia" w:ascii="宋体" w:hAnsi="宋体" w:eastAsia="宋体" w:cs="宋体"/>
          <w:highlight w:val="none"/>
        </w:rPr>
        <w:t>。</w:t>
      </w:r>
    </w:p>
    <w:p w14:paraId="333CCA48">
      <w:pPr>
        <w:keepLines w:val="0"/>
        <w:pageBreakBefore w:val="0"/>
        <w:widowControl/>
        <w:kinsoku/>
        <w:overflowPunct/>
        <w:autoSpaceDE/>
        <w:autoSpaceDN/>
        <w:bidi w:val="0"/>
        <w:adjustRightInd/>
        <w:spacing w:line="530" w:lineRule="exact"/>
        <w:ind w:firstLine="420" w:firstLineChars="200"/>
        <w:textAlignment w:val="auto"/>
        <w:rPr>
          <w:rFonts w:ascii="宋体" w:hAnsi="宋体" w:eastAsia="宋体" w:cs="宋体"/>
          <w:kern w:val="0"/>
          <w:highlight w:val="none"/>
        </w:rPr>
      </w:pPr>
      <w:r>
        <w:rPr>
          <w:rFonts w:hint="eastAsia" w:ascii="宋体" w:hAnsi="宋体" w:eastAsia="宋体" w:cs="宋体"/>
          <w:kern w:val="0"/>
          <w:highlight w:val="none"/>
        </w:rPr>
        <w:t>8.</w:t>
      </w:r>
      <w:r>
        <w:rPr>
          <w:rFonts w:hint="eastAsia" w:ascii="宋体" w:hAnsi="宋体" w:eastAsia="宋体" w:cs="宋体"/>
          <w:highlight w:val="none"/>
          <w:lang w:val="en-US" w:eastAsia="zh-CN"/>
        </w:rPr>
        <w:t>服务期限：一年</w:t>
      </w:r>
      <w:r>
        <w:rPr>
          <w:rFonts w:hint="eastAsia" w:ascii="宋体" w:hAnsi="宋体" w:eastAsia="宋体" w:cs="宋体"/>
          <w:kern w:val="0"/>
          <w:highlight w:val="none"/>
        </w:rPr>
        <w:t>。</w:t>
      </w:r>
    </w:p>
    <w:p w14:paraId="26005B50">
      <w:pPr>
        <w:widowControl/>
        <w:spacing w:line="530" w:lineRule="exact"/>
        <w:ind w:firstLine="424" w:firstLineChars="202"/>
        <w:rPr>
          <w:rFonts w:ascii="宋体" w:hAnsi="宋体" w:eastAsia="宋体" w:cs="宋体"/>
          <w:highlight w:val="none"/>
        </w:rPr>
      </w:pPr>
      <w:r>
        <w:rPr>
          <w:rFonts w:hint="eastAsia" w:ascii="宋体" w:hAnsi="宋体" w:eastAsia="宋体" w:cs="宋体"/>
          <w:highlight w:val="none"/>
          <w:lang w:val="en-US" w:eastAsia="zh-CN"/>
        </w:rPr>
        <w:t>9</w:t>
      </w:r>
      <w:r>
        <w:rPr>
          <w:rFonts w:hint="eastAsia" w:ascii="宋体" w:hAnsi="宋体" w:eastAsia="宋体" w:cs="宋体"/>
          <w:highlight w:val="none"/>
        </w:rPr>
        <w:t>.本项目不接受联合体磋商申请。</w:t>
      </w:r>
    </w:p>
    <w:p w14:paraId="55EC4877">
      <w:pPr>
        <w:widowControl/>
        <w:shd w:val="clear" w:color="auto" w:fill="FFFFFF"/>
        <w:spacing w:line="360" w:lineRule="auto"/>
        <w:ind w:firstLine="422" w:firstLineChars="200"/>
        <w:jc w:val="left"/>
        <w:outlineLvl w:val="9"/>
        <w:rPr>
          <w:rFonts w:ascii="宋体" w:hAnsi="宋体" w:eastAsia="宋体" w:cs="宋体"/>
          <w:kern w:val="0"/>
          <w:szCs w:val="21"/>
          <w:highlight w:val="none"/>
          <w:shd w:val="clear" w:color="auto" w:fill="FFFFFF"/>
        </w:rPr>
      </w:pPr>
      <w:r>
        <w:rPr>
          <w:rFonts w:hint="eastAsia" w:ascii="宋体" w:hAnsi="宋体" w:eastAsia="宋体" w:cs="宋体"/>
          <w:b/>
          <w:kern w:val="0"/>
          <w:szCs w:val="21"/>
          <w:highlight w:val="none"/>
          <w:shd w:val="clear" w:color="auto" w:fill="FFFFFF"/>
        </w:rPr>
        <w:t>二、项目相关要求及说明</w:t>
      </w:r>
    </w:p>
    <w:p w14:paraId="21D57DB8">
      <w:pPr>
        <w:widowControl/>
        <w:spacing w:line="360" w:lineRule="auto"/>
        <w:ind w:firstLine="424" w:firstLineChars="202"/>
        <w:rPr>
          <w:rFonts w:ascii="宋体" w:hAnsi="宋体" w:eastAsia="宋体" w:cs="宋体"/>
          <w:kern w:val="0"/>
          <w:szCs w:val="21"/>
          <w:highlight w:val="none"/>
        </w:rPr>
      </w:pPr>
      <w:r>
        <w:rPr>
          <w:rFonts w:hint="eastAsia" w:ascii="宋体" w:hAnsi="宋体" w:eastAsia="宋体" w:cs="宋体"/>
          <w:kern w:val="0"/>
          <w:highlight w:val="none"/>
          <w:lang w:val="en-US" w:eastAsia="zh-CN"/>
        </w:rPr>
        <w:t>1</w:t>
      </w:r>
      <w:r>
        <w:rPr>
          <w:rFonts w:hint="eastAsia" w:ascii="宋体" w:hAnsi="宋体" w:eastAsia="宋体" w:cs="宋体"/>
          <w:kern w:val="0"/>
          <w:highlight w:val="none"/>
        </w:rPr>
        <w:t>.</w:t>
      </w:r>
      <w:r>
        <w:rPr>
          <w:rFonts w:hint="eastAsia" w:ascii="宋体" w:hAnsi="宋体" w:eastAsia="宋体" w:cs="宋体"/>
          <w:kern w:val="0"/>
          <w:szCs w:val="21"/>
          <w:highlight w:val="none"/>
        </w:rPr>
        <w:t>落实政府采购政策需满足的资格要求：</w:t>
      </w:r>
      <w:r>
        <w:rPr>
          <w:rFonts w:hint="eastAsia" w:ascii="宋体" w:hAnsi="宋体" w:eastAsia="宋体" w:cs="Times New Roman"/>
          <w:kern w:val="2"/>
          <w:sz w:val="21"/>
          <w:szCs w:val="21"/>
          <w:highlight w:val="none"/>
          <w:lang w:val="en-US" w:eastAsia="zh-CN" w:bidi="ar-SA"/>
        </w:rPr>
        <w:t>本项目专门面向中小微企业采购。</w:t>
      </w:r>
    </w:p>
    <w:p w14:paraId="6A1D8AC8">
      <w:pPr>
        <w:snapToGrid w:val="0"/>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扶持中小企业政策：评审时小型、微型企业提供的产品（提供本企业制造的货物、承担的工程或者服务，或者提供其他中小企业制造的货物）价格给予相应的10%扣除。监狱企业、残疾人福利性单位视同小型和微型企业，其产品在评审时给予相同的价格扣除。执行政策文件：《中华人民共和国中小企业促进法》及《政府采购促进中小企业发展管理办法》（财库〔2020〕46号）、《财政部司法部关于政府采购支持监狱企业发展有关问题的通知》（财库〔2014〕68号）、《财政部民政部中国残疾人联合会关于促进残疾人就业政府采购政策的通知》（财库〔2017〕141号）、《关于进一步加大政府采购支持中小企业力度的通知》（财库〔2022〕19号）、《云南省进一步帮扶中小微企业纾困发展工作方案》（云政办发〔2022〕42号）。</w:t>
      </w:r>
    </w:p>
    <w:p w14:paraId="19858049">
      <w:pPr>
        <w:ind w:firstLine="422" w:firstLineChars="200"/>
        <w:rPr>
          <w:rFonts w:hint="eastAsia" w:ascii="宋体" w:hAnsi="宋体" w:eastAsia="宋体" w:cs="宋体"/>
          <w:b/>
          <w:kern w:val="0"/>
          <w:szCs w:val="21"/>
          <w:highlight w:val="none"/>
          <w:shd w:val="clear" w:color="auto" w:fill="FFFFFF"/>
          <w:lang w:val="en-US" w:eastAsia="zh-CN"/>
        </w:rPr>
      </w:pPr>
      <w:r>
        <w:rPr>
          <w:rFonts w:hint="eastAsia" w:ascii="宋体" w:hAnsi="宋体" w:eastAsia="宋体" w:cs="宋体"/>
          <w:b/>
          <w:kern w:val="0"/>
          <w:szCs w:val="21"/>
          <w:highlight w:val="none"/>
          <w:shd w:val="clear" w:color="auto" w:fill="FFFFFF"/>
          <w:lang w:val="en-US" w:eastAsia="zh-CN"/>
        </w:rPr>
        <w:t>三、服务内容</w:t>
      </w:r>
    </w:p>
    <w:p w14:paraId="1EC7D102">
      <w:pPr>
        <w:pStyle w:val="10"/>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采购校园安保服务，主要包括24小时门卫值守、门禁管理、校园治安巡逻、交通及上下学秩序维护、监控与消防值守、突发事件应急处置、安全隐患排查及配合开展应急演练等服务，需配备符合资质要求的专业安保人员，保障校园安全稳定运行。</w:t>
      </w:r>
    </w:p>
    <w:p w14:paraId="65EE7B12">
      <w:pPr>
        <w:pStyle w:val="2"/>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1.招聘保安28人。</w:t>
      </w:r>
    </w:p>
    <w:p w14:paraId="505471AE">
      <w:pPr>
        <w:pStyle w:val="2"/>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2.男性18-55岁，女性18-50岁，身体健康。</w:t>
      </w:r>
    </w:p>
    <w:p w14:paraId="3B4B9EEA">
      <w:pPr>
        <w:pStyle w:val="2"/>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3.入职前需进行入职查询、政审，无犯罪记录、无吸吸毒史者方能聘用。</w:t>
      </w:r>
    </w:p>
    <w:p w14:paraId="0C2E17F0">
      <w:pPr>
        <w:pStyle w:val="2"/>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4.中标公司必须按时发放工资，工资不得低于2100元每月，不得拖欠工资。</w:t>
      </w:r>
    </w:p>
    <w:p w14:paraId="2E077B76">
      <w:pPr>
        <w:pStyle w:val="2"/>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5.中标公司必须为保安员购买相应保险。</w:t>
      </w:r>
    </w:p>
    <w:p w14:paraId="0582BA72">
      <w:pPr>
        <w:pStyle w:val="2"/>
        <w:ind w:firstLine="422" w:firstLineChars="200"/>
        <w:rPr>
          <w:rFonts w:hint="eastAsia" w:ascii="宋体" w:hAnsi="宋体" w:eastAsia="宋体" w:cs="宋体"/>
          <w:b/>
          <w:bCs w:val="0"/>
          <w:strike w:val="0"/>
          <w:dstrike w:val="0"/>
          <w:kern w:val="0"/>
          <w:sz w:val="21"/>
          <w:szCs w:val="21"/>
          <w:highlight w:val="none"/>
          <w:shd w:val="clear" w:color="auto" w:fill="FFFFFF"/>
          <w:lang w:val="en-US" w:eastAsia="zh-CN" w:bidi="ar-SA"/>
        </w:rPr>
        <w:sectPr>
          <w:footerReference r:id="rId8" w:type="default"/>
          <w:pgSz w:w="11906" w:h="16838"/>
          <w:pgMar w:top="936" w:right="1134" w:bottom="1089" w:left="1134" w:header="851" w:footer="992" w:gutter="0"/>
          <w:pgNumType w:fmt="decimal"/>
          <w:cols w:space="0" w:num="1"/>
          <w:rtlGutter w:val="0"/>
          <w:docGrid w:type="lines" w:linePitch="321" w:charSpace="0"/>
        </w:sectPr>
      </w:pPr>
    </w:p>
    <w:p w14:paraId="7AE0653F">
      <w:pPr>
        <w:pStyle w:val="24"/>
        <w:rPr>
          <w:rFonts w:hAnsi="宋体"/>
          <w:szCs w:val="21"/>
          <w:highlight w:val="none"/>
        </w:rPr>
      </w:pPr>
    </w:p>
    <w:p w14:paraId="685EA9C4">
      <w:pPr>
        <w:pStyle w:val="3"/>
        <w:spacing w:line="360" w:lineRule="auto"/>
        <w:jc w:val="center"/>
        <w:rPr>
          <w:highlight w:val="none"/>
        </w:rPr>
      </w:pPr>
      <w:bookmarkStart w:id="181" w:name="_Toc119422009"/>
      <w:r>
        <w:rPr>
          <w:rFonts w:hint="eastAsia"/>
          <w:highlight w:val="none"/>
        </w:rPr>
        <w:t>第六章 磋商程序和方法</w:t>
      </w:r>
      <w:bookmarkEnd w:id="181"/>
    </w:p>
    <w:p w14:paraId="2DF69BFC">
      <w:pPr>
        <w:pStyle w:val="4"/>
        <w:spacing w:before="0" w:after="0" w:line="360" w:lineRule="auto"/>
        <w:jc w:val="center"/>
        <w:rPr>
          <w:rFonts w:ascii="宋体" w:hAnsi="宋体" w:eastAsia="宋体" w:cs="宋体"/>
          <w:sz w:val="28"/>
          <w:szCs w:val="28"/>
          <w:highlight w:val="none"/>
        </w:rPr>
      </w:pPr>
      <w:bookmarkStart w:id="182" w:name="_Toc119422010"/>
      <w:bookmarkStart w:id="183" w:name="_Toc7284545"/>
      <w:bookmarkStart w:id="184" w:name="_Toc191374457"/>
      <w:bookmarkStart w:id="185" w:name="_Toc37797043"/>
      <w:bookmarkStart w:id="186" w:name="_Toc86124093"/>
      <w:bookmarkStart w:id="187" w:name="_Toc7252791"/>
      <w:r>
        <w:rPr>
          <w:rFonts w:hint="eastAsia" w:ascii="宋体" w:hAnsi="宋体" w:eastAsia="宋体" w:cs="宋体"/>
          <w:sz w:val="28"/>
          <w:szCs w:val="28"/>
          <w:highlight w:val="none"/>
          <w:lang w:val="zh-CN"/>
        </w:rPr>
        <w:t>磋商程序和方法前附表</w:t>
      </w:r>
      <w:bookmarkEnd w:id="182"/>
      <w:bookmarkEnd w:id="183"/>
      <w:bookmarkEnd w:id="184"/>
      <w:bookmarkEnd w:id="185"/>
      <w:bookmarkEnd w:id="186"/>
      <w:bookmarkEnd w:id="187"/>
    </w:p>
    <w:p w14:paraId="0C0BCBCF">
      <w:pPr>
        <w:rPr>
          <w:rFonts w:ascii="宋体" w:hAnsi="宋体" w:eastAsia="宋体" w:cs="宋体"/>
          <w:b/>
          <w:bCs/>
          <w:sz w:val="24"/>
          <w:szCs w:val="24"/>
          <w:highlight w:val="none"/>
        </w:rPr>
      </w:pPr>
      <w:r>
        <w:rPr>
          <w:rFonts w:hint="eastAsia" w:ascii="宋体" w:hAnsi="宋体" w:eastAsia="宋体" w:cs="宋体"/>
          <w:b/>
          <w:bCs/>
          <w:sz w:val="24"/>
          <w:szCs w:val="24"/>
          <w:highlight w:val="none"/>
        </w:rPr>
        <w:t>一、资格审查表</w:t>
      </w:r>
    </w:p>
    <w:tbl>
      <w:tblPr>
        <w:tblStyle w:val="27"/>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6227"/>
        <w:gridCol w:w="2314"/>
      </w:tblGrid>
      <w:tr w14:paraId="162B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exact"/>
          <w:tblHeader/>
          <w:jc w:val="center"/>
        </w:trPr>
        <w:tc>
          <w:tcPr>
            <w:tcW w:w="10259" w:type="dxa"/>
            <w:gridSpan w:val="3"/>
            <w:noWrap/>
            <w:vAlign w:val="center"/>
          </w:tcPr>
          <w:p w14:paraId="7814966D">
            <w:pPr>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磋商申请人资格审查内容及相关因素</w:t>
            </w:r>
          </w:p>
        </w:tc>
      </w:tr>
      <w:tr w14:paraId="03BD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blHeader/>
          <w:jc w:val="center"/>
        </w:trPr>
        <w:tc>
          <w:tcPr>
            <w:tcW w:w="1718" w:type="dxa"/>
            <w:noWrap/>
            <w:vAlign w:val="center"/>
          </w:tcPr>
          <w:p w14:paraId="1F53CDD2">
            <w:pPr>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评 审 内容</w:t>
            </w:r>
          </w:p>
        </w:tc>
        <w:tc>
          <w:tcPr>
            <w:tcW w:w="8541" w:type="dxa"/>
            <w:gridSpan w:val="2"/>
            <w:noWrap/>
            <w:vAlign w:val="center"/>
          </w:tcPr>
          <w:p w14:paraId="608B1BB4">
            <w:pPr>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评审因素</w:t>
            </w:r>
          </w:p>
        </w:tc>
      </w:tr>
      <w:tr w14:paraId="39E2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718" w:type="dxa"/>
            <w:vMerge w:val="restart"/>
            <w:noWrap/>
            <w:vAlign w:val="center"/>
          </w:tcPr>
          <w:p w14:paraId="2372942D">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shd w:val="clear" w:color="auto" w:fill="FFFFFF"/>
              </w:rPr>
              <w:t>磋商申请人应具有独立承担民事责任的能力</w:t>
            </w:r>
          </w:p>
        </w:tc>
        <w:tc>
          <w:tcPr>
            <w:tcW w:w="6227" w:type="dxa"/>
            <w:noWrap/>
            <w:vAlign w:val="center"/>
          </w:tcPr>
          <w:p w14:paraId="519489FA">
            <w:pPr>
              <w:spacing w:line="400" w:lineRule="exact"/>
              <w:rPr>
                <w:rFonts w:ascii="宋体" w:hAnsi="宋体" w:eastAsia="宋体" w:cs="宋体"/>
                <w:szCs w:val="21"/>
                <w:highlight w:val="none"/>
              </w:rPr>
            </w:pPr>
            <w:r>
              <w:rPr>
                <w:rFonts w:hint="eastAsia" w:ascii="宋体" w:hAnsi="宋体" w:eastAsia="宋体" w:cs="宋体"/>
                <w:b/>
                <w:szCs w:val="21"/>
                <w:highlight w:val="none"/>
              </w:rPr>
              <w:t>有效营业执照：</w:t>
            </w:r>
            <w:r>
              <w:rPr>
                <w:rFonts w:hint="eastAsia" w:ascii="宋体" w:hAnsi="宋体" w:eastAsia="宋体" w:cs="宋体"/>
                <w:szCs w:val="21"/>
                <w:highlight w:val="none"/>
              </w:rPr>
              <w:t>磋商申请人有效的</w:t>
            </w:r>
            <w:r>
              <w:rPr>
                <w:rFonts w:hint="eastAsia" w:ascii="宋体" w:hAnsi="宋体" w:eastAsia="宋体" w:cs="宋体"/>
                <w:bCs/>
                <w:szCs w:val="21"/>
                <w:highlight w:val="none"/>
              </w:rPr>
              <w:t>统一社会信用代码证或其他组织证件或自然人身份证件</w:t>
            </w:r>
            <w:r>
              <w:rPr>
                <w:rFonts w:hint="eastAsia" w:ascii="宋体" w:hAnsi="宋体" w:eastAsia="宋体" w:cs="宋体"/>
                <w:szCs w:val="21"/>
                <w:highlight w:val="none"/>
              </w:rPr>
              <w:t>等能证明具有独立承担民事责任能力的证明材料。</w:t>
            </w:r>
          </w:p>
        </w:tc>
        <w:tc>
          <w:tcPr>
            <w:tcW w:w="2314" w:type="dxa"/>
            <w:noWrap/>
            <w:vAlign w:val="center"/>
          </w:tcPr>
          <w:p w14:paraId="5B000BF9">
            <w:pPr>
              <w:spacing w:line="400" w:lineRule="exact"/>
              <w:rPr>
                <w:rFonts w:ascii="宋体" w:hAnsi="宋体" w:eastAsia="宋体" w:cs="宋体"/>
                <w:szCs w:val="21"/>
                <w:highlight w:val="none"/>
              </w:rPr>
            </w:pPr>
            <w:r>
              <w:rPr>
                <w:rFonts w:hint="eastAsia" w:ascii="宋体" w:hAnsi="宋体" w:eastAsia="宋体" w:cs="宋体"/>
                <w:szCs w:val="21"/>
                <w:highlight w:val="none"/>
              </w:rPr>
              <w:t>审查其提供材料的完整性及有效性</w:t>
            </w:r>
          </w:p>
        </w:tc>
      </w:tr>
      <w:tr w14:paraId="5D73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718" w:type="dxa"/>
            <w:noWrap/>
            <w:vAlign w:val="center"/>
          </w:tcPr>
          <w:p w14:paraId="128C64C4">
            <w:pPr>
              <w:spacing w:line="400" w:lineRule="exact"/>
              <w:rPr>
                <w:rFonts w:ascii="宋体" w:hAnsi="宋体" w:eastAsia="宋体" w:cs="宋体"/>
                <w:szCs w:val="21"/>
                <w:highlight w:val="none"/>
                <w:shd w:val="clear" w:color="auto" w:fill="FFFFFF"/>
              </w:rPr>
            </w:pPr>
            <w:r>
              <w:rPr>
                <w:rFonts w:hint="eastAsia" w:ascii="宋体" w:hAnsi="宋体" w:eastAsia="宋体" w:cs="宋体"/>
                <w:szCs w:val="21"/>
                <w:highlight w:val="none"/>
              </w:rPr>
              <w:t>具有良好的商业信誉和健全的财务会计制度</w:t>
            </w:r>
          </w:p>
        </w:tc>
        <w:tc>
          <w:tcPr>
            <w:tcW w:w="6227" w:type="dxa"/>
            <w:noWrap/>
            <w:vAlign w:val="center"/>
          </w:tcPr>
          <w:p w14:paraId="4C15A29E">
            <w:pPr>
              <w:spacing w:line="400" w:lineRule="exact"/>
              <w:rPr>
                <w:rFonts w:ascii="宋体" w:hAnsi="宋体" w:eastAsia="宋体" w:cs="宋体"/>
                <w:szCs w:val="21"/>
                <w:highlight w:val="none"/>
              </w:rPr>
            </w:pPr>
            <w:r>
              <w:rPr>
                <w:rFonts w:hint="eastAsia" w:ascii="宋体" w:hAnsi="宋体" w:eastAsia="宋体" w:cs="宋体"/>
                <w:szCs w:val="21"/>
                <w:highlight w:val="none"/>
                <w:lang w:val="en-US" w:eastAsia="zh-CN"/>
              </w:rPr>
              <w:t>磋商申请人须提供近一年（2025年）的财务报表或财务说明或财务审计报告，新成立的公司提供公司成立后有效的财务报表或银行资信证明</w:t>
            </w:r>
            <w:r>
              <w:rPr>
                <w:rFonts w:hint="eastAsia" w:ascii="宋体" w:hAnsi="宋体" w:eastAsia="宋体" w:cs="宋体"/>
                <w:szCs w:val="21"/>
                <w:highlight w:val="none"/>
              </w:rPr>
              <w:t>。</w:t>
            </w:r>
          </w:p>
        </w:tc>
        <w:tc>
          <w:tcPr>
            <w:tcW w:w="2314" w:type="dxa"/>
            <w:noWrap/>
            <w:vAlign w:val="center"/>
          </w:tcPr>
          <w:p w14:paraId="3F1050DE">
            <w:pPr>
              <w:spacing w:line="400" w:lineRule="exact"/>
              <w:rPr>
                <w:rFonts w:ascii="宋体" w:hAnsi="宋体" w:eastAsia="宋体" w:cs="宋体"/>
                <w:szCs w:val="21"/>
                <w:highlight w:val="none"/>
              </w:rPr>
            </w:pPr>
            <w:r>
              <w:rPr>
                <w:rFonts w:hint="eastAsia" w:ascii="宋体" w:hAnsi="宋体" w:eastAsia="宋体" w:cs="宋体"/>
                <w:szCs w:val="21"/>
                <w:highlight w:val="none"/>
              </w:rPr>
              <w:t>审查其是否提供</w:t>
            </w:r>
          </w:p>
        </w:tc>
      </w:tr>
      <w:tr w14:paraId="0248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noWrap/>
            <w:vAlign w:val="center"/>
          </w:tcPr>
          <w:p w14:paraId="58894E5C">
            <w:pPr>
              <w:spacing w:line="400" w:lineRule="exact"/>
              <w:rPr>
                <w:rFonts w:ascii="宋体" w:hAnsi="宋体" w:eastAsia="宋体" w:cs="宋体"/>
                <w:szCs w:val="21"/>
                <w:highlight w:val="none"/>
              </w:rPr>
            </w:pPr>
            <w:r>
              <w:rPr>
                <w:rFonts w:hint="eastAsia" w:ascii="宋体" w:hAnsi="宋体" w:eastAsia="宋体" w:cs="宋体"/>
                <w:szCs w:val="21"/>
                <w:highlight w:val="none"/>
              </w:rPr>
              <w:t>有依法缴纳税收和社会保障资金的良好记录</w:t>
            </w:r>
          </w:p>
        </w:tc>
        <w:tc>
          <w:tcPr>
            <w:tcW w:w="6227" w:type="dxa"/>
            <w:noWrap/>
            <w:vAlign w:val="center"/>
          </w:tcPr>
          <w:p w14:paraId="0551F255">
            <w:pPr>
              <w:spacing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依法纳税及缴纳社会保险证明：磋商申请人须提供2025年至今任意三个月份缴纳税收凭证及社会保险证明材料，新成立的公司提供社会保障登记证等相关证明材料</w:t>
            </w:r>
          </w:p>
        </w:tc>
        <w:tc>
          <w:tcPr>
            <w:tcW w:w="2314" w:type="dxa"/>
            <w:noWrap/>
            <w:vAlign w:val="center"/>
          </w:tcPr>
          <w:p w14:paraId="307B8F8B">
            <w:pPr>
              <w:spacing w:line="400" w:lineRule="exact"/>
              <w:rPr>
                <w:rFonts w:ascii="宋体" w:hAnsi="宋体" w:eastAsia="宋体" w:cs="宋体"/>
                <w:szCs w:val="21"/>
                <w:highlight w:val="none"/>
              </w:rPr>
            </w:pPr>
            <w:r>
              <w:rPr>
                <w:rFonts w:hint="eastAsia" w:ascii="宋体" w:hAnsi="宋体" w:eastAsia="宋体" w:cs="宋体"/>
                <w:szCs w:val="21"/>
                <w:highlight w:val="none"/>
              </w:rPr>
              <w:t>审查其是否提供</w:t>
            </w:r>
          </w:p>
        </w:tc>
      </w:tr>
      <w:tr w14:paraId="1EBA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noWrap/>
            <w:vAlign w:val="center"/>
          </w:tcPr>
          <w:p w14:paraId="1F3729F4">
            <w:pPr>
              <w:spacing w:line="400" w:lineRule="exact"/>
              <w:rPr>
                <w:rFonts w:ascii="宋体" w:hAnsi="宋体" w:eastAsia="宋体" w:cs="宋体"/>
                <w:szCs w:val="21"/>
                <w:highlight w:val="none"/>
              </w:rPr>
            </w:pPr>
            <w:r>
              <w:rPr>
                <w:rFonts w:hint="eastAsia" w:ascii="宋体" w:hAnsi="宋体" w:eastAsia="宋体" w:cs="宋体"/>
                <w:szCs w:val="21"/>
                <w:highlight w:val="none"/>
              </w:rPr>
              <w:t>具备履行合同所必需的设备和专业技术能力</w:t>
            </w:r>
          </w:p>
        </w:tc>
        <w:tc>
          <w:tcPr>
            <w:tcW w:w="6227" w:type="dxa"/>
            <w:noWrap/>
            <w:vAlign w:val="center"/>
          </w:tcPr>
          <w:p w14:paraId="11B0F258">
            <w:pPr>
              <w:spacing w:line="400" w:lineRule="exact"/>
              <w:rPr>
                <w:rFonts w:ascii="宋体" w:hAnsi="宋体" w:eastAsia="宋体" w:cs="宋体"/>
                <w:szCs w:val="21"/>
                <w:highlight w:val="none"/>
              </w:rPr>
            </w:pPr>
            <w:r>
              <w:rPr>
                <w:rFonts w:hint="eastAsia" w:ascii="宋体" w:hAnsi="宋体" w:eastAsia="宋体" w:cs="宋体"/>
                <w:szCs w:val="21"/>
                <w:highlight w:val="none"/>
              </w:rPr>
              <w:t>提供</w:t>
            </w:r>
            <w:r>
              <w:rPr>
                <w:rFonts w:hint="eastAsia" w:ascii="宋体" w:hAnsi="宋体" w:eastAsia="宋体" w:cs="宋体"/>
                <w:szCs w:val="21"/>
                <w:highlight w:val="none"/>
                <w:lang w:val="en-US" w:eastAsia="zh-CN"/>
              </w:rPr>
              <w:t>声明函</w:t>
            </w:r>
            <w:r>
              <w:rPr>
                <w:rFonts w:hint="eastAsia" w:ascii="宋体" w:hAnsi="宋体" w:eastAsia="宋体" w:cs="宋体"/>
                <w:szCs w:val="21"/>
                <w:highlight w:val="none"/>
              </w:rPr>
              <w:t>。</w:t>
            </w:r>
          </w:p>
        </w:tc>
        <w:tc>
          <w:tcPr>
            <w:tcW w:w="2314" w:type="dxa"/>
            <w:noWrap/>
            <w:vAlign w:val="center"/>
          </w:tcPr>
          <w:p w14:paraId="743136B2">
            <w:pPr>
              <w:spacing w:line="400" w:lineRule="exact"/>
              <w:rPr>
                <w:rFonts w:ascii="宋体" w:hAnsi="宋体" w:eastAsia="宋体" w:cs="宋体"/>
                <w:szCs w:val="21"/>
                <w:highlight w:val="none"/>
              </w:rPr>
            </w:pPr>
            <w:r>
              <w:rPr>
                <w:rFonts w:hint="eastAsia" w:ascii="宋体" w:hAnsi="宋体" w:eastAsia="宋体" w:cs="宋体"/>
                <w:szCs w:val="21"/>
                <w:highlight w:val="none"/>
              </w:rPr>
              <w:t>审查其是否提供</w:t>
            </w:r>
          </w:p>
        </w:tc>
      </w:tr>
      <w:tr w14:paraId="1B88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noWrap/>
            <w:vAlign w:val="center"/>
          </w:tcPr>
          <w:p w14:paraId="373C785E">
            <w:pPr>
              <w:spacing w:line="400" w:lineRule="exact"/>
              <w:rPr>
                <w:rFonts w:ascii="宋体" w:hAnsi="宋体" w:eastAsia="宋体" w:cs="宋体"/>
                <w:szCs w:val="21"/>
                <w:highlight w:val="none"/>
              </w:rPr>
            </w:pPr>
            <w:r>
              <w:rPr>
                <w:rFonts w:hint="eastAsia" w:ascii="宋体" w:hAnsi="宋体" w:eastAsia="宋体" w:cs="宋体"/>
                <w:szCs w:val="21"/>
                <w:highlight w:val="none"/>
              </w:rPr>
              <w:t>无重大违法记录声明</w:t>
            </w:r>
          </w:p>
        </w:tc>
        <w:tc>
          <w:tcPr>
            <w:tcW w:w="6227" w:type="dxa"/>
            <w:noWrap/>
            <w:vAlign w:val="center"/>
          </w:tcPr>
          <w:p w14:paraId="2757FF45">
            <w:pPr>
              <w:spacing w:line="400" w:lineRule="exact"/>
              <w:rPr>
                <w:rFonts w:ascii="宋体" w:hAnsi="宋体" w:eastAsia="宋体" w:cs="宋体"/>
                <w:szCs w:val="21"/>
                <w:highlight w:val="none"/>
              </w:rPr>
            </w:pPr>
            <w:r>
              <w:rPr>
                <w:rFonts w:hint="eastAsia" w:ascii="宋体" w:hAnsi="宋体" w:cs="宋体"/>
                <w:szCs w:val="21"/>
                <w:highlight w:val="none"/>
              </w:rPr>
              <w:t>参加政府采购活动前3年内在经营活动中没有重大违法记录的书面声明。</w:t>
            </w:r>
          </w:p>
        </w:tc>
        <w:tc>
          <w:tcPr>
            <w:tcW w:w="2314" w:type="dxa"/>
            <w:noWrap/>
            <w:vAlign w:val="center"/>
          </w:tcPr>
          <w:p w14:paraId="06862C43">
            <w:pPr>
              <w:spacing w:line="400" w:lineRule="exact"/>
              <w:rPr>
                <w:rFonts w:ascii="宋体" w:hAnsi="宋体" w:eastAsia="宋体" w:cs="宋体"/>
                <w:szCs w:val="21"/>
                <w:highlight w:val="none"/>
              </w:rPr>
            </w:pPr>
            <w:r>
              <w:rPr>
                <w:rFonts w:hint="eastAsia" w:ascii="宋体" w:hAnsi="宋体" w:eastAsia="宋体" w:cs="宋体"/>
                <w:szCs w:val="21"/>
                <w:highlight w:val="none"/>
              </w:rPr>
              <w:t>审查其是否提供</w:t>
            </w:r>
          </w:p>
        </w:tc>
      </w:tr>
      <w:tr w14:paraId="3055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18" w:type="dxa"/>
            <w:noWrap/>
            <w:vAlign w:val="top"/>
          </w:tcPr>
          <w:p w14:paraId="1B450A21">
            <w:pPr>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特定资格要求 </w:t>
            </w:r>
            <w:r>
              <w:rPr>
                <w:rFonts w:hint="eastAsia" w:ascii="宋体" w:hAnsi="宋体" w:eastAsia="宋体" w:cs="宋体"/>
                <w:color w:val="auto"/>
                <w:szCs w:val="21"/>
                <w:highlight w:val="none"/>
                <w:lang w:val="en-US" w:eastAsia="zh-CN"/>
              </w:rPr>
              <w:t>1</w:t>
            </w:r>
          </w:p>
        </w:tc>
        <w:tc>
          <w:tcPr>
            <w:tcW w:w="6227" w:type="dxa"/>
            <w:noWrap/>
            <w:vAlign w:val="top"/>
          </w:tcPr>
          <w:p w14:paraId="375AC2C1">
            <w:pPr>
              <w:spacing w:line="400" w:lineRule="exact"/>
              <w:rPr>
                <w:rFonts w:hint="eastAsia" w:ascii="宋体" w:hAnsi="宋体" w:eastAsia="宋体" w:cs="宋体"/>
                <w:color w:val="auto"/>
                <w:szCs w:val="21"/>
                <w:highlight w:val="none"/>
                <w:lang w:eastAsia="zh-CN"/>
              </w:rPr>
            </w:pPr>
            <w:r>
              <w:rPr>
                <w:rFonts w:hint="eastAsia" w:asciiTheme="minorEastAsia" w:hAnsiTheme="minorEastAsia" w:eastAsiaTheme="minorEastAsia"/>
                <w:highlight w:val="none"/>
                <w:lang w:eastAsia="zh-CN"/>
              </w:rPr>
              <w:t>磋商申请人须具有相关部门核发的合格有效的《保安服务许可证》</w:t>
            </w:r>
          </w:p>
        </w:tc>
        <w:tc>
          <w:tcPr>
            <w:tcW w:w="2314" w:type="dxa"/>
            <w:noWrap/>
            <w:vAlign w:val="top"/>
          </w:tcPr>
          <w:p w14:paraId="73667EDA">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审查其是否符合要求</w:t>
            </w:r>
          </w:p>
        </w:tc>
      </w:tr>
      <w:tr w14:paraId="6937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18" w:type="dxa"/>
            <w:noWrap/>
            <w:vAlign w:val="top"/>
          </w:tcPr>
          <w:p w14:paraId="4772E5AD">
            <w:pPr>
              <w:spacing w:line="400" w:lineRule="exact"/>
              <w:rPr>
                <w:rFonts w:hint="eastAsia" w:ascii="宋体" w:hAnsi="宋体" w:eastAsia="宋体"/>
                <w:szCs w:val="21"/>
                <w:highlight w:val="none"/>
                <w:lang w:eastAsia="zh-CN"/>
              </w:rPr>
            </w:pPr>
            <w:r>
              <w:rPr>
                <w:rFonts w:hint="eastAsia" w:ascii="宋体" w:hAnsi="宋体" w:eastAsia="宋体" w:cs="宋体"/>
                <w:color w:val="auto"/>
                <w:szCs w:val="21"/>
                <w:highlight w:val="none"/>
              </w:rPr>
              <w:t xml:space="preserve">特定资格要求 </w:t>
            </w:r>
            <w:r>
              <w:rPr>
                <w:rFonts w:hint="eastAsia" w:ascii="宋体" w:hAnsi="宋体" w:eastAsia="宋体" w:cs="宋体"/>
                <w:color w:val="auto"/>
                <w:szCs w:val="21"/>
                <w:highlight w:val="none"/>
                <w:lang w:val="en-US" w:eastAsia="zh-CN"/>
              </w:rPr>
              <w:t>2</w:t>
            </w:r>
          </w:p>
        </w:tc>
        <w:tc>
          <w:tcPr>
            <w:tcW w:w="6227" w:type="dxa"/>
            <w:noWrap/>
            <w:vAlign w:val="top"/>
          </w:tcPr>
          <w:p w14:paraId="10418BB0">
            <w:pPr>
              <w:spacing w:line="400" w:lineRule="exact"/>
              <w:rPr>
                <w:rFonts w:hint="eastAsia" w:ascii="宋体" w:hAnsi="宋体" w:cs="宋体"/>
                <w:kern w:val="0"/>
                <w:szCs w:val="21"/>
                <w:highlight w:val="none"/>
              </w:rPr>
            </w:pPr>
            <w:r>
              <w:rPr>
                <w:rFonts w:hint="eastAsia" w:ascii="宋体" w:hAnsi="宋体" w:eastAsia="宋体" w:cs="宋体"/>
                <w:color w:val="auto"/>
                <w:szCs w:val="21"/>
                <w:highlight w:val="none"/>
                <w:lang w:eastAsia="zh-CN"/>
              </w:rPr>
              <w:t>磋商申请人</w:t>
            </w:r>
            <w:r>
              <w:rPr>
                <w:rFonts w:hint="eastAsia" w:ascii="宋体" w:hAnsi="宋体" w:eastAsia="宋体" w:cs="宋体"/>
                <w:color w:val="auto"/>
                <w:szCs w:val="21"/>
                <w:highlight w:val="none"/>
              </w:rPr>
              <w:t>在采购公告发出日期之前未被列入“信用中国” 网站“失信被执行人” (中国执行信息公开网) 、“重大税收违法失信主体”，未被列入中国政府采购网“政府采购严重违法失信行为信息记录名单”，由采购人及采购代理机构按照以上条款对参与磋商的各申请人的信用信息进行核查，有不良记录的磋商申请将被拒绝。</w:t>
            </w:r>
          </w:p>
        </w:tc>
        <w:tc>
          <w:tcPr>
            <w:tcW w:w="2314" w:type="dxa"/>
            <w:noWrap/>
            <w:vAlign w:val="top"/>
          </w:tcPr>
          <w:p w14:paraId="2B7A2B1C">
            <w:pPr>
              <w:spacing w:line="400" w:lineRule="exact"/>
              <w:rPr>
                <w:rFonts w:hint="eastAsia" w:ascii="宋体" w:hAnsi="宋体" w:eastAsia="宋体" w:cs="宋体"/>
                <w:szCs w:val="21"/>
                <w:highlight w:val="none"/>
              </w:rPr>
            </w:pPr>
            <w:r>
              <w:rPr>
                <w:rFonts w:hint="eastAsia" w:ascii="宋体" w:hAnsi="宋体" w:eastAsia="宋体" w:cs="宋体"/>
                <w:color w:val="auto"/>
                <w:szCs w:val="21"/>
                <w:highlight w:val="none"/>
              </w:rPr>
              <w:t>审查其是否符合要求</w:t>
            </w:r>
          </w:p>
        </w:tc>
      </w:tr>
      <w:tr w14:paraId="3DBF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noWrap/>
            <w:vAlign w:val="top"/>
          </w:tcPr>
          <w:p w14:paraId="0E7C655C">
            <w:pPr>
              <w:spacing w:line="400" w:lineRule="exact"/>
              <w:rPr>
                <w:rFonts w:hint="eastAsia" w:ascii="宋体" w:hAnsi="宋体" w:eastAsia="宋体"/>
                <w:szCs w:val="21"/>
                <w:highlight w:val="none"/>
                <w:lang w:eastAsia="zh-CN"/>
              </w:rPr>
            </w:pPr>
            <w:r>
              <w:rPr>
                <w:rFonts w:hint="eastAsia" w:ascii="宋体" w:hAnsi="宋体" w:eastAsia="宋体" w:cs="宋体"/>
                <w:color w:val="auto"/>
                <w:szCs w:val="21"/>
                <w:highlight w:val="none"/>
              </w:rPr>
              <w:t xml:space="preserve">特定资格要求 </w:t>
            </w:r>
            <w:r>
              <w:rPr>
                <w:rFonts w:hint="eastAsia" w:ascii="宋体" w:hAnsi="宋体" w:eastAsia="宋体" w:cs="宋体"/>
                <w:color w:val="auto"/>
                <w:szCs w:val="21"/>
                <w:highlight w:val="none"/>
                <w:lang w:val="en-US" w:eastAsia="zh-CN"/>
              </w:rPr>
              <w:t>3</w:t>
            </w:r>
          </w:p>
        </w:tc>
        <w:tc>
          <w:tcPr>
            <w:tcW w:w="6227" w:type="dxa"/>
            <w:noWrap/>
            <w:vAlign w:val="top"/>
          </w:tcPr>
          <w:p w14:paraId="42AFA972">
            <w:pPr>
              <w:spacing w:line="400" w:lineRule="exact"/>
              <w:rPr>
                <w:rFonts w:hint="eastAsia" w:ascii="宋体" w:hAnsi="宋体" w:cs="宋体"/>
                <w:kern w:val="0"/>
                <w:szCs w:val="21"/>
                <w:highlight w:val="none"/>
              </w:rPr>
            </w:pPr>
            <w:r>
              <w:rPr>
                <w:rFonts w:hint="eastAsia" w:ascii="宋体" w:hAnsi="宋体" w:eastAsia="宋体" w:cs="宋体"/>
                <w:color w:val="auto"/>
                <w:szCs w:val="21"/>
                <w:highlight w:val="none"/>
              </w:rPr>
              <w:t>单位负责人为同一人或者存在直接控股、管理关系的不同磋商申请人，不得参加同一合同项下的政府采购活动。 (提供书面声明)</w:t>
            </w:r>
          </w:p>
        </w:tc>
        <w:tc>
          <w:tcPr>
            <w:tcW w:w="2314" w:type="dxa"/>
            <w:noWrap/>
            <w:vAlign w:val="top"/>
          </w:tcPr>
          <w:p w14:paraId="4E5CD7D7">
            <w:pPr>
              <w:spacing w:line="400" w:lineRule="exact"/>
              <w:rPr>
                <w:rFonts w:hint="eastAsia" w:ascii="宋体" w:hAnsi="宋体" w:eastAsia="宋体" w:cs="宋体"/>
                <w:szCs w:val="21"/>
                <w:highlight w:val="none"/>
              </w:rPr>
            </w:pPr>
            <w:r>
              <w:rPr>
                <w:rFonts w:hint="eastAsia" w:ascii="宋体" w:hAnsi="宋体" w:eastAsia="宋体" w:cs="宋体"/>
                <w:color w:val="auto"/>
                <w:szCs w:val="21"/>
                <w:highlight w:val="none"/>
              </w:rPr>
              <w:t>审查其是否提供</w:t>
            </w:r>
          </w:p>
        </w:tc>
      </w:tr>
      <w:tr w14:paraId="4BDD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9" w:type="dxa"/>
            <w:gridSpan w:val="3"/>
            <w:noWrap/>
            <w:vAlign w:val="center"/>
          </w:tcPr>
          <w:p w14:paraId="2CD67108">
            <w:pPr>
              <w:spacing w:line="400" w:lineRule="exact"/>
              <w:rPr>
                <w:rFonts w:ascii="宋体" w:hAnsi="宋体" w:eastAsia="宋体" w:cs="宋体"/>
                <w:szCs w:val="21"/>
                <w:highlight w:val="none"/>
              </w:rPr>
            </w:pPr>
            <w:r>
              <w:rPr>
                <w:rFonts w:hint="eastAsia" w:ascii="宋体" w:hAnsi="宋体" w:eastAsia="宋体" w:cs="宋体"/>
                <w:szCs w:val="21"/>
                <w:highlight w:val="none"/>
              </w:rPr>
              <w:t>特别提示：1.本表中所列内容均提供彩色扫描件或加盖磋商申请人行政章或电子公章的复印件；</w:t>
            </w:r>
          </w:p>
          <w:p w14:paraId="1708CF0E">
            <w:pPr>
              <w:spacing w:line="400" w:lineRule="exact"/>
              <w:ind w:firstLine="1050" w:firstLineChars="500"/>
              <w:rPr>
                <w:rFonts w:ascii="宋体" w:hAnsi="宋体" w:eastAsia="宋体" w:cs="宋体"/>
                <w:szCs w:val="21"/>
                <w:highlight w:val="none"/>
              </w:rPr>
            </w:pPr>
            <w:r>
              <w:rPr>
                <w:rFonts w:hint="eastAsia" w:ascii="宋体" w:hAnsi="宋体" w:eastAsia="宋体" w:cs="宋体"/>
                <w:szCs w:val="21"/>
                <w:highlight w:val="none"/>
              </w:rPr>
              <w:t>2.磋商申请人须按本表要求及第四章磋商响应文件格式要求提供能充分证明其有资格参与磋商的证明材料；</w:t>
            </w:r>
          </w:p>
          <w:p w14:paraId="4B8E6D62">
            <w:pPr>
              <w:spacing w:line="400" w:lineRule="exact"/>
              <w:ind w:firstLine="1050" w:firstLineChars="500"/>
              <w:rPr>
                <w:rFonts w:ascii="宋体" w:hAnsi="宋体" w:eastAsia="宋体" w:cs="宋体"/>
                <w:szCs w:val="21"/>
                <w:highlight w:val="none"/>
              </w:rPr>
            </w:pPr>
            <w:r>
              <w:rPr>
                <w:rFonts w:hint="eastAsia" w:ascii="宋体" w:hAnsi="宋体" w:eastAsia="宋体" w:cs="宋体"/>
                <w:szCs w:val="21"/>
                <w:highlight w:val="none"/>
              </w:rPr>
              <w:t>3.磋商申请人须对所提供的全部证明材料的真实性及合法性负全部责任；</w:t>
            </w:r>
          </w:p>
          <w:p w14:paraId="5BD50DC3">
            <w:pPr>
              <w:spacing w:line="400" w:lineRule="exact"/>
              <w:ind w:firstLine="1050" w:firstLineChars="500"/>
              <w:rPr>
                <w:rFonts w:ascii="宋体" w:hAnsi="宋体" w:eastAsia="宋体" w:cs="宋体"/>
                <w:szCs w:val="21"/>
                <w:highlight w:val="none"/>
              </w:rPr>
            </w:pPr>
            <w:r>
              <w:rPr>
                <w:rFonts w:hint="eastAsia" w:ascii="宋体" w:hAnsi="宋体" w:eastAsia="宋体" w:cs="宋体"/>
                <w:szCs w:val="21"/>
                <w:highlight w:val="none"/>
              </w:rPr>
              <w:t>4.本表所列内容任何一项缺失或不通过，其磋商资格将被取消，只有通过资格审查的磋商申请人提交的磋商响应文件才能进入下一阶段的评审。</w:t>
            </w:r>
          </w:p>
        </w:tc>
      </w:tr>
    </w:tbl>
    <w:p w14:paraId="504F6288">
      <w:pPr>
        <w:pStyle w:val="7"/>
        <w:ind w:left="2940"/>
        <w:rPr>
          <w:rFonts w:ascii="宋体" w:hAnsi="宋体" w:eastAsia="宋体" w:cs="宋体"/>
          <w:highlight w:val="none"/>
        </w:rPr>
      </w:pPr>
    </w:p>
    <w:p w14:paraId="4726A4D6">
      <w:pPr>
        <w:rPr>
          <w:rFonts w:ascii="宋体" w:hAnsi="宋体" w:eastAsia="宋体" w:cs="宋体"/>
          <w:b/>
          <w:bCs/>
          <w:sz w:val="24"/>
          <w:szCs w:val="24"/>
          <w:highlight w:val="none"/>
        </w:rPr>
      </w:pPr>
      <w:r>
        <w:rPr>
          <w:rFonts w:hint="eastAsia" w:ascii="宋体" w:hAnsi="宋体" w:eastAsia="宋体" w:cs="宋体"/>
          <w:b/>
          <w:bCs/>
          <w:sz w:val="24"/>
          <w:szCs w:val="24"/>
          <w:highlight w:val="none"/>
        </w:rPr>
        <w:t>二、响应性审查表</w:t>
      </w:r>
    </w:p>
    <w:p w14:paraId="2BAF7D6F">
      <w:pPr>
        <w:pStyle w:val="7"/>
        <w:ind w:left="2940"/>
        <w:rPr>
          <w:rFonts w:ascii="宋体" w:hAnsi="宋体" w:eastAsia="宋体" w:cs="宋体"/>
          <w:highlight w:val="none"/>
        </w:rPr>
      </w:pPr>
    </w:p>
    <w:tbl>
      <w:tblPr>
        <w:tblStyle w:val="27"/>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089"/>
        <w:gridCol w:w="1925"/>
        <w:gridCol w:w="6317"/>
      </w:tblGrid>
      <w:tr w14:paraId="29E4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jc w:val="center"/>
        </w:trPr>
        <w:tc>
          <w:tcPr>
            <w:tcW w:w="2049" w:type="dxa"/>
            <w:gridSpan w:val="2"/>
            <w:noWrap/>
            <w:vAlign w:val="center"/>
          </w:tcPr>
          <w:p w14:paraId="40CF58EC">
            <w:pPr>
              <w:spacing w:line="400" w:lineRule="exact"/>
              <w:jc w:val="center"/>
              <w:rPr>
                <w:rFonts w:ascii="宋体" w:hAnsi="宋体" w:eastAsia="宋体" w:cs="宋体"/>
                <w:b/>
                <w:bCs/>
                <w:highlight w:val="none"/>
              </w:rPr>
            </w:pPr>
            <w:r>
              <w:rPr>
                <w:rFonts w:hint="eastAsia" w:ascii="宋体" w:hAnsi="宋体" w:eastAsia="宋体" w:cs="宋体"/>
                <w:b/>
                <w:bCs/>
                <w:highlight w:val="none"/>
              </w:rPr>
              <w:t>条款号</w:t>
            </w:r>
          </w:p>
        </w:tc>
        <w:tc>
          <w:tcPr>
            <w:tcW w:w="1925" w:type="dxa"/>
            <w:noWrap/>
            <w:vAlign w:val="center"/>
          </w:tcPr>
          <w:p w14:paraId="1FB6A809">
            <w:pPr>
              <w:spacing w:line="400" w:lineRule="exact"/>
              <w:jc w:val="center"/>
              <w:rPr>
                <w:rFonts w:ascii="宋体" w:hAnsi="宋体" w:eastAsia="宋体" w:cs="宋体"/>
                <w:b/>
                <w:bCs/>
                <w:highlight w:val="none"/>
              </w:rPr>
            </w:pPr>
            <w:r>
              <w:rPr>
                <w:rFonts w:hint="eastAsia" w:ascii="宋体" w:hAnsi="宋体" w:eastAsia="宋体" w:cs="宋体"/>
                <w:b/>
                <w:bCs/>
                <w:highlight w:val="none"/>
              </w:rPr>
              <w:t>审 查 内 容</w:t>
            </w:r>
          </w:p>
        </w:tc>
        <w:tc>
          <w:tcPr>
            <w:tcW w:w="6317" w:type="dxa"/>
            <w:noWrap/>
            <w:vAlign w:val="center"/>
          </w:tcPr>
          <w:p w14:paraId="454868ED">
            <w:pPr>
              <w:spacing w:line="400" w:lineRule="exact"/>
              <w:jc w:val="center"/>
              <w:rPr>
                <w:rFonts w:ascii="宋体" w:hAnsi="宋体" w:eastAsia="宋体" w:cs="宋体"/>
                <w:b/>
                <w:bCs/>
                <w:highlight w:val="none"/>
              </w:rPr>
            </w:pPr>
            <w:r>
              <w:rPr>
                <w:rFonts w:hint="eastAsia" w:ascii="宋体" w:hAnsi="宋体" w:eastAsia="宋体" w:cs="宋体"/>
                <w:b/>
                <w:bCs/>
                <w:highlight w:val="none"/>
              </w:rPr>
              <w:t>审 查 标 准</w:t>
            </w:r>
          </w:p>
        </w:tc>
      </w:tr>
      <w:tr w14:paraId="5285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60" w:type="dxa"/>
            <w:vMerge w:val="restart"/>
            <w:noWrap/>
            <w:vAlign w:val="center"/>
          </w:tcPr>
          <w:p w14:paraId="0D2CBC5C">
            <w:pPr>
              <w:spacing w:line="400" w:lineRule="exact"/>
              <w:jc w:val="center"/>
              <w:rPr>
                <w:rFonts w:ascii="宋体" w:hAnsi="宋体" w:eastAsia="宋体" w:cs="宋体"/>
                <w:highlight w:val="none"/>
              </w:rPr>
            </w:pPr>
            <w:r>
              <w:rPr>
                <w:rFonts w:hint="eastAsia" w:ascii="宋体" w:hAnsi="宋体" w:eastAsia="宋体" w:cs="宋体"/>
                <w:highlight w:val="none"/>
              </w:rPr>
              <w:t>2</w:t>
            </w:r>
          </w:p>
        </w:tc>
        <w:tc>
          <w:tcPr>
            <w:tcW w:w="1089" w:type="dxa"/>
            <w:vMerge w:val="restart"/>
            <w:noWrap/>
            <w:vAlign w:val="center"/>
          </w:tcPr>
          <w:p w14:paraId="40BD2253">
            <w:pPr>
              <w:spacing w:line="400" w:lineRule="exact"/>
              <w:jc w:val="center"/>
              <w:rPr>
                <w:rFonts w:ascii="宋体" w:hAnsi="宋体" w:eastAsia="宋体" w:cs="宋体"/>
                <w:highlight w:val="none"/>
              </w:rPr>
            </w:pPr>
            <w:r>
              <w:rPr>
                <w:rFonts w:hint="eastAsia" w:ascii="宋体" w:hAnsi="宋体" w:eastAsia="宋体" w:cs="宋体"/>
                <w:highlight w:val="none"/>
              </w:rPr>
              <w:t>响应文件的响应性评审</w:t>
            </w:r>
          </w:p>
        </w:tc>
        <w:tc>
          <w:tcPr>
            <w:tcW w:w="1925" w:type="dxa"/>
            <w:noWrap/>
            <w:vAlign w:val="center"/>
          </w:tcPr>
          <w:p w14:paraId="185D05C2">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签字、盖章</w:t>
            </w:r>
          </w:p>
        </w:tc>
        <w:tc>
          <w:tcPr>
            <w:tcW w:w="6317" w:type="dxa"/>
            <w:noWrap/>
            <w:vAlign w:val="center"/>
          </w:tcPr>
          <w:p w14:paraId="2B3463D4">
            <w:pPr>
              <w:spacing w:line="400" w:lineRule="exact"/>
              <w:jc w:val="center"/>
              <w:rPr>
                <w:rFonts w:hint="eastAsia" w:ascii="宋体" w:hAnsi="宋体" w:eastAsia="宋体" w:cs="宋体"/>
                <w:szCs w:val="21"/>
                <w:highlight w:val="none"/>
              </w:rPr>
            </w:pPr>
            <w:r>
              <w:rPr>
                <w:rFonts w:hint="eastAsia" w:ascii="宋体" w:hAnsi="宋体" w:eastAsia="宋体" w:cs="宋体"/>
                <w:color w:val="auto"/>
                <w:szCs w:val="21"/>
                <w:highlight w:val="none"/>
              </w:rPr>
              <w:t>单位盖章、法定代表人（负责人）或法定代表人（负责人）授权的代理人签字或盖章，符合竞争性磋商文件要求的。</w:t>
            </w:r>
          </w:p>
        </w:tc>
      </w:tr>
      <w:tr w14:paraId="7B2B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60" w:type="dxa"/>
            <w:vMerge w:val="continue"/>
            <w:noWrap/>
            <w:vAlign w:val="center"/>
          </w:tcPr>
          <w:p w14:paraId="5268ABC0">
            <w:pPr>
              <w:spacing w:line="400" w:lineRule="exact"/>
              <w:jc w:val="center"/>
              <w:rPr>
                <w:rFonts w:ascii="宋体" w:hAnsi="宋体" w:eastAsia="宋体" w:cs="宋体"/>
                <w:highlight w:val="none"/>
              </w:rPr>
            </w:pPr>
          </w:p>
        </w:tc>
        <w:tc>
          <w:tcPr>
            <w:tcW w:w="1089" w:type="dxa"/>
            <w:vMerge w:val="continue"/>
            <w:noWrap/>
            <w:vAlign w:val="center"/>
          </w:tcPr>
          <w:p w14:paraId="13892D4B">
            <w:pPr>
              <w:spacing w:line="400" w:lineRule="exact"/>
              <w:jc w:val="center"/>
              <w:rPr>
                <w:rFonts w:ascii="宋体" w:hAnsi="宋体" w:eastAsia="宋体" w:cs="宋体"/>
                <w:highlight w:val="none"/>
              </w:rPr>
            </w:pPr>
          </w:p>
        </w:tc>
        <w:tc>
          <w:tcPr>
            <w:tcW w:w="1925" w:type="dxa"/>
            <w:noWrap/>
            <w:vAlign w:val="center"/>
          </w:tcPr>
          <w:p w14:paraId="5FFAA234">
            <w:pPr>
              <w:spacing w:before="0" w:after="0" w:line="400" w:lineRule="exact"/>
              <w:jc w:val="center"/>
              <w:rPr>
                <w:rFonts w:hint="eastAsia" w:ascii="宋体" w:hAnsi="宋体" w:eastAsia="宋体" w:cs="宋体"/>
                <w:bCs w:val="0"/>
                <w:szCs w:val="21"/>
                <w:highlight w:val="none"/>
              </w:rPr>
            </w:pPr>
            <w:r>
              <w:rPr>
                <w:rFonts w:hint="eastAsia" w:ascii="宋体" w:hAnsi="宋体" w:eastAsia="宋体" w:cs="宋体"/>
                <w:strike w:val="0"/>
                <w:dstrike w:val="0"/>
                <w:color w:val="auto"/>
                <w:sz w:val="21"/>
                <w:szCs w:val="21"/>
                <w:highlight w:val="none"/>
                <w:lang w:val="en-US" w:eastAsia="zh-CN"/>
              </w:rPr>
              <w:t>投标报价</w:t>
            </w:r>
          </w:p>
        </w:tc>
        <w:tc>
          <w:tcPr>
            <w:tcW w:w="6317" w:type="dxa"/>
            <w:noWrap/>
            <w:vAlign w:val="center"/>
          </w:tcPr>
          <w:p w14:paraId="1FA76678">
            <w:pPr>
              <w:spacing w:before="0" w:after="0" w:line="400" w:lineRule="exact"/>
              <w:jc w:val="center"/>
              <w:rPr>
                <w:rFonts w:hint="eastAsia" w:ascii="宋体" w:hAnsi="宋体" w:eastAsia="宋体" w:cs="宋体"/>
                <w:bCs w:val="0"/>
                <w:szCs w:val="21"/>
                <w:highlight w:val="none"/>
              </w:rPr>
            </w:pPr>
            <w:r>
              <w:rPr>
                <w:rFonts w:hint="eastAsia" w:ascii="宋体" w:hAnsi="宋体" w:eastAsia="宋体" w:cs="宋体"/>
                <w:strike w:val="0"/>
                <w:dstrike w:val="0"/>
                <w:color w:val="auto"/>
                <w:sz w:val="21"/>
                <w:szCs w:val="21"/>
                <w:highlight w:val="none"/>
                <w:lang w:val="en-US" w:eastAsia="zh-CN"/>
              </w:rPr>
              <w:t>符合磋商文件要求。</w:t>
            </w:r>
          </w:p>
        </w:tc>
      </w:tr>
      <w:tr w14:paraId="730E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60" w:type="dxa"/>
            <w:vMerge w:val="continue"/>
            <w:noWrap/>
            <w:vAlign w:val="center"/>
          </w:tcPr>
          <w:p w14:paraId="61A3D05D">
            <w:pPr>
              <w:spacing w:line="400" w:lineRule="exact"/>
              <w:jc w:val="center"/>
              <w:rPr>
                <w:rFonts w:ascii="宋体" w:hAnsi="宋体" w:eastAsia="宋体" w:cs="宋体"/>
                <w:highlight w:val="none"/>
              </w:rPr>
            </w:pPr>
          </w:p>
        </w:tc>
        <w:tc>
          <w:tcPr>
            <w:tcW w:w="1089" w:type="dxa"/>
            <w:vMerge w:val="continue"/>
            <w:noWrap/>
            <w:vAlign w:val="center"/>
          </w:tcPr>
          <w:p w14:paraId="49606B46">
            <w:pPr>
              <w:spacing w:line="400" w:lineRule="exact"/>
              <w:jc w:val="center"/>
              <w:rPr>
                <w:rFonts w:ascii="宋体" w:hAnsi="宋体" w:eastAsia="宋体" w:cs="宋体"/>
                <w:highlight w:val="none"/>
              </w:rPr>
            </w:pPr>
          </w:p>
        </w:tc>
        <w:tc>
          <w:tcPr>
            <w:tcW w:w="1925" w:type="dxa"/>
            <w:noWrap/>
            <w:vAlign w:val="center"/>
          </w:tcPr>
          <w:p w14:paraId="1C583B38">
            <w:pPr>
              <w:spacing w:before="0" w:after="0" w:line="400" w:lineRule="exact"/>
              <w:jc w:val="center"/>
              <w:rPr>
                <w:rFonts w:hint="eastAsia" w:ascii="宋体" w:hAnsi="宋体" w:eastAsia="宋体" w:cs="宋体"/>
                <w:szCs w:val="21"/>
                <w:highlight w:val="none"/>
              </w:rPr>
            </w:pPr>
            <w:r>
              <w:rPr>
                <w:rFonts w:hint="eastAsia" w:ascii="宋体" w:hAnsi="宋体" w:eastAsia="宋体" w:cs="宋体"/>
                <w:strike w:val="0"/>
                <w:dstrike w:val="0"/>
                <w:color w:val="auto"/>
                <w:sz w:val="21"/>
                <w:szCs w:val="21"/>
                <w:highlight w:val="none"/>
                <w:lang w:val="en-US" w:eastAsia="zh-CN"/>
              </w:rPr>
              <w:t>投标文件格式</w:t>
            </w:r>
          </w:p>
        </w:tc>
        <w:tc>
          <w:tcPr>
            <w:tcW w:w="6317" w:type="dxa"/>
            <w:noWrap/>
            <w:vAlign w:val="center"/>
          </w:tcPr>
          <w:p w14:paraId="64F5B59B">
            <w:pPr>
              <w:spacing w:before="0" w:after="0" w:line="400" w:lineRule="exact"/>
              <w:jc w:val="center"/>
              <w:rPr>
                <w:rFonts w:hint="eastAsia" w:ascii="宋体" w:hAnsi="宋体" w:eastAsia="宋体" w:cs="宋体"/>
                <w:szCs w:val="21"/>
                <w:highlight w:val="none"/>
              </w:rPr>
            </w:pPr>
            <w:r>
              <w:rPr>
                <w:rFonts w:hint="eastAsia" w:ascii="宋体" w:hAnsi="宋体" w:eastAsia="宋体" w:cs="宋体"/>
                <w:strike w:val="0"/>
                <w:dstrike w:val="0"/>
                <w:color w:val="auto"/>
                <w:sz w:val="21"/>
                <w:szCs w:val="21"/>
                <w:highlight w:val="none"/>
                <w:lang w:val="en-US" w:eastAsia="zh-CN"/>
              </w:rPr>
              <w:t>按规定的格式填写，内容不全或关键字迹模糊、无法辨认的；</w:t>
            </w:r>
          </w:p>
        </w:tc>
      </w:tr>
      <w:tr w14:paraId="1917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60" w:type="dxa"/>
            <w:vMerge w:val="continue"/>
            <w:noWrap/>
            <w:vAlign w:val="center"/>
          </w:tcPr>
          <w:p w14:paraId="3623BC29">
            <w:pPr>
              <w:spacing w:line="400" w:lineRule="exact"/>
              <w:jc w:val="center"/>
              <w:rPr>
                <w:rFonts w:ascii="宋体" w:hAnsi="宋体" w:eastAsia="宋体" w:cs="宋体"/>
                <w:highlight w:val="none"/>
              </w:rPr>
            </w:pPr>
          </w:p>
        </w:tc>
        <w:tc>
          <w:tcPr>
            <w:tcW w:w="1089" w:type="dxa"/>
            <w:vMerge w:val="continue"/>
            <w:noWrap/>
            <w:vAlign w:val="center"/>
          </w:tcPr>
          <w:p w14:paraId="4CF824B3">
            <w:pPr>
              <w:spacing w:line="400" w:lineRule="exact"/>
              <w:jc w:val="center"/>
              <w:rPr>
                <w:rFonts w:ascii="宋体" w:hAnsi="宋体" w:eastAsia="宋体" w:cs="宋体"/>
                <w:highlight w:val="none"/>
              </w:rPr>
            </w:pPr>
          </w:p>
        </w:tc>
        <w:tc>
          <w:tcPr>
            <w:tcW w:w="1925" w:type="dxa"/>
            <w:shd w:val="clear" w:color="auto" w:fill="auto"/>
            <w:noWrap/>
            <w:vAlign w:val="center"/>
          </w:tcPr>
          <w:p w14:paraId="396B026E">
            <w:pPr>
              <w:spacing w:before="0" w:after="0" w:line="400" w:lineRule="exact"/>
              <w:jc w:val="center"/>
              <w:rPr>
                <w:rFonts w:hint="eastAsia" w:ascii="宋体" w:hAnsi="宋体" w:eastAsia="宋体" w:cs="宋体"/>
                <w:strike w:val="0"/>
                <w:dstrike w:val="0"/>
                <w:color w:val="auto"/>
                <w:kern w:val="2"/>
                <w:sz w:val="21"/>
                <w:szCs w:val="21"/>
                <w:highlight w:val="none"/>
                <w:lang w:val="en-US" w:eastAsia="zh-CN" w:bidi="ar-SA"/>
              </w:rPr>
            </w:pPr>
            <w:r>
              <w:rPr>
                <w:rFonts w:hint="eastAsia" w:ascii="宋体" w:hAnsi="宋体" w:eastAsia="宋体" w:cs="宋体"/>
                <w:strike w:val="0"/>
                <w:dstrike w:val="0"/>
                <w:color w:val="auto"/>
                <w:sz w:val="21"/>
                <w:szCs w:val="21"/>
                <w:highlight w:val="none"/>
                <w:lang w:val="en-US" w:eastAsia="zh-CN"/>
              </w:rPr>
              <w:t>投标文件偏离情况</w:t>
            </w:r>
          </w:p>
        </w:tc>
        <w:tc>
          <w:tcPr>
            <w:tcW w:w="6317" w:type="dxa"/>
            <w:shd w:val="clear" w:color="auto" w:fill="auto"/>
            <w:noWrap/>
            <w:vAlign w:val="center"/>
          </w:tcPr>
          <w:p w14:paraId="6495DFBC">
            <w:pPr>
              <w:spacing w:before="0" w:after="0" w:line="400" w:lineRule="exact"/>
              <w:jc w:val="center"/>
              <w:rPr>
                <w:rFonts w:hint="eastAsia" w:ascii="宋体" w:hAnsi="宋体" w:eastAsia="宋体" w:cs="宋体"/>
                <w:strike w:val="0"/>
                <w:dstrike w:val="0"/>
                <w:color w:val="auto"/>
                <w:kern w:val="2"/>
                <w:sz w:val="21"/>
                <w:szCs w:val="21"/>
                <w:highlight w:val="none"/>
                <w:lang w:val="en-US" w:eastAsia="zh-CN" w:bidi="ar-SA"/>
              </w:rPr>
            </w:pPr>
            <w:r>
              <w:rPr>
                <w:rFonts w:hint="eastAsia" w:ascii="宋体" w:hAnsi="宋体" w:eastAsia="宋体" w:cs="宋体"/>
                <w:strike w:val="0"/>
                <w:dstrike w:val="0"/>
                <w:color w:val="auto"/>
                <w:sz w:val="21"/>
                <w:szCs w:val="21"/>
                <w:highlight w:val="none"/>
                <w:lang w:val="en-US" w:eastAsia="zh-CN"/>
              </w:rPr>
              <w:t>与</w:t>
            </w:r>
            <w:r>
              <w:rPr>
                <w:rFonts w:hint="eastAsia" w:ascii="宋体" w:hAnsi="宋体" w:eastAsia="宋体" w:cs="宋体"/>
                <w:strike w:val="0"/>
                <w:dstrike w:val="0"/>
                <w:sz w:val="21"/>
                <w:szCs w:val="21"/>
                <w:highlight w:val="none"/>
                <w:lang w:val="en-US" w:eastAsia="zh-CN"/>
              </w:rPr>
              <w:t>磋商文件</w:t>
            </w:r>
            <w:r>
              <w:rPr>
                <w:rFonts w:hint="eastAsia" w:ascii="宋体" w:hAnsi="宋体" w:eastAsia="宋体" w:cs="宋体"/>
                <w:strike w:val="0"/>
                <w:dstrike w:val="0"/>
                <w:color w:val="auto"/>
                <w:sz w:val="21"/>
                <w:szCs w:val="21"/>
                <w:highlight w:val="none"/>
                <w:lang w:val="en-US" w:eastAsia="zh-CN"/>
              </w:rPr>
              <w:t>有重大偏离的投标文件将被拒绝；重大偏离系指</w:t>
            </w:r>
            <w:r>
              <w:rPr>
                <w:rFonts w:hint="eastAsia" w:hAnsi="宋体"/>
                <w:sz w:val="21"/>
                <w:szCs w:val="21"/>
                <w:highlight w:val="none"/>
                <w:lang w:val="en-US" w:eastAsia="zh-CN"/>
              </w:rPr>
              <w:t>供应商</w:t>
            </w:r>
            <w:r>
              <w:rPr>
                <w:rFonts w:hint="eastAsia" w:ascii="宋体" w:hAnsi="宋体" w:eastAsia="宋体" w:cs="宋体"/>
                <w:strike w:val="0"/>
                <w:dstrike w:val="0"/>
                <w:color w:val="auto"/>
                <w:sz w:val="21"/>
                <w:szCs w:val="21"/>
                <w:highlight w:val="none"/>
                <w:lang w:val="en-US" w:eastAsia="zh-CN"/>
              </w:rPr>
              <w:t>所投标的范围、质量、交货期限等不能明显满足</w:t>
            </w:r>
            <w:r>
              <w:rPr>
                <w:rFonts w:hint="eastAsia" w:ascii="宋体" w:hAnsi="宋体" w:eastAsia="宋体" w:cs="宋体"/>
                <w:strike w:val="0"/>
                <w:dstrike w:val="0"/>
                <w:sz w:val="21"/>
                <w:szCs w:val="21"/>
                <w:highlight w:val="none"/>
                <w:lang w:val="en-US" w:eastAsia="zh-CN"/>
              </w:rPr>
              <w:t>磋商文件</w:t>
            </w:r>
            <w:r>
              <w:rPr>
                <w:rFonts w:hint="eastAsia" w:ascii="宋体" w:hAnsi="宋体" w:eastAsia="宋体" w:cs="宋体"/>
                <w:strike w:val="0"/>
                <w:dstrike w:val="0"/>
                <w:color w:val="auto"/>
                <w:sz w:val="21"/>
                <w:szCs w:val="21"/>
                <w:highlight w:val="none"/>
                <w:lang w:val="en-US" w:eastAsia="zh-CN"/>
              </w:rPr>
              <w:t>的要求；</w:t>
            </w:r>
          </w:p>
        </w:tc>
      </w:tr>
      <w:tr w14:paraId="44D8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vMerge w:val="continue"/>
            <w:noWrap/>
            <w:vAlign w:val="center"/>
          </w:tcPr>
          <w:p w14:paraId="0A7224C9">
            <w:pPr>
              <w:spacing w:line="400" w:lineRule="exact"/>
              <w:jc w:val="center"/>
              <w:rPr>
                <w:rFonts w:ascii="宋体" w:hAnsi="宋体" w:eastAsia="宋体" w:cs="宋体"/>
                <w:highlight w:val="none"/>
              </w:rPr>
            </w:pPr>
          </w:p>
        </w:tc>
        <w:tc>
          <w:tcPr>
            <w:tcW w:w="1089" w:type="dxa"/>
            <w:vMerge w:val="continue"/>
            <w:noWrap/>
            <w:vAlign w:val="center"/>
          </w:tcPr>
          <w:p w14:paraId="636788DA">
            <w:pPr>
              <w:spacing w:line="400" w:lineRule="exact"/>
              <w:jc w:val="center"/>
              <w:rPr>
                <w:rFonts w:ascii="宋体" w:hAnsi="宋体" w:eastAsia="宋体" w:cs="宋体"/>
                <w:highlight w:val="none"/>
              </w:rPr>
            </w:pPr>
          </w:p>
        </w:tc>
        <w:tc>
          <w:tcPr>
            <w:tcW w:w="1925" w:type="dxa"/>
            <w:shd w:val="clear" w:color="auto" w:fill="auto"/>
            <w:noWrap/>
            <w:vAlign w:val="center"/>
          </w:tcPr>
          <w:p w14:paraId="7B883F34">
            <w:pPr>
              <w:spacing w:before="0" w:after="0" w:line="400" w:lineRule="exact"/>
              <w:jc w:val="center"/>
              <w:rPr>
                <w:rFonts w:hint="eastAsia" w:ascii="宋体" w:hAnsi="宋体" w:eastAsia="宋体" w:cs="宋体"/>
                <w:strike w:val="0"/>
                <w:dstrike w:val="0"/>
                <w:color w:val="auto"/>
                <w:kern w:val="2"/>
                <w:sz w:val="21"/>
                <w:szCs w:val="21"/>
                <w:highlight w:val="none"/>
                <w:lang w:val="en-US" w:eastAsia="zh-CN" w:bidi="ar-SA"/>
              </w:rPr>
            </w:pPr>
            <w:r>
              <w:rPr>
                <w:rFonts w:hint="eastAsia" w:ascii="宋体" w:hAnsi="宋体" w:eastAsia="宋体" w:cs="宋体"/>
                <w:strike w:val="0"/>
                <w:dstrike w:val="0"/>
                <w:color w:val="auto"/>
                <w:sz w:val="21"/>
                <w:szCs w:val="21"/>
                <w:highlight w:val="none"/>
                <w:lang w:val="en-US" w:eastAsia="zh-CN"/>
              </w:rPr>
              <w:t>投标保证金</w:t>
            </w:r>
          </w:p>
        </w:tc>
        <w:tc>
          <w:tcPr>
            <w:tcW w:w="6317" w:type="dxa"/>
            <w:shd w:val="clear" w:color="auto" w:fill="auto"/>
            <w:noWrap/>
            <w:vAlign w:val="center"/>
          </w:tcPr>
          <w:p w14:paraId="08C23303">
            <w:pPr>
              <w:spacing w:before="0" w:after="0" w:line="400" w:lineRule="exact"/>
              <w:jc w:val="center"/>
              <w:rPr>
                <w:rFonts w:hint="eastAsia" w:ascii="宋体" w:hAnsi="宋体" w:eastAsia="宋体" w:cs="宋体"/>
                <w:strike w:val="0"/>
                <w:dstrike w:val="0"/>
                <w:color w:val="auto"/>
                <w:kern w:val="2"/>
                <w:sz w:val="21"/>
                <w:szCs w:val="21"/>
                <w:highlight w:val="none"/>
                <w:lang w:val="en-US" w:eastAsia="zh-CN" w:bidi="ar-SA"/>
              </w:rPr>
            </w:pPr>
            <w:r>
              <w:rPr>
                <w:rFonts w:hint="eastAsia" w:ascii="宋体" w:hAnsi="宋体" w:eastAsia="宋体" w:cs="宋体"/>
                <w:strike w:val="0"/>
                <w:dstrike w:val="0"/>
                <w:color w:val="auto"/>
                <w:sz w:val="21"/>
                <w:szCs w:val="21"/>
                <w:highlight w:val="none"/>
                <w:lang w:val="en-US" w:eastAsia="zh-CN"/>
              </w:rPr>
              <w:t>符合第二章“磋商申请人须知前附表”规定</w:t>
            </w:r>
          </w:p>
        </w:tc>
      </w:tr>
      <w:tr w14:paraId="44C5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vMerge w:val="continue"/>
            <w:noWrap/>
            <w:vAlign w:val="center"/>
          </w:tcPr>
          <w:p w14:paraId="75995BF7">
            <w:pPr>
              <w:spacing w:line="400" w:lineRule="exact"/>
              <w:jc w:val="center"/>
              <w:rPr>
                <w:rFonts w:ascii="宋体" w:hAnsi="宋体" w:eastAsia="宋体" w:cs="宋体"/>
                <w:highlight w:val="none"/>
              </w:rPr>
            </w:pPr>
          </w:p>
        </w:tc>
        <w:tc>
          <w:tcPr>
            <w:tcW w:w="1089" w:type="dxa"/>
            <w:vMerge w:val="continue"/>
            <w:noWrap/>
            <w:vAlign w:val="center"/>
          </w:tcPr>
          <w:p w14:paraId="0DB0D5D1">
            <w:pPr>
              <w:spacing w:line="400" w:lineRule="exact"/>
              <w:jc w:val="center"/>
              <w:rPr>
                <w:rFonts w:ascii="宋体" w:hAnsi="宋体" w:eastAsia="宋体" w:cs="宋体"/>
                <w:highlight w:val="none"/>
              </w:rPr>
            </w:pPr>
          </w:p>
        </w:tc>
        <w:tc>
          <w:tcPr>
            <w:tcW w:w="1925" w:type="dxa"/>
            <w:noWrap/>
            <w:vAlign w:val="center"/>
          </w:tcPr>
          <w:p w14:paraId="57EFA169">
            <w:pPr>
              <w:spacing w:line="400" w:lineRule="exact"/>
              <w:jc w:val="center"/>
              <w:rPr>
                <w:rFonts w:ascii="宋体" w:hAnsi="宋体" w:eastAsia="宋体" w:cs="宋体"/>
                <w:highlight w:val="none"/>
              </w:rPr>
            </w:pPr>
            <w:r>
              <w:rPr>
                <w:rFonts w:hint="eastAsia" w:ascii="宋体" w:hAnsi="宋体" w:eastAsia="宋体" w:cs="宋体"/>
                <w:highlight w:val="none"/>
              </w:rPr>
              <w:t>实质性响应</w:t>
            </w:r>
          </w:p>
        </w:tc>
        <w:tc>
          <w:tcPr>
            <w:tcW w:w="6317" w:type="dxa"/>
            <w:noWrap/>
            <w:vAlign w:val="center"/>
          </w:tcPr>
          <w:p w14:paraId="4F1C93A9">
            <w:pPr>
              <w:spacing w:line="400" w:lineRule="exact"/>
              <w:jc w:val="center"/>
              <w:rPr>
                <w:rFonts w:ascii="宋体" w:hAnsi="宋体" w:eastAsia="宋体" w:cs="宋体"/>
                <w:highlight w:val="none"/>
              </w:rPr>
            </w:pPr>
            <w:r>
              <w:rPr>
                <w:rFonts w:hint="eastAsia" w:ascii="宋体" w:hAnsi="宋体" w:eastAsia="宋体" w:cs="宋体"/>
                <w:highlight w:val="none"/>
              </w:rPr>
              <w:t>磋商响应文件必须满足本项目实质性要求，实质性要求详见竞争性磋商文件“磋商申请人须知前附表：</w:t>
            </w:r>
            <w:r>
              <w:rPr>
                <w:rFonts w:hint="eastAsia" w:ascii="宋体" w:hAnsi="宋体" w:eastAsia="宋体" w:cs="宋体"/>
                <w:highlight w:val="none"/>
                <w:lang w:val="en-US" w:eastAsia="zh-CN"/>
              </w:rPr>
              <w:t>18</w:t>
            </w:r>
            <w:r>
              <w:rPr>
                <w:rFonts w:hint="eastAsia" w:ascii="宋体" w:hAnsi="宋体" w:eastAsia="宋体" w:cs="宋体"/>
                <w:highlight w:val="none"/>
              </w:rPr>
              <w:t>条（</w:t>
            </w:r>
            <w:r>
              <w:rPr>
                <w:rFonts w:hint="eastAsia" w:ascii="宋体" w:hAnsi="宋体" w:eastAsia="宋体" w:cs="宋体"/>
                <w:highlight w:val="none"/>
                <w:lang w:val="en-US" w:eastAsia="zh-CN"/>
              </w:rPr>
              <w:t>4</w:t>
            </w:r>
            <w:r>
              <w:rPr>
                <w:rFonts w:hint="eastAsia" w:ascii="宋体" w:hAnsi="宋体" w:eastAsia="宋体" w:cs="宋体"/>
                <w:highlight w:val="none"/>
              </w:rPr>
              <w:t>）款”。</w:t>
            </w:r>
          </w:p>
        </w:tc>
      </w:tr>
      <w:tr w14:paraId="5F4F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60" w:type="dxa"/>
            <w:vMerge w:val="continue"/>
            <w:noWrap/>
            <w:vAlign w:val="center"/>
          </w:tcPr>
          <w:p w14:paraId="6D49AE97">
            <w:pPr>
              <w:widowControl/>
              <w:spacing w:line="400" w:lineRule="exact"/>
              <w:jc w:val="left"/>
              <w:rPr>
                <w:rFonts w:ascii="宋体" w:hAnsi="宋体" w:eastAsia="宋体" w:cs="宋体"/>
                <w:highlight w:val="none"/>
              </w:rPr>
            </w:pPr>
          </w:p>
        </w:tc>
        <w:tc>
          <w:tcPr>
            <w:tcW w:w="1089" w:type="dxa"/>
            <w:vMerge w:val="continue"/>
            <w:noWrap/>
            <w:vAlign w:val="center"/>
          </w:tcPr>
          <w:p w14:paraId="0B86B41D">
            <w:pPr>
              <w:widowControl/>
              <w:spacing w:line="400" w:lineRule="exact"/>
              <w:jc w:val="left"/>
              <w:rPr>
                <w:rFonts w:ascii="宋体" w:hAnsi="宋体" w:eastAsia="宋体" w:cs="宋体"/>
                <w:highlight w:val="none"/>
              </w:rPr>
            </w:pPr>
          </w:p>
        </w:tc>
        <w:tc>
          <w:tcPr>
            <w:tcW w:w="1925" w:type="dxa"/>
            <w:noWrap/>
            <w:vAlign w:val="center"/>
          </w:tcPr>
          <w:p w14:paraId="489335B5">
            <w:pPr>
              <w:spacing w:line="400" w:lineRule="exact"/>
              <w:jc w:val="center"/>
              <w:rPr>
                <w:rFonts w:ascii="宋体" w:hAnsi="宋体" w:eastAsia="宋体" w:cs="宋体"/>
                <w:highlight w:val="none"/>
              </w:rPr>
            </w:pPr>
            <w:r>
              <w:rPr>
                <w:rFonts w:hint="eastAsia" w:ascii="宋体" w:hAnsi="宋体" w:eastAsia="宋体" w:cs="宋体"/>
                <w:highlight w:val="none"/>
              </w:rPr>
              <w:t>其他要求</w:t>
            </w:r>
          </w:p>
        </w:tc>
        <w:tc>
          <w:tcPr>
            <w:tcW w:w="6317" w:type="dxa"/>
            <w:noWrap/>
            <w:vAlign w:val="center"/>
          </w:tcPr>
          <w:p w14:paraId="776421D3">
            <w:pPr>
              <w:spacing w:line="400" w:lineRule="exact"/>
              <w:jc w:val="center"/>
              <w:rPr>
                <w:rFonts w:ascii="宋体" w:hAnsi="宋体" w:eastAsia="宋体" w:cs="宋体"/>
                <w:kern w:val="0"/>
                <w:highlight w:val="none"/>
              </w:rPr>
            </w:pPr>
            <w:r>
              <w:rPr>
                <w:rFonts w:hint="eastAsia" w:ascii="宋体" w:hAnsi="宋体" w:eastAsia="宋体" w:cs="宋体"/>
                <w:kern w:val="0"/>
                <w:highlight w:val="none"/>
              </w:rPr>
              <w:t>1.竞争性磋商响应文件没有采购人不能接受的条件；</w:t>
            </w:r>
          </w:p>
          <w:p w14:paraId="154E4082">
            <w:pPr>
              <w:spacing w:line="400" w:lineRule="exact"/>
              <w:jc w:val="center"/>
              <w:rPr>
                <w:rFonts w:ascii="宋体" w:hAnsi="宋体" w:eastAsia="宋体" w:cs="宋体"/>
                <w:highlight w:val="none"/>
              </w:rPr>
            </w:pPr>
            <w:r>
              <w:rPr>
                <w:rFonts w:hint="eastAsia" w:ascii="宋体" w:hAnsi="宋体" w:eastAsia="宋体" w:cs="宋体"/>
                <w:kern w:val="0"/>
                <w:highlight w:val="none"/>
              </w:rPr>
              <w:t>2.不符合法律、法规和竞争性磋商文件中规定的其他要求的。</w:t>
            </w:r>
          </w:p>
        </w:tc>
      </w:tr>
    </w:tbl>
    <w:p w14:paraId="2E880C8E">
      <w:pPr>
        <w:keepNext/>
        <w:rPr>
          <w:rFonts w:ascii="宋体" w:hAnsi="宋体" w:eastAsia="宋体" w:cs="宋体"/>
          <w:highlight w:val="none"/>
        </w:rPr>
      </w:pPr>
    </w:p>
    <w:p w14:paraId="71ED8FC1">
      <w:pPr>
        <w:rPr>
          <w:rFonts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65D22DB8">
      <w:pPr>
        <w:rPr>
          <w:rFonts w:ascii="宋体" w:hAnsi="宋体" w:eastAsia="宋体" w:cs="宋体"/>
          <w:sz w:val="28"/>
          <w:szCs w:val="28"/>
          <w:highlight w:val="none"/>
          <w:lang w:val="zh-CN"/>
        </w:rPr>
      </w:pPr>
      <w:r>
        <w:rPr>
          <w:rFonts w:hint="eastAsia" w:ascii="宋体" w:hAnsi="宋体" w:eastAsia="宋体" w:cs="宋体"/>
          <w:b/>
          <w:bCs/>
          <w:sz w:val="24"/>
          <w:szCs w:val="24"/>
          <w:highlight w:val="none"/>
        </w:rPr>
        <w:t>三、详细评审表</w:t>
      </w:r>
    </w:p>
    <w:tbl>
      <w:tblPr>
        <w:tblStyle w:val="27"/>
        <w:tblpPr w:leftFromText="180" w:rightFromText="180" w:vertAnchor="text" w:horzAnchor="page" w:tblpX="1000" w:tblpY="321"/>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890"/>
        <w:gridCol w:w="1663"/>
        <w:gridCol w:w="6912"/>
      </w:tblGrid>
      <w:tr w14:paraId="7CC9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gridSpan w:val="2"/>
            <w:noWrap/>
            <w:vAlign w:val="center"/>
          </w:tcPr>
          <w:p w14:paraId="07420B3A">
            <w:pPr>
              <w:spacing w:line="400" w:lineRule="exact"/>
              <w:jc w:val="center"/>
              <w:rPr>
                <w:rFonts w:ascii="宋体" w:hAnsi="宋体" w:eastAsia="宋体" w:cs="宋体"/>
                <w:highlight w:val="none"/>
              </w:rPr>
            </w:pPr>
            <w:r>
              <w:rPr>
                <w:rFonts w:hint="eastAsia" w:ascii="宋体" w:hAnsi="宋体" w:eastAsia="宋体" w:cs="宋体"/>
                <w:highlight w:val="none"/>
              </w:rPr>
              <w:t>条款号</w:t>
            </w:r>
          </w:p>
        </w:tc>
        <w:tc>
          <w:tcPr>
            <w:tcW w:w="8575" w:type="dxa"/>
            <w:gridSpan w:val="2"/>
            <w:noWrap/>
            <w:vAlign w:val="center"/>
          </w:tcPr>
          <w:p w14:paraId="2607DB2D">
            <w:pPr>
              <w:spacing w:line="400" w:lineRule="exact"/>
              <w:jc w:val="center"/>
              <w:rPr>
                <w:rFonts w:ascii="宋体" w:hAnsi="宋体" w:eastAsia="宋体" w:cs="宋体"/>
                <w:highlight w:val="none"/>
              </w:rPr>
            </w:pPr>
            <w:r>
              <w:rPr>
                <w:rFonts w:hint="eastAsia" w:ascii="宋体" w:hAnsi="宋体" w:eastAsia="宋体" w:cs="宋体"/>
                <w:highlight w:val="none"/>
              </w:rPr>
              <w:t>评审细则</w:t>
            </w:r>
          </w:p>
        </w:tc>
      </w:tr>
      <w:tr w14:paraId="6882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gridSpan w:val="2"/>
            <w:noWrap/>
            <w:vAlign w:val="center"/>
          </w:tcPr>
          <w:p w14:paraId="3E7C1846">
            <w:pPr>
              <w:spacing w:line="400" w:lineRule="exact"/>
              <w:ind w:firstLine="630" w:firstLineChars="300"/>
              <w:rPr>
                <w:rFonts w:ascii="宋体" w:hAnsi="宋体" w:eastAsia="宋体" w:cs="宋体"/>
                <w:highlight w:val="none"/>
              </w:rPr>
            </w:pPr>
            <w:r>
              <w:rPr>
                <w:rFonts w:hint="eastAsia" w:ascii="宋体" w:hAnsi="宋体" w:eastAsia="宋体" w:cs="宋体"/>
                <w:highlight w:val="none"/>
              </w:rPr>
              <w:t>3</w:t>
            </w:r>
          </w:p>
        </w:tc>
        <w:tc>
          <w:tcPr>
            <w:tcW w:w="8575" w:type="dxa"/>
            <w:gridSpan w:val="2"/>
            <w:noWrap/>
            <w:vAlign w:val="center"/>
          </w:tcPr>
          <w:p w14:paraId="32BC4C9A">
            <w:pPr>
              <w:spacing w:line="400" w:lineRule="exact"/>
              <w:rPr>
                <w:rFonts w:ascii="宋体" w:hAnsi="宋体" w:eastAsia="宋体" w:cs="宋体"/>
                <w:szCs w:val="21"/>
                <w:highlight w:val="none"/>
              </w:rPr>
            </w:pPr>
            <w:r>
              <w:rPr>
                <w:rFonts w:hint="eastAsia" w:ascii="宋体" w:hAnsi="宋体" w:eastAsia="宋体" w:cs="宋体"/>
                <w:szCs w:val="21"/>
                <w:highlight w:val="none"/>
                <w:lang w:eastAsia="zh-CN"/>
              </w:rPr>
              <w:t>综合评分法</w:t>
            </w:r>
            <w:r>
              <w:rPr>
                <w:rFonts w:hint="eastAsia" w:ascii="宋体" w:hAnsi="宋体" w:eastAsia="宋体" w:cs="宋体"/>
                <w:szCs w:val="21"/>
                <w:highlight w:val="none"/>
              </w:rPr>
              <w:t>：是指响应文件满足磋商文件全部实质性要求且按评审因素的量化指标评审得分最高的磋商申请人为成交候选磋商申请人的评审方法。本项目评审细则详见下表：</w:t>
            </w:r>
          </w:p>
          <w:p w14:paraId="1DD4526C">
            <w:pPr>
              <w:spacing w:line="420" w:lineRule="exact"/>
              <w:jc w:val="left"/>
              <w:rPr>
                <w:rFonts w:ascii="宋体" w:hAnsi="宋体" w:eastAsia="宋体" w:cs="宋体"/>
                <w:szCs w:val="21"/>
                <w:highlight w:val="none"/>
              </w:rPr>
            </w:pPr>
            <w:r>
              <w:rPr>
                <w:rFonts w:hint="eastAsia" w:ascii="宋体" w:hAnsi="宋体" w:eastAsia="宋体" w:cs="宋体"/>
                <w:szCs w:val="21"/>
                <w:highlight w:val="none"/>
              </w:rPr>
              <w:t>评分因素权重：综合技术实力部分F1：</w:t>
            </w:r>
            <w:r>
              <w:rPr>
                <w:rFonts w:hint="eastAsia" w:ascii="宋体" w:hAnsi="宋体" w:eastAsia="宋体" w:cs="宋体"/>
                <w:szCs w:val="21"/>
                <w:highlight w:val="none"/>
                <w:lang w:val="en-US" w:eastAsia="zh-CN"/>
              </w:rPr>
              <w:t>90</w:t>
            </w:r>
            <w:r>
              <w:rPr>
                <w:rFonts w:hint="eastAsia" w:ascii="宋体" w:hAnsi="宋体" w:eastAsia="宋体" w:cs="宋体"/>
                <w:szCs w:val="21"/>
                <w:highlight w:val="none"/>
              </w:rPr>
              <w:t>分；磋商报价F2：</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分；</w:t>
            </w:r>
          </w:p>
          <w:p w14:paraId="09CF446C">
            <w:pPr>
              <w:pStyle w:val="38"/>
              <w:ind w:firstLine="0" w:firstLineChars="0"/>
              <w:rPr>
                <w:highlight w:val="none"/>
              </w:rPr>
            </w:pPr>
            <w:r>
              <w:rPr>
                <w:rFonts w:hint="eastAsia" w:cs="宋体"/>
                <w:sz w:val="21"/>
                <w:szCs w:val="21"/>
                <w:highlight w:val="none"/>
              </w:rPr>
              <w:t>其中：F1、F2分别为综合技术实力部分，磋商报价部分2项评分因素的汇总得分。</w:t>
            </w:r>
          </w:p>
        </w:tc>
      </w:tr>
      <w:tr w14:paraId="34A7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gridSpan w:val="2"/>
            <w:noWrap/>
            <w:vAlign w:val="center"/>
          </w:tcPr>
          <w:p w14:paraId="5B7F388C">
            <w:pPr>
              <w:spacing w:line="400" w:lineRule="exact"/>
              <w:jc w:val="center"/>
              <w:rPr>
                <w:rFonts w:ascii="宋体" w:hAnsi="宋体" w:eastAsia="宋体" w:cs="宋体"/>
                <w:highlight w:val="none"/>
              </w:rPr>
            </w:pPr>
            <w:r>
              <w:rPr>
                <w:rFonts w:hint="eastAsia" w:ascii="宋体" w:hAnsi="宋体" w:eastAsia="宋体" w:cs="宋体"/>
                <w:highlight w:val="none"/>
              </w:rPr>
              <w:t>条款号</w:t>
            </w:r>
          </w:p>
        </w:tc>
        <w:tc>
          <w:tcPr>
            <w:tcW w:w="1663" w:type="dxa"/>
            <w:noWrap/>
            <w:vAlign w:val="center"/>
          </w:tcPr>
          <w:p w14:paraId="11EEE2B8">
            <w:pPr>
              <w:spacing w:line="400" w:lineRule="exact"/>
              <w:jc w:val="center"/>
              <w:rPr>
                <w:rFonts w:ascii="宋体" w:hAnsi="宋体" w:eastAsia="宋体" w:cs="宋体"/>
                <w:highlight w:val="none"/>
              </w:rPr>
            </w:pPr>
            <w:r>
              <w:rPr>
                <w:rFonts w:hint="eastAsia" w:ascii="宋体" w:hAnsi="宋体" w:eastAsia="宋体" w:cs="宋体"/>
                <w:highlight w:val="none"/>
              </w:rPr>
              <w:t>评分因素</w:t>
            </w:r>
          </w:p>
        </w:tc>
        <w:tc>
          <w:tcPr>
            <w:tcW w:w="6912" w:type="dxa"/>
            <w:noWrap/>
            <w:vAlign w:val="center"/>
          </w:tcPr>
          <w:p w14:paraId="18BCCE18">
            <w:pPr>
              <w:spacing w:line="400" w:lineRule="exact"/>
              <w:jc w:val="center"/>
              <w:rPr>
                <w:rFonts w:ascii="宋体" w:hAnsi="宋体" w:eastAsia="宋体" w:cs="宋体"/>
                <w:highlight w:val="none"/>
              </w:rPr>
            </w:pPr>
            <w:r>
              <w:rPr>
                <w:rFonts w:hint="eastAsia" w:ascii="宋体" w:hAnsi="宋体" w:eastAsia="宋体" w:cs="宋体"/>
                <w:highlight w:val="none"/>
              </w:rPr>
              <w:t>评分标准</w:t>
            </w:r>
          </w:p>
        </w:tc>
      </w:tr>
      <w:tr w14:paraId="08BC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4" w:type="dxa"/>
            <w:vMerge w:val="restart"/>
            <w:noWrap/>
            <w:vAlign w:val="center"/>
          </w:tcPr>
          <w:p w14:paraId="1EDBE922">
            <w:pPr>
              <w:spacing w:line="400" w:lineRule="exact"/>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3.1</w:t>
            </w:r>
          </w:p>
        </w:tc>
        <w:tc>
          <w:tcPr>
            <w:tcW w:w="890" w:type="dxa"/>
            <w:vMerge w:val="restart"/>
            <w:noWrap/>
            <w:vAlign w:val="center"/>
          </w:tcPr>
          <w:p w14:paraId="56282C7D">
            <w:pPr>
              <w:spacing w:line="400" w:lineRule="exact"/>
              <w:jc w:val="center"/>
              <w:rPr>
                <w:rFonts w:ascii="宋体" w:hAnsi="宋体" w:eastAsia="宋体" w:cs="宋体"/>
                <w:highlight w:val="none"/>
              </w:rPr>
            </w:pPr>
            <w:r>
              <w:rPr>
                <w:rFonts w:hint="eastAsia" w:ascii="宋体" w:hAnsi="宋体" w:eastAsia="宋体" w:cs="宋体"/>
                <w:szCs w:val="21"/>
                <w:highlight w:val="none"/>
              </w:rPr>
              <w:t>综合技术实力部分F1：</w:t>
            </w:r>
            <w:r>
              <w:rPr>
                <w:rFonts w:hint="eastAsia" w:ascii="宋体" w:hAnsi="宋体" w:eastAsia="宋体" w:cs="宋体"/>
                <w:szCs w:val="21"/>
                <w:highlight w:val="none"/>
                <w:lang w:val="en-US" w:eastAsia="zh-CN"/>
              </w:rPr>
              <w:t>90</w:t>
            </w:r>
            <w:r>
              <w:rPr>
                <w:rFonts w:hint="eastAsia" w:ascii="宋体" w:hAnsi="宋体" w:eastAsia="宋体" w:cs="宋体"/>
                <w:szCs w:val="21"/>
                <w:highlight w:val="none"/>
              </w:rPr>
              <w:t>分</w:t>
            </w:r>
          </w:p>
        </w:tc>
        <w:tc>
          <w:tcPr>
            <w:tcW w:w="1663" w:type="dxa"/>
            <w:noWrap/>
            <w:vAlign w:val="center"/>
          </w:tcPr>
          <w:p w14:paraId="6DA6BE77">
            <w:pPr>
              <w:spacing w:line="420" w:lineRule="exact"/>
              <w:jc w:val="center"/>
              <w:rPr>
                <w:rFonts w:ascii="宋体" w:hAnsi="宋体" w:eastAsia="宋体" w:cs="宋体"/>
                <w:szCs w:val="21"/>
                <w:highlight w:val="none"/>
              </w:rPr>
            </w:pPr>
            <w:r>
              <w:rPr>
                <w:rFonts w:hint="eastAsia" w:ascii="宋体" w:hAnsi="宋体" w:eastAsia="宋体" w:cs="宋体"/>
                <w:szCs w:val="21"/>
                <w:highlight w:val="none"/>
                <w:lang w:eastAsia="zh-CN"/>
              </w:rPr>
              <w:t>服务质量承诺及保证措施（满分</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lang w:eastAsia="zh-CN"/>
              </w:rPr>
              <w:t>分）</w:t>
            </w:r>
          </w:p>
        </w:tc>
        <w:tc>
          <w:tcPr>
            <w:tcW w:w="6912" w:type="dxa"/>
            <w:noWrap/>
          </w:tcPr>
          <w:p w14:paraId="4AE0925E">
            <w:pPr>
              <w:pStyle w:val="24"/>
              <w:spacing w:line="420" w:lineRule="exact"/>
              <w:rPr>
                <w:rFonts w:hint="eastAsia" w:hAnsi="宋体"/>
                <w:sz w:val="21"/>
                <w:szCs w:val="21"/>
                <w:highlight w:val="none"/>
                <w:lang w:val="en-US" w:eastAsia="zh-CN"/>
              </w:rPr>
            </w:pPr>
            <w:r>
              <w:rPr>
                <w:rFonts w:hint="eastAsia" w:hAnsi="宋体"/>
                <w:sz w:val="21"/>
                <w:szCs w:val="21"/>
                <w:highlight w:val="none"/>
                <w:lang w:val="en-US" w:eastAsia="zh-CN"/>
              </w:rPr>
              <w:t>第一个档次（15分）：有具体的服务质量违约承诺及保证措施全面、具体、切实可行，满足项目需求；</w:t>
            </w:r>
          </w:p>
          <w:p w14:paraId="0D842195">
            <w:pPr>
              <w:pStyle w:val="24"/>
              <w:spacing w:line="420" w:lineRule="exact"/>
              <w:rPr>
                <w:rFonts w:hint="eastAsia" w:hAnsi="宋体"/>
                <w:sz w:val="21"/>
                <w:szCs w:val="21"/>
                <w:highlight w:val="none"/>
                <w:lang w:val="en-US" w:eastAsia="zh-CN"/>
              </w:rPr>
            </w:pPr>
            <w:r>
              <w:rPr>
                <w:rFonts w:hint="eastAsia" w:hAnsi="宋体"/>
                <w:sz w:val="21"/>
                <w:szCs w:val="21"/>
                <w:highlight w:val="none"/>
                <w:lang w:val="en-US" w:eastAsia="zh-CN"/>
              </w:rPr>
              <w:t>第二个档次（9分）：有服务质量违约承诺但不具体及保证措施完善、措施基本可行；</w:t>
            </w:r>
          </w:p>
          <w:p w14:paraId="13720A1C">
            <w:pPr>
              <w:pStyle w:val="24"/>
              <w:spacing w:line="420" w:lineRule="exact"/>
              <w:rPr>
                <w:rFonts w:hint="eastAsia" w:hAnsi="宋体"/>
                <w:sz w:val="21"/>
                <w:szCs w:val="21"/>
                <w:highlight w:val="none"/>
                <w:lang w:val="en-US" w:eastAsia="zh-CN"/>
              </w:rPr>
            </w:pPr>
            <w:r>
              <w:rPr>
                <w:rFonts w:hint="eastAsia" w:hAnsi="宋体"/>
                <w:sz w:val="21"/>
                <w:szCs w:val="21"/>
                <w:highlight w:val="none"/>
                <w:lang w:val="en-US" w:eastAsia="zh-CN"/>
              </w:rPr>
              <w:t>第三个档次（4分）：服务质量违约承诺较差及保证措施，不具体，有疏漏，对按计划供应有一定影响；</w:t>
            </w:r>
          </w:p>
          <w:p w14:paraId="0EB150CF">
            <w:pPr>
              <w:pStyle w:val="24"/>
              <w:spacing w:line="420" w:lineRule="exact"/>
              <w:rPr>
                <w:rFonts w:hint="eastAsia" w:hAnsi="宋体"/>
                <w:sz w:val="21"/>
                <w:szCs w:val="21"/>
                <w:highlight w:val="none"/>
                <w:lang w:val="en-US" w:eastAsia="zh-CN"/>
              </w:rPr>
            </w:pPr>
            <w:r>
              <w:rPr>
                <w:rFonts w:hint="eastAsia" w:hAnsi="宋体"/>
                <w:sz w:val="21"/>
                <w:szCs w:val="21"/>
                <w:highlight w:val="none"/>
                <w:lang w:val="en-US" w:eastAsia="zh-CN"/>
              </w:rPr>
              <w:t>第四个档次（0分）：无服务质量违约承诺及保证措施。</w:t>
            </w:r>
          </w:p>
        </w:tc>
      </w:tr>
      <w:tr w14:paraId="1D8E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4" w:type="dxa"/>
            <w:vMerge w:val="continue"/>
            <w:noWrap/>
            <w:vAlign w:val="center"/>
          </w:tcPr>
          <w:p w14:paraId="34A473A0">
            <w:pPr>
              <w:spacing w:line="400" w:lineRule="exact"/>
              <w:jc w:val="center"/>
              <w:rPr>
                <w:rFonts w:ascii="宋体" w:hAnsi="宋体" w:eastAsia="宋体" w:cs="宋体"/>
                <w:highlight w:val="none"/>
              </w:rPr>
            </w:pPr>
          </w:p>
        </w:tc>
        <w:tc>
          <w:tcPr>
            <w:tcW w:w="890" w:type="dxa"/>
            <w:vMerge w:val="continue"/>
            <w:noWrap/>
            <w:vAlign w:val="center"/>
          </w:tcPr>
          <w:p w14:paraId="0F66E19C">
            <w:pPr>
              <w:spacing w:line="400" w:lineRule="exact"/>
              <w:jc w:val="center"/>
              <w:rPr>
                <w:rFonts w:ascii="宋体" w:hAnsi="宋体" w:eastAsia="宋体" w:cs="宋体"/>
                <w:highlight w:val="none"/>
              </w:rPr>
            </w:pPr>
          </w:p>
        </w:tc>
        <w:tc>
          <w:tcPr>
            <w:tcW w:w="1663" w:type="dxa"/>
            <w:noWrap/>
            <w:vAlign w:val="center"/>
          </w:tcPr>
          <w:p w14:paraId="7A147D1B">
            <w:pPr>
              <w:spacing w:line="420" w:lineRule="exact"/>
              <w:jc w:val="center"/>
              <w:rPr>
                <w:rFonts w:ascii="宋体" w:hAnsi="宋体" w:eastAsia="宋体" w:cs="宋体"/>
                <w:szCs w:val="21"/>
                <w:highlight w:val="none"/>
              </w:rPr>
            </w:pPr>
            <w:r>
              <w:rPr>
                <w:rFonts w:hint="eastAsia" w:ascii="宋体" w:hAnsi="宋体" w:eastAsia="宋体" w:cs="宋体"/>
                <w:szCs w:val="21"/>
                <w:highlight w:val="none"/>
                <w:lang w:eastAsia="zh-CN"/>
              </w:rPr>
              <w:t>服务方案（</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lang w:eastAsia="zh-CN"/>
              </w:rPr>
              <w:t>分）</w:t>
            </w:r>
          </w:p>
        </w:tc>
        <w:tc>
          <w:tcPr>
            <w:tcW w:w="6912" w:type="dxa"/>
            <w:noWrap/>
          </w:tcPr>
          <w:p w14:paraId="77A65C6B">
            <w:pPr>
              <w:pStyle w:val="24"/>
              <w:spacing w:line="420" w:lineRule="exact"/>
              <w:rPr>
                <w:rFonts w:hAnsi="宋体"/>
                <w:sz w:val="21"/>
                <w:szCs w:val="21"/>
                <w:highlight w:val="none"/>
                <w:lang w:val="zh-CN" w:eastAsia="zh-CN"/>
              </w:rPr>
            </w:pPr>
            <w:r>
              <w:rPr>
                <w:rFonts w:hint="eastAsia" w:hAnsi="宋体"/>
                <w:sz w:val="21"/>
                <w:szCs w:val="21"/>
                <w:highlight w:val="none"/>
                <w:lang w:val="zh-CN" w:eastAsia="zh-CN"/>
              </w:rPr>
              <w:t>根据</w:t>
            </w:r>
            <w:r>
              <w:rPr>
                <w:rFonts w:hint="eastAsia" w:hAnsi="宋体"/>
                <w:sz w:val="21"/>
                <w:szCs w:val="21"/>
                <w:highlight w:val="none"/>
                <w:lang w:eastAsia="zh-CN"/>
              </w:rPr>
              <w:t>磋商申请</w:t>
            </w:r>
            <w:r>
              <w:rPr>
                <w:rFonts w:hint="eastAsia" w:hAnsi="宋体"/>
                <w:sz w:val="21"/>
                <w:szCs w:val="21"/>
                <w:highlight w:val="none"/>
                <w:lang w:val="zh-CN" w:eastAsia="zh-CN"/>
              </w:rPr>
              <w:t>人提供的服务方案进行综合评审：</w:t>
            </w:r>
          </w:p>
          <w:p w14:paraId="1C64445E">
            <w:pPr>
              <w:pStyle w:val="24"/>
              <w:spacing w:line="420" w:lineRule="exact"/>
              <w:rPr>
                <w:rFonts w:hAnsi="宋体"/>
                <w:sz w:val="21"/>
                <w:szCs w:val="21"/>
                <w:highlight w:val="none"/>
                <w:lang w:eastAsia="zh-CN"/>
              </w:rPr>
            </w:pPr>
            <w:r>
              <w:rPr>
                <w:rFonts w:hint="eastAsia" w:hAnsi="宋体"/>
                <w:sz w:val="21"/>
                <w:szCs w:val="21"/>
                <w:highlight w:val="none"/>
                <w:lang w:eastAsia="zh-CN"/>
              </w:rPr>
              <w:t>第一个档次（</w:t>
            </w:r>
            <w:r>
              <w:rPr>
                <w:rFonts w:hint="eastAsia" w:hAnsi="宋体"/>
                <w:sz w:val="21"/>
                <w:szCs w:val="21"/>
                <w:highlight w:val="none"/>
                <w:lang w:val="en-US" w:eastAsia="zh-CN"/>
              </w:rPr>
              <w:t>15</w:t>
            </w:r>
            <w:r>
              <w:rPr>
                <w:rFonts w:hint="eastAsia" w:hAnsi="宋体"/>
                <w:sz w:val="21"/>
                <w:szCs w:val="21"/>
                <w:highlight w:val="none"/>
                <w:lang w:eastAsia="zh-CN"/>
              </w:rPr>
              <w:t>分）服务方案思路清晰，方案完整、重点突出、考虑全面，符合业主要求，且切实可行；</w:t>
            </w:r>
          </w:p>
          <w:p w14:paraId="62BEB97B">
            <w:pPr>
              <w:pStyle w:val="24"/>
              <w:spacing w:line="420" w:lineRule="exact"/>
              <w:rPr>
                <w:rFonts w:hAnsi="宋体"/>
                <w:sz w:val="21"/>
                <w:szCs w:val="21"/>
                <w:highlight w:val="none"/>
                <w:lang w:eastAsia="zh-CN"/>
              </w:rPr>
            </w:pPr>
            <w:r>
              <w:rPr>
                <w:rFonts w:hint="eastAsia" w:hAnsi="宋体"/>
                <w:sz w:val="21"/>
                <w:szCs w:val="21"/>
                <w:highlight w:val="none"/>
                <w:lang w:eastAsia="zh-CN"/>
              </w:rPr>
              <w:t>第二个档次（</w:t>
            </w:r>
            <w:r>
              <w:rPr>
                <w:rFonts w:hint="eastAsia" w:hAnsi="宋体"/>
                <w:sz w:val="21"/>
                <w:szCs w:val="21"/>
                <w:highlight w:val="none"/>
                <w:lang w:val="en-US" w:eastAsia="zh-CN"/>
              </w:rPr>
              <w:t>9</w:t>
            </w:r>
            <w:r>
              <w:rPr>
                <w:rFonts w:hint="eastAsia" w:hAnsi="宋体"/>
                <w:sz w:val="21"/>
                <w:szCs w:val="21"/>
                <w:highlight w:val="none"/>
                <w:lang w:eastAsia="zh-CN"/>
              </w:rPr>
              <w:t>分）服务方案思路一般，重点基本把握，考虑存在一定的瑕疵；</w:t>
            </w:r>
          </w:p>
          <w:p w14:paraId="57A797EE">
            <w:pPr>
              <w:pStyle w:val="24"/>
              <w:spacing w:line="420" w:lineRule="exact"/>
              <w:rPr>
                <w:rFonts w:hint="eastAsia" w:hAnsi="宋体"/>
                <w:sz w:val="21"/>
                <w:szCs w:val="21"/>
                <w:highlight w:val="none"/>
                <w:lang w:eastAsia="zh-CN"/>
              </w:rPr>
            </w:pPr>
            <w:r>
              <w:rPr>
                <w:rFonts w:hint="eastAsia" w:hAnsi="宋体"/>
                <w:sz w:val="21"/>
                <w:szCs w:val="21"/>
                <w:highlight w:val="none"/>
                <w:lang w:eastAsia="zh-CN"/>
              </w:rPr>
              <w:t>第三个档次（</w:t>
            </w:r>
            <w:r>
              <w:rPr>
                <w:rFonts w:hint="eastAsia" w:hAnsi="宋体"/>
                <w:sz w:val="21"/>
                <w:szCs w:val="21"/>
                <w:highlight w:val="none"/>
                <w:lang w:val="en-US" w:eastAsia="zh-CN"/>
              </w:rPr>
              <w:t>4</w:t>
            </w:r>
            <w:r>
              <w:rPr>
                <w:rFonts w:hint="eastAsia" w:hAnsi="宋体"/>
                <w:sz w:val="21"/>
                <w:szCs w:val="21"/>
                <w:highlight w:val="none"/>
                <w:lang w:eastAsia="zh-CN"/>
              </w:rPr>
              <w:t>分）服务方案思路不清晰，未把握重点，考虑不全面，存在较大的瑕疵。</w:t>
            </w:r>
          </w:p>
          <w:p w14:paraId="331FC73F">
            <w:pPr>
              <w:pStyle w:val="24"/>
              <w:spacing w:line="420" w:lineRule="exact"/>
              <w:rPr>
                <w:rFonts w:hint="eastAsia" w:hAnsi="宋体"/>
                <w:sz w:val="21"/>
                <w:szCs w:val="21"/>
                <w:highlight w:val="none"/>
                <w:lang w:eastAsia="zh-CN"/>
              </w:rPr>
            </w:pPr>
            <w:r>
              <w:rPr>
                <w:rFonts w:hint="eastAsia" w:hAnsi="宋体"/>
                <w:sz w:val="21"/>
                <w:szCs w:val="21"/>
                <w:highlight w:val="none"/>
                <w:lang w:val="en-US" w:eastAsia="zh-CN"/>
              </w:rPr>
              <w:t>第四个档次（0分）：无</w:t>
            </w:r>
            <w:r>
              <w:rPr>
                <w:rFonts w:hint="eastAsia" w:ascii="宋体" w:hAnsi="宋体" w:eastAsia="宋体" w:cs="宋体"/>
                <w:szCs w:val="21"/>
                <w:highlight w:val="none"/>
                <w:lang w:eastAsia="zh-CN"/>
              </w:rPr>
              <w:t>服务方案</w:t>
            </w:r>
          </w:p>
        </w:tc>
      </w:tr>
      <w:tr w14:paraId="01AA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854" w:type="dxa"/>
            <w:vMerge w:val="continue"/>
            <w:noWrap/>
            <w:vAlign w:val="center"/>
          </w:tcPr>
          <w:p w14:paraId="164A64FC">
            <w:pPr>
              <w:spacing w:line="400" w:lineRule="exact"/>
              <w:jc w:val="center"/>
              <w:rPr>
                <w:rFonts w:ascii="宋体" w:hAnsi="宋体" w:eastAsia="宋体" w:cs="宋体"/>
                <w:highlight w:val="none"/>
              </w:rPr>
            </w:pPr>
          </w:p>
        </w:tc>
        <w:tc>
          <w:tcPr>
            <w:tcW w:w="890" w:type="dxa"/>
            <w:vMerge w:val="continue"/>
            <w:noWrap/>
            <w:vAlign w:val="center"/>
          </w:tcPr>
          <w:p w14:paraId="6ED0F925">
            <w:pPr>
              <w:spacing w:line="400" w:lineRule="exact"/>
              <w:jc w:val="center"/>
              <w:rPr>
                <w:rFonts w:ascii="宋体" w:hAnsi="宋体" w:eastAsia="宋体" w:cs="宋体"/>
                <w:highlight w:val="none"/>
              </w:rPr>
            </w:pPr>
          </w:p>
        </w:tc>
        <w:tc>
          <w:tcPr>
            <w:tcW w:w="1663" w:type="dxa"/>
            <w:noWrap/>
            <w:vAlign w:val="center"/>
          </w:tcPr>
          <w:p w14:paraId="48B06C8E">
            <w:pPr>
              <w:spacing w:line="420" w:lineRule="exact"/>
              <w:jc w:val="center"/>
              <w:rPr>
                <w:rFonts w:ascii="宋体" w:hAnsi="宋体" w:eastAsia="宋体" w:cs="宋体"/>
                <w:szCs w:val="21"/>
                <w:highlight w:val="none"/>
              </w:rPr>
            </w:pPr>
            <w:r>
              <w:rPr>
                <w:rFonts w:hint="eastAsia" w:ascii="宋体" w:hAnsi="宋体" w:eastAsia="宋体" w:cs="宋体"/>
                <w:szCs w:val="21"/>
                <w:highlight w:val="none"/>
                <w:lang w:eastAsia="zh-CN"/>
              </w:rPr>
              <w:t>工作安排及保证措施（</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lang w:eastAsia="zh-CN"/>
              </w:rPr>
              <w:t>分）</w:t>
            </w:r>
          </w:p>
        </w:tc>
        <w:tc>
          <w:tcPr>
            <w:tcW w:w="6912" w:type="dxa"/>
            <w:noWrap/>
          </w:tcPr>
          <w:p w14:paraId="12327090">
            <w:pPr>
              <w:spacing w:line="420" w:lineRule="exact"/>
              <w:rPr>
                <w:rFonts w:ascii="宋体" w:hAnsi="宋体" w:eastAsia="宋体" w:cs="宋体"/>
                <w:szCs w:val="21"/>
                <w:highlight w:val="none"/>
                <w:lang w:eastAsia="zh-CN"/>
              </w:rPr>
            </w:pPr>
            <w:r>
              <w:rPr>
                <w:rFonts w:hint="eastAsia" w:ascii="宋体" w:hAnsi="宋体" w:eastAsia="宋体" w:cs="宋体"/>
                <w:szCs w:val="21"/>
                <w:highlight w:val="none"/>
                <w:lang w:eastAsia="zh-CN"/>
              </w:rPr>
              <w:t>第一个档次（</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lang w:eastAsia="zh-CN"/>
              </w:rPr>
              <w:t>分）工作安排及保证措施很合理，有明确招录程序及具体的人员管理制度，具有很好的针对性和可行性，能够完全满足本项目管理的业务需求；</w:t>
            </w:r>
          </w:p>
          <w:p w14:paraId="7F259C3A">
            <w:pPr>
              <w:spacing w:line="420" w:lineRule="exact"/>
              <w:rPr>
                <w:rFonts w:ascii="宋体" w:hAnsi="宋体" w:eastAsia="宋体" w:cs="宋体"/>
                <w:szCs w:val="21"/>
                <w:highlight w:val="none"/>
                <w:lang w:eastAsia="zh-CN"/>
              </w:rPr>
            </w:pPr>
            <w:r>
              <w:rPr>
                <w:rFonts w:hint="eastAsia" w:ascii="宋体" w:hAnsi="宋体" w:eastAsia="宋体" w:cs="宋体"/>
                <w:szCs w:val="21"/>
                <w:highlight w:val="none"/>
                <w:lang w:eastAsia="zh-CN"/>
              </w:rPr>
              <w:t>第二个档次（</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lang w:eastAsia="zh-CN"/>
              </w:rPr>
              <w:t>分）工作安排及保证措施相对合理，招录程序及具体的人员管理制度有一定的针对性和可行性，能在一定程度上满足本项目管理的业务需求；</w:t>
            </w:r>
          </w:p>
          <w:p w14:paraId="75746D78">
            <w:pPr>
              <w:spacing w:line="42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第三个档次（</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分）工作安排及保证措施与本项目管理的业务需求相关，方案针对性和可行性存在一定问题。</w:t>
            </w:r>
          </w:p>
          <w:p w14:paraId="75E41D38">
            <w:pPr>
              <w:pStyle w:val="2"/>
            </w:pPr>
            <w:r>
              <w:rPr>
                <w:rFonts w:hint="eastAsia" w:hAnsi="宋体"/>
                <w:sz w:val="21"/>
                <w:szCs w:val="21"/>
                <w:highlight w:val="none"/>
                <w:lang w:val="en-US" w:eastAsia="zh-CN"/>
              </w:rPr>
              <w:t>第四个档次（0分）：无</w:t>
            </w:r>
            <w:r>
              <w:rPr>
                <w:rFonts w:hint="eastAsia" w:ascii="宋体" w:hAnsi="宋体" w:eastAsia="宋体" w:cs="宋体"/>
                <w:szCs w:val="21"/>
                <w:highlight w:val="none"/>
                <w:lang w:eastAsia="zh-CN"/>
              </w:rPr>
              <w:t>工作安排及保证措施</w:t>
            </w:r>
          </w:p>
        </w:tc>
      </w:tr>
      <w:tr w14:paraId="71A6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4" w:type="dxa"/>
            <w:vMerge w:val="continue"/>
            <w:noWrap/>
            <w:vAlign w:val="center"/>
          </w:tcPr>
          <w:p w14:paraId="51A4DB9A">
            <w:pPr>
              <w:spacing w:line="400" w:lineRule="exact"/>
              <w:jc w:val="center"/>
              <w:rPr>
                <w:rFonts w:ascii="宋体" w:hAnsi="宋体" w:eastAsia="宋体" w:cs="宋体"/>
                <w:highlight w:val="none"/>
              </w:rPr>
            </w:pPr>
          </w:p>
        </w:tc>
        <w:tc>
          <w:tcPr>
            <w:tcW w:w="890" w:type="dxa"/>
            <w:vMerge w:val="continue"/>
            <w:noWrap/>
            <w:vAlign w:val="center"/>
          </w:tcPr>
          <w:p w14:paraId="473077D9">
            <w:pPr>
              <w:spacing w:line="400" w:lineRule="exact"/>
              <w:jc w:val="center"/>
              <w:rPr>
                <w:rFonts w:ascii="宋体" w:hAnsi="宋体" w:eastAsia="宋体" w:cs="宋体"/>
                <w:highlight w:val="none"/>
              </w:rPr>
            </w:pPr>
          </w:p>
        </w:tc>
        <w:tc>
          <w:tcPr>
            <w:tcW w:w="1663" w:type="dxa"/>
            <w:noWrap/>
            <w:vAlign w:val="center"/>
          </w:tcPr>
          <w:p w14:paraId="1C8719DF">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综合实力及商业信誉及财务状况（满分10分）</w:t>
            </w:r>
          </w:p>
        </w:tc>
        <w:tc>
          <w:tcPr>
            <w:tcW w:w="6912" w:type="dxa"/>
            <w:noWrap/>
          </w:tcPr>
          <w:p w14:paraId="2496F937">
            <w:pPr>
              <w:spacing w:line="42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企业经营规模较大，企业形象较好，管理、服务人员素质较高，经验丰富；企业具有良好的商业信誉和健全的财务会计制度，经营状况良好，磋商小组按响应文件的满足情况分档评分：</w:t>
            </w:r>
          </w:p>
          <w:p w14:paraId="3645BC94">
            <w:pPr>
              <w:spacing w:line="42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第一个档次：优得10分；</w:t>
            </w:r>
          </w:p>
          <w:p w14:paraId="6B5C73EA">
            <w:pPr>
              <w:spacing w:line="42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第二个档次：一般得6分；</w:t>
            </w:r>
          </w:p>
          <w:p w14:paraId="016D1844">
            <w:pPr>
              <w:spacing w:line="420" w:lineRule="exact"/>
              <w:rPr>
                <w:rFonts w:ascii="宋体" w:hAnsi="宋体" w:eastAsia="宋体" w:cs="宋体"/>
                <w:szCs w:val="21"/>
                <w:highlight w:val="none"/>
              </w:rPr>
            </w:pPr>
            <w:r>
              <w:rPr>
                <w:rFonts w:hint="eastAsia" w:ascii="宋体" w:hAnsi="宋体" w:eastAsia="宋体" w:cs="宋体"/>
                <w:szCs w:val="21"/>
                <w:highlight w:val="none"/>
                <w:lang w:eastAsia="zh-CN"/>
              </w:rPr>
              <w:t>第三个档次：差3分。</w:t>
            </w:r>
            <w:r>
              <w:rPr>
                <w:rFonts w:hint="eastAsia" w:ascii="宋体" w:hAnsi="宋体" w:eastAsia="宋体" w:cs="宋体"/>
                <w:szCs w:val="21"/>
                <w:highlight w:val="none"/>
              </w:rPr>
              <w:t xml:space="preserve">      </w:t>
            </w:r>
          </w:p>
        </w:tc>
      </w:tr>
      <w:tr w14:paraId="4A52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4" w:type="dxa"/>
            <w:vMerge w:val="continue"/>
            <w:noWrap/>
            <w:vAlign w:val="center"/>
          </w:tcPr>
          <w:p w14:paraId="00BFF9B9">
            <w:pPr>
              <w:spacing w:line="400" w:lineRule="exact"/>
              <w:jc w:val="center"/>
              <w:rPr>
                <w:rFonts w:ascii="宋体" w:hAnsi="宋体" w:eastAsia="宋体" w:cs="宋体"/>
                <w:highlight w:val="none"/>
              </w:rPr>
            </w:pPr>
          </w:p>
        </w:tc>
        <w:tc>
          <w:tcPr>
            <w:tcW w:w="890" w:type="dxa"/>
            <w:vMerge w:val="continue"/>
            <w:noWrap/>
            <w:vAlign w:val="center"/>
          </w:tcPr>
          <w:p w14:paraId="7F520370">
            <w:pPr>
              <w:spacing w:line="400" w:lineRule="exact"/>
              <w:jc w:val="center"/>
              <w:rPr>
                <w:rFonts w:ascii="宋体" w:hAnsi="宋体" w:eastAsia="宋体" w:cs="宋体"/>
                <w:highlight w:val="none"/>
              </w:rPr>
            </w:pPr>
          </w:p>
        </w:tc>
        <w:tc>
          <w:tcPr>
            <w:tcW w:w="1663" w:type="dxa"/>
            <w:noWrap/>
            <w:vAlign w:val="center"/>
          </w:tcPr>
          <w:p w14:paraId="341E56AD">
            <w:pPr>
              <w:spacing w:line="42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项目管理服务团队能力（满分10分）</w:t>
            </w:r>
          </w:p>
        </w:tc>
        <w:tc>
          <w:tcPr>
            <w:tcW w:w="6912" w:type="dxa"/>
            <w:noWrap/>
          </w:tcPr>
          <w:p w14:paraId="4E03AB97">
            <w:pPr>
              <w:spacing w:line="42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评委对所有响应文件的“管理机构设置和资源配置（包括服务人员管理制度、服务人员的培训方案、拟派本项目的管理人员及其他人员业务能力、综合能力等）部分内容进行详细地横向比较，综合对比评审后，酌情打分：</w:t>
            </w:r>
          </w:p>
          <w:p w14:paraId="69ED3367">
            <w:pPr>
              <w:spacing w:line="42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第一个档次（10分）：拟派往本项目管理人员均从事过与本项目服务内容相关的工作，具有丰富的服务经验，能够充分胜任服务岗位的，团队人员构成和配置人数合理，能满足项目开展的。服务人员管理制度、服务人员的培训方案具体、切实可行，满足项目需求。</w:t>
            </w:r>
          </w:p>
          <w:p w14:paraId="1238B60A">
            <w:pPr>
              <w:spacing w:line="42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第二个档次（6分）：拟派往本项目管理人员中从事过与本项目服务内容相关的工作，拟投入本项目的设备设施配备基本满足项目实施要求。服务人员管理制度、服务人员的培训方案基本可行；</w:t>
            </w:r>
          </w:p>
          <w:p w14:paraId="0F81D815">
            <w:pPr>
              <w:spacing w:line="42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第三个档次（3分）：拟派往本项目管理人员中从事过与本项目服务内容相关的工作，团队人员构成和配置人数存在不合理的情况或人数较少的情况。服务人员管理制度、服务人员的培训方案不具体，有疏漏；</w:t>
            </w:r>
          </w:p>
        </w:tc>
      </w:tr>
      <w:tr w14:paraId="41B0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4" w:type="dxa"/>
            <w:vMerge w:val="continue"/>
            <w:noWrap/>
            <w:vAlign w:val="center"/>
          </w:tcPr>
          <w:p w14:paraId="7D8596DC">
            <w:pPr>
              <w:spacing w:line="400" w:lineRule="exact"/>
              <w:jc w:val="center"/>
              <w:rPr>
                <w:rFonts w:ascii="宋体" w:hAnsi="宋体" w:eastAsia="宋体" w:cs="宋体"/>
                <w:highlight w:val="none"/>
              </w:rPr>
            </w:pPr>
          </w:p>
        </w:tc>
        <w:tc>
          <w:tcPr>
            <w:tcW w:w="890" w:type="dxa"/>
            <w:vMerge w:val="continue"/>
            <w:noWrap/>
            <w:vAlign w:val="center"/>
          </w:tcPr>
          <w:p w14:paraId="03863A1D">
            <w:pPr>
              <w:spacing w:line="400" w:lineRule="exact"/>
              <w:jc w:val="center"/>
              <w:rPr>
                <w:rFonts w:ascii="宋体" w:hAnsi="宋体" w:eastAsia="宋体" w:cs="宋体"/>
                <w:highlight w:val="none"/>
              </w:rPr>
            </w:pPr>
          </w:p>
        </w:tc>
        <w:tc>
          <w:tcPr>
            <w:tcW w:w="1663" w:type="dxa"/>
            <w:noWrap/>
            <w:vAlign w:val="center"/>
          </w:tcPr>
          <w:p w14:paraId="7DE78BC6">
            <w:pPr>
              <w:spacing w:line="42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安全保证措施及应急处置预案（满分15分）</w:t>
            </w:r>
          </w:p>
        </w:tc>
        <w:tc>
          <w:tcPr>
            <w:tcW w:w="6912" w:type="dxa"/>
            <w:noWrap/>
          </w:tcPr>
          <w:p w14:paraId="0B37C96A">
            <w:pPr>
              <w:spacing w:line="42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供应商根据项目特点和要求，拟定项目实施过程中的安全保障及应对工作中突发事件的应急处置预案。</w:t>
            </w:r>
          </w:p>
          <w:p w14:paraId="3F510FF6">
            <w:pPr>
              <w:spacing w:line="42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第一个档次（</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lang w:eastAsia="zh-CN"/>
              </w:rPr>
              <w:t>分）：</w:t>
            </w:r>
            <w:r>
              <w:rPr>
                <w:rFonts w:hint="eastAsia" w:ascii="宋体" w:hAnsi="宋体" w:eastAsia="宋体" w:cs="宋体"/>
                <w:szCs w:val="21"/>
                <w:highlight w:val="none"/>
                <w:lang w:val="en-US" w:eastAsia="zh-CN"/>
              </w:rPr>
              <w:t xml:space="preserve">安全保证措施及应急处置预案全面具体，安全培训教育、管控制度及各项安全保障措施完整，针对工作中突发事件的各项应急处置预案较全面完整、针对性强，充分满足项目要求； </w:t>
            </w:r>
          </w:p>
          <w:p w14:paraId="2FB8A600">
            <w:pPr>
              <w:spacing w:line="42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第</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lang w:eastAsia="zh-CN"/>
              </w:rPr>
              <w:t>个档次（</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lang w:eastAsia="zh-CN"/>
              </w:rPr>
              <w:t>分）：</w:t>
            </w:r>
            <w:r>
              <w:rPr>
                <w:rFonts w:hint="eastAsia" w:ascii="宋体" w:hAnsi="宋体" w:eastAsia="宋体" w:cs="宋体"/>
                <w:szCs w:val="21"/>
                <w:highlight w:val="none"/>
                <w:lang w:val="en-US" w:eastAsia="zh-CN"/>
              </w:rPr>
              <w:t>安全保证措施及应急处置预案基本全面，安全培训教育、管控制度及各项安全保障措施基本完整，针对工作中突发事件的各项应急处置预案较全面完整、有针对性强，满足项目要求；</w:t>
            </w:r>
          </w:p>
          <w:p w14:paraId="66D194F1">
            <w:pPr>
              <w:spacing w:line="42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第</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lang w:eastAsia="zh-CN"/>
              </w:rPr>
              <w:t>个档次（</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分）：</w:t>
            </w:r>
            <w:r>
              <w:rPr>
                <w:rFonts w:hint="eastAsia" w:ascii="宋体" w:hAnsi="宋体" w:eastAsia="宋体" w:cs="宋体"/>
                <w:szCs w:val="21"/>
                <w:highlight w:val="none"/>
                <w:lang w:val="en-US" w:eastAsia="zh-CN"/>
              </w:rPr>
              <w:t>安全保证措施及应急处置预案不够全面，安全培训教育、管控制度及各项安全保障措施不够完整，针对工作中突发事件的各项应急处置预案有欠缺、针对性差，勉强满足项目要求；</w:t>
            </w:r>
          </w:p>
          <w:p w14:paraId="169BCD53">
            <w:pPr>
              <w:spacing w:line="42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w:t>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lang w:eastAsia="zh-CN"/>
              </w:rPr>
              <w:t>个档次</w:t>
            </w:r>
            <w:r>
              <w:rPr>
                <w:rFonts w:hint="eastAsia" w:hAnsi="宋体"/>
                <w:sz w:val="21"/>
                <w:szCs w:val="21"/>
                <w:highlight w:val="none"/>
                <w:lang w:val="en-US" w:eastAsia="zh-CN"/>
              </w:rPr>
              <w:t>（0分）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无安全保证措施及应急处置预案。</w:t>
            </w:r>
          </w:p>
        </w:tc>
      </w:tr>
      <w:tr w14:paraId="164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4" w:type="dxa"/>
            <w:vMerge w:val="continue"/>
            <w:noWrap/>
            <w:vAlign w:val="center"/>
          </w:tcPr>
          <w:p w14:paraId="293C46B1">
            <w:pPr>
              <w:spacing w:line="400" w:lineRule="exact"/>
              <w:jc w:val="center"/>
              <w:rPr>
                <w:rFonts w:ascii="宋体" w:hAnsi="宋体" w:eastAsia="宋体" w:cs="宋体"/>
                <w:highlight w:val="none"/>
              </w:rPr>
            </w:pPr>
          </w:p>
        </w:tc>
        <w:tc>
          <w:tcPr>
            <w:tcW w:w="890" w:type="dxa"/>
            <w:vMerge w:val="continue"/>
            <w:noWrap/>
            <w:vAlign w:val="center"/>
          </w:tcPr>
          <w:p w14:paraId="786BD262">
            <w:pPr>
              <w:spacing w:line="400" w:lineRule="exact"/>
              <w:jc w:val="center"/>
              <w:rPr>
                <w:rFonts w:ascii="宋体" w:hAnsi="宋体" w:eastAsia="宋体" w:cs="宋体"/>
                <w:highlight w:val="none"/>
              </w:rPr>
            </w:pPr>
          </w:p>
        </w:tc>
        <w:tc>
          <w:tcPr>
            <w:tcW w:w="1663" w:type="dxa"/>
            <w:noWrap/>
            <w:vAlign w:val="center"/>
          </w:tcPr>
          <w:p w14:paraId="7BB042C4">
            <w:pPr>
              <w:spacing w:line="420" w:lineRule="exact"/>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lang w:eastAsia="zh-CN"/>
              </w:rPr>
              <w:t>类似业绩（10分）</w:t>
            </w:r>
          </w:p>
          <w:p w14:paraId="5B41C4B7">
            <w:pPr>
              <w:spacing w:line="420" w:lineRule="exact"/>
              <w:jc w:val="center"/>
              <w:rPr>
                <w:rFonts w:hint="eastAsia" w:ascii="宋体" w:hAnsi="宋体" w:eastAsia="宋体" w:cs="宋体"/>
                <w:szCs w:val="21"/>
                <w:highlight w:val="none"/>
                <w:lang w:val="en-US" w:eastAsia="zh-CN"/>
              </w:rPr>
            </w:pPr>
          </w:p>
        </w:tc>
        <w:tc>
          <w:tcPr>
            <w:tcW w:w="6912" w:type="dxa"/>
            <w:noWrap/>
            <w:vAlign w:val="center"/>
          </w:tcPr>
          <w:p w14:paraId="26BA23B4">
            <w:pPr>
              <w:spacing w:line="42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根据供应商提供的类似业绩评审，每提供一个得2分，最高10分，不提供不得分。</w:t>
            </w:r>
          </w:p>
          <w:p w14:paraId="53969D31">
            <w:pPr>
              <w:spacing w:line="420" w:lineRule="exact"/>
              <w:rPr>
                <w:rFonts w:hint="eastAsia" w:ascii="宋体" w:hAnsi="宋体" w:eastAsia="宋体" w:cs="宋体"/>
                <w:szCs w:val="21"/>
                <w:highlight w:val="none"/>
                <w:lang w:val="en-US" w:eastAsia="zh-CN"/>
              </w:rPr>
            </w:pPr>
            <w:r>
              <w:rPr>
                <w:rFonts w:hint="eastAsia" w:ascii="宋体" w:hAnsi="宋体" w:eastAsia="宋体" w:cs="宋体"/>
                <w:b/>
                <w:bCs/>
                <w:highlight w:val="none"/>
              </w:rPr>
              <w:t>注：业绩证明材料（中标通知书或委托合同）</w:t>
            </w:r>
          </w:p>
        </w:tc>
      </w:tr>
      <w:tr w14:paraId="1436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4" w:type="dxa"/>
            <w:vMerge w:val="continue"/>
            <w:noWrap/>
            <w:vAlign w:val="center"/>
          </w:tcPr>
          <w:p w14:paraId="0036BED3">
            <w:pPr>
              <w:widowControl/>
              <w:spacing w:line="400" w:lineRule="exact"/>
              <w:jc w:val="left"/>
              <w:rPr>
                <w:rFonts w:ascii="宋体" w:hAnsi="宋体" w:eastAsia="宋体" w:cs="宋体"/>
                <w:highlight w:val="none"/>
              </w:rPr>
            </w:pPr>
          </w:p>
        </w:tc>
        <w:tc>
          <w:tcPr>
            <w:tcW w:w="890" w:type="dxa"/>
            <w:vMerge w:val="continue"/>
            <w:noWrap/>
            <w:vAlign w:val="center"/>
          </w:tcPr>
          <w:p w14:paraId="54DC0E8B">
            <w:pPr>
              <w:widowControl/>
              <w:spacing w:line="400" w:lineRule="exact"/>
              <w:jc w:val="left"/>
              <w:rPr>
                <w:rFonts w:ascii="宋体" w:hAnsi="宋体" w:eastAsia="宋体" w:cs="宋体"/>
                <w:highlight w:val="none"/>
              </w:rPr>
            </w:pPr>
          </w:p>
        </w:tc>
        <w:tc>
          <w:tcPr>
            <w:tcW w:w="8575" w:type="dxa"/>
            <w:gridSpan w:val="2"/>
            <w:noWrap/>
            <w:vAlign w:val="center"/>
          </w:tcPr>
          <w:p w14:paraId="2F6AFAF2">
            <w:pPr>
              <w:spacing w:line="400" w:lineRule="exact"/>
              <w:rPr>
                <w:rFonts w:ascii="宋体" w:hAnsi="宋体" w:eastAsia="宋体" w:cs="宋体"/>
                <w:kern w:val="0"/>
                <w:highlight w:val="none"/>
              </w:rPr>
            </w:pPr>
            <w:r>
              <w:rPr>
                <w:rFonts w:hint="eastAsia" w:ascii="宋体" w:hAnsi="宋体" w:eastAsia="宋体" w:cs="宋体"/>
                <w:kern w:val="0"/>
                <w:highlight w:val="none"/>
              </w:rPr>
              <w:t>说明：1.</w:t>
            </w:r>
            <w:r>
              <w:rPr>
                <w:rFonts w:hint="eastAsia" w:ascii="宋体" w:hAnsi="宋体" w:eastAsia="宋体" w:cs="宋体"/>
                <w:kern w:val="0"/>
                <w:highlight w:val="none"/>
                <w:u w:val="single"/>
              </w:rPr>
              <w:t>对各磋商申请人响应文件的综合技术实力部分独立进行分档评分。</w:t>
            </w:r>
          </w:p>
          <w:p w14:paraId="66CC829A">
            <w:pPr>
              <w:spacing w:line="400" w:lineRule="exact"/>
              <w:ind w:firstLine="630" w:firstLineChars="300"/>
              <w:rPr>
                <w:rFonts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kern w:val="0"/>
                <w:highlight w:val="none"/>
                <w:u w:val="single"/>
              </w:rPr>
              <w:t>各磋商申请人须根据上述评分因素提供相应证明材料，以便磋商小组进行审查及评分。如上述资料提供不全或来源不明确，以致磋商小组无法核实的或判定的，则对应评分项应为最后一个档次。</w:t>
            </w:r>
          </w:p>
        </w:tc>
      </w:tr>
      <w:tr w14:paraId="473C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4" w:type="dxa"/>
            <w:noWrap/>
            <w:vAlign w:val="center"/>
          </w:tcPr>
          <w:p w14:paraId="6E4D9779">
            <w:pPr>
              <w:spacing w:line="400" w:lineRule="exact"/>
              <w:jc w:val="center"/>
              <w:rPr>
                <w:rFonts w:ascii="宋体" w:hAnsi="宋体" w:eastAsia="宋体" w:cs="宋体"/>
                <w:highlight w:val="none"/>
              </w:rPr>
            </w:pPr>
            <w:r>
              <w:rPr>
                <w:rFonts w:hint="eastAsia" w:ascii="宋体" w:hAnsi="宋体" w:eastAsia="宋体" w:cs="宋体"/>
                <w:highlight w:val="none"/>
              </w:rPr>
              <w:t>3.2</w:t>
            </w:r>
          </w:p>
          <w:p w14:paraId="77256FD9">
            <w:pPr>
              <w:spacing w:line="400" w:lineRule="exact"/>
              <w:rPr>
                <w:rFonts w:ascii="宋体" w:hAnsi="宋体" w:eastAsia="宋体" w:cs="宋体"/>
                <w:highlight w:val="none"/>
              </w:rPr>
            </w:pPr>
          </w:p>
        </w:tc>
        <w:tc>
          <w:tcPr>
            <w:tcW w:w="890" w:type="dxa"/>
            <w:noWrap/>
            <w:vAlign w:val="center"/>
          </w:tcPr>
          <w:p w14:paraId="6B15D29D">
            <w:pPr>
              <w:spacing w:line="400" w:lineRule="exact"/>
              <w:rPr>
                <w:rFonts w:ascii="宋体" w:hAnsi="宋体" w:eastAsia="宋体" w:cs="宋体"/>
                <w:highlight w:val="none"/>
              </w:rPr>
            </w:pPr>
            <w:r>
              <w:rPr>
                <w:rFonts w:hint="eastAsia" w:ascii="宋体" w:hAnsi="宋体" w:eastAsia="宋体" w:cs="宋体"/>
                <w:szCs w:val="21"/>
                <w:highlight w:val="none"/>
              </w:rPr>
              <w:t>磋商报价F2：</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分</w:t>
            </w:r>
          </w:p>
        </w:tc>
        <w:tc>
          <w:tcPr>
            <w:tcW w:w="8575" w:type="dxa"/>
            <w:gridSpan w:val="2"/>
            <w:noWrap/>
            <w:vAlign w:val="center"/>
          </w:tcPr>
          <w:p w14:paraId="417B6712">
            <w:pPr>
              <w:adjustRightInd w:val="0"/>
              <w:spacing w:line="400" w:lineRule="exac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（1）磋商最终报价得分计算公式= （评审基准价/该磋商申请人最终报价）×</w:t>
            </w:r>
            <w:r>
              <w:rPr>
                <w:rFonts w:hint="eastAsia" w:ascii="宋体" w:hAnsi="宋体" w:eastAsia="宋体" w:cs="宋体"/>
                <w:color w:val="auto"/>
                <w:highlight w:val="none"/>
                <w:lang w:val="en-US" w:eastAsia="zh-CN"/>
              </w:rPr>
              <w:t>10</w:t>
            </w:r>
          </w:p>
          <w:p w14:paraId="5A4D7AFA">
            <w:pPr>
              <w:adjustRightInd w:val="0"/>
              <w:spacing w:line="400" w:lineRule="exac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即：P1=[P/（B1，B2，…，Bn）]×</w:t>
            </w:r>
            <w:r>
              <w:rPr>
                <w:rFonts w:hint="eastAsia" w:ascii="宋体" w:hAnsi="宋体" w:eastAsia="宋体" w:cs="宋体"/>
                <w:color w:val="auto"/>
                <w:highlight w:val="none"/>
                <w:lang w:val="en-US" w:eastAsia="zh-CN"/>
              </w:rPr>
              <w:t>10</w:t>
            </w:r>
          </w:p>
          <w:p w14:paraId="4F44B25B">
            <w:pPr>
              <w:adjustRightInd w:val="0"/>
              <w:spacing w:line="400" w:lineRule="exact"/>
              <w:rPr>
                <w:rFonts w:ascii="宋体" w:hAnsi="宋体" w:eastAsia="宋体" w:cs="宋体"/>
                <w:color w:val="auto"/>
                <w:highlight w:val="none"/>
              </w:rPr>
            </w:pPr>
            <w:r>
              <w:rPr>
                <w:rFonts w:hint="eastAsia" w:ascii="宋体" w:hAnsi="宋体" w:eastAsia="宋体" w:cs="宋体"/>
                <w:color w:val="auto"/>
                <w:highlight w:val="none"/>
              </w:rPr>
              <w:t>注：P为评审基准价，即通过响应性评审且磋商最终报价最低的有效报价；</w:t>
            </w:r>
          </w:p>
          <w:p w14:paraId="36E412F9">
            <w:pPr>
              <w:adjustRightInd w:val="0"/>
              <w:spacing w:line="400" w:lineRule="exact"/>
              <w:rPr>
                <w:rFonts w:ascii="宋体" w:hAnsi="宋体" w:eastAsia="宋体" w:cs="宋体"/>
                <w:color w:val="auto"/>
                <w:highlight w:val="none"/>
              </w:rPr>
            </w:pPr>
            <w:r>
              <w:rPr>
                <w:rFonts w:hint="eastAsia" w:ascii="宋体" w:hAnsi="宋体" w:eastAsia="宋体" w:cs="宋体"/>
                <w:color w:val="auto"/>
                <w:highlight w:val="none"/>
              </w:rPr>
              <w:t>B1，B2，…，Bn为通过响应性评审的有效最终报价，n为通过响应性评审的有效最终报价的个数。</w:t>
            </w:r>
          </w:p>
          <w:p w14:paraId="461D84DF">
            <w:pPr>
              <w:adjustRightInd w:val="0"/>
              <w:spacing w:line="400" w:lineRule="exact"/>
              <w:rPr>
                <w:rFonts w:ascii="宋体" w:hAnsi="宋体" w:eastAsia="宋体" w:cs="宋体"/>
                <w:color w:val="auto"/>
                <w:highlight w:val="none"/>
              </w:rPr>
            </w:pPr>
            <w:r>
              <w:rPr>
                <w:rFonts w:hint="eastAsia" w:ascii="宋体" w:hAnsi="宋体" w:eastAsia="宋体" w:cs="宋体"/>
                <w:color w:val="auto"/>
                <w:highlight w:val="none"/>
              </w:rPr>
              <w:t>（2）小微企业报价的确定：</w:t>
            </w:r>
          </w:p>
          <w:p w14:paraId="4D1D5A6D">
            <w:pPr>
              <w:adjustRightInd w:val="0"/>
              <w:spacing w:line="400" w:lineRule="exact"/>
              <w:rPr>
                <w:rFonts w:ascii="宋体" w:hAnsi="宋体" w:eastAsia="宋体" w:cs="宋体"/>
                <w:color w:val="auto"/>
                <w:highlight w:val="none"/>
              </w:rPr>
            </w:pPr>
            <w:r>
              <w:rPr>
                <w:rFonts w:hint="eastAsia" w:ascii="宋体" w:hAnsi="宋体" w:eastAsia="宋体" w:cs="宋体"/>
                <w:color w:val="auto"/>
                <w:highlight w:val="none"/>
              </w:rPr>
              <w:t>①小型、微型企业提供参与投标时，须提供本企业的《中小企业声明函》。</w:t>
            </w:r>
          </w:p>
          <w:p w14:paraId="3AE764EE">
            <w:pPr>
              <w:adjustRightInd w:val="0"/>
              <w:spacing w:line="400" w:lineRule="exact"/>
              <w:rPr>
                <w:rFonts w:ascii="宋体" w:hAnsi="宋体" w:eastAsia="宋体" w:cs="宋体"/>
                <w:color w:val="auto"/>
                <w:highlight w:val="none"/>
              </w:rPr>
            </w:pPr>
            <w:r>
              <w:rPr>
                <w:rFonts w:hint="eastAsia" w:ascii="宋体" w:hAnsi="宋体" w:eastAsia="宋体" w:cs="宋体"/>
                <w:color w:val="auto"/>
                <w:highlight w:val="none"/>
              </w:rPr>
              <w:t>②如磋商申请人为监狱企业，还须提供省级以上监狱管理局、戒毒管理局（含新疆生产建设兵团）出具的属于监狱企业的证明文件扫描件。</w:t>
            </w:r>
          </w:p>
          <w:p w14:paraId="2DDFD8F8">
            <w:pPr>
              <w:adjustRightInd w:val="0"/>
              <w:spacing w:line="400" w:lineRule="exact"/>
              <w:rPr>
                <w:rFonts w:ascii="宋体" w:hAnsi="宋体" w:eastAsia="宋体" w:cs="宋体"/>
                <w:color w:val="auto"/>
                <w:highlight w:val="none"/>
              </w:rPr>
            </w:pPr>
            <w:r>
              <w:rPr>
                <w:rFonts w:hint="eastAsia" w:ascii="宋体" w:hAnsi="宋体" w:eastAsia="宋体" w:cs="宋体"/>
                <w:color w:val="auto"/>
                <w:highlight w:val="none"/>
              </w:rPr>
              <w:t>③如磋商申请人为残疾人福利性单位，提供《残疾人福利性单位声明函》。</w:t>
            </w:r>
          </w:p>
          <w:p w14:paraId="03028C92">
            <w:pPr>
              <w:adjustRightInd w:val="0"/>
              <w:spacing w:line="400" w:lineRule="exact"/>
              <w:rPr>
                <w:rFonts w:ascii="宋体" w:hAnsi="宋体" w:eastAsia="宋体" w:cs="宋体"/>
                <w:color w:val="auto"/>
                <w:highlight w:val="none"/>
              </w:rPr>
            </w:pPr>
            <w:r>
              <w:rPr>
                <w:rFonts w:hint="eastAsia" w:ascii="宋体" w:hAnsi="宋体" w:eastAsia="宋体" w:cs="宋体"/>
                <w:color w:val="auto"/>
                <w:szCs w:val="21"/>
                <w:highlight w:val="none"/>
              </w:rPr>
              <w:t>小型、微型企业产品（提供本企业承担的工程）价格给予</w:t>
            </w:r>
            <w:r>
              <w:rPr>
                <w:rFonts w:hint="eastAsia" w:ascii="宋体" w:hAnsi="宋体" w:eastAsia="宋体" w:cs="宋体"/>
                <w:color w:val="auto"/>
                <w:szCs w:val="21"/>
                <w:highlight w:val="none"/>
                <w:lang w:eastAsia="zh-CN"/>
              </w:rPr>
              <w:t>10%</w:t>
            </w:r>
            <w:r>
              <w:rPr>
                <w:rFonts w:hint="eastAsia" w:ascii="宋体" w:hAnsi="宋体" w:eastAsia="宋体" w:cs="宋体"/>
                <w:color w:val="auto"/>
                <w:szCs w:val="21"/>
                <w:highlight w:val="none"/>
              </w:rPr>
              <w:t>的扣除。</w:t>
            </w:r>
          </w:p>
          <w:p w14:paraId="175E7DC5">
            <w:pPr>
              <w:adjustRightInd w:val="0"/>
              <w:spacing w:line="400" w:lineRule="exact"/>
              <w:rPr>
                <w:rFonts w:ascii="宋体" w:hAnsi="宋体" w:eastAsia="宋体" w:cs="宋体"/>
                <w:color w:val="auto"/>
                <w:highlight w:val="none"/>
              </w:rPr>
            </w:pPr>
            <w:r>
              <w:rPr>
                <w:rFonts w:hint="eastAsia" w:ascii="宋体" w:hAnsi="宋体" w:eastAsia="宋体" w:cs="宋体"/>
                <w:color w:val="auto"/>
                <w:highlight w:val="none"/>
              </w:rPr>
              <w:t>小型、含微型企业报价计算公式：B小=B*(1-</w:t>
            </w:r>
            <w:r>
              <w:rPr>
                <w:rFonts w:hint="eastAsia" w:ascii="宋体" w:hAnsi="宋体" w:eastAsia="宋体" w:cs="宋体"/>
                <w:color w:val="auto"/>
                <w:highlight w:val="none"/>
                <w:lang w:eastAsia="zh-CN"/>
              </w:rPr>
              <w:t>10%</w:t>
            </w:r>
            <w:r>
              <w:rPr>
                <w:rFonts w:hint="eastAsia" w:ascii="宋体" w:hAnsi="宋体" w:eastAsia="宋体" w:cs="宋体"/>
                <w:color w:val="auto"/>
                <w:highlight w:val="none"/>
              </w:rPr>
              <w:t>)，该报价作为评审价格。</w:t>
            </w:r>
          </w:p>
          <w:p w14:paraId="446B0544">
            <w:pPr>
              <w:spacing w:line="400" w:lineRule="exact"/>
              <w:rPr>
                <w:rFonts w:ascii="宋体" w:hAnsi="宋体" w:eastAsia="宋体" w:cs="宋体"/>
                <w:b/>
                <w:kern w:val="0"/>
                <w:highlight w:val="none"/>
              </w:rPr>
            </w:pPr>
            <w:r>
              <w:rPr>
                <w:rFonts w:hint="eastAsia" w:ascii="宋体" w:hAnsi="宋体" w:eastAsia="宋体" w:cs="宋体"/>
                <w:b/>
                <w:color w:val="auto"/>
                <w:highlight w:val="none"/>
              </w:rPr>
              <w:t>注：参《政府采购货物和服务招标投标管理办法》（财政部第87号令）第六十条：评标委员会认为磋商申请人的报价明显低于其他通过符合性审查磋商申请人的报价，有可能影响产品质量或者不能诚信履约的，应当要求其在合理的时间内提供书面说明，必要时提交相关证明材料；磋商申请人不能证明其报价合理性的，评标委员会应当将其作为无效投标处理。</w:t>
            </w:r>
          </w:p>
        </w:tc>
      </w:tr>
    </w:tbl>
    <w:p w14:paraId="61011B1A">
      <w:pPr>
        <w:pStyle w:val="39"/>
        <w:spacing w:line="360" w:lineRule="auto"/>
        <w:ind w:left="420" w:leftChars="200" w:firstLine="0" w:firstLineChars="0"/>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四、磋商方法</w:t>
      </w:r>
    </w:p>
    <w:p w14:paraId="6FCD8D0E">
      <w:pPr>
        <w:widowControl/>
        <w:spacing w:line="360"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综合评分法。磋商小组将根据评审办法计算出各磋商申请人的综合得分，按得分由高到低推荐成交候选人排序；得分相同的，按最终报价由低到高顺序排列；得分且最终报价相同的，按组织综合技术实力部分得分高低顺序排列。最终磋商小组将根据评审后的总得分由高到低顺序排列推荐1-3个成交候选人。</w:t>
      </w:r>
    </w:p>
    <w:p w14:paraId="7B0CC97F">
      <w:pPr>
        <w:widowControl/>
        <w:spacing w:line="360" w:lineRule="auto"/>
        <w:ind w:firstLine="420" w:firstLineChars="200"/>
        <w:rPr>
          <w:rFonts w:ascii="宋体" w:hAnsi="宋体" w:eastAsia="宋体" w:cs="宋体"/>
          <w:kern w:val="0"/>
          <w:sz w:val="24"/>
          <w:szCs w:val="24"/>
          <w:highlight w:val="none"/>
        </w:rPr>
      </w:pPr>
      <w:r>
        <w:rPr>
          <w:rFonts w:hint="eastAsia" w:ascii="宋体" w:hAnsi="宋体" w:eastAsia="宋体" w:cs="宋体"/>
          <w:kern w:val="0"/>
          <w:szCs w:val="21"/>
          <w:highlight w:val="none"/>
        </w:rPr>
        <w:t>磋商时，除价格得分外，磋商小组各成员将独立对每个有效磋商申请人的响应文件进行评价、打分，然后将每个磋商申请人各项评分因素的得分汇总后计算磋商小组各成员独立评分的算术平均值（保留2位小数），得出每个磋商申请人的最终得分。</w:t>
      </w:r>
    </w:p>
    <w:p w14:paraId="438D7336">
      <w:pPr>
        <w:pStyle w:val="39"/>
        <w:spacing w:line="360" w:lineRule="auto"/>
        <w:ind w:left="420" w:leftChars="200" w:firstLine="0" w:firstLineChars="0"/>
        <w:rPr>
          <w:rFonts w:ascii="宋体" w:hAnsi="宋体" w:eastAsia="宋体" w:cs="宋体"/>
          <w:b/>
          <w:bCs/>
          <w:kern w:val="0"/>
          <w:sz w:val="24"/>
          <w:szCs w:val="24"/>
          <w:highlight w:val="none"/>
        </w:rPr>
      </w:pPr>
      <w:bookmarkStart w:id="188" w:name="_Toc383175535"/>
      <w:bookmarkStart w:id="189" w:name="_Toc378499754"/>
      <w:bookmarkStart w:id="190" w:name="_Toc191374451"/>
      <w:bookmarkStart w:id="191" w:name="_Toc347849273"/>
      <w:bookmarkStart w:id="192" w:name="_Toc86124098"/>
      <w:r>
        <w:rPr>
          <w:rFonts w:hint="eastAsia" w:ascii="宋体" w:hAnsi="宋体" w:eastAsia="宋体" w:cs="宋体"/>
          <w:b/>
          <w:bCs/>
          <w:kern w:val="0"/>
          <w:sz w:val="24"/>
          <w:szCs w:val="24"/>
          <w:highlight w:val="none"/>
        </w:rPr>
        <w:t>五、磋商程序</w:t>
      </w:r>
      <w:bookmarkEnd w:id="188"/>
      <w:bookmarkEnd w:id="189"/>
      <w:bookmarkEnd w:id="190"/>
      <w:bookmarkEnd w:id="191"/>
      <w:bookmarkEnd w:id="192"/>
    </w:p>
    <w:p w14:paraId="511ACBBD">
      <w:pPr>
        <w:widowControl/>
        <w:spacing w:line="360" w:lineRule="auto"/>
        <w:ind w:firstLine="422" w:firstLineChars="200"/>
        <w:rPr>
          <w:rFonts w:ascii="宋体" w:hAnsi="宋体" w:eastAsia="宋体" w:cs="宋体"/>
          <w:b/>
          <w:bCs/>
          <w:kern w:val="0"/>
          <w:szCs w:val="21"/>
          <w:highlight w:val="none"/>
        </w:rPr>
      </w:pPr>
      <w:r>
        <w:rPr>
          <w:rFonts w:hint="eastAsia" w:ascii="宋体" w:hAnsi="宋体" w:eastAsia="宋体" w:cs="宋体"/>
          <w:b/>
          <w:bCs/>
          <w:kern w:val="0"/>
          <w:szCs w:val="21"/>
          <w:highlight w:val="none"/>
        </w:rPr>
        <w:t>资格审查→磋商过程</w:t>
      </w:r>
      <w:r>
        <w:rPr>
          <w:rFonts w:hint="eastAsia" w:ascii="宋体" w:hAnsi="宋体" w:eastAsia="宋体" w:cs="宋体"/>
          <w:b/>
          <w:bCs/>
          <w:szCs w:val="21"/>
          <w:highlight w:val="none"/>
        </w:rPr>
        <w:t>→</w:t>
      </w:r>
      <w:r>
        <w:rPr>
          <w:rFonts w:hint="eastAsia" w:ascii="宋体" w:hAnsi="宋体" w:eastAsia="宋体" w:cs="宋体"/>
          <w:b/>
          <w:bCs/>
          <w:kern w:val="0"/>
          <w:szCs w:val="21"/>
          <w:highlight w:val="none"/>
        </w:rPr>
        <w:t>在规定的时间内提交最终报价</w:t>
      </w:r>
      <w:r>
        <w:rPr>
          <w:rFonts w:hint="eastAsia" w:ascii="宋体" w:hAnsi="宋体" w:eastAsia="宋体" w:cs="宋体"/>
          <w:b/>
          <w:bCs/>
          <w:szCs w:val="21"/>
          <w:highlight w:val="none"/>
        </w:rPr>
        <w:t>→</w:t>
      </w:r>
      <w:r>
        <w:rPr>
          <w:rFonts w:hint="eastAsia" w:ascii="宋体" w:hAnsi="宋体" w:eastAsia="宋体" w:cs="宋体"/>
          <w:b/>
          <w:bCs/>
          <w:kern w:val="0"/>
          <w:szCs w:val="21"/>
          <w:highlight w:val="none"/>
        </w:rPr>
        <w:t>响应文件的编制符合性审查→响应文件的响应性评审→综合评估评分。</w:t>
      </w:r>
    </w:p>
    <w:p w14:paraId="6F385FEA">
      <w:pPr>
        <w:pStyle w:val="39"/>
        <w:widowControl/>
        <w:numPr>
          <w:ilvl w:val="0"/>
          <w:numId w:val="9"/>
        </w:numPr>
        <w:spacing w:line="360" w:lineRule="auto"/>
        <w:ind w:left="0" w:firstLine="420"/>
        <w:rPr>
          <w:rFonts w:ascii="宋体" w:hAnsi="宋体" w:eastAsia="宋体" w:cs="宋体"/>
          <w:kern w:val="0"/>
          <w:szCs w:val="21"/>
          <w:highlight w:val="none"/>
        </w:rPr>
      </w:pPr>
      <w:r>
        <w:rPr>
          <w:rFonts w:hint="eastAsia" w:ascii="宋体" w:hAnsi="宋体" w:eastAsia="宋体" w:cs="宋体"/>
          <w:kern w:val="0"/>
          <w:szCs w:val="21"/>
          <w:highlight w:val="none"/>
        </w:rPr>
        <w:t>磋商小组依据本章第2.1项规定的标准对磋商申请人提交的资格响应文件进行审查。只要有一项不符合磋商标准的，就不能通过审查，不再参与磋商。当资格审查通过的磋商申请人少于3家时，将终止本次竞争性磋商采购活动。</w:t>
      </w:r>
    </w:p>
    <w:p w14:paraId="5C3E1D19">
      <w:pPr>
        <w:pStyle w:val="39"/>
        <w:widowControl/>
        <w:numPr>
          <w:ilvl w:val="0"/>
          <w:numId w:val="9"/>
        </w:numPr>
        <w:spacing w:line="360" w:lineRule="auto"/>
        <w:ind w:left="0" w:firstLine="420"/>
        <w:rPr>
          <w:rFonts w:ascii="宋体" w:hAnsi="宋体" w:eastAsia="宋体" w:cs="宋体"/>
          <w:kern w:val="0"/>
          <w:szCs w:val="21"/>
          <w:highlight w:val="none"/>
        </w:rPr>
      </w:pPr>
      <w:r>
        <w:rPr>
          <w:rFonts w:hint="eastAsia" w:ascii="宋体" w:hAnsi="宋体" w:eastAsia="宋体" w:cs="宋体"/>
          <w:kern w:val="0"/>
          <w:szCs w:val="21"/>
          <w:highlight w:val="none"/>
        </w:rPr>
        <w:t>采购需求的审查以响应文件中所提供的“竞争性磋商分项报价表”中技术参数进行审查；响应文件中未提供相应资料的，按不实质性响应磋商文件处理。</w:t>
      </w:r>
    </w:p>
    <w:p w14:paraId="1130B459">
      <w:pPr>
        <w:pStyle w:val="39"/>
        <w:spacing w:line="360" w:lineRule="auto"/>
        <w:ind w:left="420" w:leftChars="200" w:firstLine="0" w:firstLineChars="0"/>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六、磋商标准</w:t>
      </w:r>
    </w:p>
    <w:p w14:paraId="50914CAB">
      <w:pPr>
        <w:pStyle w:val="39"/>
        <w:widowControl/>
        <w:numPr>
          <w:ilvl w:val="0"/>
          <w:numId w:val="10"/>
        </w:numPr>
        <w:spacing w:line="360" w:lineRule="auto"/>
        <w:ind w:firstLineChars="0"/>
        <w:rPr>
          <w:rFonts w:ascii="宋体" w:hAnsi="宋体" w:eastAsia="宋体" w:cs="宋体"/>
          <w:kern w:val="0"/>
          <w:szCs w:val="21"/>
          <w:highlight w:val="none"/>
        </w:rPr>
      </w:pPr>
      <w:r>
        <w:rPr>
          <w:rFonts w:hint="eastAsia" w:ascii="宋体" w:hAnsi="宋体" w:eastAsia="宋体" w:cs="宋体"/>
          <w:kern w:val="0"/>
          <w:szCs w:val="21"/>
          <w:highlight w:val="none"/>
        </w:rPr>
        <w:t>审查标准</w:t>
      </w:r>
    </w:p>
    <w:p w14:paraId="13F70A14">
      <w:pPr>
        <w:widowControl/>
        <w:spacing w:line="360"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审查标准：依据法律法规和磋商文件的规定，对响应文件中的资格证明、服务要求等实质性要求审查标准进行审查，见“磋商程序和方法前附表”。</w:t>
      </w:r>
    </w:p>
    <w:p w14:paraId="68B4F7C7">
      <w:pPr>
        <w:pStyle w:val="39"/>
        <w:widowControl/>
        <w:numPr>
          <w:ilvl w:val="0"/>
          <w:numId w:val="10"/>
        </w:numPr>
        <w:spacing w:line="360" w:lineRule="auto"/>
        <w:ind w:firstLineChars="0"/>
        <w:rPr>
          <w:rFonts w:ascii="宋体" w:hAnsi="宋体" w:eastAsia="宋体" w:cs="宋体"/>
          <w:kern w:val="0"/>
          <w:szCs w:val="21"/>
          <w:highlight w:val="none"/>
        </w:rPr>
      </w:pPr>
      <w:r>
        <w:rPr>
          <w:rFonts w:hint="eastAsia" w:ascii="宋体" w:hAnsi="宋体" w:eastAsia="宋体" w:cs="宋体"/>
          <w:kern w:val="0"/>
          <w:szCs w:val="21"/>
          <w:highlight w:val="none"/>
        </w:rPr>
        <w:t>磋商标准</w:t>
      </w:r>
    </w:p>
    <w:p w14:paraId="36107049">
      <w:pPr>
        <w:pStyle w:val="39"/>
        <w:widowControl/>
        <w:numPr>
          <w:ilvl w:val="0"/>
          <w:numId w:val="11"/>
        </w:numPr>
        <w:spacing w:line="360" w:lineRule="auto"/>
        <w:ind w:left="0" w:firstLine="420"/>
        <w:rPr>
          <w:rFonts w:ascii="宋体" w:hAnsi="宋体" w:eastAsia="宋体" w:cs="宋体"/>
          <w:kern w:val="0"/>
          <w:szCs w:val="21"/>
          <w:highlight w:val="none"/>
        </w:rPr>
      </w:pPr>
      <w:r>
        <w:rPr>
          <w:rFonts w:hint="eastAsia" w:ascii="宋体" w:hAnsi="宋体" w:eastAsia="宋体" w:cs="宋体"/>
          <w:kern w:val="0"/>
          <w:szCs w:val="21"/>
          <w:highlight w:val="none"/>
        </w:rPr>
        <w:t>磋商申请人只有通过资格审查才能进行磋商过程及提交最终报价（第二轮磋商报价）及详细评审。</w:t>
      </w:r>
    </w:p>
    <w:p w14:paraId="4E47255D">
      <w:pPr>
        <w:pStyle w:val="39"/>
        <w:widowControl/>
        <w:numPr>
          <w:ilvl w:val="0"/>
          <w:numId w:val="11"/>
        </w:numPr>
        <w:spacing w:line="360" w:lineRule="auto"/>
        <w:ind w:left="0" w:firstLine="420"/>
        <w:rPr>
          <w:rFonts w:ascii="宋体" w:hAnsi="宋体" w:eastAsia="宋体" w:cs="宋体"/>
          <w:kern w:val="0"/>
          <w:szCs w:val="21"/>
          <w:highlight w:val="none"/>
        </w:rPr>
      </w:pPr>
      <w:r>
        <w:rPr>
          <w:rFonts w:hint="eastAsia" w:ascii="宋体" w:hAnsi="宋体" w:eastAsia="宋体" w:cs="宋体"/>
          <w:kern w:val="0"/>
          <w:szCs w:val="21"/>
          <w:highlight w:val="none"/>
        </w:rPr>
        <w:t>第二轮磋商报价为磋商申请人的最终报价。若磋商申请人最终报价超过预算价，按无效响应文件处理。</w:t>
      </w:r>
    </w:p>
    <w:p w14:paraId="4A495090">
      <w:pPr>
        <w:pStyle w:val="39"/>
        <w:widowControl/>
        <w:numPr>
          <w:ilvl w:val="0"/>
          <w:numId w:val="11"/>
        </w:numPr>
        <w:spacing w:line="360" w:lineRule="auto"/>
        <w:ind w:left="0" w:firstLine="420"/>
        <w:rPr>
          <w:rFonts w:ascii="宋体" w:hAnsi="宋体" w:eastAsia="宋体" w:cs="宋体"/>
          <w:kern w:val="0"/>
          <w:szCs w:val="21"/>
          <w:highlight w:val="none"/>
        </w:rPr>
      </w:pPr>
      <w:r>
        <w:rPr>
          <w:rFonts w:hint="eastAsia" w:ascii="宋体" w:hAnsi="宋体" w:eastAsia="宋体" w:cs="宋体"/>
          <w:kern w:val="0"/>
          <w:szCs w:val="21"/>
          <w:highlight w:val="none"/>
        </w:rPr>
        <w:t>磋商小组对各磋商申请人的响应文件进行详细评审。磋商小组按照得分的高低推荐成交候选人，推荐成交候选人1-3人，并标明排列顺序。</w:t>
      </w:r>
    </w:p>
    <w:p w14:paraId="3EA7357A">
      <w:pPr>
        <w:pStyle w:val="39"/>
        <w:spacing w:line="360" w:lineRule="auto"/>
        <w:ind w:left="420" w:leftChars="200" w:firstLine="0" w:firstLineChars="0"/>
        <w:rPr>
          <w:rFonts w:ascii="宋体" w:hAnsi="宋体" w:eastAsia="宋体" w:cs="宋体"/>
          <w:b/>
          <w:bCs/>
          <w:kern w:val="0"/>
          <w:sz w:val="24"/>
          <w:szCs w:val="24"/>
          <w:highlight w:val="none"/>
        </w:rPr>
      </w:pPr>
      <w:bookmarkStart w:id="193" w:name="_Toc48271433"/>
      <w:bookmarkStart w:id="194" w:name="_Toc347849275"/>
      <w:bookmarkStart w:id="195" w:name="_Toc329810241"/>
      <w:bookmarkStart w:id="196" w:name="_Toc378499756"/>
      <w:bookmarkStart w:id="197" w:name="_Toc383175537"/>
      <w:bookmarkStart w:id="198" w:name="_Toc191374454"/>
      <w:bookmarkStart w:id="199" w:name="_Toc86124101"/>
      <w:r>
        <w:rPr>
          <w:rFonts w:hint="eastAsia" w:ascii="宋体" w:hAnsi="宋体" w:eastAsia="宋体" w:cs="宋体"/>
          <w:b/>
          <w:bCs/>
          <w:kern w:val="0"/>
          <w:sz w:val="24"/>
          <w:szCs w:val="24"/>
          <w:highlight w:val="none"/>
        </w:rPr>
        <w:t>七、磋商</w:t>
      </w:r>
      <w:bookmarkEnd w:id="193"/>
      <w:r>
        <w:rPr>
          <w:rFonts w:hint="eastAsia" w:ascii="宋体" w:hAnsi="宋体" w:eastAsia="宋体" w:cs="宋体"/>
          <w:b/>
          <w:bCs/>
          <w:kern w:val="0"/>
          <w:sz w:val="24"/>
          <w:szCs w:val="24"/>
          <w:highlight w:val="none"/>
        </w:rPr>
        <w:t>、比较与评价</w:t>
      </w:r>
      <w:bookmarkEnd w:id="194"/>
      <w:bookmarkEnd w:id="195"/>
      <w:bookmarkEnd w:id="196"/>
      <w:bookmarkEnd w:id="197"/>
    </w:p>
    <w:p w14:paraId="1C1BC46C">
      <w:pPr>
        <w:pStyle w:val="39"/>
        <w:widowControl/>
        <w:numPr>
          <w:ilvl w:val="0"/>
          <w:numId w:val="12"/>
        </w:numPr>
        <w:spacing w:line="360" w:lineRule="auto"/>
        <w:ind w:left="0" w:firstLine="420"/>
        <w:rPr>
          <w:rFonts w:ascii="宋体" w:hAnsi="宋体" w:eastAsia="宋体" w:cs="宋体"/>
          <w:kern w:val="0"/>
          <w:szCs w:val="21"/>
          <w:highlight w:val="none"/>
        </w:rPr>
      </w:pPr>
      <w:r>
        <w:rPr>
          <w:rFonts w:hint="eastAsia" w:ascii="宋体" w:hAnsi="宋体" w:eastAsia="宋体" w:cs="宋体"/>
          <w:kern w:val="0"/>
          <w:szCs w:val="21"/>
          <w:highlight w:val="none"/>
        </w:rPr>
        <w:t>磋商小组所有成员集中与通过资格审查的单一磋商申请人分别进行磋商。在磋商中，磋商的任何一方不得透露与磋商有关的其他磋商申请人的技术资料、价格、折扣和其他信息。</w:t>
      </w:r>
    </w:p>
    <w:p w14:paraId="56B14399">
      <w:pPr>
        <w:pStyle w:val="39"/>
        <w:widowControl/>
        <w:numPr>
          <w:ilvl w:val="0"/>
          <w:numId w:val="12"/>
        </w:numPr>
        <w:spacing w:line="360" w:lineRule="auto"/>
        <w:ind w:left="0" w:firstLine="420"/>
        <w:rPr>
          <w:rFonts w:ascii="宋体" w:hAnsi="宋体" w:eastAsia="宋体" w:cs="宋体"/>
          <w:kern w:val="0"/>
          <w:szCs w:val="21"/>
          <w:highlight w:val="none"/>
        </w:rPr>
      </w:pPr>
      <w:r>
        <w:rPr>
          <w:rFonts w:hint="eastAsia" w:ascii="宋体" w:hAnsi="宋体" w:eastAsia="宋体" w:cs="宋体"/>
          <w:kern w:val="0"/>
          <w:szCs w:val="21"/>
          <w:highlight w:val="none"/>
        </w:rPr>
        <w:t>磋商文件有实质性变动的，磋商小组将经采购人代表确认后，以书面形式通知所有参加磋商的磋商申请人。但不得对涉及竞争的公平、公正性内容进行修改、变动。</w:t>
      </w:r>
    </w:p>
    <w:p w14:paraId="68FA79FE">
      <w:pPr>
        <w:pStyle w:val="39"/>
        <w:widowControl/>
        <w:numPr>
          <w:ilvl w:val="0"/>
          <w:numId w:val="12"/>
        </w:numPr>
        <w:spacing w:line="360" w:lineRule="auto"/>
        <w:ind w:left="0" w:firstLine="420"/>
        <w:rPr>
          <w:rFonts w:ascii="宋体" w:hAnsi="宋体" w:eastAsia="宋体" w:cs="宋体"/>
          <w:kern w:val="0"/>
          <w:szCs w:val="21"/>
          <w:highlight w:val="none"/>
        </w:rPr>
      </w:pPr>
      <w:r>
        <w:rPr>
          <w:rFonts w:hint="eastAsia" w:ascii="宋体" w:hAnsi="宋体" w:eastAsia="宋体" w:cs="宋体"/>
          <w:kern w:val="0"/>
          <w:szCs w:val="21"/>
          <w:highlight w:val="none"/>
        </w:rPr>
        <w:t>为有助于对响应文件的详细审查、评价和比较，磋商小组可要求对磋商申请人分别进行技术询问、澄清，有关要求和答复均现场进行。</w:t>
      </w:r>
    </w:p>
    <w:p w14:paraId="49297CDE">
      <w:pPr>
        <w:pStyle w:val="39"/>
        <w:widowControl/>
        <w:numPr>
          <w:ilvl w:val="0"/>
          <w:numId w:val="12"/>
        </w:numPr>
        <w:spacing w:line="360" w:lineRule="auto"/>
        <w:ind w:left="0" w:firstLine="420"/>
        <w:rPr>
          <w:rFonts w:ascii="宋体" w:hAnsi="宋体" w:eastAsia="宋体" w:cs="宋体"/>
          <w:kern w:val="0"/>
          <w:szCs w:val="21"/>
          <w:highlight w:val="none"/>
        </w:rPr>
      </w:pPr>
      <w:r>
        <w:rPr>
          <w:rFonts w:hint="eastAsia" w:ascii="宋体" w:hAnsi="宋体" w:eastAsia="宋体" w:cs="宋体"/>
          <w:kern w:val="0"/>
          <w:szCs w:val="21"/>
          <w:highlight w:val="none"/>
        </w:rPr>
        <w:t>磋商小组在对响应文件的有效性、完整性和响应程度进行审查时，可以要求磋商申请人对响应文件中含义不明确、同类问题表述不一致或者有明显文字和计算错误的内容等作出必要的澄清、说明或者更正。磋商申请人的澄清、说明或者更正不得超出响应文件的范围或者改变响应文件的实质性内容。磋商小组要求磋商申请人澄清、说明或者更正响应文件应当以书面形式作出。磋商申请人的澄清、说明或者更正应当由法定代表人或其授权代表签字或者加盖公章。由授权代表签字的，应当附法定代表人授权书。磋商申请人为自然人的，应当由本人签字并附身份证明。</w:t>
      </w:r>
    </w:p>
    <w:p w14:paraId="7679F107">
      <w:pPr>
        <w:pStyle w:val="39"/>
        <w:widowControl/>
        <w:numPr>
          <w:ilvl w:val="0"/>
          <w:numId w:val="12"/>
        </w:numPr>
        <w:spacing w:line="360" w:lineRule="auto"/>
        <w:ind w:left="0" w:firstLine="420"/>
        <w:rPr>
          <w:rFonts w:ascii="宋体" w:hAnsi="宋体" w:eastAsia="宋体" w:cs="宋体"/>
          <w:kern w:val="0"/>
          <w:szCs w:val="21"/>
          <w:highlight w:val="none"/>
        </w:rPr>
      </w:pPr>
      <w:r>
        <w:rPr>
          <w:rFonts w:hint="eastAsia" w:ascii="宋体" w:hAnsi="宋体" w:eastAsia="宋体" w:cs="宋体"/>
          <w:kern w:val="0"/>
          <w:szCs w:val="21"/>
          <w:highlight w:val="none"/>
        </w:rPr>
        <w:t>磋商小组对磋商申请人提交的澄清、说明有疑问的，可以要求磋商申请人进一步澄清、说明。磋商小组要求磋商申请人澄清、说明或者更正响应文件应当以书面形式作出。磋商申请人的澄清、说明或者更正应当由法定代表人或其授权代表签字或者加盖公章。</w:t>
      </w:r>
    </w:p>
    <w:p w14:paraId="5B62C45E">
      <w:pPr>
        <w:pStyle w:val="39"/>
        <w:widowControl/>
        <w:numPr>
          <w:ilvl w:val="0"/>
          <w:numId w:val="12"/>
        </w:numPr>
        <w:spacing w:line="360" w:lineRule="auto"/>
        <w:ind w:left="0" w:firstLine="420"/>
        <w:rPr>
          <w:rFonts w:ascii="宋体" w:hAnsi="宋体" w:eastAsia="宋体" w:cs="宋体"/>
          <w:kern w:val="0"/>
          <w:szCs w:val="21"/>
          <w:highlight w:val="none"/>
        </w:rPr>
      </w:pPr>
      <w:r>
        <w:rPr>
          <w:rFonts w:hint="eastAsia" w:ascii="宋体" w:hAnsi="宋体" w:eastAsia="宋体" w:cs="宋体"/>
          <w:kern w:val="0"/>
          <w:szCs w:val="21"/>
          <w:highlight w:val="none"/>
        </w:rPr>
        <w:t>磋商结束后，磋商小组将要求所有继续参加磋商的磋商申请人在规定时间内提交最后报价，提交最后报价的磋商申请人不得少于3家。</w:t>
      </w:r>
    </w:p>
    <w:p w14:paraId="724E0B3D">
      <w:pPr>
        <w:pStyle w:val="39"/>
        <w:widowControl/>
        <w:numPr>
          <w:ilvl w:val="0"/>
          <w:numId w:val="12"/>
        </w:numPr>
        <w:spacing w:line="360" w:lineRule="auto"/>
        <w:ind w:left="0" w:firstLine="420"/>
        <w:rPr>
          <w:rFonts w:ascii="宋体" w:hAnsi="宋体" w:eastAsia="宋体" w:cs="宋体"/>
          <w:kern w:val="0"/>
          <w:szCs w:val="21"/>
          <w:highlight w:val="none"/>
        </w:rPr>
      </w:pPr>
      <w:r>
        <w:rPr>
          <w:rFonts w:hint="eastAsia" w:ascii="宋体" w:hAnsi="宋体" w:eastAsia="宋体" w:cs="宋体"/>
          <w:kern w:val="0"/>
          <w:szCs w:val="21"/>
          <w:highlight w:val="none"/>
        </w:rPr>
        <w:t>磋商小组成员要依法独立审查，并对审查意见承担个人责任。磋商小组成员对需要共同认定的事项存在争议的，按照少数服从多数的原则作出结论。</w:t>
      </w:r>
    </w:p>
    <w:p w14:paraId="7A1DAA00">
      <w:pPr>
        <w:pStyle w:val="39"/>
        <w:widowControl/>
        <w:numPr>
          <w:ilvl w:val="0"/>
          <w:numId w:val="12"/>
        </w:numPr>
        <w:spacing w:line="360" w:lineRule="auto"/>
        <w:ind w:left="0" w:firstLine="420"/>
        <w:rPr>
          <w:rFonts w:ascii="宋体" w:hAnsi="宋体" w:eastAsia="宋体" w:cs="宋体"/>
          <w:kern w:val="0"/>
          <w:sz w:val="24"/>
          <w:szCs w:val="24"/>
          <w:highlight w:val="none"/>
        </w:rPr>
      </w:pPr>
      <w:r>
        <w:rPr>
          <w:rFonts w:hint="eastAsia" w:ascii="宋体" w:hAnsi="宋体" w:eastAsia="宋体" w:cs="宋体"/>
          <w:kern w:val="0"/>
          <w:szCs w:val="21"/>
          <w:highlight w:val="none"/>
        </w:rP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3EE33D7">
      <w:pPr>
        <w:pStyle w:val="39"/>
        <w:spacing w:line="360" w:lineRule="auto"/>
        <w:ind w:left="420" w:leftChars="200" w:firstLine="0" w:firstLineChars="0"/>
        <w:rPr>
          <w:rFonts w:ascii="宋体" w:hAnsi="宋体" w:eastAsia="宋体" w:cs="宋体"/>
          <w:b/>
          <w:bCs/>
          <w:kern w:val="0"/>
          <w:sz w:val="24"/>
          <w:szCs w:val="24"/>
          <w:highlight w:val="none"/>
        </w:rPr>
      </w:pPr>
      <w:bookmarkStart w:id="200" w:name="_Toc378499757"/>
      <w:bookmarkStart w:id="201" w:name="_Toc383175538"/>
      <w:bookmarkStart w:id="202" w:name="_Toc329810242"/>
      <w:bookmarkStart w:id="203" w:name="_Toc347849276"/>
      <w:bookmarkStart w:id="204" w:name="_Toc7252792"/>
      <w:r>
        <w:rPr>
          <w:rFonts w:hint="eastAsia" w:ascii="宋体" w:hAnsi="宋体" w:eastAsia="宋体" w:cs="宋体"/>
          <w:b/>
          <w:bCs/>
          <w:kern w:val="0"/>
          <w:sz w:val="24"/>
          <w:szCs w:val="24"/>
          <w:highlight w:val="none"/>
        </w:rPr>
        <w:t>八、磋商结果</w:t>
      </w:r>
      <w:bookmarkEnd w:id="200"/>
      <w:bookmarkEnd w:id="201"/>
      <w:bookmarkEnd w:id="202"/>
      <w:bookmarkEnd w:id="203"/>
      <w:bookmarkEnd w:id="204"/>
    </w:p>
    <w:bookmarkEnd w:id="198"/>
    <w:bookmarkEnd w:id="199"/>
    <w:p w14:paraId="7E7BCA00">
      <w:pPr>
        <w:widowControl/>
        <w:spacing w:line="360" w:lineRule="auto"/>
        <w:ind w:firstLine="420" w:firstLineChars="200"/>
        <w:rPr>
          <w:highlight w:val="none"/>
        </w:rPr>
      </w:pPr>
      <w:r>
        <w:rPr>
          <w:rFonts w:hint="eastAsia" w:ascii="宋体" w:hAnsi="宋体" w:eastAsia="宋体" w:cs="宋体"/>
          <w:kern w:val="0"/>
          <w:szCs w:val="21"/>
          <w:highlight w:val="none"/>
        </w:rPr>
        <w:t>磋商小组对各磋商申请人的响应文件进行详细评审。磋商小组按照得分的高低推荐成交候选人，推荐成交候选人1-3人，并标明排列顺序。</w:t>
      </w:r>
    </w:p>
    <w:sectPr>
      <w:pgSz w:w="11906" w:h="16838"/>
      <w:pgMar w:top="936" w:right="1134" w:bottom="1089"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MT">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18030">
    <w:altName w:val="微软雅黑"/>
    <w:panose1 w:val="00000000000000000000"/>
    <w:charset w:val="86"/>
    <w:family w:val="modern"/>
    <w:pitch w:val="default"/>
    <w:sig w:usb0="00000000" w:usb1="00000000" w:usb2="000A005E"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A0170">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3618662"/>
                          </w:sdtPr>
                          <w:sdtContent>
                            <w:p w14:paraId="259E3990">
                              <w:pPr>
                                <w:pStyle w:val="18"/>
                                <w:jc w:val="center"/>
                              </w:pPr>
                            </w:p>
                          </w:sdtContent>
                        </w:sdt>
                        <w:p w14:paraId="428DD3C7">
                          <w:pPr>
                            <w:pStyle w:val="3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id w:val="3618662"/>
                    </w:sdtPr>
                    <w:sdtContent>
                      <w:p w14:paraId="259E3990">
                        <w:pPr>
                          <w:pStyle w:val="18"/>
                          <w:jc w:val="center"/>
                        </w:pPr>
                      </w:p>
                    </w:sdtContent>
                  </w:sdt>
                  <w:p w14:paraId="428DD3C7">
                    <w:pPr>
                      <w:pStyle w:val="34"/>
                    </w:pPr>
                  </w:p>
                </w:txbxContent>
              </v:textbox>
            </v:shape>
          </w:pict>
        </mc:Fallback>
      </mc:AlternateContent>
    </w:r>
  </w:p>
  <w:p w14:paraId="4046A36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3F09D">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858700">
                          <w:pPr>
                            <w:pStyle w:val="1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75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03858700">
                    <w:pPr>
                      <w:pStyle w:val="1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75</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ABB25">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00727F">
                          <w:pPr>
                            <w:pStyle w:val="18"/>
                          </w:pPr>
                          <w:r>
                            <w:fldChar w:fldCharType="begin"/>
                          </w:r>
                          <w:r>
                            <w:instrText xml:space="preserve"> PAGE  \* MERGEFORMAT </w:instrText>
                          </w:r>
                          <w:r>
                            <w:fldChar w:fldCharType="separate"/>
                          </w:r>
                          <w:r>
                            <w:t>76</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14:paraId="4000727F">
                    <w:pPr>
                      <w:pStyle w:val="18"/>
                    </w:pPr>
                    <w:r>
                      <w:fldChar w:fldCharType="begin"/>
                    </w:r>
                    <w:r>
                      <w:instrText xml:space="preserve"> PAGE  \* MERGEFORMAT </w:instrText>
                    </w:r>
                    <w:r>
                      <w:fldChar w:fldCharType="separate"/>
                    </w:r>
                    <w:r>
                      <w:t>76</w:t>
                    </w:r>
                    <w:r>
                      <w:fldChar w:fldCharType="end"/>
                    </w:r>
                  </w:p>
                </w:txbxContent>
              </v:textbox>
            </v:shape>
          </w:pict>
        </mc:Fallback>
      </mc:AlternateContent>
    </w:r>
  </w:p>
  <w:p w14:paraId="5AA56BE4">
    <w:pPr>
      <w:pStyle w:val="18"/>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64099">
    <w:pPr>
      <w:pStyle w:val="20"/>
      <w:jc w:val="both"/>
      <w:rPr>
        <w:rFonts w:hint="eastAsia" w:eastAsia="宋体"/>
        <w:sz w:val="15"/>
        <w:szCs w:val="15"/>
        <w:lang w:eastAsia="zh-CN"/>
      </w:rPr>
    </w:pPr>
    <w:r>
      <w:rPr>
        <w:rFonts w:hint="eastAsia" w:ascii="宋体" w:hAnsi="宋体" w:eastAsia="宋体" w:cs="宋体"/>
        <w:sz w:val="15"/>
        <w:szCs w:val="15"/>
        <w:lang w:eastAsia="zh-CN"/>
      </w:rPr>
      <w:t>保山市隆阳区瓦房乡中心学校校园安全安保服务</w:t>
    </w:r>
    <w:r>
      <w:rPr>
        <w:rFonts w:hint="eastAsia" w:ascii="宋体" w:hAnsi="宋体" w:eastAsia="宋体" w:cs="宋体"/>
        <w:sz w:val="15"/>
        <w:szCs w:val="15"/>
      </w:rPr>
      <w:t xml:space="preserve">竞争性磋商文件              </w:t>
    </w:r>
    <w:r>
      <w:rPr>
        <w:rFonts w:hint="eastAsia" w:ascii="宋体" w:hAnsi="宋体" w:eastAsia="宋体" w:cs="宋体"/>
        <w:sz w:val="15"/>
        <w:szCs w:val="15"/>
        <w:lang w:val="en-US" w:eastAsia="zh-CN"/>
      </w:rPr>
      <w:t xml:space="preserve">                                  </w:t>
    </w:r>
    <w:r>
      <w:rPr>
        <w:rFonts w:hint="eastAsia" w:ascii="宋体" w:hAnsi="宋体" w:eastAsia="宋体"/>
        <w:sz w:val="15"/>
        <w:szCs w:val="15"/>
        <w:lang w:eastAsia="zh-CN"/>
      </w:rPr>
      <w:t>项目</w:t>
    </w:r>
    <w:r>
      <w:rPr>
        <w:rFonts w:hint="eastAsia" w:ascii="宋体" w:hAnsi="宋体" w:eastAsia="宋体"/>
        <w:sz w:val="15"/>
        <w:szCs w:val="15"/>
      </w:rPr>
      <w:t>编号：</w:t>
    </w:r>
    <w:r>
      <w:rPr>
        <w:rFonts w:hint="eastAsia" w:ascii="宋体" w:hAnsi="宋体" w:eastAsia="宋体"/>
        <w:sz w:val="15"/>
        <w:szCs w:val="15"/>
        <w:lang w:eastAsia="zh-CN"/>
      </w:rPr>
      <w:t>YNRTZB-2026-006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7BFE2">
    <w:pPr>
      <w:pStyle w:val="20"/>
    </w:pPr>
    <w:r>
      <w:rPr>
        <w:rFonts w:hint="eastAsia" w:ascii="宋体" w:hAnsi="宋体" w:eastAsia="宋体" w:cs="宋体"/>
        <w:sz w:val="15"/>
        <w:szCs w:val="15"/>
      </w:rPr>
      <w:t>保山中医医院视频监控系统项目竞争性磋商文件</w:t>
    </w:r>
    <w:r>
      <w:rPr>
        <w:rFonts w:hint="eastAsia" w:ascii="宋体" w:hAnsi="宋体" w:eastAsia="宋体"/>
        <w:sz w:val="15"/>
        <w:szCs w:val="15"/>
      </w:rPr>
      <w:t>采购编号：TRZBC2020-07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DAD01">
    <w:pPr>
      <w:pStyle w:val="20"/>
      <w:jc w:val="both"/>
      <w:rPr>
        <w:rFonts w:hint="eastAsia" w:eastAsia="宋体"/>
        <w:sz w:val="15"/>
        <w:szCs w:val="15"/>
        <w:lang w:eastAsia="zh-CN"/>
      </w:rPr>
    </w:pPr>
    <w:r>
      <w:rPr>
        <w:rFonts w:hint="eastAsia" w:ascii="宋体" w:hAnsi="宋体" w:eastAsia="宋体" w:cs="宋体"/>
        <w:sz w:val="15"/>
        <w:szCs w:val="15"/>
        <w:lang w:eastAsia="zh-CN"/>
      </w:rPr>
      <w:t>保山市隆阳区瓦房乡中心学校校园安全安保服务</w:t>
    </w:r>
    <w:r>
      <w:rPr>
        <w:rFonts w:hint="eastAsia" w:ascii="宋体" w:hAnsi="宋体" w:eastAsia="宋体" w:cs="宋体"/>
        <w:sz w:val="15"/>
        <w:szCs w:val="15"/>
      </w:rPr>
      <w:t xml:space="preserve">竞争性磋商文件              </w:t>
    </w:r>
    <w:r>
      <w:rPr>
        <w:rFonts w:hint="eastAsia" w:ascii="宋体" w:hAnsi="宋体" w:eastAsia="宋体" w:cs="宋体"/>
        <w:sz w:val="15"/>
        <w:szCs w:val="15"/>
        <w:lang w:val="en-US" w:eastAsia="zh-CN"/>
      </w:rPr>
      <w:t xml:space="preserve">                           </w:t>
    </w:r>
    <w:r>
      <w:rPr>
        <w:rFonts w:hint="eastAsia" w:ascii="宋体" w:hAnsi="宋体" w:eastAsia="宋体"/>
        <w:sz w:val="15"/>
        <w:szCs w:val="15"/>
        <w:lang w:eastAsia="zh-CN"/>
      </w:rPr>
      <w:t>项目</w:t>
    </w:r>
    <w:r>
      <w:rPr>
        <w:rFonts w:hint="eastAsia" w:ascii="宋体" w:hAnsi="宋体" w:eastAsia="宋体"/>
        <w:sz w:val="15"/>
        <w:szCs w:val="15"/>
      </w:rPr>
      <w:t>编号：</w:t>
    </w:r>
    <w:r>
      <w:rPr>
        <w:rFonts w:hint="eastAsia" w:ascii="宋体" w:hAnsi="宋体" w:eastAsia="宋体"/>
        <w:sz w:val="15"/>
        <w:szCs w:val="15"/>
        <w:lang w:eastAsia="zh-CN"/>
      </w:rPr>
      <w:t>YNRTZB-2026-006</w:t>
    </w:r>
  </w:p>
  <w:p w14:paraId="39356AC4">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4BA73"/>
    <w:multiLevelType w:val="singleLevel"/>
    <w:tmpl w:val="A2E4BA73"/>
    <w:lvl w:ilvl="0" w:tentative="0">
      <w:start w:val="4"/>
      <w:numFmt w:val="chineseCounting"/>
      <w:suff w:val="space"/>
      <w:lvlText w:val="第%1章"/>
      <w:lvlJc w:val="left"/>
      <w:rPr>
        <w:rFonts w:hint="eastAsia"/>
      </w:rPr>
    </w:lvl>
  </w:abstractNum>
  <w:abstractNum w:abstractNumId="1">
    <w:nsid w:val="B1431CB3"/>
    <w:multiLevelType w:val="multilevel"/>
    <w:tmpl w:val="B1431CB3"/>
    <w:lvl w:ilvl="0" w:tentative="0">
      <w:start w:val="3"/>
      <w:numFmt w:val="decimal"/>
      <w:suff w:val="space"/>
      <w:lvlText w:val="%1."/>
      <w:lvlJc w:val="left"/>
      <w:pPr>
        <w:ind w:left="-4"/>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D6FE2A6B"/>
    <w:multiLevelType w:val="singleLevel"/>
    <w:tmpl w:val="D6FE2A6B"/>
    <w:lvl w:ilvl="0" w:tentative="0">
      <w:start w:val="1"/>
      <w:numFmt w:val="decimal"/>
      <w:lvlText w:val="%1."/>
      <w:lvlJc w:val="left"/>
      <w:pPr>
        <w:ind w:left="425" w:hanging="425"/>
      </w:pPr>
      <w:rPr>
        <w:rFonts w:hint="default"/>
      </w:rPr>
    </w:lvl>
  </w:abstractNum>
  <w:abstractNum w:abstractNumId="3">
    <w:nsid w:val="04252575"/>
    <w:multiLevelType w:val="multilevel"/>
    <w:tmpl w:val="04252575"/>
    <w:lvl w:ilvl="0" w:tentative="0">
      <w:start w:val="21"/>
      <w:numFmt w:val="decimal"/>
      <w:lvlText w:val="%1"/>
      <w:lvlJc w:val="left"/>
      <w:pPr>
        <w:ind w:left="420" w:hanging="420"/>
      </w:pPr>
      <w:rPr>
        <w:rFonts w:hint="default" w:cs="宋体"/>
      </w:rPr>
    </w:lvl>
    <w:lvl w:ilvl="1" w:tentative="0">
      <w:start w:val="1"/>
      <w:numFmt w:val="decimal"/>
      <w:lvlText w:val="%1.%2"/>
      <w:lvlJc w:val="left"/>
      <w:pPr>
        <w:ind w:left="420" w:hanging="420"/>
      </w:pPr>
      <w:rPr>
        <w:rFonts w:hint="default" w:cs="宋体"/>
      </w:rPr>
    </w:lvl>
    <w:lvl w:ilvl="2" w:tentative="0">
      <w:start w:val="1"/>
      <w:numFmt w:val="decimal"/>
      <w:lvlText w:val="%1.%2.%3"/>
      <w:lvlJc w:val="left"/>
      <w:pPr>
        <w:ind w:left="720" w:hanging="720"/>
      </w:pPr>
      <w:rPr>
        <w:rFonts w:hint="default" w:cs="宋体"/>
      </w:rPr>
    </w:lvl>
    <w:lvl w:ilvl="3" w:tentative="0">
      <w:start w:val="1"/>
      <w:numFmt w:val="decimal"/>
      <w:lvlText w:val="%1.%2.%3.%4"/>
      <w:lvlJc w:val="left"/>
      <w:pPr>
        <w:ind w:left="1080" w:hanging="1080"/>
      </w:pPr>
      <w:rPr>
        <w:rFonts w:hint="default" w:cs="宋体"/>
      </w:rPr>
    </w:lvl>
    <w:lvl w:ilvl="4" w:tentative="0">
      <w:start w:val="1"/>
      <w:numFmt w:val="decimal"/>
      <w:lvlText w:val="%1.%2.%3.%4.%5"/>
      <w:lvlJc w:val="left"/>
      <w:pPr>
        <w:ind w:left="1080" w:hanging="1080"/>
      </w:pPr>
      <w:rPr>
        <w:rFonts w:hint="default" w:cs="宋体"/>
      </w:rPr>
    </w:lvl>
    <w:lvl w:ilvl="5" w:tentative="0">
      <w:start w:val="1"/>
      <w:numFmt w:val="decimal"/>
      <w:lvlText w:val="%1.%2.%3.%4.%5.%6"/>
      <w:lvlJc w:val="left"/>
      <w:pPr>
        <w:ind w:left="1440" w:hanging="1440"/>
      </w:pPr>
      <w:rPr>
        <w:rFonts w:hint="default" w:cs="宋体"/>
      </w:rPr>
    </w:lvl>
    <w:lvl w:ilvl="6" w:tentative="0">
      <w:start w:val="1"/>
      <w:numFmt w:val="decimal"/>
      <w:lvlText w:val="%1.%2.%3.%4.%5.%6.%7"/>
      <w:lvlJc w:val="left"/>
      <w:pPr>
        <w:ind w:left="1440" w:hanging="1440"/>
      </w:pPr>
      <w:rPr>
        <w:rFonts w:hint="default" w:cs="宋体"/>
      </w:rPr>
    </w:lvl>
    <w:lvl w:ilvl="7" w:tentative="0">
      <w:start w:val="1"/>
      <w:numFmt w:val="decimal"/>
      <w:lvlText w:val="%1.%2.%3.%4.%5.%6.%7.%8"/>
      <w:lvlJc w:val="left"/>
      <w:pPr>
        <w:ind w:left="1800" w:hanging="1800"/>
      </w:pPr>
      <w:rPr>
        <w:rFonts w:hint="default" w:cs="宋体"/>
      </w:rPr>
    </w:lvl>
    <w:lvl w:ilvl="8" w:tentative="0">
      <w:start w:val="1"/>
      <w:numFmt w:val="decimal"/>
      <w:lvlText w:val="%1.%2.%3.%4.%5.%6.%7.%8.%9"/>
      <w:lvlJc w:val="left"/>
      <w:pPr>
        <w:ind w:left="1800" w:hanging="1800"/>
      </w:pPr>
      <w:rPr>
        <w:rFonts w:hint="default" w:cs="宋体"/>
      </w:rPr>
    </w:lvl>
  </w:abstractNum>
  <w:abstractNum w:abstractNumId="4">
    <w:nsid w:val="069F34F2"/>
    <w:multiLevelType w:val="multilevel"/>
    <w:tmpl w:val="069F34F2"/>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F240975"/>
    <w:multiLevelType w:val="multilevel"/>
    <w:tmpl w:val="0F240975"/>
    <w:lvl w:ilvl="0" w:tentative="0">
      <w:start w:val="1"/>
      <w:numFmt w:val="decimal"/>
      <w:lvlText w:val="%1."/>
      <w:lvlJc w:val="left"/>
      <w:pPr>
        <w:ind w:left="846"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16BE14E"/>
    <w:multiLevelType w:val="singleLevel"/>
    <w:tmpl w:val="216BE14E"/>
    <w:lvl w:ilvl="0" w:tentative="0">
      <w:start w:val="1"/>
      <w:numFmt w:val="decimal"/>
      <w:lvlText w:val="%1."/>
      <w:lvlJc w:val="left"/>
      <w:pPr>
        <w:tabs>
          <w:tab w:val="left" w:pos="312"/>
        </w:tabs>
      </w:pPr>
    </w:lvl>
  </w:abstractNum>
  <w:abstractNum w:abstractNumId="7">
    <w:nsid w:val="423F26CD"/>
    <w:multiLevelType w:val="multilevel"/>
    <w:tmpl w:val="423F26CD"/>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decimal"/>
      <w:lvlText w:val="（%3）"/>
      <w:lvlJc w:val="left"/>
      <w:pPr>
        <w:ind w:left="1680" w:hanging="42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DEC0A56"/>
    <w:multiLevelType w:val="multilevel"/>
    <w:tmpl w:val="4DEC0A56"/>
    <w:lvl w:ilvl="0" w:tentative="0">
      <w:start w:val="1"/>
      <w:numFmt w:val="decimal"/>
      <w:lvlText w:val="（%1）"/>
      <w:lvlJc w:val="left"/>
      <w:pPr>
        <w:ind w:left="1130" w:hanging="420"/>
      </w:pPr>
      <w:rPr>
        <w:rFonts w:hint="default"/>
        <w:lang w:val="en-US"/>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9">
    <w:nsid w:val="4FA37481"/>
    <w:multiLevelType w:val="multilevel"/>
    <w:tmpl w:val="4FA37481"/>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581278F3"/>
    <w:multiLevelType w:val="multilevel"/>
    <w:tmpl w:val="581278F3"/>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84E3C5D"/>
    <w:multiLevelType w:val="multilevel"/>
    <w:tmpl w:val="684E3C5D"/>
    <w:lvl w:ilvl="0" w:tentative="0">
      <w:start w:val="1"/>
      <w:numFmt w:val="decimal"/>
      <w:lvlText w:val="%1."/>
      <w:lvlJc w:val="left"/>
      <w:pPr>
        <w:ind w:left="420" w:hanging="420"/>
      </w:pPr>
    </w:lvl>
    <w:lvl w:ilvl="1" w:tentative="0">
      <w:start w:val="1"/>
      <w:numFmt w:val="decimal"/>
      <w:lvlText w:val="%2."/>
      <w:lvlJc w:val="left"/>
      <w:pPr>
        <w:ind w:left="840" w:hanging="420"/>
      </w:pPr>
      <w:rPr>
        <w:rFonts w:hint="default"/>
      </w:rPr>
    </w:lvl>
    <w:lvl w:ilvl="2" w:tentative="0">
      <w:start w:val="1"/>
      <w:numFmt w:val="decimal"/>
      <w:lvlText w:val="（%3）"/>
      <w:lvlJc w:val="left"/>
      <w:pPr>
        <w:ind w:left="1560" w:hanging="720"/>
      </w:pPr>
      <w:rPr>
        <w:rFonts w:hint="default"/>
      </w:rPr>
    </w:lvl>
    <w:lvl w:ilvl="3" w:tentative="0">
      <w:start w:val="1"/>
      <w:numFmt w:val="decimal"/>
      <w:lvlText w:val="%4、"/>
      <w:lvlJc w:val="left"/>
      <w:pPr>
        <w:ind w:left="1980" w:hanging="720"/>
      </w:pPr>
      <w:rPr>
        <w:rFonts w:hint="default"/>
      </w:rPr>
    </w:lvl>
    <w:lvl w:ilvl="4" w:tentative="0">
      <w:start w:val="1"/>
      <w:numFmt w:val="japaneseCounting"/>
      <w:lvlText w:val="（%5）"/>
      <w:lvlJc w:val="left"/>
      <w:pPr>
        <w:ind w:left="2400" w:hanging="720"/>
      </w:pPr>
      <w:rPr>
        <w:rFonts w:hint="default"/>
      </w:rPr>
    </w:lvl>
    <w:lvl w:ilvl="5" w:tentative="0">
      <w:start w:val="1"/>
      <w:numFmt w:val="japaneseCounting"/>
      <w:lvlText w:val="第%6节"/>
      <w:lvlJc w:val="left"/>
      <w:pPr>
        <w:ind w:left="4983" w:hanging="1155"/>
      </w:pPr>
      <w:rPr>
        <w:rFonts w:hint="default"/>
      </w:rPr>
    </w:lvl>
    <w:lvl w:ilvl="6" w:tentative="0">
      <w:start w:val="1"/>
      <w:numFmt w:val="japaneseCounting"/>
      <w:lvlText w:val="%7、"/>
      <w:lvlJc w:val="left"/>
      <w:pPr>
        <w:ind w:left="3030" w:hanging="510"/>
      </w:pPr>
      <w:rPr>
        <w:rFonts w:hint="default" w:cs="宋体"/>
        <w:b/>
      </w:r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11"/>
  </w:num>
  <w:num w:numId="4">
    <w:abstractNumId w:val="7"/>
  </w:num>
  <w:num w:numId="5">
    <w:abstractNumId w:val="3"/>
  </w:num>
  <w:num w:numId="6">
    <w:abstractNumId w:val="8"/>
  </w:num>
  <w:num w:numId="7">
    <w:abstractNumId w:val="0"/>
  </w:num>
  <w:num w:numId="8">
    <w:abstractNumId w:val="6"/>
  </w:num>
  <w:num w:numId="9">
    <w:abstractNumId w:val="10"/>
  </w:num>
  <w:num w:numId="10">
    <w:abstractNumId w:val="4"/>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lMGU0ZTI2NTIyMmYxZmNiMDY0NzcwMThkNWEwZDgifQ=="/>
  </w:docVars>
  <w:rsids>
    <w:rsidRoot w:val="00BF3A79"/>
    <w:rsid w:val="0000256F"/>
    <w:rsid w:val="00023C10"/>
    <w:rsid w:val="000364AC"/>
    <w:rsid w:val="000441C4"/>
    <w:rsid w:val="000451B9"/>
    <w:rsid w:val="000944EA"/>
    <w:rsid w:val="000A0779"/>
    <w:rsid w:val="000A192D"/>
    <w:rsid w:val="000A5844"/>
    <w:rsid w:val="000B3273"/>
    <w:rsid w:val="000C0BE1"/>
    <w:rsid w:val="000C6BF1"/>
    <w:rsid w:val="000D046B"/>
    <w:rsid w:val="000D11F1"/>
    <w:rsid w:val="00103F58"/>
    <w:rsid w:val="0010617B"/>
    <w:rsid w:val="00113BE0"/>
    <w:rsid w:val="00124A6A"/>
    <w:rsid w:val="001451BB"/>
    <w:rsid w:val="00156C7F"/>
    <w:rsid w:val="0015792A"/>
    <w:rsid w:val="00163C31"/>
    <w:rsid w:val="001C1AC6"/>
    <w:rsid w:val="001C2051"/>
    <w:rsid w:val="00241361"/>
    <w:rsid w:val="00254F80"/>
    <w:rsid w:val="00270604"/>
    <w:rsid w:val="00285E8D"/>
    <w:rsid w:val="00292B91"/>
    <w:rsid w:val="002A116E"/>
    <w:rsid w:val="002A451A"/>
    <w:rsid w:val="002A7DDC"/>
    <w:rsid w:val="002B0D4B"/>
    <w:rsid w:val="002C510E"/>
    <w:rsid w:val="002D182A"/>
    <w:rsid w:val="002E7930"/>
    <w:rsid w:val="00301EC4"/>
    <w:rsid w:val="003547D1"/>
    <w:rsid w:val="00372093"/>
    <w:rsid w:val="00384007"/>
    <w:rsid w:val="00396486"/>
    <w:rsid w:val="00396636"/>
    <w:rsid w:val="003C20DE"/>
    <w:rsid w:val="003E524B"/>
    <w:rsid w:val="004548C5"/>
    <w:rsid w:val="00457C36"/>
    <w:rsid w:val="0048535F"/>
    <w:rsid w:val="004911D7"/>
    <w:rsid w:val="004D0193"/>
    <w:rsid w:val="004D451B"/>
    <w:rsid w:val="004F201C"/>
    <w:rsid w:val="004F581E"/>
    <w:rsid w:val="0050438F"/>
    <w:rsid w:val="00512B6C"/>
    <w:rsid w:val="00526AFB"/>
    <w:rsid w:val="0053791C"/>
    <w:rsid w:val="0054274A"/>
    <w:rsid w:val="00555050"/>
    <w:rsid w:val="00557FB6"/>
    <w:rsid w:val="00574DB7"/>
    <w:rsid w:val="00576716"/>
    <w:rsid w:val="005A6192"/>
    <w:rsid w:val="005B2F03"/>
    <w:rsid w:val="005B7D3E"/>
    <w:rsid w:val="00610168"/>
    <w:rsid w:val="00615CD9"/>
    <w:rsid w:val="00661A53"/>
    <w:rsid w:val="00670682"/>
    <w:rsid w:val="0067509F"/>
    <w:rsid w:val="00684DFE"/>
    <w:rsid w:val="00687095"/>
    <w:rsid w:val="0069591D"/>
    <w:rsid w:val="006A2684"/>
    <w:rsid w:val="006D7BBD"/>
    <w:rsid w:val="007238EB"/>
    <w:rsid w:val="00735F0B"/>
    <w:rsid w:val="007663EF"/>
    <w:rsid w:val="007A0EBC"/>
    <w:rsid w:val="007B3A70"/>
    <w:rsid w:val="007F0064"/>
    <w:rsid w:val="007F2F14"/>
    <w:rsid w:val="00830C43"/>
    <w:rsid w:val="00831A15"/>
    <w:rsid w:val="0086089F"/>
    <w:rsid w:val="008753FD"/>
    <w:rsid w:val="0089621C"/>
    <w:rsid w:val="008D41F0"/>
    <w:rsid w:val="008D441A"/>
    <w:rsid w:val="008E138D"/>
    <w:rsid w:val="008F7908"/>
    <w:rsid w:val="00911275"/>
    <w:rsid w:val="00927A31"/>
    <w:rsid w:val="009359B0"/>
    <w:rsid w:val="009614CC"/>
    <w:rsid w:val="00966116"/>
    <w:rsid w:val="0096658C"/>
    <w:rsid w:val="009851FD"/>
    <w:rsid w:val="009914BC"/>
    <w:rsid w:val="009A1A48"/>
    <w:rsid w:val="009A2DA8"/>
    <w:rsid w:val="009A7010"/>
    <w:rsid w:val="009B10BA"/>
    <w:rsid w:val="009C5F5E"/>
    <w:rsid w:val="009C685A"/>
    <w:rsid w:val="009D0EC5"/>
    <w:rsid w:val="00A11740"/>
    <w:rsid w:val="00A174AF"/>
    <w:rsid w:val="00A26238"/>
    <w:rsid w:val="00A41785"/>
    <w:rsid w:val="00A449B9"/>
    <w:rsid w:val="00A46594"/>
    <w:rsid w:val="00A471E7"/>
    <w:rsid w:val="00A62EA7"/>
    <w:rsid w:val="00A86CE6"/>
    <w:rsid w:val="00A871D3"/>
    <w:rsid w:val="00A91BB5"/>
    <w:rsid w:val="00AC64DA"/>
    <w:rsid w:val="00AE1202"/>
    <w:rsid w:val="00AE776F"/>
    <w:rsid w:val="00B002CB"/>
    <w:rsid w:val="00B2763B"/>
    <w:rsid w:val="00B2778F"/>
    <w:rsid w:val="00B50B46"/>
    <w:rsid w:val="00B520B4"/>
    <w:rsid w:val="00BA7320"/>
    <w:rsid w:val="00BB67BD"/>
    <w:rsid w:val="00BE6F3C"/>
    <w:rsid w:val="00BF3A79"/>
    <w:rsid w:val="00C26FD6"/>
    <w:rsid w:val="00C44A48"/>
    <w:rsid w:val="00C64387"/>
    <w:rsid w:val="00CA6C4B"/>
    <w:rsid w:val="00CC59AE"/>
    <w:rsid w:val="00CF38F2"/>
    <w:rsid w:val="00D36B3D"/>
    <w:rsid w:val="00D43E6E"/>
    <w:rsid w:val="00D6350C"/>
    <w:rsid w:val="00DC011F"/>
    <w:rsid w:val="00DD76D1"/>
    <w:rsid w:val="00E00F84"/>
    <w:rsid w:val="00E174E7"/>
    <w:rsid w:val="00E21AF4"/>
    <w:rsid w:val="00E2522E"/>
    <w:rsid w:val="00E26390"/>
    <w:rsid w:val="00E35889"/>
    <w:rsid w:val="00E9248C"/>
    <w:rsid w:val="00EB1BD0"/>
    <w:rsid w:val="00EB1E79"/>
    <w:rsid w:val="00EF0B0C"/>
    <w:rsid w:val="00F02EFB"/>
    <w:rsid w:val="00F1174B"/>
    <w:rsid w:val="00F22E8E"/>
    <w:rsid w:val="00F2314C"/>
    <w:rsid w:val="00F2638F"/>
    <w:rsid w:val="00F275DE"/>
    <w:rsid w:val="00F31381"/>
    <w:rsid w:val="00F46B8B"/>
    <w:rsid w:val="00F873E4"/>
    <w:rsid w:val="00F92EB3"/>
    <w:rsid w:val="00FC4685"/>
    <w:rsid w:val="01474374"/>
    <w:rsid w:val="01B624BD"/>
    <w:rsid w:val="01C659AB"/>
    <w:rsid w:val="023C4E17"/>
    <w:rsid w:val="029A4E91"/>
    <w:rsid w:val="03A231CD"/>
    <w:rsid w:val="043A193D"/>
    <w:rsid w:val="045F6C5C"/>
    <w:rsid w:val="04AB179A"/>
    <w:rsid w:val="04D710FE"/>
    <w:rsid w:val="04D72BD5"/>
    <w:rsid w:val="05562A20"/>
    <w:rsid w:val="055D4DD4"/>
    <w:rsid w:val="05776A76"/>
    <w:rsid w:val="05D820DD"/>
    <w:rsid w:val="06C21663"/>
    <w:rsid w:val="075A1262"/>
    <w:rsid w:val="07876135"/>
    <w:rsid w:val="07F27D26"/>
    <w:rsid w:val="08097C77"/>
    <w:rsid w:val="08B964C3"/>
    <w:rsid w:val="08E72A15"/>
    <w:rsid w:val="09C54F84"/>
    <w:rsid w:val="0A0672E0"/>
    <w:rsid w:val="0AFA069B"/>
    <w:rsid w:val="0C923555"/>
    <w:rsid w:val="0CCE5171"/>
    <w:rsid w:val="0D341D07"/>
    <w:rsid w:val="0D445B5C"/>
    <w:rsid w:val="0DBA6AF0"/>
    <w:rsid w:val="0E3B4010"/>
    <w:rsid w:val="0F0071CD"/>
    <w:rsid w:val="0F17747C"/>
    <w:rsid w:val="0F5B4D88"/>
    <w:rsid w:val="0F706A9D"/>
    <w:rsid w:val="0FF47DCF"/>
    <w:rsid w:val="10150A56"/>
    <w:rsid w:val="10670006"/>
    <w:rsid w:val="10BB26B5"/>
    <w:rsid w:val="10E9706A"/>
    <w:rsid w:val="112C760B"/>
    <w:rsid w:val="11603E9E"/>
    <w:rsid w:val="116E64D7"/>
    <w:rsid w:val="12011C62"/>
    <w:rsid w:val="12CF7248"/>
    <w:rsid w:val="12ED208E"/>
    <w:rsid w:val="131D53FE"/>
    <w:rsid w:val="13D749A0"/>
    <w:rsid w:val="14B10560"/>
    <w:rsid w:val="14F26320"/>
    <w:rsid w:val="152352C2"/>
    <w:rsid w:val="15667DB5"/>
    <w:rsid w:val="157B0101"/>
    <w:rsid w:val="163376F8"/>
    <w:rsid w:val="1647437B"/>
    <w:rsid w:val="16567257"/>
    <w:rsid w:val="16F25CDE"/>
    <w:rsid w:val="16F70841"/>
    <w:rsid w:val="16FA7544"/>
    <w:rsid w:val="18485A64"/>
    <w:rsid w:val="18617474"/>
    <w:rsid w:val="188A7056"/>
    <w:rsid w:val="192A7491"/>
    <w:rsid w:val="194E7C37"/>
    <w:rsid w:val="19762E22"/>
    <w:rsid w:val="19866520"/>
    <w:rsid w:val="19DE7D03"/>
    <w:rsid w:val="1A4727A8"/>
    <w:rsid w:val="1A931655"/>
    <w:rsid w:val="1B1F1446"/>
    <w:rsid w:val="1B610D54"/>
    <w:rsid w:val="1BA45075"/>
    <w:rsid w:val="1BC35853"/>
    <w:rsid w:val="1D6E2453"/>
    <w:rsid w:val="1D932988"/>
    <w:rsid w:val="1DC425BD"/>
    <w:rsid w:val="1E58408A"/>
    <w:rsid w:val="1E7C59A4"/>
    <w:rsid w:val="1EA11205"/>
    <w:rsid w:val="1EA2204E"/>
    <w:rsid w:val="1EE550A8"/>
    <w:rsid w:val="1F9D516C"/>
    <w:rsid w:val="1FAD1946"/>
    <w:rsid w:val="20E67E89"/>
    <w:rsid w:val="21056726"/>
    <w:rsid w:val="218D4BAB"/>
    <w:rsid w:val="21A3019E"/>
    <w:rsid w:val="22296E19"/>
    <w:rsid w:val="223C00C4"/>
    <w:rsid w:val="23B35621"/>
    <w:rsid w:val="23F73633"/>
    <w:rsid w:val="24920F5F"/>
    <w:rsid w:val="25173F93"/>
    <w:rsid w:val="26EC0FC9"/>
    <w:rsid w:val="273C266F"/>
    <w:rsid w:val="27EF3993"/>
    <w:rsid w:val="281329CA"/>
    <w:rsid w:val="283735E8"/>
    <w:rsid w:val="290D4893"/>
    <w:rsid w:val="291460B1"/>
    <w:rsid w:val="292B6CEB"/>
    <w:rsid w:val="29BC7705"/>
    <w:rsid w:val="2A0C5643"/>
    <w:rsid w:val="2A2907E7"/>
    <w:rsid w:val="2A782C8C"/>
    <w:rsid w:val="2A9A49EC"/>
    <w:rsid w:val="2AB136EC"/>
    <w:rsid w:val="2B4A3852"/>
    <w:rsid w:val="2BAC1FCD"/>
    <w:rsid w:val="2CDA29B3"/>
    <w:rsid w:val="2DBD7819"/>
    <w:rsid w:val="2EA04EC2"/>
    <w:rsid w:val="2EEB72DD"/>
    <w:rsid w:val="2F083808"/>
    <w:rsid w:val="2F276DDA"/>
    <w:rsid w:val="2FA908EA"/>
    <w:rsid w:val="2FE37066"/>
    <w:rsid w:val="30616F19"/>
    <w:rsid w:val="306B1AC6"/>
    <w:rsid w:val="308468D4"/>
    <w:rsid w:val="309C19CF"/>
    <w:rsid w:val="30CE5D56"/>
    <w:rsid w:val="30EB1F7B"/>
    <w:rsid w:val="3198357D"/>
    <w:rsid w:val="31BF415E"/>
    <w:rsid w:val="31DD59BE"/>
    <w:rsid w:val="321C4DB0"/>
    <w:rsid w:val="32212D49"/>
    <w:rsid w:val="32C809B0"/>
    <w:rsid w:val="3307668F"/>
    <w:rsid w:val="337E1223"/>
    <w:rsid w:val="338177C9"/>
    <w:rsid w:val="34A86C59"/>
    <w:rsid w:val="350E58F0"/>
    <w:rsid w:val="35847BF3"/>
    <w:rsid w:val="36640063"/>
    <w:rsid w:val="367E0BF3"/>
    <w:rsid w:val="370C506C"/>
    <w:rsid w:val="37F334C4"/>
    <w:rsid w:val="38092FA0"/>
    <w:rsid w:val="386E63ED"/>
    <w:rsid w:val="38971CA2"/>
    <w:rsid w:val="38E23FCA"/>
    <w:rsid w:val="39553BF4"/>
    <w:rsid w:val="39736669"/>
    <w:rsid w:val="3A0F2C21"/>
    <w:rsid w:val="3AD354B8"/>
    <w:rsid w:val="3B2C7EA1"/>
    <w:rsid w:val="3B330518"/>
    <w:rsid w:val="3BC1078A"/>
    <w:rsid w:val="3BD1344A"/>
    <w:rsid w:val="3C242927"/>
    <w:rsid w:val="3C6B7ACC"/>
    <w:rsid w:val="3C73623A"/>
    <w:rsid w:val="3CB23005"/>
    <w:rsid w:val="3CF25AF7"/>
    <w:rsid w:val="3E3C6C60"/>
    <w:rsid w:val="3E5B04D4"/>
    <w:rsid w:val="3EA552EE"/>
    <w:rsid w:val="3EAD75D9"/>
    <w:rsid w:val="3F254F42"/>
    <w:rsid w:val="3F622FE0"/>
    <w:rsid w:val="406D3553"/>
    <w:rsid w:val="40AF35AA"/>
    <w:rsid w:val="40BF2194"/>
    <w:rsid w:val="40DB19AF"/>
    <w:rsid w:val="40F7192E"/>
    <w:rsid w:val="41743AC6"/>
    <w:rsid w:val="421D4632"/>
    <w:rsid w:val="43061E93"/>
    <w:rsid w:val="4335238A"/>
    <w:rsid w:val="433F6ED2"/>
    <w:rsid w:val="435E2DE1"/>
    <w:rsid w:val="43FD2787"/>
    <w:rsid w:val="445E211A"/>
    <w:rsid w:val="45512DC5"/>
    <w:rsid w:val="458D1583"/>
    <w:rsid w:val="45E77BE7"/>
    <w:rsid w:val="464673FA"/>
    <w:rsid w:val="465C5960"/>
    <w:rsid w:val="465D57D6"/>
    <w:rsid w:val="470F74F8"/>
    <w:rsid w:val="47790357"/>
    <w:rsid w:val="47811E50"/>
    <w:rsid w:val="478149F5"/>
    <w:rsid w:val="47831D02"/>
    <w:rsid w:val="47835AB1"/>
    <w:rsid w:val="47A82838"/>
    <w:rsid w:val="47D27147"/>
    <w:rsid w:val="47D416F1"/>
    <w:rsid w:val="47DA0AD0"/>
    <w:rsid w:val="48B227C2"/>
    <w:rsid w:val="48B405D9"/>
    <w:rsid w:val="49030FD7"/>
    <w:rsid w:val="4A0C7AC9"/>
    <w:rsid w:val="4A3843C9"/>
    <w:rsid w:val="4A703634"/>
    <w:rsid w:val="4A990ED6"/>
    <w:rsid w:val="4AE56E9A"/>
    <w:rsid w:val="4B5D486C"/>
    <w:rsid w:val="4B9D09EC"/>
    <w:rsid w:val="4DA42D82"/>
    <w:rsid w:val="4DAA2F7A"/>
    <w:rsid w:val="4DD51F1D"/>
    <w:rsid w:val="4DEA36CA"/>
    <w:rsid w:val="4E2F21A9"/>
    <w:rsid w:val="4EE80403"/>
    <w:rsid w:val="4F851AA7"/>
    <w:rsid w:val="4FB235F0"/>
    <w:rsid w:val="4FB423DD"/>
    <w:rsid w:val="4FBD6694"/>
    <w:rsid w:val="501F3E0C"/>
    <w:rsid w:val="51CF40C9"/>
    <w:rsid w:val="51D441BD"/>
    <w:rsid w:val="51EE2049"/>
    <w:rsid w:val="521F2A93"/>
    <w:rsid w:val="52590DEC"/>
    <w:rsid w:val="52ED5A75"/>
    <w:rsid w:val="537E210B"/>
    <w:rsid w:val="53AB4B66"/>
    <w:rsid w:val="5413539C"/>
    <w:rsid w:val="54217BC0"/>
    <w:rsid w:val="54D74070"/>
    <w:rsid w:val="561A5A26"/>
    <w:rsid w:val="566F4842"/>
    <w:rsid w:val="56A129A3"/>
    <w:rsid w:val="56A62BD1"/>
    <w:rsid w:val="56F25232"/>
    <w:rsid w:val="572B2BDD"/>
    <w:rsid w:val="57697A94"/>
    <w:rsid w:val="579A6096"/>
    <w:rsid w:val="57EE78CC"/>
    <w:rsid w:val="58D11150"/>
    <w:rsid w:val="58F75FAF"/>
    <w:rsid w:val="59DC35B7"/>
    <w:rsid w:val="59F57480"/>
    <w:rsid w:val="5A0C29FD"/>
    <w:rsid w:val="5A3E219F"/>
    <w:rsid w:val="5A7E0760"/>
    <w:rsid w:val="5A945272"/>
    <w:rsid w:val="5AB97F89"/>
    <w:rsid w:val="5ADF6200"/>
    <w:rsid w:val="5AEC2AA6"/>
    <w:rsid w:val="5BB22BCA"/>
    <w:rsid w:val="5C613F95"/>
    <w:rsid w:val="5E223AE5"/>
    <w:rsid w:val="5F5B0E2C"/>
    <w:rsid w:val="60F83160"/>
    <w:rsid w:val="61096D6B"/>
    <w:rsid w:val="62F615EE"/>
    <w:rsid w:val="631E5D40"/>
    <w:rsid w:val="63425D68"/>
    <w:rsid w:val="635B09E3"/>
    <w:rsid w:val="63646678"/>
    <w:rsid w:val="6365794C"/>
    <w:rsid w:val="63797B14"/>
    <w:rsid w:val="63CB65D6"/>
    <w:rsid w:val="63DA463B"/>
    <w:rsid w:val="64513D7A"/>
    <w:rsid w:val="64ED5F59"/>
    <w:rsid w:val="656D3780"/>
    <w:rsid w:val="65C857C2"/>
    <w:rsid w:val="65E927B4"/>
    <w:rsid w:val="66E64AA8"/>
    <w:rsid w:val="674661A3"/>
    <w:rsid w:val="67BA00B3"/>
    <w:rsid w:val="67CC5DD2"/>
    <w:rsid w:val="68AF0630"/>
    <w:rsid w:val="68B72AEB"/>
    <w:rsid w:val="68D1595D"/>
    <w:rsid w:val="68E316BA"/>
    <w:rsid w:val="69B65325"/>
    <w:rsid w:val="6A0B2C3D"/>
    <w:rsid w:val="6A386990"/>
    <w:rsid w:val="6A5A7CC6"/>
    <w:rsid w:val="6AD04FA8"/>
    <w:rsid w:val="6BD205D2"/>
    <w:rsid w:val="6C5461F2"/>
    <w:rsid w:val="6C5679E2"/>
    <w:rsid w:val="6C6B6BA9"/>
    <w:rsid w:val="6C823EF2"/>
    <w:rsid w:val="6CB00A5F"/>
    <w:rsid w:val="6D5861A2"/>
    <w:rsid w:val="6D601DCC"/>
    <w:rsid w:val="6E706BA2"/>
    <w:rsid w:val="6E9C2A8A"/>
    <w:rsid w:val="6F385CA1"/>
    <w:rsid w:val="6F4C66F4"/>
    <w:rsid w:val="6F541EC8"/>
    <w:rsid w:val="70C51E45"/>
    <w:rsid w:val="70FC3BE7"/>
    <w:rsid w:val="724C4D86"/>
    <w:rsid w:val="72AE666A"/>
    <w:rsid w:val="73320B39"/>
    <w:rsid w:val="733A3448"/>
    <w:rsid w:val="737F4EC4"/>
    <w:rsid w:val="737F5A75"/>
    <w:rsid w:val="73821E77"/>
    <w:rsid w:val="73A12165"/>
    <w:rsid w:val="73B150BE"/>
    <w:rsid w:val="75B40254"/>
    <w:rsid w:val="75D731B1"/>
    <w:rsid w:val="760D3C7F"/>
    <w:rsid w:val="77B70A15"/>
    <w:rsid w:val="77CC0332"/>
    <w:rsid w:val="783922D0"/>
    <w:rsid w:val="7841418D"/>
    <w:rsid w:val="78671A1D"/>
    <w:rsid w:val="789E6F1D"/>
    <w:rsid w:val="78CC6C1D"/>
    <w:rsid w:val="798153CC"/>
    <w:rsid w:val="7988224D"/>
    <w:rsid w:val="7A3E5A44"/>
    <w:rsid w:val="7B0D5DDD"/>
    <w:rsid w:val="7B483E51"/>
    <w:rsid w:val="7BC54679"/>
    <w:rsid w:val="7BD375E7"/>
    <w:rsid w:val="7C0C7DD5"/>
    <w:rsid w:val="7C297412"/>
    <w:rsid w:val="7C514AC8"/>
    <w:rsid w:val="7C741AA9"/>
    <w:rsid w:val="7C7970C0"/>
    <w:rsid w:val="7CF16C56"/>
    <w:rsid w:val="7D4F24BE"/>
    <w:rsid w:val="7D88672D"/>
    <w:rsid w:val="7DF65514"/>
    <w:rsid w:val="7E0E1A8A"/>
    <w:rsid w:val="7E2E4DDB"/>
    <w:rsid w:val="7E9513DE"/>
    <w:rsid w:val="7EF96296"/>
    <w:rsid w:val="7F9B3E99"/>
    <w:rsid w:val="7FAC0F72"/>
    <w:rsid w:val="7FBE1037"/>
    <w:rsid w:val="7FCF1BD8"/>
    <w:rsid w:val="7FF234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仿宋_GB2312" w:hAnsi="仿宋_GB2312" w:eastAsia="宋体" w:cs="仿宋_GB2312"/>
      <w:b/>
      <w:bCs/>
      <w:color w:val="000000"/>
      <w:kern w:val="0"/>
      <w:sz w:val="32"/>
      <w:szCs w:val="20"/>
    </w:rPr>
  </w:style>
  <w:style w:type="paragraph" w:styleId="4">
    <w:name w:val="heading 2"/>
    <w:basedOn w:val="1"/>
    <w:next w:val="1"/>
    <w:unhideWhenUsed/>
    <w:qFormat/>
    <w:uiPriority w:val="0"/>
    <w:pPr>
      <w:keepNext/>
      <w:keepLines/>
      <w:spacing w:before="260" w:after="260" w:line="416" w:lineRule="auto"/>
      <w:jc w:val="center"/>
      <w:outlineLvl w:val="1"/>
    </w:pPr>
    <w:rPr>
      <w:rFonts w:asciiTheme="majorAscii" w:hAnsiTheme="majorAscii" w:eastAsiaTheme="majorEastAsia" w:cstheme="majorBidi"/>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spacing w:beforeAutospacing="1" w:afterAutospacing="1"/>
      <w:jc w:val="left"/>
      <w:outlineLvl w:val="3"/>
    </w:pPr>
    <w:rPr>
      <w:rFonts w:hint="eastAsia" w:ascii="宋体" w:hAnsi="宋体" w:eastAsia="宋体" w:cs="Times New Roman"/>
      <w:b/>
      <w:bCs/>
      <w:kern w:val="0"/>
      <w:sz w:val="24"/>
      <w:szCs w:val="24"/>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7">
    <w:name w:val="index 8"/>
    <w:basedOn w:val="1"/>
    <w:next w:val="1"/>
    <w:qFormat/>
    <w:uiPriority w:val="0"/>
    <w:pPr>
      <w:ind w:left="1400" w:leftChars="1400"/>
    </w:pPr>
  </w:style>
  <w:style w:type="paragraph" w:styleId="8">
    <w:name w:val="Normal Indent"/>
    <w:basedOn w:val="1"/>
    <w:next w:val="9"/>
    <w:qFormat/>
    <w:uiPriority w:val="0"/>
    <w:pPr>
      <w:tabs>
        <w:tab w:val="left" w:pos="750"/>
      </w:tabs>
      <w:spacing w:beforeLines="50" w:line="300" w:lineRule="auto"/>
      <w:ind w:firstLine="200" w:firstLineChars="200"/>
    </w:pPr>
    <w:rPr>
      <w:rFonts w:ascii="宋体"/>
      <w:szCs w:val="20"/>
    </w:rPr>
  </w:style>
  <w:style w:type="paragraph" w:styleId="9">
    <w:name w:val="toa heading"/>
    <w:basedOn w:val="1"/>
    <w:next w:val="1"/>
    <w:qFormat/>
    <w:uiPriority w:val="0"/>
    <w:pPr>
      <w:spacing w:before="120"/>
    </w:pPr>
    <w:rPr>
      <w:rFonts w:ascii="Arial" w:hAnsi="Arial" w:eastAsia="微软雅黑"/>
      <w:sz w:val="24"/>
      <w:szCs w:val="21"/>
    </w:rPr>
  </w:style>
  <w:style w:type="paragraph" w:styleId="10">
    <w:name w:val="Document Map"/>
    <w:basedOn w:val="1"/>
    <w:qFormat/>
    <w:uiPriority w:val="0"/>
    <w:pPr>
      <w:shd w:val="clear"/>
    </w:pPr>
    <w:rPr>
      <w:rFonts w:asciiTheme="minorAscii" w:hAnsiTheme="minorAscii"/>
      <w:kern w:val="0"/>
      <w:sz w:val="24"/>
    </w:rPr>
  </w:style>
  <w:style w:type="paragraph" w:styleId="11">
    <w:name w:val="annotation text"/>
    <w:basedOn w:val="1"/>
    <w:qFormat/>
    <w:uiPriority w:val="0"/>
    <w:pPr>
      <w:jc w:val="left"/>
    </w:pPr>
  </w:style>
  <w:style w:type="paragraph" w:styleId="12">
    <w:name w:val="Body Text Indent"/>
    <w:basedOn w:val="1"/>
    <w:qFormat/>
    <w:uiPriority w:val="99"/>
    <w:pPr>
      <w:spacing w:line="200" w:lineRule="exact"/>
      <w:ind w:firstLine="301"/>
    </w:pPr>
    <w:rPr>
      <w:rFonts w:ascii="宋体"/>
      <w:spacing w:val="-4"/>
      <w:sz w:val="18"/>
      <w:szCs w:val="20"/>
    </w:rPr>
  </w:style>
  <w:style w:type="paragraph" w:styleId="13">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14">
    <w:name w:val="toc 5"/>
    <w:basedOn w:val="1"/>
    <w:next w:val="1"/>
    <w:unhideWhenUsed/>
    <w:qFormat/>
    <w:uiPriority w:val="39"/>
    <w:pPr>
      <w:ind w:left="1680" w:leftChars="800"/>
    </w:pPr>
  </w:style>
  <w:style w:type="paragraph" w:styleId="15">
    <w:name w:val="toc 3"/>
    <w:basedOn w:val="1"/>
    <w:next w:val="1"/>
    <w:qFormat/>
    <w:uiPriority w:val="39"/>
    <w:pPr>
      <w:ind w:left="840" w:leftChars="400"/>
    </w:pPr>
  </w:style>
  <w:style w:type="paragraph" w:styleId="16">
    <w:name w:val="Plain Text"/>
    <w:basedOn w:val="1"/>
    <w:next w:val="1"/>
    <w:qFormat/>
    <w:uiPriority w:val="0"/>
    <w:pPr>
      <w:autoSpaceDE w:val="0"/>
      <w:autoSpaceDN w:val="0"/>
      <w:adjustRightInd w:val="0"/>
      <w:jc w:val="left"/>
    </w:pPr>
    <w:rPr>
      <w:rFonts w:ascii="宋体" w:hAnsi="Courier New" w:eastAsia="宋体" w:cs="宋体"/>
      <w:szCs w:val="21"/>
    </w:rPr>
  </w:style>
  <w:style w:type="paragraph" w:styleId="17">
    <w:name w:val="Balloon Text"/>
    <w:basedOn w:val="1"/>
    <w:link w:val="40"/>
    <w:qFormat/>
    <w:uiPriority w:val="0"/>
    <w:rPr>
      <w:sz w:val="18"/>
      <w:szCs w:val="18"/>
    </w:rPr>
  </w:style>
  <w:style w:type="paragraph" w:styleId="18">
    <w:name w:val="footer"/>
    <w:basedOn w:val="1"/>
    <w:unhideWhenUsed/>
    <w:qFormat/>
    <w:uiPriority w:val="0"/>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szCs w:val="20"/>
    </w:rPr>
  </w:style>
  <w:style w:type="paragraph" w:styleId="2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toc 4"/>
    <w:basedOn w:val="1"/>
    <w:next w:val="1"/>
    <w:qFormat/>
    <w:uiPriority w:val="39"/>
    <w:pPr>
      <w:ind w:left="1260" w:leftChars="600"/>
    </w:pPr>
  </w:style>
  <w:style w:type="paragraph" w:styleId="23">
    <w:name w:val="toc 2"/>
    <w:basedOn w:val="1"/>
    <w:next w:val="1"/>
    <w:unhideWhenUsed/>
    <w:qFormat/>
    <w:uiPriority w:val="39"/>
    <w:pPr>
      <w:ind w:left="420" w:leftChars="200"/>
    </w:pPr>
  </w:style>
  <w:style w:type="paragraph" w:styleId="24">
    <w:name w:val="Body Text 2"/>
    <w:basedOn w:val="1"/>
    <w:qFormat/>
    <w:uiPriority w:val="0"/>
    <w:rPr>
      <w:rFonts w:ascii="宋体" w:hAnsi="Times New Roman" w:eastAsia="宋体" w:cs="宋体"/>
      <w:kern w:val="0"/>
      <w:sz w:val="20"/>
      <w:szCs w:val="20"/>
    </w:rPr>
  </w:style>
  <w:style w:type="paragraph" w:styleId="25">
    <w:name w:val="Normal (Web)"/>
    <w:basedOn w:val="1"/>
    <w:qFormat/>
    <w:uiPriority w:val="0"/>
    <w:rPr>
      <w:rFonts w:ascii="Calibri" w:hAnsi="Calibri" w:eastAsia="宋体" w:cs="Times New Roman"/>
      <w:sz w:val="24"/>
      <w:szCs w:val="24"/>
    </w:rPr>
  </w:style>
  <w:style w:type="paragraph" w:styleId="26">
    <w:name w:val="Body Text First Indent 2"/>
    <w:basedOn w:val="12"/>
    <w:unhideWhenUsed/>
    <w:qFormat/>
    <w:uiPriority w:val="0"/>
    <w:pPr>
      <w:spacing w:after="120" w:line="240" w:lineRule="auto"/>
      <w:ind w:left="420" w:leftChars="200" w:firstLine="420" w:firstLineChars="200"/>
    </w:pPr>
    <w:rPr>
      <w:sz w:val="21"/>
      <w:szCs w:val="24"/>
    </w:rPr>
  </w:style>
  <w:style w:type="character" w:styleId="29">
    <w:name w:val="Hyperlink"/>
    <w:basedOn w:val="28"/>
    <w:qFormat/>
    <w:uiPriority w:val="0"/>
    <w:rPr>
      <w:color w:val="0000FF"/>
      <w:u w:val="single"/>
    </w:rPr>
  </w:style>
  <w:style w:type="paragraph" w:customStyle="1" w:styleId="30">
    <w:name w:val="正文缩进1"/>
    <w:basedOn w:val="1"/>
    <w:next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31">
    <w:name w:val="正文文本首行缩进 2"/>
    <w:basedOn w:val="12"/>
    <w:qFormat/>
    <w:uiPriority w:val="99"/>
    <w:pPr>
      <w:spacing w:line="200" w:lineRule="atLeast"/>
      <w:ind w:firstLine="420"/>
    </w:pPr>
    <w:rPr>
      <w:rFonts w:hAnsi="Courier New"/>
    </w:rPr>
  </w:style>
  <w:style w:type="paragraph" w:customStyle="1" w:styleId="32">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3">
    <w:name w:val="正文（自定义）"/>
    <w:basedOn w:val="1"/>
    <w:qFormat/>
    <w:uiPriority w:val="0"/>
    <w:pPr>
      <w:ind w:firstLine="200" w:firstLineChars="200"/>
    </w:pPr>
    <w:rPr>
      <w:rFonts w:ascii="仿宋_GB2312" w:hAnsi="仿宋_GB2312" w:eastAsia="仿宋_GB2312"/>
      <w:sz w:val="32"/>
    </w:rPr>
  </w:style>
  <w:style w:type="paragraph" w:customStyle="1" w:styleId="3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列出段落1"/>
    <w:basedOn w:val="1"/>
    <w:qFormat/>
    <w:uiPriority w:val="0"/>
    <w:pPr>
      <w:ind w:firstLine="420" w:firstLineChars="200"/>
    </w:pPr>
  </w:style>
  <w:style w:type="paragraph" w:customStyle="1" w:styleId="36">
    <w:name w:val="列出段落2"/>
    <w:basedOn w:val="1"/>
    <w:unhideWhenUsed/>
    <w:qFormat/>
    <w:uiPriority w:val="0"/>
    <w:pPr>
      <w:ind w:firstLine="420" w:firstLineChars="200"/>
    </w:pPr>
  </w:style>
  <w:style w:type="paragraph" w:customStyle="1" w:styleId="37">
    <w:name w:val="标题1"/>
    <w:basedOn w:val="3"/>
    <w:qFormat/>
    <w:uiPriority w:val="0"/>
    <w:pPr>
      <w:keepLines/>
      <w:autoSpaceDE/>
      <w:autoSpaceDN/>
      <w:adjustRightInd/>
      <w:spacing w:before="100" w:beforeAutospacing="1" w:after="100" w:afterAutospacing="1" w:line="240" w:lineRule="atLeast"/>
      <w:jc w:val="center"/>
    </w:pPr>
    <w:rPr>
      <w:rFonts w:ascii="Times New Roman" w:eastAsia="宋体" w:cs="Times New Roman"/>
      <w:kern w:val="2"/>
      <w:sz w:val="30"/>
      <w:szCs w:val="30"/>
    </w:rPr>
  </w:style>
  <w:style w:type="paragraph" w:customStyle="1" w:styleId="38">
    <w:name w:val="Char Char Char1 Char3"/>
    <w:basedOn w:val="1"/>
    <w:qFormat/>
    <w:uiPriority w:val="99"/>
    <w:pPr>
      <w:spacing w:line="360" w:lineRule="auto"/>
      <w:ind w:firstLine="200" w:firstLineChars="200"/>
    </w:pPr>
    <w:rPr>
      <w:rFonts w:ascii="宋体" w:hAnsi="宋体" w:eastAsia="宋体" w:cs="Times New Roman"/>
      <w:sz w:val="24"/>
      <w:szCs w:val="20"/>
    </w:rPr>
  </w:style>
  <w:style w:type="paragraph" w:styleId="39">
    <w:name w:val="List Paragraph"/>
    <w:basedOn w:val="1"/>
    <w:qFormat/>
    <w:uiPriority w:val="0"/>
    <w:pPr>
      <w:ind w:firstLine="420" w:firstLineChars="200"/>
    </w:pPr>
  </w:style>
  <w:style w:type="character" w:customStyle="1" w:styleId="40">
    <w:name w:val="批注框文本 Char"/>
    <w:basedOn w:val="28"/>
    <w:link w:val="17"/>
    <w:qFormat/>
    <w:uiPriority w:val="0"/>
    <w:rPr>
      <w:rFonts w:asciiTheme="minorHAnsi" w:hAnsiTheme="minorHAnsi" w:eastAsiaTheme="minorEastAsia" w:cstheme="minorBidi"/>
      <w:kern w:val="2"/>
      <w:sz w:val="18"/>
      <w:szCs w:val="18"/>
    </w:rPr>
  </w:style>
  <w:style w:type="paragraph" w:customStyle="1" w:styleId="41">
    <w:name w:val="正文1"/>
    <w:qFormat/>
    <w:uiPriority w:val="0"/>
    <w:pPr>
      <w:jc w:val="both"/>
    </w:pPr>
    <w:rPr>
      <w:rFonts w:ascii="Times New Roman" w:hAnsi="Times New Roman" w:eastAsia="宋体" w:cs="Times New Roman"/>
      <w:kern w:val="2"/>
      <w:sz w:val="21"/>
      <w:szCs w:val="21"/>
      <w:lang w:val="en-US" w:eastAsia="zh-CN" w:bidi="ar-SA"/>
    </w:rPr>
  </w:style>
  <w:style w:type="table" w:customStyle="1" w:styleId="42">
    <w:name w:val="Table Normal"/>
    <w:semiHidden/>
    <w:unhideWhenUsed/>
    <w:qFormat/>
    <w:uiPriority w:val="0"/>
    <w:tblPr>
      <w:tblCellMar>
        <w:top w:w="0" w:type="dxa"/>
        <w:left w:w="0" w:type="dxa"/>
        <w:bottom w:w="0" w:type="dxa"/>
        <w:right w:w="0" w:type="dxa"/>
      </w:tblCellMar>
    </w:tblPr>
  </w:style>
  <w:style w:type="character" w:customStyle="1" w:styleId="43">
    <w:name w:val="NormalCharacter"/>
    <w:semiHidden/>
    <w:qFormat/>
    <w:uiPriority w:val="0"/>
  </w:style>
  <w:style w:type="paragraph" w:customStyle="1" w:styleId="44">
    <w:name w:val="纯文本1"/>
    <w:basedOn w:val="1"/>
    <w:qFormat/>
    <w:uiPriority w:val="0"/>
    <w:rPr>
      <w:rFonts w:ascii="宋体" w:hAnsi="Courier New" w:eastAsia="宋体" w:cs="Times New Roman"/>
      <w:szCs w:val="22"/>
    </w:rPr>
  </w:style>
  <w:style w:type="paragraph" w:customStyle="1" w:styleId="45">
    <w:name w:val="Table Paragraph"/>
    <w:basedOn w:val="1"/>
    <w:qFormat/>
    <w:uiPriority w:val="1"/>
  </w:style>
  <w:style w:type="paragraph" w:customStyle="1" w:styleId="46">
    <w:name w:val="样式"/>
    <w:qFormat/>
    <w:uiPriority w:val="0"/>
    <w:pPr>
      <w:widowControl w:val="0"/>
      <w:autoSpaceDE w:val="0"/>
      <w:autoSpaceDN w:val="0"/>
      <w:adjustRightInd w:val="0"/>
      <w:spacing w:line="340" w:lineRule="exact"/>
    </w:pPr>
    <w:rPr>
      <w:rFonts w:ascii="仿宋" w:hAnsi="仿宋" w:eastAsia="仿宋" w:cs="仿宋"/>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10294</Words>
  <Characters>11479</Characters>
  <Lines>352</Lines>
  <Paragraphs>99</Paragraphs>
  <TotalTime>0</TotalTime>
  <ScaleCrop>false</ScaleCrop>
  <LinksUpToDate>false</LinksUpToDate>
  <CharactersWithSpaces>11592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2022-11-13T07:50:00Z</dcterms:created>
  <dc:creator>mac</dc:creator>
  <cp:lastModifiedBy>王重瑞</cp:lastModifiedBy>
  <cp:lastPrinted>2024-06-24T08:17:00Z</cp:lastPrinted>
  <dcterms:modified xsi:type="dcterms:W3CDTF">2026-05-08T08:13:37Z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BF90E24E759D4B58A66FF4D2DF75209F_13</vt:lpwstr>
  </property>
  <property fmtid="{D5CDD505-2E9C-101B-9397-08002B2CF9AE}" pid="4" name="KSOTemplateDocerSaveRecord">
    <vt:lpwstr>eyJoZGlkIjoiMjFlMGU0ZTI2NTIyMmYxZmNiMDY0NzcwMThkNWEwZDgiLCJ1c2VySWQiOiIxNDU1NDM2NzA2In0=</vt:lpwstr>
  </property>
</Properties>
</file>